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86FA" w14:textId="77777777" w:rsidR="00C22D3B" w:rsidRPr="008519A1" w:rsidRDefault="00505D3B" w:rsidP="008519A1">
      <w:pPr>
        <w:pStyle w:val="Title"/>
        <w:rPr>
          <w:sz w:val="48"/>
          <w:szCs w:val="48"/>
        </w:rPr>
      </w:pPr>
      <w:proofErr w:type="spellStart"/>
      <w:r w:rsidRPr="008519A1">
        <w:rPr>
          <w:sz w:val="48"/>
          <w:szCs w:val="48"/>
        </w:rPr>
        <w:t>ViP</w:t>
      </w:r>
      <w:proofErr w:type="spellEnd"/>
      <w:r w:rsidRPr="008519A1">
        <w:rPr>
          <w:sz w:val="48"/>
          <w:szCs w:val="48"/>
        </w:rPr>
        <w:t xml:space="preserve">: A prospective, phase II, double blind multicenter randomised controlled trial comparing Gemcitabine plus Vandetanib with Gemcitabine plus Placebo in locally advanced or </w:t>
      </w:r>
      <w:r w:rsidR="00C22D3B" w:rsidRPr="008519A1">
        <w:rPr>
          <w:sz w:val="48"/>
          <w:szCs w:val="48"/>
        </w:rPr>
        <w:t>metastatic pancreatic carcinoma</w:t>
      </w:r>
    </w:p>
    <w:p w14:paraId="30170DF2" w14:textId="77777777" w:rsidR="00505D3B" w:rsidRPr="008519A1" w:rsidRDefault="00505D3B" w:rsidP="00C22D3B">
      <w:pPr>
        <w:spacing w:line="480" w:lineRule="auto"/>
        <w:rPr>
          <w:rFonts w:asciiTheme="majorHAnsi" w:hAnsiTheme="majorHAnsi"/>
        </w:rPr>
      </w:pPr>
    </w:p>
    <w:p w14:paraId="7F7ED0AE" w14:textId="77777777" w:rsidR="004E661D" w:rsidRPr="008519A1" w:rsidRDefault="004E661D" w:rsidP="00C22D3B">
      <w:pPr>
        <w:spacing w:line="480" w:lineRule="auto"/>
        <w:rPr>
          <w:rFonts w:asciiTheme="majorHAnsi" w:hAnsiTheme="majorHAnsi"/>
        </w:rPr>
      </w:pPr>
      <w:r w:rsidRPr="008519A1">
        <w:rPr>
          <w:rFonts w:asciiTheme="majorHAnsi" w:hAnsiTheme="majorHAnsi" w:cs="SourceSansPro-Regular"/>
          <w:color w:val="262626"/>
          <w:highlight w:val="yellow"/>
        </w:rPr>
        <w:t xml:space="preserve">A brief title, author name(s), preferred degree (one only), affiliation(s), and full </w:t>
      </w:r>
      <w:proofErr w:type="gramStart"/>
      <w:r w:rsidRPr="008519A1">
        <w:rPr>
          <w:rFonts w:asciiTheme="majorHAnsi" w:hAnsiTheme="majorHAnsi" w:cs="SourceSansPro-Regular"/>
          <w:color w:val="262626"/>
          <w:highlight w:val="yellow"/>
        </w:rPr>
        <w:t>address(</w:t>
      </w:r>
      <w:proofErr w:type="spellStart"/>
      <w:proofErr w:type="gramEnd"/>
      <w:r w:rsidRPr="008519A1">
        <w:rPr>
          <w:rFonts w:asciiTheme="majorHAnsi" w:hAnsiTheme="majorHAnsi" w:cs="SourceSansPro-Regular"/>
          <w:color w:val="262626"/>
          <w:highlight w:val="yellow"/>
        </w:rPr>
        <w:t>es</w:t>
      </w:r>
      <w:proofErr w:type="spellEnd"/>
      <w:r w:rsidRPr="008519A1">
        <w:rPr>
          <w:rFonts w:asciiTheme="majorHAnsi" w:hAnsiTheme="majorHAnsi" w:cs="SourceSansPro-Regular"/>
          <w:color w:val="262626"/>
          <w:highlight w:val="yellow"/>
        </w:rPr>
        <w:t>) of the authors must be included. The name and address of the corresponding author should be separately and clearly indicated along with email and telephone details.</w:t>
      </w:r>
    </w:p>
    <w:p w14:paraId="3F18A643" w14:textId="77777777" w:rsidR="00505D3B" w:rsidRPr="008519A1" w:rsidRDefault="00505D3B" w:rsidP="00C22D3B">
      <w:pPr>
        <w:spacing w:line="480" w:lineRule="auto"/>
        <w:rPr>
          <w:rFonts w:asciiTheme="majorHAnsi" w:hAnsiTheme="majorHAnsi"/>
        </w:rPr>
      </w:pPr>
    </w:p>
    <w:p w14:paraId="2FAF2657" w14:textId="77777777" w:rsidR="00505D3B" w:rsidRPr="008519A1" w:rsidRDefault="00505D3B" w:rsidP="00C22D3B">
      <w:pPr>
        <w:spacing w:line="480" w:lineRule="auto"/>
        <w:rPr>
          <w:rFonts w:asciiTheme="majorHAnsi" w:hAnsiTheme="majorHAnsi"/>
        </w:rPr>
      </w:pPr>
      <w:r w:rsidRPr="008519A1">
        <w:rPr>
          <w:rFonts w:asciiTheme="majorHAnsi" w:hAnsiTheme="majorHAnsi"/>
        </w:rPr>
        <w:t>Authors</w:t>
      </w:r>
    </w:p>
    <w:p w14:paraId="6D5EB4D0" w14:textId="77777777" w:rsidR="00505D3B" w:rsidRPr="008519A1" w:rsidRDefault="00505D3B" w:rsidP="00C22D3B">
      <w:pPr>
        <w:spacing w:line="480" w:lineRule="auto"/>
        <w:rPr>
          <w:rFonts w:asciiTheme="majorHAnsi" w:hAnsiTheme="majorHAnsi"/>
        </w:rPr>
      </w:pPr>
    </w:p>
    <w:p w14:paraId="654B8E44" w14:textId="77777777" w:rsidR="004E661D" w:rsidRPr="008519A1" w:rsidRDefault="004E661D" w:rsidP="00C22D3B">
      <w:pPr>
        <w:spacing w:line="480" w:lineRule="auto"/>
        <w:rPr>
          <w:rFonts w:asciiTheme="majorHAnsi" w:hAnsiTheme="majorHAnsi"/>
        </w:rPr>
      </w:pPr>
      <w:r w:rsidRPr="008519A1">
        <w:rPr>
          <w:rFonts w:asciiTheme="majorHAnsi" w:hAnsiTheme="majorHAnsi"/>
        </w:rPr>
        <w:br w:type="page"/>
      </w:r>
    </w:p>
    <w:p w14:paraId="1E9DA68A" w14:textId="77777777" w:rsidR="00505D3B" w:rsidRPr="008519A1" w:rsidRDefault="004E661D" w:rsidP="00C22D3B">
      <w:pPr>
        <w:spacing w:line="480" w:lineRule="auto"/>
        <w:rPr>
          <w:rFonts w:asciiTheme="majorHAnsi" w:hAnsiTheme="majorHAnsi"/>
        </w:rPr>
      </w:pPr>
      <w:r w:rsidRPr="008519A1">
        <w:rPr>
          <w:rFonts w:asciiTheme="majorHAnsi" w:hAnsiTheme="majorHAnsi"/>
        </w:rPr>
        <w:lastRenderedPageBreak/>
        <w:t>Summary</w:t>
      </w:r>
      <w:r w:rsidR="00505D3B" w:rsidRPr="008519A1">
        <w:rPr>
          <w:rFonts w:asciiTheme="majorHAnsi" w:hAnsiTheme="majorHAnsi"/>
        </w:rPr>
        <w:t xml:space="preserve"> (300 words)</w:t>
      </w:r>
    </w:p>
    <w:p w14:paraId="210ABBD3" w14:textId="77777777" w:rsidR="00505D3B" w:rsidRPr="008519A1" w:rsidRDefault="00505D3B" w:rsidP="00C22D3B">
      <w:pPr>
        <w:spacing w:line="480" w:lineRule="auto"/>
        <w:rPr>
          <w:rFonts w:asciiTheme="majorHAnsi" w:hAnsiTheme="majorHAnsi"/>
        </w:rPr>
      </w:pPr>
    </w:p>
    <w:p w14:paraId="33D45044" w14:textId="77777777" w:rsidR="00505D3B" w:rsidRPr="008519A1" w:rsidRDefault="00505D3B" w:rsidP="00C22D3B">
      <w:pPr>
        <w:spacing w:line="480" w:lineRule="auto"/>
        <w:rPr>
          <w:rFonts w:asciiTheme="majorHAnsi" w:hAnsiTheme="majorHAnsi"/>
        </w:rPr>
      </w:pPr>
      <w:r w:rsidRPr="008519A1">
        <w:rPr>
          <w:rFonts w:asciiTheme="majorHAnsi" w:hAnsiTheme="majorHAnsi"/>
        </w:rPr>
        <w:t>Background</w:t>
      </w:r>
    </w:p>
    <w:p w14:paraId="73180689" w14:textId="77777777" w:rsidR="00505D3B" w:rsidRPr="008519A1" w:rsidRDefault="00505D3B" w:rsidP="00C22D3B">
      <w:pPr>
        <w:spacing w:line="480" w:lineRule="auto"/>
        <w:rPr>
          <w:rFonts w:asciiTheme="majorHAnsi" w:hAnsiTheme="majorHAnsi"/>
        </w:rPr>
      </w:pPr>
    </w:p>
    <w:p w14:paraId="7BBF9AB2" w14:textId="77777777" w:rsidR="00505D3B" w:rsidRPr="008519A1" w:rsidRDefault="00505D3B" w:rsidP="00C22D3B">
      <w:pPr>
        <w:spacing w:line="480" w:lineRule="auto"/>
        <w:rPr>
          <w:rFonts w:asciiTheme="majorHAnsi" w:hAnsiTheme="majorHAnsi"/>
        </w:rPr>
      </w:pPr>
      <w:r w:rsidRPr="008519A1">
        <w:rPr>
          <w:rFonts w:asciiTheme="majorHAnsi" w:hAnsiTheme="majorHAnsi"/>
        </w:rPr>
        <w:t>Methods</w:t>
      </w:r>
    </w:p>
    <w:p w14:paraId="009E9248"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Study design</w:t>
      </w:r>
    </w:p>
    <w:p w14:paraId="5E5E921F"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Setting</w:t>
      </w:r>
    </w:p>
    <w:p w14:paraId="6D18916B"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Participant groups</w:t>
      </w:r>
    </w:p>
    <w:p w14:paraId="628F9939"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Intervention</w:t>
      </w:r>
    </w:p>
    <w:p w14:paraId="39F61A84"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Main Outcome</w:t>
      </w:r>
    </w:p>
    <w:p w14:paraId="316408A1"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Patient groups for analysis –(ITT)</w:t>
      </w:r>
    </w:p>
    <w:p w14:paraId="65ABD7AF" w14:textId="77777777" w:rsidR="001E2578" w:rsidRPr="008519A1" w:rsidRDefault="001E2578" w:rsidP="00C22D3B">
      <w:pPr>
        <w:pStyle w:val="ListParagraph"/>
        <w:numPr>
          <w:ilvl w:val="0"/>
          <w:numId w:val="1"/>
        </w:numPr>
        <w:spacing w:line="480" w:lineRule="auto"/>
        <w:rPr>
          <w:rFonts w:asciiTheme="majorHAnsi" w:hAnsiTheme="majorHAnsi"/>
        </w:rPr>
      </w:pPr>
      <w:r w:rsidRPr="008519A1">
        <w:rPr>
          <w:rFonts w:asciiTheme="majorHAnsi" w:hAnsiTheme="majorHAnsi"/>
        </w:rPr>
        <w:t>Registration number</w:t>
      </w:r>
    </w:p>
    <w:p w14:paraId="0C7E548E" w14:textId="77777777" w:rsidR="001E2578" w:rsidRPr="008519A1" w:rsidRDefault="001E2578" w:rsidP="00C22D3B">
      <w:pPr>
        <w:spacing w:line="480" w:lineRule="auto"/>
        <w:rPr>
          <w:rFonts w:asciiTheme="majorHAnsi" w:hAnsiTheme="majorHAnsi"/>
        </w:rPr>
      </w:pPr>
    </w:p>
    <w:p w14:paraId="657E885A" w14:textId="77777777" w:rsidR="00505D3B" w:rsidRPr="008519A1" w:rsidRDefault="00505D3B" w:rsidP="00C22D3B">
      <w:pPr>
        <w:spacing w:line="480" w:lineRule="auto"/>
        <w:rPr>
          <w:rFonts w:asciiTheme="majorHAnsi" w:hAnsiTheme="majorHAnsi"/>
        </w:rPr>
      </w:pPr>
      <w:r w:rsidRPr="008519A1">
        <w:rPr>
          <w:rFonts w:asciiTheme="majorHAnsi" w:hAnsiTheme="majorHAnsi"/>
        </w:rPr>
        <w:t>Findings</w:t>
      </w:r>
    </w:p>
    <w:p w14:paraId="4241CA73" w14:textId="77777777" w:rsidR="001E2578" w:rsidRPr="008519A1" w:rsidRDefault="001E2578" w:rsidP="00C22D3B">
      <w:pPr>
        <w:spacing w:line="480" w:lineRule="auto"/>
        <w:rPr>
          <w:rFonts w:asciiTheme="majorHAnsi" w:hAnsiTheme="majorHAnsi"/>
        </w:rPr>
      </w:pPr>
      <w:proofErr w:type="gramStart"/>
      <w:r w:rsidRPr="008519A1">
        <w:rPr>
          <w:rFonts w:asciiTheme="majorHAnsi" w:hAnsiTheme="majorHAnsi"/>
        </w:rPr>
        <w:t>Dates pats recruited, n by group, dropout.</w:t>
      </w:r>
      <w:proofErr w:type="gramEnd"/>
    </w:p>
    <w:p w14:paraId="71006AE0" w14:textId="77777777" w:rsidR="001E2578" w:rsidRPr="008519A1" w:rsidRDefault="001E2578" w:rsidP="00C22D3B">
      <w:pPr>
        <w:spacing w:line="480" w:lineRule="auto"/>
        <w:rPr>
          <w:rFonts w:asciiTheme="majorHAnsi" w:hAnsiTheme="majorHAnsi"/>
        </w:rPr>
      </w:pPr>
      <w:r w:rsidRPr="008519A1">
        <w:rPr>
          <w:rFonts w:asciiTheme="majorHAnsi" w:hAnsiTheme="majorHAnsi"/>
        </w:rPr>
        <w:t>PO (pats, deaths, (by group)</w:t>
      </w:r>
      <w:proofErr w:type="gramStart"/>
      <w:r w:rsidRPr="008519A1">
        <w:rPr>
          <w:rFonts w:asciiTheme="majorHAnsi" w:hAnsiTheme="majorHAnsi"/>
        </w:rPr>
        <w:t>,  HR</w:t>
      </w:r>
      <w:proofErr w:type="gramEnd"/>
      <w:r w:rsidRPr="008519A1">
        <w:rPr>
          <w:rFonts w:asciiTheme="majorHAnsi" w:hAnsiTheme="majorHAnsi"/>
        </w:rPr>
        <w:t xml:space="preserve"> (95%) P</w:t>
      </w:r>
      <w:r w:rsidR="004E661D" w:rsidRPr="008519A1">
        <w:rPr>
          <w:rFonts w:asciiTheme="majorHAnsi" w:hAnsiTheme="majorHAnsi"/>
        </w:rPr>
        <w:t>)</w:t>
      </w:r>
    </w:p>
    <w:p w14:paraId="3811100E" w14:textId="77777777" w:rsidR="004E661D" w:rsidRPr="008519A1" w:rsidRDefault="004E661D" w:rsidP="00C22D3B">
      <w:pPr>
        <w:spacing w:line="480" w:lineRule="auto"/>
        <w:rPr>
          <w:rFonts w:asciiTheme="majorHAnsi" w:hAnsiTheme="majorHAnsi"/>
        </w:rPr>
      </w:pPr>
      <w:r w:rsidRPr="008519A1">
        <w:rPr>
          <w:rFonts w:asciiTheme="majorHAnsi" w:hAnsiTheme="majorHAnsi"/>
        </w:rPr>
        <w:t>Adverse Events</w:t>
      </w:r>
    </w:p>
    <w:p w14:paraId="01A1CC85" w14:textId="77777777" w:rsidR="004E661D" w:rsidRPr="008519A1" w:rsidRDefault="004E661D" w:rsidP="00C22D3B">
      <w:pPr>
        <w:spacing w:line="480" w:lineRule="auto"/>
        <w:rPr>
          <w:rFonts w:asciiTheme="majorHAnsi" w:hAnsiTheme="majorHAnsi"/>
        </w:rPr>
      </w:pPr>
    </w:p>
    <w:p w14:paraId="372FBF37" w14:textId="77777777" w:rsidR="004E661D" w:rsidRPr="008519A1" w:rsidRDefault="004E661D" w:rsidP="00C22D3B">
      <w:pPr>
        <w:spacing w:line="480" w:lineRule="auto"/>
        <w:rPr>
          <w:rFonts w:asciiTheme="majorHAnsi" w:hAnsiTheme="majorHAnsi"/>
        </w:rPr>
      </w:pPr>
      <w:r w:rsidRPr="008519A1">
        <w:rPr>
          <w:rFonts w:asciiTheme="majorHAnsi" w:hAnsiTheme="majorHAnsi"/>
        </w:rPr>
        <w:t>Interpretations</w:t>
      </w:r>
    </w:p>
    <w:p w14:paraId="3DC783F6" w14:textId="77777777" w:rsidR="004E661D" w:rsidRPr="008519A1" w:rsidRDefault="004E661D" w:rsidP="00C22D3B">
      <w:pPr>
        <w:spacing w:line="480" w:lineRule="auto"/>
        <w:rPr>
          <w:rFonts w:asciiTheme="majorHAnsi" w:hAnsiTheme="majorHAnsi"/>
        </w:rPr>
      </w:pPr>
      <w:r w:rsidRPr="008519A1">
        <w:rPr>
          <w:rFonts w:asciiTheme="majorHAnsi" w:hAnsiTheme="majorHAnsi"/>
        </w:rPr>
        <w:tab/>
        <w:t>General interpretation of results</w:t>
      </w:r>
    </w:p>
    <w:p w14:paraId="2A1E57A6" w14:textId="77777777" w:rsidR="004E661D" w:rsidRPr="008519A1" w:rsidRDefault="004E661D" w:rsidP="00C22D3B">
      <w:pPr>
        <w:spacing w:line="480" w:lineRule="auto"/>
        <w:rPr>
          <w:rFonts w:asciiTheme="majorHAnsi" w:hAnsiTheme="majorHAnsi"/>
        </w:rPr>
      </w:pPr>
    </w:p>
    <w:p w14:paraId="691548A1" w14:textId="77777777" w:rsidR="004E661D" w:rsidRPr="008519A1" w:rsidRDefault="004E661D" w:rsidP="00C22D3B">
      <w:pPr>
        <w:spacing w:line="480" w:lineRule="auto"/>
        <w:rPr>
          <w:rFonts w:asciiTheme="majorHAnsi" w:hAnsiTheme="majorHAnsi"/>
        </w:rPr>
      </w:pPr>
      <w:r w:rsidRPr="008519A1">
        <w:rPr>
          <w:rFonts w:asciiTheme="majorHAnsi" w:hAnsiTheme="majorHAnsi"/>
        </w:rPr>
        <w:t>Funding</w:t>
      </w:r>
    </w:p>
    <w:p w14:paraId="709033B5" w14:textId="77777777" w:rsidR="004E661D" w:rsidRPr="008519A1" w:rsidRDefault="004E661D" w:rsidP="00C22D3B">
      <w:pPr>
        <w:spacing w:line="480" w:lineRule="auto"/>
        <w:rPr>
          <w:rFonts w:asciiTheme="majorHAnsi" w:hAnsiTheme="majorHAnsi"/>
        </w:rPr>
      </w:pPr>
    </w:p>
    <w:p w14:paraId="671CA42F" w14:textId="77777777" w:rsidR="004E661D" w:rsidRPr="008519A1" w:rsidRDefault="004E661D" w:rsidP="00C22D3B">
      <w:pPr>
        <w:spacing w:line="480" w:lineRule="auto"/>
        <w:rPr>
          <w:rFonts w:asciiTheme="majorHAnsi" w:hAnsiTheme="majorHAnsi"/>
        </w:rPr>
      </w:pPr>
      <w:r w:rsidRPr="008519A1">
        <w:rPr>
          <w:rFonts w:asciiTheme="majorHAnsi" w:hAnsiTheme="majorHAnsi"/>
        </w:rPr>
        <w:br w:type="page"/>
      </w:r>
    </w:p>
    <w:p w14:paraId="5C39F606" w14:textId="47A29807" w:rsidR="00505D3B" w:rsidRPr="008519A1" w:rsidRDefault="00505D3B" w:rsidP="000B64E4">
      <w:pPr>
        <w:pStyle w:val="Heading1"/>
        <w:spacing w:line="480" w:lineRule="auto"/>
      </w:pPr>
      <w:r w:rsidRPr="008519A1">
        <w:lastRenderedPageBreak/>
        <w:t>Manuscript (4500 words max)</w:t>
      </w:r>
    </w:p>
    <w:p w14:paraId="36A022AA" w14:textId="77777777" w:rsidR="004E661D" w:rsidRPr="008519A1" w:rsidRDefault="004E661D" w:rsidP="00C22D3B">
      <w:pPr>
        <w:pStyle w:val="Heading2"/>
        <w:spacing w:line="480" w:lineRule="auto"/>
      </w:pPr>
      <w:r w:rsidRPr="008519A1">
        <w:t>Introduction</w:t>
      </w:r>
    </w:p>
    <w:p w14:paraId="385EAF79" w14:textId="77777777" w:rsidR="004E661D" w:rsidRPr="008519A1" w:rsidRDefault="004E661D" w:rsidP="00C22D3B">
      <w:pPr>
        <w:spacing w:line="480" w:lineRule="auto"/>
        <w:rPr>
          <w:rFonts w:asciiTheme="majorHAnsi" w:hAnsiTheme="majorHAnsi"/>
        </w:rPr>
      </w:pPr>
    </w:p>
    <w:p w14:paraId="237E7506" w14:textId="77777777" w:rsidR="005403CC" w:rsidRPr="008519A1" w:rsidRDefault="005403CC" w:rsidP="00C22D3B">
      <w:pPr>
        <w:pStyle w:val="Heading2"/>
        <w:spacing w:line="480" w:lineRule="auto"/>
      </w:pPr>
      <w:r w:rsidRPr="008519A1">
        <w:t xml:space="preserve">Methods </w:t>
      </w:r>
    </w:p>
    <w:p w14:paraId="38AAED63" w14:textId="19DC506E" w:rsidR="0030212D" w:rsidRPr="008519A1" w:rsidRDefault="00AD09F3" w:rsidP="00C22D3B">
      <w:pPr>
        <w:spacing w:line="480" w:lineRule="auto"/>
        <w:rPr>
          <w:rFonts w:asciiTheme="majorHAnsi" w:hAnsiTheme="majorHAnsi" w:cs="SourceSansPro-Regular"/>
          <w:color w:val="262626"/>
        </w:rPr>
      </w:pPr>
      <w:r w:rsidRPr="008519A1">
        <w:rPr>
          <w:rFonts w:asciiTheme="majorHAnsi" w:hAnsiTheme="majorHAnsi" w:cs="SourceSansPro-Regular"/>
          <w:b/>
          <w:color w:val="262626"/>
        </w:rPr>
        <w:t>Study Design:</w:t>
      </w:r>
      <w:r w:rsidRPr="008519A1">
        <w:rPr>
          <w:rFonts w:asciiTheme="majorHAnsi" w:hAnsiTheme="majorHAnsi" w:cs="SourceSansPro-Regular"/>
          <w:color w:val="262626"/>
        </w:rPr>
        <w:t xml:space="preserve"> </w:t>
      </w:r>
      <w:r w:rsidR="00C22D3B" w:rsidRPr="008519A1">
        <w:rPr>
          <w:rFonts w:asciiTheme="majorHAnsi" w:hAnsiTheme="majorHAnsi" w:cs="SourceSansPro-Regular"/>
          <w:color w:val="262626"/>
        </w:rPr>
        <w:t xml:space="preserve">The </w:t>
      </w:r>
      <w:proofErr w:type="spellStart"/>
      <w:proofErr w:type="gramStart"/>
      <w:r w:rsidR="00C22D3B" w:rsidRPr="008519A1">
        <w:rPr>
          <w:rFonts w:asciiTheme="majorHAnsi" w:hAnsiTheme="majorHAnsi" w:cs="SourceSansPro-Regular"/>
          <w:color w:val="262626"/>
        </w:rPr>
        <w:t>ViP</w:t>
      </w:r>
      <w:proofErr w:type="spellEnd"/>
      <w:r w:rsidR="00C22D3B" w:rsidRPr="008519A1">
        <w:rPr>
          <w:rFonts w:asciiTheme="majorHAnsi" w:hAnsiTheme="majorHAnsi" w:cs="SourceSansPro-Regular"/>
          <w:color w:val="262626"/>
        </w:rPr>
        <w:t xml:space="preserve"> </w:t>
      </w:r>
      <w:r w:rsidR="0030212D" w:rsidRPr="008519A1">
        <w:rPr>
          <w:rFonts w:asciiTheme="majorHAnsi" w:hAnsiTheme="majorHAnsi" w:cs="SourceSansPro-Regular"/>
          <w:color w:val="262626"/>
        </w:rPr>
        <w:t xml:space="preserve"> trial</w:t>
      </w:r>
      <w:proofErr w:type="gramEnd"/>
      <w:r w:rsidR="0030212D" w:rsidRPr="008519A1">
        <w:rPr>
          <w:rFonts w:asciiTheme="majorHAnsi" w:hAnsiTheme="majorHAnsi" w:cs="SourceSansPro-Regular"/>
          <w:color w:val="262626"/>
        </w:rPr>
        <w:t xml:space="preserve"> was a</w:t>
      </w:r>
      <w:r w:rsidR="0030212D" w:rsidRPr="002634C3">
        <w:rPr>
          <w:rFonts w:asciiTheme="majorHAnsi" w:hAnsiTheme="majorHAnsi" w:cs="SourceSansPro-Regular"/>
          <w:strike/>
          <w:color w:val="262626"/>
          <w:highlight w:val="green"/>
        </w:rPr>
        <w:t>n</w:t>
      </w:r>
      <w:r w:rsidR="0030212D" w:rsidRPr="008519A1">
        <w:rPr>
          <w:rFonts w:asciiTheme="majorHAnsi" w:hAnsiTheme="majorHAnsi" w:cs="SourceSansPro-Regular"/>
          <w:color w:val="262626"/>
        </w:rPr>
        <w:t xml:space="preserve"> phase II placebo controlled blinded randomised controlled trial</w:t>
      </w:r>
      <w:r w:rsidR="004C33CE" w:rsidRPr="008519A1">
        <w:rPr>
          <w:rFonts w:asciiTheme="majorHAnsi" w:hAnsiTheme="majorHAnsi" w:cs="SourceSansPro-Regular"/>
          <w:color w:val="262626"/>
        </w:rPr>
        <w:t xml:space="preserve"> to compare </w:t>
      </w:r>
      <w:r w:rsidR="004C33CE" w:rsidRPr="002634C3">
        <w:rPr>
          <w:rFonts w:asciiTheme="majorHAnsi" w:hAnsiTheme="majorHAnsi" w:cs="SourceSansPro-Regular"/>
          <w:strike/>
          <w:color w:val="262626"/>
          <w:highlight w:val="green"/>
        </w:rPr>
        <w:t>the</w:t>
      </w:r>
      <w:r w:rsidR="004C33CE" w:rsidRPr="008519A1">
        <w:rPr>
          <w:rFonts w:asciiTheme="majorHAnsi" w:hAnsiTheme="majorHAnsi" w:cs="SourceSansPro-Regular"/>
          <w:color w:val="262626"/>
        </w:rPr>
        <w:t xml:space="preserve"> Gemcitabine plus Vandetanib against Gemcitabine alone in patient with advanced or metastatic</w:t>
      </w:r>
      <w:r w:rsidR="002634C3">
        <w:rPr>
          <w:rFonts w:asciiTheme="majorHAnsi" w:hAnsiTheme="majorHAnsi" w:cs="SourceSansPro-Regular"/>
          <w:color w:val="262626"/>
        </w:rPr>
        <w:t xml:space="preserve"> </w:t>
      </w:r>
      <w:r w:rsidR="002634C3" w:rsidRPr="002634C3">
        <w:rPr>
          <w:rFonts w:asciiTheme="majorHAnsi" w:hAnsiTheme="majorHAnsi" w:cs="SourceSansPro-Regular"/>
          <w:color w:val="262626"/>
          <w:highlight w:val="green"/>
        </w:rPr>
        <w:t>pancreatic ductal adenocarcinoma</w:t>
      </w:r>
      <w:r w:rsidR="004C33CE" w:rsidRPr="008519A1">
        <w:rPr>
          <w:rFonts w:asciiTheme="majorHAnsi" w:hAnsiTheme="majorHAnsi" w:cs="SourceSansPro-Regular"/>
          <w:color w:val="262626"/>
        </w:rPr>
        <w:t xml:space="preserve">. </w:t>
      </w:r>
      <w:r w:rsidR="0030212D" w:rsidRPr="008519A1">
        <w:rPr>
          <w:rFonts w:asciiTheme="majorHAnsi" w:hAnsiTheme="majorHAnsi" w:cs="SourceSansPro-Regular"/>
          <w:color w:val="262626"/>
        </w:rPr>
        <w:t xml:space="preserve">Patients were </w:t>
      </w:r>
      <w:r w:rsidR="004C33CE" w:rsidRPr="008519A1">
        <w:rPr>
          <w:rFonts w:asciiTheme="majorHAnsi" w:hAnsiTheme="majorHAnsi" w:cs="SourceSansPro-Regular"/>
          <w:color w:val="262626"/>
        </w:rPr>
        <w:t>recruited</w:t>
      </w:r>
      <w:r w:rsidR="0030212D" w:rsidRPr="008519A1">
        <w:rPr>
          <w:rFonts w:asciiTheme="majorHAnsi" w:hAnsiTheme="majorHAnsi" w:cs="SourceSansPro-Regular"/>
          <w:color w:val="262626"/>
        </w:rPr>
        <w:t xml:space="preserve"> from 18 </w:t>
      </w:r>
      <w:r w:rsidR="004C33CE" w:rsidRPr="008519A1">
        <w:rPr>
          <w:rFonts w:asciiTheme="majorHAnsi" w:hAnsiTheme="majorHAnsi" w:cs="SourceSansPro-Regular"/>
          <w:color w:val="262626"/>
        </w:rPr>
        <w:t xml:space="preserve">UK </w:t>
      </w:r>
      <w:r w:rsidR="0030212D" w:rsidRPr="008519A1">
        <w:rPr>
          <w:rFonts w:asciiTheme="majorHAnsi" w:hAnsiTheme="majorHAnsi" w:cs="SourceSansPro-Regular"/>
          <w:color w:val="262626"/>
        </w:rPr>
        <w:t xml:space="preserve">hospitals </w:t>
      </w:r>
      <w:r w:rsidR="004C33CE" w:rsidRPr="008519A1">
        <w:rPr>
          <w:rFonts w:asciiTheme="majorHAnsi" w:hAnsiTheme="majorHAnsi" w:cs="SourceSansPro-Regular"/>
          <w:color w:val="262626"/>
        </w:rPr>
        <w:t>which were centrally coordinated by the Cancer Research United Kingdom Liverpool Cancer Trials Unit (LCTU).</w:t>
      </w:r>
      <w:r w:rsidR="003A1534" w:rsidRPr="008519A1">
        <w:rPr>
          <w:rFonts w:asciiTheme="majorHAnsi" w:hAnsiTheme="majorHAnsi" w:cs="SourceSansPro-Regular"/>
          <w:color w:val="262626"/>
        </w:rPr>
        <w:t xml:space="preserve"> </w:t>
      </w:r>
      <w:r w:rsidR="002075B3" w:rsidRPr="008519A1">
        <w:rPr>
          <w:rFonts w:asciiTheme="majorHAnsi" w:hAnsiTheme="majorHAnsi" w:cs="SourceSansPro-Regular"/>
          <w:color w:val="262626"/>
        </w:rPr>
        <w:t xml:space="preserve">The trial was reviewed </w:t>
      </w:r>
      <w:r w:rsidR="002075B3" w:rsidRPr="002634C3">
        <w:rPr>
          <w:rFonts w:asciiTheme="majorHAnsi" w:hAnsiTheme="majorHAnsi" w:cs="SourceSansPro-Regular"/>
          <w:strike/>
          <w:color w:val="262626"/>
          <w:highlight w:val="green"/>
        </w:rPr>
        <w:t>for ethics</w:t>
      </w:r>
      <w:r w:rsidR="002075B3" w:rsidRPr="008519A1">
        <w:rPr>
          <w:rFonts w:asciiTheme="majorHAnsi" w:hAnsiTheme="majorHAnsi" w:cs="SourceSansPro-Regular"/>
          <w:color w:val="262626"/>
        </w:rPr>
        <w:t xml:space="preserve"> by the West London REC 2 Research Ethics Committee (MREC REF: 11/LO/0097).</w:t>
      </w:r>
    </w:p>
    <w:p w14:paraId="0DD54B46" w14:textId="34063F23" w:rsidR="00AD09F3" w:rsidRPr="008519A1" w:rsidRDefault="00AD09F3" w:rsidP="00C22D3B">
      <w:pPr>
        <w:spacing w:line="480" w:lineRule="auto"/>
        <w:rPr>
          <w:rFonts w:asciiTheme="majorHAnsi" w:hAnsiTheme="majorHAnsi" w:cs="SourceSansPro-Regular"/>
          <w:color w:val="262626"/>
        </w:rPr>
      </w:pPr>
      <w:r w:rsidRPr="008519A1">
        <w:rPr>
          <w:rFonts w:asciiTheme="majorHAnsi" w:hAnsiTheme="majorHAnsi" w:cs="SourceSansPro-Regular"/>
          <w:b/>
          <w:color w:val="262626"/>
        </w:rPr>
        <w:t>Participants:</w:t>
      </w:r>
      <w:r w:rsidRPr="008519A1">
        <w:rPr>
          <w:rFonts w:asciiTheme="majorHAnsi" w:hAnsiTheme="majorHAnsi" w:cs="SourceSansPro-Regular"/>
          <w:color w:val="262626"/>
        </w:rPr>
        <w:t xml:space="preserve"> </w:t>
      </w:r>
      <w:r w:rsidR="003A1534" w:rsidRPr="008519A1">
        <w:rPr>
          <w:rFonts w:asciiTheme="majorHAnsi" w:hAnsiTheme="majorHAnsi" w:cs="SourceSansPro-Regular"/>
          <w:color w:val="262626"/>
        </w:rPr>
        <w:t>Patients were eligible if th</w:t>
      </w:r>
      <w:r w:rsidR="00327649" w:rsidRPr="008519A1">
        <w:rPr>
          <w:rFonts w:asciiTheme="majorHAnsi" w:hAnsiTheme="majorHAnsi" w:cs="SourceSansPro-Regular"/>
          <w:color w:val="262626"/>
        </w:rPr>
        <w:t>ey were diagnosed</w:t>
      </w:r>
      <w:r w:rsidR="003A1534" w:rsidRPr="008519A1">
        <w:rPr>
          <w:rFonts w:asciiTheme="majorHAnsi" w:hAnsiTheme="majorHAnsi" w:cs="SourceSansPro-Regular"/>
          <w:color w:val="262626"/>
        </w:rPr>
        <w:t xml:space="preserve"> with locally advanced of metastatic carcinoma of the </w:t>
      </w:r>
      <w:r w:rsidR="00327649" w:rsidRPr="008519A1">
        <w:rPr>
          <w:rFonts w:asciiTheme="majorHAnsi" w:hAnsiTheme="majorHAnsi" w:cs="SourceSansPro-Regular"/>
          <w:color w:val="262626"/>
        </w:rPr>
        <w:t>pancreas</w:t>
      </w:r>
      <w:r w:rsidR="003A1534" w:rsidRPr="008519A1">
        <w:rPr>
          <w:rFonts w:asciiTheme="majorHAnsi" w:hAnsiTheme="majorHAnsi" w:cs="SourceSansPro-Regular"/>
          <w:color w:val="262626"/>
        </w:rPr>
        <w:t xml:space="preserve">. Patients had to have </w:t>
      </w:r>
      <w:r w:rsidR="002634C3" w:rsidRPr="002634C3">
        <w:rPr>
          <w:rFonts w:asciiTheme="majorHAnsi" w:hAnsiTheme="majorHAnsi" w:cs="SourceSansPro-Regular"/>
          <w:color w:val="262626"/>
          <w:highlight w:val="green"/>
        </w:rPr>
        <w:t>an</w:t>
      </w:r>
      <w:r w:rsidR="002634C3">
        <w:rPr>
          <w:rFonts w:asciiTheme="majorHAnsi" w:hAnsiTheme="majorHAnsi" w:cs="SourceSansPro-Regular"/>
          <w:color w:val="262626"/>
        </w:rPr>
        <w:t xml:space="preserve"> </w:t>
      </w:r>
      <w:r w:rsidR="003A1534" w:rsidRPr="008519A1">
        <w:rPr>
          <w:rFonts w:asciiTheme="majorHAnsi" w:hAnsiTheme="majorHAnsi" w:cs="SourceSansPro-Regular"/>
          <w:color w:val="262626"/>
        </w:rPr>
        <w:t>Eastern Cooperative Oncology Group (ECOG) score of zero, one or two and a documented life ex</w:t>
      </w:r>
      <w:r w:rsidR="00327649" w:rsidRPr="008519A1">
        <w:rPr>
          <w:rFonts w:asciiTheme="majorHAnsi" w:hAnsiTheme="majorHAnsi" w:cs="SourceSansPro-Regular"/>
          <w:color w:val="262626"/>
        </w:rPr>
        <w:t xml:space="preserve">pectancy greater than 3 months. </w:t>
      </w:r>
      <w:r w:rsidR="003A1534" w:rsidRPr="008519A1">
        <w:rPr>
          <w:rFonts w:asciiTheme="majorHAnsi" w:hAnsiTheme="majorHAnsi" w:cs="SourceSansPro-Regular"/>
          <w:color w:val="262626"/>
        </w:rPr>
        <w:t>Patients undergoing curative of definitive locally dir</w:t>
      </w:r>
      <w:r w:rsidR="00327649" w:rsidRPr="008519A1">
        <w:rPr>
          <w:rFonts w:asciiTheme="majorHAnsi" w:hAnsiTheme="majorHAnsi" w:cs="SourceSansPro-Regular"/>
          <w:color w:val="262626"/>
        </w:rPr>
        <w:t>ected therapies were excluded as were any patients who had undergone major surgery or radiotherapy within 4 weeks previous to randomisation.  Patients were further excluded if they had received previous chemotherapy for locally advanced or metastatic disease.  All patients entering the study gave their written informed consent following a full explanation of the study and after reading the patient information sheet.</w:t>
      </w:r>
    </w:p>
    <w:p w14:paraId="588CF2E8" w14:textId="60B22354" w:rsidR="00AD09F3" w:rsidRPr="008519A1" w:rsidRDefault="008519A1" w:rsidP="00C22D3B">
      <w:pPr>
        <w:spacing w:line="480" w:lineRule="auto"/>
        <w:rPr>
          <w:rFonts w:asciiTheme="majorHAnsi" w:hAnsiTheme="majorHAnsi" w:cs="SourceSansPro-Regular"/>
          <w:color w:val="262626"/>
        </w:rPr>
      </w:pPr>
      <w:proofErr w:type="spellStart"/>
      <w:r w:rsidRPr="008519A1">
        <w:rPr>
          <w:rFonts w:asciiTheme="majorHAnsi" w:hAnsiTheme="majorHAnsi" w:cs="SourceSansPro-Regular"/>
          <w:b/>
          <w:color w:val="262626"/>
        </w:rPr>
        <w:t>Randomisation</w:t>
      </w:r>
      <w:proofErr w:type="spellEnd"/>
      <w:r w:rsidRPr="008519A1">
        <w:rPr>
          <w:rFonts w:asciiTheme="majorHAnsi" w:hAnsiTheme="majorHAnsi" w:cs="SourceSansPro-Regular"/>
          <w:b/>
          <w:color w:val="262626"/>
        </w:rPr>
        <w:t xml:space="preserve"> and masking</w:t>
      </w:r>
      <w:r w:rsidR="002634C3" w:rsidRPr="002634C3">
        <w:rPr>
          <w:rFonts w:asciiTheme="majorHAnsi" w:hAnsiTheme="majorHAnsi" w:cs="SourceSansPro-Regular"/>
          <w:b/>
          <w:color w:val="262626"/>
          <w:highlight w:val="green"/>
        </w:rPr>
        <w:t>:</w:t>
      </w:r>
      <w:r w:rsidR="00AD09F3" w:rsidRPr="008519A1">
        <w:rPr>
          <w:rFonts w:asciiTheme="majorHAnsi" w:hAnsiTheme="majorHAnsi" w:cs="SourceSansPro-Regular"/>
          <w:b/>
          <w:color w:val="262626"/>
        </w:rPr>
        <w:t xml:space="preserve">  </w:t>
      </w:r>
      <w:r w:rsidR="00960B81" w:rsidRPr="008519A1">
        <w:rPr>
          <w:rFonts w:asciiTheme="majorHAnsi" w:hAnsiTheme="majorHAnsi" w:cs="Arial"/>
          <w:szCs w:val="22"/>
          <w:lang w:eastAsia="en-GB"/>
        </w:rPr>
        <w:t xml:space="preserve">Fisher Clinical Services were contracted to manage the drug, randomisation, dispensing, discontinuation and unblinding of all patients.  </w:t>
      </w:r>
      <w:r w:rsidR="00AD09F3" w:rsidRPr="008519A1">
        <w:rPr>
          <w:rFonts w:asciiTheme="majorHAnsi" w:hAnsiTheme="majorHAnsi" w:cs="SourceSansPro-Regular"/>
          <w:color w:val="262626"/>
        </w:rPr>
        <w:lastRenderedPageBreak/>
        <w:t xml:space="preserve">Patients </w:t>
      </w:r>
      <w:r w:rsidR="002634C3" w:rsidRPr="002634C3">
        <w:rPr>
          <w:rFonts w:asciiTheme="majorHAnsi" w:hAnsiTheme="majorHAnsi" w:cs="SourceSansPro-Regular"/>
          <w:color w:val="262626"/>
          <w:highlight w:val="green"/>
        </w:rPr>
        <w:t>were</w:t>
      </w:r>
      <w:r w:rsidR="00AD09F3" w:rsidRPr="008519A1">
        <w:rPr>
          <w:rFonts w:asciiTheme="majorHAnsi" w:hAnsiTheme="majorHAnsi" w:cs="SourceSansPro-Regular"/>
          <w:color w:val="262626"/>
        </w:rPr>
        <w:t xml:space="preserve"> </w:t>
      </w:r>
      <w:proofErr w:type="spellStart"/>
      <w:r w:rsidR="00AD09F3" w:rsidRPr="008519A1">
        <w:rPr>
          <w:rFonts w:asciiTheme="majorHAnsi" w:hAnsiTheme="majorHAnsi" w:cs="SourceSansPro-Regular"/>
          <w:color w:val="262626"/>
        </w:rPr>
        <w:t>randomised</w:t>
      </w:r>
      <w:proofErr w:type="spellEnd"/>
      <w:r w:rsidR="00AD09F3" w:rsidRPr="008519A1">
        <w:rPr>
          <w:rFonts w:asciiTheme="majorHAnsi" w:hAnsiTheme="majorHAnsi" w:cs="SourceSansPro-Regular"/>
          <w:color w:val="262626"/>
        </w:rPr>
        <w:t xml:space="preserve"> to each treatment gro</w:t>
      </w:r>
      <w:r w:rsidR="00960B81" w:rsidRPr="008519A1">
        <w:rPr>
          <w:rFonts w:asciiTheme="majorHAnsi" w:hAnsiTheme="majorHAnsi" w:cs="SourceSansPro-Regular"/>
          <w:color w:val="262626"/>
        </w:rPr>
        <w:t>u</w:t>
      </w:r>
      <w:r w:rsidR="00AD09F3" w:rsidRPr="008519A1">
        <w:rPr>
          <w:rFonts w:asciiTheme="majorHAnsi" w:hAnsiTheme="majorHAnsi" w:cs="SourceSansPro-Regular"/>
          <w:color w:val="262626"/>
        </w:rPr>
        <w:t>p on a 1:1 basis according to computer generated variable size blocked</w:t>
      </w:r>
      <w:r w:rsidR="00960B81" w:rsidRPr="008519A1">
        <w:rPr>
          <w:rFonts w:asciiTheme="majorHAnsi" w:hAnsiTheme="majorHAnsi" w:cs="SourceSansPro-Regular"/>
          <w:color w:val="262626"/>
        </w:rPr>
        <w:t xml:space="preserve"> randomisation.   Patients were stratified at randomisation by their disease stage (locally advanced vs metastatic) and their ECOG performance status (0 vs 1 vs 2).  Prior to randomisation, patient details and eligibility criteria were verified by staff at the </w:t>
      </w:r>
      <w:r w:rsidR="002634C3" w:rsidRPr="002634C3">
        <w:rPr>
          <w:rFonts w:asciiTheme="majorHAnsi" w:hAnsiTheme="majorHAnsi" w:cs="SourceSansPro-Regular"/>
          <w:color w:val="262626"/>
          <w:highlight w:val="green"/>
        </w:rPr>
        <w:t>Liverpool Cancer Trials Unit (</w:t>
      </w:r>
      <w:r w:rsidR="00960B81" w:rsidRPr="002634C3">
        <w:rPr>
          <w:rFonts w:asciiTheme="majorHAnsi" w:hAnsiTheme="majorHAnsi" w:cs="SourceSansPro-Regular"/>
          <w:color w:val="262626"/>
          <w:highlight w:val="green"/>
        </w:rPr>
        <w:t>LCTU</w:t>
      </w:r>
      <w:r w:rsidR="002634C3" w:rsidRPr="002634C3">
        <w:rPr>
          <w:rFonts w:asciiTheme="majorHAnsi" w:hAnsiTheme="majorHAnsi" w:cs="SourceSansPro-Regular"/>
          <w:color w:val="262626"/>
          <w:highlight w:val="green"/>
        </w:rPr>
        <w:t>)</w:t>
      </w:r>
      <w:r w:rsidR="00960B81" w:rsidRPr="008519A1">
        <w:rPr>
          <w:rFonts w:asciiTheme="majorHAnsi" w:hAnsiTheme="majorHAnsi" w:cs="SourceSansPro-Regular"/>
          <w:color w:val="262626"/>
        </w:rPr>
        <w:t xml:space="preserve"> before being forwarded to Fisher to complete the randomisation process.</w:t>
      </w:r>
      <w:r w:rsidR="00A06716" w:rsidRPr="008519A1">
        <w:rPr>
          <w:rFonts w:asciiTheme="majorHAnsi" w:hAnsiTheme="majorHAnsi" w:cs="SourceSansPro-Regular"/>
          <w:color w:val="262626"/>
        </w:rPr>
        <w:t xml:space="preserve"> Masking was achieved by using tablets with identical ap</w:t>
      </w:r>
      <w:r w:rsidR="00B34B3E" w:rsidRPr="008519A1">
        <w:rPr>
          <w:rFonts w:asciiTheme="majorHAnsi" w:hAnsiTheme="majorHAnsi" w:cs="SourceSansPro-Regular"/>
          <w:color w:val="262626"/>
        </w:rPr>
        <w:t xml:space="preserve">pearance in numbered bottles. </w:t>
      </w:r>
      <w:r w:rsidR="00A06716" w:rsidRPr="008519A1">
        <w:rPr>
          <w:rFonts w:asciiTheme="majorHAnsi" w:hAnsiTheme="majorHAnsi" w:cs="SourceSansPro-Regular"/>
          <w:color w:val="262626"/>
        </w:rPr>
        <w:t>Fisher allocated patients</w:t>
      </w:r>
      <w:r w:rsidR="0099700A" w:rsidRPr="008519A1">
        <w:rPr>
          <w:rFonts w:asciiTheme="majorHAnsi" w:hAnsiTheme="majorHAnsi" w:cs="SourceSansPro-Regular"/>
          <w:color w:val="262626"/>
        </w:rPr>
        <w:t xml:space="preserve"> to </w:t>
      </w:r>
      <w:r w:rsidR="00A06716" w:rsidRPr="008519A1">
        <w:rPr>
          <w:rFonts w:asciiTheme="majorHAnsi" w:hAnsiTheme="majorHAnsi" w:cs="SourceSansPro-Regular"/>
          <w:color w:val="262626"/>
        </w:rPr>
        <w:t>each treatment group</w:t>
      </w:r>
      <w:r w:rsidR="0099700A" w:rsidRPr="008519A1">
        <w:rPr>
          <w:rFonts w:asciiTheme="majorHAnsi" w:hAnsiTheme="majorHAnsi" w:cs="SourceSansPro-Regular"/>
          <w:color w:val="262626"/>
        </w:rPr>
        <w:t xml:space="preserve"> and directly informed </w:t>
      </w:r>
      <w:r w:rsidR="00A06716" w:rsidRPr="008519A1">
        <w:rPr>
          <w:rFonts w:asciiTheme="majorHAnsi" w:hAnsiTheme="majorHAnsi" w:cs="SourceSansPro-Regular"/>
          <w:color w:val="262626"/>
        </w:rPr>
        <w:t>the P</w:t>
      </w:r>
      <w:r w:rsidR="0099700A" w:rsidRPr="008519A1">
        <w:rPr>
          <w:rFonts w:asciiTheme="majorHAnsi" w:hAnsiTheme="majorHAnsi" w:cs="SourceSansPro-Regular"/>
          <w:color w:val="262626"/>
        </w:rPr>
        <w:t>harmacy at</w:t>
      </w:r>
      <w:r w:rsidR="00A06716" w:rsidRPr="008519A1">
        <w:rPr>
          <w:rFonts w:asciiTheme="majorHAnsi" w:hAnsiTheme="majorHAnsi" w:cs="SourceSansPro-Regular"/>
          <w:color w:val="262626"/>
        </w:rPr>
        <w:t xml:space="preserve"> each site</w:t>
      </w:r>
      <w:r w:rsidR="00B34B3E" w:rsidRPr="008519A1">
        <w:rPr>
          <w:rFonts w:asciiTheme="majorHAnsi" w:hAnsiTheme="majorHAnsi" w:cs="SourceSansPro-Regular"/>
          <w:color w:val="262626"/>
        </w:rPr>
        <w:t xml:space="preserve"> </w:t>
      </w:r>
      <w:r w:rsidR="00B34B3E" w:rsidRPr="002634C3">
        <w:rPr>
          <w:rFonts w:asciiTheme="majorHAnsi" w:hAnsiTheme="majorHAnsi" w:cs="SourceSansPro-Regular"/>
          <w:strike/>
          <w:color w:val="262626"/>
          <w:highlight w:val="green"/>
        </w:rPr>
        <w:t>of</w:t>
      </w:r>
      <w:r w:rsidR="00B34B3E" w:rsidRPr="008519A1">
        <w:rPr>
          <w:rFonts w:asciiTheme="majorHAnsi" w:hAnsiTheme="majorHAnsi" w:cs="SourceSansPro-Regular"/>
          <w:color w:val="262626"/>
        </w:rPr>
        <w:t xml:space="preserve"> which bottle numbers to distribute to </w:t>
      </w:r>
      <w:r w:rsidR="002634C3" w:rsidRPr="002634C3">
        <w:rPr>
          <w:rFonts w:asciiTheme="majorHAnsi" w:hAnsiTheme="majorHAnsi" w:cs="SourceSansPro-Regular"/>
          <w:color w:val="262626"/>
          <w:highlight w:val="green"/>
        </w:rPr>
        <w:t>which</w:t>
      </w:r>
      <w:r w:rsidR="002634C3">
        <w:rPr>
          <w:rFonts w:asciiTheme="majorHAnsi" w:hAnsiTheme="majorHAnsi" w:cs="SourceSansPro-Regular"/>
          <w:color w:val="262626"/>
        </w:rPr>
        <w:t xml:space="preserve"> </w:t>
      </w:r>
      <w:r w:rsidR="00B34B3E" w:rsidRPr="008519A1">
        <w:rPr>
          <w:rFonts w:asciiTheme="majorHAnsi" w:hAnsiTheme="majorHAnsi" w:cs="SourceSansPro-Regular"/>
          <w:color w:val="262626"/>
        </w:rPr>
        <w:t>patients</w:t>
      </w:r>
      <w:r w:rsidR="0099700A" w:rsidRPr="008519A1">
        <w:rPr>
          <w:rFonts w:asciiTheme="majorHAnsi" w:hAnsiTheme="majorHAnsi" w:cs="SourceSansPro-Regular"/>
          <w:color w:val="262626"/>
        </w:rPr>
        <w:t>.</w:t>
      </w:r>
      <w:r w:rsidR="00A06716" w:rsidRPr="008519A1">
        <w:rPr>
          <w:rFonts w:asciiTheme="majorHAnsi" w:hAnsiTheme="majorHAnsi" w:cs="SourceSansPro-Regular"/>
          <w:color w:val="262626"/>
        </w:rPr>
        <w:t xml:space="preserve"> </w:t>
      </w:r>
      <w:r w:rsidR="0099700A" w:rsidRPr="008519A1">
        <w:rPr>
          <w:rFonts w:asciiTheme="majorHAnsi" w:hAnsiTheme="majorHAnsi" w:cs="SourceSansPro-Regular"/>
          <w:color w:val="262626"/>
        </w:rPr>
        <w:t xml:space="preserve">Only Fisher </w:t>
      </w:r>
      <w:proofErr w:type="gramStart"/>
      <w:r w:rsidR="0099700A" w:rsidRPr="008519A1">
        <w:rPr>
          <w:rFonts w:asciiTheme="majorHAnsi" w:hAnsiTheme="majorHAnsi" w:cs="SourceSansPro-Regular"/>
          <w:color w:val="262626"/>
        </w:rPr>
        <w:t>were</w:t>
      </w:r>
      <w:proofErr w:type="gramEnd"/>
      <w:r w:rsidR="0099700A" w:rsidRPr="008519A1">
        <w:rPr>
          <w:rFonts w:asciiTheme="majorHAnsi" w:hAnsiTheme="majorHAnsi" w:cs="SourceSansPro-Regular"/>
          <w:color w:val="262626"/>
        </w:rPr>
        <w:t xml:space="preserve"> </w:t>
      </w:r>
      <w:r w:rsidR="00A06716" w:rsidRPr="002634C3">
        <w:rPr>
          <w:rFonts w:asciiTheme="majorHAnsi" w:hAnsiTheme="majorHAnsi" w:cs="SourceSansPro-Regular"/>
          <w:strike/>
          <w:color w:val="262626"/>
          <w:highlight w:val="green"/>
        </w:rPr>
        <w:t>unmasked</w:t>
      </w:r>
      <w:r w:rsidR="00A06716" w:rsidRPr="008519A1">
        <w:rPr>
          <w:rFonts w:asciiTheme="majorHAnsi" w:hAnsiTheme="majorHAnsi" w:cs="SourceSansPro-Regular"/>
          <w:color w:val="262626"/>
        </w:rPr>
        <w:t xml:space="preserve"> </w:t>
      </w:r>
      <w:r w:rsidR="002634C3" w:rsidRPr="002634C3">
        <w:rPr>
          <w:rFonts w:asciiTheme="majorHAnsi" w:hAnsiTheme="majorHAnsi" w:cs="SourceSansPro-Regular"/>
          <w:color w:val="262626"/>
          <w:highlight w:val="green"/>
        </w:rPr>
        <w:t>unblinded</w:t>
      </w:r>
      <w:r w:rsidR="002634C3">
        <w:rPr>
          <w:rFonts w:asciiTheme="majorHAnsi" w:hAnsiTheme="majorHAnsi" w:cs="SourceSansPro-Regular"/>
          <w:color w:val="262626"/>
        </w:rPr>
        <w:t xml:space="preserve"> </w:t>
      </w:r>
      <w:r w:rsidR="00A06716" w:rsidRPr="008519A1">
        <w:rPr>
          <w:rFonts w:asciiTheme="majorHAnsi" w:hAnsiTheme="majorHAnsi" w:cs="SourceSansPro-Regular"/>
          <w:color w:val="262626"/>
        </w:rPr>
        <w:t>to</w:t>
      </w:r>
      <w:r w:rsidR="0099700A" w:rsidRPr="008519A1">
        <w:rPr>
          <w:rFonts w:asciiTheme="majorHAnsi" w:hAnsiTheme="majorHAnsi" w:cs="SourceSansPro-Regular"/>
          <w:color w:val="262626"/>
        </w:rPr>
        <w:t xml:space="preserve"> treatment allo</w:t>
      </w:r>
      <w:r w:rsidR="00A06716" w:rsidRPr="008519A1">
        <w:rPr>
          <w:rFonts w:asciiTheme="majorHAnsi" w:hAnsiTheme="majorHAnsi" w:cs="SourceSansPro-Regular"/>
          <w:color w:val="262626"/>
        </w:rPr>
        <w:t>cation prior to the end of the study. Patients were</w:t>
      </w:r>
      <w:r w:rsidR="0099700A" w:rsidRPr="008519A1">
        <w:rPr>
          <w:rFonts w:asciiTheme="majorHAnsi" w:hAnsiTheme="majorHAnsi" w:cs="SourceSansPro-Regular"/>
          <w:color w:val="262626"/>
        </w:rPr>
        <w:t xml:space="preserve"> </w:t>
      </w:r>
      <w:r w:rsidR="0099700A" w:rsidRPr="002634C3">
        <w:rPr>
          <w:rFonts w:asciiTheme="majorHAnsi" w:hAnsiTheme="majorHAnsi" w:cs="SourceSansPro-Regular"/>
          <w:strike/>
          <w:color w:val="262626"/>
          <w:highlight w:val="green"/>
        </w:rPr>
        <w:t>unblinded</w:t>
      </w:r>
      <w:r w:rsidR="0099700A" w:rsidRPr="008519A1">
        <w:rPr>
          <w:rFonts w:asciiTheme="majorHAnsi" w:hAnsiTheme="majorHAnsi" w:cs="SourceSansPro-Regular"/>
          <w:color w:val="262626"/>
        </w:rPr>
        <w:t xml:space="preserve"> </w:t>
      </w:r>
      <w:r w:rsidR="002634C3" w:rsidRPr="002634C3">
        <w:rPr>
          <w:rFonts w:asciiTheme="majorHAnsi" w:hAnsiTheme="majorHAnsi" w:cs="SourceSansPro-Regular"/>
          <w:color w:val="262626"/>
          <w:highlight w:val="green"/>
        </w:rPr>
        <w:t>unmasked</w:t>
      </w:r>
      <w:r w:rsidR="002634C3" w:rsidRPr="008519A1">
        <w:rPr>
          <w:rFonts w:asciiTheme="majorHAnsi" w:hAnsiTheme="majorHAnsi" w:cs="SourceSansPro-Regular"/>
          <w:color w:val="262626"/>
        </w:rPr>
        <w:t xml:space="preserve"> </w:t>
      </w:r>
      <w:r w:rsidR="00A06716" w:rsidRPr="008519A1">
        <w:rPr>
          <w:rFonts w:asciiTheme="majorHAnsi" w:hAnsiTheme="majorHAnsi" w:cs="SourceSansPro-Regular"/>
          <w:color w:val="262626"/>
        </w:rPr>
        <w:t xml:space="preserve">only </w:t>
      </w:r>
      <w:r w:rsidR="0099700A" w:rsidRPr="008519A1">
        <w:rPr>
          <w:rFonts w:asciiTheme="majorHAnsi" w:hAnsiTheme="majorHAnsi" w:cs="SourceSansPro-Regular"/>
          <w:color w:val="262626"/>
        </w:rPr>
        <w:t>in the event of a possible Suspected Unexpected Serious Adverse Reaction (SUSAR)</w:t>
      </w:r>
      <w:r w:rsidR="00A06716" w:rsidRPr="008519A1">
        <w:rPr>
          <w:rFonts w:asciiTheme="majorHAnsi" w:hAnsiTheme="majorHAnsi" w:cs="SourceSansPro-Regular"/>
          <w:color w:val="262626"/>
        </w:rPr>
        <w:t>.  Unblinding was carried out</w:t>
      </w:r>
      <w:r w:rsidR="0099700A" w:rsidRPr="008519A1">
        <w:rPr>
          <w:rFonts w:asciiTheme="majorHAnsi" w:hAnsiTheme="majorHAnsi" w:cs="SourceSansPro-Regular"/>
          <w:color w:val="262626"/>
        </w:rPr>
        <w:t xml:space="preserve"> by </w:t>
      </w:r>
      <w:r w:rsidR="00A06716" w:rsidRPr="008519A1">
        <w:rPr>
          <w:rFonts w:asciiTheme="majorHAnsi" w:hAnsiTheme="majorHAnsi" w:cs="SourceSansPro-Regular"/>
          <w:color w:val="262626"/>
        </w:rPr>
        <w:t>an</w:t>
      </w:r>
      <w:r w:rsidR="0099700A" w:rsidRPr="008519A1">
        <w:rPr>
          <w:rFonts w:asciiTheme="majorHAnsi" w:hAnsiTheme="majorHAnsi" w:cs="SourceSansPro-Regular"/>
          <w:color w:val="262626"/>
        </w:rPr>
        <w:t xml:space="preserve"> independent clinical coordinator via </w:t>
      </w:r>
      <w:r w:rsidR="00A06716" w:rsidRPr="008519A1">
        <w:rPr>
          <w:rFonts w:asciiTheme="majorHAnsi" w:hAnsiTheme="majorHAnsi" w:cs="SourceSansPro-Regular"/>
          <w:color w:val="262626"/>
        </w:rPr>
        <w:t xml:space="preserve">direct </w:t>
      </w:r>
      <w:r w:rsidR="0099700A" w:rsidRPr="008519A1">
        <w:rPr>
          <w:rFonts w:asciiTheme="majorHAnsi" w:hAnsiTheme="majorHAnsi" w:cs="SourceSansPro-Regular"/>
          <w:color w:val="262626"/>
        </w:rPr>
        <w:t>communication with Fisher.</w:t>
      </w:r>
    </w:p>
    <w:p w14:paraId="65D50778" w14:textId="2D023704" w:rsidR="00B34B3E" w:rsidRPr="008519A1" w:rsidRDefault="00AD09F3" w:rsidP="00C22D3B">
      <w:pPr>
        <w:spacing w:line="480" w:lineRule="auto"/>
        <w:rPr>
          <w:rFonts w:asciiTheme="majorHAnsi" w:hAnsiTheme="majorHAnsi" w:cs="SourceSansPro-Regular"/>
          <w:color w:val="262626"/>
        </w:rPr>
      </w:pPr>
      <w:r w:rsidRPr="008519A1">
        <w:rPr>
          <w:rFonts w:asciiTheme="majorHAnsi" w:hAnsiTheme="majorHAnsi" w:cs="SourceSansPro-Regular"/>
          <w:b/>
          <w:color w:val="262626"/>
        </w:rPr>
        <w:t>Procedures</w:t>
      </w:r>
      <w:r w:rsidR="002634C3" w:rsidRPr="002634C3">
        <w:rPr>
          <w:rFonts w:asciiTheme="majorHAnsi" w:hAnsiTheme="majorHAnsi" w:cs="SourceSansPro-Regular"/>
          <w:b/>
          <w:color w:val="262626"/>
          <w:highlight w:val="green"/>
        </w:rPr>
        <w:t>:</w:t>
      </w:r>
      <w:r w:rsidR="007D4410" w:rsidRPr="008519A1">
        <w:rPr>
          <w:rFonts w:asciiTheme="majorHAnsi" w:hAnsiTheme="majorHAnsi" w:cs="SourceSansPro-Regular"/>
          <w:b/>
          <w:color w:val="262626"/>
        </w:rPr>
        <w:t xml:space="preserve"> </w:t>
      </w:r>
      <w:r w:rsidR="007D4410" w:rsidRPr="008519A1">
        <w:rPr>
          <w:rFonts w:asciiTheme="majorHAnsi" w:hAnsiTheme="majorHAnsi" w:cs="SourceSansPro-Regular"/>
          <w:color w:val="262626"/>
        </w:rPr>
        <w:t>Gemcitabine was administered at 100mg/m</w:t>
      </w:r>
      <w:r w:rsidR="007D4410" w:rsidRPr="008519A1">
        <w:rPr>
          <w:rFonts w:asciiTheme="majorHAnsi" w:hAnsiTheme="majorHAnsi" w:cs="SourceSansPro-Regular"/>
          <w:color w:val="262626"/>
          <w:vertAlign w:val="superscript"/>
        </w:rPr>
        <w:t>2</w:t>
      </w:r>
      <w:r w:rsidR="007D4410" w:rsidRPr="008519A1">
        <w:rPr>
          <w:rFonts w:asciiTheme="majorHAnsi" w:hAnsiTheme="majorHAnsi" w:cs="SourceSansPro-Regular"/>
          <w:b/>
          <w:color w:val="262626"/>
        </w:rPr>
        <w:t xml:space="preserve"> </w:t>
      </w:r>
      <w:r w:rsidR="007D4410" w:rsidRPr="008519A1">
        <w:rPr>
          <w:rFonts w:asciiTheme="majorHAnsi" w:hAnsiTheme="majorHAnsi" w:cs="SourceSansPro-Regular"/>
          <w:color w:val="262626"/>
        </w:rPr>
        <w:t>weekly as a 30 minute infusion for 7 continuous weeks followed by a one week break.   Following this, Gemcitabine was prescribed on a cycle of 3 continuous weeks followed b</w:t>
      </w:r>
      <w:r w:rsidR="007E1461">
        <w:rPr>
          <w:rFonts w:asciiTheme="majorHAnsi" w:hAnsiTheme="majorHAnsi" w:cs="SourceSansPro-Regular"/>
          <w:color w:val="262626"/>
        </w:rPr>
        <w:t>y a one week break. Vandetanib</w:t>
      </w:r>
      <w:r w:rsidR="007D4410" w:rsidRPr="008519A1">
        <w:rPr>
          <w:rFonts w:asciiTheme="majorHAnsi" w:hAnsiTheme="majorHAnsi" w:cs="SourceSansPro-Regular"/>
          <w:color w:val="262626"/>
        </w:rPr>
        <w:t xml:space="preserve"> was prescribed orally once a day at 300mg</w:t>
      </w:r>
      <w:r w:rsidR="00FC551C" w:rsidRPr="008519A1">
        <w:rPr>
          <w:rFonts w:asciiTheme="majorHAnsi" w:hAnsiTheme="majorHAnsi" w:cs="SourceSansPro-Regular"/>
          <w:color w:val="262626"/>
        </w:rPr>
        <w:t xml:space="preserve">/day.  Placebo was prescribed to replicate the Vandetanib </w:t>
      </w:r>
      <w:r w:rsidR="007E1461" w:rsidRPr="008519A1">
        <w:rPr>
          <w:rFonts w:asciiTheme="majorHAnsi" w:hAnsiTheme="majorHAnsi" w:cs="SourceSansPro-Regular"/>
          <w:color w:val="262626"/>
        </w:rPr>
        <w:t>prescription</w:t>
      </w:r>
      <w:r w:rsidR="00FC551C" w:rsidRPr="008519A1">
        <w:rPr>
          <w:rFonts w:asciiTheme="majorHAnsi" w:hAnsiTheme="majorHAnsi" w:cs="SourceSansPro-Regular"/>
          <w:color w:val="262626"/>
        </w:rPr>
        <w:t>.</w:t>
      </w:r>
      <w:r w:rsidR="007D4410" w:rsidRPr="008519A1">
        <w:rPr>
          <w:rFonts w:asciiTheme="majorHAnsi" w:hAnsiTheme="majorHAnsi" w:cs="SourceSansPro-Regular"/>
          <w:color w:val="262626"/>
        </w:rPr>
        <w:t xml:space="preserve"> </w:t>
      </w:r>
      <w:r w:rsidR="00FC551C" w:rsidRPr="008519A1">
        <w:rPr>
          <w:rFonts w:asciiTheme="majorHAnsi" w:hAnsiTheme="majorHAnsi" w:cs="SourceSansPro-Regular"/>
          <w:b/>
          <w:color w:val="262626"/>
        </w:rPr>
        <w:t xml:space="preserve"> </w:t>
      </w:r>
      <w:r w:rsidR="00B34B3E" w:rsidRPr="008519A1">
        <w:rPr>
          <w:rFonts w:asciiTheme="majorHAnsi" w:hAnsiTheme="majorHAnsi" w:cs="SourceSansPro-Regular"/>
          <w:color w:val="262626"/>
        </w:rPr>
        <w:t xml:space="preserve">Patients were followed up </w:t>
      </w:r>
      <w:r w:rsidR="00FC551C" w:rsidRPr="008519A1">
        <w:rPr>
          <w:rFonts w:asciiTheme="majorHAnsi" w:hAnsiTheme="majorHAnsi" w:cs="SourceSansPro-Regular"/>
          <w:color w:val="262626"/>
        </w:rPr>
        <w:t xml:space="preserve">continually </w:t>
      </w:r>
      <w:r w:rsidR="00B34B3E" w:rsidRPr="008519A1">
        <w:rPr>
          <w:rFonts w:asciiTheme="majorHAnsi" w:hAnsiTheme="majorHAnsi" w:cs="SourceSansPro-Regular"/>
          <w:color w:val="262626"/>
        </w:rPr>
        <w:t>until either death or end of study.</w:t>
      </w:r>
    </w:p>
    <w:p w14:paraId="56C1B7BB" w14:textId="3BDB06C0" w:rsidR="00AD09F3" w:rsidRPr="008519A1" w:rsidRDefault="00AD09F3" w:rsidP="00C22D3B">
      <w:pPr>
        <w:spacing w:line="480" w:lineRule="auto"/>
        <w:rPr>
          <w:rFonts w:asciiTheme="majorHAnsi" w:hAnsiTheme="majorHAnsi" w:cs="SourceSansPro-Regular"/>
          <w:b/>
          <w:color w:val="262626"/>
        </w:rPr>
      </w:pPr>
      <w:r w:rsidRPr="008519A1">
        <w:rPr>
          <w:rFonts w:asciiTheme="majorHAnsi" w:hAnsiTheme="majorHAnsi" w:cs="SourceSansPro-Regular"/>
          <w:b/>
          <w:color w:val="262626"/>
        </w:rPr>
        <w:t>Outcomes</w:t>
      </w:r>
      <w:r w:rsidRPr="008519A1">
        <w:rPr>
          <w:rFonts w:asciiTheme="majorHAnsi" w:hAnsiTheme="majorHAnsi" w:cs="SourceSansPro-Regular"/>
          <w:color w:val="262626"/>
        </w:rPr>
        <w:t xml:space="preserve"> The primary outcome was overall survival.   Secondary outcomes were progression free survival (PFS), </w:t>
      </w:r>
      <w:r w:rsidR="007E1461">
        <w:rPr>
          <w:rFonts w:asciiTheme="majorHAnsi" w:hAnsiTheme="majorHAnsi" w:cs="SourceSansPro-Regular"/>
          <w:color w:val="262626"/>
        </w:rPr>
        <w:t xml:space="preserve">objective response rate, disease control rate, </w:t>
      </w:r>
      <w:proofErr w:type="gramStart"/>
      <w:r w:rsidR="007E1461">
        <w:rPr>
          <w:rFonts w:asciiTheme="majorHAnsi" w:hAnsiTheme="majorHAnsi" w:cs="SourceSansPro-Regular"/>
          <w:color w:val="262626"/>
        </w:rPr>
        <w:t>toxicity</w:t>
      </w:r>
      <w:proofErr w:type="gramEnd"/>
      <w:r w:rsidR="007E1461">
        <w:rPr>
          <w:rFonts w:asciiTheme="majorHAnsi" w:hAnsiTheme="majorHAnsi" w:cs="SourceSansPro-Regular"/>
          <w:color w:val="262626"/>
        </w:rPr>
        <w:t xml:space="preserve"> and patient pain assessments</w:t>
      </w:r>
      <w:r w:rsidRPr="008519A1">
        <w:rPr>
          <w:rFonts w:asciiTheme="majorHAnsi" w:hAnsiTheme="majorHAnsi" w:cs="SourceSansPro-Regular"/>
          <w:color w:val="262626"/>
        </w:rPr>
        <w:t>.</w:t>
      </w:r>
      <w:r w:rsidR="00FC551C" w:rsidRPr="008519A1">
        <w:rPr>
          <w:rFonts w:asciiTheme="majorHAnsi" w:hAnsiTheme="majorHAnsi" w:cs="SourceSansPro-Regular"/>
          <w:color w:val="262626"/>
        </w:rPr>
        <w:t xml:space="preserve">  Toxicity assessments were assessed following the Common Terminology Criteria for Adverse Events (CTCAE) Version 4.0 definitions.</w:t>
      </w:r>
      <w:r w:rsidR="000154F1">
        <w:rPr>
          <w:rFonts w:asciiTheme="majorHAnsi" w:hAnsiTheme="majorHAnsi" w:cs="SourceSansPro-Regular"/>
          <w:color w:val="262626"/>
        </w:rPr>
        <w:t xml:space="preserve">  </w:t>
      </w:r>
      <w:r w:rsidR="000154F1">
        <w:rPr>
          <w:rFonts w:asciiTheme="majorHAnsi" w:hAnsiTheme="majorHAnsi" w:cs="Lucida Grande"/>
          <w:color w:val="000000"/>
        </w:rPr>
        <w:t xml:space="preserve">Patient response to therapy was measured using the Response Evaluation Criteria in </w:t>
      </w:r>
      <w:r w:rsidR="000154F1">
        <w:rPr>
          <w:rFonts w:asciiTheme="majorHAnsi" w:hAnsiTheme="majorHAnsi" w:cs="Lucida Grande"/>
          <w:color w:val="000000"/>
        </w:rPr>
        <w:lastRenderedPageBreak/>
        <w:t xml:space="preserve">Solid Tumors (RECIST).  Best patient response was defined as Complete Response (CR), Partial Response (PR), Stable Disease (SD) or Progressive Disease (PD).  </w:t>
      </w:r>
      <w:proofErr w:type="gramStart"/>
      <w:r w:rsidR="000154F1">
        <w:rPr>
          <w:rFonts w:asciiTheme="majorHAnsi" w:hAnsiTheme="majorHAnsi" w:cs="Lucida Grande"/>
          <w:color w:val="000000"/>
        </w:rPr>
        <w:t>Objective response rate</w:t>
      </w:r>
      <w:r w:rsidR="000154F1" w:rsidRPr="002634C3">
        <w:rPr>
          <w:rFonts w:asciiTheme="majorHAnsi" w:hAnsiTheme="majorHAnsi" w:cs="Lucida Grande"/>
          <w:strike/>
          <w:color w:val="000000"/>
          <w:highlight w:val="green"/>
        </w:rPr>
        <w:t>s</w:t>
      </w:r>
      <w:r w:rsidR="000154F1">
        <w:rPr>
          <w:rFonts w:asciiTheme="majorHAnsi" w:hAnsiTheme="majorHAnsi" w:cs="Lucida Grande"/>
          <w:color w:val="000000"/>
        </w:rPr>
        <w:t xml:space="preserve"> </w:t>
      </w:r>
      <w:r w:rsidR="002634C3" w:rsidRPr="002634C3">
        <w:rPr>
          <w:rFonts w:asciiTheme="majorHAnsi" w:hAnsiTheme="majorHAnsi" w:cs="Lucida Grande"/>
          <w:color w:val="000000"/>
          <w:highlight w:val="green"/>
        </w:rPr>
        <w:t>was</w:t>
      </w:r>
      <w:proofErr w:type="gramEnd"/>
      <w:r w:rsidR="000154F1">
        <w:rPr>
          <w:rFonts w:asciiTheme="majorHAnsi" w:hAnsiTheme="majorHAnsi" w:cs="Lucida Grande"/>
          <w:color w:val="000000"/>
        </w:rPr>
        <w:t xml:space="preserve"> defined </w:t>
      </w:r>
      <w:r w:rsidR="00DA2BB5" w:rsidRPr="00DA2BB5">
        <w:rPr>
          <w:rFonts w:asciiTheme="majorHAnsi" w:hAnsiTheme="majorHAnsi" w:cs="Lucida Grande"/>
          <w:color w:val="000000"/>
          <w:highlight w:val="green"/>
        </w:rPr>
        <w:t>by</w:t>
      </w:r>
      <w:r w:rsidR="000154F1">
        <w:rPr>
          <w:rFonts w:asciiTheme="majorHAnsi" w:hAnsiTheme="majorHAnsi" w:cs="Lucida Grande"/>
          <w:color w:val="000000"/>
        </w:rPr>
        <w:t xml:space="preserve"> all patients obtaining CR or PR.  </w:t>
      </w:r>
      <w:proofErr w:type="gramStart"/>
      <w:r w:rsidR="000154F1">
        <w:rPr>
          <w:rFonts w:asciiTheme="majorHAnsi" w:hAnsiTheme="majorHAnsi" w:cs="Lucida Grande"/>
          <w:color w:val="000000"/>
        </w:rPr>
        <w:t>Disease control rate</w:t>
      </w:r>
      <w:r w:rsidR="000154F1" w:rsidRPr="00DA2BB5">
        <w:rPr>
          <w:rFonts w:asciiTheme="majorHAnsi" w:hAnsiTheme="majorHAnsi" w:cs="Lucida Grande"/>
          <w:strike/>
          <w:color w:val="000000"/>
          <w:highlight w:val="green"/>
        </w:rPr>
        <w:t>s</w:t>
      </w:r>
      <w:r w:rsidR="000154F1">
        <w:rPr>
          <w:rFonts w:asciiTheme="majorHAnsi" w:hAnsiTheme="majorHAnsi" w:cs="Lucida Grande"/>
          <w:color w:val="000000"/>
        </w:rPr>
        <w:t xml:space="preserve"> </w:t>
      </w:r>
      <w:r w:rsidR="00DA2BB5" w:rsidRPr="00DA2BB5">
        <w:rPr>
          <w:rFonts w:asciiTheme="majorHAnsi" w:hAnsiTheme="majorHAnsi" w:cs="Lucida Grande"/>
          <w:color w:val="000000"/>
          <w:highlight w:val="green"/>
        </w:rPr>
        <w:t>was</w:t>
      </w:r>
      <w:proofErr w:type="gramEnd"/>
      <w:r w:rsidR="000154F1">
        <w:rPr>
          <w:rFonts w:asciiTheme="majorHAnsi" w:hAnsiTheme="majorHAnsi" w:cs="Lucida Grande"/>
          <w:color w:val="000000"/>
        </w:rPr>
        <w:t xml:space="preserve"> defined </w:t>
      </w:r>
      <w:r w:rsidR="00DA2BB5" w:rsidRPr="00DA2BB5">
        <w:rPr>
          <w:rFonts w:asciiTheme="majorHAnsi" w:hAnsiTheme="majorHAnsi" w:cs="Lucida Grande"/>
          <w:color w:val="000000"/>
          <w:highlight w:val="green"/>
        </w:rPr>
        <w:t>by</w:t>
      </w:r>
      <w:r w:rsidR="000154F1">
        <w:rPr>
          <w:rFonts w:asciiTheme="majorHAnsi" w:hAnsiTheme="majorHAnsi" w:cs="Lucida Grande"/>
          <w:color w:val="000000"/>
        </w:rPr>
        <w:t xml:space="preserve"> all patients with SD or better.</w:t>
      </w:r>
      <w:r w:rsidR="00FC551C" w:rsidRPr="008519A1">
        <w:rPr>
          <w:rFonts w:asciiTheme="majorHAnsi" w:hAnsiTheme="majorHAnsi" w:cs="SourceSansPro-Regular"/>
          <w:color w:val="262626"/>
        </w:rPr>
        <w:t xml:space="preserve">  Patient pain assessments were made using a 100 point Visual Analogue Scale (VAS).  The trial was subject to 100% source data verification of all outcome data.</w:t>
      </w:r>
    </w:p>
    <w:p w14:paraId="04B6FA95" w14:textId="79EB4F42" w:rsidR="007E1461" w:rsidRDefault="00AC6CD7" w:rsidP="00C22D3B">
      <w:pPr>
        <w:spacing w:line="480" w:lineRule="auto"/>
        <w:rPr>
          <w:rFonts w:asciiTheme="majorHAnsi" w:hAnsiTheme="majorHAnsi" w:cs="Lucida Grande"/>
          <w:color w:val="000000"/>
        </w:rPr>
      </w:pPr>
      <w:r>
        <w:rPr>
          <w:rFonts w:asciiTheme="majorHAnsi" w:hAnsiTheme="majorHAnsi" w:cs="SourceSansPro-Regular"/>
          <w:b/>
          <w:color w:val="262626"/>
        </w:rPr>
        <w:t>Statistical a</w:t>
      </w:r>
      <w:r w:rsidR="00AD09F3" w:rsidRPr="008519A1">
        <w:rPr>
          <w:rFonts w:asciiTheme="majorHAnsi" w:hAnsiTheme="majorHAnsi" w:cs="SourceSansPro-Regular"/>
          <w:b/>
          <w:color w:val="262626"/>
        </w:rPr>
        <w:t>nalysis</w:t>
      </w:r>
      <w:r>
        <w:rPr>
          <w:rFonts w:asciiTheme="majorHAnsi" w:hAnsiTheme="majorHAnsi" w:cs="SourceSansPro-Regular"/>
          <w:b/>
          <w:color w:val="262626"/>
        </w:rPr>
        <w:t xml:space="preserve"> </w:t>
      </w:r>
      <w:r>
        <w:rPr>
          <w:rFonts w:asciiTheme="majorHAnsi" w:hAnsiTheme="majorHAnsi" w:cs="SourceSansPro-Regular"/>
          <w:color w:val="262626"/>
        </w:rPr>
        <w:t xml:space="preserve">Study design and sample size </w:t>
      </w:r>
      <w:r w:rsidR="00DA2BB5" w:rsidRPr="00DA2BB5">
        <w:rPr>
          <w:rFonts w:asciiTheme="majorHAnsi" w:hAnsiTheme="majorHAnsi" w:cs="SourceSansPro-Regular"/>
          <w:color w:val="262626"/>
          <w:highlight w:val="green"/>
        </w:rPr>
        <w:t>calculations</w:t>
      </w:r>
      <w:r w:rsidR="00DA2BB5">
        <w:rPr>
          <w:rFonts w:asciiTheme="majorHAnsi" w:hAnsiTheme="majorHAnsi" w:cs="SourceSansPro-Regular"/>
          <w:color w:val="262626"/>
        </w:rPr>
        <w:t xml:space="preserve"> </w:t>
      </w:r>
      <w:r>
        <w:rPr>
          <w:rFonts w:asciiTheme="majorHAnsi" w:hAnsiTheme="majorHAnsi" w:cs="SourceSansPro-Regular"/>
          <w:color w:val="262626"/>
        </w:rPr>
        <w:t xml:space="preserve">were performed with reference to similar trials performed in the same </w:t>
      </w:r>
      <w:r w:rsidR="00DA2BB5" w:rsidRPr="00DA2BB5">
        <w:rPr>
          <w:rFonts w:asciiTheme="majorHAnsi" w:hAnsiTheme="majorHAnsi" w:cs="SourceSansPro-Regular"/>
          <w:color w:val="262626"/>
          <w:highlight w:val="green"/>
        </w:rPr>
        <w:t>type of</w:t>
      </w:r>
      <w:r w:rsidR="00DA2BB5">
        <w:rPr>
          <w:rFonts w:asciiTheme="majorHAnsi" w:hAnsiTheme="majorHAnsi" w:cs="SourceSansPro-Regular"/>
          <w:color w:val="262626"/>
        </w:rPr>
        <w:t xml:space="preserve"> </w:t>
      </w:r>
      <w:r>
        <w:rPr>
          <w:rFonts w:asciiTheme="majorHAnsi" w:hAnsiTheme="majorHAnsi" w:cs="SourceSansPro-Regular"/>
          <w:color w:val="262626"/>
        </w:rPr>
        <w:t>patient group</w:t>
      </w:r>
      <w:r w:rsidRPr="00AC6CD7">
        <w:rPr>
          <w:rFonts w:asciiTheme="majorHAnsi" w:hAnsiTheme="majorHAnsi" w:cs="SourceSansPro-Regular"/>
          <w:color w:val="262626"/>
          <w:vertAlign w:val="superscript"/>
        </w:rPr>
        <w:t>1-3</w:t>
      </w:r>
      <w:r>
        <w:rPr>
          <w:rFonts w:asciiTheme="majorHAnsi" w:hAnsiTheme="majorHAnsi" w:cs="SourceSansPro-Regular"/>
          <w:color w:val="262626"/>
        </w:rPr>
        <w:t xml:space="preserve">. </w:t>
      </w:r>
      <w:r w:rsidR="00276061">
        <w:rPr>
          <w:rFonts w:asciiTheme="majorHAnsi" w:hAnsiTheme="majorHAnsi" w:cs="SourceSansPro-Regular"/>
          <w:color w:val="262626"/>
        </w:rPr>
        <w:t xml:space="preserve"> From these, it was estimated that a survival </w:t>
      </w:r>
      <w:r w:rsidR="007D4FC2">
        <w:rPr>
          <w:rFonts w:asciiTheme="majorHAnsi" w:hAnsiTheme="majorHAnsi" w:cs="SourceSansPro-Regular"/>
          <w:color w:val="262626"/>
        </w:rPr>
        <w:t xml:space="preserve">rate </w:t>
      </w:r>
      <w:r w:rsidR="00276061">
        <w:rPr>
          <w:rFonts w:asciiTheme="majorHAnsi" w:hAnsiTheme="majorHAnsi" w:cs="SourceSansPro-Regular"/>
          <w:color w:val="262626"/>
        </w:rPr>
        <w:t xml:space="preserve">of </w:t>
      </w:r>
      <w:r w:rsidR="007D4FC2">
        <w:rPr>
          <w:rFonts w:asciiTheme="majorHAnsi" w:hAnsiTheme="majorHAnsi" w:cs="SourceSansPro-Regular"/>
          <w:color w:val="262626"/>
        </w:rPr>
        <w:t>51% at</w:t>
      </w:r>
      <w:r w:rsidR="00276061">
        <w:rPr>
          <w:rFonts w:asciiTheme="majorHAnsi" w:hAnsiTheme="majorHAnsi" w:cs="SourceSansPro-Regular"/>
          <w:color w:val="262626"/>
        </w:rPr>
        <w:t xml:space="preserve"> 6 months </w:t>
      </w:r>
      <w:r w:rsidR="007D4FC2">
        <w:rPr>
          <w:rFonts w:asciiTheme="majorHAnsi" w:hAnsiTheme="majorHAnsi" w:cs="SourceSansPro-Regular"/>
          <w:color w:val="262626"/>
        </w:rPr>
        <w:t>would be observed for the control group in the upcoming trial.  It was estimated that the inclusion of Vandetanib would results in an increase</w:t>
      </w:r>
      <w:r w:rsidR="00DA2BB5">
        <w:rPr>
          <w:rFonts w:asciiTheme="majorHAnsi" w:hAnsiTheme="majorHAnsi" w:cs="SourceSansPro-Regular"/>
          <w:color w:val="262626"/>
        </w:rPr>
        <w:t xml:space="preserve"> in </w:t>
      </w:r>
      <w:r w:rsidR="00DA2BB5" w:rsidRPr="00DA2BB5">
        <w:rPr>
          <w:rFonts w:asciiTheme="majorHAnsi" w:hAnsiTheme="majorHAnsi" w:cs="SourceSansPro-Regular"/>
          <w:color w:val="262626"/>
          <w:highlight w:val="green"/>
        </w:rPr>
        <w:t>6 month survival rate</w:t>
      </w:r>
      <w:r w:rsidR="007D4FC2">
        <w:rPr>
          <w:rFonts w:asciiTheme="majorHAnsi" w:hAnsiTheme="majorHAnsi" w:cs="SourceSansPro-Regular"/>
          <w:color w:val="262626"/>
        </w:rPr>
        <w:t xml:space="preserve"> to 67%, an absolute improvement of 16% corresponding to a hazard ratio of </w:t>
      </w:r>
      <w:r w:rsidR="007D4FC2" w:rsidRPr="007D4FC2">
        <w:rPr>
          <w:rFonts w:asciiTheme="majorHAnsi" w:hAnsiTheme="majorHAnsi" w:cs="SourceSansPro-Regular"/>
          <w:color w:val="262626"/>
          <w:sz w:val="22"/>
        </w:rPr>
        <w:t>0</w:t>
      </w:r>
      <w:r w:rsidR="007D4FC2">
        <w:rPr>
          <w:rFonts w:asciiTheme="majorHAnsi" w:hAnsiTheme="majorHAnsi" w:cs="SourceSansPro-Regular"/>
          <w:color w:val="262626"/>
          <w:sz w:val="22"/>
        </w:rPr>
        <w:t>.</w:t>
      </w:r>
      <w:r w:rsidR="007D4FC2" w:rsidRPr="007D4FC2">
        <w:rPr>
          <w:rFonts w:asciiTheme="majorHAnsi" w:hAnsiTheme="majorHAnsi" w:cs="SourceSansPro-Regular"/>
          <w:color w:val="262626"/>
          <w:sz w:val="22"/>
        </w:rPr>
        <w:t>6</w:t>
      </w:r>
      <w:r w:rsidR="007D4FC2">
        <w:rPr>
          <w:rFonts w:asciiTheme="majorHAnsi" w:hAnsiTheme="majorHAnsi" w:cs="SourceSansPro-Regular"/>
          <w:color w:val="262626"/>
          <w:sz w:val="22"/>
        </w:rPr>
        <w:t xml:space="preserve">.  Using a one-sided </w:t>
      </w:r>
      <w:r w:rsidR="007D4FC2" w:rsidRPr="0054661C">
        <w:rPr>
          <w:rFonts w:ascii="Lucida Grande" w:hAnsi="Lucida Grande" w:cs="Lucida Grande"/>
          <w:b/>
          <w:color w:val="000000"/>
        </w:rPr>
        <w:t>α</w:t>
      </w:r>
      <w:r w:rsidR="007D4FC2">
        <w:rPr>
          <w:rFonts w:ascii="Lucida Grande" w:hAnsi="Lucida Grande" w:cs="Lucida Grande"/>
          <w:b/>
          <w:color w:val="000000"/>
        </w:rPr>
        <w:t xml:space="preserve"> </w:t>
      </w:r>
      <w:r w:rsidR="007D4FC2" w:rsidRPr="007D4FC2">
        <w:rPr>
          <w:rFonts w:asciiTheme="majorHAnsi" w:hAnsiTheme="majorHAnsi" w:cs="Lucida Grande"/>
          <w:color w:val="000000"/>
        </w:rPr>
        <w:t>level</w:t>
      </w:r>
      <w:r w:rsidR="007D4FC2">
        <w:rPr>
          <w:rFonts w:asciiTheme="majorHAnsi" w:hAnsiTheme="majorHAnsi" w:cs="Lucida Grande"/>
          <w:color w:val="000000"/>
        </w:rPr>
        <w:t xml:space="preserve"> of 0.1, a total of </w:t>
      </w:r>
      <w:r w:rsidR="007E1461">
        <w:rPr>
          <w:rFonts w:asciiTheme="majorHAnsi" w:hAnsiTheme="majorHAnsi" w:cs="Lucida Grande"/>
          <w:color w:val="000000"/>
        </w:rPr>
        <w:t xml:space="preserve">100 deaths </w:t>
      </w:r>
      <w:r w:rsidR="007D4FC2">
        <w:rPr>
          <w:rFonts w:asciiTheme="majorHAnsi" w:hAnsiTheme="majorHAnsi" w:cs="Lucida Grande"/>
          <w:color w:val="000000"/>
        </w:rPr>
        <w:t>were required to obtain 90% Power</w:t>
      </w:r>
      <w:r w:rsidR="007E1461">
        <w:rPr>
          <w:rFonts w:asciiTheme="majorHAnsi" w:hAnsiTheme="majorHAnsi" w:cs="Lucida Grande"/>
          <w:color w:val="000000"/>
        </w:rPr>
        <w:t xml:space="preserve"> resulting in a total sample size of 120 patients (60 in each treatment group)</w:t>
      </w:r>
      <w:r w:rsidR="007D4FC2">
        <w:rPr>
          <w:rFonts w:asciiTheme="majorHAnsi" w:hAnsiTheme="majorHAnsi" w:cs="Lucida Grande"/>
          <w:color w:val="000000"/>
        </w:rPr>
        <w:t xml:space="preserve">.  </w:t>
      </w:r>
      <w:r w:rsidR="00F57C5F">
        <w:rPr>
          <w:rFonts w:asciiTheme="majorHAnsi" w:hAnsiTheme="majorHAnsi" w:cs="Lucida Grande"/>
          <w:color w:val="000000"/>
        </w:rPr>
        <w:t xml:space="preserve">The study design incorporated a single interim analysis to assess the study for futility after 50 deaths </w:t>
      </w:r>
      <w:r w:rsidR="00F57C5F" w:rsidRPr="00DA2BB5">
        <w:rPr>
          <w:rFonts w:asciiTheme="majorHAnsi" w:hAnsiTheme="majorHAnsi" w:cs="Lucida Grande"/>
          <w:color w:val="000000"/>
          <w:highlight w:val="green"/>
        </w:rPr>
        <w:t>ha</w:t>
      </w:r>
      <w:r w:rsidR="00DA2BB5" w:rsidRPr="00DA2BB5">
        <w:rPr>
          <w:rFonts w:asciiTheme="majorHAnsi" w:hAnsiTheme="majorHAnsi" w:cs="Lucida Grande"/>
          <w:color w:val="000000"/>
          <w:highlight w:val="green"/>
        </w:rPr>
        <w:t>d</w:t>
      </w:r>
      <w:r w:rsidR="00F57C5F">
        <w:rPr>
          <w:rFonts w:asciiTheme="majorHAnsi" w:hAnsiTheme="majorHAnsi" w:cs="Lucida Grande"/>
          <w:color w:val="000000"/>
        </w:rPr>
        <w:t xml:space="preserve"> been observed.  The inclusion of this </w:t>
      </w:r>
      <w:r w:rsidR="00DA2BB5" w:rsidRPr="00DA2BB5">
        <w:rPr>
          <w:rFonts w:asciiTheme="majorHAnsi" w:hAnsiTheme="majorHAnsi" w:cs="Lucida Grande"/>
          <w:color w:val="000000"/>
          <w:highlight w:val="green"/>
        </w:rPr>
        <w:t>analysis</w:t>
      </w:r>
      <w:r w:rsidR="00F57C5F">
        <w:rPr>
          <w:rFonts w:asciiTheme="majorHAnsi" w:hAnsiTheme="majorHAnsi" w:cs="Lucida Grande"/>
          <w:color w:val="000000"/>
        </w:rPr>
        <w:t xml:space="preserve"> reduced the overall type I error rate from 0.1 to 0.096 for assessment of the primary endpoint at the point of final analysis. </w:t>
      </w:r>
      <w:r w:rsidR="007D4FC2">
        <w:rPr>
          <w:rFonts w:asciiTheme="majorHAnsi" w:hAnsiTheme="majorHAnsi" w:cs="Lucida Grande"/>
          <w:color w:val="000000"/>
        </w:rPr>
        <w:t xml:space="preserve">During the course of the study, </w:t>
      </w:r>
      <w:r w:rsidR="007E1461">
        <w:rPr>
          <w:rFonts w:asciiTheme="majorHAnsi" w:hAnsiTheme="majorHAnsi" w:cs="Lucida Grande"/>
          <w:color w:val="000000"/>
        </w:rPr>
        <w:t>the decision to extend recruitment to recruit 140 patients was made to account for patient drop-out and ensure sufficient quality translational materials were collected.  The impact was to extend the target number of deaths to 109 and to increase the trial Power to 91.8%.</w:t>
      </w:r>
    </w:p>
    <w:p w14:paraId="50CBBFD9" w14:textId="77777777" w:rsidR="007E1461" w:rsidRDefault="007E1461" w:rsidP="00C22D3B">
      <w:pPr>
        <w:spacing w:line="480" w:lineRule="auto"/>
        <w:rPr>
          <w:rFonts w:asciiTheme="majorHAnsi" w:hAnsiTheme="majorHAnsi" w:cs="Lucida Grande"/>
          <w:color w:val="000000"/>
        </w:rPr>
      </w:pPr>
    </w:p>
    <w:p w14:paraId="1F3F2223" w14:textId="09C6120F" w:rsidR="007E1461" w:rsidRDefault="007E1461" w:rsidP="00C22D3B">
      <w:pPr>
        <w:spacing w:line="480" w:lineRule="auto"/>
        <w:rPr>
          <w:rFonts w:asciiTheme="majorHAnsi" w:hAnsiTheme="majorHAnsi" w:cs="Lucida Grande"/>
          <w:color w:val="000000"/>
        </w:rPr>
      </w:pPr>
      <w:r>
        <w:rPr>
          <w:rFonts w:asciiTheme="majorHAnsi" w:hAnsiTheme="majorHAnsi" w:cs="Lucida Grande"/>
          <w:color w:val="000000"/>
        </w:rPr>
        <w:t xml:space="preserve">Overall survival was measured as the time from randomisation until death by any cause.  Patients still alive at the point of final analysis were censored at the date last </w:t>
      </w:r>
      <w:r>
        <w:rPr>
          <w:rFonts w:asciiTheme="majorHAnsi" w:hAnsiTheme="majorHAnsi" w:cs="Lucida Grande"/>
          <w:color w:val="000000"/>
        </w:rPr>
        <w:lastRenderedPageBreak/>
        <w:t xml:space="preserve">seen alive.  Progression-free survival was measured as the </w:t>
      </w:r>
      <w:r w:rsidR="000154F1">
        <w:rPr>
          <w:rFonts w:asciiTheme="majorHAnsi" w:hAnsiTheme="majorHAnsi" w:cs="Lucida Grande"/>
          <w:color w:val="000000"/>
        </w:rPr>
        <w:t>time from randomisation until di</w:t>
      </w:r>
      <w:r>
        <w:rPr>
          <w:rFonts w:asciiTheme="majorHAnsi" w:hAnsiTheme="majorHAnsi" w:cs="Lucida Grande"/>
          <w:color w:val="000000"/>
        </w:rPr>
        <w:t xml:space="preserve">sease progression or death by </w:t>
      </w:r>
      <w:r w:rsidR="000154F1">
        <w:rPr>
          <w:rFonts w:asciiTheme="majorHAnsi" w:hAnsiTheme="majorHAnsi" w:cs="Lucida Grande"/>
          <w:color w:val="000000"/>
        </w:rPr>
        <w:t>any cause.  Patient</w:t>
      </w:r>
      <w:r w:rsidR="003C72E8">
        <w:rPr>
          <w:rFonts w:asciiTheme="majorHAnsi" w:hAnsiTheme="majorHAnsi" w:cs="Lucida Grande"/>
          <w:color w:val="000000"/>
        </w:rPr>
        <w:t>s</w:t>
      </w:r>
      <w:r w:rsidR="000154F1">
        <w:rPr>
          <w:rFonts w:asciiTheme="majorHAnsi" w:hAnsiTheme="majorHAnsi" w:cs="Lucida Grande"/>
          <w:color w:val="000000"/>
        </w:rPr>
        <w:t xml:space="preserve"> alive and without progression at the point of final analysis were censored at the date last seen alive.  Survival estimates were obtained using the Kaplan-Meier</w:t>
      </w:r>
      <w:r w:rsidR="000154F1" w:rsidRPr="000154F1">
        <w:rPr>
          <w:rFonts w:asciiTheme="majorHAnsi" w:hAnsiTheme="majorHAnsi" w:cs="Lucida Grande"/>
          <w:color w:val="000000"/>
          <w:vertAlign w:val="superscript"/>
        </w:rPr>
        <w:t>4</w:t>
      </w:r>
      <w:r w:rsidR="000154F1">
        <w:rPr>
          <w:rFonts w:asciiTheme="majorHAnsi" w:hAnsiTheme="majorHAnsi" w:cs="Lucida Grande"/>
          <w:color w:val="000000"/>
        </w:rPr>
        <w:t xml:space="preserve"> method and compared across treatment groups using a stratified log-rank test</w:t>
      </w:r>
      <w:r w:rsidR="000154F1" w:rsidRPr="000154F1">
        <w:rPr>
          <w:rFonts w:asciiTheme="majorHAnsi" w:hAnsiTheme="majorHAnsi" w:cs="Lucida Grande"/>
          <w:color w:val="000000"/>
          <w:vertAlign w:val="superscript"/>
        </w:rPr>
        <w:t>5</w:t>
      </w:r>
      <w:r w:rsidR="000154F1">
        <w:rPr>
          <w:rFonts w:asciiTheme="majorHAnsi" w:hAnsiTheme="majorHAnsi" w:cs="Lucida Grande"/>
          <w:color w:val="000000"/>
        </w:rPr>
        <w:t xml:space="preserve">. </w:t>
      </w:r>
      <w:r w:rsidR="00EF2BA9">
        <w:rPr>
          <w:rFonts w:asciiTheme="majorHAnsi" w:hAnsiTheme="majorHAnsi" w:cs="Lucida Grande"/>
          <w:color w:val="000000"/>
        </w:rPr>
        <w:t xml:space="preserve">  The effect of treatment allocation is expressed as a hazard ratio (Gemcitabine plus </w:t>
      </w:r>
      <w:proofErr w:type="spellStart"/>
      <w:r w:rsidR="00EF2BA9">
        <w:rPr>
          <w:rFonts w:asciiTheme="majorHAnsi" w:hAnsiTheme="majorHAnsi" w:cs="Lucida Grande"/>
          <w:color w:val="000000"/>
        </w:rPr>
        <w:t>Vandetanib</w:t>
      </w:r>
      <w:proofErr w:type="spellEnd"/>
      <w:r w:rsidR="00EF2BA9">
        <w:rPr>
          <w:rFonts w:asciiTheme="majorHAnsi" w:hAnsiTheme="majorHAnsi" w:cs="Lucida Grande"/>
          <w:color w:val="000000"/>
        </w:rPr>
        <w:t xml:space="preserve"> vs Gemcitabine plus placebo) with an associated 95% confidence interval</w:t>
      </w:r>
      <w:r w:rsidR="003C72E8">
        <w:rPr>
          <w:rFonts w:asciiTheme="majorHAnsi" w:hAnsiTheme="majorHAnsi" w:cs="Lucida Grande"/>
          <w:color w:val="000000"/>
        </w:rPr>
        <w:t xml:space="preserve">.  Secondary analyses </w:t>
      </w:r>
      <w:r w:rsidR="005D6B4A">
        <w:rPr>
          <w:rFonts w:asciiTheme="majorHAnsi" w:hAnsiTheme="majorHAnsi" w:cs="Lucida Grande"/>
          <w:color w:val="000000"/>
        </w:rPr>
        <w:t>included adjusting</w:t>
      </w:r>
      <w:r w:rsidR="003C72E8">
        <w:rPr>
          <w:rFonts w:asciiTheme="majorHAnsi" w:hAnsiTheme="majorHAnsi" w:cs="Lucida Grande"/>
          <w:color w:val="000000"/>
        </w:rPr>
        <w:t xml:space="preserve"> the treatment effect using multivariable regression techniques based on Cox proportional hazards models</w:t>
      </w:r>
      <w:r w:rsidR="003C72E8" w:rsidRPr="003C72E8">
        <w:rPr>
          <w:rFonts w:asciiTheme="majorHAnsi" w:hAnsiTheme="majorHAnsi" w:cs="Lucida Grande"/>
          <w:color w:val="000000"/>
          <w:vertAlign w:val="superscript"/>
        </w:rPr>
        <w:t>6</w:t>
      </w:r>
      <w:r w:rsidR="003C72E8">
        <w:rPr>
          <w:rFonts w:asciiTheme="majorHAnsi" w:hAnsiTheme="majorHAnsi" w:cs="Lucida Grande"/>
          <w:color w:val="000000"/>
        </w:rPr>
        <w:t xml:space="preserve">.  Stratification factors and treatment effects are included in all models.  Factors with a log rank significance of P&lt;0.25 are considered for inclusion.  A forward step-wise regression approach is used with terms included based on </w:t>
      </w:r>
      <w:proofErr w:type="spellStart"/>
      <w:r w:rsidR="003C72E8">
        <w:rPr>
          <w:rFonts w:asciiTheme="majorHAnsi" w:hAnsiTheme="majorHAnsi" w:cs="Lucida Grande"/>
          <w:color w:val="000000"/>
        </w:rPr>
        <w:t>Akaikes</w:t>
      </w:r>
      <w:proofErr w:type="spellEnd"/>
      <w:r w:rsidR="003C72E8">
        <w:rPr>
          <w:rFonts w:asciiTheme="majorHAnsi" w:hAnsiTheme="majorHAnsi" w:cs="Lucida Grande"/>
          <w:color w:val="000000"/>
        </w:rPr>
        <w:t xml:space="preserve"> </w:t>
      </w:r>
      <w:proofErr w:type="spellStart"/>
      <w:r w:rsidR="003C72E8">
        <w:rPr>
          <w:rFonts w:asciiTheme="majorHAnsi" w:hAnsiTheme="majorHAnsi" w:cs="Lucida Grande"/>
          <w:color w:val="000000"/>
        </w:rPr>
        <w:t>Informaion</w:t>
      </w:r>
      <w:proofErr w:type="spellEnd"/>
      <w:r w:rsidR="003C72E8">
        <w:rPr>
          <w:rFonts w:asciiTheme="majorHAnsi" w:hAnsiTheme="majorHAnsi" w:cs="Lucida Grande"/>
          <w:color w:val="000000"/>
        </w:rPr>
        <w:t xml:space="preserve"> Criteria (AIC</w:t>
      </w:r>
      <w:proofErr w:type="gramStart"/>
      <w:r w:rsidR="003C72E8">
        <w:rPr>
          <w:rFonts w:asciiTheme="majorHAnsi" w:hAnsiTheme="majorHAnsi" w:cs="Lucida Grande"/>
          <w:color w:val="000000"/>
        </w:rPr>
        <w:t>)</w:t>
      </w:r>
      <w:r w:rsidR="003C72E8" w:rsidRPr="003C72E8">
        <w:rPr>
          <w:rFonts w:asciiTheme="majorHAnsi" w:hAnsiTheme="majorHAnsi" w:cs="Lucida Grande"/>
          <w:color w:val="000000"/>
          <w:vertAlign w:val="superscript"/>
        </w:rPr>
        <w:t>7</w:t>
      </w:r>
      <w:proofErr w:type="gramEnd"/>
      <w:r w:rsidR="003C72E8">
        <w:rPr>
          <w:rFonts w:asciiTheme="majorHAnsi" w:hAnsiTheme="majorHAnsi" w:cs="Lucida Grande"/>
          <w:color w:val="000000"/>
        </w:rPr>
        <w:t>.</w:t>
      </w:r>
    </w:p>
    <w:p w14:paraId="40745FB9" w14:textId="77777777" w:rsidR="00AF7F06" w:rsidRDefault="00AF7F06" w:rsidP="00C22D3B">
      <w:pPr>
        <w:spacing w:line="480" w:lineRule="auto"/>
        <w:rPr>
          <w:rFonts w:asciiTheme="majorHAnsi" w:hAnsiTheme="majorHAnsi" w:cs="Lucida Grande"/>
          <w:color w:val="000000"/>
        </w:rPr>
      </w:pPr>
    </w:p>
    <w:p w14:paraId="3B41D2B8" w14:textId="61D2FE7F" w:rsidR="00AF7F06" w:rsidRDefault="00AF7F06" w:rsidP="00C22D3B">
      <w:pPr>
        <w:spacing w:line="480" w:lineRule="auto"/>
        <w:rPr>
          <w:rFonts w:asciiTheme="majorHAnsi" w:hAnsiTheme="majorHAnsi" w:cs="Lucida Grande"/>
          <w:color w:val="000000"/>
        </w:rPr>
      </w:pPr>
      <w:r>
        <w:rPr>
          <w:rFonts w:asciiTheme="majorHAnsi" w:hAnsiTheme="majorHAnsi" w:cs="Lucida Grande"/>
          <w:color w:val="000000"/>
        </w:rPr>
        <w:t xml:space="preserve">Analyses of translational material as potential </w:t>
      </w:r>
      <w:r w:rsidRPr="006C3CF9">
        <w:rPr>
          <w:rFonts w:asciiTheme="majorHAnsi" w:hAnsiTheme="majorHAnsi" w:cs="Lucida Grande"/>
          <w:strike/>
          <w:color w:val="000000"/>
          <w:highlight w:val="green"/>
        </w:rPr>
        <w:t>prognostic</w:t>
      </w:r>
      <w:r>
        <w:rPr>
          <w:rFonts w:asciiTheme="majorHAnsi" w:hAnsiTheme="majorHAnsi" w:cs="Lucida Grande"/>
          <w:color w:val="000000"/>
        </w:rPr>
        <w:t xml:space="preserve"> </w:t>
      </w:r>
      <w:r w:rsidR="006C3CF9" w:rsidRPr="006C3CF9">
        <w:rPr>
          <w:rFonts w:asciiTheme="majorHAnsi" w:hAnsiTheme="majorHAnsi" w:cs="Lucida Grande"/>
          <w:color w:val="000000"/>
          <w:highlight w:val="green"/>
        </w:rPr>
        <w:t>predictive</w:t>
      </w:r>
      <w:r w:rsidR="006C3CF9">
        <w:rPr>
          <w:rFonts w:asciiTheme="majorHAnsi" w:hAnsiTheme="majorHAnsi" w:cs="Lucida Grande"/>
          <w:color w:val="000000"/>
        </w:rPr>
        <w:t xml:space="preserve"> </w:t>
      </w:r>
      <w:r>
        <w:rPr>
          <w:rFonts w:asciiTheme="majorHAnsi" w:hAnsiTheme="majorHAnsi" w:cs="Lucida Grande"/>
          <w:color w:val="000000"/>
        </w:rPr>
        <w:t xml:space="preserve">factors for treatment effect </w:t>
      </w:r>
      <w:r w:rsidR="006C3CF9">
        <w:rPr>
          <w:rFonts w:asciiTheme="majorHAnsi" w:hAnsiTheme="majorHAnsi" w:cs="Lucida Grande"/>
          <w:color w:val="000000"/>
        </w:rPr>
        <w:t>were</w:t>
      </w:r>
      <w:r>
        <w:rPr>
          <w:rFonts w:asciiTheme="majorHAnsi" w:hAnsiTheme="majorHAnsi" w:cs="Lucida Grande"/>
          <w:color w:val="000000"/>
        </w:rPr>
        <w:t xml:space="preserve"> also performed</w:t>
      </w:r>
      <w:r w:rsidR="006C3CF9">
        <w:rPr>
          <w:rFonts w:asciiTheme="majorHAnsi" w:hAnsiTheme="majorHAnsi" w:cs="Lucida Grande"/>
          <w:color w:val="000000"/>
        </w:rPr>
        <w:t xml:space="preserve">, </w:t>
      </w:r>
      <w:r w:rsidR="006C3CF9" w:rsidRPr="006C3CF9">
        <w:rPr>
          <w:rFonts w:asciiTheme="majorHAnsi" w:hAnsiTheme="majorHAnsi" w:cs="Lucida Grande"/>
          <w:color w:val="000000"/>
          <w:highlight w:val="green"/>
        </w:rPr>
        <w:t>including</w:t>
      </w:r>
      <w:r>
        <w:rPr>
          <w:rFonts w:asciiTheme="majorHAnsi" w:hAnsiTheme="majorHAnsi" w:cs="Lucida Grande"/>
          <w:color w:val="000000"/>
        </w:rPr>
        <w:t xml:space="preserve"> Ca</w:t>
      </w:r>
      <w:r w:rsidR="00852B05">
        <w:rPr>
          <w:rFonts w:asciiTheme="majorHAnsi" w:hAnsiTheme="majorHAnsi" w:cs="Lucida Grande"/>
          <w:color w:val="000000"/>
        </w:rPr>
        <w:t xml:space="preserve">ncer Antigen 19.9 (CA19.9), </w:t>
      </w:r>
      <w:proofErr w:type="gramStart"/>
      <w:r w:rsidR="00852B05">
        <w:rPr>
          <w:rFonts w:asciiTheme="majorHAnsi" w:hAnsiTheme="majorHAnsi" w:cs="Lucida Grande"/>
          <w:color w:val="000000"/>
        </w:rPr>
        <w:t>C-Reactive Protein</w:t>
      </w:r>
      <w:proofErr w:type="gramEnd"/>
      <w:r w:rsidR="00852B05">
        <w:rPr>
          <w:rFonts w:asciiTheme="majorHAnsi" w:hAnsiTheme="majorHAnsi" w:cs="Lucida Grande"/>
          <w:color w:val="000000"/>
        </w:rPr>
        <w:t xml:space="preserve"> and Single-Nu</w:t>
      </w:r>
      <w:r>
        <w:rPr>
          <w:rFonts w:asciiTheme="majorHAnsi" w:hAnsiTheme="majorHAnsi" w:cs="Lucida Grande"/>
          <w:color w:val="000000"/>
        </w:rPr>
        <w:t xml:space="preserve">cleotide </w:t>
      </w:r>
      <w:r w:rsidR="00852B05">
        <w:rPr>
          <w:rFonts w:asciiTheme="majorHAnsi" w:hAnsiTheme="majorHAnsi" w:cs="Lucida Grande"/>
          <w:color w:val="000000"/>
        </w:rPr>
        <w:t xml:space="preserve">Polymorphisms (SNPs).  SNPs targeted </w:t>
      </w:r>
      <w:r w:rsidR="006C3CF9">
        <w:rPr>
          <w:rFonts w:asciiTheme="majorHAnsi" w:hAnsiTheme="majorHAnsi" w:cs="Lucida Grande"/>
          <w:color w:val="000000"/>
        </w:rPr>
        <w:t>were</w:t>
      </w:r>
      <w:r w:rsidR="00852B05">
        <w:rPr>
          <w:rFonts w:asciiTheme="majorHAnsi" w:hAnsiTheme="majorHAnsi" w:cs="Lucida Grande"/>
          <w:color w:val="000000"/>
        </w:rPr>
        <w:t xml:space="preserve">, </w:t>
      </w:r>
      <w:r w:rsidR="00852B05" w:rsidRPr="00852B05">
        <w:rPr>
          <w:rFonts w:asciiTheme="majorHAnsi" w:hAnsiTheme="majorHAnsi" w:cs="Lucida Grande"/>
          <w:color w:val="000000"/>
        </w:rPr>
        <w:t>RET rs1799939</w:t>
      </w:r>
      <w:r w:rsidR="00852B05">
        <w:rPr>
          <w:rFonts w:asciiTheme="majorHAnsi" w:hAnsiTheme="majorHAnsi" w:cs="Lucida Grande"/>
          <w:color w:val="000000"/>
        </w:rPr>
        <w:t xml:space="preserve">, </w:t>
      </w:r>
      <w:r w:rsidR="00852B05" w:rsidRPr="00852B05">
        <w:rPr>
          <w:rFonts w:asciiTheme="majorHAnsi" w:hAnsiTheme="majorHAnsi" w:cs="Lucida Grande"/>
          <w:color w:val="000000"/>
        </w:rPr>
        <w:t>IL-8 rs4073</w:t>
      </w:r>
      <w:r w:rsidR="00852B05">
        <w:rPr>
          <w:rFonts w:asciiTheme="majorHAnsi" w:hAnsiTheme="majorHAnsi" w:cs="Lucida Grande"/>
          <w:color w:val="000000"/>
        </w:rPr>
        <w:t xml:space="preserve">, </w:t>
      </w:r>
      <w:r w:rsidR="00852B05" w:rsidRPr="00852B05">
        <w:rPr>
          <w:rFonts w:asciiTheme="majorHAnsi" w:hAnsiTheme="majorHAnsi" w:cs="Lucida Grande"/>
          <w:color w:val="000000"/>
        </w:rPr>
        <w:t>VEGFA rs699947</w:t>
      </w:r>
      <w:r w:rsidR="00852B05">
        <w:rPr>
          <w:rFonts w:asciiTheme="majorHAnsi" w:hAnsiTheme="majorHAnsi" w:cs="Lucida Grande"/>
          <w:color w:val="000000"/>
        </w:rPr>
        <w:t xml:space="preserve"> and </w:t>
      </w:r>
      <w:r w:rsidR="00852B05" w:rsidRPr="00852B05">
        <w:rPr>
          <w:rFonts w:asciiTheme="majorHAnsi" w:hAnsiTheme="majorHAnsi" w:cs="Lucida Grande"/>
          <w:color w:val="000000"/>
        </w:rPr>
        <w:t>VEGF (FLT1) rs9582036</w:t>
      </w:r>
      <w:r w:rsidR="00852B05">
        <w:rPr>
          <w:rFonts w:asciiTheme="majorHAnsi" w:hAnsiTheme="majorHAnsi" w:cs="Lucida Grande"/>
          <w:color w:val="000000"/>
        </w:rPr>
        <w:t>.</w:t>
      </w:r>
    </w:p>
    <w:p w14:paraId="72E681D2" w14:textId="77777777" w:rsidR="00F57C5F" w:rsidRDefault="00F57C5F" w:rsidP="00C22D3B">
      <w:pPr>
        <w:spacing w:line="480" w:lineRule="auto"/>
        <w:rPr>
          <w:rFonts w:asciiTheme="majorHAnsi" w:hAnsiTheme="majorHAnsi" w:cs="Lucida Grande"/>
          <w:color w:val="000000"/>
        </w:rPr>
      </w:pPr>
    </w:p>
    <w:p w14:paraId="2C429CA4" w14:textId="16D7DAAC" w:rsidR="004C4067" w:rsidRDefault="004C4067" w:rsidP="00C22D3B">
      <w:pPr>
        <w:spacing w:line="480" w:lineRule="auto"/>
        <w:rPr>
          <w:rFonts w:asciiTheme="majorHAnsi" w:hAnsiTheme="majorHAnsi" w:cs="Lucida Grande"/>
          <w:color w:val="000000"/>
        </w:rPr>
      </w:pPr>
      <w:r>
        <w:rPr>
          <w:rFonts w:asciiTheme="majorHAnsi" w:hAnsiTheme="majorHAnsi" w:cs="Lucida Grande"/>
          <w:color w:val="000000"/>
        </w:rPr>
        <w:t xml:space="preserve">Treatment administration </w:t>
      </w:r>
      <w:r w:rsidR="006C3CF9" w:rsidRPr="006C3CF9">
        <w:rPr>
          <w:rFonts w:asciiTheme="majorHAnsi" w:hAnsiTheme="majorHAnsi" w:cs="Lucida Grande"/>
          <w:color w:val="000000"/>
          <w:highlight w:val="green"/>
        </w:rPr>
        <w:t>was</w:t>
      </w:r>
      <w:r>
        <w:rPr>
          <w:rFonts w:asciiTheme="majorHAnsi" w:hAnsiTheme="majorHAnsi" w:cs="Lucida Grande"/>
          <w:color w:val="000000"/>
        </w:rPr>
        <w:t xml:space="preserve"> reported as the median (range) of cycles of each drug received.  Toxicity </w:t>
      </w:r>
      <w:r w:rsidR="006C3CF9" w:rsidRPr="006C3CF9">
        <w:rPr>
          <w:rFonts w:asciiTheme="majorHAnsi" w:hAnsiTheme="majorHAnsi" w:cs="Lucida Grande"/>
          <w:color w:val="000000"/>
          <w:highlight w:val="green"/>
        </w:rPr>
        <w:t>was</w:t>
      </w:r>
      <w:r>
        <w:rPr>
          <w:rFonts w:asciiTheme="majorHAnsi" w:hAnsiTheme="majorHAnsi" w:cs="Lucida Grande"/>
          <w:color w:val="000000"/>
        </w:rPr>
        <w:t xml:space="preserve"> reported as the number of high grade toxic events (gra</w:t>
      </w:r>
      <w:r w:rsidR="00F57C5F">
        <w:rPr>
          <w:rFonts w:asciiTheme="majorHAnsi" w:hAnsiTheme="majorHAnsi" w:cs="Lucida Grande"/>
          <w:color w:val="000000"/>
        </w:rPr>
        <w:t>de 3 or 4) and compares the risk of experiencing a high grade event</w:t>
      </w:r>
      <w:r>
        <w:rPr>
          <w:rFonts w:asciiTheme="majorHAnsi" w:hAnsiTheme="majorHAnsi" w:cs="Lucida Grande"/>
          <w:color w:val="000000"/>
        </w:rPr>
        <w:t xml:space="preserve"> </w:t>
      </w:r>
      <w:r w:rsidR="00F57C5F">
        <w:rPr>
          <w:rFonts w:asciiTheme="majorHAnsi" w:hAnsiTheme="majorHAnsi" w:cs="Lucida Grande"/>
          <w:color w:val="000000"/>
        </w:rPr>
        <w:t xml:space="preserve">during the treatment period </w:t>
      </w:r>
      <w:r>
        <w:rPr>
          <w:rFonts w:asciiTheme="majorHAnsi" w:hAnsiTheme="majorHAnsi" w:cs="Lucida Grande"/>
          <w:color w:val="000000"/>
        </w:rPr>
        <w:t>using the TAME</w:t>
      </w:r>
      <w:r w:rsidRPr="004C4067">
        <w:rPr>
          <w:rFonts w:asciiTheme="majorHAnsi" w:hAnsiTheme="majorHAnsi" w:cs="Lucida Grande"/>
          <w:color w:val="000000"/>
          <w:vertAlign w:val="superscript"/>
        </w:rPr>
        <w:t>8</w:t>
      </w:r>
      <w:r w:rsidR="00F57C5F">
        <w:rPr>
          <w:rFonts w:asciiTheme="majorHAnsi" w:hAnsiTheme="majorHAnsi" w:cs="Lucida Grande"/>
          <w:color w:val="000000"/>
        </w:rPr>
        <w:t xml:space="preserve"> guidelines</w:t>
      </w:r>
      <w:r>
        <w:rPr>
          <w:rFonts w:asciiTheme="majorHAnsi" w:hAnsiTheme="majorHAnsi" w:cs="Lucida Grande"/>
          <w:color w:val="000000"/>
        </w:rPr>
        <w:t>.</w:t>
      </w:r>
    </w:p>
    <w:p w14:paraId="100F3F04" w14:textId="77777777" w:rsidR="00F57C5F" w:rsidRDefault="00F57C5F" w:rsidP="00C22D3B">
      <w:pPr>
        <w:spacing w:line="480" w:lineRule="auto"/>
        <w:rPr>
          <w:rFonts w:asciiTheme="majorHAnsi" w:hAnsiTheme="majorHAnsi" w:cs="Lucida Grande"/>
          <w:color w:val="000000"/>
        </w:rPr>
      </w:pPr>
    </w:p>
    <w:p w14:paraId="33F13B52" w14:textId="5D3C1295" w:rsidR="00F57C5F" w:rsidRDefault="00F57C5F" w:rsidP="00C22D3B">
      <w:pPr>
        <w:spacing w:line="480" w:lineRule="auto"/>
        <w:rPr>
          <w:rFonts w:asciiTheme="majorHAnsi" w:hAnsiTheme="majorHAnsi" w:cs="Lucida Grande"/>
          <w:color w:val="000000"/>
        </w:rPr>
      </w:pPr>
      <w:r>
        <w:rPr>
          <w:rFonts w:asciiTheme="majorHAnsi" w:hAnsiTheme="majorHAnsi" w:cs="Lucida Grande"/>
          <w:color w:val="000000"/>
        </w:rPr>
        <w:lastRenderedPageBreak/>
        <w:t xml:space="preserve">All statistical analyses </w:t>
      </w:r>
      <w:r w:rsidR="006C3CF9" w:rsidRPr="006C3CF9">
        <w:rPr>
          <w:rFonts w:asciiTheme="majorHAnsi" w:hAnsiTheme="majorHAnsi" w:cs="Lucida Grande"/>
          <w:color w:val="000000"/>
          <w:highlight w:val="green"/>
        </w:rPr>
        <w:t>were</w:t>
      </w:r>
      <w:r>
        <w:rPr>
          <w:rFonts w:asciiTheme="majorHAnsi" w:hAnsiTheme="majorHAnsi" w:cs="Lucida Grande"/>
          <w:color w:val="000000"/>
        </w:rPr>
        <w:t xml:space="preserve"> carried out using the statistical package R (version 3.2). All analyses were carried out on an intention to treat principle, retaining patients in their randomised groups irrespective of any protocol violations.  </w:t>
      </w:r>
      <w:proofErr w:type="gramStart"/>
      <w:r w:rsidR="00E27FED">
        <w:rPr>
          <w:rFonts w:asciiTheme="majorHAnsi" w:hAnsiTheme="majorHAnsi" w:cs="Lucida Grande"/>
          <w:color w:val="000000"/>
        </w:rPr>
        <w:t>A</w:t>
      </w:r>
      <w:proofErr w:type="gramEnd"/>
      <w:r w:rsidR="00E27FED">
        <w:rPr>
          <w:rFonts w:asciiTheme="majorHAnsi" w:hAnsiTheme="majorHAnsi" w:cs="Lucida Grande"/>
          <w:color w:val="000000"/>
        </w:rPr>
        <w:t xml:space="preserve"> </w:t>
      </w:r>
      <w:proofErr w:type="spellStart"/>
      <w:r w:rsidR="00E27FED" w:rsidRPr="006C3CF9">
        <w:rPr>
          <w:rFonts w:asciiTheme="majorHAnsi" w:hAnsiTheme="majorHAnsi" w:cs="Lucida Grande"/>
          <w:strike/>
          <w:color w:val="000000"/>
          <w:highlight w:val="green"/>
        </w:rPr>
        <w:t>a</w:t>
      </w:r>
      <w:proofErr w:type="spellEnd"/>
      <w:r w:rsidR="00E27FED" w:rsidRPr="006C3CF9">
        <w:rPr>
          <w:rFonts w:asciiTheme="majorHAnsi" w:hAnsiTheme="majorHAnsi" w:cs="Lucida Grande"/>
          <w:strike/>
          <w:color w:val="000000"/>
        </w:rPr>
        <w:t xml:space="preserve"> </w:t>
      </w:r>
      <w:r w:rsidR="00E27FED">
        <w:rPr>
          <w:rFonts w:asciiTheme="majorHAnsi" w:hAnsiTheme="majorHAnsi" w:cs="Lucida Grande"/>
          <w:color w:val="000000"/>
        </w:rPr>
        <w:t>one sided P-value of 0.096 (with 80.8% CI) wa</w:t>
      </w:r>
      <w:r>
        <w:rPr>
          <w:rFonts w:asciiTheme="majorHAnsi" w:hAnsiTheme="majorHAnsi" w:cs="Lucida Grande"/>
          <w:color w:val="000000"/>
        </w:rPr>
        <w:t xml:space="preserve">s considered significant for the analysis of the primary endpoint and assessment of the treatment effect.  For all secondary analyses a nominal two sided P &lt; 0.05 </w:t>
      </w:r>
      <w:r w:rsidR="006C3CF9" w:rsidRPr="006C3CF9">
        <w:rPr>
          <w:rFonts w:asciiTheme="majorHAnsi" w:hAnsiTheme="majorHAnsi" w:cs="Lucida Grande"/>
          <w:color w:val="000000"/>
          <w:highlight w:val="green"/>
        </w:rPr>
        <w:t>was</w:t>
      </w:r>
      <w:r>
        <w:rPr>
          <w:rFonts w:asciiTheme="majorHAnsi" w:hAnsiTheme="majorHAnsi" w:cs="Lucida Grande"/>
          <w:color w:val="000000"/>
        </w:rPr>
        <w:t xml:space="preserve"> used.</w:t>
      </w:r>
    </w:p>
    <w:p w14:paraId="1F6056A3" w14:textId="3B92406B" w:rsidR="00EF2BA9" w:rsidRDefault="00D65638" w:rsidP="00C22D3B">
      <w:pPr>
        <w:spacing w:line="480" w:lineRule="auto"/>
        <w:rPr>
          <w:rFonts w:asciiTheme="majorHAnsi" w:hAnsiTheme="majorHAnsi" w:cs="Lucida Grande"/>
          <w:color w:val="000000"/>
        </w:rPr>
      </w:pPr>
      <w:r>
        <w:rPr>
          <w:rFonts w:asciiTheme="majorHAnsi" w:hAnsiTheme="majorHAnsi" w:cs="Lucida Grande"/>
          <w:color w:val="000000"/>
        </w:rPr>
        <w:t xml:space="preserve">The trial was assessed at regular intervals by an Independent Data and Safety Monitoring Committee (IDSMC) who were responsible for assessing the </w:t>
      </w:r>
      <w:r w:rsidRPr="006C3CF9">
        <w:rPr>
          <w:rFonts w:asciiTheme="majorHAnsi" w:hAnsiTheme="majorHAnsi" w:cs="Lucida Grande"/>
          <w:color w:val="000000"/>
          <w:highlight w:val="green"/>
        </w:rPr>
        <w:t>tr</w:t>
      </w:r>
      <w:r w:rsidR="006C3CF9" w:rsidRPr="006C3CF9">
        <w:rPr>
          <w:rFonts w:asciiTheme="majorHAnsi" w:hAnsiTheme="majorHAnsi" w:cs="Lucida Grande"/>
          <w:color w:val="000000"/>
          <w:highlight w:val="green"/>
        </w:rPr>
        <w:t>ia</w:t>
      </w:r>
      <w:r w:rsidRPr="006C3CF9">
        <w:rPr>
          <w:rFonts w:asciiTheme="majorHAnsi" w:hAnsiTheme="majorHAnsi" w:cs="Lucida Grande"/>
          <w:color w:val="000000"/>
          <w:highlight w:val="green"/>
        </w:rPr>
        <w:t>l</w:t>
      </w:r>
      <w:r>
        <w:rPr>
          <w:rFonts w:asciiTheme="majorHAnsi" w:hAnsiTheme="majorHAnsi" w:cs="Lucida Grande"/>
          <w:color w:val="000000"/>
        </w:rPr>
        <w:t xml:space="preserve"> in terms of safety and efficacy.  The IDSMC were unblinded to treatment allocation throughout the full course of the trial.  The trial </w:t>
      </w:r>
      <w:r w:rsidR="00480270">
        <w:rPr>
          <w:rFonts w:asciiTheme="majorHAnsi" w:hAnsiTheme="majorHAnsi" w:cs="Lucida Grande"/>
          <w:color w:val="000000"/>
        </w:rPr>
        <w:t>was registered with the UK CRN (2007-004299-38)</w:t>
      </w:r>
    </w:p>
    <w:p w14:paraId="643B4C73" w14:textId="77777777" w:rsidR="007E1461" w:rsidRPr="007D4FC2" w:rsidRDefault="007E1461" w:rsidP="00C22D3B">
      <w:pPr>
        <w:spacing w:line="480" w:lineRule="auto"/>
        <w:rPr>
          <w:rFonts w:asciiTheme="majorHAnsi" w:hAnsiTheme="majorHAnsi" w:cs="SourceSansPro-Regular"/>
          <w:caps/>
          <w:color w:val="262626"/>
        </w:rPr>
      </w:pPr>
    </w:p>
    <w:p w14:paraId="17FD84EA" w14:textId="74BE0B68" w:rsidR="00FC551C" w:rsidRPr="008519A1" w:rsidRDefault="00FC551C" w:rsidP="00C22D3B">
      <w:pPr>
        <w:spacing w:line="480" w:lineRule="auto"/>
        <w:rPr>
          <w:rFonts w:asciiTheme="majorHAnsi" w:hAnsiTheme="majorHAnsi" w:cs="SourceSansPro-Regular"/>
          <w:b/>
          <w:color w:val="262626"/>
        </w:rPr>
      </w:pPr>
      <w:r w:rsidRPr="008519A1">
        <w:rPr>
          <w:rFonts w:asciiTheme="majorHAnsi" w:hAnsiTheme="majorHAnsi" w:cs="SourceSansPro-Regular"/>
          <w:b/>
          <w:color w:val="262626"/>
        </w:rPr>
        <w:t>Role of the fundin</w:t>
      </w:r>
      <w:r w:rsidR="008519A1" w:rsidRPr="008519A1">
        <w:rPr>
          <w:rFonts w:asciiTheme="majorHAnsi" w:hAnsiTheme="majorHAnsi" w:cs="SourceSansPro-Regular"/>
          <w:b/>
          <w:color w:val="262626"/>
        </w:rPr>
        <w:t>g source</w:t>
      </w:r>
      <w:r w:rsidR="006C3CF9" w:rsidRPr="006C3CF9">
        <w:rPr>
          <w:rFonts w:asciiTheme="majorHAnsi" w:hAnsiTheme="majorHAnsi" w:cs="SourceSansPro-Regular"/>
          <w:b/>
          <w:color w:val="262626"/>
          <w:highlight w:val="green"/>
        </w:rPr>
        <w:t>:</w:t>
      </w:r>
      <w:r w:rsidRPr="008519A1">
        <w:rPr>
          <w:rFonts w:asciiTheme="majorHAnsi" w:hAnsiTheme="majorHAnsi" w:cs="SourceSansPro-Regular"/>
          <w:b/>
          <w:color w:val="262626"/>
        </w:rPr>
        <w:t xml:space="preserve">  </w:t>
      </w:r>
      <w:r w:rsidRPr="008519A1">
        <w:rPr>
          <w:rFonts w:asciiTheme="majorHAnsi" w:hAnsiTheme="majorHAnsi" w:cs="SourceSansPro-Regular"/>
          <w:color w:val="262626"/>
        </w:rPr>
        <w:t xml:space="preserve">The funder of the study had no role in the study design, data collection, data analysis, data interpretation or writing of the report.  The corresponding author </w:t>
      </w:r>
      <w:r w:rsidR="008519A1" w:rsidRPr="008519A1">
        <w:rPr>
          <w:rFonts w:asciiTheme="majorHAnsi" w:hAnsiTheme="majorHAnsi" w:cs="SourceSansPro-Regular"/>
          <w:color w:val="262626"/>
        </w:rPr>
        <w:t>had full access to all the data in the study and had final responsibility for the decision to submit for publi</w:t>
      </w:r>
      <w:bookmarkStart w:id="0" w:name="_GoBack"/>
      <w:bookmarkEnd w:id="0"/>
      <w:r w:rsidR="008519A1" w:rsidRPr="008519A1">
        <w:rPr>
          <w:rFonts w:asciiTheme="majorHAnsi" w:hAnsiTheme="majorHAnsi" w:cs="SourceSansPro-Regular"/>
          <w:color w:val="262626"/>
        </w:rPr>
        <w:t>cation.</w:t>
      </w:r>
    </w:p>
    <w:p w14:paraId="24DCC3BC" w14:textId="2377F466" w:rsidR="00F63C04" w:rsidRDefault="004E661D" w:rsidP="00F63C04">
      <w:pPr>
        <w:pStyle w:val="Heading2"/>
        <w:spacing w:line="480" w:lineRule="auto"/>
      </w:pPr>
      <w:r w:rsidRPr="008519A1">
        <w:t>Results</w:t>
      </w:r>
    </w:p>
    <w:p w14:paraId="4BE7A327" w14:textId="22F189CC" w:rsidR="00F63C04" w:rsidRDefault="00F63C04" w:rsidP="0060439E">
      <w:pPr>
        <w:spacing w:line="480" w:lineRule="auto"/>
      </w:pPr>
      <w:r>
        <w:t>A total of 142 patient</w:t>
      </w:r>
      <w:r w:rsidR="0060439E">
        <w:t>s were randomised between the 24</w:t>
      </w:r>
      <w:r w:rsidR="0060439E" w:rsidRPr="0060439E">
        <w:rPr>
          <w:vertAlign w:val="superscript"/>
        </w:rPr>
        <w:t>th</w:t>
      </w:r>
      <w:r w:rsidR="0060439E">
        <w:t xml:space="preserve"> October 2011 and 7</w:t>
      </w:r>
      <w:r w:rsidR="0060439E" w:rsidRPr="0060439E">
        <w:rPr>
          <w:vertAlign w:val="superscript"/>
        </w:rPr>
        <w:t>th</w:t>
      </w:r>
      <w:r w:rsidR="0060439E">
        <w:t xml:space="preserve"> October 2013.   Two further patients were recruited beyond the recruitment target as they had already returned written informed consent at the point at which randomisation was complete.  One patient was lost-to-follow up in the study and one patient withdrew consent</w:t>
      </w:r>
      <w:r w:rsidR="00AE0BAF">
        <w:t>.  Figure 1 shows the trial flow diagram.  The final database was locked for analysis on 15</w:t>
      </w:r>
      <w:r w:rsidR="00AE0BAF" w:rsidRPr="00AE0BAF">
        <w:rPr>
          <w:vertAlign w:val="superscript"/>
        </w:rPr>
        <w:t>th</w:t>
      </w:r>
      <w:r w:rsidR="00AE0BAF">
        <w:t xml:space="preserve"> July 2015.</w:t>
      </w:r>
    </w:p>
    <w:p w14:paraId="2740269C" w14:textId="77777777" w:rsidR="00AE0BAF" w:rsidRDefault="00AE0BAF" w:rsidP="0060439E">
      <w:pPr>
        <w:spacing w:line="480" w:lineRule="auto"/>
      </w:pPr>
    </w:p>
    <w:p w14:paraId="6315FDCB" w14:textId="7ED4E002" w:rsidR="00AE0BAF" w:rsidRPr="00F63C04" w:rsidRDefault="00AE0BAF" w:rsidP="0060439E">
      <w:pPr>
        <w:spacing w:line="480" w:lineRule="auto"/>
      </w:pPr>
      <w:r>
        <w:lastRenderedPageBreak/>
        <w:t>Seventy patients were randomised to the Gemcitabine pl</w:t>
      </w:r>
      <w:r w:rsidR="004B26F5">
        <w:t>us Placebo arm and 72 were randomised to Gemcita</w:t>
      </w:r>
      <w:r w:rsidR="000B64E4">
        <w:t xml:space="preserve">bine plus Vandetanib.  The baseline </w:t>
      </w:r>
      <w:proofErr w:type="gramStart"/>
      <w:r w:rsidR="000B64E4">
        <w:t>characteristics of all randomised patients is</w:t>
      </w:r>
      <w:proofErr w:type="gramEnd"/>
      <w:r w:rsidR="000B64E4">
        <w:t xml:space="preserve"> shown in Table 1. Forty-one patients (29%) were locally advanced and 101 (71%) were metastatic.</w:t>
      </w:r>
    </w:p>
    <w:p w14:paraId="3ACD9FD5" w14:textId="1B2E7563" w:rsidR="004E661D" w:rsidRDefault="004E661D" w:rsidP="00C22D3B">
      <w:pPr>
        <w:spacing w:line="480" w:lineRule="auto"/>
        <w:rPr>
          <w:rFonts w:asciiTheme="majorHAnsi" w:hAnsiTheme="majorHAnsi" w:cs="SourceSansPro-Regular"/>
          <w:color w:val="262626"/>
        </w:rPr>
      </w:pPr>
    </w:p>
    <w:p w14:paraId="189A9F89" w14:textId="446E1356" w:rsidR="00076ED8" w:rsidRDefault="000427D8" w:rsidP="00C22D3B">
      <w:pPr>
        <w:spacing w:line="480" w:lineRule="auto"/>
        <w:rPr>
          <w:rFonts w:asciiTheme="majorHAnsi" w:hAnsiTheme="majorHAnsi" w:cs="SourceSansPro-Regular"/>
          <w:color w:val="262626"/>
        </w:rPr>
      </w:pPr>
      <w:r>
        <w:rPr>
          <w:rFonts w:asciiTheme="majorHAnsi" w:hAnsiTheme="majorHAnsi" w:cs="SourceSansPro-Regular"/>
          <w:color w:val="262626"/>
        </w:rPr>
        <w:t xml:space="preserve">One-hundred and thirty one patients had died at the time of analysis, 61 (87%) in the Placebo arm and 70 (97%) in </w:t>
      </w:r>
      <w:r w:rsidR="00076ED8">
        <w:rPr>
          <w:rFonts w:asciiTheme="majorHAnsi" w:hAnsiTheme="majorHAnsi" w:cs="SourceSansPro-Regular"/>
          <w:color w:val="262626"/>
        </w:rPr>
        <w:t xml:space="preserve">the Vandetanib group.  Univariate analysis of survival factors by baseline characteristics is given in Table 2.  </w:t>
      </w:r>
      <w:r>
        <w:rPr>
          <w:rFonts w:asciiTheme="majorHAnsi" w:hAnsiTheme="majorHAnsi" w:cs="SourceSansPro-Regular"/>
          <w:color w:val="262626"/>
        </w:rPr>
        <w:t xml:space="preserve"> </w:t>
      </w:r>
      <w:r w:rsidR="00AE2E83">
        <w:rPr>
          <w:rFonts w:asciiTheme="majorHAnsi" w:hAnsiTheme="majorHAnsi" w:cs="SourceSansPro-Regular"/>
          <w:color w:val="262626"/>
        </w:rPr>
        <w:t>Survival</w:t>
      </w:r>
      <w:r>
        <w:rPr>
          <w:rFonts w:asciiTheme="majorHAnsi" w:hAnsiTheme="majorHAnsi" w:cs="SourceSansPro-Regular"/>
          <w:color w:val="262626"/>
        </w:rPr>
        <w:t xml:space="preserve"> estimates are given in Figure 2.  Median survival estimates are 8.95 (6.55-11.7) months and 8.83 (7.11-11.6) months for the Placebo and Vandetanib arms respectively. </w:t>
      </w:r>
      <w:r w:rsidR="00AE2E83">
        <w:rPr>
          <w:rFonts w:asciiTheme="majorHAnsi" w:hAnsiTheme="majorHAnsi" w:cs="SourceSansPro-Regular"/>
          <w:color w:val="262626"/>
        </w:rPr>
        <w:t xml:space="preserve"> </w:t>
      </w:r>
      <w:r w:rsidR="00076ED8">
        <w:rPr>
          <w:rFonts w:asciiTheme="majorHAnsi" w:hAnsiTheme="majorHAnsi" w:cs="SourceSansPro-Regular"/>
          <w:color w:val="262626"/>
        </w:rPr>
        <w:t>A stratified log-rank t</w:t>
      </w:r>
      <w:r w:rsidR="00E27FED">
        <w:rPr>
          <w:rFonts w:asciiTheme="majorHAnsi" w:hAnsiTheme="majorHAnsi" w:cs="SourceSansPro-Regular"/>
          <w:color w:val="262626"/>
        </w:rPr>
        <w:t>est gives HR  =1.31 (80.8% CI 0.951-1.5</w:t>
      </w:r>
      <w:r w:rsidR="00076ED8">
        <w:rPr>
          <w:rFonts w:asciiTheme="majorHAnsi" w:hAnsiTheme="majorHAnsi" w:cs="SourceSansPro-Regular"/>
          <w:color w:val="262626"/>
        </w:rPr>
        <w:t>3; P=0.3)</w:t>
      </w:r>
      <w:r w:rsidR="00E27FED">
        <w:rPr>
          <w:rFonts w:asciiTheme="majorHAnsi" w:hAnsiTheme="majorHAnsi" w:cs="SourceSansPro-Regular"/>
          <w:color w:val="262626"/>
        </w:rPr>
        <w:t>.</w:t>
      </w:r>
    </w:p>
    <w:p w14:paraId="31A986BC" w14:textId="2DC90CB4" w:rsidR="00FF5F4E" w:rsidRDefault="00FF5F4E" w:rsidP="00C22D3B">
      <w:pPr>
        <w:spacing w:line="480" w:lineRule="auto"/>
        <w:rPr>
          <w:rFonts w:asciiTheme="majorHAnsi" w:hAnsiTheme="majorHAnsi" w:cs="SourceSansPro-Regular"/>
          <w:color w:val="262626"/>
        </w:rPr>
      </w:pPr>
      <w:r>
        <w:rPr>
          <w:rFonts w:asciiTheme="majorHAnsi" w:hAnsiTheme="majorHAnsi" w:cs="SourceSansPro-Regular"/>
          <w:color w:val="262626"/>
        </w:rPr>
        <w:t>SO</w:t>
      </w:r>
    </w:p>
    <w:p w14:paraId="14F90FEA" w14:textId="1A654AE7" w:rsidR="00FF5F4E" w:rsidRPr="008519A1" w:rsidRDefault="00FF5F4E" w:rsidP="00C22D3B">
      <w:pPr>
        <w:spacing w:line="480" w:lineRule="auto"/>
        <w:rPr>
          <w:rFonts w:asciiTheme="majorHAnsi" w:hAnsiTheme="majorHAnsi" w:cs="SourceSansPro-Regular"/>
          <w:color w:val="262626"/>
        </w:rPr>
      </w:pPr>
      <w:proofErr w:type="spellStart"/>
      <w:r>
        <w:rPr>
          <w:rFonts w:asciiTheme="majorHAnsi" w:hAnsiTheme="majorHAnsi" w:cs="SourceSansPro-Regular"/>
          <w:color w:val="262626"/>
        </w:rPr>
        <w:t>Tox</w:t>
      </w:r>
      <w:proofErr w:type="spellEnd"/>
    </w:p>
    <w:p w14:paraId="7D79904F" w14:textId="77777777" w:rsidR="004E661D" w:rsidRDefault="004E661D" w:rsidP="00C22D3B">
      <w:pPr>
        <w:pStyle w:val="Heading2"/>
        <w:spacing w:line="480" w:lineRule="auto"/>
      </w:pPr>
      <w:r w:rsidRPr="008519A1">
        <w:t>Discussion</w:t>
      </w:r>
    </w:p>
    <w:p w14:paraId="29BA0CA3" w14:textId="77777777" w:rsidR="00FF5F4E" w:rsidRDefault="00FF5F4E" w:rsidP="00FF5F4E"/>
    <w:p w14:paraId="618399B0" w14:textId="7AB30A62" w:rsidR="00FF5F4E" w:rsidRPr="00FF5F4E" w:rsidRDefault="00FF5F4E" w:rsidP="00FF5F4E">
      <w:pPr>
        <w:pStyle w:val="Heading2"/>
      </w:pPr>
      <w:r>
        <w:t>Panel: Research in context</w:t>
      </w:r>
    </w:p>
    <w:p w14:paraId="3BA2100D" w14:textId="77777777" w:rsidR="005403CC" w:rsidRPr="008519A1" w:rsidRDefault="005403CC" w:rsidP="00C22D3B">
      <w:pPr>
        <w:spacing w:line="480" w:lineRule="auto"/>
        <w:rPr>
          <w:rFonts w:asciiTheme="majorHAnsi" w:hAnsiTheme="majorHAnsi"/>
        </w:rPr>
      </w:pPr>
    </w:p>
    <w:p w14:paraId="534E852F" w14:textId="77777777" w:rsidR="00C22D3B" w:rsidRPr="008519A1" w:rsidRDefault="00C22D3B" w:rsidP="00C22D3B">
      <w:pPr>
        <w:spacing w:line="480" w:lineRule="auto"/>
        <w:rPr>
          <w:rFonts w:asciiTheme="majorHAnsi" w:hAnsiTheme="majorHAnsi"/>
        </w:rPr>
      </w:pPr>
      <w:r w:rsidRPr="008519A1">
        <w:rPr>
          <w:rFonts w:asciiTheme="majorHAnsi" w:hAnsiTheme="majorHAnsi"/>
        </w:rPr>
        <w:br w:type="page"/>
      </w:r>
    </w:p>
    <w:p w14:paraId="06583A56" w14:textId="77777777" w:rsidR="00505D3B" w:rsidRPr="008519A1" w:rsidRDefault="00505D3B" w:rsidP="007E1461">
      <w:pPr>
        <w:pStyle w:val="Heading2"/>
      </w:pPr>
      <w:r w:rsidRPr="008519A1">
        <w:lastRenderedPageBreak/>
        <w:t>References (30 max)</w:t>
      </w:r>
      <w:r w:rsidR="004E661D" w:rsidRPr="008519A1">
        <w:t xml:space="preserve"> (Vancouver)</w:t>
      </w:r>
    </w:p>
    <w:p w14:paraId="2F3EEFB3" w14:textId="691DBE68" w:rsidR="00AC6CD7" w:rsidRPr="00EF2BA9" w:rsidRDefault="00AC6CD7" w:rsidP="00EF2BA9">
      <w:pPr>
        <w:pStyle w:val="NormalWeb"/>
        <w:numPr>
          <w:ilvl w:val="0"/>
          <w:numId w:val="2"/>
        </w:numPr>
        <w:spacing w:line="480" w:lineRule="auto"/>
      </w:pPr>
      <w:r w:rsidRPr="00EF2BA9">
        <w:t xml:space="preserve">Herrmann R, </w:t>
      </w:r>
      <w:proofErr w:type="spellStart"/>
      <w:r w:rsidRPr="00EF2BA9">
        <w:t>Bodoky</w:t>
      </w:r>
      <w:proofErr w:type="spellEnd"/>
      <w:r w:rsidRPr="00EF2BA9">
        <w:t xml:space="preserve"> G, </w:t>
      </w:r>
      <w:proofErr w:type="spellStart"/>
      <w:r w:rsidRPr="00EF2BA9">
        <w:t>Ruhstaller</w:t>
      </w:r>
      <w:proofErr w:type="spellEnd"/>
      <w:r w:rsidRPr="00EF2BA9">
        <w:t xml:space="preserve"> T, </w:t>
      </w:r>
      <w:proofErr w:type="spellStart"/>
      <w:r w:rsidRPr="00EF2BA9">
        <w:t>Glimelius</w:t>
      </w:r>
      <w:proofErr w:type="spellEnd"/>
      <w:r w:rsidRPr="00EF2BA9">
        <w:t xml:space="preserve"> B, </w:t>
      </w:r>
      <w:proofErr w:type="spellStart"/>
      <w:r w:rsidRPr="00EF2BA9">
        <w:t>Bajetta</w:t>
      </w:r>
      <w:proofErr w:type="spellEnd"/>
      <w:r w:rsidRPr="00EF2BA9">
        <w:t xml:space="preserve"> E, </w:t>
      </w:r>
      <w:proofErr w:type="spellStart"/>
      <w:r w:rsidRPr="00EF2BA9">
        <w:t>Schüller</w:t>
      </w:r>
      <w:proofErr w:type="spellEnd"/>
      <w:r w:rsidRPr="00EF2BA9">
        <w:t xml:space="preserve"> J, et al. Gemcitabine plus capecitabine compared with gemcitabine alone in advanced pancreatic cancer: a randomized, multicenter, phase III trial of the Swiss Group for Clinical Cancer Research and the Central European Cooperative Oncology Group. J </w:t>
      </w:r>
      <w:proofErr w:type="spellStart"/>
      <w:r w:rsidRPr="00EF2BA9">
        <w:t>Clin</w:t>
      </w:r>
      <w:proofErr w:type="spellEnd"/>
      <w:r w:rsidRPr="00EF2BA9">
        <w:t xml:space="preserve"> </w:t>
      </w:r>
      <w:proofErr w:type="spellStart"/>
      <w:r w:rsidRPr="00EF2BA9">
        <w:t>Oncol</w:t>
      </w:r>
      <w:proofErr w:type="spellEnd"/>
      <w:r w:rsidRPr="00EF2BA9">
        <w:t>. American Society of Clinical Oncology; 2007</w:t>
      </w:r>
      <w:proofErr w:type="gramStart"/>
      <w:r w:rsidRPr="00EF2BA9">
        <w:t>;25</w:t>
      </w:r>
      <w:proofErr w:type="gramEnd"/>
      <w:r w:rsidRPr="00EF2BA9">
        <w:t xml:space="preserve">(16):2212–7.  </w:t>
      </w:r>
    </w:p>
    <w:p w14:paraId="3C1BD7E6" w14:textId="49DE74D6" w:rsidR="00AC6CD7" w:rsidRPr="00EF2BA9" w:rsidRDefault="00AC6CD7" w:rsidP="00EF2BA9">
      <w:pPr>
        <w:pStyle w:val="NormalWeb"/>
        <w:numPr>
          <w:ilvl w:val="0"/>
          <w:numId w:val="2"/>
        </w:numPr>
        <w:spacing w:line="480" w:lineRule="auto"/>
      </w:pPr>
      <w:r w:rsidRPr="00EF2BA9">
        <w:t xml:space="preserve">Cunningham D, Chau I, </w:t>
      </w:r>
      <w:proofErr w:type="spellStart"/>
      <w:r w:rsidRPr="00EF2BA9">
        <w:t>Stocken</w:t>
      </w:r>
      <w:proofErr w:type="spellEnd"/>
      <w:r w:rsidRPr="00EF2BA9">
        <w:t xml:space="preserve"> DD, Valle JW, Smith D, Steward W, et al. Phase III randomized comparison of gemcitabine versus gemcitabine plus capecitabine in patients with advanced pancreatic cancer. Journal of Clinical Oncology. 2009.  </w:t>
      </w:r>
    </w:p>
    <w:p w14:paraId="01C2BC0E" w14:textId="7A9653EE" w:rsidR="00505D3B" w:rsidRPr="00EF2BA9" w:rsidRDefault="00AC6CD7" w:rsidP="00EF2BA9">
      <w:pPr>
        <w:pStyle w:val="NormalWeb"/>
        <w:numPr>
          <w:ilvl w:val="0"/>
          <w:numId w:val="2"/>
        </w:numPr>
        <w:spacing w:line="480" w:lineRule="auto"/>
      </w:pPr>
      <w:r w:rsidRPr="00EF2BA9">
        <w:t xml:space="preserve">Van </w:t>
      </w:r>
      <w:proofErr w:type="spellStart"/>
      <w:r w:rsidRPr="00EF2BA9">
        <w:t>Cutsem</w:t>
      </w:r>
      <w:proofErr w:type="spellEnd"/>
      <w:r w:rsidRPr="00EF2BA9">
        <w:t xml:space="preserve"> E, </w:t>
      </w:r>
      <w:proofErr w:type="spellStart"/>
      <w:r w:rsidRPr="00EF2BA9">
        <w:t>Vervenne</w:t>
      </w:r>
      <w:proofErr w:type="spellEnd"/>
      <w:r w:rsidRPr="00EF2BA9">
        <w:t xml:space="preserve"> WL, </w:t>
      </w:r>
      <w:proofErr w:type="spellStart"/>
      <w:r w:rsidRPr="00EF2BA9">
        <w:t>Bennouna</w:t>
      </w:r>
      <w:proofErr w:type="spellEnd"/>
      <w:r w:rsidRPr="00EF2BA9">
        <w:t xml:space="preserve"> J, </w:t>
      </w:r>
      <w:proofErr w:type="spellStart"/>
      <w:r w:rsidRPr="00EF2BA9">
        <w:t>Humblet</w:t>
      </w:r>
      <w:proofErr w:type="spellEnd"/>
      <w:r w:rsidRPr="00EF2BA9">
        <w:t xml:space="preserve"> Y, Gill S, Van </w:t>
      </w:r>
      <w:proofErr w:type="spellStart"/>
      <w:r w:rsidRPr="00EF2BA9">
        <w:t>Laethem</w:t>
      </w:r>
      <w:proofErr w:type="spellEnd"/>
      <w:r w:rsidRPr="00EF2BA9">
        <w:t xml:space="preserve"> JL, et al. Phase III trial of </w:t>
      </w:r>
      <w:proofErr w:type="spellStart"/>
      <w:r w:rsidRPr="00EF2BA9">
        <w:t>bevacizumab</w:t>
      </w:r>
      <w:proofErr w:type="spellEnd"/>
      <w:r w:rsidRPr="00EF2BA9">
        <w:t xml:space="preserve"> in combination with gemcitabine and </w:t>
      </w:r>
      <w:proofErr w:type="spellStart"/>
      <w:r w:rsidRPr="00EF2BA9">
        <w:t>erlotinib</w:t>
      </w:r>
      <w:proofErr w:type="spellEnd"/>
      <w:r w:rsidRPr="00EF2BA9">
        <w:t xml:space="preserve"> in patients with metastatic pancreatic cancer. Journal of Clinical Oncology. 2009.</w:t>
      </w:r>
    </w:p>
    <w:p w14:paraId="41CFEC29" w14:textId="61194556" w:rsidR="00EF2BA9" w:rsidRDefault="00EF2BA9" w:rsidP="00EF2BA9">
      <w:pPr>
        <w:pStyle w:val="NormalWeb"/>
        <w:numPr>
          <w:ilvl w:val="0"/>
          <w:numId w:val="2"/>
        </w:numPr>
        <w:spacing w:line="480" w:lineRule="auto"/>
      </w:pPr>
      <w:r>
        <w:t xml:space="preserve">Kaplan EL, Meier P. Nonparametric Estimation from Incomplete Observations. J Am Stat </w:t>
      </w:r>
      <w:proofErr w:type="spellStart"/>
      <w:r>
        <w:t>Assoc</w:t>
      </w:r>
      <w:proofErr w:type="spellEnd"/>
      <w:r>
        <w:t xml:space="preserve"> [Internet]. JSTOR; 1958</w:t>
      </w:r>
      <w:proofErr w:type="gramStart"/>
      <w:r>
        <w:t>;53</w:t>
      </w:r>
      <w:proofErr w:type="gramEnd"/>
      <w:r>
        <w:t xml:space="preserve">(282):457–81. Available from: </w:t>
      </w:r>
      <w:hyperlink r:id="rId8" w:history="1">
        <w:r w:rsidRPr="00823D48">
          <w:rPr>
            <w:rStyle w:val="Hyperlink"/>
          </w:rPr>
          <w:t>http://www.jstor.org/stable/2281868</w:t>
        </w:r>
      </w:hyperlink>
    </w:p>
    <w:p w14:paraId="76E35063" w14:textId="726DB2D1" w:rsidR="00EF2BA9" w:rsidRDefault="00EF2BA9" w:rsidP="00EF2BA9">
      <w:pPr>
        <w:pStyle w:val="NormalWeb"/>
        <w:numPr>
          <w:ilvl w:val="0"/>
          <w:numId w:val="2"/>
        </w:numPr>
        <w:spacing w:line="480" w:lineRule="auto"/>
      </w:pPr>
      <w:proofErr w:type="spellStart"/>
      <w:r>
        <w:t>Peto</w:t>
      </w:r>
      <w:proofErr w:type="spellEnd"/>
      <w:r>
        <w:t xml:space="preserve"> R, </w:t>
      </w:r>
      <w:proofErr w:type="spellStart"/>
      <w:r>
        <w:t>Peto</w:t>
      </w:r>
      <w:proofErr w:type="spellEnd"/>
      <w:r>
        <w:t xml:space="preserve"> J. Asymptotically efficient rank invariant test procedures. J Biometrics [Internet]. 1972</w:t>
      </w:r>
      <w:proofErr w:type="gramStart"/>
      <w:r>
        <w:t>;135</w:t>
      </w:r>
      <w:proofErr w:type="gramEnd"/>
      <w:r>
        <w:t xml:space="preserve">(2):185–207. Available from: </w:t>
      </w:r>
      <w:hyperlink r:id="rId9" w:history="1">
        <w:r w:rsidR="003C72E8" w:rsidRPr="00823D48">
          <w:rPr>
            <w:rStyle w:val="Hyperlink"/>
          </w:rPr>
          <w:t>http://www.jstor.org/stable/2344317</w:t>
        </w:r>
      </w:hyperlink>
    </w:p>
    <w:p w14:paraId="35DA9804" w14:textId="226157D6" w:rsidR="003C72E8" w:rsidRDefault="003C72E8" w:rsidP="003C72E8">
      <w:pPr>
        <w:pStyle w:val="NormalWeb"/>
        <w:numPr>
          <w:ilvl w:val="0"/>
          <w:numId w:val="2"/>
        </w:numPr>
      </w:pPr>
      <w:r>
        <w:t xml:space="preserve">Cox DR. Regression models and life tables. R Stat </w:t>
      </w:r>
      <w:proofErr w:type="spellStart"/>
      <w:r>
        <w:t>Soc</w:t>
      </w:r>
      <w:proofErr w:type="spellEnd"/>
      <w:r>
        <w:t xml:space="preserve"> </w:t>
      </w:r>
      <w:proofErr w:type="spellStart"/>
      <w:r>
        <w:t>Ser</w:t>
      </w:r>
      <w:proofErr w:type="spellEnd"/>
      <w:r>
        <w:t xml:space="preserve"> B [Internet]. 1972</w:t>
      </w:r>
      <w:proofErr w:type="gramStart"/>
      <w:r>
        <w:t>;34</w:t>
      </w:r>
      <w:proofErr w:type="gramEnd"/>
      <w:r>
        <w:t>(2):187–220. Available from: http://people.musc.edu/~wolfb/BMRTY722_Summer2013/Articles/CoxPHModel_original_paper.pdf</w:t>
      </w:r>
    </w:p>
    <w:p w14:paraId="4039AECF" w14:textId="5045B152" w:rsidR="003C72E8" w:rsidRDefault="003C72E8" w:rsidP="00EF2BA9">
      <w:pPr>
        <w:pStyle w:val="NormalWeb"/>
        <w:numPr>
          <w:ilvl w:val="0"/>
          <w:numId w:val="2"/>
        </w:numPr>
        <w:spacing w:line="480" w:lineRule="auto"/>
      </w:pPr>
      <w:proofErr w:type="spellStart"/>
      <w:r w:rsidRPr="003C72E8">
        <w:t>Akaike</w:t>
      </w:r>
      <w:proofErr w:type="spellEnd"/>
      <w:r w:rsidRPr="003C72E8">
        <w:t xml:space="preserve"> H. A new look at the statistical model identification. IEEE Trans Automat Contr. 1974</w:t>
      </w:r>
      <w:proofErr w:type="gramStart"/>
      <w:r w:rsidRPr="003C72E8">
        <w:t>;19</w:t>
      </w:r>
      <w:proofErr w:type="gramEnd"/>
      <w:r w:rsidRPr="003C72E8">
        <w:t>(6).</w:t>
      </w:r>
    </w:p>
    <w:p w14:paraId="471F8CB1" w14:textId="3076ED9D" w:rsidR="004C4067" w:rsidRDefault="004C4067" w:rsidP="00EF2BA9">
      <w:pPr>
        <w:pStyle w:val="NormalWeb"/>
        <w:numPr>
          <w:ilvl w:val="0"/>
          <w:numId w:val="2"/>
        </w:numPr>
        <w:spacing w:line="480" w:lineRule="auto"/>
      </w:pPr>
      <w:proofErr w:type="spellStart"/>
      <w:r w:rsidRPr="004C4067">
        <w:t>Trotti</w:t>
      </w:r>
      <w:proofErr w:type="spellEnd"/>
      <w:r w:rsidRPr="004C4067">
        <w:t xml:space="preserve"> A, </w:t>
      </w:r>
      <w:proofErr w:type="spellStart"/>
      <w:r w:rsidRPr="004C4067">
        <w:t>Pajak</w:t>
      </w:r>
      <w:proofErr w:type="spellEnd"/>
      <w:r w:rsidRPr="004C4067">
        <w:t xml:space="preserve"> TF, </w:t>
      </w:r>
      <w:proofErr w:type="spellStart"/>
      <w:r w:rsidRPr="004C4067">
        <w:t>Gwede</w:t>
      </w:r>
      <w:proofErr w:type="spellEnd"/>
      <w:r w:rsidRPr="004C4067">
        <w:t xml:space="preserve"> CK, Paulus R, Cooper J, </w:t>
      </w:r>
      <w:proofErr w:type="spellStart"/>
      <w:r w:rsidRPr="004C4067">
        <w:t>Forastiere</w:t>
      </w:r>
      <w:proofErr w:type="spellEnd"/>
      <w:r w:rsidRPr="004C4067">
        <w:t xml:space="preserve"> A, et al. TAME: development of a new method for summarising adverse events of cancer treatment by the Radiation Therapy Oncology Group. Lancet </w:t>
      </w:r>
      <w:proofErr w:type="spellStart"/>
      <w:r w:rsidRPr="004C4067">
        <w:t>Oncol</w:t>
      </w:r>
      <w:proofErr w:type="spellEnd"/>
      <w:r w:rsidRPr="004C4067">
        <w:t>. Elsevier; 2007</w:t>
      </w:r>
      <w:proofErr w:type="gramStart"/>
      <w:r w:rsidRPr="004C4067">
        <w:t>;8</w:t>
      </w:r>
      <w:proofErr w:type="gramEnd"/>
      <w:r w:rsidRPr="004C4067">
        <w:t>(7):613–24.</w:t>
      </w:r>
    </w:p>
    <w:p w14:paraId="65882867" w14:textId="77777777" w:rsidR="00EF2BA9" w:rsidRDefault="00EF2BA9" w:rsidP="00EF2BA9">
      <w:pPr>
        <w:pStyle w:val="NormalWeb"/>
      </w:pPr>
    </w:p>
    <w:p w14:paraId="2DB131AB" w14:textId="765F11CF" w:rsidR="00EF2BA9" w:rsidRPr="008519A1" w:rsidRDefault="00EF2BA9" w:rsidP="00C22D3B">
      <w:pPr>
        <w:spacing w:line="480" w:lineRule="auto"/>
        <w:rPr>
          <w:rFonts w:asciiTheme="majorHAnsi" w:hAnsiTheme="majorHAnsi"/>
        </w:rPr>
      </w:pPr>
    </w:p>
    <w:p w14:paraId="26B50B27" w14:textId="77777777" w:rsidR="00C22D3B" w:rsidRPr="008519A1" w:rsidRDefault="00C22D3B" w:rsidP="00C22D3B">
      <w:pPr>
        <w:spacing w:line="480" w:lineRule="auto"/>
        <w:rPr>
          <w:rFonts w:asciiTheme="majorHAnsi" w:hAnsiTheme="majorHAnsi"/>
        </w:rPr>
      </w:pPr>
      <w:r w:rsidRPr="008519A1">
        <w:rPr>
          <w:rFonts w:asciiTheme="majorHAnsi" w:hAnsiTheme="majorHAnsi"/>
        </w:rPr>
        <w:br w:type="page"/>
      </w:r>
    </w:p>
    <w:p w14:paraId="0A799524" w14:textId="77777777" w:rsidR="00505D3B" w:rsidRDefault="00505D3B" w:rsidP="006F00D7">
      <w:pPr>
        <w:pStyle w:val="Heading2"/>
      </w:pPr>
      <w:r w:rsidRPr="008519A1">
        <w:lastRenderedPageBreak/>
        <w:t>Figures and Tables (INC. consort Diagram)</w:t>
      </w:r>
    </w:p>
    <w:p w14:paraId="2D16950F" w14:textId="77777777" w:rsidR="000427D8" w:rsidRDefault="000427D8" w:rsidP="000427D8"/>
    <w:p w14:paraId="68E6B2FF" w14:textId="5E268201" w:rsidR="000427D8" w:rsidRDefault="000427D8" w:rsidP="000427D8">
      <w:r>
        <w:t>Figure 1: Consort Diagram</w:t>
      </w:r>
    </w:p>
    <w:p w14:paraId="42E97218" w14:textId="77777777" w:rsidR="0038747B" w:rsidRDefault="0038747B" w:rsidP="000427D8"/>
    <w:p w14:paraId="56612C20" w14:textId="72730DE8" w:rsidR="000427D8" w:rsidRDefault="0038747B" w:rsidP="000427D8">
      <w:r>
        <w:rPr>
          <w:noProof/>
          <w:lang w:val="en-GB" w:eastAsia="en-GB"/>
        </w:rPr>
        <w:drawing>
          <wp:inline distT="0" distB="0" distL="0" distR="0" wp14:anchorId="140613DC" wp14:editId="6E5FF626">
            <wp:extent cx="5264150" cy="4286250"/>
            <wp:effectExtent l="0" t="0" r="0" b="6350"/>
            <wp:docPr id="2" name="Picture 2" descr="MacintoshHD:Users:RichJ23:Desktop:Screen Shot 2015-11-23 at 15.0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RichJ23:Desktop:Screen Shot 2015-11-23 at 15.03.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150" cy="4286250"/>
                    </a:xfrm>
                    <a:prstGeom prst="rect">
                      <a:avLst/>
                    </a:prstGeom>
                    <a:noFill/>
                    <a:ln>
                      <a:noFill/>
                    </a:ln>
                  </pic:spPr>
                </pic:pic>
              </a:graphicData>
            </a:graphic>
          </wp:inline>
        </w:drawing>
      </w:r>
    </w:p>
    <w:p w14:paraId="65844F4F" w14:textId="77777777" w:rsidR="0038747B" w:rsidRDefault="0038747B" w:rsidP="000427D8"/>
    <w:p w14:paraId="1FE37021" w14:textId="77777777" w:rsidR="0038747B" w:rsidRDefault="0038747B" w:rsidP="000427D8"/>
    <w:p w14:paraId="6AE0974A" w14:textId="1795B66E" w:rsidR="000427D8" w:rsidRDefault="000427D8">
      <w:r>
        <w:br w:type="page"/>
      </w:r>
    </w:p>
    <w:p w14:paraId="4E5191E2" w14:textId="0D28A222" w:rsidR="000427D8" w:rsidRDefault="000427D8" w:rsidP="000427D8">
      <w:r>
        <w:lastRenderedPageBreak/>
        <w:t>Figure 2: Kaplan Meier Plot</w:t>
      </w:r>
    </w:p>
    <w:p w14:paraId="4518E0C7" w14:textId="77777777" w:rsidR="000427D8" w:rsidRPr="000427D8" w:rsidRDefault="000427D8" w:rsidP="000427D8"/>
    <w:p w14:paraId="191B4B45" w14:textId="2EBBB190" w:rsidR="006F00D7" w:rsidRDefault="000427D8" w:rsidP="00C22D3B">
      <w:pPr>
        <w:spacing w:line="480" w:lineRule="auto"/>
        <w:rPr>
          <w:rFonts w:asciiTheme="majorHAnsi" w:hAnsiTheme="majorHAnsi"/>
        </w:rPr>
      </w:pPr>
      <w:r>
        <w:rPr>
          <w:rFonts w:asciiTheme="majorHAnsi" w:hAnsiTheme="majorHAnsi"/>
          <w:noProof/>
          <w:lang w:val="en-GB" w:eastAsia="en-GB"/>
        </w:rPr>
        <w:drawing>
          <wp:inline distT="0" distB="0" distL="0" distR="0" wp14:anchorId="0C055168" wp14:editId="351982CD">
            <wp:extent cx="5270500" cy="3263900"/>
            <wp:effectExtent l="0" t="0" r="0" b="0"/>
            <wp:docPr id="22" name="Picture 22" descr="crc-lctu:Statistical Documents:Trials:VIP:Manuscript:KM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lctu:Statistical Documents:Trials:VIP:Manuscript:KMOS.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263900"/>
                    </a:xfrm>
                    <a:prstGeom prst="rect">
                      <a:avLst/>
                    </a:prstGeom>
                    <a:noFill/>
                    <a:ln>
                      <a:noFill/>
                    </a:ln>
                  </pic:spPr>
                </pic:pic>
              </a:graphicData>
            </a:graphic>
          </wp:inline>
        </w:drawing>
      </w:r>
    </w:p>
    <w:p w14:paraId="0A9B917A" w14:textId="77777777" w:rsidR="000427D8" w:rsidRDefault="000427D8">
      <w:pPr>
        <w:rPr>
          <w:rFonts w:asciiTheme="majorHAnsi" w:hAnsiTheme="majorHAnsi"/>
        </w:rPr>
      </w:pPr>
      <w:r>
        <w:rPr>
          <w:rFonts w:asciiTheme="majorHAnsi" w:hAnsiTheme="majorHAnsi"/>
        </w:rPr>
        <w:br w:type="page"/>
      </w:r>
    </w:p>
    <w:p w14:paraId="1DD5DB28" w14:textId="30455431" w:rsidR="00A078BA" w:rsidRDefault="006F00D7" w:rsidP="00A078BA">
      <w:pPr>
        <w:spacing w:line="480" w:lineRule="auto"/>
        <w:rPr>
          <w:rFonts w:ascii="Calibri" w:eastAsia="Times New Roman" w:hAnsi="Calibri" w:cs="Times New Roman"/>
          <w:b/>
          <w:bCs/>
          <w:i/>
          <w:iCs/>
          <w:sz w:val="22"/>
          <w:szCs w:val="22"/>
          <w:lang w:val="en-GB"/>
        </w:rPr>
      </w:pPr>
      <w:r>
        <w:rPr>
          <w:rFonts w:asciiTheme="majorHAnsi" w:hAnsiTheme="majorHAnsi"/>
        </w:rPr>
        <w:lastRenderedPageBreak/>
        <w:t>Table 1: Baseline characteristics of the intention to treat population</w:t>
      </w:r>
    </w:p>
    <w:tbl>
      <w:tblPr>
        <w:tblW w:w="9080" w:type="dxa"/>
        <w:tblInd w:w="93" w:type="dxa"/>
        <w:tblLook w:val="04A0" w:firstRow="1" w:lastRow="0" w:firstColumn="1" w:lastColumn="0" w:noHBand="0" w:noVBand="1"/>
      </w:tblPr>
      <w:tblGrid>
        <w:gridCol w:w="3012"/>
        <w:gridCol w:w="2219"/>
        <w:gridCol w:w="1989"/>
        <w:gridCol w:w="1860"/>
      </w:tblGrid>
      <w:tr w:rsidR="00A078BA" w:rsidRPr="00A078BA" w14:paraId="54A0D32C" w14:textId="77777777" w:rsidTr="00A078BA">
        <w:trPr>
          <w:trHeight w:val="580"/>
        </w:trPr>
        <w:tc>
          <w:tcPr>
            <w:tcW w:w="3012" w:type="dxa"/>
            <w:tcBorders>
              <w:top w:val="nil"/>
              <w:left w:val="nil"/>
              <w:bottom w:val="double" w:sz="6" w:space="0" w:color="auto"/>
              <w:right w:val="single" w:sz="8" w:space="0" w:color="auto"/>
            </w:tcBorders>
            <w:shd w:val="clear" w:color="auto" w:fill="auto"/>
            <w:vAlign w:val="center"/>
            <w:hideMark/>
          </w:tcPr>
          <w:p w14:paraId="31F2AD3E" w14:textId="77777777" w:rsidR="00A078BA" w:rsidRPr="00A078BA" w:rsidRDefault="00A078BA" w:rsidP="00A078BA">
            <w:pPr>
              <w:jc w:val="center"/>
              <w:rPr>
                <w:rFonts w:ascii="Calibri" w:eastAsia="Times New Roman" w:hAnsi="Calibri" w:cs="Times New Roman"/>
                <w:b/>
                <w:bCs/>
                <w:i/>
                <w:iCs/>
                <w:color w:val="000000"/>
                <w:sz w:val="22"/>
                <w:szCs w:val="22"/>
                <w:lang w:val="en-GB"/>
              </w:rPr>
            </w:pPr>
            <w:r w:rsidRPr="00A078BA">
              <w:rPr>
                <w:rFonts w:ascii="Calibri" w:eastAsia="Times New Roman" w:hAnsi="Calibri" w:cs="Times New Roman"/>
                <w:b/>
                <w:bCs/>
                <w:i/>
                <w:iCs/>
                <w:color w:val="000000"/>
                <w:sz w:val="22"/>
                <w:szCs w:val="22"/>
                <w:lang w:val="en-GB"/>
              </w:rPr>
              <w:t>Clinical Characteristic</w:t>
            </w:r>
          </w:p>
        </w:tc>
        <w:tc>
          <w:tcPr>
            <w:tcW w:w="2219" w:type="dxa"/>
            <w:tcBorders>
              <w:top w:val="nil"/>
              <w:left w:val="nil"/>
              <w:bottom w:val="double" w:sz="6" w:space="0" w:color="auto"/>
              <w:right w:val="nil"/>
            </w:tcBorders>
            <w:shd w:val="clear" w:color="auto" w:fill="auto"/>
            <w:vAlign w:val="center"/>
            <w:hideMark/>
          </w:tcPr>
          <w:p w14:paraId="45ECFC2A" w14:textId="77777777" w:rsidR="00A078BA" w:rsidRPr="00A078BA" w:rsidRDefault="00A078BA" w:rsidP="00A078BA">
            <w:pPr>
              <w:jc w:val="cente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Gemcitabine plus Placebo (n=70)</w:t>
            </w:r>
          </w:p>
        </w:tc>
        <w:tc>
          <w:tcPr>
            <w:tcW w:w="1989" w:type="dxa"/>
            <w:tcBorders>
              <w:top w:val="nil"/>
              <w:left w:val="nil"/>
              <w:bottom w:val="double" w:sz="6" w:space="0" w:color="auto"/>
              <w:right w:val="single" w:sz="8" w:space="0" w:color="auto"/>
            </w:tcBorders>
            <w:shd w:val="clear" w:color="auto" w:fill="auto"/>
            <w:vAlign w:val="center"/>
            <w:hideMark/>
          </w:tcPr>
          <w:p w14:paraId="2F92AC87" w14:textId="77777777" w:rsidR="00A078BA" w:rsidRPr="00A078BA" w:rsidRDefault="00A078BA" w:rsidP="00A078BA">
            <w:pPr>
              <w:jc w:val="cente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Gemcitabine plus Vandetanib (n=72)</w:t>
            </w:r>
          </w:p>
        </w:tc>
        <w:tc>
          <w:tcPr>
            <w:tcW w:w="1860" w:type="dxa"/>
            <w:tcBorders>
              <w:top w:val="nil"/>
              <w:left w:val="nil"/>
              <w:bottom w:val="double" w:sz="6" w:space="0" w:color="auto"/>
              <w:right w:val="nil"/>
            </w:tcBorders>
            <w:shd w:val="clear" w:color="auto" w:fill="auto"/>
            <w:vAlign w:val="center"/>
            <w:hideMark/>
          </w:tcPr>
          <w:p w14:paraId="28F185A5" w14:textId="77777777" w:rsidR="00A078BA" w:rsidRPr="00A078BA" w:rsidRDefault="00A078BA" w:rsidP="00A078BA">
            <w:pPr>
              <w:jc w:val="cente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TOTAL</w:t>
            </w:r>
          </w:p>
        </w:tc>
      </w:tr>
      <w:tr w:rsidR="00A078BA" w:rsidRPr="00A078BA" w14:paraId="30661705" w14:textId="77777777" w:rsidTr="00A078BA">
        <w:trPr>
          <w:trHeight w:val="320"/>
        </w:trPr>
        <w:tc>
          <w:tcPr>
            <w:tcW w:w="3012" w:type="dxa"/>
            <w:tcBorders>
              <w:top w:val="nil"/>
              <w:left w:val="nil"/>
              <w:bottom w:val="nil"/>
              <w:right w:val="single" w:sz="8" w:space="0" w:color="auto"/>
            </w:tcBorders>
            <w:shd w:val="clear" w:color="auto" w:fill="auto"/>
            <w:noWrap/>
            <w:vAlign w:val="center"/>
            <w:hideMark/>
          </w:tcPr>
          <w:p w14:paraId="38D21CB8"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 xml:space="preserve">Gender, </w:t>
            </w:r>
            <w:r w:rsidRPr="00A078BA">
              <w:rPr>
                <w:rFonts w:ascii="Calibri" w:eastAsia="Times New Roman" w:hAnsi="Calibri" w:cs="Times New Roman"/>
                <w:color w:val="000000"/>
                <w:sz w:val="22"/>
                <w:szCs w:val="22"/>
                <w:lang w:val="en-GB"/>
              </w:rPr>
              <w:t>n (%)</w:t>
            </w:r>
          </w:p>
        </w:tc>
        <w:tc>
          <w:tcPr>
            <w:tcW w:w="2219" w:type="dxa"/>
            <w:tcBorders>
              <w:top w:val="nil"/>
              <w:left w:val="nil"/>
              <w:bottom w:val="nil"/>
              <w:right w:val="nil"/>
            </w:tcBorders>
            <w:shd w:val="clear" w:color="auto" w:fill="auto"/>
            <w:vAlign w:val="center"/>
            <w:hideMark/>
          </w:tcPr>
          <w:p w14:paraId="6FA4A199" w14:textId="77777777" w:rsidR="00A078BA" w:rsidRPr="00A078BA" w:rsidRDefault="00A078BA" w:rsidP="00A078BA">
            <w:pPr>
              <w:rPr>
                <w:rFonts w:ascii="Cambria" w:eastAsia="Times New Roman" w:hAnsi="Cambria" w:cs="Times New Roman"/>
                <w:color w:val="000000"/>
                <w:lang w:val="en-GB"/>
              </w:rPr>
            </w:pPr>
          </w:p>
        </w:tc>
        <w:tc>
          <w:tcPr>
            <w:tcW w:w="1989" w:type="dxa"/>
            <w:tcBorders>
              <w:top w:val="nil"/>
              <w:left w:val="nil"/>
              <w:bottom w:val="nil"/>
              <w:right w:val="single" w:sz="8" w:space="0" w:color="auto"/>
            </w:tcBorders>
            <w:shd w:val="clear" w:color="auto" w:fill="auto"/>
            <w:vAlign w:val="center"/>
            <w:hideMark/>
          </w:tcPr>
          <w:p w14:paraId="19D853DC" w14:textId="77777777" w:rsidR="00A078BA" w:rsidRPr="00A078BA" w:rsidRDefault="00A078BA" w:rsidP="00A078BA">
            <w:pPr>
              <w:jc w:val="cente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 </w:t>
            </w:r>
          </w:p>
        </w:tc>
        <w:tc>
          <w:tcPr>
            <w:tcW w:w="1860" w:type="dxa"/>
            <w:tcBorders>
              <w:top w:val="nil"/>
              <w:left w:val="nil"/>
              <w:bottom w:val="nil"/>
              <w:right w:val="nil"/>
            </w:tcBorders>
            <w:shd w:val="clear" w:color="auto" w:fill="auto"/>
            <w:vAlign w:val="center"/>
            <w:hideMark/>
          </w:tcPr>
          <w:p w14:paraId="1B15DA58" w14:textId="77777777" w:rsidR="00A078BA" w:rsidRPr="00A078BA" w:rsidRDefault="00A078BA" w:rsidP="00A078BA">
            <w:pPr>
              <w:rPr>
                <w:rFonts w:ascii="Cambria" w:eastAsia="Times New Roman" w:hAnsi="Cambria" w:cs="Times New Roman"/>
                <w:color w:val="000000"/>
                <w:lang w:val="en-GB"/>
              </w:rPr>
            </w:pPr>
          </w:p>
        </w:tc>
      </w:tr>
      <w:tr w:rsidR="00A078BA" w:rsidRPr="00A078BA" w14:paraId="197FE474"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578DE55E"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Male</w:t>
            </w:r>
          </w:p>
        </w:tc>
        <w:tc>
          <w:tcPr>
            <w:tcW w:w="2219" w:type="dxa"/>
            <w:tcBorders>
              <w:top w:val="nil"/>
              <w:left w:val="nil"/>
              <w:bottom w:val="nil"/>
              <w:right w:val="nil"/>
            </w:tcBorders>
            <w:shd w:val="clear" w:color="auto" w:fill="auto"/>
            <w:noWrap/>
            <w:vAlign w:val="center"/>
            <w:hideMark/>
          </w:tcPr>
          <w:p w14:paraId="79A53D15"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30 (43%)</w:t>
            </w:r>
          </w:p>
        </w:tc>
        <w:tc>
          <w:tcPr>
            <w:tcW w:w="1989" w:type="dxa"/>
            <w:tcBorders>
              <w:top w:val="nil"/>
              <w:left w:val="nil"/>
              <w:bottom w:val="nil"/>
              <w:right w:val="single" w:sz="8" w:space="0" w:color="auto"/>
            </w:tcBorders>
            <w:shd w:val="clear" w:color="auto" w:fill="auto"/>
            <w:noWrap/>
            <w:vAlign w:val="center"/>
            <w:hideMark/>
          </w:tcPr>
          <w:p w14:paraId="53254B15"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29 (40%)</w:t>
            </w:r>
          </w:p>
        </w:tc>
        <w:tc>
          <w:tcPr>
            <w:tcW w:w="1860" w:type="dxa"/>
            <w:tcBorders>
              <w:top w:val="nil"/>
              <w:left w:val="nil"/>
              <w:bottom w:val="nil"/>
              <w:right w:val="nil"/>
            </w:tcBorders>
            <w:shd w:val="clear" w:color="auto" w:fill="auto"/>
            <w:noWrap/>
            <w:vAlign w:val="center"/>
            <w:hideMark/>
          </w:tcPr>
          <w:p w14:paraId="58BE5997"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59  (42%)</w:t>
            </w:r>
          </w:p>
        </w:tc>
      </w:tr>
      <w:tr w:rsidR="00A078BA" w:rsidRPr="00A078BA" w14:paraId="08DB39C1"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5A6BED83"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Female</w:t>
            </w:r>
          </w:p>
        </w:tc>
        <w:tc>
          <w:tcPr>
            <w:tcW w:w="2219" w:type="dxa"/>
            <w:tcBorders>
              <w:top w:val="nil"/>
              <w:left w:val="nil"/>
              <w:bottom w:val="single" w:sz="8" w:space="0" w:color="auto"/>
              <w:right w:val="nil"/>
            </w:tcBorders>
            <w:shd w:val="clear" w:color="auto" w:fill="auto"/>
            <w:noWrap/>
            <w:vAlign w:val="center"/>
            <w:hideMark/>
          </w:tcPr>
          <w:p w14:paraId="79839D58"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40 (57%)</w:t>
            </w:r>
          </w:p>
        </w:tc>
        <w:tc>
          <w:tcPr>
            <w:tcW w:w="1989" w:type="dxa"/>
            <w:tcBorders>
              <w:top w:val="nil"/>
              <w:left w:val="nil"/>
              <w:bottom w:val="single" w:sz="8" w:space="0" w:color="auto"/>
              <w:right w:val="single" w:sz="8" w:space="0" w:color="auto"/>
            </w:tcBorders>
            <w:shd w:val="clear" w:color="auto" w:fill="auto"/>
            <w:noWrap/>
            <w:vAlign w:val="center"/>
            <w:hideMark/>
          </w:tcPr>
          <w:p w14:paraId="4938223E"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43 (60%)</w:t>
            </w:r>
          </w:p>
        </w:tc>
        <w:tc>
          <w:tcPr>
            <w:tcW w:w="1860" w:type="dxa"/>
            <w:tcBorders>
              <w:top w:val="nil"/>
              <w:left w:val="nil"/>
              <w:bottom w:val="single" w:sz="8" w:space="0" w:color="auto"/>
              <w:right w:val="nil"/>
            </w:tcBorders>
            <w:shd w:val="clear" w:color="auto" w:fill="auto"/>
            <w:noWrap/>
            <w:vAlign w:val="center"/>
            <w:hideMark/>
          </w:tcPr>
          <w:p w14:paraId="0986864F"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83  (58%)</w:t>
            </w:r>
          </w:p>
        </w:tc>
      </w:tr>
      <w:tr w:rsidR="00A078BA" w:rsidRPr="00A078BA" w14:paraId="198C5FA6"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5D43454D" w14:textId="77777777" w:rsidR="00A078BA" w:rsidRPr="00A078BA" w:rsidRDefault="00A078BA" w:rsidP="00A078BA">
            <w:pP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Age,</w:t>
            </w:r>
            <w:r w:rsidRPr="00A078BA">
              <w:rPr>
                <w:rFonts w:ascii="Calibri" w:eastAsia="Times New Roman" w:hAnsi="Calibri" w:cs="Times New Roman"/>
                <w:color w:val="000000"/>
                <w:sz w:val="22"/>
                <w:szCs w:val="22"/>
                <w:lang w:val="en-GB"/>
              </w:rPr>
              <w:t xml:space="preserve"> median (IQR)</w:t>
            </w:r>
          </w:p>
        </w:tc>
        <w:tc>
          <w:tcPr>
            <w:tcW w:w="2219" w:type="dxa"/>
            <w:tcBorders>
              <w:top w:val="nil"/>
              <w:left w:val="nil"/>
              <w:bottom w:val="single" w:sz="8" w:space="0" w:color="auto"/>
              <w:right w:val="nil"/>
            </w:tcBorders>
            <w:shd w:val="clear" w:color="auto" w:fill="auto"/>
            <w:noWrap/>
            <w:vAlign w:val="center"/>
            <w:hideMark/>
          </w:tcPr>
          <w:p w14:paraId="78C690E8"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67.5 (61, 73)</w:t>
            </w:r>
          </w:p>
        </w:tc>
        <w:tc>
          <w:tcPr>
            <w:tcW w:w="1989" w:type="dxa"/>
            <w:tcBorders>
              <w:top w:val="nil"/>
              <w:left w:val="nil"/>
              <w:bottom w:val="single" w:sz="8" w:space="0" w:color="auto"/>
              <w:right w:val="single" w:sz="8" w:space="0" w:color="auto"/>
            </w:tcBorders>
            <w:shd w:val="clear" w:color="auto" w:fill="auto"/>
            <w:noWrap/>
            <w:vAlign w:val="center"/>
            <w:hideMark/>
          </w:tcPr>
          <w:p w14:paraId="74B210B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66.5 (61, 73)</w:t>
            </w:r>
          </w:p>
        </w:tc>
        <w:tc>
          <w:tcPr>
            <w:tcW w:w="1860" w:type="dxa"/>
            <w:tcBorders>
              <w:top w:val="nil"/>
              <w:left w:val="nil"/>
              <w:bottom w:val="single" w:sz="8" w:space="0" w:color="auto"/>
              <w:right w:val="nil"/>
            </w:tcBorders>
            <w:shd w:val="clear" w:color="auto" w:fill="auto"/>
            <w:noWrap/>
            <w:vAlign w:val="center"/>
            <w:hideMark/>
          </w:tcPr>
          <w:p w14:paraId="6E38F142"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67 (61, 73)</w:t>
            </w:r>
          </w:p>
        </w:tc>
      </w:tr>
      <w:tr w:rsidR="00A078BA" w:rsidRPr="00A078BA" w14:paraId="1BEA33DB"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393E21B8"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Disease Stage</w:t>
            </w:r>
          </w:p>
        </w:tc>
        <w:tc>
          <w:tcPr>
            <w:tcW w:w="2219" w:type="dxa"/>
            <w:tcBorders>
              <w:top w:val="nil"/>
              <w:left w:val="nil"/>
              <w:bottom w:val="nil"/>
              <w:right w:val="nil"/>
            </w:tcBorders>
            <w:shd w:val="clear" w:color="auto" w:fill="auto"/>
            <w:vAlign w:val="center"/>
            <w:hideMark/>
          </w:tcPr>
          <w:p w14:paraId="1FA07573" w14:textId="77777777" w:rsidR="00A078BA" w:rsidRPr="00A078BA" w:rsidRDefault="00A078BA" w:rsidP="00A078BA">
            <w:pPr>
              <w:jc w:val="center"/>
              <w:rPr>
                <w:rFonts w:ascii="Calibri" w:eastAsia="Times New Roman" w:hAnsi="Calibri" w:cs="Times New Roman"/>
                <w:color w:val="000000"/>
                <w:sz w:val="20"/>
                <w:szCs w:val="20"/>
                <w:lang w:val="en-GB"/>
              </w:rPr>
            </w:pPr>
          </w:p>
        </w:tc>
        <w:tc>
          <w:tcPr>
            <w:tcW w:w="1989" w:type="dxa"/>
            <w:tcBorders>
              <w:top w:val="nil"/>
              <w:left w:val="nil"/>
              <w:bottom w:val="nil"/>
              <w:right w:val="single" w:sz="8" w:space="0" w:color="auto"/>
            </w:tcBorders>
            <w:shd w:val="clear" w:color="auto" w:fill="auto"/>
            <w:vAlign w:val="center"/>
            <w:hideMark/>
          </w:tcPr>
          <w:p w14:paraId="69C67BF1"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 </w:t>
            </w:r>
          </w:p>
        </w:tc>
        <w:tc>
          <w:tcPr>
            <w:tcW w:w="1860" w:type="dxa"/>
            <w:tcBorders>
              <w:top w:val="nil"/>
              <w:left w:val="nil"/>
              <w:bottom w:val="nil"/>
              <w:right w:val="nil"/>
            </w:tcBorders>
            <w:shd w:val="clear" w:color="auto" w:fill="auto"/>
            <w:vAlign w:val="center"/>
            <w:hideMark/>
          </w:tcPr>
          <w:p w14:paraId="7E8DAB1B" w14:textId="77777777" w:rsidR="00A078BA" w:rsidRPr="00A078BA" w:rsidRDefault="00A078BA" w:rsidP="00A078BA">
            <w:pPr>
              <w:jc w:val="center"/>
              <w:rPr>
                <w:rFonts w:ascii="Calibri" w:eastAsia="Times New Roman" w:hAnsi="Calibri" w:cs="Times New Roman"/>
                <w:color w:val="000000"/>
                <w:sz w:val="20"/>
                <w:szCs w:val="20"/>
                <w:lang w:val="en-GB"/>
              </w:rPr>
            </w:pPr>
          </w:p>
        </w:tc>
      </w:tr>
      <w:tr w:rsidR="00A078BA" w:rsidRPr="00A078BA" w14:paraId="14FC2169"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02D41495"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Locally advanced</w:t>
            </w:r>
          </w:p>
        </w:tc>
        <w:tc>
          <w:tcPr>
            <w:tcW w:w="2219" w:type="dxa"/>
            <w:tcBorders>
              <w:top w:val="nil"/>
              <w:left w:val="nil"/>
              <w:bottom w:val="nil"/>
              <w:right w:val="nil"/>
            </w:tcBorders>
            <w:shd w:val="clear" w:color="auto" w:fill="auto"/>
            <w:noWrap/>
            <w:vAlign w:val="center"/>
            <w:hideMark/>
          </w:tcPr>
          <w:p w14:paraId="1D26383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20 (29%)</w:t>
            </w:r>
          </w:p>
        </w:tc>
        <w:tc>
          <w:tcPr>
            <w:tcW w:w="1989" w:type="dxa"/>
            <w:tcBorders>
              <w:top w:val="nil"/>
              <w:left w:val="nil"/>
              <w:bottom w:val="nil"/>
              <w:right w:val="single" w:sz="8" w:space="0" w:color="auto"/>
            </w:tcBorders>
            <w:shd w:val="clear" w:color="auto" w:fill="auto"/>
            <w:noWrap/>
            <w:vAlign w:val="center"/>
            <w:hideMark/>
          </w:tcPr>
          <w:p w14:paraId="5E46CC7A"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21 (21%)</w:t>
            </w:r>
          </w:p>
        </w:tc>
        <w:tc>
          <w:tcPr>
            <w:tcW w:w="1860" w:type="dxa"/>
            <w:tcBorders>
              <w:top w:val="nil"/>
              <w:left w:val="nil"/>
              <w:bottom w:val="nil"/>
              <w:right w:val="nil"/>
            </w:tcBorders>
            <w:shd w:val="clear" w:color="auto" w:fill="auto"/>
            <w:noWrap/>
            <w:vAlign w:val="center"/>
            <w:hideMark/>
          </w:tcPr>
          <w:p w14:paraId="5D1F4DE5"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41  (21%)</w:t>
            </w:r>
          </w:p>
        </w:tc>
      </w:tr>
      <w:tr w:rsidR="00A078BA" w:rsidRPr="00A078BA" w14:paraId="14B6EA8F"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279A7D1B"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Metastatic</w:t>
            </w:r>
          </w:p>
        </w:tc>
        <w:tc>
          <w:tcPr>
            <w:tcW w:w="2219" w:type="dxa"/>
            <w:tcBorders>
              <w:top w:val="nil"/>
              <w:left w:val="nil"/>
              <w:bottom w:val="single" w:sz="8" w:space="0" w:color="auto"/>
              <w:right w:val="nil"/>
            </w:tcBorders>
            <w:shd w:val="clear" w:color="auto" w:fill="auto"/>
            <w:noWrap/>
            <w:vAlign w:val="center"/>
            <w:hideMark/>
          </w:tcPr>
          <w:p w14:paraId="6CBE44FB"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50 (71%)</w:t>
            </w:r>
          </w:p>
        </w:tc>
        <w:tc>
          <w:tcPr>
            <w:tcW w:w="1989" w:type="dxa"/>
            <w:tcBorders>
              <w:top w:val="nil"/>
              <w:left w:val="nil"/>
              <w:bottom w:val="single" w:sz="8" w:space="0" w:color="auto"/>
              <w:right w:val="single" w:sz="8" w:space="0" w:color="auto"/>
            </w:tcBorders>
            <w:shd w:val="clear" w:color="auto" w:fill="auto"/>
            <w:noWrap/>
            <w:vAlign w:val="center"/>
            <w:hideMark/>
          </w:tcPr>
          <w:p w14:paraId="5A6938A9"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51 (79%)</w:t>
            </w:r>
          </w:p>
        </w:tc>
        <w:tc>
          <w:tcPr>
            <w:tcW w:w="1860" w:type="dxa"/>
            <w:tcBorders>
              <w:top w:val="nil"/>
              <w:left w:val="nil"/>
              <w:bottom w:val="single" w:sz="8" w:space="0" w:color="auto"/>
              <w:right w:val="nil"/>
            </w:tcBorders>
            <w:shd w:val="clear" w:color="auto" w:fill="auto"/>
            <w:noWrap/>
            <w:vAlign w:val="center"/>
            <w:hideMark/>
          </w:tcPr>
          <w:p w14:paraId="11AF7F64"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101  (79%)</w:t>
            </w:r>
          </w:p>
        </w:tc>
      </w:tr>
      <w:tr w:rsidR="00A078BA" w:rsidRPr="00A078BA" w14:paraId="0A141EEE"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8513183"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ECOG Performance Status</w:t>
            </w:r>
          </w:p>
        </w:tc>
        <w:tc>
          <w:tcPr>
            <w:tcW w:w="2219" w:type="dxa"/>
            <w:tcBorders>
              <w:top w:val="nil"/>
              <w:left w:val="nil"/>
              <w:bottom w:val="nil"/>
              <w:right w:val="nil"/>
            </w:tcBorders>
            <w:shd w:val="clear" w:color="auto" w:fill="auto"/>
            <w:vAlign w:val="center"/>
            <w:hideMark/>
          </w:tcPr>
          <w:p w14:paraId="6DE545F4" w14:textId="77777777" w:rsidR="00A078BA" w:rsidRPr="00A078BA" w:rsidRDefault="00A078BA" w:rsidP="00A078BA">
            <w:pPr>
              <w:rPr>
                <w:rFonts w:ascii="Cambria" w:eastAsia="Times New Roman" w:hAnsi="Cambria" w:cs="Times New Roman"/>
                <w:color w:val="000000"/>
                <w:sz w:val="20"/>
                <w:szCs w:val="20"/>
                <w:lang w:val="en-GB"/>
              </w:rPr>
            </w:pPr>
          </w:p>
        </w:tc>
        <w:tc>
          <w:tcPr>
            <w:tcW w:w="1989" w:type="dxa"/>
            <w:tcBorders>
              <w:top w:val="nil"/>
              <w:left w:val="nil"/>
              <w:bottom w:val="nil"/>
              <w:right w:val="single" w:sz="8" w:space="0" w:color="auto"/>
            </w:tcBorders>
            <w:shd w:val="clear" w:color="auto" w:fill="auto"/>
            <w:vAlign w:val="center"/>
            <w:hideMark/>
          </w:tcPr>
          <w:p w14:paraId="0FB999E7"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 </w:t>
            </w:r>
          </w:p>
        </w:tc>
        <w:tc>
          <w:tcPr>
            <w:tcW w:w="1860" w:type="dxa"/>
            <w:tcBorders>
              <w:top w:val="nil"/>
              <w:left w:val="nil"/>
              <w:bottom w:val="nil"/>
              <w:right w:val="nil"/>
            </w:tcBorders>
            <w:shd w:val="clear" w:color="auto" w:fill="auto"/>
            <w:vAlign w:val="center"/>
            <w:hideMark/>
          </w:tcPr>
          <w:p w14:paraId="5E51FAEC" w14:textId="77777777" w:rsidR="00A078BA" w:rsidRPr="00A078BA" w:rsidRDefault="00A078BA" w:rsidP="00A078BA">
            <w:pPr>
              <w:rPr>
                <w:rFonts w:ascii="Cambria" w:eastAsia="Times New Roman" w:hAnsi="Cambria" w:cs="Times New Roman"/>
                <w:color w:val="000000"/>
                <w:sz w:val="20"/>
                <w:szCs w:val="20"/>
                <w:lang w:val="en-GB"/>
              </w:rPr>
            </w:pPr>
          </w:p>
        </w:tc>
      </w:tr>
      <w:tr w:rsidR="00A078BA" w:rsidRPr="00A078BA" w14:paraId="57B3426E"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0F35937"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0</w:t>
            </w:r>
          </w:p>
        </w:tc>
        <w:tc>
          <w:tcPr>
            <w:tcW w:w="2219" w:type="dxa"/>
            <w:tcBorders>
              <w:top w:val="nil"/>
              <w:left w:val="nil"/>
              <w:bottom w:val="nil"/>
              <w:right w:val="nil"/>
            </w:tcBorders>
            <w:shd w:val="clear" w:color="auto" w:fill="auto"/>
            <w:noWrap/>
            <w:vAlign w:val="center"/>
            <w:hideMark/>
          </w:tcPr>
          <w:p w14:paraId="52B27B21"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19 (27%)</w:t>
            </w:r>
          </w:p>
        </w:tc>
        <w:tc>
          <w:tcPr>
            <w:tcW w:w="1989" w:type="dxa"/>
            <w:tcBorders>
              <w:top w:val="nil"/>
              <w:left w:val="nil"/>
              <w:bottom w:val="nil"/>
              <w:right w:val="single" w:sz="8" w:space="0" w:color="auto"/>
            </w:tcBorders>
            <w:shd w:val="clear" w:color="auto" w:fill="auto"/>
            <w:noWrap/>
            <w:vAlign w:val="center"/>
            <w:hideMark/>
          </w:tcPr>
          <w:p w14:paraId="242A8D4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21 (29%)</w:t>
            </w:r>
          </w:p>
        </w:tc>
        <w:tc>
          <w:tcPr>
            <w:tcW w:w="1860" w:type="dxa"/>
            <w:tcBorders>
              <w:top w:val="nil"/>
              <w:left w:val="nil"/>
              <w:bottom w:val="nil"/>
              <w:right w:val="nil"/>
            </w:tcBorders>
            <w:shd w:val="clear" w:color="auto" w:fill="auto"/>
            <w:noWrap/>
            <w:vAlign w:val="center"/>
            <w:hideMark/>
          </w:tcPr>
          <w:p w14:paraId="0F7A08E0"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40  (28%)</w:t>
            </w:r>
          </w:p>
        </w:tc>
      </w:tr>
      <w:tr w:rsidR="00A078BA" w:rsidRPr="00A078BA" w14:paraId="6C63D7F4"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130853A0"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1</w:t>
            </w:r>
          </w:p>
        </w:tc>
        <w:tc>
          <w:tcPr>
            <w:tcW w:w="2219" w:type="dxa"/>
            <w:tcBorders>
              <w:top w:val="nil"/>
              <w:left w:val="nil"/>
              <w:bottom w:val="nil"/>
              <w:right w:val="nil"/>
            </w:tcBorders>
            <w:shd w:val="clear" w:color="auto" w:fill="auto"/>
            <w:noWrap/>
            <w:vAlign w:val="center"/>
            <w:hideMark/>
          </w:tcPr>
          <w:p w14:paraId="417CD68D"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43 (61%)</w:t>
            </w:r>
          </w:p>
        </w:tc>
        <w:tc>
          <w:tcPr>
            <w:tcW w:w="1989" w:type="dxa"/>
            <w:tcBorders>
              <w:top w:val="nil"/>
              <w:left w:val="nil"/>
              <w:bottom w:val="nil"/>
              <w:right w:val="single" w:sz="8" w:space="0" w:color="auto"/>
            </w:tcBorders>
            <w:shd w:val="clear" w:color="auto" w:fill="auto"/>
            <w:noWrap/>
            <w:vAlign w:val="center"/>
            <w:hideMark/>
          </w:tcPr>
          <w:p w14:paraId="6D3FA641"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43 (60%)</w:t>
            </w:r>
          </w:p>
        </w:tc>
        <w:tc>
          <w:tcPr>
            <w:tcW w:w="1860" w:type="dxa"/>
            <w:tcBorders>
              <w:top w:val="nil"/>
              <w:left w:val="nil"/>
              <w:bottom w:val="nil"/>
              <w:right w:val="nil"/>
            </w:tcBorders>
            <w:shd w:val="clear" w:color="auto" w:fill="auto"/>
            <w:noWrap/>
            <w:vAlign w:val="center"/>
            <w:hideMark/>
          </w:tcPr>
          <w:p w14:paraId="3DD9ECF2"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86  (61%)</w:t>
            </w:r>
          </w:p>
        </w:tc>
      </w:tr>
      <w:tr w:rsidR="00A078BA" w:rsidRPr="00A078BA" w14:paraId="48E6A355"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4D6095E3"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2</w:t>
            </w:r>
          </w:p>
        </w:tc>
        <w:tc>
          <w:tcPr>
            <w:tcW w:w="2219" w:type="dxa"/>
            <w:tcBorders>
              <w:top w:val="nil"/>
              <w:left w:val="nil"/>
              <w:bottom w:val="single" w:sz="8" w:space="0" w:color="auto"/>
              <w:right w:val="nil"/>
            </w:tcBorders>
            <w:shd w:val="clear" w:color="auto" w:fill="auto"/>
            <w:noWrap/>
            <w:vAlign w:val="center"/>
            <w:hideMark/>
          </w:tcPr>
          <w:p w14:paraId="0D631530"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8 (11%)</w:t>
            </w:r>
          </w:p>
        </w:tc>
        <w:tc>
          <w:tcPr>
            <w:tcW w:w="1989" w:type="dxa"/>
            <w:tcBorders>
              <w:top w:val="nil"/>
              <w:left w:val="nil"/>
              <w:bottom w:val="single" w:sz="8" w:space="0" w:color="auto"/>
              <w:right w:val="single" w:sz="8" w:space="0" w:color="auto"/>
            </w:tcBorders>
            <w:shd w:val="clear" w:color="auto" w:fill="auto"/>
            <w:noWrap/>
            <w:vAlign w:val="center"/>
            <w:hideMark/>
          </w:tcPr>
          <w:p w14:paraId="2D307F3F"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8 (11%)</w:t>
            </w:r>
          </w:p>
        </w:tc>
        <w:tc>
          <w:tcPr>
            <w:tcW w:w="1860" w:type="dxa"/>
            <w:tcBorders>
              <w:top w:val="nil"/>
              <w:left w:val="nil"/>
              <w:bottom w:val="single" w:sz="8" w:space="0" w:color="auto"/>
              <w:right w:val="nil"/>
            </w:tcBorders>
            <w:shd w:val="clear" w:color="auto" w:fill="auto"/>
            <w:noWrap/>
            <w:vAlign w:val="center"/>
            <w:hideMark/>
          </w:tcPr>
          <w:p w14:paraId="388E5F31"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16  (11%)</w:t>
            </w:r>
          </w:p>
        </w:tc>
      </w:tr>
      <w:tr w:rsidR="00A078BA" w:rsidRPr="00A078BA" w14:paraId="5ECB4172"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5314C720" w14:textId="77777777" w:rsidR="00A078BA" w:rsidRPr="00A078BA" w:rsidRDefault="00A078BA" w:rsidP="00A078BA">
            <w:pP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ECG,</w:t>
            </w:r>
            <w:r w:rsidRPr="00A078BA">
              <w:rPr>
                <w:rFonts w:ascii="Calibri" w:eastAsia="Times New Roman" w:hAnsi="Calibri" w:cs="Times New Roman"/>
                <w:color w:val="000000"/>
                <w:sz w:val="22"/>
                <w:szCs w:val="22"/>
                <w:lang w:val="en-GB"/>
              </w:rPr>
              <w:t xml:space="preserve"> median (IQR)</w:t>
            </w:r>
          </w:p>
        </w:tc>
        <w:tc>
          <w:tcPr>
            <w:tcW w:w="2219" w:type="dxa"/>
            <w:tcBorders>
              <w:top w:val="nil"/>
              <w:left w:val="nil"/>
              <w:bottom w:val="single" w:sz="8" w:space="0" w:color="auto"/>
              <w:right w:val="nil"/>
            </w:tcBorders>
            <w:shd w:val="clear" w:color="auto" w:fill="auto"/>
            <w:noWrap/>
            <w:vAlign w:val="center"/>
            <w:hideMark/>
          </w:tcPr>
          <w:p w14:paraId="5F27E8E5"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426 (408.25, 436.75)</w:t>
            </w:r>
          </w:p>
        </w:tc>
        <w:tc>
          <w:tcPr>
            <w:tcW w:w="1989" w:type="dxa"/>
            <w:tcBorders>
              <w:top w:val="nil"/>
              <w:left w:val="nil"/>
              <w:bottom w:val="single" w:sz="8" w:space="0" w:color="auto"/>
              <w:right w:val="single" w:sz="8" w:space="0" w:color="auto"/>
            </w:tcBorders>
            <w:shd w:val="clear" w:color="auto" w:fill="auto"/>
            <w:noWrap/>
            <w:vAlign w:val="center"/>
            <w:hideMark/>
          </w:tcPr>
          <w:p w14:paraId="191E83F8"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418.5 (399, 435.75)</w:t>
            </w:r>
          </w:p>
        </w:tc>
        <w:tc>
          <w:tcPr>
            <w:tcW w:w="1860" w:type="dxa"/>
            <w:tcBorders>
              <w:top w:val="nil"/>
              <w:left w:val="nil"/>
              <w:bottom w:val="single" w:sz="8" w:space="0" w:color="auto"/>
              <w:right w:val="nil"/>
            </w:tcBorders>
            <w:shd w:val="clear" w:color="auto" w:fill="auto"/>
            <w:noWrap/>
            <w:vAlign w:val="center"/>
            <w:hideMark/>
          </w:tcPr>
          <w:p w14:paraId="42B96E5A"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423 (403, 436.75)</w:t>
            </w:r>
          </w:p>
        </w:tc>
      </w:tr>
      <w:tr w:rsidR="00A078BA" w:rsidRPr="00A078BA" w14:paraId="5EC5BDAF"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369A8895"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 xml:space="preserve">Tumour Histology, </w:t>
            </w:r>
            <w:r w:rsidRPr="00A078BA">
              <w:rPr>
                <w:rFonts w:ascii="Calibri" w:eastAsia="Times New Roman" w:hAnsi="Calibri" w:cs="Times New Roman"/>
                <w:color w:val="000000"/>
                <w:sz w:val="22"/>
                <w:szCs w:val="22"/>
                <w:lang w:val="en-GB"/>
              </w:rPr>
              <w:t>n (%)</w:t>
            </w:r>
          </w:p>
        </w:tc>
        <w:tc>
          <w:tcPr>
            <w:tcW w:w="2219" w:type="dxa"/>
            <w:tcBorders>
              <w:top w:val="nil"/>
              <w:left w:val="nil"/>
              <w:bottom w:val="nil"/>
              <w:right w:val="nil"/>
            </w:tcBorders>
            <w:shd w:val="clear" w:color="auto" w:fill="auto"/>
            <w:noWrap/>
            <w:vAlign w:val="center"/>
            <w:hideMark/>
          </w:tcPr>
          <w:p w14:paraId="6176919F" w14:textId="77777777" w:rsidR="00A078BA" w:rsidRPr="00A078BA" w:rsidRDefault="00A078BA" w:rsidP="00A078BA">
            <w:pPr>
              <w:rPr>
                <w:rFonts w:ascii="Cambria" w:eastAsia="Times New Roman" w:hAnsi="Cambria" w:cs="Times New Roman"/>
                <w:color w:val="000000"/>
                <w:sz w:val="20"/>
                <w:szCs w:val="20"/>
                <w:lang w:val="en-GB"/>
              </w:rPr>
            </w:pPr>
          </w:p>
        </w:tc>
        <w:tc>
          <w:tcPr>
            <w:tcW w:w="1989" w:type="dxa"/>
            <w:tcBorders>
              <w:top w:val="nil"/>
              <w:left w:val="nil"/>
              <w:bottom w:val="nil"/>
              <w:right w:val="single" w:sz="8" w:space="0" w:color="auto"/>
            </w:tcBorders>
            <w:shd w:val="clear" w:color="auto" w:fill="auto"/>
            <w:noWrap/>
            <w:vAlign w:val="center"/>
            <w:hideMark/>
          </w:tcPr>
          <w:p w14:paraId="1CBD6445"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 </w:t>
            </w:r>
          </w:p>
        </w:tc>
        <w:tc>
          <w:tcPr>
            <w:tcW w:w="1860" w:type="dxa"/>
            <w:tcBorders>
              <w:top w:val="nil"/>
              <w:left w:val="nil"/>
              <w:bottom w:val="nil"/>
              <w:right w:val="nil"/>
            </w:tcBorders>
            <w:shd w:val="clear" w:color="auto" w:fill="auto"/>
            <w:noWrap/>
            <w:vAlign w:val="center"/>
            <w:hideMark/>
          </w:tcPr>
          <w:p w14:paraId="28BC66F0" w14:textId="77777777" w:rsidR="00A078BA" w:rsidRPr="00A078BA" w:rsidRDefault="00A078BA" w:rsidP="00A078BA">
            <w:pPr>
              <w:rPr>
                <w:rFonts w:ascii="Cambria" w:eastAsia="Times New Roman" w:hAnsi="Cambria" w:cs="Times New Roman"/>
                <w:color w:val="000000"/>
                <w:sz w:val="20"/>
                <w:szCs w:val="20"/>
                <w:lang w:val="en-GB"/>
              </w:rPr>
            </w:pPr>
          </w:p>
        </w:tc>
      </w:tr>
      <w:tr w:rsidR="00A078BA" w:rsidRPr="00A078BA" w14:paraId="6E54451E" w14:textId="77777777" w:rsidTr="00A078BA">
        <w:trPr>
          <w:trHeight w:val="300"/>
        </w:trPr>
        <w:tc>
          <w:tcPr>
            <w:tcW w:w="3012" w:type="dxa"/>
            <w:tcBorders>
              <w:top w:val="nil"/>
              <w:left w:val="nil"/>
              <w:bottom w:val="nil"/>
              <w:right w:val="single" w:sz="8" w:space="0" w:color="auto"/>
            </w:tcBorders>
            <w:shd w:val="clear" w:color="auto" w:fill="auto"/>
            <w:vAlign w:val="center"/>
            <w:hideMark/>
          </w:tcPr>
          <w:p w14:paraId="630ABAC3" w14:textId="77777777" w:rsidR="00A078BA" w:rsidRPr="00A078BA" w:rsidRDefault="00A078BA" w:rsidP="00A078BA">
            <w:pPr>
              <w:jc w:val="right"/>
              <w:rPr>
                <w:rFonts w:ascii="Calibri" w:eastAsia="Times New Roman" w:hAnsi="Calibri" w:cs="Times New Roman"/>
                <w:color w:val="000000"/>
                <w:sz w:val="22"/>
                <w:szCs w:val="22"/>
                <w:lang w:val="en-GB"/>
              </w:rPr>
            </w:pPr>
            <w:proofErr w:type="spellStart"/>
            <w:r w:rsidRPr="00A078BA">
              <w:rPr>
                <w:rFonts w:ascii="Calibri" w:eastAsia="Times New Roman" w:hAnsi="Calibri" w:cs="Times New Roman"/>
                <w:color w:val="000000"/>
                <w:sz w:val="22"/>
                <w:szCs w:val="22"/>
                <w:lang w:val="en-GB"/>
              </w:rPr>
              <w:t>Panc</w:t>
            </w:r>
            <w:proofErr w:type="spellEnd"/>
            <w:r w:rsidRPr="00A078BA">
              <w:rPr>
                <w:rFonts w:ascii="Calibri" w:eastAsia="Times New Roman" w:hAnsi="Calibri" w:cs="Times New Roman"/>
                <w:color w:val="000000"/>
                <w:sz w:val="22"/>
                <w:szCs w:val="22"/>
                <w:lang w:val="en-GB"/>
              </w:rPr>
              <w:t>. ductal adenocarcinoma</w:t>
            </w:r>
          </w:p>
        </w:tc>
        <w:tc>
          <w:tcPr>
            <w:tcW w:w="2219" w:type="dxa"/>
            <w:tcBorders>
              <w:top w:val="nil"/>
              <w:left w:val="nil"/>
              <w:bottom w:val="nil"/>
              <w:right w:val="nil"/>
            </w:tcBorders>
            <w:shd w:val="clear" w:color="auto" w:fill="auto"/>
            <w:noWrap/>
            <w:vAlign w:val="center"/>
            <w:hideMark/>
          </w:tcPr>
          <w:p w14:paraId="2DABC307"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62 (89%)</w:t>
            </w:r>
          </w:p>
        </w:tc>
        <w:tc>
          <w:tcPr>
            <w:tcW w:w="1989" w:type="dxa"/>
            <w:tcBorders>
              <w:top w:val="nil"/>
              <w:left w:val="nil"/>
              <w:bottom w:val="nil"/>
              <w:right w:val="single" w:sz="8" w:space="0" w:color="auto"/>
            </w:tcBorders>
            <w:shd w:val="clear" w:color="auto" w:fill="auto"/>
            <w:noWrap/>
            <w:vAlign w:val="center"/>
            <w:hideMark/>
          </w:tcPr>
          <w:p w14:paraId="3165A482"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66 (92%)</w:t>
            </w:r>
          </w:p>
        </w:tc>
        <w:tc>
          <w:tcPr>
            <w:tcW w:w="1860" w:type="dxa"/>
            <w:tcBorders>
              <w:top w:val="nil"/>
              <w:left w:val="nil"/>
              <w:bottom w:val="nil"/>
              <w:right w:val="nil"/>
            </w:tcBorders>
            <w:shd w:val="clear" w:color="auto" w:fill="auto"/>
            <w:noWrap/>
            <w:vAlign w:val="center"/>
            <w:hideMark/>
          </w:tcPr>
          <w:p w14:paraId="2364D536"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128  (90%)</w:t>
            </w:r>
          </w:p>
        </w:tc>
      </w:tr>
      <w:tr w:rsidR="00A078BA" w:rsidRPr="00A078BA" w14:paraId="5765B1F9" w14:textId="77777777" w:rsidTr="00A078BA">
        <w:trPr>
          <w:trHeight w:val="320"/>
        </w:trPr>
        <w:tc>
          <w:tcPr>
            <w:tcW w:w="3012" w:type="dxa"/>
            <w:tcBorders>
              <w:top w:val="nil"/>
              <w:left w:val="nil"/>
              <w:bottom w:val="single" w:sz="8" w:space="0" w:color="auto"/>
              <w:right w:val="single" w:sz="8" w:space="0" w:color="auto"/>
            </w:tcBorders>
            <w:shd w:val="clear" w:color="auto" w:fill="auto"/>
            <w:vAlign w:val="center"/>
            <w:hideMark/>
          </w:tcPr>
          <w:p w14:paraId="31EC7B32" w14:textId="77777777" w:rsidR="00A078BA" w:rsidRPr="00A078BA" w:rsidRDefault="00A078BA" w:rsidP="00A078BA">
            <w:pPr>
              <w:jc w:val="right"/>
              <w:rPr>
                <w:rFonts w:ascii="Calibri" w:eastAsia="Times New Roman" w:hAnsi="Calibri" w:cs="Times New Roman"/>
                <w:color w:val="000000"/>
                <w:sz w:val="22"/>
                <w:szCs w:val="22"/>
                <w:lang w:val="en-GB"/>
              </w:rPr>
            </w:pPr>
            <w:proofErr w:type="spellStart"/>
            <w:r w:rsidRPr="00A078BA">
              <w:rPr>
                <w:rFonts w:ascii="Calibri" w:eastAsia="Times New Roman" w:hAnsi="Calibri" w:cs="Times New Roman"/>
                <w:color w:val="000000"/>
                <w:sz w:val="22"/>
                <w:szCs w:val="22"/>
                <w:lang w:val="en-GB"/>
              </w:rPr>
              <w:t>Undiff</w:t>
            </w:r>
            <w:proofErr w:type="spellEnd"/>
            <w:r w:rsidRPr="00A078BA">
              <w:rPr>
                <w:rFonts w:ascii="Calibri" w:eastAsia="Times New Roman" w:hAnsi="Calibri" w:cs="Times New Roman"/>
                <w:color w:val="000000"/>
                <w:sz w:val="22"/>
                <w:szCs w:val="22"/>
                <w:lang w:val="en-GB"/>
              </w:rPr>
              <w:t xml:space="preserve">. </w:t>
            </w:r>
            <w:proofErr w:type="gramStart"/>
            <w:r w:rsidRPr="00A078BA">
              <w:rPr>
                <w:rFonts w:ascii="Calibri" w:eastAsia="Times New Roman" w:hAnsi="Calibri" w:cs="Times New Roman"/>
                <w:color w:val="000000"/>
                <w:sz w:val="22"/>
                <w:szCs w:val="22"/>
                <w:lang w:val="en-GB"/>
              </w:rPr>
              <w:t>carcinoma</w:t>
            </w:r>
            <w:proofErr w:type="gramEnd"/>
            <w:r w:rsidRPr="00A078BA">
              <w:rPr>
                <w:rFonts w:ascii="Calibri" w:eastAsia="Times New Roman" w:hAnsi="Calibri" w:cs="Times New Roman"/>
                <w:color w:val="000000"/>
                <w:sz w:val="22"/>
                <w:szCs w:val="22"/>
                <w:lang w:val="en-GB"/>
              </w:rPr>
              <w:t xml:space="preserve"> of the </w:t>
            </w:r>
            <w:proofErr w:type="spellStart"/>
            <w:r w:rsidRPr="00A078BA">
              <w:rPr>
                <w:rFonts w:ascii="Calibri" w:eastAsia="Times New Roman" w:hAnsi="Calibri" w:cs="Times New Roman"/>
                <w:color w:val="000000"/>
                <w:sz w:val="22"/>
                <w:szCs w:val="22"/>
                <w:lang w:val="en-GB"/>
              </w:rPr>
              <w:t>panc</w:t>
            </w:r>
            <w:proofErr w:type="spellEnd"/>
            <w:r w:rsidRPr="00A078BA">
              <w:rPr>
                <w:rFonts w:ascii="Calibri" w:eastAsia="Times New Roman" w:hAnsi="Calibri" w:cs="Times New Roman"/>
                <w:color w:val="000000"/>
                <w:sz w:val="22"/>
                <w:szCs w:val="22"/>
                <w:lang w:val="en-GB"/>
              </w:rPr>
              <w:t>.</w:t>
            </w:r>
          </w:p>
        </w:tc>
        <w:tc>
          <w:tcPr>
            <w:tcW w:w="2219" w:type="dxa"/>
            <w:tcBorders>
              <w:top w:val="nil"/>
              <w:left w:val="nil"/>
              <w:bottom w:val="single" w:sz="8" w:space="0" w:color="auto"/>
              <w:right w:val="nil"/>
            </w:tcBorders>
            <w:shd w:val="clear" w:color="auto" w:fill="auto"/>
            <w:noWrap/>
            <w:vAlign w:val="center"/>
            <w:hideMark/>
          </w:tcPr>
          <w:p w14:paraId="583F0B3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8 (11%)</w:t>
            </w:r>
          </w:p>
        </w:tc>
        <w:tc>
          <w:tcPr>
            <w:tcW w:w="1989" w:type="dxa"/>
            <w:tcBorders>
              <w:top w:val="nil"/>
              <w:left w:val="nil"/>
              <w:bottom w:val="single" w:sz="8" w:space="0" w:color="auto"/>
              <w:right w:val="single" w:sz="8" w:space="0" w:color="auto"/>
            </w:tcBorders>
            <w:shd w:val="clear" w:color="auto" w:fill="auto"/>
            <w:noWrap/>
            <w:vAlign w:val="center"/>
            <w:hideMark/>
          </w:tcPr>
          <w:p w14:paraId="059D7BC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 (8%)</w:t>
            </w:r>
          </w:p>
        </w:tc>
        <w:tc>
          <w:tcPr>
            <w:tcW w:w="1860" w:type="dxa"/>
            <w:tcBorders>
              <w:top w:val="nil"/>
              <w:left w:val="nil"/>
              <w:bottom w:val="single" w:sz="8" w:space="0" w:color="auto"/>
              <w:right w:val="nil"/>
            </w:tcBorders>
            <w:shd w:val="clear" w:color="auto" w:fill="auto"/>
            <w:noWrap/>
            <w:vAlign w:val="center"/>
            <w:hideMark/>
          </w:tcPr>
          <w:p w14:paraId="05A2F38A"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14  (10%)</w:t>
            </w:r>
          </w:p>
        </w:tc>
      </w:tr>
      <w:tr w:rsidR="00A078BA" w:rsidRPr="00A078BA" w14:paraId="5ACF1C83"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73698A2D"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 xml:space="preserve">Tumour Site, </w:t>
            </w:r>
            <w:r w:rsidRPr="00A078BA">
              <w:rPr>
                <w:rFonts w:ascii="Calibri" w:eastAsia="Times New Roman" w:hAnsi="Calibri" w:cs="Times New Roman"/>
                <w:color w:val="000000"/>
                <w:sz w:val="22"/>
                <w:szCs w:val="22"/>
                <w:lang w:val="en-GB"/>
              </w:rPr>
              <w:t>n (%)</w:t>
            </w:r>
          </w:p>
        </w:tc>
        <w:tc>
          <w:tcPr>
            <w:tcW w:w="2219" w:type="dxa"/>
            <w:tcBorders>
              <w:top w:val="nil"/>
              <w:left w:val="nil"/>
              <w:bottom w:val="nil"/>
              <w:right w:val="nil"/>
            </w:tcBorders>
            <w:shd w:val="clear" w:color="auto" w:fill="auto"/>
            <w:noWrap/>
            <w:vAlign w:val="center"/>
            <w:hideMark/>
          </w:tcPr>
          <w:p w14:paraId="32E6CFB1" w14:textId="77777777" w:rsidR="00A078BA" w:rsidRPr="00A078BA" w:rsidRDefault="00A078BA" w:rsidP="00A078BA">
            <w:pPr>
              <w:rPr>
                <w:rFonts w:ascii="Cambria" w:eastAsia="Times New Roman" w:hAnsi="Cambria" w:cs="Times New Roman"/>
                <w:color w:val="000000"/>
                <w:sz w:val="20"/>
                <w:szCs w:val="20"/>
                <w:lang w:val="en-GB"/>
              </w:rPr>
            </w:pPr>
          </w:p>
        </w:tc>
        <w:tc>
          <w:tcPr>
            <w:tcW w:w="1989" w:type="dxa"/>
            <w:tcBorders>
              <w:top w:val="nil"/>
              <w:left w:val="nil"/>
              <w:bottom w:val="nil"/>
              <w:right w:val="single" w:sz="8" w:space="0" w:color="auto"/>
            </w:tcBorders>
            <w:shd w:val="clear" w:color="auto" w:fill="auto"/>
            <w:noWrap/>
            <w:vAlign w:val="center"/>
            <w:hideMark/>
          </w:tcPr>
          <w:p w14:paraId="5BBA9024" w14:textId="77777777" w:rsidR="00A078BA" w:rsidRPr="00A078BA" w:rsidRDefault="00A078BA" w:rsidP="00A078BA">
            <w:pPr>
              <w:jc w:val="center"/>
              <w:rPr>
                <w:rFonts w:ascii="Times New Roman" w:eastAsia="Times New Roman" w:hAnsi="Times New Roman" w:cs="Times New Roman"/>
                <w:color w:val="000000"/>
                <w:sz w:val="20"/>
                <w:szCs w:val="20"/>
                <w:lang w:val="en-GB"/>
              </w:rPr>
            </w:pPr>
            <w:r w:rsidRPr="00A078BA">
              <w:rPr>
                <w:rFonts w:ascii="Times New Roman" w:eastAsia="Times New Roman" w:hAnsi="Times New Roman" w:cs="Times New Roman"/>
                <w:color w:val="000000"/>
                <w:sz w:val="20"/>
                <w:szCs w:val="20"/>
                <w:lang w:val="en-GB"/>
              </w:rPr>
              <w:t> </w:t>
            </w:r>
          </w:p>
        </w:tc>
        <w:tc>
          <w:tcPr>
            <w:tcW w:w="1860" w:type="dxa"/>
            <w:tcBorders>
              <w:top w:val="nil"/>
              <w:left w:val="nil"/>
              <w:bottom w:val="nil"/>
              <w:right w:val="nil"/>
            </w:tcBorders>
            <w:shd w:val="clear" w:color="auto" w:fill="auto"/>
            <w:noWrap/>
            <w:vAlign w:val="center"/>
            <w:hideMark/>
          </w:tcPr>
          <w:p w14:paraId="1F38A2ED" w14:textId="77777777" w:rsidR="00A078BA" w:rsidRPr="00A078BA" w:rsidRDefault="00A078BA" w:rsidP="00A078BA">
            <w:pPr>
              <w:rPr>
                <w:rFonts w:ascii="Cambria" w:eastAsia="Times New Roman" w:hAnsi="Cambria" w:cs="Times New Roman"/>
                <w:color w:val="000000"/>
                <w:sz w:val="20"/>
                <w:szCs w:val="20"/>
                <w:lang w:val="en-GB"/>
              </w:rPr>
            </w:pPr>
          </w:p>
        </w:tc>
      </w:tr>
      <w:tr w:rsidR="00A078BA" w:rsidRPr="00A078BA" w14:paraId="0F335670"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5685B331" w14:textId="77777777" w:rsidR="00A078BA" w:rsidRPr="00A078BA" w:rsidRDefault="00A078BA" w:rsidP="00A078BA">
            <w:pPr>
              <w:jc w:val="right"/>
              <w:rPr>
                <w:rFonts w:ascii="Calibri" w:eastAsia="Times New Roman" w:hAnsi="Calibri" w:cs="Times New Roman"/>
                <w:color w:val="000000"/>
                <w:lang w:val="en-GB"/>
              </w:rPr>
            </w:pPr>
            <w:r w:rsidRPr="00A078BA">
              <w:rPr>
                <w:rFonts w:ascii="Calibri" w:eastAsia="Times New Roman" w:hAnsi="Calibri" w:cs="Times New Roman"/>
                <w:color w:val="000000"/>
                <w:lang w:val="en-GB"/>
              </w:rPr>
              <w:t>Body</w:t>
            </w:r>
          </w:p>
        </w:tc>
        <w:tc>
          <w:tcPr>
            <w:tcW w:w="2219" w:type="dxa"/>
            <w:tcBorders>
              <w:top w:val="nil"/>
              <w:left w:val="nil"/>
              <w:bottom w:val="nil"/>
              <w:right w:val="nil"/>
            </w:tcBorders>
            <w:shd w:val="clear" w:color="auto" w:fill="auto"/>
            <w:noWrap/>
            <w:vAlign w:val="center"/>
            <w:hideMark/>
          </w:tcPr>
          <w:p w14:paraId="62384454"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13 (19%)</w:t>
            </w:r>
          </w:p>
        </w:tc>
        <w:tc>
          <w:tcPr>
            <w:tcW w:w="1989" w:type="dxa"/>
            <w:tcBorders>
              <w:top w:val="nil"/>
              <w:left w:val="nil"/>
              <w:bottom w:val="nil"/>
              <w:right w:val="single" w:sz="8" w:space="0" w:color="auto"/>
            </w:tcBorders>
            <w:shd w:val="clear" w:color="auto" w:fill="auto"/>
            <w:noWrap/>
            <w:vAlign w:val="center"/>
            <w:hideMark/>
          </w:tcPr>
          <w:p w14:paraId="23A22914"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24 (33%)</w:t>
            </w:r>
          </w:p>
        </w:tc>
        <w:tc>
          <w:tcPr>
            <w:tcW w:w="1860" w:type="dxa"/>
            <w:tcBorders>
              <w:top w:val="nil"/>
              <w:left w:val="nil"/>
              <w:bottom w:val="nil"/>
              <w:right w:val="nil"/>
            </w:tcBorders>
            <w:shd w:val="clear" w:color="auto" w:fill="auto"/>
            <w:noWrap/>
            <w:vAlign w:val="center"/>
            <w:hideMark/>
          </w:tcPr>
          <w:p w14:paraId="1F0EA096"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37  (26%)</w:t>
            </w:r>
          </w:p>
        </w:tc>
      </w:tr>
      <w:tr w:rsidR="00A078BA" w:rsidRPr="00A078BA" w14:paraId="08D0CC08"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3F87C627" w14:textId="77777777" w:rsidR="00A078BA" w:rsidRPr="00A078BA" w:rsidRDefault="00A078BA" w:rsidP="00A078BA">
            <w:pPr>
              <w:jc w:val="right"/>
              <w:rPr>
                <w:rFonts w:ascii="Calibri" w:eastAsia="Times New Roman" w:hAnsi="Calibri" w:cs="Times New Roman"/>
                <w:color w:val="000000"/>
                <w:lang w:val="en-GB"/>
              </w:rPr>
            </w:pPr>
            <w:r w:rsidRPr="00A078BA">
              <w:rPr>
                <w:rFonts w:ascii="Calibri" w:eastAsia="Times New Roman" w:hAnsi="Calibri" w:cs="Times New Roman"/>
                <w:color w:val="000000"/>
                <w:lang w:val="en-GB"/>
              </w:rPr>
              <w:t>Head</w:t>
            </w:r>
          </w:p>
        </w:tc>
        <w:tc>
          <w:tcPr>
            <w:tcW w:w="2219" w:type="dxa"/>
            <w:tcBorders>
              <w:top w:val="nil"/>
              <w:left w:val="nil"/>
              <w:bottom w:val="nil"/>
              <w:right w:val="nil"/>
            </w:tcBorders>
            <w:shd w:val="clear" w:color="auto" w:fill="auto"/>
            <w:noWrap/>
            <w:vAlign w:val="center"/>
            <w:hideMark/>
          </w:tcPr>
          <w:p w14:paraId="56C99A3D"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47 (67%)</w:t>
            </w:r>
          </w:p>
        </w:tc>
        <w:tc>
          <w:tcPr>
            <w:tcW w:w="1989" w:type="dxa"/>
            <w:tcBorders>
              <w:top w:val="nil"/>
              <w:left w:val="nil"/>
              <w:bottom w:val="nil"/>
              <w:right w:val="single" w:sz="8" w:space="0" w:color="auto"/>
            </w:tcBorders>
            <w:shd w:val="clear" w:color="auto" w:fill="auto"/>
            <w:noWrap/>
            <w:vAlign w:val="center"/>
            <w:hideMark/>
          </w:tcPr>
          <w:p w14:paraId="0F2EE85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31 (43%)</w:t>
            </w:r>
          </w:p>
        </w:tc>
        <w:tc>
          <w:tcPr>
            <w:tcW w:w="1860" w:type="dxa"/>
            <w:tcBorders>
              <w:top w:val="nil"/>
              <w:left w:val="nil"/>
              <w:bottom w:val="nil"/>
              <w:right w:val="nil"/>
            </w:tcBorders>
            <w:shd w:val="clear" w:color="auto" w:fill="auto"/>
            <w:noWrap/>
            <w:vAlign w:val="center"/>
            <w:hideMark/>
          </w:tcPr>
          <w:p w14:paraId="1594CEDE"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78  (55%)</w:t>
            </w:r>
          </w:p>
        </w:tc>
      </w:tr>
      <w:tr w:rsidR="00A078BA" w:rsidRPr="00A078BA" w14:paraId="2C9AF740"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D2FF6EB" w14:textId="77777777" w:rsidR="00A078BA" w:rsidRPr="00A078BA" w:rsidRDefault="00A078BA" w:rsidP="00A078BA">
            <w:pPr>
              <w:jc w:val="right"/>
              <w:rPr>
                <w:rFonts w:ascii="Calibri" w:eastAsia="Times New Roman" w:hAnsi="Calibri" w:cs="Times New Roman"/>
                <w:color w:val="000000"/>
                <w:lang w:val="en-GB"/>
              </w:rPr>
            </w:pPr>
            <w:r w:rsidRPr="00A078BA">
              <w:rPr>
                <w:rFonts w:ascii="Calibri" w:eastAsia="Times New Roman" w:hAnsi="Calibri" w:cs="Times New Roman"/>
                <w:color w:val="000000"/>
                <w:lang w:val="en-GB"/>
              </w:rPr>
              <w:t>Tail</w:t>
            </w:r>
          </w:p>
        </w:tc>
        <w:tc>
          <w:tcPr>
            <w:tcW w:w="2219" w:type="dxa"/>
            <w:tcBorders>
              <w:top w:val="nil"/>
              <w:left w:val="nil"/>
              <w:bottom w:val="nil"/>
              <w:right w:val="nil"/>
            </w:tcBorders>
            <w:shd w:val="clear" w:color="auto" w:fill="auto"/>
            <w:noWrap/>
            <w:vAlign w:val="center"/>
            <w:hideMark/>
          </w:tcPr>
          <w:p w14:paraId="44206F0F"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 (7%)</w:t>
            </w:r>
          </w:p>
        </w:tc>
        <w:tc>
          <w:tcPr>
            <w:tcW w:w="1989" w:type="dxa"/>
            <w:tcBorders>
              <w:top w:val="nil"/>
              <w:left w:val="nil"/>
              <w:bottom w:val="nil"/>
              <w:right w:val="single" w:sz="8" w:space="0" w:color="auto"/>
            </w:tcBorders>
            <w:shd w:val="clear" w:color="auto" w:fill="auto"/>
            <w:noWrap/>
            <w:vAlign w:val="center"/>
            <w:hideMark/>
          </w:tcPr>
          <w:p w14:paraId="2B517C8D"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13 (18%)</w:t>
            </w:r>
          </w:p>
        </w:tc>
        <w:tc>
          <w:tcPr>
            <w:tcW w:w="1860" w:type="dxa"/>
            <w:tcBorders>
              <w:top w:val="nil"/>
              <w:left w:val="nil"/>
              <w:bottom w:val="nil"/>
              <w:right w:val="nil"/>
            </w:tcBorders>
            <w:shd w:val="clear" w:color="auto" w:fill="auto"/>
            <w:noWrap/>
            <w:vAlign w:val="center"/>
            <w:hideMark/>
          </w:tcPr>
          <w:p w14:paraId="7023E87D"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18  (13%)</w:t>
            </w:r>
          </w:p>
        </w:tc>
      </w:tr>
      <w:tr w:rsidR="00A078BA" w:rsidRPr="00A078BA" w14:paraId="34970866"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500C2532" w14:textId="77777777" w:rsidR="00A078BA" w:rsidRPr="00A078BA" w:rsidRDefault="00A078BA" w:rsidP="00A078BA">
            <w:pPr>
              <w:jc w:val="right"/>
              <w:rPr>
                <w:rFonts w:ascii="Calibri" w:eastAsia="Times New Roman" w:hAnsi="Calibri" w:cs="Times New Roman"/>
                <w:color w:val="000000"/>
                <w:lang w:val="en-GB"/>
              </w:rPr>
            </w:pPr>
            <w:r w:rsidRPr="00A078BA">
              <w:rPr>
                <w:rFonts w:ascii="Calibri" w:eastAsia="Times New Roman" w:hAnsi="Calibri" w:cs="Times New Roman"/>
                <w:color w:val="000000"/>
                <w:lang w:val="en-GB"/>
              </w:rPr>
              <w:t>Uncinate</w:t>
            </w:r>
          </w:p>
        </w:tc>
        <w:tc>
          <w:tcPr>
            <w:tcW w:w="2219" w:type="dxa"/>
            <w:tcBorders>
              <w:top w:val="nil"/>
              <w:left w:val="nil"/>
              <w:bottom w:val="single" w:sz="8" w:space="0" w:color="auto"/>
              <w:right w:val="nil"/>
            </w:tcBorders>
            <w:shd w:val="clear" w:color="auto" w:fill="auto"/>
            <w:noWrap/>
            <w:vAlign w:val="center"/>
            <w:hideMark/>
          </w:tcPr>
          <w:p w14:paraId="7CFBCBE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 (7%)</w:t>
            </w:r>
          </w:p>
        </w:tc>
        <w:tc>
          <w:tcPr>
            <w:tcW w:w="1989" w:type="dxa"/>
            <w:tcBorders>
              <w:top w:val="nil"/>
              <w:left w:val="nil"/>
              <w:bottom w:val="single" w:sz="8" w:space="0" w:color="auto"/>
              <w:right w:val="single" w:sz="8" w:space="0" w:color="auto"/>
            </w:tcBorders>
            <w:shd w:val="clear" w:color="auto" w:fill="auto"/>
            <w:noWrap/>
            <w:vAlign w:val="center"/>
            <w:hideMark/>
          </w:tcPr>
          <w:p w14:paraId="62CB17FD"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 (6%)</w:t>
            </w:r>
          </w:p>
        </w:tc>
        <w:tc>
          <w:tcPr>
            <w:tcW w:w="1860" w:type="dxa"/>
            <w:tcBorders>
              <w:top w:val="nil"/>
              <w:left w:val="nil"/>
              <w:bottom w:val="single" w:sz="8" w:space="0" w:color="auto"/>
              <w:right w:val="nil"/>
            </w:tcBorders>
            <w:shd w:val="clear" w:color="auto" w:fill="auto"/>
            <w:noWrap/>
            <w:vAlign w:val="center"/>
            <w:hideMark/>
          </w:tcPr>
          <w:p w14:paraId="24643D79"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9  (6%)</w:t>
            </w:r>
          </w:p>
        </w:tc>
      </w:tr>
      <w:tr w:rsidR="00A078BA" w:rsidRPr="00A078BA" w14:paraId="2B91C853"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212A08CC"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 xml:space="preserve">Tumour Differentiation, </w:t>
            </w:r>
            <w:r w:rsidRPr="00A078BA">
              <w:rPr>
                <w:rFonts w:ascii="Calibri" w:eastAsia="Times New Roman" w:hAnsi="Calibri" w:cs="Times New Roman"/>
                <w:color w:val="000000"/>
                <w:sz w:val="22"/>
                <w:szCs w:val="22"/>
                <w:lang w:val="en-GB"/>
              </w:rPr>
              <w:t>n (%)</w:t>
            </w:r>
          </w:p>
        </w:tc>
        <w:tc>
          <w:tcPr>
            <w:tcW w:w="2219" w:type="dxa"/>
            <w:tcBorders>
              <w:top w:val="nil"/>
              <w:left w:val="nil"/>
              <w:bottom w:val="nil"/>
              <w:right w:val="nil"/>
            </w:tcBorders>
            <w:shd w:val="clear" w:color="auto" w:fill="auto"/>
            <w:vAlign w:val="center"/>
            <w:hideMark/>
          </w:tcPr>
          <w:p w14:paraId="64A0487C" w14:textId="77777777" w:rsidR="00A078BA" w:rsidRPr="00A078BA" w:rsidRDefault="00A078BA" w:rsidP="00A078BA">
            <w:pPr>
              <w:rPr>
                <w:rFonts w:ascii="Cambria" w:eastAsia="Times New Roman" w:hAnsi="Cambria" w:cs="Times New Roman"/>
                <w:color w:val="000000"/>
                <w:sz w:val="20"/>
                <w:szCs w:val="20"/>
                <w:lang w:val="en-GB"/>
              </w:rPr>
            </w:pPr>
          </w:p>
        </w:tc>
        <w:tc>
          <w:tcPr>
            <w:tcW w:w="1989" w:type="dxa"/>
            <w:tcBorders>
              <w:top w:val="nil"/>
              <w:left w:val="nil"/>
              <w:bottom w:val="nil"/>
              <w:right w:val="single" w:sz="8" w:space="0" w:color="auto"/>
            </w:tcBorders>
            <w:shd w:val="clear" w:color="auto" w:fill="auto"/>
            <w:vAlign w:val="center"/>
            <w:hideMark/>
          </w:tcPr>
          <w:p w14:paraId="740996B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 </w:t>
            </w:r>
          </w:p>
        </w:tc>
        <w:tc>
          <w:tcPr>
            <w:tcW w:w="1860" w:type="dxa"/>
            <w:tcBorders>
              <w:top w:val="nil"/>
              <w:left w:val="nil"/>
              <w:bottom w:val="nil"/>
              <w:right w:val="nil"/>
            </w:tcBorders>
            <w:shd w:val="clear" w:color="auto" w:fill="auto"/>
            <w:vAlign w:val="center"/>
            <w:hideMark/>
          </w:tcPr>
          <w:p w14:paraId="2EE89466" w14:textId="77777777" w:rsidR="00A078BA" w:rsidRPr="00A078BA" w:rsidRDefault="00A078BA" w:rsidP="00A078BA">
            <w:pPr>
              <w:rPr>
                <w:rFonts w:ascii="Cambria" w:eastAsia="Times New Roman" w:hAnsi="Cambria" w:cs="Times New Roman"/>
                <w:color w:val="000000"/>
                <w:sz w:val="20"/>
                <w:szCs w:val="20"/>
                <w:lang w:val="en-GB"/>
              </w:rPr>
            </w:pPr>
          </w:p>
        </w:tc>
      </w:tr>
      <w:tr w:rsidR="00A078BA" w:rsidRPr="00A078BA" w14:paraId="0AAA4142"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12BEE5A2"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Well</w:t>
            </w:r>
          </w:p>
        </w:tc>
        <w:tc>
          <w:tcPr>
            <w:tcW w:w="2219" w:type="dxa"/>
            <w:tcBorders>
              <w:top w:val="nil"/>
              <w:left w:val="nil"/>
              <w:bottom w:val="nil"/>
              <w:right w:val="nil"/>
            </w:tcBorders>
            <w:shd w:val="clear" w:color="auto" w:fill="auto"/>
            <w:noWrap/>
            <w:vAlign w:val="center"/>
            <w:hideMark/>
          </w:tcPr>
          <w:p w14:paraId="407C2449"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7 (10%)</w:t>
            </w:r>
          </w:p>
        </w:tc>
        <w:tc>
          <w:tcPr>
            <w:tcW w:w="1989" w:type="dxa"/>
            <w:tcBorders>
              <w:top w:val="nil"/>
              <w:left w:val="nil"/>
              <w:bottom w:val="nil"/>
              <w:right w:val="single" w:sz="8" w:space="0" w:color="auto"/>
            </w:tcBorders>
            <w:shd w:val="clear" w:color="auto" w:fill="auto"/>
            <w:noWrap/>
            <w:vAlign w:val="center"/>
            <w:hideMark/>
          </w:tcPr>
          <w:p w14:paraId="7588D357"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 (8%)</w:t>
            </w:r>
          </w:p>
        </w:tc>
        <w:tc>
          <w:tcPr>
            <w:tcW w:w="1860" w:type="dxa"/>
            <w:tcBorders>
              <w:top w:val="nil"/>
              <w:left w:val="nil"/>
              <w:bottom w:val="nil"/>
              <w:right w:val="nil"/>
            </w:tcBorders>
            <w:shd w:val="clear" w:color="auto" w:fill="auto"/>
            <w:noWrap/>
            <w:vAlign w:val="center"/>
            <w:hideMark/>
          </w:tcPr>
          <w:p w14:paraId="1D20B41B"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13  (9%)</w:t>
            </w:r>
          </w:p>
        </w:tc>
      </w:tr>
      <w:tr w:rsidR="00A078BA" w:rsidRPr="00A078BA" w14:paraId="532EC62A"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0964576"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Moderate</w:t>
            </w:r>
          </w:p>
        </w:tc>
        <w:tc>
          <w:tcPr>
            <w:tcW w:w="2219" w:type="dxa"/>
            <w:tcBorders>
              <w:top w:val="nil"/>
              <w:left w:val="nil"/>
              <w:bottom w:val="nil"/>
              <w:right w:val="nil"/>
            </w:tcBorders>
            <w:shd w:val="clear" w:color="auto" w:fill="auto"/>
            <w:noWrap/>
            <w:vAlign w:val="center"/>
            <w:hideMark/>
          </w:tcPr>
          <w:p w14:paraId="5FF39A74"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12 (17%)</w:t>
            </w:r>
          </w:p>
        </w:tc>
        <w:tc>
          <w:tcPr>
            <w:tcW w:w="1989" w:type="dxa"/>
            <w:tcBorders>
              <w:top w:val="nil"/>
              <w:left w:val="nil"/>
              <w:bottom w:val="nil"/>
              <w:right w:val="single" w:sz="8" w:space="0" w:color="auto"/>
            </w:tcBorders>
            <w:shd w:val="clear" w:color="auto" w:fill="auto"/>
            <w:noWrap/>
            <w:vAlign w:val="center"/>
            <w:hideMark/>
          </w:tcPr>
          <w:p w14:paraId="1F79452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16 (22%)</w:t>
            </w:r>
          </w:p>
        </w:tc>
        <w:tc>
          <w:tcPr>
            <w:tcW w:w="1860" w:type="dxa"/>
            <w:tcBorders>
              <w:top w:val="nil"/>
              <w:left w:val="nil"/>
              <w:bottom w:val="nil"/>
              <w:right w:val="nil"/>
            </w:tcBorders>
            <w:shd w:val="clear" w:color="auto" w:fill="auto"/>
            <w:noWrap/>
            <w:vAlign w:val="center"/>
            <w:hideMark/>
          </w:tcPr>
          <w:p w14:paraId="0A5DFFE6"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28  (20%)</w:t>
            </w:r>
          </w:p>
        </w:tc>
      </w:tr>
      <w:tr w:rsidR="00A078BA" w:rsidRPr="00A078BA" w14:paraId="1E7D213D"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4750828"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Poor</w:t>
            </w:r>
          </w:p>
        </w:tc>
        <w:tc>
          <w:tcPr>
            <w:tcW w:w="2219" w:type="dxa"/>
            <w:tcBorders>
              <w:top w:val="nil"/>
              <w:left w:val="nil"/>
              <w:bottom w:val="nil"/>
              <w:right w:val="nil"/>
            </w:tcBorders>
            <w:shd w:val="clear" w:color="auto" w:fill="auto"/>
            <w:noWrap/>
            <w:vAlign w:val="center"/>
            <w:hideMark/>
          </w:tcPr>
          <w:p w14:paraId="58C6CAA2"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15 (21%)</w:t>
            </w:r>
          </w:p>
        </w:tc>
        <w:tc>
          <w:tcPr>
            <w:tcW w:w="1989" w:type="dxa"/>
            <w:tcBorders>
              <w:top w:val="nil"/>
              <w:left w:val="nil"/>
              <w:bottom w:val="nil"/>
              <w:right w:val="single" w:sz="8" w:space="0" w:color="auto"/>
            </w:tcBorders>
            <w:shd w:val="clear" w:color="auto" w:fill="auto"/>
            <w:noWrap/>
            <w:vAlign w:val="center"/>
            <w:hideMark/>
          </w:tcPr>
          <w:p w14:paraId="5D589C77"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16 (12%)</w:t>
            </w:r>
          </w:p>
        </w:tc>
        <w:tc>
          <w:tcPr>
            <w:tcW w:w="1860" w:type="dxa"/>
            <w:tcBorders>
              <w:top w:val="nil"/>
              <w:left w:val="nil"/>
              <w:bottom w:val="nil"/>
              <w:right w:val="nil"/>
            </w:tcBorders>
            <w:shd w:val="clear" w:color="auto" w:fill="auto"/>
            <w:noWrap/>
            <w:vAlign w:val="center"/>
            <w:hideMark/>
          </w:tcPr>
          <w:p w14:paraId="2B77657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30  (22%)</w:t>
            </w:r>
          </w:p>
        </w:tc>
      </w:tr>
      <w:tr w:rsidR="00A078BA" w:rsidRPr="00A078BA" w14:paraId="6117E279"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170D6CF" w14:textId="77777777" w:rsidR="00A078BA" w:rsidRPr="00A078BA" w:rsidRDefault="00A078BA" w:rsidP="00A078BA">
            <w:pPr>
              <w:jc w:val="right"/>
              <w:rPr>
                <w:rFonts w:ascii="Calibri" w:eastAsia="Times New Roman" w:hAnsi="Calibri" w:cs="Times New Roman"/>
                <w:color w:val="000000"/>
                <w:lang w:val="en-GB"/>
              </w:rPr>
            </w:pPr>
            <w:r w:rsidRPr="00A078BA">
              <w:rPr>
                <w:rFonts w:ascii="Calibri" w:eastAsia="Times New Roman" w:hAnsi="Calibri" w:cs="Times New Roman"/>
                <w:color w:val="000000"/>
                <w:lang w:val="en-GB"/>
              </w:rPr>
              <w:t>Unknown</w:t>
            </w:r>
          </w:p>
        </w:tc>
        <w:tc>
          <w:tcPr>
            <w:tcW w:w="2219" w:type="dxa"/>
            <w:tcBorders>
              <w:top w:val="nil"/>
              <w:left w:val="nil"/>
              <w:bottom w:val="nil"/>
              <w:right w:val="nil"/>
            </w:tcBorders>
            <w:shd w:val="clear" w:color="auto" w:fill="auto"/>
            <w:noWrap/>
            <w:vAlign w:val="center"/>
            <w:hideMark/>
          </w:tcPr>
          <w:p w14:paraId="20ED9F2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29 (41%)</w:t>
            </w:r>
          </w:p>
        </w:tc>
        <w:tc>
          <w:tcPr>
            <w:tcW w:w="1989" w:type="dxa"/>
            <w:tcBorders>
              <w:top w:val="nil"/>
              <w:left w:val="nil"/>
              <w:bottom w:val="nil"/>
              <w:right w:val="single" w:sz="8" w:space="0" w:color="auto"/>
            </w:tcBorders>
            <w:shd w:val="clear" w:color="auto" w:fill="auto"/>
            <w:noWrap/>
            <w:vAlign w:val="center"/>
            <w:hideMark/>
          </w:tcPr>
          <w:p w14:paraId="56FED6AF"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30 (42%)</w:t>
            </w:r>
          </w:p>
        </w:tc>
        <w:tc>
          <w:tcPr>
            <w:tcW w:w="1860" w:type="dxa"/>
            <w:tcBorders>
              <w:top w:val="nil"/>
              <w:left w:val="nil"/>
              <w:bottom w:val="nil"/>
              <w:right w:val="nil"/>
            </w:tcBorders>
            <w:shd w:val="clear" w:color="auto" w:fill="auto"/>
            <w:noWrap/>
            <w:vAlign w:val="center"/>
            <w:hideMark/>
          </w:tcPr>
          <w:p w14:paraId="097ED0AB"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59  (42%)</w:t>
            </w:r>
          </w:p>
        </w:tc>
      </w:tr>
      <w:tr w:rsidR="00A078BA" w:rsidRPr="00A078BA" w14:paraId="752AEDFB"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6C581831" w14:textId="77777777" w:rsidR="00A078BA" w:rsidRPr="00A078BA" w:rsidRDefault="00A078BA" w:rsidP="00A078BA">
            <w:pPr>
              <w:jc w:val="right"/>
              <w:rPr>
                <w:rFonts w:ascii="Calibri" w:eastAsia="Times New Roman" w:hAnsi="Calibri" w:cs="Times New Roman"/>
                <w:color w:val="000000"/>
                <w:lang w:val="en-GB"/>
              </w:rPr>
            </w:pPr>
            <w:r w:rsidRPr="00A078BA">
              <w:rPr>
                <w:rFonts w:ascii="Calibri" w:eastAsia="Times New Roman" w:hAnsi="Calibri" w:cs="Times New Roman"/>
                <w:color w:val="000000"/>
                <w:lang w:val="en-GB"/>
              </w:rPr>
              <w:t>Cannot be assessed</w:t>
            </w:r>
          </w:p>
        </w:tc>
        <w:tc>
          <w:tcPr>
            <w:tcW w:w="2219" w:type="dxa"/>
            <w:tcBorders>
              <w:top w:val="nil"/>
              <w:left w:val="nil"/>
              <w:bottom w:val="single" w:sz="8" w:space="0" w:color="auto"/>
              <w:right w:val="nil"/>
            </w:tcBorders>
            <w:shd w:val="clear" w:color="auto" w:fill="auto"/>
            <w:noWrap/>
            <w:vAlign w:val="center"/>
            <w:hideMark/>
          </w:tcPr>
          <w:p w14:paraId="0AA500A5"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7 (10%)</w:t>
            </w:r>
          </w:p>
        </w:tc>
        <w:tc>
          <w:tcPr>
            <w:tcW w:w="1989" w:type="dxa"/>
            <w:tcBorders>
              <w:top w:val="nil"/>
              <w:left w:val="nil"/>
              <w:bottom w:val="single" w:sz="8" w:space="0" w:color="auto"/>
              <w:right w:val="single" w:sz="8" w:space="0" w:color="auto"/>
            </w:tcBorders>
            <w:shd w:val="clear" w:color="auto" w:fill="auto"/>
            <w:noWrap/>
            <w:vAlign w:val="center"/>
            <w:hideMark/>
          </w:tcPr>
          <w:p w14:paraId="771682B2"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4 (6%)</w:t>
            </w:r>
          </w:p>
        </w:tc>
        <w:tc>
          <w:tcPr>
            <w:tcW w:w="1860" w:type="dxa"/>
            <w:tcBorders>
              <w:top w:val="nil"/>
              <w:left w:val="nil"/>
              <w:bottom w:val="single" w:sz="8" w:space="0" w:color="auto"/>
              <w:right w:val="nil"/>
            </w:tcBorders>
            <w:shd w:val="clear" w:color="auto" w:fill="auto"/>
            <w:noWrap/>
            <w:vAlign w:val="center"/>
            <w:hideMark/>
          </w:tcPr>
          <w:p w14:paraId="35A0CED1"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11  (8%)</w:t>
            </w:r>
          </w:p>
        </w:tc>
      </w:tr>
      <w:tr w:rsidR="00A078BA" w:rsidRPr="00A078BA" w14:paraId="3FD4342D"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0AF8B005" w14:textId="77777777" w:rsidR="00A078BA" w:rsidRPr="00A078BA" w:rsidRDefault="00A078BA" w:rsidP="00A078BA">
            <w:pPr>
              <w:jc w:val="both"/>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 xml:space="preserve">Smoking Status, </w:t>
            </w:r>
            <w:r w:rsidRPr="00A078BA">
              <w:rPr>
                <w:rFonts w:ascii="Calibri" w:eastAsia="Times New Roman" w:hAnsi="Calibri" w:cs="Times New Roman"/>
                <w:color w:val="000000"/>
                <w:sz w:val="22"/>
                <w:szCs w:val="22"/>
                <w:lang w:val="en-GB"/>
              </w:rPr>
              <w:t>n (%)</w:t>
            </w:r>
          </w:p>
        </w:tc>
        <w:tc>
          <w:tcPr>
            <w:tcW w:w="2219" w:type="dxa"/>
            <w:tcBorders>
              <w:top w:val="nil"/>
              <w:left w:val="nil"/>
              <w:bottom w:val="nil"/>
              <w:right w:val="nil"/>
            </w:tcBorders>
            <w:shd w:val="clear" w:color="auto" w:fill="auto"/>
            <w:vAlign w:val="center"/>
            <w:hideMark/>
          </w:tcPr>
          <w:p w14:paraId="018570C9" w14:textId="77777777" w:rsidR="00A078BA" w:rsidRPr="00A078BA" w:rsidRDefault="00A078BA" w:rsidP="00A078BA">
            <w:pPr>
              <w:rPr>
                <w:rFonts w:ascii="Cambria" w:eastAsia="Times New Roman" w:hAnsi="Cambria" w:cs="Times New Roman"/>
                <w:color w:val="000000"/>
                <w:sz w:val="20"/>
                <w:szCs w:val="20"/>
                <w:lang w:val="en-GB"/>
              </w:rPr>
            </w:pPr>
          </w:p>
        </w:tc>
        <w:tc>
          <w:tcPr>
            <w:tcW w:w="1989" w:type="dxa"/>
            <w:tcBorders>
              <w:top w:val="nil"/>
              <w:left w:val="nil"/>
              <w:bottom w:val="nil"/>
              <w:right w:val="single" w:sz="8" w:space="0" w:color="auto"/>
            </w:tcBorders>
            <w:shd w:val="clear" w:color="auto" w:fill="auto"/>
            <w:vAlign w:val="center"/>
            <w:hideMark/>
          </w:tcPr>
          <w:p w14:paraId="77446EA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 </w:t>
            </w:r>
          </w:p>
        </w:tc>
        <w:tc>
          <w:tcPr>
            <w:tcW w:w="1860" w:type="dxa"/>
            <w:tcBorders>
              <w:top w:val="nil"/>
              <w:left w:val="nil"/>
              <w:bottom w:val="nil"/>
              <w:right w:val="nil"/>
            </w:tcBorders>
            <w:shd w:val="clear" w:color="auto" w:fill="auto"/>
            <w:vAlign w:val="center"/>
            <w:hideMark/>
          </w:tcPr>
          <w:p w14:paraId="17555615" w14:textId="77777777" w:rsidR="00A078BA" w:rsidRPr="00A078BA" w:rsidRDefault="00A078BA" w:rsidP="00A078BA">
            <w:pPr>
              <w:rPr>
                <w:rFonts w:ascii="Cambria" w:eastAsia="Times New Roman" w:hAnsi="Cambria" w:cs="Times New Roman"/>
                <w:color w:val="000000"/>
                <w:sz w:val="20"/>
                <w:szCs w:val="20"/>
                <w:lang w:val="en-GB"/>
              </w:rPr>
            </w:pPr>
          </w:p>
        </w:tc>
      </w:tr>
      <w:tr w:rsidR="00A078BA" w:rsidRPr="00A078BA" w14:paraId="000494B4"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AE2864D"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Current Smoker</w:t>
            </w:r>
          </w:p>
        </w:tc>
        <w:tc>
          <w:tcPr>
            <w:tcW w:w="2219" w:type="dxa"/>
            <w:tcBorders>
              <w:top w:val="nil"/>
              <w:left w:val="nil"/>
              <w:bottom w:val="nil"/>
              <w:right w:val="nil"/>
            </w:tcBorders>
            <w:shd w:val="clear" w:color="auto" w:fill="auto"/>
            <w:noWrap/>
            <w:vAlign w:val="center"/>
            <w:hideMark/>
          </w:tcPr>
          <w:p w14:paraId="6F471DA6"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10 (15%)</w:t>
            </w:r>
          </w:p>
        </w:tc>
        <w:tc>
          <w:tcPr>
            <w:tcW w:w="1989" w:type="dxa"/>
            <w:tcBorders>
              <w:top w:val="nil"/>
              <w:left w:val="nil"/>
              <w:bottom w:val="nil"/>
              <w:right w:val="single" w:sz="8" w:space="0" w:color="auto"/>
            </w:tcBorders>
            <w:shd w:val="clear" w:color="auto" w:fill="auto"/>
            <w:noWrap/>
            <w:vAlign w:val="center"/>
            <w:hideMark/>
          </w:tcPr>
          <w:p w14:paraId="164955CE"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19 (28%)</w:t>
            </w:r>
          </w:p>
        </w:tc>
        <w:tc>
          <w:tcPr>
            <w:tcW w:w="1860" w:type="dxa"/>
            <w:tcBorders>
              <w:top w:val="nil"/>
              <w:left w:val="nil"/>
              <w:bottom w:val="nil"/>
              <w:right w:val="nil"/>
            </w:tcBorders>
            <w:shd w:val="clear" w:color="auto" w:fill="auto"/>
            <w:noWrap/>
            <w:vAlign w:val="center"/>
            <w:hideMark/>
          </w:tcPr>
          <w:p w14:paraId="166D73EA"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29  (21%)</w:t>
            </w:r>
          </w:p>
        </w:tc>
      </w:tr>
      <w:tr w:rsidR="00A078BA" w:rsidRPr="00A078BA" w14:paraId="7C4CD210" w14:textId="77777777" w:rsidTr="00A078BA">
        <w:trPr>
          <w:trHeight w:val="300"/>
        </w:trPr>
        <w:tc>
          <w:tcPr>
            <w:tcW w:w="3012" w:type="dxa"/>
            <w:tcBorders>
              <w:top w:val="nil"/>
              <w:left w:val="nil"/>
              <w:bottom w:val="nil"/>
              <w:right w:val="single" w:sz="8" w:space="0" w:color="auto"/>
            </w:tcBorders>
            <w:shd w:val="clear" w:color="auto" w:fill="auto"/>
            <w:noWrap/>
            <w:vAlign w:val="center"/>
            <w:hideMark/>
          </w:tcPr>
          <w:p w14:paraId="4AC975D0"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Ex Smoker</w:t>
            </w:r>
          </w:p>
        </w:tc>
        <w:tc>
          <w:tcPr>
            <w:tcW w:w="2219" w:type="dxa"/>
            <w:tcBorders>
              <w:top w:val="nil"/>
              <w:left w:val="nil"/>
              <w:bottom w:val="nil"/>
              <w:right w:val="nil"/>
            </w:tcBorders>
            <w:shd w:val="clear" w:color="auto" w:fill="auto"/>
            <w:noWrap/>
            <w:vAlign w:val="center"/>
            <w:hideMark/>
          </w:tcPr>
          <w:p w14:paraId="2DB97DCA"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23 (34%)</w:t>
            </w:r>
          </w:p>
        </w:tc>
        <w:tc>
          <w:tcPr>
            <w:tcW w:w="1989" w:type="dxa"/>
            <w:tcBorders>
              <w:top w:val="nil"/>
              <w:left w:val="nil"/>
              <w:bottom w:val="nil"/>
              <w:right w:val="single" w:sz="8" w:space="0" w:color="auto"/>
            </w:tcBorders>
            <w:shd w:val="clear" w:color="auto" w:fill="auto"/>
            <w:noWrap/>
            <w:vAlign w:val="center"/>
            <w:hideMark/>
          </w:tcPr>
          <w:p w14:paraId="401B6BD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30 (43%)</w:t>
            </w:r>
          </w:p>
        </w:tc>
        <w:tc>
          <w:tcPr>
            <w:tcW w:w="1860" w:type="dxa"/>
            <w:tcBorders>
              <w:top w:val="nil"/>
              <w:left w:val="nil"/>
              <w:bottom w:val="nil"/>
              <w:right w:val="nil"/>
            </w:tcBorders>
            <w:shd w:val="clear" w:color="auto" w:fill="auto"/>
            <w:noWrap/>
            <w:vAlign w:val="center"/>
            <w:hideMark/>
          </w:tcPr>
          <w:p w14:paraId="77045564"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53  (39%)</w:t>
            </w:r>
          </w:p>
        </w:tc>
      </w:tr>
      <w:tr w:rsidR="00A078BA" w:rsidRPr="00A078BA" w14:paraId="4914EE2A"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2A23B004" w14:textId="77777777" w:rsidR="00A078BA" w:rsidRPr="00A078BA" w:rsidRDefault="00A078BA" w:rsidP="00A078BA">
            <w:pPr>
              <w:jc w:val="right"/>
              <w:rPr>
                <w:rFonts w:ascii="Calibri" w:eastAsia="Times New Roman" w:hAnsi="Calibri" w:cs="Times New Roman"/>
                <w:color w:val="000000"/>
                <w:sz w:val="22"/>
                <w:szCs w:val="22"/>
                <w:lang w:val="en-GB"/>
              </w:rPr>
            </w:pPr>
            <w:r w:rsidRPr="00A078BA">
              <w:rPr>
                <w:rFonts w:ascii="Calibri" w:eastAsia="Times New Roman" w:hAnsi="Calibri" w:cs="Times New Roman"/>
                <w:color w:val="000000"/>
                <w:sz w:val="22"/>
                <w:szCs w:val="22"/>
                <w:lang w:val="en-GB"/>
              </w:rPr>
              <w:t>Never Smoked</w:t>
            </w:r>
          </w:p>
        </w:tc>
        <w:tc>
          <w:tcPr>
            <w:tcW w:w="2219" w:type="dxa"/>
            <w:tcBorders>
              <w:top w:val="nil"/>
              <w:left w:val="nil"/>
              <w:bottom w:val="single" w:sz="8" w:space="0" w:color="auto"/>
              <w:right w:val="nil"/>
            </w:tcBorders>
            <w:shd w:val="clear" w:color="auto" w:fill="auto"/>
            <w:noWrap/>
            <w:vAlign w:val="center"/>
            <w:hideMark/>
          </w:tcPr>
          <w:p w14:paraId="36245B3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34 (51%)</w:t>
            </w:r>
          </w:p>
        </w:tc>
        <w:tc>
          <w:tcPr>
            <w:tcW w:w="1989" w:type="dxa"/>
            <w:tcBorders>
              <w:top w:val="nil"/>
              <w:left w:val="nil"/>
              <w:bottom w:val="single" w:sz="8" w:space="0" w:color="auto"/>
              <w:right w:val="single" w:sz="8" w:space="0" w:color="auto"/>
            </w:tcBorders>
            <w:shd w:val="clear" w:color="auto" w:fill="auto"/>
            <w:noWrap/>
            <w:vAlign w:val="center"/>
            <w:hideMark/>
          </w:tcPr>
          <w:p w14:paraId="2BCB93E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20 (29%)</w:t>
            </w:r>
          </w:p>
        </w:tc>
        <w:tc>
          <w:tcPr>
            <w:tcW w:w="1860" w:type="dxa"/>
            <w:tcBorders>
              <w:top w:val="nil"/>
              <w:left w:val="nil"/>
              <w:bottom w:val="single" w:sz="8" w:space="0" w:color="auto"/>
              <w:right w:val="nil"/>
            </w:tcBorders>
            <w:shd w:val="clear" w:color="auto" w:fill="auto"/>
            <w:noWrap/>
            <w:vAlign w:val="center"/>
            <w:hideMark/>
          </w:tcPr>
          <w:p w14:paraId="3BF53592"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54  (40%)</w:t>
            </w:r>
          </w:p>
        </w:tc>
      </w:tr>
      <w:tr w:rsidR="00A078BA" w:rsidRPr="00A078BA" w14:paraId="01968C6E"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4301B014" w14:textId="77777777" w:rsidR="00A078BA" w:rsidRPr="00A078BA" w:rsidRDefault="00A078BA" w:rsidP="00A078BA">
            <w:pP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CA19-9 KU/I*,</w:t>
            </w:r>
            <w:r w:rsidRPr="00A078BA">
              <w:rPr>
                <w:rFonts w:ascii="Calibri" w:eastAsia="Times New Roman" w:hAnsi="Calibri" w:cs="Times New Roman"/>
                <w:color w:val="000000"/>
                <w:sz w:val="22"/>
                <w:szCs w:val="22"/>
                <w:lang w:val="en-GB"/>
              </w:rPr>
              <w:t xml:space="preserve"> median (IQR)</w:t>
            </w:r>
          </w:p>
        </w:tc>
        <w:tc>
          <w:tcPr>
            <w:tcW w:w="2219" w:type="dxa"/>
            <w:tcBorders>
              <w:top w:val="nil"/>
              <w:left w:val="nil"/>
              <w:bottom w:val="single" w:sz="8" w:space="0" w:color="auto"/>
              <w:right w:val="nil"/>
            </w:tcBorders>
            <w:shd w:val="clear" w:color="auto" w:fill="auto"/>
            <w:noWrap/>
            <w:vAlign w:val="center"/>
            <w:hideMark/>
          </w:tcPr>
          <w:p w14:paraId="32CCBB8B"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1259.5 (264.75,6080.25)</w:t>
            </w:r>
          </w:p>
        </w:tc>
        <w:tc>
          <w:tcPr>
            <w:tcW w:w="1989" w:type="dxa"/>
            <w:tcBorders>
              <w:top w:val="nil"/>
              <w:left w:val="nil"/>
              <w:bottom w:val="single" w:sz="8" w:space="0" w:color="auto"/>
              <w:right w:val="single" w:sz="8" w:space="0" w:color="auto"/>
            </w:tcBorders>
            <w:shd w:val="clear" w:color="auto" w:fill="auto"/>
            <w:noWrap/>
            <w:vAlign w:val="center"/>
            <w:hideMark/>
          </w:tcPr>
          <w:p w14:paraId="734399E3"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1018 (199, 6104)</w:t>
            </w:r>
          </w:p>
        </w:tc>
        <w:tc>
          <w:tcPr>
            <w:tcW w:w="1860" w:type="dxa"/>
            <w:tcBorders>
              <w:top w:val="nil"/>
              <w:left w:val="nil"/>
              <w:bottom w:val="single" w:sz="8" w:space="0" w:color="auto"/>
              <w:right w:val="nil"/>
            </w:tcBorders>
            <w:shd w:val="clear" w:color="auto" w:fill="auto"/>
            <w:noWrap/>
            <w:vAlign w:val="center"/>
            <w:hideMark/>
          </w:tcPr>
          <w:p w14:paraId="037383DE"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1100 (223, 6104)</w:t>
            </w:r>
          </w:p>
        </w:tc>
      </w:tr>
      <w:tr w:rsidR="00A078BA" w:rsidRPr="00A078BA" w14:paraId="3F710B54" w14:textId="77777777" w:rsidTr="00A078BA">
        <w:trPr>
          <w:trHeight w:val="320"/>
        </w:trPr>
        <w:tc>
          <w:tcPr>
            <w:tcW w:w="3012" w:type="dxa"/>
            <w:tcBorders>
              <w:top w:val="nil"/>
              <w:left w:val="nil"/>
              <w:bottom w:val="single" w:sz="8" w:space="0" w:color="auto"/>
              <w:right w:val="single" w:sz="8" w:space="0" w:color="auto"/>
            </w:tcBorders>
            <w:shd w:val="clear" w:color="auto" w:fill="auto"/>
            <w:noWrap/>
            <w:vAlign w:val="center"/>
            <w:hideMark/>
          </w:tcPr>
          <w:p w14:paraId="079614F5" w14:textId="77777777" w:rsidR="00A078BA" w:rsidRPr="00A078BA" w:rsidRDefault="00A078BA" w:rsidP="00A078BA">
            <w:pPr>
              <w:rPr>
                <w:rFonts w:ascii="Calibri" w:eastAsia="Times New Roman" w:hAnsi="Calibri" w:cs="Times New Roman"/>
                <w:b/>
                <w:bCs/>
                <w:color w:val="000000"/>
                <w:sz w:val="22"/>
                <w:szCs w:val="22"/>
                <w:lang w:val="en-GB"/>
              </w:rPr>
            </w:pPr>
            <w:r w:rsidRPr="00A078BA">
              <w:rPr>
                <w:rFonts w:ascii="Calibri" w:eastAsia="Times New Roman" w:hAnsi="Calibri" w:cs="Times New Roman"/>
                <w:b/>
                <w:bCs/>
                <w:color w:val="000000"/>
                <w:sz w:val="22"/>
                <w:szCs w:val="22"/>
                <w:lang w:val="en-GB"/>
              </w:rPr>
              <w:t>CRP*,</w:t>
            </w:r>
            <w:r w:rsidRPr="00A078BA">
              <w:rPr>
                <w:rFonts w:ascii="Calibri" w:eastAsia="Times New Roman" w:hAnsi="Calibri" w:cs="Times New Roman"/>
                <w:color w:val="000000"/>
                <w:sz w:val="22"/>
                <w:szCs w:val="22"/>
                <w:lang w:val="en-GB"/>
              </w:rPr>
              <w:t xml:space="preserve"> median (IQR)</w:t>
            </w:r>
          </w:p>
        </w:tc>
        <w:tc>
          <w:tcPr>
            <w:tcW w:w="2219" w:type="dxa"/>
            <w:tcBorders>
              <w:top w:val="nil"/>
              <w:left w:val="nil"/>
              <w:bottom w:val="single" w:sz="8" w:space="0" w:color="auto"/>
              <w:right w:val="nil"/>
            </w:tcBorders>
            <w:shd w:val="clear" w:color="auto" w:fill="auto"/>
            <w:noWrap/>
            <w:vAlign w:val="center"/>
            <w:hideMark/>
          </w:tcPr>
          <w:p w14:paraId="23AEA8F0"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9 (0, 15)</w:t>
            </w:r>
          </w:p>
        </w:tc>
        <w:tc>
          <w:tcPr>
            <w:tcW w:w="1989" w:type="dxa"/>
            <w:tcBorders>
              <w:top w:val="nil"/>
              <w:left w:val="nil"/>
              <w:bottom w:val="single" w:sz="8" w:space="0" w:color="auto"/>
              <w:right w:val="single" w:sz="8" w:space="0" w:color="auto"/>
            </w:tcBorders>
            <w:shd w:val="clear" w:color="auto" w:fill="auto"/>
            <w:noWrap/>
            <w:vAlign w:val="center"/>
            <w:hideMark/>
          </w:tcPr>
          <w:p w14:paraId="7E93CB6C"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6.5 (0, 32)</w:t>
            </w:r>
          </w:p>
        </w:tc>
        <w:tc>
          <w:tcPr>
            <w:tcW w:w="1860" w:type="dxa"/>
            <w:tcBorders>
              <w:top w:val="nil"/>
              <w:left w:val="nil"/>
              <w:bottom w:val="single" w:sz="8" w:space="0" w:color="auto"/>
              <w:right w:val="nil"/>
            </w:tcBorders>
            <w:shd w:val="clear" w:color="auto" w:fill="auto"/>
            <w:noWrap/>
            <w:vAlign w:val="center"/>
            <w:hideMark/>
          </w:tcPr>
          <w:p w14:paraId="06EFFAB1" w14:textId="77777777" w:rsidR="00A078BA" w:rsidRPr="00A078BA" w:rsidRDefault="00A078BA" w:rsidP="00A078BA">
            <w:pPr>
              <w:jc w:val="center"/>
              <w:rPr>
                <w:rFonts w:ascii="Calibri" w:eastAsia="Times New Roman" w:hAnsi="Calibri" w:cs="Times New Roman"/>
                <w:color w:val="000000"/>
                <w:sz w:val="20"/>
                <w:szCs w:val="20"/>
                <w:lang w:val="en-GB"/>
              </w:rPr>
            </w:pPr>
            <w:r w:rsidRPr="00A078BA">
              <w:rPr>
                <w:rFonts w:ascii="Calibri" w:eastAsia="Times New Roman" w:hAnsi="Calibri" w:cs="Times New Roman"/>
                <w:color w:val="000000"/>
                <w:sz w:val="20"/>
                <w:szCs w:val="20"/>
                <w:lang w:val="en-GB"/>
              </w:rPr>
              <w:t>8 (0, 23)</w:t>
            </w:r>
          </w:p>
        </w:tc>
      </w:tr>
    </w:tbl>
    <w:p w14:paraId="6EBB9A4A" w14:textId="77777777" w:rsidR="00A078BA" w:rsidRDefault="00A078BA" w:rsidP="00A078BA">
      <w:pPr>
        <w:spacing w:line="480" w:lineRule="auto"/>
        <w:rPr>
          <w:rFonts w:ascii="Calibri" w:eastAsia="Times New Roman" w:hAnsi="Calibri" w:cs="Times New Roman"/>
          <w:b/>
          <w:bCs/>
          <w:i/>
          <w:iCs/>
          <w:sz w:val="22"/>
          <w:szCs w:val="22"/>
          <w:lang w:val="en-GB"/>
        </w:rPr>
      </w:pPr>
    </w:p>
    <w:p w14:paraId="59D10D58" w14:textId="0B064B70" w:rsidR="00CB321A" w:rsidRDefault="00CB321A">
      <w:pPr>
        <w:rPr>
          <w:rFonts w:ascii="Calibri" w:eastAsia="Times New Roman" w:hAnsi="Calibri" w:cs="Times New Roman"/>
          <w:b/>
          <w:bCs/>
          <w:i/>
          <w:iCs/>
          <w:sz w:val="22"/>
          <w:szCs w:val="22"/>
          <w:lang w:val="en-GB"/>
        </w:rPr>
      </w:pPr>
      <w:r>
        <w:rPr>
          <w:rFonts w:ascii="Calibri" w:eastAsia="Times New Roman" w:hAnsi="Calibri" w:cs="Times New Roman"/>
          <w:b/>
          <w:bCs/>
          <w:i/>
          <w:iCs/>
          <w:sz w:val="22"/>
          <w:szCs w:val="22"/>
          <w:lang w:val="en-GB"/>
        </w:rPr>
        <w:br w:type="page"/>
      </w:r>
    </w:p>
    <w:p w14:paraId="7FB2DC7B" w14:textId="77777777" w:rsidR="00955FEE" w:rsidRDefault="00955FEE" w:rsidP="00A078BA">
      <w:pPr>
        <w:spacing w:line="480" w:lineRule="auto"/>
        <w:rPr>
          <w:rFonts w:ascii="Calibri" w:eastAsia="Times New Roman" w:hAnsi="Calibri" w:cs="Times New Roman"/>
          <w:b/>
          <w:bCs/>
          <w:i/>
          <w:iCs/>
          <w:color w:val="000000"/>
          <w:sz w:val="22"/>
          <w:szCs w:val="22"/>
          <w:lang w:val="en-GB"/>
        </w:rPr>
      </w:pPr>
    </w:p>
    <w:tbl>
      <w:tblPr>
        <w:tblW w:w="11040" w:type="dxa"/>
        <w:tblInd w:w="-1168" w:type="dxa"/>
        <w:tblLook w:val="04A0" w:firstRow="1" w:lastRow="0" w:firstColumn="1" w:lastColumn="0" w:noHBand="0" w:noVBand="1"/>
      </w:tblPr>
      <w:tblGrid>
        <w:gridCol w:w="3360"/>
        <w:gridCol w:w="1920"/>
        <w:gridCol w:w="1920"/>
        <w:gridCol w:w="1920"/>
        <w:gridCol w:w="1920"/>
      </w:tblGrid>
      <w:tr w:rsidR="00955FEE" w:rsidRPr="00955FEE" w14:paraId="10B84A61" w14:textId="77777777" w:rsidTr="00955FEE">
        <w:trPr>
          <w:trHeight w:val="300"/>
        </w:trPr>
        <w:tc>
          <w:tcPr>
            <w:tcW w:w="3360" w:type="dxa"/>
            <w:vMerge w:val="restart"/>
            <w:tcBorders>
              <w:top w:val="nil"/>
              <w:left w:val="nil"/>
              <w:bottom w:val="double" w:sz="6" w:space="0" w:color="000000"/>
              <w:right w:val="single" w:sz="4" w:space="0" w:color="auto"/>
            </w:tcBorders>
            <w:shd w:val="clear" w:color="auto" w:fill="auto"/>
            <w:vAlign w:val="center"/>
            <w:hideMark/>
          </w:tcPr>
          <w:p w14:paraId="7AE48887" w14:textId="77777777" w:rsidR="00955FEE" w:rsidRPr="00955FEE" w:rsidRDefault="00955FEE" w:rsidP="00955FEE">
            <w:pPr>
              <w:rPr>
                <w:rFonts w:ascii="Calibri" w:eastAsia="Times New Roman" w:hAnsi="Calibri" w:cs="Times New Roman"/>
                <w:b/>
                <w:bCs/>
                <w:i/>
                <w:iCs/>
                <w:color w:val="000000"/>
                <w:sz w:val="22"/>
                <w:szCs w:val="22"/>
                <w:lang w:val="en-GB"/>
              </w:rPr>
            </w:pPr>
            <w:proofErr w:type="spellStart"/>
            <w:r w:rsidRPr="00955FEE">
              <w:rPr>
                <w:rFonts w:ascii="Calibri" w:eastAsia="Times New Roman" w:hAnsi="Calibri" w:cs="Times New Roman"/>
                <w:b/>
                <w:bCs/>
                <w:i/>
                <w:iCs/>
                <w:color w:val="000000"/>
                <w:sz w:val="22"/>
                <w:szCs w:val="22"/>
                <w:lang w:val="en-GB"/>
              </w:rPr>
              <w:t>Prognositc</w:t>
            </w:r>
            <w:proofErr w:type="spellEnd"/>
            <w:r w:rsidRPr="00955FEE">
              <w:rPr>
                <w:rFonts w:ascii="Calibri" w:eastAsia="Times New Roman" w:hAnsi="Calibri" w:cs="Times New Roman"/>
                <w:b/>
                <w:bCs/>
                <w:i/>
                <w:iCs/>
                <w:color w:val="000000"/>
                <w:sz w:val="22"/>
                <w:szCs w:val="22"/>
                <w:lang w:val="en-GB"/>
              </w:rPr>
              <w:t xml:space="preserve"> Variable</w:t>
            </w:r>
          </w:p>
        </w:tc>
        <w:tc>
          <w:tcPr>
            <w:tcW w:w="1920" w:type="dxa"/>
            <w:vMerge w:val="restart"/>
            <w:tcBorders>
              <w:top w:val="nil"/>
              <w:left w:val="nil"/>
              <w:bottom w:val="double" w:sz="6" w:space="0" w:color="000000"/>
              <w:right w:val="nil"/>
            </w:tcBorders>
            <w:shd w:val="clear" w:color="auto" w:fill="auto"/>
            <w:vAlign w:val="center"/>
            <w:hideMark/>
          </w:tcPr>
          <w:p w14:paraId="2C568BF2" w14:textId="77777777" w:rsidR="00955FEE" w:rsidRPr="00955FEE" w:rsidRDefault="00955FEE" w:rsidP="00955FEE">
            <w:pPr>
              <w:jc w:val="center"/>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No Pts. (Deaths)</w:t>
            </w:r>
          </w:p>
        </w:tc>
        <w:tc>
          <w:tcPr>
            <w:tcW w:w="1920" w:type="dxa"/>
            <w:vMerge w:val="restart"/>
            <w:tcBorders>
              <w:top w:val="nil"/>
              <w:left w:val="nil"/>
              <w:bottom w:val="double" w:sz="6" w:space="0" w:color="000000"/>
              <w:right w:val="nil"/>
            </w:tcBorders>
            <w:shd w:val="clear" w:color="auto" w:fill="auto"/>
            <w:vAlign w:val="center"/>
            <w:hideMark/>
          </w:tcPr>
          <w:p w14:paraId="0F4381C8" w14:textId="77777777" w:rsidR="00955FEE" w:rsidRPr="00955FEE" w:rsidRDefault="00955FEE" w:rsidP="00955FEE">
            <w:pPr>
              <w:jc w:val="center"/>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Median OS</w:t>
            </w:r>
          </w:p>
        </w:tc>
        <w:tc>
          <w:tcPr>
            <w:tcW w:w="1920" w:type="dxa"/>
            <w:vMerge w:val="restart"/>
            <w:tcBorders>
              <w:top w:val="nil"/>
              <w:left w:val="nil"/>
              <w:bottom w:val="double" w:sz="6" w:space="0" w:color="000000"/>
              <w:right w:val="nil"/>
            </w:tcBorders>
            <w:shd w:val="clear" w:color="auto" w:fill="auto"/>
            <w:noWrap/>
            <w:vAlign w:val="center"/>
            <w:hideMark/>
          </w:tcPr>
          <w:p w14:paraId="2BD69858" w14:textId="77777777" w:rsidR="00955FEE" w:rsidRPr="00955FEE" w:rsidRDefault="00955FEE" w:rsidP="00955FEE">
            <w:pPr>
              <w:jc w:val="center"/>
              <w:rPr>
                <w:rFonts w:ascii="Calibri" w:eastAsia="Times New Roman" w:hAnsi="Calibri" w:cs="Times New Roman"/>
                <w:color w:val="000000"/>
                <w:lang w:val="en-GB"/>
              </w:rPr>
            </w:pPr>
            <w:r w:rsidRPr="00955FEE">
              <w:rPr>
                <w:rFonts w:ascii="Calibri" w:eastAsia="Times New Roman" w:hAnsi="Calibri" w:cs="Times New Roman"/>
                <w:color w:val="000000"/>
                <w:lang w:val="en-GB"/>
              </w:rPr>
              <w:t>HR</w:t>
            </w:r>
          </w:p>
        </w:tc>
        <w:tc>
          <w:tcPr>
            <w:tcW w:w="1920" w:type="dxa"/>
            <w:vMerge w:val="restart"/>
            <w:tcBorders>
              <w:top w:val="nil"/>
              <w:left w:val="nil"/>
              <w:bottom w:val="double" w:sz="6" w:space="0" w:color="000000"/>
              <w:right w:val="single" w:sz="4" w:space="0" w:color="auto"/>
            </w:tcBorders>
            <w:shd w:val="clear" w:color="auto" w:fill="auto"/>
            <w:noWrap/>
            <w:vAlign w:val="center"/>
            <w:hideMark/>
          </w:tcPr>
          <w:p w14:paraId="629F34C5" w14:textId="77777777" w:rsidR="00955FEE" w:rsidRPr="00955FEE" w:rsidRDefault="00955FEE" w:rsidP="00955FEE">
            <w:pPr>
              <w:jc w:val="center"/>
              <w:rPr>
                <w:rFonts w:ascii="Calibri" w:eastAsia="Times New Roman" w:hAnsi="Calibri" w:cs="Times New Roman"/>
                <w:color w:val="000000"/>
                <w:lang w:val="en-GB"/>
              </w:rPr>
            </w:pPr>
            <w:r w:rsidRPr="00955FEE">
              <w:rPr>
                <w:rFonts w:ascii="Calibri" w:eastAsia="Times New Roman" w:hAnsi="Calibri" w:cs="Times New Roman"/>
                <w:color w:val="000000"/>
                <w:lang w:val="en-GB"/>
              </w:rPr>
              <w:t>P</w:t>
            </w:r>
          </w:p>
        </w:tc>
      </w:tr>
      <w:tr w:rsidR="00955FEE" w:rsidRPr="00955FEE" w14:paraId="2027EBC5" w14:textId="77777777" w:rsidTr="00955FEE">
        <w:trPr>
          <w:trHeight w:val="320"/>
        </w:trPr>
        <w:tc>
          <w:tcPr>
            <w:tcW w:w="3360" w:type="dxa"/>
            <w:vMerge/>
            <w:tcBorders>
              <w:top w:val="nil"/>
              <w:left w:val="nil"/>
              <w:bottom w:val="double" w:sz="6" w:space="0" w:color="000000"/>
              <w:right w:val="single" w:sz="4" w:space="0" w:color="auto"/>
            </w:tcBorders>
            <w:vAlign w:val="center"/>
            <w:hideMark/>
          </w:tcPr>
          <w:p w14:paraId="090A126E" w14:textId="77777777" w:rsidR="00955FEE" w:rsidRPr="00955FEE" w:rsidRDefault="00955FEE" w:rsidP="00955FEE">
            <w:pPr>
              <w:rPr>
                <w:rFonts w:ascii="Calibri" w:eastAsia="Times New Roman" w:hAnsi="Calibri" w:cs="Times New Roman"/>
                <w:b/>
                <w:bCs/>
                <w:i/>
                <w:iCs/>
                <w:color w:val="000000"/>
                <w:sz w:val="22"/>
                <w:szCs w:val="22"/>
                <w:lang w:val="en-GB"/>
              </w:rPr>
            </w:pPr>
          </w:p>
        </w:tc>
        <w:tc>
          <w:tcPr>
            <w:tcW w:w="1920" w:type="dxa"/>
            <w:vMerge/>
            <w:tcBorders>
              <w:top w:val="nil"/>
              <w:left w:val="nil"/>
              <w:bottom w:val="double" w:sz="6" w:space="0" w:color="000000"/>
              <w:right w:val="nil"/>
            </w:tcBorders>
            <w:vAlign w:val="center"/>
            <w:hideMark/>
          </w:tcPr>
          <w:p w14:paraId="6271B95C" w14:textId="77777777" w:rsidR="00955FEE" w:rsidRPr="00955FEE" w:rsidRDefault="00955FEE" w:rsidP="00955FEE">
            <w:pPr>
              <w:rPr>
                <w:rFonts w:ascii="Calibri" w:eastAsia="Times New Roman" w:hAnsi="Calibri" w:cs="Times New Roman"/>
                <w:b/>
                <w:bCs/>
                <w:color w:val="000000"/>
                <w:sz w:val="22"/>
                <w:szCs w:val="22"/>
                <w:lang w:val="en-GB"/>
              </w:rPr>
            </w:pPr>
          </w:p>
        </w:tc>
        <w:tc>
          <w:tcPr>
            <w:tcW w:w="1920" w:type="dxa"/>
            <w:vMerge/>
            <w:tcBorders>
              <w:top w:val="nil"/>
              <w:left w:val="nil"/>
              <w:bottom w:val="double" w:sz="6" w:space="0" w:color="000000"/>
              <w:right w:val="nil"/>
            </w:tcBorders>
            <w:vAlign w:val="center"/>
            <w:hideMark/>
          </w:tcPr>
          <w:p w14:paraId="3FE0EF7D" w14:textId="77777777" w:rsidR="00955FEE" w:rsidRPr="00955FEE" w:rsidRDefault="00955FEE" w:rsidP="00955FEE">
            <w:pPr>
              <w:rPr>
                <w:rFonts w:ascii="Calibri" w:eastAsia="Times New Roman" w:hAnsi="Calibri" w:cs="Times New Roman"/>
                <w:b/>
                <w:bCs/>
                <w:color w:val="000000"/>
                <w:sz w:val="22"/>
                <w:szCs w:val="22"/>
                <w:lang w:val="en-GB"/>
              </w:rPr>
            </w:pPr>
          </w:p>
        </w:tc>
        <w:tc>
          <w:tcPr>
            <w:tcW w:w="1920" w:type="dxa"/>
            <w:vMerge/>
            <w:tcBorders>
              <w:top w:val="nil"/>
              <w:left w:val="nil"/>
              <w:bottom w:val="double" w:sz="6" w:space="0" w:color="000000"/>
              <w:right w:val="nil"/>
            </w:tcBorders>
            <w:vAlign w:val="center"/>
            <w:hideMark/>
          </w:tcPr>
          <w:p w14:paraId="33506BEC" w14:textId="77777777" w:rsidR="00955FEE" w:rsidRPr="00955FEE" w:rsidRDefault="00955FEE" w:rsidP="00955FEE">
            <w:pPr>
              <w:rPr>
                <w:rFonts w:ascii="Calibri" w:eastAsia="Times New Roman" w:hAnsi="Calibri" w:cs="Times New Roman"/>
                <w:color w:val="000000"/>
                <w:lang w:val="en-GB"/>
              </w:rPr>
            </w:pPr>
          </w:p>
        </w:tc>
        <w:tc>
          <w:tcPr>
            <w:tcW w:w="1920" w:type="dxa"/>
            <w:vMerge/>
            <w:tcBorders>
              <w:top w:val="nil"/>
              <w:left w:val="nil"/>
              <w:bottom w:val="double" w:sz="6" w:space="0" w:color="000000"/>
              <w:right w:val="single" w:sz="4" w:space="0" w:color="auto"/>
            </w:tcBorders>
            <w:vAlign w:val="center"/>
            <w:hideMark/>
          </w:tcPr>
          <w:p w14:paraId="2F490A96" w14:textId="77777777" w:rsidR="00955FEE" w:rsidRPr="00955FEE" w:rsidRDefault="00955FEE" w:rsidP="00955FEE">
            <w:pPr>
              <w:rPr>
                <w:rFonts w:ascii="Calibri" w:eastAsia="Times New Roman" w:hAnsi="Calibri" w:cs="Times New Roman"/>
                <w:color w:val="000000"/>
                <w:lang w:val="en-GB"/>
              </w:rPr>
            </w:pPr>
          </w:p>
        </w:tc>
      </w:tr>
      <w:tr w:rsidR="00955FEE" w:rsidRPr="00955FEE" w14:paraId="339A50C5" w14:textId="77777777" w:rsidTr="00955FEE">
        <w:trPr>
          <w:trHeight w:val="320"/>
        </w:trPr>
        <w:tc>
          <w:tcPr>
            <w:tcW w:w="3360" w:type="dxa"/>
            <w:tcBorders>
              <w:top w:val="nil"/>
              <w:left w:val="nil"/>
              <w:bottom w:val="nil"/>
              <w:right w:val="single" w:sz="4" w:space="0" w:color="auto"/>
            </w:tcBorders>
            <w:shd w:val="clear" w:color="auto" w:fill="auto"/>
            <w:noWrap/>
            <w:vAlign w:val="center"/>
            <w:hideMark/>
          </w:tcPr>
          <w:p w14:paraId="368C9EC9"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 xml:space="preserve">Arm, </w:t>
            </w:r>
            <w:r w:rsidRPr="00955FEE">
              <w:rPr>
                <w:rFonts w:ascii="Calibri" w:eastAsia="Times New Roman" w:hAnsi="Calibri" w:cs="Times New Roman"/>
                <w:color w:val="000000"/>
                <w:sz w:val="22"/>
                <w:szCs w:val="22"/>
                <w:lang w:val="en-GB"/>
              </w:rPr>
              <w:t>n (%)</w:t>
            </w:r>
          </w:p>
        </w:tc>
        <w:tc>
          <w:tcPr>
            <w:tcW w:w="1920" w:type="dxa"/>
            <w:tcBorders>
              <w:top w:val="nil"/>
              <w:left w:val="nil"/>
              <w:bottom w:val="nil"/>
              <w:right w:val="nil"/>
            </w:tcBorders>
            <w:shd w:val="clear" w:color="auto" w:fill="auto"/>
            <w:noWrap/>
            <w:vAlign w:val="center"/>
            <w:hideMark/>
          </w:tcPr>
          <w:p w14:paraId="4BB46407"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center"/>
            <w:hideMark/>
          </w:tcPr>
          <w:p w14:paraId="626E46AB"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center"/>
            <w:hideMark/>
          </w:tcPr>
          <w:p w14:paraId="3B99FE11"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1DB493E4"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4720047F"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42195F39"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Gemcitabine plus Placebo</w:t>
            </w:r>
          </w:p>
        </w:tc>
        <w:tc>
          <w:tcPr>
            <w:tcW w:w="1920" w:type="dxa"/>
            <w:tcBorders>
              <w:top w:val="nil"/>
              <w:left w:val="nil"/>
              <w:bottom w:val="nil"/>
              <w:right w:val="nil"/>
            </w:tcBorders>
            <w:shd w:val="clear" w:color="auto" w:fill="auto"/>
            <w:noWrap/>
            <w:vAlign w:val="bottom"/>
            <w:hideMark/>
          </w:tcPr>
          <w:p w14:paraId="6266D663"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70 (61)</w:t>
            </w:r>
          </w:p>
        </w:tc>
        <w:tc>
          <w:tcPr>
            <w:tcW w:w="1920" w:type="dxa"/>
            <w:tcBorders>
              <w:top w:val="nil"/>
              <w:left w:val="nil"/>
              <w:bottom w:val="nil"/>
              <w:right w:val="nil"/>
            </w:tcBorders>
            <w:shd w:val="clear" w:color="auto" w:fill="auto"/>
            <w:noWrap/>
            <w:vAlign w:val="bottom"/>
            <w:hideMark/>
          </w:tcPr>
          <w:p w14:paraId="1E3B752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8.95 (6.55, 11.7)</w:t>
            </w:r>
          </w:p>
        </w:tc>
        <w:tc>
          <w:tcPr>
            <w:tcW w:w="1920" w:type="dxa"/>
            <w:tcBorders>
              <w:top w:val="nil"/>
              <w:left w:val="nil"/>
              <w:bottom w:val="nil"/>
              <w:right w:val="nil"/>
            </w:tcBorders>
            <w:shd w:val="clear" w:color="auto" w:fill="auto"/>
            <w:noWrap/>
            <w:vAlign w:val="bottom"/>
            <w:hideMark/>
          </w:tcPr>
          <w:p w14:paraId="6A09FCD5"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1C3562E7"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64D388DA"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3259480A"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Gemcitabine plus Vandetanib</w:t>
            </w:r>
          </w:p>
        </w:tc>
        <w:tc>
          <w:tcPr>
            <w:tcW w:w="1920" w:type="dxa"/>
            <w:tcBorders>
              <w:top w:val="nil"/>
              <w:left w:val="nil"/>
              <w:bottom w:val="single" w:sz="4" w:space="0" w:color="auto"/>
              <w:right w:val="nil"/>
            </w:tcBorders>
            <w:shd w:val="clear" w:color="auto" w:fill="auto"/>
            <w:noWrap/>
            <w:vAlign w:val="bottom"/>
            <w:hideMark/>
          </w:tcPr>
          <w:p w14:paraId="262D818C"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72 (70)</w:t>
            </w:r>
          </w:p>
        </w:tc>
        <w:tc>
          <w:tcPr>
            <w:tcW w:w="1920" w:type="dxa"/>
            <w:tcBorders>
              <w:top w:val="nil"/>
              <w:left w:val="nil"/>
              <w:bottom w:val="single" w:sz="4" w:space="0" w:color="auto"/>
              <w:right w:val="nil"/>
            </w:tcBorders>
            <w:shd w:val="clear" w:color="auto" w:fill="auto"/>
            <w:noWrap/>
            <w:vAlign w:val="bottom"/>
            <w:hideMark/>
          </w:tcPr>
          <w:p w14:paraId="3ACFB080"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8.83 (7.11, 11.6)</w:t>
            </w:r>
          </w:p>
        </w:tc>
        <w:tc>
          <w:tcPr>
            <w:tcW w:w="1920" w:type="dxa"/>
            <w:tcBorders>
              <w:top w:val="nil"/>
              <w:left w:val="nil"/>
              <w:bottom w:val="single" w:sz="4" w:space="0" w:color="auto"/>
              <w:right w:val="nil"/>
            </w:tcBorders>
            <w:shd w:val="clear" w:color="auto" w:fill="auto"/>
            <w:noWrap/>
            <w:vAlign w:val="bottom"/>
            <w:hideMark/>
          </w:tcPr>
          <w:p w14:paraId="4CB2F3C5"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1.17 (0.83, 1.65)</w:t>
            </w:r>
          </w:p>
        </w:tc>
        <w:tc>
          <w:tcPr>
            <w:tcW w:w="1920" w:type="dxa"/>
            <w:tcBorders>
              <w:top w:val="nil"/>
              <w:left w:val="nil"/>
              <w:bottom w:val="single" w:sz="4" w:space="0" w:color="auto"/>
              <w:right w:val="nil"/>
            </w:tcBorders>
            <w:shd w:val="clear" w:color="auto" w:fill="auto"/>
            <w:noWrap/>
            <w:vAlign w:val="bottom"/>
            <w:hideMark/>
          </w:tcPr>
          <w:p w14:paraId="083E9B2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0.376</w:t>
            </w:r>
          </w:p>
        </w:tc>
      </w:tr>
      <w:tr w:rsidR="00955FEE" w:rsidRPr="00955FEE" w14:paraId="3D3E9979"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235F0EF"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 xml:space="preserve">Gender, </w:t>
            </w:r>
            <w:r w:rsidRPr="00955FEE">
              <w:rPr>
                <w:rFonts w:ascii="Calibri" w:eastAsia="Times New Roman" w:hAnsi="Calibri" w:cs="Times New Roman"/>
                <w:color w:val="000000"/>
                <w:sz w:val="22"/>
                <w:szCs w:val="22"/>
                <w:lang w:val="en-GB"/>
              </w:rPr>
              <w:t>n (%)</w:t>
            </w:r>
          </w:p>
        </w:tc>
        <w:tc>
          <w:tcPr>
            <w:tcW w:w="1920" w:type="dxa"/>
            <w:tcBorders>
              <w:top w:val="nil"/>
              <w:left w:val="nil"/>
              <w:bottom w:val="nil"/>
              <w:right w:val="nil"/>
            </w:tcBorders>
            <w:shd w:val="clear" w:color="auto" w:fill="auto"/>
            <w:noWrap/>
            <w:vAlign w:val="center"/>
            <w:hideMark/>
          </w:tcPr>
          <w:p w14:paraId="0A68BD38"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center"/>
            <w:hideMark/>
          </w:tcPr>
          <w:p w14:paraId="6F2FD041"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center"/>
            <w:hideMark/>
          </w:tcPr>
          <w:p w14:paraId="18552F53"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1705313C"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5808815D"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5928628"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Female</w:t>
            </w:r>
          </w:p>
        </w:tc>
        <w:tc>
          <w:tcPr>
            <w:tcW w:w="1920" w:type="dxa"/>
            <w:tcBorders>
              <w:top w:val="nil"/>
              <w:left w:val="nil"/>
              <w:bottom w:val="nil"/>
              <w:right w:val="nil"/>
            </w:tcBorders>
            <w:shd w:val="clear" w:color="auto" w:fill="auto"/>
            <w:noWrap/>
            <w:vAlign w:val="bottom"/>
            <w:hideMark/>
          </w:tcPr>
          <w:p w14:paraId="0131862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59 (55)</w:t>
            </w:r>
          </w:p>
        </w:tc>
        <w:tc>
          <w:tcPr>
            <w:tcW w:w="1920" w:type="dxa"/>
            <w:tcBorders>
              <w:top w:val="nil"/>
              <w:left w:val="nil"/>
              <w:bottom w:val="nil"/>
              <w:right w:val="nil"/>
            </w:tcBorders>
            <w:shd w:val="clear" w:color="auto" w:fill="auto"/>
            <w:noWrap/>
            <w:vAlign w:val="bottom"/>
            <w:hideMark/>
          </w:tcPr>
          <w:p w14:paraId="63F41C9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8.32 (5.82, 11.4)</w:t>
            </w:r>
          </w:p>
        </w:tc>
        <w:tc>
          <w:tcPr>
            <w:tcW w:w="1920" w:type="dxa"/>
            <w:tcBorders>
              <w:top w:val="nil"/>
              <w:left w:val="nil"/>
              <w:bottom w:val="nil"/>
              <w:right w:val="nil"/>
            </w:tcBorders>
            <w:shd w:val="clear" w:color="auto" w:fill="auto"/>
            <w:noWrap/>
            <w:vAlign w:val="bottom"/>
            <w:hideMark/>
          </w:tcPr>
          <w:p w14:paraId="26F8F2CB"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37872E50"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74ABE304"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59579F81"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Male</w:t>
            </w:r>
          </w:p>
        </w:tc>
        <w:tc>
          <w:tcPr>
            <w:tcW w:w="1920" w:type="dxa"/>
            <w:tcBorders>
              <w:top w:val="nil"/>
              <w:left w:val="nil"/>
              <w:bottom w:val="single" w:sz="4" w:space="0" w:color="auto"/>
              <w:right w:val="nil"/>
            </w:tcBorders>
            <w:shd w:val="clear" w:color="auto" w:fill="auto"/>
            <w:noWrap/>
            <w:vAlign w:val="bottom"/>
            <w:hideMark/>
          </w:tcPr>
          <w:p w14:paraId="118F061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83 (76)</w:t>
            </w:r>
          </w:p>
        </w:tc>
        <w:tc>
          <w:tcPr>
            <w:tcW w:w="1920" w:type="dxa"/>
            <w:tcBorders>
              <w:top w:val="nil"/>
              <w:left w:val="nil"/>
              <w:bottom w:val="single" w:sz="4" w:space="0" w:color="auto"/>
              <w:right w:val="nil"/>
            </w:tcBorders>
            <w:shd w:val="clear" w:color="auto" w:fill="auto"/>
            <w:noWrap/>
            <w:vAlign w:val="bottom"/>
            <w:hideMark/>
          </w:tcPr>
          <w:p w14:paraId="36E934E3"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9.38 (6.68, 11.9)</w:t>
            </w:r>
          </w:p>
        </w:tc>
        <w:tc>
          <w:tcPr>
            <w:tcW w:w="1920" w:type="dxa"/>
            <w:tcBorders>
              <w:top w:val="nil"/>
              <w:left w:val="nil"/>
              <w:bottom w:val="single" w:sz="4" w:space="0" w:color="auto"/>
              <w:right w:val="nil"/>
            </w:tcBorders>
            <w:shd w:val="clear" w:color="auto" w:fill="auto"/>
            <w:noWrap/>
            <w:vAlign w:val="bottom"/>
            <w:hideMark/>
          </w:tcPr>
          <w:p w14:paraId="2B9EB977"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0.94 (0.67, 1.34)</w:t>
            </w:r>
          </w:p>
        </w:tc>
        <w:tc>
          <w:tcPr>
            <w:tcW w:w="1920" w:type="dxa"/>
            <w:tcBorders>
              <w:top w:val="nil"/>
              <w:left w:val="nil"/>
              <w:bottom w:val="single" w:sz="4" w:space="0" w:color="auto"/>
              <w:right w:val="nil"/>
            </w:tcBorders>
            <w:shd w:val="clear" w:color="auto" w:fill="auto"/>
            <w:noWrap/>
            <w:vAlign w:val="bottom"/>
            <w:hideMark/>
          </w:tcPr>
          <w:p w14:paraId="033DCB4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0.744</w:t>
            </w:r>
          </w:p>
        </w:tc>
      </w:tr>
      <w:tr w:rsidR="00955FEE" w:rsidRPr="00955FEE" w14:paraId="76B94254"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0130FF34"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Age</w:t>
            </w:r>
          </w:p>
        </w:tc>
        <w:tc>
          <w:tcPr>
            <w:tcW w:w="1920" w:type="dxa"/>
            <w:tcBorders>
              <w:top w:val="nil"/>
              <w:left w:val="nil"/>
              <w:bottom w:val="nil"/>
              <w:right w:val="nil"/>
            </w:tcBorders>
            <w:shd w:val="clear" w:color="auto" w:fill="auto"/>
            <w:noWrap/>
            <w:vAlign w:val="bottom"/>
            <w:hideMark/>
          </w:tcPr>
          <w:p w14:paraId="4FBB23EA"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95DA06C"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77E0416C"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713AC58A"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1DE00BE2"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3C3292D1"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&lt;65</w:t>
            </w:r>
          </w:p>
        </w:tc>
        <w:tc>
          <w:tcPr>
            <w:tcW w:w="1920" w:type="dxa"/>
            <w:tcBorders>
              <w:top w:val="nil"/>
              <w:left w:val="nil"/>
              <w:bottom w:val="nil"/>
              <w:right w:val="nil"/>
            </w:tcBorders>
            <w:shd w:val="clear" w:color="auto" w:fill="auto"/>
            <w:noWrap/>
            <w:vAlign w:val="bottom"/>
            <w:hideMark/>
          </w:tcPr>
          <w:p w14:paraId="7B3730F7"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60 (53)</w:t>
            </w:r>
          </w:p>
        </w:tc>
        <w:tc>
          <w:tcPr>
            <w:tcW w:w="1920" w:type="dxa"/>
            <w:tcBorders>
              <w:top w:val="nil"/>
              <w:left w:val="nil"/>
              <w:bottom w:val="nil"/>
              <w:right w:val="nil"/>
            </w:tcBorders>
            <w:shd w:val="clear" w:color="auto" w:fill="auto"/>
            <w:noWrap/>
            <w:vAlign w:val="bottom"/>
            <w:hideMark/>
          </w:tcPr>
          <w:p w14:paraId="0F5E7A28"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10.08 (4.87, 12.70)</w:t>
            </w:r>
          </w:p>
        </w:tc>
        <w:tc>
          <w:tcPr>
            <w:tcW w:w="1920" w:type="dxa"/>
            <w:tcBorders>
              <w:top w:val="nil"/>
              <w:left w:val="nil"/>
              <w:bottom w:val="nil"/>
              <w:right w:val="nil"/>
            </w:tcBorders>
            <w:shd w:val="clear" w:color="auto" w:fill="auto"/>
            <w:noWrap/>
            <w:vAlign w:val="bottom"/>
            <w:hideMark/>
          </w:tcPr>
          <w:p w14:paraId="3680FEEA"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0DC01B32"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1721C337"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373491DA"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&gt;65</w:t>
            </w:r>
          </w:p>
        </w:tc>
        <w:tc>
          <w:tcPr>
            <w:tcW w:w="1920" w:type="dxa"/>
            <w:tcBorders>
              <w:top w:val="nil"/>
              <w:left w:val="nil"/>
              <w:bottom w:val="single" w:sz="4" w:space="0" w:color="auto"/>
              <w:right w:val="nil"/>
            </w:tcBorders>
            <w:shd w:val="clear" w:color="auto" w:fill="auto"/>
            <w:noWrap/>
            <w:vAlign w:val="bottom"/>
            <w:hideMark/>
          </w:tcPr>
          <w:p w14:paraId="76CC2D3C"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82 (78)</w:t>
            </w:r>
          </w:p>
        </w:tc>
        <w:tc>
          <w:tcPr>
            <w:tcW w:w="1920" w:type="dxa"/>
            <w:tcBorders>
              <w:top w:val="nil"/>
              <w:left w:val="nil"/>
              <w:bottom w:val="single" w:sz="4" w:space="0" w:color="auto"/>
              <w:right w:val="nil"/>
            </w:tcBorders>
            <w:shd w:val="clear" w:color="auto" w:fill="auto"/>
            <w:noWrap/>
            <w:vAlign w:val="bottom"/>
            <w:hideMark/>
          </w:tcPr>
          <w:p w14:paraId="11F05D39"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8.75 (6.68, 11.0)</w:t>
            </w:r>
          </w:p>
        </w:tc>
        <w:tc>
          <w:tcPr>
            <w:tcW w:w="1920" w:type="dxa"/>
            <w:tcBorders>
              <w:top w:val="nil"/>
              <w:left w:val="nil"/>
              <w:bottom w:val="single" w:sz="4" w:space="0" w:color="auto"/>
              <w:right w:val="nil"/>
            </w:tcBorders>
            <w:shd w:val="clear" w:color="auto" w:fill="auto"/>
            <w:noWrap/>
            <w:vAlign w:val="bottom"/>
            <w:hideMark/>
          </w:tcPr>
          <w:p w14:paraId="4D35021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1.01 (0.99, 1.03)</w:t>
            </w:r>
          </w:p>
        </w:tc>
        <w:tc>
          <w:tcPr>
            <w:tcW w:w="1920" w:type="dxa"/>
            <w:tcBorders>
              <w:top w:val="nil"/>
              <w:left w:val="nil"/>
              <w:bottom w:val="single" w:sz="4" w:space="0" w:color="auto"/>
              <w:right w:val="nil"/>
            </w:tcBorders>
            <w:shd w:val="clear" w:color="auto" w:fill="auto"/>
            <w:noWrap/>
            <w:vAlign w:val="bottom"/>
            <w:hideMark/>
          </w:tcPr>
          <w:p w14:paraId="059DF08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0.546</w:t>
            </w:r>
          </w:p>
        </w:tc>
      </w:tr>
      <w:tr w:rsidR="00955FEE" w:rsidRPr="00955FEE" w14:paraId="721DE6BA"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054AC9BC"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Disease Stage</w:t>
            </w:r>
          </w:p>
        </w:tc>
        <w:tc>
          <w:tcPr>
            <w:tcW w:w="1920" w:type="dxa"/>
            <w:tcBorders>
              <w:top w:val="nil"/>
              <w:left w:val="nil"/>
              <w:bottom w:val="nil"/>
              <w:right w:val="nil"/>
            </w:tcBorders>
            <w:shd w:val="clear" w:color="auto" w:fill="auto"/>
            <w:noWrap/>
            <w:vAlign w:val="bottom"/>
            <w:hideMark/>
          </w:tcPr>
          <w:p w14:paraId="2129DFFB"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E8259E0"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49BEE155"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3AD7567E"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0FC4EB67"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00296E4D"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Locally advanced</w:t>
            </w:r>
          </w:p>
        </w:tc>
        <w:tc>
          <w:tcPr>
            <w:tcW w:w="1920" w:type="dxa"/>
            <w:tcBorders>
              <w:top w:val="nil"/>
              <w:left w:val="nil"/>
              <w:bottom w:val="nil"/>
              <w:right w:val="nil"/>
            </w:tcBorders>
            <w:shd w:val="clear" w:color="auto" w:fill="auto"/>
            <w:noWrap/>
            <w:vAlign w:val="bottom"/>
            <w:hideMark/>
          </w:tcPr>
          <w:p w14:paraId="507935D8"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41 (37)</w:t>
            </w:r>
          </w:p>
        </w:tc>
        <w:tc>
          <w:tcPr>
            <w:tcW w:w="1920" w:type="dxa"/>
            <w:tcBorders>
              <w:top w:val="nil"/>
              <w:left w:val="nil"/>
              <w:bottom w:val="nil"/>
              <w:right w:val="nil"/>
            </w:tcBorders>
            <w:shd w:val="clear" w:color="auto" w:fill="auto"/>
            <w:noWrap/>
            <w:vAlign w:val="bottom"/>
            <w:hideMark/>
          </w:tcPr>
          <w:p w14:paraId="55139050"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11.53 (9.97, 15.16)</w:t>
            </w:r>
          </w:p>
        </w:tc>
        <w:tc>
          <w:tcPr>
            <w:tcW w:w="1920" w:type="dxa"/>
            <w:tcBorders>
              <w:top w:val="nil"/>
              <w:left w:val="nil"/>
              <w:bottom w:val="nil"/>
              <w:right w:val="nil"/>
            </w:tcBorders>
            <w:shd w:val="clear" w:color="auto" w:fill="auto"/>
            <w:noWrap/>
            <w:vAlign w:val="bottom"/>
            <w:hideMark/>
          </w:tcPr>
          <w:p w14:paraId="6A94240D"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0380281"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578F0788"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10878E69"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Metastatic</w:t>
            </w:r>
          </w:p>
        </w:tc>
        <w:tc>
          <w:tcPr>
            <w:tcW w:w="1920" w:type="dxa"/>
            <w:tcBorders>
              <w:top w:val="nil"/>
              <w:left w:val="nil"/>
              <w:bottom w:val="single" w:sz="4" w:space="0" w:color="auto"/>
              <w:right w:val="nil"/>
            </w:tcBorders>
            <w:shd w:val="clear" w:color="auto" w:fill="auto"/>
            <w:noWrap/>
            <w:vAlign w:val="bottom"/>
            <w:hideMark/>
          </w:tcPr>
          <w:p w14:paraId="3B6F0A44"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101 (94)</w:t>
            </w:r>
          </w:p>
        </w:tc>
        <w:tc>
          <w:tcPr>
            <w:tcW w:w="1920" w:type="dxa"/>
            <w:tcBorders>
              <w:top w:val="nil"/>
              <w:left w:val="nil"/>
              <w:bottom w:val="single" w:sz="4" w:space="0" w:color="auto"/>
              <w:right w:val="nil"/>
            </w:tcBorders>
            <w:shd w:val="clear" w:color="auto" w:fill="auto"/>
            <w:noWrap/>
            <w:vAlign w:val="bottom"/>
            <w:hideMark/>
          </w:tcPr>
          <w:p w14:paraId="2DE9AE6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7.11 (4.74, 9.97)</w:t>
            </w:r>
          </w:p>
        </w:tc>
        <w:tc>
          <w:tcPr>
            <w:tcW w:w="1920" w:type="dxa"/>
            <w:tcBorders>
              <w:top w:val="nil"/>
              <w:left w:val="nil"/>
              <w:bottom w:val="single" w:sz="4" w:space="0" w:color="auto"/>
              <w:right w:val="nil"/>
            </w:tcBorders>
            <w:shd w:val="clear" w:color="auto" w:fill="auto"/>
            <w:noWrap/>
            <w:vAlign w:val="bottom"/>
            <w:hideMark/>
          </w:tcPr>
          <w:p w14:paraId="78D4FEEF"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1.42 (0.97, 2.08)</w:t>
            </w:r>
          </w:p>
        </w:tc>
        <w:tc>
          <w:tcPr>
            <w:tcW w:w="1920" w:type="dxa"/>
            <w:tcBorders>
              <w:top w:val="nil"/>
              <w:left w:val="nil"/>
              <w:bottom w:val="single" w:sz="4" w:space="0" w:color="auto"/>
              <w:right w:val="nil"/>
            </w:tcBorders>
            <w:shd w:val="clear" w:color="auto" w:fill="auto"/>
            <w:noWrap/>
            <w:vAlign w:val="bottom"/>
            <w:hideMark/>
          </w:tcPr>
          <w:p w14:paraId="1E44FC48"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0.071</w:t>
            </w:r>
          </w:p>
        </w:tc>
      </w:tr>
      <w:tr w:rsidR="00955FEE" w:rsidRPr="00955FEE" w14:paraId="1386749D"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520E126"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ECOG Performance Status</w:t>
            </w:r>
          </w:p>
        </w:tc>
        <w:tc>
          <w:tcPr>
            <w:tcW w:w="1920" w:type="dxa"/>
            <w:tcBorders>
              <w:top w:val="nil"/>
              <w:left w:val="nil"/>
              <w:bottom w:val="nil"/>
              <w:right w:val="nil"/>
            </w:tcBorders>
            <w:shd w:val="clear" w:color="auto" w:fill="auto"/>
            <w:noWrap/>
            <w:vAlign w:val="bottom"/>
            <w:hideMark/>
          </w:tcPr>
          <w:p w14:paraId="796A2221"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77AC3615"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24A3CBA0"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3AC786AD"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2565172C"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83475BE"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w:t>
            </w:r>
          </w:p>
        </w:tc>
        <w:tc>
          <w:tcPr>
            <w:tcW w:w="1920" w:type="dxa"/>
            <w:tcBorders>
              <w:top w:val="nil"/>
              <w:left w:val="nil"/>
              <w:bottom w:val="nil"/>
              <w:right w:val="nil"/>
            </w:tcBorders>
            <w:shd w:val="clear" w:color="auto" w:fill="auto"/>
            <w:noWrap/>
            <w:vAlign w:val="bottom"/>
            <w:hideMark/>
          </w:tcPr>
          <w:p w14:paraId="7F95B12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40 (36)</w:t>
            </w:r>
          </w:p>
        </w:tc>
        <w:tc>
          <w:tcPr>
            <w:tcW w:w="1920" w:type="dxa"/>
            <w:tcBorders>
              <w:top w:val="nil"/>
              <w:left w:val="nil"/>
              <w:bottom w:val="nil"/>
              <w:right w:val="nil"/>
            </w:tcBorders>
            <w:shd w:val="clear" w:color="auto" w:fill="auto"/>
            <w:noWrap/>
            <w:vAlign w:val="bottom"/>
            <w:hideMark/>
          </w:tcPr>
          <w:p w14:paraId="2CBAB2D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11.58 (8.16, 15.2)</w:t>
            </w:r>
          </w:p>
        </w:tc>
        <w:tc>
          <w:tcPr>
            <w:tcW w:w="1920" w:type="dxa"/>
            <w:tcBorders>
              <w:top w:val="nil"/>
              <w:left w:val="nil"/>
              <w:bottom w:val="nil"/>
              <w:right w:val="nil"/>
            </w:tcBorders>
            <w:shd w:val="clear" w:color="auto" w:fill="auto"/>
            <w:noWrap/>
            <w:vAlign w:val="bottom"/>
            <w:hideMark/>
          </w:tcPr>
          <w:p w14:paraId="116B8B18"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65C3D8E8"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3E75B75E"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3236B320"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w:t>
            </w:r>
          </w:p>
        </w:tc>
        <w:tc>
          <w:tcPr>
            <w:tcW w:w="1920" w:type="dxa"/>
            <w:tcBorders>
              <w:top w:val="nil"/>
              <w:left w:val="nil"/>
              <w:bottom w:val="nil"/>
              <w:right w:val="nil"/>
            </w:tcBorders>
            <w:shd w:val="clear" w:color="auto" w:fill="auto"/>
            <w:noWrap/>
            <w:vAlign w:val="bottom"/>
            <w:hideMark/>
          </w:tcPr>
          <w:p w14:paraId="778298AE"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86 (79)</w:t>
            </w:r>
          </w:p>
        </w:tc>
        <w:tc>
          <w:tcPr>
            <w:tcW w:w="1920" w:type="dxa"/>
            <w:tcBorders>
              <w:top w:val="nil"/>
              <w:left w:val="nil"/>
              <w:bottom w:val="nil"/>
              <w:right w:val="nil"/>
            </w:tcBorders>
            <w:shd w:val="clear" w:color="auto" w:fill="auto"/>
            <w:noWrap/>
            <w:vAlign w:val="bottom"/>
            <w:hideMark/>
          </w:tcPr>
          <w:p w14:paraId="6828450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8.91 (7.40, 11.3)</w:t>
            </w:r>
          </w:p>
        </w:tc>
        <w:tc>
          <w:tcPr>
            <w:tcW w:w="1920" w:type="dxa"/>
            <w:tcBorders>
              <w:top w:val="nil"/>
              <w:left w:val="nil"/>
              <w:bottom w:val="nil"/>
              <w:right w:val="nil"/>
            </w:tcBorders>
            <w:shd w:val="clear" w:color="auto" w:fill="auto"/>
            <w:noWrap/>
            <w:vAlign w:val="bottom"/>
            <w:hideMark/>
          </w:tcPr>
          <w:p w14:paraId="6BED9E5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1.32 (0.88, 1.97)</w:t>
            </w:r>
          </w:p>
        </w:tc>
        <w:tc>
          <w:tcPr>
            <w:tcW w:w="1920" w:type="dxa"/>
            <w:tcBorders>
              <w:top w:val="nil"/>
              <w:left w:val="nil"/>
              <w:bottom w:val="nil"/>
              <w:right w:val="nil"/>
            </w:tcBorders>
            <w:shd w:val="clear" w:color="auto" w:fill="auto"/>
            <w:noWrap/>
            <w:vAlign w:val="bottom"/>
            <w:hideMark/>
          </w:tcPr>
          <w:p w14:paraId="15DF9C23"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1C8B5ECD"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45086405"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w:t>
            </w:r>
          </w:p>
        </w:tc>
        <w:tc>
          <w:tcPr>
            <w:tcW w:w="1920" w:type="dxa"/>
            <w:tcBorders>
              <w:top w:val="nil"/>
              <w:left w:val="nil"/>
              <w:bottom w:val="single" w:sz="4" w:space="0" w:color="auto"/>
              <w:right w:val="nil"/>
            </w:tcBorders>
            <w:shd w:val="clear" w:color="auto" w:fill="auto"/>
            <w:noWrap/>
            <w:vAlign w:val="bottom"/>
            <w:hideMark/>
          </w:tcPr>
          <w:p w14:paraId="6DF1E99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16 (16)</w:t>
            </w:r>
          </w:p>
        </w:tc>
        <w:tc>
          <w:tcPr>
            <w:tcW w:w="1920" w:type="dxa"/>
            <w:tcBorders>
              <w:top w:val="nil"/>
              <w:left w:val="nil"/>
              <w:bottom w:val="single" w:sz="4" w:space="0" w:color="auto"/>
              <w:right w:val="nil"/>
            </w:tcBorders>
            <w:shd w:val="clear" w:color="auto" w:fill="auto"/>
            <w:noWrap/>
            <w:vAlign w:val="bottom"/>
            <w:hideMark/>
          </w:tcPr>
          <w:p w14:paraId="749BDEAF"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4.59 (3.91, 10.2)</w:t>
            </w:r>
          </w:p>
        </w:tc>
        <w:tc>
          <w:tcPr>
            <w:tcW w:w="1920" w:type="dxa"/>
            <w:tcBorders>
              <w:top w:val="nil"/>
              <w:left w:val="nil"/>
              <w:bottom w:val="single" w:sz="4" w:space="0" w:color="auto"/>
              <w:right w:val="nil"/>
            </w:tcBorders>
            <w:shd w:val="clear" w:color="auto" w:fill="auto"/>
            <w:noWrap/>
            <w:vAlign w:val="bottom"/>
            <w:hideMark/>
          </w:tcPr>
          <w:p w14:paraId="1ABAD7B0"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2.46 (1.34, 4.51)</w:t>
            </w:r>
          </w:p>
        </w:tc>
        <w:tc>
          <w:tcPr>
            <w:tcW w:w="1920" w:type="dxa"/>
            <w:tcBorders>
              <w:top w:val="nil"/>
              <w:left w:val="nil"/>
              <w:bottom w:val="single" w:sz="4" w:space="0" w:color="auto"/>
              <w:right w:val="nil"/>
            </w:tcBorders>
            <w:shd w:val="clear" w:color="auto" w:fill="auto"/>
            <w:noWrap/>
            <w:vAlign w:val="bottom"/>
            <w:hideMark/>
          </w:tcPr>
          <w:p w14:paraId="0CF13503"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0.012</w:t>
            </w:r>
          </w:p>
        </w:tc>
      </w:tr>
      <w:tr w:rsidR="00955FEE" w:rsidRPr="00955FEE" w14:paraId="5374E313"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9C0A67B"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 xml:space="preserve">Tumour Histology, </w:t>
            </w:r>
            <w:r w:rsidRPr="00955FEE">
              <w:rPr>
                <w:rFonts w:ascii="Calibri" w:eastAsia="Times New Roman" w:hAnsi="Calibri" w:cs="Times New Roman"/>
                <w:color w:val="000000"/>
                <w:sz w:val="22"/>
                <w:szCs w:val="22"/>
                <w:lang w:val="en-GB"/>
              </w:rPr>
              <w:t>n (%)</w:t>
            </w:r>
          </w:p>
        </w:tc>
        <w:tc>
          <w:tcPr>
            <w:tcW w:w="1920" w:type="dxa"/>
            <w:tcBorders>
              <w:top w:val="nil"/>
              <w:left w:val="nil"/>
              <w:bottom w:val="nil"/>
              <w:right w:val="nil"/>
            </w:tcBorders>
            <w:shd w:val="clear" w:color="auto" w:fill="auto"/>
            <w:noWrap/>
            <w:vAlign w:val="bottom"/>
            <w:hideMark/>
          </w:tcPr>
          <w:p w14:paraId="5EBF8583"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7471E1B5"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4FECC4E7"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494ABE57"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0089F104" w14:textId="77777777" w:rsidTr="00955FEE">
        <w:trPr>
          <w:trHeight w:val="300"/>
        </w:trPr>
        <w:tc>
          <w:tcPr>
            <w:tcW w:w="3360" w:type="dxa"/>
            <w:tcBorders>
              <w:top w:val="nil"/>
              <w:left w:val="nil"/>
              <w:bottom w:val="nil"/>
              <w:right w:val="single" w:sz="4" w:space="0" w:color="auto"/>
            </w:tcBorders>
            <w:shd w:val="clear" w:color="auto" w:fill="auto"/>
            <w:vAlign w:val="center"/>
            <w:hideMark/>
          </w:tcPr>
          <w:p w14:paraId="46383714" w14:textId="77777777" w:rsidR="00955FEE" w:rsidRPr="00955FEE" w:rsidRDefault="00955FEE" w:rsidP="00955FEE">
            <w:pPr>
              <w:jc w:val="right"/>
              <w:rPr>
                <w:rFonts w:ascii="Calibri" w:eastAsia="Times New Roman" w:hAnsi="Calibri" w:cs="Times New Roman"/>
                <w:color w:val="000000"/>
                <w:sz w:val="22"/>
                <w:szCs w:val="22"/>
                <w:lang w:val="en-GB"/>
              </w:rPr>
            </w:pPr>
            <w:proofErr w:type="spellStart"/>
            <w:r w:rsidRPr="00955FEE">
              <w:rPr>
                <w:rFonts w:ascii="Calibri" w:eastAsia="Times New Roman" w:hAnsi="Calibri" w:cs="Times New Roman"/>
                <w:color w:val="000000"/>
                <w:sz w:val="22"/>
                <w:szCs w:val="22"/>
                <w:lang w:val="en-GB"/>
              </w:rPr>
              <w:t>Panc</w:t>
            </w:r>
            <w:proofErr w:type="spellEnd"/>
            <w:r w:rsidRPr="00955FEE">
              <w:rPr>
                <w:rFonts w:ascii="Calibri" w:eastAsia="Times New Roman" w:hAnsi="Calibri" w:cs="Times New Roman"/>
                <w:color w:val="000000"/>
                <w:sz w:val="22"/>
                <w:szCs w:val="22"/>
                <w:lang w:val="en-GB"/>
              </w:rPr>
              <w:t>. ductal adenocarcinoma</w:t>
            </w:r>
          </w:p>
        </w:tc>
        <w:tc>
          <w:tcPr>
            <w:tcW w:w="1920" w:type="dxa"/>
            <w:tcBorders>
              <w:top w:val="nil"/>
              <w:left w:val="nil"/>
              <w:bottom w:val="nil"/>
              <w:right w:val="nil"/>
            </w:tcBorders>
            <w:shd w:val="clear" w:color="auto" w:fill="auto"/>
            <w:noWrap/>
            <w:vAlign w:val="bottom"/>
            <w:hideMark/>
          </w:tcPr>
          <w:p w14:paraId="75A5D8AC"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128 (117)</w:t>
            </w:r>
          </w:p>
        </w:tc>
        <w:tc>
          <w:tcPr>
            <w:tcW w:w="1920" w:type="dxa"/>
            <w:tcBorders>
              <w:top w:val="nil"/>
              <w:left w:val="nil"/>
              <w:bottom w:val="nil"/>
              <w:right w:val="nil"/>
            </w:tcBorders>
            <w:shd w:val="clear" w:color="auto" w:fill="auto"/>
            <w:noWrap/>
            <w:vAlign w:val="bottom"/>
            <w:hideMark/>
          </w:tcPr>
          <w:p w14:paraId="76763997"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8.95 (7.70, 11.5)</w:t>
            </w:r>
          </w:p>
        </w:tc>
        <w:tc>
          <w:tcPr>
            <w:tcW w:w="1920" w:type="dxa"/>
            <w:tcBorders>
              <w:top w:val="nil"/>
              <w:left w:val="nil"/>
              <w:bottom w:val="nil"/>
              <w:right w:val="nil"/>
            </w:tcBorders>
            <w:shd w:val="clear" w:color="auto" w:fill="auto"/>
            <w:noWrap/>
            <w:vAlign w:val="bottom"/>
            <w:hideMark/>
          </w:tcPr>
          <w:p w14:paraId="308C407B"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0F927472"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7649A22D" w14:textId="77777777" w:rsidTr="00955FEE">
        <w:trPr>
          <w:trHeight w:val="300"/>
        </w:trPr>
        <w:tc>
          <w:tcPr>
            <w:tcW w:w="3360" w:type="dxa"/>
            <w:tcBorders>
              <w:top w:val="nil"/>
              <w:left w:val="nil"/>
              <w:bottom w:val="single" w:sz="4" w:space="0" w:color="auto"/>
              <w:right w:val="single" w:sz="4" w:space="0" w:color="auto"/>
            </w:tcBorders>
            <w:shd w:val="clear" w:color="auto" w:fill="auto"/>
            <w:vAlign w:val="center"/>
            <w:hideMark/>
          </w:tcPr>
          <w:p w14:paraId="46EFD163" w14:textId="77777777" w:rsidR="00955FEE" w:rsidRPr="00955FEE" w:rsidRDefault="00955FEE" w:rsidP="00955FEE">
            <w:pPr>
              <w:jc w:val="right"/>
              <w:rPr>
                <w:rFonts w:ascii="Calibri" w:eastAsia="Times New Roman" w:hAnsi="Calibri" w:cs="Times New Roman"/>
                <w:color w:val="000000"/>
                <w:sz w:val="22"/>
                <w:szCs w:val="22"/>
                <w:lang w:val="en-GB"/>
              </w:rPr>
            </w:pPr>
            <w:proofErr w:type="spellStart"/>
            <w:r w:rsidRPr="00955FEE">
              <w:rPr>
                <w:rFonts w:ascii="Calibri" w:eastAsia="Times New Roman" w:hAnsi="Calibri" w:cs="Times New Roman"/>
                <w:color w:val="000000"/>
                <w:sz w:val="22"/>
                <w:szCs w:val="22"/>
                <w:lang w:val="en-GB"/>
              </w:rPr>
              <w:t>Undiff</w:t>
            </w:r>
            <w:proofErr w:type="spellEnd"/>
            <w:r w:rsidRPr="00955FEE">
              <w:rPr>
                <w:rFonts w:ascii="Calibri" w:eastAsia="Times New Roman" w:hAnsi="Calibri" w:cs="Times New Roman"/>
                <w:color w:val="000000"/>
                <w:sz w:val="22"/>
                <w:szCs w:val="22"/>
                <w:lang w:val="en-GB"/>
              </w:rPr>
              <w:t xml:space="preserve">. </w:t>
            </w:r>
            <w:proofErr w:type="gramStart"/>
            <w:r w:rsidRPr="00955FEE">
              <w:rPr>
                <w:rFonts w:ascii="Calibri" w:eastAsia="Times New Roman" w:hAnsi="Calibri" w:cs="Times New Roman"/>
                <w:color w:val="000000"/>
                <w:sz w:val="22"/>
                <w:szCs w:val="22"/>
                <w:lang w:val="en-GB"/>
              </w:rPr>
              <w:t>carcinoma</w:t>
            </w:r>
            <w:proofErr w:type="gramEnd"/>
            <w:r w:rsidRPr="00955FEE">
              <w:rPr>
                <w:rFonts w:ascii="Calibri" w:eastAsia="Times New Roman" w:hAnsi="Calibri" w:cs="Times New Roman"/>
                <w:color w:val="000000"/>
                <w:sz w:val="22"/>
                <w:szCs w:val="22"/>
                <w:lang w:val="en-GB"/>
              </w:rPr>
              <w:t xml:space="preserve"> of the </w:t>
            </w:r>
            <w:proofErr w:type="spellStart"/>
            <w:r w:rsidRPr="00955FEE">
              <w:rPr>
                <w:rFonts w:ascii="Calibri" w:eastAsia="Times New Roman" w:hAnsi="Calibri" w:cs="Times New Roman"/>
                <w:color w:val="000000"/>
                <w:sz w:val="22"/>
                <w:szCs w:val="22"/>
                <w:lang w:val="en-GB"/>
              </w:rPr>
              <w:t>panc</w:t>
            </w:r>
            <w:proofErr w:type="spellEnd"/>
            <w:r w:rsidRPr="00955FEE">
              <w:rPr>
                <w:rFonts w:ascii="Calibri" w:eastAsia="Times New Roman" w:hAnsi="Calibri" w:cs="Times New Roman"/>
                <w:color w:val="000000"/>
                <w:sz w:val="22"/>
                <w:szCs w:val="22"/>
                <w:lang w:val="en-GB"/>
              </w:rPr>
              <w:t>.</w:t>
            </w:r>
          </w:p>
        </w:tc>
        <w:tc>
          <w:tcPr>
            <w:tcW w:w="1920" w:type="dxa"/>
            <w:tcBorders>
              <w:top w:val="nil"/>
              <w:left w:val="nil"/>
              <w:bottom w:val="single" w:sz="4" w:space="0" w:color="auto"/>
              <w:right w:val="nil"/>
            </w:tcBorders>
            <w:shd w:val="clear" w:color="auto" w:fill="auto"/>
            <w:noWrap/>
            <w:vAlign w:val="bottom"/>
            <w:hideMark/>
          </w:tcPr>
          <w:p w14:paraId="79409FE0"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14 (14)</w:t>
            </w:r>
          </w:p>
        </w:tc>
        <w:tc>
          <w:tcPr>
            <w:tcW w:w="1920" w:type="dxa"/>
            <w:tcBorders>
              <w:top w:val="nil"/>
              <w:left w:val="nil"/>
              <w:bottom w:val="single" w:sz="4" w:space="0" w:color="auto"/>
              <w:right w:val="nil"/>
            </w:tcBorders>
            <w:shd w:val="clear" w:color="auto" w:fill="auto"/>
            <w:noWrap/>
            <w:vAlign w:val="bottom"/>
            <w:hideMark/>
          </w:tcPr>
          <w:p w14:paraId="3F4242A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6.23 (3.39, 11.6)</w:t>
            </w:r>
          </w:p>
        </w:tc>
        <w:tc>
          <w:tcPr>
            <w:tcW w:w="1920" w:type="dxa"/>
            <w:tcBorders>
              <w:top w:val="nil"/>
              <w:left w:val="nil"/>
              <w:bottom w:val="single" w:sz="4" w:space="0" w:color="auto"/>
              <w:right w:val="nil"/>
            </w:tcBorders>
            <w:shd w:val="clear" w:color="auto" w:fill="auto"/>
            <w:noWrap/>
            <w:vAlign w:val="bottom"/>
            <w:hideMark/>
          </w:tcPr>
          <w:p w14:paraId="6C048258"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2.06 (1.17, 3.64)</w:t>
            </w:r>
          </w:p>
        </w:tc>
        <w:tc>
          <w:tcPr>
            <w:tcW w:w="1920" w:type="dxa"/>
            <w:tcBorders>
              <w:top w:val="nil"/>
              <w:left w:val="nil"/>
              <w:bottom w:val="single" w:sz="4" w:space="0" w:color="auto"/>
              <w:right w:val="nil"/>
            </w:tcBorders>
            <w:shd w:val="clear" w:color="auto" w:fill="auto"/>
            <w:noWrap/>
            <w:vAlign w:val="bottom"/>
            <w:hideMark/>
          </w:tcPr>
          <w:p w14:paraId="04095D36" w14:textId="6CA0D291"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 </w:t>
            </w:r>
            <w:r w:rsidR="0092748F">
              <w:rPr>
                <w:rFonts w:ascii="Calibri" w:eastAsia="Times New Roman" w:hAnsi="Calibri" w:cs="Times New Roman"/>
                <w:color w:val="000000"/>
                <w:sz w:val="22"/>
                <w:szCs w:val="22"/>
                <w:lang w:val="en-GB"/>
              </w:rPr>
              <w:t>0.013</w:t>
            </w:r>
          </w:p>
        </w:tc>
      </w:tr>
      <w:tr w:rsidR="00955FEE" w:rsidRPr="00955FEE" w14:paraId="2F0430B1"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01DF9615"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 xml:space="preserve">Tumour Site, </w:t>
            </w:r>
            <w:r w:rsidRPr="00955FEE">
              <w:rPr>
                <w:rFonts w:ascii="Calibri" w:eastAsia="Times New Roman" w:hAnsi="Calibri" w:cs="Times New Roman"/>
                <w:color w:val="000000"/>
                <w:sz w:val="22"/>
                <w:szCs w:val="22"/>
                <w:lang w:val="en-GB"/>
              </w:rPr>
              <w:t>n (%)</w:t>
            </w:r>
          </w:p>
        </w:tc>
        <w:tc>
          <w:tcPr>
            <w:tcW w:w="1920" w:type="dxa"/>
            <w:tcBorders>
              <w:top w:val="nil"/>
              <w:left w:val="nil"/>
              <w:bottom w:val="nil"/>
              <w:right w:val="nil"/>
            </w:tcBorders>
            <w:shd w:val="clear" w:color="auto" w:fill="auto"/>
            <w:noWrap/>
            <w:vAlign w:val="bottom"/>
            <w:hideMark/>
          </w:tcPr>
          <w:p w14:paraId="798D4F4F"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3D2885EF"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6A6F285"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DB2CA35"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493DD6E0"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4ECCBD2F" w14:textId="77777777" w:rsidR="00955FEE" w:rsidRPr="00955FEE" w:rsidRDefault="00955FEE" w:rsidP="00955FEE">
            <w:pPr>
              <w:jc w:val="right"/>
              <w:rPr>
                <w:rFonts w:ascii="Calibri" w:eastAsia="Times New Roman" w:hAnsi="Calibri" w:cs="Times New Roman"/>
                <w:color w:val="000000"/>
                <w:lang w:val="en-GB"/>
              </w:rPr>
            </w:pPr>
            <w:r w:rsidRPr="00955FEE">
              <w:rPr>
                <w:rFonts w:ascii="Calibri" w:eastAsia="Times New Roman" w:hAnsi="Calibri" w:cs="Times New Roman"/>
                <w:color w:val="000000"/>
                <w:lang w:val="en-GB"/>
              </w:rPr>
              <w:t>Body</w:t>
            </w:r>
          </w:p>
        </w:tc>
        <w:tc>
          <w:tcPr>
            <w:tcW w:w="1920" w:type="dxa"/>
            <w:tcBorders>
              <w:top w:val="nil"/>
              <w:left w:val="nil"/>
              <w:bottom w:val="nil"/>
              <w:right w:val="nil"/>
            </w:tcBorders>
            <w:shd w:val="clear" w:color="auto" w:fill="auto"/>
            <w:noWrap/>
            <w:vAlign w:val="bottom"/>
            <w:hideMark/>
          </w:tcPr>
          <w:p w14:paraId="1F828779"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37 (36)</w:t>
            </w:r>
          </w:p>
        </w:tc>
        <w:tc>
          <w:tcPr>
            <w:tcW w:w="1920" w:type="dxa"/>
            <w:tcBorders>
              <w:top w:val="nil"/>
              <w:left w:val="nil"/>
              <w:bottom w:val="nil"/>
              <w:right w:val="nil"/>
            </w:tcBorders>
            <w:shd w:val="clear" w:color="auto" w:fill="auto"/>
            <w:noWrap/>
            <w:vAlign w:val="bottom"/>
            <w:hideMark/>
          </w:tcPr>
          <w:p w14:paraId="6D93E6CD"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8.22 (5.82, 12.3)</w:t>
            </w:r>
          </w:p>
        </w:tc>
        <w:tc>
          <w:tcPr>
            <w:tcW w:w="1920" w:type="dxa"/>
            <w:tcBorders>
              <w:top w:val="nil"/>
              <w:left w:val="nil"/>
              <w:bottom w:val="nil"/>
              <w:right w:val="nil"/>
            </w:tcBorders>
            <w:shd w:val="clear" w:color="auto" w:fill="auto"/>
            <w:noWrap/>
            <w:vAlign w:val="bottom"/>
            <w:hideMark/>
          </w:tcPr>
          <w:p w14:paraId="5E0A2900"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46D3DFCF"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5EAA23F3"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64691E93" w14:textId="77777777" w:rsidR="00955FEE" w:rsidRPr="00955FEE" w:rsidRDefault="00955FEE" w:rsidP="00955FEE">
            <w:pPr>
              <w:jc w:val="right"/>
              <w:rPr>
                <w:rFonts w:ascii="Calibri" w:eastAsia="Times New Roman" w:hAnsi="Calibri" w:cs="Times New Roman"/>
                <w:color w:val="000000"/>
                <w:lang w:val="en-GB"/>
              </w:rPr>
            </w:pPr>
            <w:r w:rsidRPr="00955FEE">
              <w:rPr>
                <w:rFonts w:ascii="Calibri" w:eastAsia="Times New Roman" w:hAnsi="Calibri" w:cs="Times New Roman"/>
                <w:color w:val="000000"/>
                <w:lang w:val="en-GB"/>
              </w:rPr>
              <w:t>Head</w:t>
            </w:r>
          </w:p>
        </w:tc>
        <w:tc>
          <w:tcPr>
            <w:tcW w:w="1920" w:type="dxa"/>
            <w:tcBorders>
              <w:top w:val="nil"/>
              <w:left w:val="nil"/>
              <w:bottom w:val="nil"/>
              <w:right w:val="nil"/>
            </w:tcBorders>
            <w:shd w:val="clear" w:color="auto" w:fill="auto"/>
            <w:noWrap/>
            <w:vAlign w:val="bottom"/>
            <w:hideMark/>
          </w:tcPr>
          <w:p w14:paraId="2FC6C705"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78 (70)</w:t>
            </w:r>
          </w:p>
        </w:tc>
        <w:tc>
          <w:tcPr>
            <w:tcW w:w="1920" w:type="dxa"/>
            <w:tcBorders>
              <w:top w:val="nil"/>
              <w:left w:val="nil"/>
              <w:bottom w:val="nil"/>
              <w:right w:val="nil"/>
            </w:tcBorders>
            <w:shd w:val="clear" w:color="auto" w:fill="auto"/>
            <w:noWrap/>
            <w:vAlign w:val="bottom"/>
            <w:hideMark/>
          </w:tcPr>
          <w:p w14:paraId="77CDC795"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9.97 (7.73, 11.6)</w:t>
            </w:r>
          </w:p>
        </w:tc>
        <w:tc>
          <w:tcPr>
            <w:tcW w:w="1920" w:type="dxa"/>
            <w:tcBorders>
              <w:top w:val="nil"/>
              <w:left w:val="nil"/>
              <w:bottom w:val="nil"/>
              <w:right w:val="nil"/>
            </w:tcBorders>
            <w:shd w:val="clear" w:color="auto" w:fill="auto"/>
            <w:noWrap/>
            <w:vAlign w:val="bottom"/>
            <w:hideMark/>
          </w:tcPr>
          <w:p w14:paraId="2C6E84E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0.84 (0.56, 1.26)</w:t>
            </w:r>
          </w:p>
        </w:tc>
        <w:tc>
          <w:tcPr>
            <w:tcW w:w="1920" w:type="dxa"/>
            <w:tcBorders>
              <w:top w:val="nil"/>
              <w:left w:val="nil"/>
              <w:bottom w:val="nil"/>
              <w:right w:val="nil"/>
            </w:tcBorders>
            <w:shd w:val="clear" w:color="auto" w:fill="auto"/>
            <w:noWrap/>
            <w:vAlign w:val="bottom"/>
            <w:hideMark/>
          </w:tcPr>
          <w:p w14:paraId="26EC9F5B"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63A02C18"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4031FC77" w14:textId="77777777" w:rsidR="00955FEE" w:rsidRPr="00955FEE" w:rsidRDefault="00955FEE" w:rsidP="00955FEE">
            <w:pPr>
              <w:jc w:val="right"/>
              <w:rPr>
                <w:rFonts w:ascii="Calibri" w:eastAsia="Times New Roman" w:hAnsi="Calibri" w:cs="Times New Roman"/>
                <w:color w:val="000000"/>
                <w:lang w:val="en-GB"/>
              </w:rPr>
            </w:pPr>
            <w:r w:rsidRPr="00955FEE">
              <w:rPr>
                <w:rFonts w:ascii="Calibri" w:eastAsia="Times New Roman" w:hAnsi="Calibri" w:cs="Times New Roman"/>
                <w:color w:val="000000"/>
                <w:lang w:val="en-GB"/>
              </w:rPr>
              <w:t>Tail</w:t>
            </w:r>
          </w:p>
        </w:tc>
        <w:tc>
          <w:tcPr>
            <w:tcW w:w="1920" w:type="dxa"/>
            <w:tcBorders>
              <w:top w:val="nil"/>
              <w:left w:val="nil"/>
              <w:bottom w:val="nil"/>
              <w:right w:val="nil"/>
            </w:tcBorders>
            <w:shd w:val="clear" w:color="auto" w:fill="auto"/>
            <w:noWrap/>
            <w:vAlign w:val="bottom"/>
            <w:hideMark/>
          </w:tcPr>
          <w:p w14:paraId="58AF3D3E"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18 (16)</w:t>
            </w:r>
          </w:p>
        </w:tc>
        <w:tc>
          <w:tcPr>
            <w:tcW w:w="1920" w:type="dxa"/>
            <w:tcBorders>
              <w:top w:val="nil"/>
              <w:left w:val="nil"/>
              <w:bottom w:val="nil"/>
              <w:right w:val="nil"/>
            </w:tcBorders>
            <w:shd w:val="clear" w:color="auto" w:fill="auto"/>
            <w:noWrap/>
            <w:vAlign w:val="bottom"/>
            <w:hideMark/>
          </w:tcPr>
          <w:p w14:paraId="55CD4F7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9.67 (3.59,NA)</w:t>
            </w:r>
          </w:p>
        </w:tc>
        <w:tc>
          <w:tcPr>
            <w:tcW w:w="1920" w:type="dxa"/>
            <w:tcBorders>
              <w:top w:val="nil"/>
              <w:left w:val="nil"/>
              <w:bottom w:val="nil"/>
              <w:right w:val="nil"/>
            </w:tcBorders>
            <w:shd w:val="clear" w:color="auto" w:fill="auto"/>
            <w:noWrap/>
            <w:vAlign w:val="bottom"/>
            <w:hideMark/>
          </w:tcPr>
          <w:p w14:paraId="406E36D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0.81 (0.45, 1.46)</w:t>
            </w:r>
          </w:p>
        </w:tc>
        <w:tc>
          <w:tcPr>
            <w:tcW w:w="1920" w:type="dxa"/>
            <w:tcBorders>
              <w:top w:val="nil"/>
              <w:left w:val="nil"/>
              <w:bottom w:val="nil"/>
              <w:right w:val="nil"/>
            </w:tcBorders>
            <w:shd w:val="clear" w:color="auto" w:fill="auto"/>
            <w:noWrap/>
            <w:vAlign w:val="bottom"/>
            <w:hideMark/>
          </w:tcPr>
          <w:p w14:paraId="5F3A88D5"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7315B065"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12C870F5" w14:textId="77777777" w:rsidR="00955FEE" w:rsidRPr="00955FEE" w:rsidRDefault="00955FEE" w:rsidP="00955FEE">
            <w:pPr>
              <w:jc w:val="right"/>
              <w:rPr>
                <w:rFonts w:ascii="Calibri" w:eastAsia="Times New Roman" w:hAnsi="Calibri" w:cs="Times New Roman"/>
                <w:color w:val="000000"/>
                <w:lang w:val="en-GB"/>
              </w:rPr>
            </w:pPr>
            <w:r w:rsidRPr="00955FEE">
              <w:rPr>
                <w:rFonts w:ascii="Calibri" w:eastAsia="Times New Roman" w:hAnsi="Calibri" w:cs="Times New Roman"/>
                <w:color w:val="000000"/>
                <w:lang w:val="en-GB"/>
              </w:rPr>
              <w:t>Uncinate</w:t>
            </w:r>
          </w:p>
        </w:tc>
        <w:tc>
          <w:tcPr>
            <w:tcW w:w="1920" w:type="dxa"/>
            <w:tcBorders>
              <w:top w:val="nil"/>
              <w:left w:val="nil"/>
              <w:bottom w:val="single" w:sz="4" w:space="0" w:color="auto"/>
              <w:right w:val="nil"/>
            </w:tcBorders>
            <w:shd w:val="clear" w:color="auto" w:fill="auto"/>
            <w:noWrap/>
            <w:vAlign w:val="bottom"/>
            <w:hideMark/>
          </w:tcPr>
          <w:p w14:paraId="2EA2317C"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9 (9)</w:t>
            </w:r>
          </w:p>
        </w:tc>
        <w:tc>
          <w:tcPr>
            <w:tcW w:w="1920" w:type="dxa"/>
            <w:tcBorders>
              <w:top w:val="nil"/>
              <w:left w:val="nil"/>
              <w:bottom w:val="single" w:sz="4" w:space="0" w:color="auto"/>
              <w:right w:val="nil"/>
            </w:tcBorders>
            <w:shd w:val="clear" w:color="auto" w:fill="auto"/>
            <w:noWrap/>
            <w:vAlign w:val="bottom"/>
            <w:hideMark/>
          </w:tcPr>
          <w:p w14:paraId="1F512AA8"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5.00 (2.4, NA)</w:t>
            </w:r>
          </w:p>
        </w:tc>
        <w:tc>
          <w:tcPr>
            <w:tcW w:w="1920" w:type="dxa"/>
            <w:tcBorders>
              <w:top w:val="nil"/>
              <w:left w:val="nil"/>
              <w:bottom w:val="single" w:sz="4" w:space="0" w:color="auto"/>
              <w:right w:val="nil"/>
            </w:tcBorders>
            <w:shd w:val="clear" w:color="auto" w:fill="auto"/>
            <w:noWrap/>
            <w:vAlign w:val="bottom"/>
            <w:hideMark/>
          </w:tcPr>
          <w:p w14:paraId="07DE22E3"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1.33 (0.64, 2.77)</w:t>
            </w:r>
          </w:p>
        </w:tc>
        <w:tc>
          <w:tcPr>
            <w:tcW w:w="1920" w:type="dxa"/>
            <w:tcBorders>
              <w:top w:val="nil"/>
              <w:left w:val="nil"/>
              <w:bottom w:val="single" w:sz="4" w:space="0" w:color="auto"/>
              <w:right w:val="nil"/>
            </w:tcBorders>
            <w:shd w:val="clear" w:color="auto" w:fill="auto"/>
            <w:noWrap/>
            <w:vAlign w:val="bottom"/>
            <w:hideMark/>
          </w:tcPr>
          <w:p w14:paraId="6FED0640"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0.52</w:t>
            </w:r>
          </w:p>
        </w:tc>
      </w:tr>
      <w:tr w:rsidR="00955FEE" w:rsidRPr="00955FEE" w14:paraId="1C4C025B"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21D094E"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 xml:space="preserve">Tumour Differentiation, </w:t>
            </w:r>
            <w:r w:rsidRPr="00955FEE">
              <w:rPr>
                <w:rFonts w:ascii="Calibri" w:eastAsia="Times New Roman" w:hAnsi="Calibri" w:cs="Times New Roman"/>
                <w:color w:val="000000"/>
                <w:sz w:val="22"/>
                <w:szCs w:val="22"/>
                <w:lang w:val="en-GB"/>
              </w:rPr>
              <w:t>n (%)</w:t>
            </w:r>
          </w:p>
        </w:tc>
        <w:tc>
          <w:tcPr>
            <w:tcW w:w="1920" w:type="dxa"/>
            <w:tcBorders>
              <w:top w:val="nil"/>
              <w:left w:val="nil"/>
              <w:bottom w:val="nil"/>
              <w:right w:val="nil"/>
            </w:tcBorders>
            <w:shd w:val="clear" w:color="auto" w:fill="auto"/>
            <w:noWrap/>
            <w:vAlign w:val="bottom"/>
            <w:hideMark/>
          </w:tcPr>
          <w:p w14:paraId="4EFABD7E"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0444618B"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4E5ED202"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26AB7FA1"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5E8BEDD8"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B031FBF"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Well</w:t>
            </w:r>
          </w:p>
        </w:tc>
        <w:tc>
          <w:tcPr>
            <w:tcW w:w="1920" w:type="dxa"/>
            <w:tcBorders>
              <w:top w:val="nil"/>
              <w:left w:val="nil"/>
              <w:bottom w:val="nil"/>
              <w:right w:val="nil"/>
            </w:tcBorders>
            <w:shd w:val="clear" w:color="auto" w:fill="auto"/>
            <w:noWrap/>
            <w:vAlign w:val="bottom"/>
            <w:hideMark/>
          </w:tcPr>
          <w:p w14:paraId="31E5AF30"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13 (11)</w:t>
            </w:r>
          </w:p>
        </w:tc>
        <w:tc>
          <w:tcPr>
            <w:tcW w:w="1920" w:type="dxa"/>
            <w:tcBorders>
              <w:top w:val="nil"/>
              <w:left w:val="nil"/>
              <w:bottom w:val="nil"/>
              <w:right w:val="nil"/>
            </w:tcBorders>
            <w:shd w:val="clear" w:color="auto" w:fill="auto"/>
            <w:noWrap/>
            <w:vAlign w:val="bottom"/>
            <w:hideMark/>
          </w:tcPr>
          <w:p w14:paraId="537EA53E"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13.59 (12.43, NA)</w:t>
            </w:r>
          </w:p>
        </w:tc>
        <w:tc>
          <w:tcPr>
            <w:tcW w:w="1920" w:type="dxa"/>
            <w:tcBorders>
              <w:top w:val="nil"/>
              <w:left w:val="nil"/>
              <w:bottom w:val="nil"/>
              <w:right w:val="nil"/>
            </w:tcBorders>
            <w:shd w:val="clear" w:color="auto" w:fill="auto"/>
            <w:noWrap/>
            <w:vAlign w:val="bottom"/>
            <w:hideMark/>
          </w:tcPr>
          <w:p w14:paraId="3C962F70"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68A6B573"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79120D8E"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393054FB"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Moderate</w:t>
            </w:r>
          </w:p>
        </w:tc>
        <w:tc>
          <w:tcPr>
            <w:tcW w:w="1920" w:type="dxa"/>
            <w:tcBorders>
              <w:top w:val="nil"/>
              <w:left w:val="nil"/>
              <w:bottom w:val="nil"/>
              <w:right w:val="nil"/>
            </w:tcBorders>
            <w:shd w:val="clear" w:color="auto" w:fill="auto"/>
            <w:noWrap/>
            <w:vAlign w:val="bottom"/>
            <w:hideMark/>
          </w:tcPr>
          <w:p w14:paraId="0E38EF0A"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28 (24)</w:t>
            </w:r>
          </w:p>
        </w:tc>
        <w:tc>
          <w:tcPr>
            <w:tcW w:w="1920" w:type="dxa"/>
            <w:tcBorders>
              <w:top w:val="nil"/>
              <w:left w:val="nil"/>
              <w:bottom w:val="nil"/>
              <w:right w:val="nil"/>
            </w:tcBorders>
            <w:shd w:val="clear" w:color="auto" w:fill="auto"/>
            <w:noWrap/>
            <w:vAlign w:val="bottom"/>
            <w:hideMark/>
          </w:tcPr>
          <w:p w14:paraId="3936FB8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10.69 (8.22, 19.14)</w:t>
            </w:r>
          </w:p>
        </w:tc>
        <w:tc>
          <w:tcPr>
            <w:tcW w:w="1920" w:type="dxa"/>
            <w:tcBorders>
              <w:top w:val="nil"/>
              <w:left w:val="nil"/>
              <w:bottom w:val="nil"/>
              <w:right w:val="nil"/>
            </w:tcBorders>
            <w:shd w:val="clear" w:color="auto" w:fill="auto"/>
            <w:noWrap/>
            <w:vAlign w:val="bottom"/>
            <w:hideMark/>
          </w:tcPr>
          <w:p w14:paraId="0D5CE415"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1.47 (0.70, 307)</w:t>
            </w:r>
          </w:p>
        </w:tc>
        <w:tc>
          <w:tcPr>
            <w:tcW w:w="1920" w:type="dxa"/>
            <w:tcBorders>
              <w:top w:val="nil"/>
              <w:left w:val="nil"/>
              <w:bottom w:val="nil"/>
              <w:right w:val="nil"/>
            </w:tcBorders>
            <w:shd w:val="clear" w:color="auto" w:fill="auto"/>
            <w:noWrap/>
            <w:vAlign w:val="bottom"/>
            <w:hideMark/>
          </w:tcPr>
          <w:p w14:paraId="3FA6B246"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2B03000E"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449EF087"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Poor</w:t>
            </w:r>
          </w:p>
        </w:tc>
        <w:tc>
          <w:tcPr>
            <w:tcW w:w="1920" w:type="dxa"/>
            <w:tcBorders>
              <w:top w:val="nil"/>
              <w:left w:val="nil"/>
              <w:bottom w:val="nil"/>
              <w:right w:val="nil"/>
            </w:tcBorders>
            <w:shd w:val="clear" w:color="auto" w:fill="auto"/>
            <w:noWrap/>
            <w:vAlign w:val="bottom"/>
            <w:hideMark/>
          </w:tcPr>
          <w:p w14:paraId="207E5345"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31 (29)</w:t>
            </w:r>
          </w:p>
        </w:tc>
        <w:tc>
          <w:tcPr>
            <w:tcW w:w="1920" w:type="dxa"/>
            <w:tcBorders>
              <w:top w:val="nil"/>
              <w:left w:val="nil"/>
              <w:bottom w:val="nil"/>
              <w:right w:val="nil"/>
            </w:tcBorders>
            <w:shd w:val="clear" w:color="auto" w:fill="auto"/>
            <w:noWrap/>
            <w:vAlign w:val="bottom"/>
            <w:hideMark/>
          </w:tcPr>
          <w:p w14:paraId="294D4AF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6.25 (4.38, 11.58)</w:t>
            </w:r>
          </w:p>
        </w:tc>
        <w:tc>
          <w:tcPr>
            <w:tcW w:w="1920" w:type="dxa"/>
            <w:tcBorders>
              <w:top w:val="nil"/>
              <w:left w:val="nil"/>
              <w:bottom w:val="nil"/>
              <w:right w:val="nil"/>
            </w:tcBorders>
            <w:shd w:val="clear" w:color="auto" w:fill="auto"/>
            <w:noWrap/>
            <w:vAlign w:val="bottom"/>
            <w:hideMark/>
          </w:tcPr>
          <w:p w14:paraId="1540E754"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2.47 (1.20, 5.08)</w:t>
            </w:r>
          </w:p>
        </w:tc>
        <w:tc>
          <w:tcPr>
            <w:tcW w:w="1920" w:type="dxa"/>
            <w:tcBorders>
              <w:top w:val="nil"/>
              <w:left w:val="nil"/>
              <w:bottom w:val="nil"/>
              <w:right w:val="nil"/>
            </w:tcBorders>
            <w:shd w:val="clear" w:color="auto" w:fill="auto"/>
            <w:noWrap/>
            <w:vAlign w:val="bottom"/>
            <w:hideMark/>
          </w:tcPr>
          <w:p w14:paraId="75F74AF1"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2EE9159F"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2D25E058" w14:textId="77777777" w:rsidR="00955FEE" w:rsidRPr="00955FEE" w:rsidRDefault="00955FEE" w:rsidP="00955FEE">
            <w:pPr>
              <w:jc w:val="right"/>
              <w:rPr>
                <w:rFonts w:ascii="Calibri" w:eastAsia="Times New Roman" w:hAnsi="Calibri" w:cs="Times New Roman"/>
                <w:color w:val="000000"/>
                <w:lang w:val="en-GB"/>
              </w:rPr>
            </w:pPr>
            <w:r w:rsidRPr="00955FEE">
              <w:rPr>
                <w:rFonts w:ascii="Calibri" w:eastAsia="Times New Roman" w:hAnsi="Calibri" w:cs="Times New Roman"/>
                <w:color w:val="000000"/>
                <w:lang w:val="en-GB"/>
              </w:rPr>
              <w:t>Unknown</w:t>
            </w:r>
          </w:p>
        </w:tc>
        <w:tc>
          <w:tcPr>
            <w:tcW w:w="1920" w:type="dxa"/>
            <w:tcBorders>
              <w:top w:val="nil"/>
              <w:left w:val="nil"/>
              <w:bottom w:val="nil"/>
              <w:right w:val="nil"/>
            </w:tcBorders>
            <w:shd w:val="clear" w:color="auto" w:fill="auto"/>
            <w:noWrap/>
            <w:vAlign w:val="bottom"/>
            <w:hideMark/>
          </w:tcPr>
          <w:p w14:paraId="211C5FD8"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59 (57)</w:t>
            </w:r>
          </w:p>
        </w:tc>
        <w:tc>
          <w:tcPr>
            <w:tcW w:w="1920" w:type="dxa"/>
            <w:tcBorders>
              <w:top w:val="nil"/>
              <w:left w:val="nil"/>
              <w:bottom w:val="nil"/>
              <w:right w:val="nil"/>
            </w:tcBorders>
            <w:shd w:val="clear" w:color="auto" w:fill="auto"/>
            <w:noWrap/>
            <w:vAlign w:val="bottom"/>
            <w:hideMark/>
          </w:tcPr>
          <w:p w14:paraId="5895AD1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7.11 (4.54, 9.97)</w:t>
            </w:r>
          </w:p>
        </w:tc>
        <w:tc>
          <w:tcPr>
            <w:tcW w:w="1920" w:type="dxa"/>
            <w:tcBorders>
              <w:top w:val="nil"/>
              <w:left w:val="nil"/>
              <w:bottom w:val="nil"/>
              <w:right w:val="nil"/>
            </w:tcBorders>
            <w:shd w:val="clear" w:color="auto" w:fill="auto"/>
            <w:noWrap/>
            <w:vAlign w:val="bottom"/>
            <w:hideMark/>
          </w:tcPr>
          <w:p w14:paraId="011D6FF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2.490 (1.22, 4.72)</w:t>
            </w:r>
          </w:p>
        </w:tc>
        <w:tc>
          <w:tcPr>
            <w:tcW w:w="1920" w:type="dxa"/>
            <w:tcBorders>
              <w:top w:val="nil"/>
              <w:left w:val="nil"/>
              <w:bottom w:val="nil"/>
              <w:right w:val="nil"/>
            </w:tcBorders>
            <w:shd w:val="clear" w:color="auto" w:fill="auto"/>
            <w:noWrap/>
            <w:vAlign w:val="bottom"/>
            <w:hideMark/>
          </w:tcPr>
          <w:p w14:paraId="615C59AC"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1D12EC9C" w14:textId="77777777" w:rsidTr="00955FEE">
        <w:trPr>
          <w:trHeight w:val="300"/>
        </w:trPr>
        <w:tc>
          <w:tcPr>
            <w:tcW w:w="3360" w:type="dxa"/>
            <w:tcBorders>
              <w:top w:val="nil"/>
              <w:left w:val="nil"/>
              <w:bottom w:val="single" w:sz="4" w:space="0" w:color="auto"/>
              <w:right w:val="single" w:sz="4" w:space="0" w:color="auto"/>
            </w:tcBorders>
            <w:shd w:val="clear" w:color="auto" w:fill="auto"/>
            <w:noWrap/>
            <w:vAlign w:val="center"/>
            <w:hideMark/>
          </w:tcPr>
          <w:p w14:paraId="3EEF368D" w14:textId="77777777" w:rsidR="00955FEE" w:rsidRPr="00955FEE" w:rsidRDefault="00955FEE" w:rsidP="00955FEE">
            <w:pPr>
              <w:jc w:val="right"/>
              <w:rPr>
                <w:rFonts w:ascii="Calibri" w:eastAsia="Times New Roman" w:hAnsi="Calibri" w:cs="Times New Roman"/>
                <w:color w:val="000000"/>
                <w:lang w:val="en-GB"/>
              </w:rPr>
            </w:pPr>
            <w:r w:rsidRPr="00955FEE">
              <w:rPr>
                <w:rFonts w:ascii="Calibri" w:eastAsia="Times New Roman" w:hAnsi="Calibri" w:cs="Times New Roman"/>
                <w:color w:val="000000"/>
                <w:lang w:val="en-GB"/>
              </w:rPr>
              <w:t>Cannot be assessed</w:t>
            </w:r>
          </w:p>
        </w:tc>
        <w:tc>
          <w:tcPr>
            <w:tcW w:w="1920" w:type="dxa"/>
            <w:tcBorders>
              <w:top w:val="nil"/>
              <w:left w:val="nil"/>
              <w:bottom w:val="single" w:sz="4" w:space="0" w:color="auto"/>
              <w:right w:val="nil"/>
            </w:tcBorders>
            <w:shd w:val="clear" w:color="auto" w:fill="auto"/>
            <w:noWrap/>
            <w:vAlign w:val="bottom"/>
            <w:hideMark/>
          </w:tcPr>
          <w:p w14:paraId="7A0C8521"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11 (10)</w:t>
            </w:r>
          </w:p>
        </w:tc>
        <w:tc>
          <w:tcPr>
            <w:tcW w:w="1920" w:type="dxa"/>
            <w:tcBorders>
              <w:top w:val="nil"/>
              <w:left w:val="nil"/>
              <w:bottom w:val="single" w:sz="4" w:space="0" w:color="auto"/>
              <w:right w:val="nil"/>
            </w:tcBorders>
            <w:shd w:val="clear" w:color="auto" w:fill="auto"/>
            <w:noWrap/>
            <w:vAlign w:val="bottom"/>
            <w:hideMark/>
          </w:tcPr>
          <w:p w14:paraId="4D5C2EE2"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10.86 (8.03, NA)</w:t>
            </w:r>
          </w:p>
        </w:tc>
        <w:tc>
          <w:tcPr>
            <w:tcW w:w="1920" w:type="dxa"/>
            <w:tcBorders>
              <w:top w:val="nil"/>
              <w:left w:val="nil"/>
              <w:bottom w:val="single" w:sz="4" w:space="0" w:color="auto"/>
              <w:right w:val="nil"/>
            </w:tcBorders>
            <w:shd w:val="clear" w:color="auto" w:fill="auto"/>
            <w:noWrap/>
            <w:vAlign w:val="bottom"/>
            <w:hideMark/>
          </w:tcPr>
          <w:p w14:paraId="647F8385"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1.37 (0.57, 3.31)</w:t>
            </w:r>
          </w:p>
        </w:tc>
        <w:tc>
          <w:tcPr>
            <w:tcW w:w="1920" w:type="dxa"/>
            <w:tcBorders>
              <w:top w:val="nil"/>
              <w:left w:val="nil"/>
              <w:bottom w:val="single" w:sz="4" w:space="0" w:color="auto"/>
              <w:right w:val="nil"/>
            </w:tcBorders>
            <w:shd w:val="clear" w:color="auto" w:fill="auto"/>
            <w:noWrap/>
            <w:vAlign w:val="bottom"/>
            <w:hideMark/>
          </w:tcPr>
          <w:p w14:paraId="0AE562FB"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0.018</w:t>
            </w:r>
          </w:p>
        </w:tc>
      </w:tr>
      <w:tr w:rsidR="00955FEE" w:rsidRPr="00955FEE" w14:paraId="7A8A16F7"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7A0BE3B3" w14:textId="77777777" w:rsidR="00955FEE" w:rsidRPr="00955FEE" w:rsidRDefault="00955FEE" w:rsidP="00955FEE">
            <w:pPr>
              <w:jc w:val="both"/>
              <w:rPr>
                <w:rFonts w:ascii="Calibri" w:eastAsia="Times New Roman" w:hAnsi="Calibri" w:cs="Times New Roman"/>
                <w:b/>
                <w:bCs/>
                <w:color w:val="000000"/>
                <w:sz w:val="22"/>
                <w:szCs w:val="22"/>
                <w:lang w:val="en-GB"/>
              </w:rPr>
            </w:pPr>
            <w:r w:rsidRPr="00955FEE">
              <w:rPr>
                <w:rFonts w:ascii="Calibri" w:eastAsia="Times New Roman" w:hAnsi="Calibri" w:cs="Times New Roman"/>
                <w:b/>
                <w:bCs/>
                <w:color w:val="000000"/>
                <w:sz w:val="22"/>
                <w:szCs w:val="22"/>
                <w:lang w:val="en-GB"/>
              </w:rPr>
              <w:t xml:space="preserve">Smoking Status, </w:t>
            </w:r>
            <w:r w:rsidRPr="00955FEE">
              <w:rPr>
                <w:rFonts w:ascii="Calibri" w:eastAsia="Times New Roman" w:hAnsi="Calibri" w:cs="Times New Roman"/>
                <w:color w:val="000000"/>
                <w:sz w:val="22"/>
                <w:szCs w:val="22"/>
                <w:lang w:val="en-GB"/>
              </w:rPr>
              <w:t>n (%)</w:t>
            </w:r>
          </w:p>
        </w:tc>
        <w:tc>
          <w:tcPr>
            <w:tcW w:w="1920" w:type="dxa"/>
            <w:tcBorders>
              <w:top w:val="nil"/>
              <w:left w:val="nil"/>
              <w:bottom w:val="nil"/>
              <w:right w:val="nil"/>
            </w:tcBorders>
            <w:shd w:val="clear" w:color="auto" w:fill="auto"/>
            <w:noWrap/>
            <w:vAlign w:val="bottom"/>
            <w:hideMark/>
          </w:tcPr>
          <w:p w14:paraId="352B51B9"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9EAFE3F"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2728A123"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5CBA84EB"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59FDDA25"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1E9FFBA4"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Current Smoker</w:t>
            </w:r>
          </w:p>
        </w:tc>
        <w:tc>
          <w:tcPr>
            <w:tcW w:w="1920" w:type="dxa"/>
            <w:tcBorders>
              <w:top w:val="nil"/>
              <w:left w:val="nil"/>
              <w:bottom w:val="nil"/>
              <w:right w:val="nil"/>
            </w:tcBorders>
            <w:shd w:val="clear" w:color="auto" w:fill="auto"/>
            <w:noWrap/>
            <w:vAlign w:val="bottom"/>
            <w:hideMark/>
          </w:tcPr>
          <w:p w14:paraId="7A858A6E"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54 (47)</w:t>
            </w:r>
          </w:p>
        </w:tc>
        <w:tc>
          <w:tcPr>
            <w:tcW w:w="1920" w:type="dxa"/>
            <w:tcBorders>
              <w:top w:val="nil"/>
              <w:left w:val="nil"/>
              <w:bottom w:val="nil"/>
              <w:right w:val="nil"/>
            </w:tcBorders>
            <w:shd w:val="clear" w:color="auto" w:fill="auto"/>
            <w:noWrap/>
            <w:vAlign w:val="bottom"/>
            <w:hideMark/>
          </w:tcPr>
          <w:p w14:paraId="701CA594"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8.32 (5.07, 11.2)</w:t>
            </w:r>
          </w:p>
        </w:tc>
        <w:tc>
          <w:tcPr>
            <w:tcW w:w="1920" w:type="dxa"/>
            <w:tcBorders>
              <w:top w:val="nil"/>
              <w:left w:val="nil"/>
              <w:bottom w:val="nil"/>
              <w:right w:val="nil"/>
            </w:tcBorders>
            <w:shd w:val="clear" w:color="auto" w:fill="auto"/>
            <w:noWrap/>
            <w:vAlign w:val="bottom"/>
            <w:hideMark/>
          </w:tcPr>
          <w:p w14:paraId="16091647" w14:textId="77777777" w:rsidR="00955FEE" w:rsidRPr="00955FEE" w:rsidRDefault="00955FEE" w:rsidP="00955FEE">
            <w:pPr>
              <w:jc w:val="center"/>
              <w:rPr>
                <w:rFonts w:ascii="Calibri" w:eastAsia="Times New Roman" w:hAnsi="Calibri" w:cs="Times New Roman"/>
                <w:color w:val="000000"/>
                <w:sz w:val="22"/>
                <w:szCs w:val="22"/>
                <w:lang w:val="en-GB"/>
              </w:rPr>
            </w:pPr>
          </w:p>
        </w:tc>
        <w:tc>
          <w:tcPr>
            <w:tcW w:w="1920" w:type="dxa"/>
            <w:tcBorders>
              <w:top w:val="nil"/>
              <w:left w:val="nil"/>
              <w:bottom w:val="nil"/>
              <w:right w:val="nil"/>
            </w:tcBorders>
            <w:shd w:val="clear" w:color="auto" w:fill="auto"/>
            <w:noWrap/>
            <w:vAlign w:val="bottom"/>
            <w:hideMark/>
          </w:tcPr>
          <w:p w14:paraId="75A870D7"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207D3110"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7AA6A8F6"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Ex Smoker</w:t>
            </w:r>
          </w:p>
        </w:tc>
        <w:tc>
          <w:tcPr>
            <w:tcW w:w="1920" w:type="dxa"/>
            <w:tcBorders>
              <w:top w:val="nil"/>
              <w:left w:val="nil"/>
              <w:bottom w:val="nil"/>
              <w:right w:val="nil"/>
            </w:tcBorders>
            <w:shd w:val="clear" w:color="auto" w:fill="auto"/>
            <w:noWrap/>
            <w:vAlign w:val="bottom"/>
            <w:hideMark/>
          </w:tcPr>
          <w:p w14:paraId="66ACD84E"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29 (27)</w:t>
            </w:r>
          </w:p>
        </w:tc>
        <w:tc>
          <w:tcPr>
            <w:tcW w:w="1920" w:type="dxa"/>
            <w:tcBorders>
              <w:top w:val="nil"/>
              <w:left w:val="nil"/>
              <w:bottom w:val="nil"/>
              <w:right w:val="nil"/>
            </w:tcBorders>
            <w:shd w:val="clear" w:color="auto" w:fill="auto"/>
            <w:noWrap/>
            <w:vAlign w:val="bottom"/>
            <w:hideMark/>
          </w:tcPr>
          <w:p w14:paraId="0FF31AC1"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11.02 (7.83, 13.6)</w:t>
            </w:r>
          </w:p>
        </w:tc>
        <w:tc>
          <w:tcPr>
            <w:tcW w:w="1920" w:type="dxa"/>
            <w:tcBorders>
              <w:top w:val="nil"/>
              <w:left w:val="nil"/>
              <w:bottom w:val="nil"/>
              <w:right w:val="nil"/>
            </w:tcBorders>
            <w:shd w:val="clear" w:color="auto" w:fill="auto"/>
            <w:noWrap/>
            <w:vAlign w:val="bottom"/>
            <w:hideMark/>
          </w:tcPr>
          <w:p w14:paraId="7C561F99"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1.02 (0.63, 1.64)</w:t>
            </w:r>
          </w:p>
        </w:tc>
        <w:tc>
          <w:tcPr>
            <w:tcW w:w="1920" w:type="dxa"/>
            <w:tcBorders>
              <w:top w:val="nil"/>
              <w:left w:val="nil"/>
              <w:bottom w:val="nil"/>
              <w:right w:val="nil"/>
            </w:tcBorders>
            <w:shd w:val="clear" w:color="auto" w:fill="auto"/>
            <w:noWrap/>
            <w:vAlign w:val="bottom"/>
            <w:hideMark/>
          </w:tcPr>
          <w:p w14:paraId="0F072759" w14:textId="77777777" w:rsidR="00955FEE" w:rsidRPr="00955FEE" w:rsidRDefault="00955FEE" w:rsidP="00955FEE">
            <w:pPr>
              <w:jc w:val="center"/>
              <w:rPr>
                <w:rFonts w:ascii="Calibri" w:eastAsia="Times New Roman" w:hAnsi="Calibri" w:cs="Times New Roman"/>
                <w:color w:val="000000"/>
                <w:sz w:val="22"/>
                <w:szCs w:val="22"/>
                <w:lang w:val="en-GB"/>
              </w:rPr>
            </w:pPr>
          </w:p>
        </w:tc>
      </w:tr>
      <w:tr w:rsidR="00955FEE" w:rsidRPr="00955FEE" w14:paraId="6FBF28F0" w14:textId="77777777" w:rsidTr="00955FEE">
        <w:trPr>
          <w:trHeight w:val="300"/>
        </w:trPr>
        <w:tc>
          <w:tcPr>
            <w:tcW w:w="3360" w:type="dxa"/>
            <w:tcBorders>
              <w:top w:val="nil"/>
              <w:left w:val="nil"/>
              <w:bottom w:val="nil"/>
              <w:right w:val="single" w:sz="4" w:space="0" w:color="auto"/>
            </w:tcBorders>
            <w:shd w:val="clear" w:color="auto" w:fill="auto"/>
            <w:noWrap/>
            <w:vAlign w:val="center"/>
            <w:hideMark/>
          </w:tcPr>
          <w:p w14:paraId="7DD00155" w14:textId="77777777" w:rsidR="00955FEE" w:rsidRPr="00955FEE" w:rsidRDefault="00955FEE" w:rsidP="00955FEE">
            <w:pPr>
              <w:jc w:val="right"/>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Never Smoked</w:t>
            </w:r>
          </w:p>
        </w:tc>
        <w:tc>
          <w:tcPr>
            <w:tcW w:w="1920" w:type="dxa"/>
            <w:tcBorders>
              <w:top w:val="nil"/>
              <w:left w:val="nil"/>
              <w:bottom w:val="nil"/>
              <w:right w:val="nil"/>
            </w:tcBorders>
            <w:shd w:val="clear" w:color="auto" w:fill="auto"/>
            <w:noWrap/>
            <w:vAlign w:val="bottom"/>
            <w:hideMark/>
          </w:tcPr>
          <w:p w14:paraId="2FD027DF"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53 (51)</w:t>
            </w:r>
          </w:p>
        </w:tc>
        <w:tc>
          <w:tcPr>
            <w:tcW w:w="1920" w:type="dxa"/>
            <w:tcBorders>
              <w:top w:val="nil"/>
              <w:left w:val="nil"/>
              <w:bottom w:val="nil"/>
              <w:right w:val="nil"/>
            </w:tcBorders>
            <w:shd w:val="clear" w:color="auto" w:fill="auto"/>
            <w:noWrap/>
            <w:vAlign w:val="bottom"/>
            <w:hideMark/>
          </w:tcPr>
          <w:p w14:paraId="5F965194"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9.61 (7.11, 13.4)</w:t>
            </w:r>
          </w:p>
        </w:tc>
        <w:tc>
          <w:tcPr>
            <w:tcW w:w="1920" w:type="dxa"/>
            <w:tcBorders>
              <w:top w:val="nil"/>
              <w:left w:val="nil"/>
              <w:bottom w:val="nil"/>
              <w:right w:val="nil"/>
            </w:tcBorders>
            <w:shd w:val="clear" w:color="auto" w:fill="auto"/>
            <w:noWrap/>
            <w:vAlign w:val="bottom"/>
            <w:hideMark/>
          </w:tcPr>
          <w:p w14:paraId="24C4841E"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0.98 (0.65, 1.46)</w:t>
            </w:r>
          </w:p>
        </w:tc>
        <w:tc>
          <w:tcPr>
            <w:tcW w:w="1920" w:type="dxa"/>
            <w:tcBorders>
              <w:top w:val="nil"/>
              <w:left w:val="nil"/>
              <w:bottom w:val="nil"/>
              <w:right w:val="nil"/>
            </w:tcBorders>
            <w:shd w:val="clear" w:color="auto" w:fill="auto"/>
            <w:noWrap/>
            <w:vAlign w:val="bottom"/>
            <w:hideMark/>
          </w:tcPr>
          <w:p w14:paraId="220D3536" w14:textId="77777777" w:rsidR="00955FEE" w:rsidRPr="00955FEE" w:rsidRDefault="00955FEE" w:rsidP="00955FEE">
            <w:pPr>
              <w:jc w:val="center"/>
              <w:rPr>
                <w:rFonts w:ascii="Calibri" w:eastAsia="Times New Roman" w:hAnsi="Calibri" w:cs="Times New Roman"/>
                <w:color w:val="000000"/>
                <w:sz w:val="22"/>
                <w:szCs w:val="22"/>
                <w:lang w:val="en-GB"/>
              </w:rPr>
            </w:pPr>
            <w:r w:rsidRPr="00955FEE">
              <w:rPr>
                <w:rFonts w:ascii="Calibri" w:eastAsia="Times New Roman" w:hAnsi="Calibri" w:cs="Times New Roman"/>
                <w:color w:val="000000"/>
                <w:sz w:val="22"/>
                <w:szCs w:val="22"/>
                <w:lang w:val="en-GB"/>
              </w:rPr>
              <w:t>0.98</w:t>
            </w:r>
          </w:p>
        </w:tc>
      </w:tr>
    </w:tbl>
    <w:p w14:paraId="43F9D0D2" w14:textId="50EDA313" w:rsidR="00CB321A" w:rsidRDefault="00CB321A" w:rsidP="00A078BA">
      <w:pPr>
        <w:spacing w:line="480" w:lineRule="auto"/>
        <w:rPr>
          <w:rFonts w:ascii="Calibri" w:eastAsia="Times New Roman" w:hAnsi="Calibri" w:cs="Times New Roman"/>
          <w:b/>
          <w:bCs/>
          <w:i/>
          <w:iCs/>
          <w:sz w:val="22"/>
          <w:szCs w:val="22"/>
          <w:lang w:val="en-GB"/>
        </w:rPr>
      </w:pPr>
      <w:r>
        <w:rPr>
          <w:rFonts w:ascii="Calibri" w:eastAsia="Times New Roman" w:hAnsi="Calibri" w:cs="Times New Roman"/>
          <w:b/>
          <w:bCs/>
          <w:i/>
          <w:iCs/>
          <w:sz w:val="22"/>
          <w:szCs w:val="22"/>
          <w:lang w:val="en-GB"/>
        </w:rPr>
        <w:t>Table 2: Univariate Analysis</w:t>
      </w:r>
    </w:p>
    <w:p w14:paraId="5E3CD1BB" w14:textId="77777777" w:rsidR="005D6B4A" w:rsidRDefault="005D6B4A">
      <w:pPr>
        <w:rPr>
          <w:rFonts w:ascii="Calibri" w:eastAsia="Times New Roman" w:hAnsi="Calibri" w:cs="Times New Roman"/>
          <w:b/>
          <w:bCs/>
          <w:i/>
          <w:iCs/>
          <w:sz w:val="22"/>
          <w:szCs w:val="22"/>
          <w:lang w:val="en-GB"/>
        </w:rPr>
      </w:pPr>
    </w:p>
    <w:p w14:paraId="5E46CB6C" w14:textId="77777777" w:rsidR="005D6B4A" w:rsidRDefault="005D6B4A">
      <w:pPr>
        <w:rPr>
          <w:rFonts w:ascii="Calibri" w:eastAsia="Times New Roman" w:hAnsi="Calibri" w:cs="Times New Roman"/>
          <w:b/>
          <w:bCs/>
          <w:i/>
          <w:iCs/>
          <w:sz w:val="22"/>
          <w:szCs w:val="22"/>
          <w:lang w:val="en-GB"/>
        </w:rPr>
      </w:pPr>
    </w:p>
    <w:p w14:paraId="40BBF4AA" w14:textId="05A5E3E5" w:rsidR="005D6B4A" w:rsidRDefault="005D6B4A">
      <w:pPr>
        <w:rPr>
          <w:rFonts w:ascii="Calibri" w:eastAsia="Times New Roman" w:hAnsi="Calibri" w:cs="Times New Roman"/>
          <w:b/>
          <w:bCs/>
          <w:i/>
          <w:iCs/>
          <w:sz w:val="22"/>
          <w:szCs w:val="22"/>
          <w:lang w:val="en-GB"/>
        </w:rPr>
      </w:pPr>
      <w:r>
        <w:rPr>
          <w:rFonts w:ascii="Calibri" w:eastAsia="Times New Roman" w:hAnsi="Calibri" w:cs="Times New Roman"/>
          <w:b/>
          <w:bCs/>
          <w:i/>
          <w:iCs/>
          <w:sz w:val="22"/>
          <w:szCs w:val="22"/>
          <w:lang w:val="en-GB"/>
        </w:rPr>
        <w:br w:type="page"/>
      </w:r>
    </w:p>
    <w:p w14:paraId="61C2A71F" w14:textId="77777777" w:rsidR="005D6B4A" w:rsidRDefault="005D6B4A" w:rsidP="005D6B4A">
      <w:pPr>
        <w:rPr>
          <w:rFonts w:ascii="Calibri" w:eastAsia="Times New Roman" w:hAnsi="Calibri" w:cs="Times New Roman"/>
          <w:b/>
          <w:bCs/>
          <w:i/>
          <w:iCs/>
          <w:color w:val="000000"/>
          <w:sz w:val="22"/>
          <w:szCs w:val="22"/>
          <w:lang w:val="en-GB"/>
        </w:rPr>
        <w:sectPr w:rsidR="005D6B4A" w:rsidSect="00741520">
          <w:pgSz w:w="11900" w:h="16840"/>
          <w:pgMar w:top="1440" w:right="1800" w:bottom="1440" w:left="1800" w:header="708" w:footer="708" w:gutter="0"/>
          <w:cols w:space="708"/>
          <w:docGrid w:linePitch="360"/>
        </w:sectPr>
      </w:pPr>
    </w:p>
    <w:tbl>
      <w:tblPr>
        <w:tblW w:w="16027" w:type="dxa"/>
        <w:tblInd w:w="-885" w:type="dxa"/>
        <w:tblLayout w:type="fixed"/>
        <w:tblLook w:val="04A0" w:firstRow="1" w:lastRow="0" w:firstColumn="1" w:lastColumn="0" w:noHBand="0" w:noVBand="1"/>
      </w:tblPr>
      <w:tblGrid>
        <w:gridCol w:w="2127"/>
        <w:gridCol w:w="993"/>
        <w:gridCol w:w="1985"/>
        <w:gridCol w:w="1728"/>
        <w:gridCol w:w="840"/>
        <w:gridCol w:w="975"/>
        <w:gridCol w:w="1843"/>
        <w:gridCol w:w="992"/>
        <w:gridCol w:w="1984"/>
        <w:gridCol w:w="1720"/>
        <w:gridCol w:w="840"/>
      </w:tblGrid>
      <w:tr w:rsidR="005D6B4A" w:rsidRPr="005D6B4A" w14:paraId="07D7B07A" w14:textId="77777777" w:rsidTr="00852B05">
        <w:trPr>
          <w:trHeight w:val="260"/>
        </w:trPr>
        <w:tc>
          <w:tcPr>
            <w:tcW w:w="2127" w:type="dxa"/>
            <w:vMerge w:val="restart"/>
            <w:tcBorders>
              <w:top w:val="nil"/>
              <w:left w:val="nil"/>
              <w:bottom w:val="double" w:sz="6" w:space="0" w:color="000000"/>
              <w:right w:val="single" w:sz="4" w:space="0" w:color="auto"/>
            </w:tcBorders>
            <w:shd w:val="clear" w:color="auto" w:fill="auto"/>
            <w:vAlign w:val="center"/>
            <w:hideMark/>
          </w:tcPr>
          <w:p w14:paraId="2440D3A1" w14:textId="621F31B4" w:rsidR="005D6B4A" w:rsidRPr="005D6B4A" w:rsidRDefault="005D6B4A" w:rsidP="005D6B4A">
            <w:pPr>
              <w:rPr>
                <w:rFonts w:ascii="Calibri" w:eastAsia="Times New Roman" w:hAnsi="Calibri" w:cs="Times New Roman"/>
                <w:b/>
                <w:bCs/>
                <w:i/>
                <w:iCs/>
                <w:color w:val="000000"/>
                <w:sz w:val="20"/>
                <w:szCs w:val="20"/>
                <w:lang w:val="en-GB"/>
              </w:rPr>
            </w:pPr>
            <w:proofErr w:type="spellStart"/>
            <w:r w:rsidRPr="005D6B4A">
              <w:rPr>
                <w:rFonts w:ascii="Calibri" w:eastAsia="Times New Roman" w:hAnsi="Calibri" w:cs="Times New Roman"/>
                <w:b/>
                <w:bCs/>
                <w:i/>
                <w:iCs/>
                <w:color w:val="000000"/>
                <w:sz w:val="20"/>
                <w:szCs w:val="20"/>
                <w:lang w:val="en-GB"/>
              </w:rPr>
              <w:lastRenderedPageBreak/>
              <w:t>Prognositc</w:t>
            </w:r>
            <w:proofErr w:type="spellEnd"/>
            <w:r w:rsidRPr="005D6B4A">
              <w:rPr>
                <w:rFonts w:ascii="Calibri" w:eastAsia="Times New Roman" w:hAnsi="Calibri" w:cs="Times New Roman"/>
                <w:b/>
                <w:bCs/>
                <w:i/>
                <w:iCs/>
                <w:color w:val="000000"/>
                <w:sz w:val="20"/>
                <w:szCs w:val="20"/>
                <w:lang w:val="en-GB"/>
              </w:rPr>
              <w:t xml:space="preserve"> Variable</w:t>
            </w:r>
          </w:p>
        </w:tc>
        <w:tc>
          <w:tcPr>
            <w:tcW w:w="993" w:type="dxa"/>
            <w:vMerge w:val="restart"/>
            <w:tcBorders>
              <w:top w:val="nil"/>
              <w:left w:val="nil"/>
              <w:bottom w:val="double" w:sz="6" w:space="0" w:color="000000"/>
              <w:right w:val="nil"/>
            </w:tcBorders>
            <w:shd w:val="clear" w:color="auto" w:fill="auto"/>
            <w:vAlign w:val="center"/>
            <w:hideMark/>
          </w:tcPr>
          <w:p w14:paraId="66038514"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No Pts. (Deaths)</w:t>
            </w:r>
          </w:p>
        </w:tc>
        <w:tc>
          <w:tcPr>
            <w:tcW w:w="1985" w:type="dxa"/>
            <w:vMerge w:val="restart"/>
            <w:tcBorders>
              <w:top w:val="nil"/>
              <w:left w:val="nil"/>
              <w:bottom w:val="double" w:sz="6" w:space="0" w:color="000000"/>
              <w:right w:val="nil"/>
            </w:tcBorders>
            <w:shd w:val="clear" w:color="auto" w:fill="auto"/>
            <w:vAlign w:val="center"/>
            <w:hideMark/>
          </w:tcPr>
          <w:p w14:paraId="301535F2"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Median OS</w:t>
            </w:r>
          </w:p>
        </w:tc>
        <w:tc>
          <w:tcPr>
            <w:tcW w:w="1728" w:type="dxa"/>
            <w:vMerge w:val="restart"/>
            <w:tcBorders>
              <w:top w:val="nil"/>
              <w:left w:val="nil"/>
              <w:bottom w:val="double" w:sz="6" w:space="0" w:color="000000"/>
              <w:right w:val="nil"/>
            </w:tcBorders>
            <w:shd w:val="clear" w:color="auto" w:fill="auto"/>
            <w:noWrap/>
            <w:vAlign w:val="center"/>
            <w:hideMark/>
          </w:tcPr>
          <w:p w14:paraId="38C34B0C" w14:textId="77777777" w:rsidR="005D6B4A" w:rsidRPr="005D6B4A" w:rsidRDefault="005D6B4A" w:rsidP="005D6B4A">
            <w:pPr>
              <w:jc w:val="center"/>
              <w:rPr>
                <w:rFonts w:ascii="Calibri" w:eastAsia="Times New Roman" w:hAnsi="Calibri" w:cs="Times New Roman"/>
                <w:b/>
                <w:color w:val="000000"/>
                <w:sz w:val="20"/>
                <w:szCs w:val="20"/>
                <w:lang w:val="en-GB"/>
              </w:rPr>
            </w:pPr>
            <w:r w:rsidRPr="005D6B4A">
              <w:rPr>
                <w:rFonts w:ascii="Calibri" w:eastAsia="Times New Roman" w:hAnsi="Calibri" w:cs="Times New Roman"/>
                <w:b/>
                <w:color w:val="000000"/>
                <w:sz w:val="20"/>
                <w:szCs w:val="20"/>
                <w:lang w:val="en-GB"/>
              </w:rPr>
              <w:t>HR</w:t>
            </w:r>
          </w:p>
        </w:tc>
        <w:tc>
          <w:tcPr>
            <w:tcW w:w="840" w:type="dxa"/>
            <w:vMerge w:val="restart"/>
            <w:tcBorders>
              <w:top w:val="nil"/>
              <w:left w:val="nil"/>
              <w:bottom w:val="double" w:sz="6" w:space="0" w:color="000000"/>
              <w:right w:val="single" w:sz="4" w:space="0" w:color="auto"/>
            </w:tcBorders>
            <w:shd w:val="clear" w:color="auto" w:fill="auto"/>
            <w:noWrap/>
            <w:vAlign w:val="center"/>
            <w:hideMark/>
          </w:tcPr>
          <w:p w14:paraId="3722E5CC" w14:textId="77777777" w:rsidR="005D6B4A" w:rsidRPr="005D6B4A" w:rsidRDefault="005D6B4A" w:rsidP="005D6B4A">
            <w:pPr>
              <w:jc w:val="center"/>
              <w:rPr>
                <w:rFonts w:ascii="Calibri" w:eastAsia="Times New Roman" w:hAnsi="Calibri" w:cs="Times New Roman"/>
                <w:b/>
                <w:color w:val="000000"/>
                <w:sz w:val="20"/>
                <w:szCs w:val="20"/>
                <w:lang w:val="en-GB"/>
              </w:rPr>
            </w:pPr>
            <w:r w:rsidRPr="005D6B4A">
              <w:rPr>
                <w:rFonts w:ascii="Calibri" w:eastAsia="Times New Roman" w:hAnsi="Calibri" w:cs="Times New Roman"/>
                <w:b/>
                <w:color w:val="000000"/>
                <w:sz w:val="20"/>
                <w:szCs w:val="20"/>
                <w:lang w:val="en-GB"/>
              </w:rPr>
              <w:t>P</w:t>
            </w:r>
          </w:p>
        </w:tc>
        <w:tc>
          <w:tcPr>
            <w:tcW w:w="2818" w:type="dxa"/>
            <w:gridSpan w:val="2"/>
            <w:tcBorders>
              <w:top w:val="nil"/>
              <w:left w:val="nil"/>
              <w:bottom w:val="nil"/>
              <w:right w:val="nil"/>
            </w:tcBorders>
            <w:shd w:val="clear" w:color="auto" w:fill="auto"/>
            <w:vAlign w:val="center"/>
            <w:hideMark/>
          </w:tcPr>
          <w:p w14:paraId="50D6A62A"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Placebo</w:t>
            </w:r>
          </w:p>
        </w:tc>
        <w:tc>
          <w:tcPr>
            <w:tcW w:w="2976" w:type="dxa"/>
            <w:gridSpan w:val="2"/>
            <w:tcBorders>
              <w:top w:val="nil"/>
              <w:left w:val="nil"/>
              <w:bottom w:val="nil"/>
              <w:right w:val="nil"/>
            </w:tcBorders>
            <w:shd w:val="clear" w:color="auto" w:fill="auto"/>
            <w:vAlign w:val="center"/>
            <w:hideMark/>
          </w:tcPr>
          <w:p w14:paraId="55B1780B"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Vandetanib</w:t>
            </w:r>
          </w:p>
        </w:tc>
        <w:tc>
          <w:tcPr>
            <w:tcW w:w="1720" w:type="dxa"/>
            <w:vMerge w:val="restart"/>
            <w:tcBorders>
              <w:top w:val="nil"/>
              <w:left w:val="nil"/>
              <w:bottom w:val="double" w:sz="6" w:space="0" w:color="000000"/>
              <w:right w:val="nil"/>
            </w:tcBorders>
            <w:shd w:val="clear" w:color="auto" w:fill="auto"/>
            <w:vAlign w:val="center"/>
            <w:hideMark/>
          </w:tcPr>
          <w:p w14:paraId="14570F39"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HR</w:t>
            </w:r>
          </w:p>
        </w:tc>
        <w:tc>
          <w:tcPr>
            <w:tcW w:w="840" w:type="dxa"/>
            <w:vMerge w:val="restart"/>
            <w:tcBorders>
              <w:top w:val="nil"/>
              <w:left w:val="nil"/>
              <w:bottom w:val="double" w:sz="6" w:space="0" w:color="000000"/>
              <w:right w:val="nil"/>
            </w:tcBorders>
            <w:shd w:val="clear" w:color="auto" w:fill="auto"/>
            <w:vAlign w:val="center"/>
            <w:hideMark/>
          </w:tcPr>
          <w:p w14:paraId="6AEFAD49" w14:textId="787BAC2B" w:rsidR="005D6B4A" w:rsidRPr="005D6B4A" w:rsidRDefault="005D6B4A" w:rsidP="005D6B4A">
            <w:pPr>
              <w:jc w:val="center"/>
              <w:rPr>
                <w:rFonts w:ascii="Calibri" w:eastAsia="Times New Roman" w:hAnsi="Calibri" w:cs="Times New Roman"/>
                <w:b/>
                <w:bCs/>
                <w:color w:val="000000"/>
                <w:sz w:val="22"/>
                <w:szCs w:val="22"/>
                <w:lang w:val="en-GB"/>
              </w:rPr>
            </w:pPr>
            <w:r>
              <w:rPr>
                <w:rFonts w:ascii="Calibri" w:eastAsia="Times New Roman" w:hAnsi="Calibri" w:cs="Times New Roman"/>
                <w:b/>
                <w:bCs/>
                <w:color w:val="000000"/>
                <w:sz w:val="22"/>
                <w:szCs w:val="22"/>
                <w:lang w:val="en-GB"/>
              </w:rPr>
              <w:t>P</w:t>
            </w:r>
          </w:p>
        </w:tc>
      </w:tr>
      <w:tr w:rsidR="005D6B4A" w:rsidRPr="005D6B4A" w14:paraId="641A4841" w14:textId="77777777" w:rsidTr="00852B05">
        <w:trPr>
          <w:trHeight w:val="500"/>
        </w:trPr>
        <w:tc>
          <w:tcPr>
            <w:tcW w:w="2127" w:type="dxa"/>
            <w:vMerge/>
            <w:tcBorders>
              <w:top w:val="nil"/>
              <w:left w:val="nil"/>
              <w:bottom w:val="double" w:sz="6" w:space="0" w:color="000000"/>
              <w:right w:val="single" w:sz="4" w:space="0" w:color="auto"/>
            </w:tcBorders>
            <w:vAlign w:val="center"/>
            <w:hideMark/>
          </w:tcPr>
          <w:p w14:paraId="7899DB9C" w14:textId="77777777" w:rsidR="005D6B4A" w:rsidRPr="005D6B4A" w:rsidRDefault="005D6B4A" w:rsidP="005D6B4A">
            <w:pPr>
              <w:rPr>
                <w:rFonts w:ascii="Calibri" w:eastAsia="Times New Roman" w:hAnsi="Calibri" w:cs="Times New Roman"/>
                <w:b/>
                <w:bCs/>
                <w:i/>
                <w:iCs/>
                <w:color w:val="000000"/>
                <w:sz w:val="22"/>
                <w:szCs w:val="22"/>
                <w:lang w:val="en-GB"/>
              </w:rPr>
            </w:pPr>
          </w:p>
        </w:tc>
        <w:tc>
          <w:tcPr>
            <w:tcW w:w="993" w:type="dxa"/>
            <w:vMerge/>
            <w:tcBorders>
              <w:top w:val="nil"/>
              <w:left w:val="nil"/>
              <w:bottom w:val="double" w:sz="6" w:space="0" w:color="000000"/>
              <w:right w:val="nil"/>
            </w:tcBorders>
            <w:vAlign w:val="center"/>
            <w:hideMark/>
          </w:tcPr>
          <w:p w14:paraId="418ADEB7" w14:textId="77777777" w:rsidR="005D6B4A" w:rsidRPr="005D6B4A" w:rsidRDefault="005D6B4A" w:rsidP="005D6B4A">
            <w:pPr>
              <w:rPr>
                <w:rFonts w:ascii="Calibri" w:eastAsia="Times New Roman" w:hAnsi="Calibri" w:cs="Times New Roman"/>
                <w:b/>
                <w:bCs/>
                <w:color w:val="000000"/>
                <w:sz w:val="22"/>
                <w:szCs w:val="22"/>
                <w:lang w:val="en-GB"/>
              </w:rPr>
            </w:pPr>
          </w:p>
        </w:tc>
        <w:tc>
          <w:tcPr>
            <w:tcW w:w="1985" w:type="dxa"/>
            <w:vMerge/>
            <w:tcBorders>
              <w:top w:val="nil"/>
              <w:left w:val="nil"/>
              <w:bottom w:val="double" w:sz="6" w:space="0" w:color="000000"/>
              <w:right w:val="nil"/>
            </w:tcBorders>
            <w:vAlign w:val="center"/>
            <w:hideMark/>
          </w:tcPr>
          <w:p w14:paraId="078EF3D1" w14:textId="77777777" w:rsidR="005D6B4A" w:rsidRPr="005D6B4A" w:rsidRDefault="005D6B4A" w:rsidP="005D6B4A">
            <w:pPr>
              <w:rPr>
                <w:rFonts w:ascii="Calibri" w:eastAsia="Times New Roman" w:hAnsi="Calibri" w:cs="Times New Roman"/>
                <w:b/>
                <w:bCs/>
                <w:color w:val="000000"/>
                <w:sz w:val="22"/>
                <w:szCs w:val="22"/>
                <w:lang w:val="en-GB"/>
              </w:rPr>
            </w:pPr>
          </w:p>
        </w:tc>
        <w:tc>
          <w:tcPr>
            <w:tcW w:w="1728" w:type="dxa"/>
            <w:vMerge/>
            <w:tcBorders>
              <w:top w:val="nil"/>
              <w:left w:val="nil"/>
              <w:bottom w:val="double" w:sz="6" w:space="0" w:color="000000"/>
              <w:right w:val="nil"/>
            </w:tcBorders>
            <w:vAlign w:val="center"/>
            <w:hideMark/>
          </w:tcPr>
          <w:p w14:paraId="122C4A88" w14:textId="77777777" w:rsidR="005D6B4A" w:rsidRPr="005D6B4A" w:rsidRDefault="005D6B4A" w:rsidP="005D6B4A">
            <w:pPr>
              <w:rPr>
                <w:rFonts w:ascii="Calibri" w:eastAsia="Times New Roman" w:hAnsi="Calibri" w:cs="Times New Roman"/>
                <w:color w:val="000000"/>
                <w:lang w:val="en-GB"/>
              </w:rPr>
            </w:pPr>
          </w:p>
        </w:tc>
        <w:tc>
          <w:tcPr>
            <w:tcW w:w="840" w:type="dxa"/>
            <w:vMerge/>
            <w:tcBorders>
              <w:top w:val="nil"/>
              <w:left w:val="nil"/>
              <w:bottom w:val="double" w:sz="6" w:space="0" w:color="000000"/>
              <w:right w:val="single" w:sz="4" w:space="0" w:color="auto"/>
            </w:tcBorders>
            <w:vAlign w:val="center"/>
            <w:hideMark/>
          </w:tcPr>
          <w:p w14:paraId="48340053" w14:textId="77777777" w:rsidR="005D6B4A" w:rsidRPr="005D6B4A" w:rsidRDefault="005D6B4A" w:rsidP="005D6B4A">
            <w:pPr>
              <w:rPr>
                <w:rFonts w:ascii="Calibri" w:eastAsia="Times New Roman" w:hAnsi="Calibri" w:cs="Times New Roman"/>
                <w:color w:val="000000"/>
                <w:lang w:val="en-GB"/>
              </w:rPr>
            </w:pPr>
          </w:p>
        </w:tc>
        <w:tc>
          <w:tcPr>
            <w:tcW w:w="975" w:type="dxa"/>
            <w:tcBorders>
              <w:top w:val="nil"/>
              <w:left w:val="nil"/>
              <w:bottom w:val="double" w:sz="6" w:space="0" w:color="auto"/>
              <w:right w:val="nil"/>
            </w:tcBorders>
            <w:shd w:val="clear" w:color="auto" w:fill="auto"/>
            <w:vAlign w:val="center"/>
            <w:hideMark/>
          </w:tcPr>
          <w:p w14:paraId="0DFD3D7B"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No Pts. (Deaths)</w:t>
            </w:r>
          </w:p>
        </w:tc>
        <w:tc>
          <w:tcPr>
            <w:tcW w:w="1843" w:type="dxa"/>
            <w:tcBorders>
              <w:top w:val="nil"/>
              <w:left w:val="nil"/>
              <w:bottom w:val="double" w:sz="6" w:space="0" w:color="auto"/>
              <w:right w:val="nil"/>
            </w:tcBorders>
            <w:shd w:val="clear" w:color="auto" w:fill="auto"/>
            <w:vAlign w:val="center"/>
            <w:hideMark/>
          </w:tcPr>
          <w:p w14:paraId="472C5C8B"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Median OS</w:t>
            </w:r>
          </w:p>
        </w:tc>
        <w:tc>
          <w:tcPr>
            <w:tcW w:w="992" w:type="dxa"/>
            <w:tcBorders>
              <w:top w:val="nil"/>
              <w:left w:val="nil"/>
              <w:bottom w:val="double" w:sz="6" w:space="0" w:color="auto"/>
              <w:right w:val="nil"/>
            </w:tcBorders>
            <w:shd w:val="clear" w:color="auto" w:fill="auto"/>
            <w:vAlign w:val="center"/>
            <w:hideMark/>
          </w:tcPr>
          <w:p w14:paraId="0BE71791"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No Pts. (Deaths)</w:t>
            </w:r>
          </w:p>
        </w:tc>
        <w:tc>
          <w:tcPr>
            <w:tcW w:w="1984" w:type="dxa"/>
            <w:tcBorders>
              <w:top w:val="nil"/>
              <w:left w:val="nil"/>
              <w:bottom w:val="double" w:sz="6" w:space="0" w:color="auto"/>
              <w:right w:val="nil"/>
            </w:tcBorders>
            <w:shd w:val="clear" w:color="auto" w:fill="auto"/>
            <w:vAlign w:val="center"/>
            <w:hideMark/>
          </w:tcPr>
          <w:p w14:paraId="3B7FCBB3" w14:textId="77777777" w:rsidR="005D6B4A" w:rsidRPr="005D6B4A" w:rsidRDefault="005D6B4A" w:rsidP="005D6B4A">
            <w:pPr>
              <w:jc w:val="center"/>
              <w:rPr>
                <w:rFonts w:ascii="Calibri" w:eastAsia="Times New Roman" w:hAnsi="Calibri" w:cs="Times New Roman"/>
                <w:b/>
                <w:bCs/>
                <w:color w:val="000000"/>
                <w:sz w:val="20"/>
                <w:szCs w:val="20"/>
                <w:lang w:val="en-GB"/>
              </w:rPr>
            </w:pPr>
            <w:r w:rsidRPr="005D6B4A">
              <w:rPr>
                <w:rFonts w:ascii="Calibri" w:eastAsia="Times New Roman" w:hAnsi="Calibri" w:cs="Times New Roman"/>
                <w:b/>
                <w:bCs/>
                <w:color w:val="000000"/>
                <w:sz w:val="20"/>
                <w:szCs w:val="20"/>
                <w:lang w:val="en-GB"/>
              </w:rPr>
              <w:t>Median OS</w:t>
            </w:r>
          </w:p>
        </w:tc>
        <w:tc>
          <w:tcPr>
            <w:tcW w:w="1720" w:type="dxa"/>
            <w:vMerge/>
            <w:tcBorders>
              <w:top w:val="nil"/>
              <w:left w:val="nil"/>
              <w:bottom w:val="double" w:sz="6" w:space="0" w:color="000000"/>
              <w:right w:val="nil"/>
            </w:tcBorders>
            <w:vAlign w:val="center"/>
            <w:hideMark/>
          </w:tcPr>
          <w:p w14:paraId="30B66A72" w14:textId="77777777" w:rsidR="005D6B4A" w:rsidRPr="005D6B4A" w:rsidRDefault="005D6B4A" w:rsidP="005D6B4A">
            <w:pPr>
              <w:rPr>
                <w:rFonts w:ascii="Calibri" w:eastAsia="Times New Roman" w:hAnsi="Calibri" w:cs="Times New Roman"/>
                <w:b/>
                <w:bCs/>
                <w:color w:val="000000"/>
                <w:sz w:val="22"/>
                <w:szCs w:val="22"/>
                <w:lang w:val="en-GB"/>
              </w:rPr>
            </w:pPr>
          </w:p>
        </w:tc>
        <w:tc>
          <w:tcPr>
            <w:tcW w:w="840" w:type="dxa"/>
            <w:vMerge/>
            <w:tcBorders>
              <w:top w:val="nil"/>
              <w:left w:val="nil"/>
              <w:bottom w:val="double" w:sz="6" w:space="0" w:color="000000"/>
              <w:right w:val="nil"/>
            </w:tcBorders>
            <w:vAlign w:val="center"/>
            <w:hideMark/>
          </w:tcPr>
          <w:p w14:paraId="611E57C7" w14:textId="77777777" w:rsidR="005D6B4A" w:rsidRPr="005D6B4A" w:rsidRDefault="005D6B4A" w:rsidP="005D6B4A">
            <w:pPr>
              <w:rPr>
                <w:rFonts w:ascii="Calibri" w:eastAsia="Times New Roman" w:hAnsi="Calibri" w:cs="Times New Roman"/>
                <w:b/>
                <w:bCs/>
                <w:color w:val="000000"/>
                <w:sz w:val="22"/>
                <w:szCs w:val="22"/>
                <w:lang w:val="en-GB"/>
              </w:rPr>
            </w:pPr>
          </w:p>
        </w:tc>
      </w:tr>
      <w:tr w:rsidR="005D6B4A" w:rsidRPr="005D6B4A" w14:paraId="1B2E5466" w14:textId="77777777" w:rsidTr="00852B05">
        <w:trPr>
          <w:trHeight w:val="320"/>
        </w:trPr>
        <w:tc>
          <w:tcPr>
            <w:tcW w:w="2127" w:type="dxa"/>
            <w:tcBorders>
              <w:top w:val="nil"/>
              <w:left w:val="nil"/>
              <w:bottom w:val="nil"/>
              <w:right w:val="single" w:sz="4" w:space="0" w:color="auto"/>
            </w:tcBorders>
            <w:shd w:val="clear" w:color="auto" w:fill="auto"/>
            <w:noWrap/>
            <w:vAlign w:val="center"/>
            <w:hideMark/>
          </w:tcPr>
          <w:p w14:paraId="5F52D315" w14:textId="77777777" w:rsidR="005D6B4A" w:rsidRPr="005D6B4A" w:rsidRDefault="005D6B4A" w:rsidP="005D6B4A">
            <w:pPr>
              <w:rPr>
                <w:rFonts w:ascii="Calibri" w:eastAsia="Times New Roman" w:hAnsi="Calibri" w:cs="Times New Roman"/>
                <w:b/>
                <w:bCs/>
                <w:color w:val="000000"/>
                <w:sz w:val="22"/>
                <w:szCs w:val="22"/>
                <w:lang w:val="en-GB"/>
              </w:rPr>
            </w:pPr>
            <w:r w:rsidRPr="005D6B4A">
              <w:rPr>
                <w:rFonts w:ascii="Calibri" w:eastAsia="Times New Roman" w:hAnsi="Calibri" w:cs="Times New Roman"/>
                <w:b/>
                <w:bCs/>
                <w:color w:val="000000"/>
                <w:sz w:val="22"/>
                <w:szCs w:val="22"/>
                <w:lang w:val="en-GB"/>
              </w:rPr>
              <w:t>CA19-9 KU/I*</w:t>
            </w:r>
          </w:p>
        </w:tc>
        <w:tc>
          <w:tcPr>
            <w:tcW w:w="993" w:type="dxa"/>
            <w:tcBorders>
              <w:top w:val="nil"/>
              <w:left w:val="nil"/>
              <w:bottom w:val="nil"/>
              <w:right w:val="nil"/>
            </w:tcBorders>
            <w:shd w:val="clear" w:color="auto" w:fill="auto"/>
            <w:noWrap/>
            <w:vAlign w:val="center"/>
            <w:hideMark/>
          </w:tcPr>
          <w:p w14:paraId="0778B4EF"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1985" w:type="dxa"/>
            <w:tcBorders>
              <w:top w:val="nil"/>
              <w:left w:val="nil"/>
              <w:bottom w:val="nil"/>
              <w:right w:val="nil"/>
            </w:tcBorders>
            <w:shd w:val="clear" w:color="auto" w:fill="auto"/>
            <w:noWrap/>
            <w:vAlign w:val="center"/>
            <w:hideMark/>
          </w:tcPr>
          <w:p w14:paraId="3CC1E24E"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1728" w:type="dxa"/>
            <w:tcBorders>
              <w:top w:val="nil"/>
              <w:left w:val="nil"/>
              <w:bottom w:val="nil"/>
              <w:right w:val="nil"/>
            </w:tcBorders>
            <w:shd w:val="clear" w:color="auto" w:fill="auto"/>
            <w:noWrap/>
            <w:vAlign w:val="center"/>
            <w:hideMark/>
          </w:tcPr>
          <w:p w14:paraId="7513ADFD"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840" w:type="dxa"/>
            <w:tcBorders>
              <w:top w:val="nil"/>
              <w:left w:val="nil"/>
              <w:bottom w:val="nil"/>
              <w:right w:val="single" w:sz="4" w:space="0" w:color="auto"/>
            </w:tcBorders>
            <w:shd w:val="clear" w:color="auto" w:fill="auto"/>
            <w:noWrap/>
            <w:vAlign w:val="bottom"/>
            <w:hideMark/>
          </w:tcPr>
          <w:p w14:paraId="0F06B315" w14:textId="77777777" w:rsidR="005D6B4A" w:rsidRPr="005D6B4A" w:rsidRDefault="005D6B4A" w:rsidP="005D6B4A">
            <w:pPr>
              <w:jc w:val="center"/>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 </w:t>
            </w:r>
          </w:p>
        </w:tc>
        <w:tc>
          <w:tcPr>
            <w:tcW w:w="975" w:type="dxa"/>
            <w:tcBorders>
              <w:top w:val="nil"/>
              <w:left w:val="nil"/>
              <w:bottom w:val="nil"/>
              <w:right w:val="nil"/>
            </w:tcBorders>
            <w:shd w:val="clear" w:color="auto" w:fill="auto"/>
            <w:noWrap/>
            <w:vAlign w:val="bottom"/>
            <w:hideMark/>
          </w:tcPr>
          <w:p w14:paraId="0F10DCF6"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1843" w:type="dxa"/>
            <w:tcBorders>
              <w:top w:val="nil"/>
              <w:left w:val="nil"/>
              <w:bottom w:val="nil"/>
              <w:right w:val="nil"/>
            </w:tcBorders>
            <w:shd w:val="clear" w:color="auto" w:fill="auto"/>
            <w:noWrap/>
            <w:vAlign w:val="bottom"/>
            <w:hideMark/>
          </w:tcPr>
          <w:p w14:paraId="14F982EA"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992" w:type="dxa"/>
            <w:tcBorders>
              <w:top w:val="nil"/>
              <w:left w:val="nil"/>
              <w:bottom w:val="nil"/>
              <w:right w:val="nil"/>
            </w:tcBorders>
            <w:shd w:val="clear" w:color="auto" w:fill="auto"/>
            <w:noWrap/>
            <w:vAlign w:val="bottom"/>
            <w:hideMark/>
          </w:tcPr>
          <w:p w14:paraId="432011AA"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1984" w:type="dxa"/>
            <w:tcBorders>
              <w:top w:val="nil"/>
              <w:left w:val="nil"/>
              <w:bottom w:val="nil"/>
              <w:right w:val="nil"/>
            </w:tcBorders>
            <w:shd w:val="clear" w:color="auto" w:fill="auto"/>
            <w:noWrap/>
            <w:vAlign w:val="bottom"/>
            <w:hideMark/>
          </w:tcPr>
          <w:p w14:paraId="40528B9D"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1720" w:type="dxa"/>
            <w:tcBorders>
              <w:top w:val="nil"/>
              <w:left w:val="nil"/>
              <w:bottom w:val="nil"/>
              <w:right w:val="nil"/>
            </w:tcBorders>
            <w:shd w:val="clear" w:color="auto" w:fill="auto"/>
            <w:noWrap/>
            <w:vAlign w:val="bottom"/>
            <w:hideMark/>
          </w:tcPr>
          <w:p w14:paraId="39C2CC3E" w14:textId="77777777" w:rsidR="005D6B4A" w:rsidRPr="005D6B4A" w:rsidRDefault="005D6B4A" w:rsidP="005D6B4A">
            <w:pPr>
              <w:jc w:val="center"/>
              <w:rPr>
                <w:rFonts w:ascii="Calibri" w:eastAsia="Times New Roman" w:hAnsi="Calibri" w:cs="Times New Roman"/>
                <w:color w:val="000000"/>
                <w:sz w:val="22"/>
                <w:szCs w:val="22"/>
                <w:lang w:val="en-GB"/>
              </w:rPr>
            </w:pPr>
          </w:p>
        </w:tc>
        <w:tc>
          <w:tcPr>
            <w:tcW w:w="840" w:type="dxa"/>
            <w:tcBorders>
              <w:top w:val="nil"/>
              <w:left w:val="nil"/>
              <w:bottom w:val="nil"/>
              <w:right w:val="nil"/>
            </w:tcBorders>
            <w:shd w:val="clear" w:color="auto" w:fill="auto"/>
            <w:noWrap/>
            <w:vAlign w:val="bottom"/>
            <w:hideMark/>
          </w:tcPr>
          <w:p w14:paraId="012247EF" w14:textId="77777777" w:rsidR="005D6B4A" w:rsidRPr="005D6B4A" w:rsidRDefault="005D6B4A" w:rsidP="005D6B4A">
            <w:pPr>
              <w:jc w:val="center"/>
              <w:rPr>
                <w:rFonts w:ascii="Calibri" w:eastAsia="Times New Roman" w:hAnsi="Calibri" w:cs="Times New Roman"/>
                <w:color w:val="000000"/>
                <w:sz w:val="22"/>
                <w:szCs w:val="22"/>
                <w:lang w:val="en-GB"/>
              </w:rPr>
            </w:pPr>
          </w:p>
        </w:tc>
      </w:tr>
      <w:tr w:rsidR="005D6B4A" w:rsidRPr="005D6B4A" w14:paraId="1254F116"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5B6885DA"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&lt;1000</w:t>
            </w:r>
          </w:p>
        </w:tc>
        <w:tc>
          <w:tcPr>
            <w:tcW w:w="993" w:type="dxa"/>
            <w:tcBorders>
              <w:top w:val="nil"/>
              <w:left w:val="nil"/>
              <w:bottom w:val="nil"/>
              <w:right w:val="nil"/>
            </w:tcBorders>
            <w:shd w:val="clear" w:color="auto" w:fill="auto"/>
            <w:noWrap/>
            <w:vAlign w:val="bottom"/>
            <w:hideMark/>
          </w:tcPr>
          <w:p w14:paraId="53E3D56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65 (57)</w:t>
            </w:r>
          </w:p>
        </w:tc>
        <w:tc>
          <w:tcPr>
            <w:tcW w:w="1985" w:type="dxa"/>
            <w:tcBorders>
              <w:top w:val="nil"/>
              <w:left w:val="nil"/>
              <w:bottom w:val="nil"/>
              <w:right w:val="nil"/>
            </w:tcBorders>
            <w:shd w:val="clear" w:color="auto" w:fill="auto"/>
            <w:noWrap/>
            <w:vAlign w:val="bottom"/>
            <w:hideMark/>
          </w:tcPr>
          <w:p w14:paraId="667E7A1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12.1 (10.23, 16.05)</w:t>
            </w:r>
          </w:p>
        </w:tc>
        <w:tc>
          <w:tcPr>
            <w:tcW w:w="1728" w:type="dxa"/>
            <w:tcBorders>
              <w:top w:val="nil"/>
              <w:left w:val="nil"/>
              <w:bottom w:val="nil"/>
              <w:right w:val="nil"/>
            </w:tcBorders>
            <w:shd w:val="clear" w:color="auto" w:fill="auto"/>
            <w:noWrap/>
            <w:vAlign w:val="bottom"/>
            <w:hideMark/>
          </w:tcPr>
          <w:p w14:paraId="1D1E2ACF"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single" w:sz="4" w:space="0" w:color="auto"/>
            </w:tcBorders>
            <w:shd w:val="clear" w:color="auto" w:fill="auto"/>
            <w:noWrap/>
            <w:vAlign w:val="bottom"/>
            <w:hideMark/>
          </w:tcPr>
          <w:p w14:paraId="295CFD0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6F62AC82"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32 (24)</w:t>
            </w:r>
          </w:p>
        </w:tc>
        <w:tc>
          <w:tcPr>
            <w:tcW w:w="1843" w:type="dxa"/>
            <w:tcBorders>
              <w:top w:val="nil"/>
              <w:left w:val="nil"/>
              <w:bottom w:val="nil"/>
              <w:right w:val="nil"/>
            </w:tcBorders>
            <w:shd w:val="clear" w:color="auto" w:fill="auto"/>
            <w:noWrap/>
            <w:vAlign w:val="bottom"/>
            <w:hideMark/>
          </w:tcPr>
          <w:p w14:paraId="3780EA5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11.74 (8.03, 20.46)</w:t>
            </w:r>
          </w:p>
        </w:tc>
        <w:tc>
          <w:tcPr>
            <w:tcW w:w="992" w:type="dxa"/>
            <w:tcBorders>
              <w:top w:val="nil"/>
              <w:left w:val="nil"/>
              <w:bottom w:val="nil"/>
              <w:right w:val="nil"/>
            </w:tcBorders>
            <w:shd w:val="clear" w:color="auto" w:fill="auto"/>
            <w:noWrap/>
            <w:vAlign w:val="bottom"/>
            <w:hideMark/>
          </w:tcPr>
          <w:p w14:paraId="67A9FF4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34 (33)</w:t>
            </w:r>
          </w:p>
        </w:tc>
        <w:tc>
          <w:tcPr>
            <w:tcW w:w="1984" w:type="dxa"/>
            <w:tcBorders>
              <w:top w:val="nil"/>
              <w:left w:val="nil"/>
              <w:bottom w:val="nil"/>
              <w:right w:val="nil"/>
            </w:tcBorders>
            <w:shd w:val="clear" w:color="auto" w:fill="auto"/>
            <w:noWrap/>
            <w:vAlign w:val="bottom"/>
            <w:hideMark/>
          </w:tcPr>
          <w:p w14:paraId="7FB2A55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12.09 (11.02, 15.16)</w:t>
            </w:r>
          </w:p>
        </w:tc>
        <w:tc>
          <w:tcPr>
            <w:tcW w:w="1720" w:type="dxa"/>
            <w:tcBorders>
              <w:top w:val="nil"/>
              <w:left w:val="nil"/>
              <w:bottom w:val="nil"/>
              <w:right w:val="nil"/>
            </w:tcBorders>
            <w:shd w:val="clear" w:color="auto" w:fill="auto"/>
            <w:noWrap/>
            <w:vAlign w:val="bottom"/>
            <w:hideMark/>
          </w:tcPr>
          <w:p w14:paraId="037F2D45"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1.33 (0.77, 2.28)</w:t>
            </w:r>
          </w:p>
        </w:tc>
        <w:tc>
          <w:tcPr>
            <w:tcW w:w="840" w:type="dxa"/>
            <w:tcBorders>
              <w:top w:val="nil"/>
              <w:left w:val="nil"/>
              <w:bottom w:val="nil"/>
              <w:right w:val="nil"/>
            </w:tcBorders>
            <w:shd w:val="clear" w:color="auto" w:fill="auto"/>
            <w:noWrap/>
            <w:vAlign w:val="bottom"/>
            <w:hideMark/>
          </w:tcPr>
          <w:p w14:paraId="40F85801"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0FA3EEFF" w14:textId="77777777" w:rsidTr="00852B05">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5FB1A0D9"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&gt;1000</w:t>
            </w:r>
          </w:p>
        </w:tc>
        <w:tc>
          <w:tcPr>
            <w:tcW w:w="993" w:type="dxa"/>
            <w:tcBorders>
              <w:top w:val="nil"/>
              <w:left w:val="nil"/>
              <w:bottom w:val="single" w:sz="4" w:space="0" w:color="auto"/>
              <w:right w:val="nil"/>
            </w:tcBorders>
            <w:shd w:val="clear" w:color="auto" w:fill="auto"/>
            <w:noWrap/>
            <w:vAlign w:val="bottom"/>
            <w:hideMark/>
          </w:tcPr>
          <w:p w14:paraId="3C74861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72 (69)</w:t>
            </w:r>
          </w:p>
        </w:tc>
        <w:tc>
          <w:tcPr>
            <w:tcW w:w="1985" w:type="dxa"/>
            <w:tcBorders>
              <w:top w:val="nil"/>
              <w:left w:val="nil"/>
              <w:bottom w:val="single" w:sz="4" w:space="0" w:color="auto"/>
              <w:right w:val="nil"/>
            </w:tcBorders>
            <w:shd w:val="clear" w:color="auto" w:fill="auto"/>
            <w:noWrap/>
            <w:vAlign w:val="bottom"/>
            <w:hideMark/>
          </w:tcPr>
          <w:p w14:paraId="5D48F15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6.89 (4.84, 8.91)</w:t>
            </w:r>
          </w:p>
        </w:tc>
        <w:tc>
          <w:tcPr>
            <w:tcW w:w="1728" w:type="dxa"/>
            <w:tcBorders>
              <w:top w:val="nil"/>
              <w:left w:val="nil"/>
              <w:bottom w:val="single" w:sz="4" w:space="0" w:color="auto"/>
              <w:right w:val="nil"/>
            </w:tcBorders>
            <w:shd w:val="clear" w:color="auto" w:fill="auto"/>
            <w:noWrap/>
            <w:vAlign w:val="bottom"/>
            <w:hideMark/>
          </w:tcPr>
          <w:p w14:paraId="525FF11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1.19 (1.09, 1.29)</w:t>
            </w:r>
          </w:p>
        </w:tc>
        <w:tc>
          <w:tcPr>
            <w:tcW w:w="840" w:type="dxa"/>
            <w:tcBorders>
              <w:top w:val="nil"/>
              <w:left w:val="nil"/>
              <w:bottom w:val="single" w:sz="4" w:space="0" w:color="auto"/>
              <w:right w:val="single" w:sz="4" w:space="0" w:color="auto"/>
            </w:tcBorders>
            <w:shd w:val="clear" w:color="auto" w:fill="auto"/>
            <w:noWrap/>
            <w:vAlign w:val="bottom"/>
            <w:hideMark/>
          </w:tcPr>
          <w:p w14:paraId="45B1190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&lt;0.001</w:t>
            </w:r>
          </w:p>
        </w:tc>
        <w:tc>
          <w:tcPr>
            <w:tcW w:w="975" w:type="dxa"/>
            <w:tcBorders>
              <w:top w:val="nil"/>
              <w:left w:val="nil"/>
              <w:bottom w:val="single" w:sz="4" w:space="0" w:color="auto"/>
              <w:right w:val="nil"/>
            </w:tcBorders>
            <w:shd w:val="clear" w:color="auto" w:fill="auto"/>
            <w:noWrap/>
            <w:vAlign w:val="bottom"/>
            <w:hideMark/>
          </w:tcPr>
          <w:p w14:paraId="361A36A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37 (35)</w:t>
            </w:r>
          </w:p>
        </w:tc>
        <w:tc>
          <w:tcPr>
            <w:tcW w:w="1843" w:type="dxa"/>
            <w:tcBorders>
              <w:top w:val="nil"/>
              <w:left w:val="nil"/>
              <w:bottom w:val="single" w:sz="4" w:space="0" w:color="auto"/>
              <w:right w:val="nil"/>
            </w:tcBorders>
            <w:shd w:val="clear" w:color="auto" w:fill="auto"/>
            <w:noWrap/>
            <w:vAlign w:val="bottom"/>
            <w:hideMark/>
          </w:tcPr>
          <w:p w14:paraId="26AF69F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7.50 (5.07, 9.97)</w:t>
            </w:r>
          </w:p>
        </w:tc>
        <w:tc>
          <w:tcPr>
            <w:tcW w:w="992" w:type="dxa"/>
            <w:tcBorders>
              <w:top w:val="nil"/>
              <w:left w:val="nil"/>
              <w:bottom w:val="single" w:sz="4" w:space="0" w:color="auto"/>
              <w:right w:val="nil"/>
            </w:tcBorders>
            <w:shd w:val="clear" w:color="auto" w:fill="auto"/>
            <w:noWrap/>
            <w:vAlign w:val="bottom"/>
            <w:hideMark/>
          </w:tcPr>
          <w:p w14:paraId="3281765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35 (34)</w:t>
            </w:r>
          </w:p>
        </w:tc>
        <w:tc>
          <w:tcPr>
            <w:tcW w:w="1984" w:type="dxa"/>
            <w:tcBorders>
              <w:top w:val="nil"/>
              <w:left w:val="nil"/>
              <w:bottom w:val="single" w:sz="4" w:space="0" w:color="auto"/>
              <w:right w:val="nil"/>
            </w:tcBorders>
            <w:shd w:val="clear" w:color="auto" w:fill="auto"/>
            <w:noWrap/>
            <w:vAlign w:val="bottom"/>
            <w:hideMark/>
          </w:tcPr>
          <w:p w14:paraId="2BA584E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5.79 (4.21, 8.91)</w:t>
            </w:r>
          </w:p>
        </w:tc>
        <w:tc>
          <w:tcPr>
            <w:tcW w:w="1720" w:type="dxa"/>
            <w:tcBorders>
              <w:top w:val="nil"/>
              <w:left w:val="nil"/>
              <w:bottom w:val="single" w:sz="4" w:space="0" w:color="auto"/>
              <w:right w:val="nil"/>
            </w:tcBorders>
            <w:shd w:val="clear" w:color="auto" w:fill="auto"/>
            <w:noWrap/>
            <w:vAlign w:val="bottom"/>
            <w:hideMark/>
          </w:tcPr>
          <w:p w14:paraId="07E86C9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1.17 (0.74, 1.85)</w:t>
            </w:r>
          </w:p>
        </w:tc>
        <w:tc>
          <w:tcPr>
            <w:tcW w:w="840" w:type="dxa"/>
            <w:tcBorders>
              <w:top w:val="nil"/>
              <w:left w:val="nil"/>
              <w:bottom w:val="single" w:sz="4" w:space="0" w:color="auto"/>
              <w:right w:val="nil"/>
            </w:tcBorders>
            <w:shd w:val="clear" w:color="auto" w:fill="auto"/>
            <w:noWrap/>
            <w:vAlign w:val="bottom"/>
            <w:hideMark/>
          </w:tcPr>
          <w:p w14:paraId="7A9A61B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0.4</w:t>
            </w:r>
          </w:p>
        </w:tc>
      </w:tr>
      <w:tr w:rsidR="005D6B4A" w:rsidRPr="005D6B4A" w14:paraId="4AAE7910" w14:textId="77777777" w:rsidTr="00852B05">
        <w:trPr>
          <w:trHeight w:val="300"/>
        </w:trPr>
        <w:tc>
          <w:tcPr>
            <w:tcW w:w="2127" w:type="dxa"/>
            <w:tcBorders>
              <w:top w:val="nil"/>
              <w:left w:val="nil"/>
              <w:bottom w:val="nil"/>
              <w:right w:val="single" w:sz="4" w:space="0" w:color="auto"/>
            </w:tcBorders>
            <w:shd w:val="clear" w:color="auto" w:fill="auto"/>
            <w:noWrap/>
            <w:vAlign w:val="center"/>
            <w:hideMark/>
          </w:tcPr>
          <w:p w14:paraId="1F14589F" w14:textId="77777777" w:rsidR="005D6B4A" w:rsidRPr="005D6B4A" w:rsidRDefault="005D6B4A" w:rsidP="005D6B4A">
            <w:pPr>
              <w:rPr>
                <w:rFonts w:ascii="Calibri" w:eastAsia="Times New Roman" w:hAnsi="Calibri" w:cs="Times New Roman"/>
                <w:b/>
                <w:bCs/>
                <w:color w:val="000000"/>
                <w:sz w:val="22"/>
                <w:szCs w:val="22"/>
                <w:lang w:val="en-GB"/>
              </w:rPr>
            </w:pPr>
            <w:r w:rsidRPr="005D6B4A">
              <w:rPr>
                <w:rFonts w:ascii="Calibri" w:eastAsia="Times New Roman" w:hAnsi="Calibri" w:cs="Times New Roman"/>
                <w:b/>
                <w:bCs/>
                <w:color w:val="000000"/>
                <w:sz w:val="22"/>
                <w:szCs w:val="22"/>
                <w:lang w:val="en-GB"/>
              </w:rPr>
              <w:t>CRP</w:t>
            </w:r>
          </w:p>
        </w:tc>
        <w:tc>
          <w:tcPr>
            <w:tcW w:w="993" w:type="dxa"/>
            <w:tcBorders>
              <w:top w:val="nil"/>
              <w:left w:val="nil"/>
              <w:bottom w:val="nil"/>
              <w:right w:val="nil"/>
            </w:tcBorders>
            <w:shd w:val="clear" w:color="auto" w:fill="auto"/>
            <w:noWrap/>
            <w:vAlign w:val="bottom"/>
            <w:hideMark/>
          </w:tcPr>
          <w:p w14:paraId="6A98972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5" w:type="dxa"/>
            <w:tcBorders>
              <w:top w:val="nil"/>
              <w:left w:val="nil"/>
              <w:bottom w:val="nil"/>
              <w:right w:val="nil"/>
            </w:tcBorders>
            <w:shd w:val="clear" w:color="auto" w:fill="auto"/>
            <w:noWrap/>
            <w:vAlign w:val="bottom"/>
            <w:hideMark/>
          </w:tcPr>
          <w:p w14:paraId="7AEB0F9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8" w:type="dxa"/>
            <w:tcBorders>
              <w:top w:val="nil"/>
              <w:left w:val="nil"/>
              <w:bottom w:val="nil"/>
              <w:right w:val="nil"/>
            </w:tcBorders>
            <w:shd w:val="clear" w:color="auto" w:fill="auto"/>
            <w:noWrap/>
            <w:vAlign w:val="bottom"/>
            <w:hideMark/>
          </w:tcPr>
          <w:p w14:paraId="26C16FE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single" w:sz="4" w:space="0" w:color="auto"/>
            </w:tcBorders>
            <w:shd w:val="clear" w:color="auto" w:fill="auto"/>
            <w:noWrap/>
            <w:vAlign w:val="bottom"/>
            <w:hideMark/>
          </w:tcPr>
          <w:p w14:paraId="65EE507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0292193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843" w:type="dxa"/>
            <w:tcBorders>
              <w:top w:val="nil"/>
              <w:left w:val="nil"/>
              <w:bottom w:val="nil"/>
              <w:right w:val="nil"/>
            </w:tcBorders>
            <w:shd w:val="clear" w:color="auto" w:fill="auto"/>
            <w:noWrap/>
            <w:vAlign w:val="bottom"/>
            <w:hideMark/>
          </w:tcPr>
          <w:p w14:paraId="39DDEBA2"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92" w:type="dxa"/>
            <w:tcBorders>
              <w:top w:val="nil"/>
              <w:left w:val="nil"/>
              <w:bottom w:val="nil"/>
              <w:right w:val="nil"/>
            </w:tcBorders>
            <w:shd w:val="clear" w:color="auto" w:fill="auto"/>
            <w:noWrap/>
            <w:vAlign w:val="bottom"/>
            <w:hideMark/>
          </w:tcPr>
          <w:p w14:paraId="11A5767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4" w:type="dxa"/>
            <w:tcBorders>
              <w:top w:val="nil"/>
              <w:left w:val="nil"/>
              <w:bottom w:val="nil"/>
              <w:right w:val="nil"/>
            </w:tcBorders>
            <w:shd w:val="clear" w:color="auto" w:fill="auto"/>
            <w:noWrap/>
            <w:vAlign w:val="bottom"/>
            <w:hideMark/>
          </w:tcPr>
          <w:p w14:paraId="13BF01E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0" w:type="dxa"/>
            <w:tcBorders>
              <w:top w:val="nil"/>
              <w:left w:val="nil"/>
              <w:bottom w:val="nil"/>
              <w:right w:val="nil"/>
            </w:tcBorders>
            <w:shd w:val="clear" w:color="auto" w:fill="auto"/>
            <w:noWrap/>
            <w:vAlign w:val="bottom"/>
            <w:hideMark/>
          </w:tcPr>
          <w:p w14:paraId="21B8139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nil"/>
            </w:tcBorders>
            <w:shd w:val="clear" w:color="auto" w:fill="auto"/>
            <w:noWrap/>
            <w:vAlign w:val="bottom"/>
            <w:hideMark/>
          </w:tcPr>
          <w:p w14:paraId="2DD4758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r>
      <w:tr w:rsidR="005D6B4A" w:rsidRPr="005D6B4A" w14:paraId="2F37F433"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226748A9"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&lt; 8</w:t>
            </w:r>
          </w:p>
        </w:tc>
        <w:tc>
          <w:tcPr>
            <w:tcW w:w="993" w:type="dxa"/>
            <w:tcBorders>
              <w:top w:val="nil"/>
              <w:left w:val="nil"/>
              <w:bottom w:val="nil"/>
              <w:right w:val="nil"/>
            </w:tcBorders>
            <w:shd w:val="clear" w:color="auto" w:fill="auto"/>
            <w:noWrap/>
            <w:vAlign w:val="bottom"/>
            <w:hideMark/>
          </w:tcPr>
          <w:p w14:paraId="6F5B39C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33 (32)</w:t>
            </w:r>
          </w:p>
        </w:tc>
        <w:tc>
          <w:tcPr>
            <w:tcW w:w="1985" w:type="dxa"/>
            <w:tcBorders>
              <w:top w:val="nil"/>
              <w:left w:val="nil"/>
              <w:bottom w:val="nil"/>
              <w:right w:val="nil"/>
            </w:tcBorders>
            <w:shd w:val="clear" w:color="auto" w:fill="auto"/>
            <w:noWrap/>
            <w:vAlign w:val="bottom"/>
            <w:hideMark/>
          </w:tcPr>
          <w:p w14:paraId="19C59FC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12.11 (10.86, 16.05)</w:t>
            </w:r>
          </w:p>
        </w:tc>
        <w:tc>
          <w:tcPr>
            <w:tcW w:w="1728" w:type="dxa"/>
            <w:tcBorders>
              <w:top w:val="nil"/>
              <w:left w:val="nil"/>
              <w:bottom w:val="nil"/>
              <w:right w:val="nil"/>
            </w:tcBorders>
            <w:shd w:val="clear" w:color="auto" w:fill="auto"/>
            <w:noWrap/>
            <w:vAlign w:val="bottom"/>
            <w:hideMark/>
          </w:tcPr>
          <w:p w14:paraId="4D906100"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single" w:sz="4" w:space="0" w:color="auto"/>
            </w:tcBorders>
            <w:shd w:val="clear" w:color="auto" w:fill="auto"/>
            <w:noWrap/>
            <w:vAlign w:val="bottom"/>
            <w:hideMark/>
          </w:tcPr>
          <w:p w14:paraId="36E61B8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34BC1FA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14 (14)</w:t>
            </w:r>
          </w:p>
        </w:tc>
        <w:tc>
          <w:tcPr>
            <w:tcW w:w="1843" w:type="dxa"/>
            <w:tcBorders>
              <w:top w:val="nil"/>
              <w:left w:val="nil"/>
              <w:bottom w:val="nil"/>
              <w:right w:val="nil"/>
            </w:tcBorders>
            <w:shd w:val="clear" w:color="auto" w:fill="auto"/>
            <w:noWrap/>
            <w:vAlign w:val="bottom"/>
            <w:hideMark/>
          </w:tcPr>
          <w:p w14:paraId="301645C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10.86 (8.95, 20.5)</w:t>
            </w:r>
          </w:p>
        </w:tc>
        <w:tc>
          <w:tcPr>
            <w:tcW w:w="992" w:type="dxa"/>
            <w:tcBorders>
              <w:top w:val="nil"/>
              <w:left w:val="nil"/>
              <w:bottom w:val="nil"/>
              <w:right w:val="nil"/>
            </w:tcBorders>
            <w:shd w:val="clear" w:color="auto" w:fill="auto"/>
            <w:noWrap/>
            <w:vAlign w:val="bottom"/>
            <w:hideMark/>
          </w:tcPr>
          <w:p w14:paraId="61806292"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19 (18)</w:t>
            </w:r>
          </w:p>
        </w:tc>
        <w:tc>
          <w:tcPr>
            <w:tcW w:w="1984" w:type="dxa"/>
            <w:tcBorders>
              <w:top w:val="nil"/>
              <w:left w:val="nil"/>
              <w:bottom w:val="nil"/>
              <w:right w:val="nil"/>
            </w:tcBorders>
            <w:shd w:val="clear" w:color="auto" w:fill="auto"/>
            <w:noWrap/>
            <w:vAlign w:val="bottom"/>
            <w:hideMark/>
          </w:tcPr>
          <w:p w14:paraId="1552757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12.43 (11.15, 19.10)</w:t>
            </w:r>
          </w:p>
        </w:tc>
        <w:tc>
          <w:tcPr>
            <w:tcW w:w="1720" w:type="dxa"/>
            <w:tcBorders>
              <w:top w:val="nil"/>
              <w:left w:val="nil"/>
              <w:bottom w:val="nil"/>
              <w:right w:val="nil"/>
            </w:tcBorders>
            <w:shd w:val="clear" w:color="auto" w:fill="auto"/>
            <w:noWrap/>
            <w:vAlign w:val="bottom"/>
            <w:hideMark/>
          </w:tcPr>
          <w:p w14:paraId="1771752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0.67 (0.33, 1.39)</w:t>
            </w:r>
          </w:p>
        </w:tc>
        <w:tc>
          <w:tcPr>
            <w:tcW w:w="840" w:type="dxa"/>
            <w:tcBorders>
              <w:top w:val="nil"/>
              <w:left w:val="nil"/>
              <w:bottom w:val="nil"/>
              <w:right w:val="nil"/>
            </w:tcBorders>
            <w:shd w:val="clear" w:color="auto" w:fill="auto"/>
            <w:noWrap/>
            <w:vAlign w:val="bottom"/>
            <w:hideMark/>
          </w:tcPr>
          <w:p w14:paraId="76A83CF8"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0DA12287" w14:textId="77777777" w:rsidTr="00852B05">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10A016FB"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 xml:space="preserve">&gt; 8 </w:t>
            </w:r>
          </w:p>
        </w:tc>
        <w:tc>
          <w:tcPr>
            <w:tcW w:w="993" w:type="dxa"/>
            <w:tcBorders>
              <w:top w:val="nil"/>
              <w:left w:val="nil"/>
              <w:bottom w:val="single" w:sz="4" w:space="0" w:color="auto"/>
              <w:right w:val="nil"/>
            </w:tcBorders>
            <w:shd w:val="clear" w:color="auto" w:fill="auto"/>
            <w:noWrap/>
            <w:vAlign w:val="bottom"/>
            <w:hideMark/>
          </w:tcPr>
          <w:p w14:paraId="689E557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30 (30)</w:t>
            </w:r>
          </w:p>
        </w:tc>
        <w:tc>
          <w:tcPr>
            <w:tcW w:w="1985" w:type="dxa"/>
            <w:tcBorders>
              <w:top w:val="nil"/>
              <w:left w:val="nil"/>
              <w:bottom w:val="single" w:sz="4" w:space="0" w:color="auto"/>
              <w:right w:val="nil"/>
            </w:tcBorders>
            <w:shd w:val="clear" w:color="auto" w:fill="auto"/>
            <w:noWrap/>
            <w:vAlign w:val="bottom"/>
            <w:hideMark/>
          </w:tcPr>
          <w:p w14:paraId="1D420F4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4.39 (3.78, 9.24)</w:t>
            </w:r>
          </w:p>
        </w:tc>
        <w:tc>
          <w:tcPr>
            <w:tcW w:w="1728" w:type="dxa"/>
            <w:tcBorders>
              <w:top w:val="nil"/>
              <w:left w:val="nil"/>
              <w:bottom w:val="single" w:sz="4" w:space="0" w:color="auto"/>
              <w:right w:val="nil"/>
            </w:tcBorders>
            <w:shd w:val="clear" w:color="auto" w:fill="auto"/>
            <w:noWrap/>
            <w:vAlign w:val="bottom"/>
            <w:hideMark/>
          </w:tcPr>
          <w:p w14:paraId="0A51B89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1.78 (1.27, 2.50)</w:t>
            </w:r>
          </w:p>
        </w:tc>
        <w:tc>
          <w:tcPr>
            <w:tcW w:w="840" w:type="dxa"/>
            <w:tcBorders>
              <w:top w:val="nil"/>
              <w:left w:val="nil"/>
              <w:bottom w:val="single" w:sz="4" w:space="0" w:color="auto"/>
              <w:right w:val="single" w:sz="4" w:space="0" w:color="auto"/>
            </w:tcBorders>
            <w:shd w:val="clear" w:color="auto" w:fill="auto"/>
            <w:noWrap/>
            <w:vAlign w:val="bottom"/>
            <w:hideMark/>
          </w:tcPr>
          <w:p w14:paraId="7C244F5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&lt;0.001</w:t>
            </w:r>
          </w:p>
        </w:tc>
        <w:tc>
          <w:tcPr>
            <w:tcW w:w="975" w:type="dxa"/>
            <w:tcBorders>
              <w:top w:val="nil"/>
              <w:left w:val="nil"/>
              <w:bottom w:val="single" w:sz="4" w:space="0" w:color="auto"/>
              <w:right w:val="nil"/>
            </w:tcBorders>
            <w:shd w:val="clear" w:color="auto" w:fill="auto"/>
            <w:noWrap/>
            <w:vAlign w:val="bottom"/>
            <w:hideMark/>
          </w:tcPr>
          <w:p w14:paraId="1805144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15 (15)</w:t>
            </w:r>
          </w:p>
        </w:tc>
        <w:tc>
          <w:tcPr>
            <w:tcW w:w="1843" w:type="dxa"/>
            <w:tcBorders>
              <w:top w:val="nil"/>
              <w:left w:val="nil"/>
              <w:bottom w:val="single" w:sz="4" w:space="0" w:color="auto"/>
              <w:right w:val="nil"/>
            </w:tcBorders>
            <w:shd w:val="clear" w:color="auto" w:fill="auto"/>
            <w:noWrap/>
            <w:vAlign w:val="bottom"/>
            <w:hideMark/>
          </w:tcPr>
          <w:p w14:paraId="15E6AC1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6.68 (4.34, 13.0)</w:t>
            </w:r>
          </w:p>
        </w:tc>
        <w:tc>
          <w:tcPr>
            <w:tcW w:w="992" w:type="dxa"/>
            <w:tcBorders>
              <w:top w:val="nil"/>
              <w:left w:val="nil"/>
              <w:bottom w:val="single" w:sz="4" w:space="0" w:color="auto"/>
              <w:right w:val="nil"/>
            </w:tcBorders>
            <w:shd w:val="clear" w:color="auto" w:fill="auto"/>
            <w:noWrap/>
            <w:vAlign w:val="bottom"/>
            <w:hideMark/>
          </w:tcPr>
          <w:p w14:paraId="4D65148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15 (15)</w:t>
            </w:r>
          </w:p>
        </w:tc>
        <w:tc>
          <w:tcPr>
            <w:tcW w:w="1984" w:type="dxa"/>
            <w:tcBorders>
              <w:top w:val="nil"/>
              <w:left w:val="nil"/>
              <w:bottom w:val="single" w:sz="4" w:space="0" w:color="auto"/>
              <w:right w:val="nil"/>
            </w:tcBorders>
            <w:shd w:val="clear" w:color="auto" w:fill="auto"/>
            <w:noWrap/>
            <w:vAlign w:val="bottom"/>
            <w:hideMark/>
          </w:tcPr>
          <w:p w14:paraId="39D2140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3.78 (3.09, 12.10)</w:t>
            </w:r>
          </w:p>
        </w:tc>
        <w:tc>
          <w:tcPr>
            <w:tcW w:w="1720" w:type="dxa"/>
            <w:tcBorders>
              <w:top w:val="nil"/>
              <w:left w:val="nil"/>
              <w:bottom w:val="single" w:sz="4" w:space="0" w:color="auto"/>
              <w:right w:val="nil"/>
            </w:tcBorders>
            <w:shd w:val="clear" w:color="auto" w:fill="auto"/>
            <w:noWrap/>
            <w:vAlign w:val="bottom"/>
            <w:hideMark/>
          </w:tcPr>
          <w:p w14:paraId="4B5824B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1.96 (0.93, 4.16)</w:t>
            </w:r>
          </w:p>
        </w:tc>
        <w:tc>
          <w:tcPr>
            <w:tcW w:w="840" w:type="dxa"/>
            <w:tcBorders>
              <w:top w:val="nil"/>
              <w:left w:val="nil"/>
              <w:bottom w:val="single" w:sz="4" w:space="0" w:color="auto"/>
              <w:right w:val="nil"/>
            </w:tcBorders>
            <w:shd w:val="clear" w:color="auto" w:fill="auto"/>
            <w:noWrap/>
            <w:vAlign w:val="bottom"/>
            <w:hideMark/>
          </w:tcPr>
          <w:p w14:paraId="0F85733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0.543</w:t>
            </w:r>
          </w:p>
        </w:tc>
      </w:tr>
      <w:tr w:rsidR="005D6B4A" w:rsidRPr="005D6B4A" w14:paraId="5BD3183D" w14:textId="77777777" w:rsidTr="00852B05">
        <w:trPr>
          <w:trHeight w:val="300"/>
        </w:trPr>
        <w:tc>
          <w:tcPr>
            <w:tcW w:w="2127" w:type="dxa"/>
            <w:tcBorders>
              <w:top w:val="nil"/>
              <w:left w:val="nil"/>
              <w:bottom w:val="nil"/>
              <w:right w:val="single" w:sz="4" w:space="0" w:color="auto"/>
            </w:tcBorders>
            <w:shd w:val="clear" w:color="auto" w:fill="auto"/>
            <w:noWrap/>
            <w:vAlign w:val="center"/>
            <w:hideMark/>
          </w:tcPr>
          <w:p w14:paraId="79B654F4" w14:textId="6F6B977B" w:rsidR="005D6B4A" w:rsidRPr="00852B05" w:rsidRDefault="00852B05" w:rsidP="005D6B4A">
            <w:pPr>
              <w:rPr>
                <w:rFonts w:ascii="Calibri" w:eastAsia="Times New Roman" w:hAnsi="Calibri" w:cs="Times New Roman"/>
                <w:b/>
                <w:bCs/>
                <w:color w:val="000000"/>
                <w:sz w:val="22"/>
                <w:szCs w:val="22"/>
                <w:lang w:val="en-GB"/>
              </w:rPr>
            </w:pPr>
            <w:r w:rsidRPr="00852B05">
              <w:rPr>
                <w:rFonts w:asciiTheme="majorHAnsi" w:hAnsiTheme="majorHAnsi" w:cs="Lucida Grande"/>
                <w:b/>
                <w:color w:val="000000"/>
                <w:sz w:val="22"/>
                <w:szCs w:val="22"/>
              </w:rPr>
              <w:t>RET rs1799939</w:t>
            </w:r>
          </w:p>
        </w:tc>
        <w:tc>
          <w:tcPr>
            <w:tcW w:w="993" w:type="dxa"/>
            <w:tcBorders>
              <w:top w:val="nil"/>
              <w:left w:val="nil"/>
              <w:bottom w:val="nil"/>
              <w:right w:val="nil"/>
            </w:tcBorders>
            <w:shd w:val="clear" w:color="auto" w:fill="auto"/>
            <w:noWrap/>
            <w:vAlign w:val="bottom"/>
            <w:hideMark/>
          </w:tcPr>
          <w:p w14:paraId="62E61285"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5" w:type="dxa"/>
            <w:tcBorders>
              <w:top w:val="nil"/>
              <w:left w:val="nil"/>
              <w:bottom w:val="nil"/>
              <w:right w:val="nil"/>
            </w:tcBorders>
            <w:shd w:val="clear" w:color="auto" w:fill="auto"/>
            <w:noWrap/>
            <w:vAlign w:val="bottom"/>
            <w:hideMark/>
          </w:tcPr>
          <w:p w14:paraId="2F61582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8" w:type="dxa"/>
            <w:tcBorders>
              <w:top w:val="nil"/>
              <w:left w:val="nil"/>
              <w:bottom w:val="nil"/>
              <w:right w:val="nil"/>
            </w:tcBorders>
            <w:shd w:val="clear" w:color="auto" w:fill="auto"/>
            <w:noWrap/>
            <w:vAlign w:val="bottom"/>
            <w:hideMark/>
          </w:tcPr>
          <w:p w14:paraId="447F8FD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single" w:sz="4" w:space="0" w:color="auto"/>
            </w:tcBorders>
            <w:shd w:val="clear" w:color="auto" w:fill="auto"/>
            <w:noWrap/>
            <w:vAlign w:val="bottom"/>
            <w:hideMark/>
          </w:tcPr>
          <w:p w14:paraId="6CBEAD8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6A14269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843" w:type="dxa"/>
            <w:tcBorders>
              <w:top w:val="nil"/>
              <w:left w:val="nil"/>
              <w:bottom w:val="nil"/>
              <w:right w:val="nil"/>
            </w:tcBorders>
            <w:shd w:val="clear" w:color="auto" w:fill="auto"/>
            <w:noWrap/>
            <w:vAlign w:val="bottom"/>
            <w:hideMark/>
          </w:tcPr>
          <w:p w14:paraId="2219C6E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92" w:type="dxa"/>
            <w:tcBorders>
              <w:top w:val="nil"/>
              <w:left w:val="nil"/>
              <w:bottom w:val="nil"/>
              <w:right w:val="nil"/>
            </w:tcBorders>
            <w:shd w:val="clear" w:color="auto" w:fill="auto"/>
            <w:noWrap/>
            <w:vAlign w:val="bottom"/>
            <w:hideMark/>
          </w:tcPr>
          <w:p w14:paraId="51EF4C8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4" w:type="dxa"/>
            <w:tcBorders>
              <w:top w:val="nil"/>
              <w:left w:val="nil"/>
              <w:bottom w:val="nil"/>
              <w:right w:val="nil"/>
            </w:tcBorders>
            <w:shd w:val="clear" w:color="auto" w:fill="auto"/>
            <w:noWrap/>
            <w:vAlign w:val="bottom"/>
            <w:hideMark/>
          </w:tcPr>
          <w:p w14:paraId="64589A82"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0" w:type="dxa"/>
            <w:tcBorders>
              <w:top w:val="nil"/>
              <w:left w:val="nil"/>
              <w:bottom w:val="nil"/>
              <w:right w:val="nil"/>
            </w:tcBorders>
            <w:shd w:val="clear" w:color="auto" w:fill="auto"/>
            <w:noWrap/>
            <w:vAlign w:val="bottom"/>
            <w:hideMark/>
          </w:tcPr>
          <w:p w14:paraId="362C4C8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nil"/>
            </w:tcBorders>
            <w:shd w:val="clear" w:color="auto" w:fill="auto"/>
            <w:noWrap/>
            <w:vAlign w:val="bottom"/>
            <w:hideMark/>
          </w:tcPr>
          <w:p w14:paraId="5C80FF6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r>
      <w:tr w:rsidR="005D6B4A" w:rsidRPr="005D6B4A" w14:paraId="6A6C4C03"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4C55C5BC"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Common</w:t>
            </w:r>
          </w:p>
        </w:tc>
        <w:tc>
          <w:tcPr>
            <w:tcW w:w="993" w:type="dxa"/>
            <w:tcBorders>
              <w:top w:val="nil"/>
              <w:left w:val="nil"/>
              <w:bottom w:val="nil"/>
              <w:right w:val="nil"/>
            </w:tcBorders>
            <w:shd w:val="clear" w:color="auto" w:fill="auto"/>
            <w:noWrap/>
            <w:vAlign w:val="bottom"/>
            <w:hideMark/>
          </w:tcPr>
          <w:p w14:paraId="118F948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76 (6)</w:t>
            </w:r>
          </w:p>
        </w:tc>
        <w:tc>
          <w:tcPr>
            <w:tcW w:w="1985" w:type="dxa"/>
            <w:tcBorders>
              <w:top w:val="nil"/>
              <w:left w:val="nil"/>
              <w:bottom w:val="nil"/>
              <w:right w:val="nil"/>
            </w:tcBorders>
            <w:shd w:val="clear" w:color="auto" w:fill="auto"/>
            <w:noWrap/>
            <w:vAlign w:val="bottom"/>
            <w:hideMark/>
          </w:tcPr>
          <w:p w14:paraId="4C414FE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9.10 (7.11, 11.0)</w:t>
            </w:r>
          </w:p>
        </w:tc>
        <w:tc>
          <w:tcPr>
            <w:tcW w:w="1728" w:type="dxa"/>
            <w:tcBorders>
              <w:top w:val="nil"/>
              <w:left w:val="nil"/>
              <w:bottom w:val="nil"/>
              <w:right w:val="nil"/>
            </w:tcBorders>
            <w:shd w:val="clear" w:color="auto" w:fill="auto"/>
            <w:noWrap/>
            <w:vAlign w:val="bottom"/>
            <w:hideMark/>
          </w:tcPr>
          <w:p w14:paraId="00A3942F"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single" w:sz="4" w:space="0" w:color="auto"/>
            </w:tcBorders>
            <w:shd w:val="clear" w:color="auto" w:fill="auto"/>
            <w:noWrap/>
            <w:vAlign w:val="bottom"/>
            <w:hideMark/>
          </w:tcPr>
          <w:p w14:paraId="1E78903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1240555D"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843" w:type="dxa"/>
            <w:tcBorders>
              <w:top w:val="nil"/>
              <w:left w:val="nil"/>
              <w:bottom w:val="nil"/>
              <w:right w:val="nil"/>
            </w:tcBorders>
            <w:shd w:val="clear" w:color="auto" w:fill="auto"/>
            <w:noWrap/>
            <w:vAlign w:val="bottom"/>
            <w:hideMark/>
          </w:tcPr>
          <w:p w14:paraId="49177A2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9.31 (4.87, 13.00)</w:t>
            </w:r>
          </w:p>
        </w:tc>
        <w:tc>
          <w:tcPr>
            <w:tcW w:w="992" w:type="dxa"/>
            <w:tcBorders>
              <w:top w:val="nil"/>
              <w:left w:val="nil"/>
              <w:bottom w:val="nil"/>
              <w:right w:val="nil"/>
            </w:tcBorders>
            <w:shd w:val="clear" w:color="auto" w:fill="auto"/>
            <w:noWrap/>
            <w:vAlign w:val="bottom"/>
            <w:hideMark/>
          </w:tcPr>
          <w:p w14:paraId="24B73168"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984" w:type="dxa"/>
            <w:tcBorders>
              <w:top w:val="nil"/>
              <w:left w:val="nil"/>
              <w:bottom w:val="nil"/>
              <w:right w:val="nil"/>
            </w:tcBorders>
            <w:shd w:val="clear" w:color="auto" w:fill="auto"/>
            <w:noWrap/>
            <w:vAlign w:val="bottom"/>
            <w:hideMark/>
          </w:tcPr>
          <w:p w14:paraId="22EF3A2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8.83 (4.84, 12.4)</w:t>
            </w:r>
          </w:p>
        </w:tc>
        <w:tc>
          <w:tcPr>
            <w:tcW w:w="1720" w:type="dxa"/>
            <w:tcBorders>
              <w:top w:val="nil"/>
              <w:left w:val="nil"/>
              <w:bottom w:val="nil"/>
              <w:right w:val="nil"/>
            </w:tcBorders>
            <w:shd w:val="clear" w:color="auto" w:fill="auto"/>
            <w:noWrap/>
            <w:vAlign w:val="bottom"/>
            <w:hideMark/>
          </w:tcPr>
          <w:p w14:paraId="4E9695B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1.18 (0.73, 1.89)</w:t>
            </w:r>
          </w:p>
        </w:tc>
        <w:tc>
          <w:tcPr>
            <w:tcW w:w="840" w:type="dxa"/>
            <w:tcBorders>
              <w:top w:val="nil"/>
              <w:left w:val="nil"/>
              <w:bottom w:val="nil"/>
              <w:right w:val="nil"/>
            </w:tcBorders>
            <w:shd w:val="clear" w:color="auto" w:fill="auto"/>
            <w:noWrap/>
            <w:vAlign w:val="bottom"/>
            <w:hideMark/>
          </w:tcPr>
          <w:p w14:paraId="01F9E253"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65F0DD14"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57AD0255"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Rare</w:t>
            </w:r>
          </w:p>
        </w:tc>
        <w:tc>
          <w:tcPr>
            <w:tcW w:w="993" w:type="dxa"/>
            <w:tcBorders>
              <w:top w:val="nil"/>
              <w:left w:val="nil"/>
              <w:bottom w:val="nil"/>
              <w:right w:val="nil"/>
            </w:tcBorders>
            <w:shd w:val="clear" w:color="auto" w:fill="auto"/>
            <w:noWrap/>
            <w:vAlign w:val="bottom"/>
            <w:hideMark/>
          </w:tcPr>
          <w:p w14:paraId="233F4F4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 (0)</w:t>
            </w:r>
          </w:p>
        </w:tc>
        <w:tc>
          <w:tcPr>
            <w:tcW w:w="1985" w:type="dxa"/>
            <w:tcBorders>
              <w:top w:val="nil"/>
              <w:left w:val="nil"/>
              <w:bottom w:val="nil"/>
              <w:right w:val="nil"/>
            </w:tcBorders>
            <w:shd w:val="clear" w:color="auto" w:fill="auto"/>
            <w:noWrap/>
            <w:vAlign w:val="bottom"/>
            <w:hideMark/>
          </w:tcPr>
          <w:p w14:paraId="4ED1D6F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9.64 (6.68, NA)</w:t>
            </w:r>
          </w:p>
        </w:tc>
        <w:tc>
          <w:tcPr>
            <w:tcW w:w="1728" w:type="dxa"/>
            <w:tcBorders>
              <w:top w:val="nil"/>
              <w:left w:val="nil"/>
              <w:bottom w:val="nil"/>
              <w:right w:val="nil"/>
            </w:tcBorders>
            <w:shd w:val="clear" w:color="auto" w:fill="auto"/>
            <w:noWrap/>
            <w:vAlign w:val="bottom"/>
            <w:hideMark/>
          </w:tcPr>
          <w:p w14:paraId="6330E96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1.25 (0.39, 3.98)</w:t>
            </w:r>
          </w:p>
        </w:tc>
        <w:tc>
          <w:tcPr>
            <w:tcW w:w="840" w:type="dxa"/>
            <w:tcBorders>
              <w:top w:val="nil"/>
              <w:left w:val="nil"/>
              <w:bottom w:val="nil"/>
              <w:right w:val="single" w:sz="4" w:space="0" w:color="auto"/>
            </w:tcBorders>
            <w:shd w:val="clear" w:color="auto" w:fill="auto"/>
            <w:noWrap/>
            <w:vAlign w:val="bottom"/>
            <w:hideMark/>
          </w:tcPr>
          <w:p w14:paraId="66779B5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158F40E9"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843" w:type="dxa"/>
            <w:tcBorders>
              <w:top w:val="nil"/>
              <w:left w:val="nil"/>
              <w:bottom w:val="nil"/>
              <w:right w:val="nil"/>
            </w:tcBorders>
            <w:shd w:val="clear" w:color="auto" w:fill="auto"/>
            <w:noWrap/>
            <w:vAlign w:val="bottom"/>
            <w:hideMark/>
          </w:tcPr>
          <w:p w14:paraId="33B9D821"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992" w:type="dxa"/>
            <w:tcBorders>
              <w:top w:val="nil"/>
              <w:left w:val="nil"/>
              <w:bottom w:val="nil"/>
              <w:right w:val="nil"/>
            </w:tcBorders>
            <w:shd w:val="clear" w:color="auto" w:fill="auto"/>
            <w:noWrap/>
            <w:vAlign w:val="bottom"/>
            <w:hideMark/>
          </w:tcPr>
          <w:p w14:paraId="7BA52747"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984" w:type="dxa"/>
            <w:tcBorders>
              <w:top w:val="nil"/>
              <w:left w:val="nil"/>
              <w:bottom w:val="nil"/>
              <w:right w:val="nil"/>
            </w:tcBorders>
            <w:shd w:val="clear" w:color="auto" w:fill="auto"/>
            <w:noWrap/>
            <w:vAlign w:val="bottom"/>
            <w:hideMark/>
          </w:tcPr>
          <w:p w14:paraId="09E0BEF7"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720" w:type="dxa"/>
            <w:tcBorders>
              <w:top w:val="nil"/>
              <w:left w:val="nil"/>
              <w:bottom w:val="nil"/>
              <w:right w:val="nil"/>
            </w:tcBorders>
            <w:shd w:val="clear" w:color="auto" w:fill="auto"/>
            <w:noWrap/>
            <w:vAlign w:val="bottom"/>
            <w:hideMark/>
          </w:tcPr>
          <w:p w14:paraId="0E0ABA10"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nil"/>
            </w:tcBorders>
            <w:shd w:val="clear" w:color="auto" w:fill="auto"/>
            <w:noWrap/>
            <w:vAlign w:val="bottom"/>
            <w:hideMark/>
          </w:tcPr>
          <w:p w14:paraId="4C90B15B"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328C30D1" w14:textId="77777777" w:rsidTr="00852B05">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645E2D1E"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Hetero.</w:t>
            </w:r>
          </w:p>
        </w:tc>
        <w:tc>
          <w:tcPr>
            <w:tcW w:w="993" w:type="dxa"/>
            <w:tcBorders>
              <w:top w:val="nil"/>
              <w:left w:val="nil"/>
              <w:bottom w:val="single" w:sz="4" w:space="0" w:color="auto"/>
              <w:right w:val="nil"/>
            </w:tcBorders>
            <w:shd w:val="clear" w:color="auto" w:fill="auto"/>
            <w:noWrap/>
            <w:vAlign w:val="bottom"/>
            <w:hideMark/>
          </w:tcPr>
          <w:p w14:paraId="0BF5C47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42 (40)</w:t>
            </w:r>
          </w:p>
        </w:tc>
        <w:tc>
          <w:tcPr>
            <w:tcW w:w="1985" w:type="dxa"/>
            <w:tcBorders>
              <w:top w:val="nil"/>
              <w:left w:val="nil"/>
              <w:bottom w:val="single" w:sz="4" w:space="0" w:color="auto"/>
              <w:right w:val="nil"/>
            </w:tcBorders>
            <w:shd w:val="clear" w:color="auto" w:fill="auto"/>
            <w:noWrap/>
            <w:vAlign w:val="bottom"/>
            <w:hideMark/>
          </w:tcPr>
          <w:p w14:paraId="6E7F10F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9.56 (7.40, 12.8)</w:t>
            </w:r>
          </w:p>
        </w:tc>
        <w:tc>
          <w:tcPr>
            <w:tcW w:w="1728" w:type="dxa"/>
            <w:tcBorders>
              <w:top w:val="nil"/>
              <w:left w:val="nil"/>
              <w:bottom w:val="single" w:sz="4" w:space="0" w:color="auto"/>
              <w:right w:val="nil"/>
            </w:tcBorders>
            <w:shd w:val="clear" w:color="auto" w:fill="auto"/>
            <w:noWrap/>
            <w:vAlign w:val="bottom"/>
            <w:hideMark/>
          </w:tcPr>
          <w:p w14:paraId="1BBC0BF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1.03 (0.70, 1.53)</w:t>
            </w:r>
          </w:p>
        </w:tc>
        <w:tc>
          <w:tcPr>
            <w:tcW w:w="840" w:type="dxa"/>
            <w:tcBorders>
              <w:top w:val="nil"/>
              <w:left w:val="nil"/>
              <w:bottom w:val="single" w:sz="4" w:space="0" w:color="auto"/>
              <w:right w:val="single" w:sz="4" w:space="0" w:color="auto"/>
            </w:tcBorders>
            <w:shd w:val="clear" w:color="auto" w:fill="auto"/>
            <w:noWrap/>
            <w:vAlign w:val="bottom"/>
            <w:hideMark/>
          </w:tcPr>
          <w:p w14:paraId="1822AF1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0.932</w:t>
            </w:r>
          </w:p>
        </w:tc>
        <w:tc>
          <w:tcPr>
            <w:tcW w:w="975" w:type="dxa"/>
            <w:tcBorders>
              <w:top w:val="nil"/>
              <w:left w:val="nil"/>
              <w:bottom w:val="single" w:sz="4" w:space="0" w:color="auto"/>
              <w:right w:val="nil"/>
            </w:tcBorders>
            <w:shd w:val="clear" w:color="auto" w:fill="auto"/>
            <w:noWrap/>
            <w:vAlign w:val="bottom"/>
            <w:hideMark/>
          </w:tcPr>
          <w:p w14:paraId="05A2A71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843" w:type="dxa"/>
            <w:tcBorders>
              <w:top w:val="nil"/>
              <w:left w:val="nil"/>
              <w:bottom w:val="single" w:sz="4" w:space="0" w:color="auto"/>
              <w:right w:val="nil"/>
            </w:tcBorders>
            <w:shd w:val="clear" w:color="auto" w:fill="auto"/>
            <w:noWrap/>
            <w:vAlign w:val="bottom"/>
            <w:hideMark/>
          </w:tcPr>
          <w:p w14:paraId="4BF20D7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7.73 (6.35, 18.3)</w:t>
            </w:r>
          </w:p>
        </w:tc>
        <w:tc>
          <w:tcPr>
            <w:tcW w:w="992" w:type="dxa"/>
            <w:tcBorders>
              <w:top w:val="nil"/>
              <w:left w:val="nil"/>
              <w:bottom w:val="single" w:sz="4" w:space="0" w:color="auto"/>
              <w:right w:val="nil"/>
            </w:tcBorders>
            <w:shd w:val="clear" w:color="auto" w:fill="auto"/>
            <w:noWrap/>
            <w:vAlign w:val="bottom"/>
            <w:hideMark/>
          </w:tcPr>
          <w:p w14:paraId="1FFBEA8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4" w:type="dxa"/>
            <w:tcBorders>
              <w:top w:val="nil"/>
              <w:left w:val="nil"/>
              <w:bottom w:val="single" w:sz="4" w:space="0" w:color="auto"/>
              <w:right w:val="nil"/>
            </w:tcBorders>
            <w:shd w:val="clear" w:color="auto" w:fill="auto"/>
            <w:noWrap/>
            <w:vAlign w:val="bottom"/>
            <w:hideMark/>
          </w:tcPr>
          <w:p w14:paraId="1E60CB0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10.89 (7.40, 16.20)</w:t>
            </w:r>
          </w:p>
        </w:tc>
        <w:tc>
          <w:tcPr>
            <w:tcW w:w="1720" w:type="dxa"/>
            <w:tcBorders>
              <w:top w:val="nil"/>
              <w:left w:val="nil"/>
              <w:bottom w:val="single" w:sz="4" w:space="0" w:color="auto"/>
              <w:right w:val="nil"/>
            </w:tcBorders>
            <w:shd w:val="clear" w:color="auto" w:fill="auto"/>
            <w:noWrap/>
            <w:vAlign w:val="bottom"/>
            <w:hideMark/>
          </w:tcPr>
          <w:p w14:paraId="025AB0A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1.10 (0.58, 2.06)</w:t>
            </w:r>
          </w:p>
        </w:tc>
        <w:tc>
          <w:tcPr>
            <w:tcW w:w="840" w:type="dxa"/>
            <w:tcBorders>
              <w:top w:val="nil"/>
              <w:left w:val="nil"/>
              <w:bottom w:val="single" w:sz="4" w:space="0" w:color="auto"/>
              <w:right w:val="nil"/>
            </w:tcBorders>
            <w:shd w:val="clear" w:color="auto" w:fill="auto"/>
            <w:noWrap/>
            <w:vAlign w:val="bottom"/>
            <w:hideMark/>
          </w:tcPr>
          <w:p w14:paraId="6C37C4F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0.88</w:t>
            </w:r>
          </w:p>
        </w:tc>
      </w:tr>
      <w:tr w:rsidR="005D6B4A" w:rsidRPr="005D6B4A" w14:paraId="20319970" w14:textId="77777777" w:rsidTr="00852B05">
        <w:trPr>
          <w:trHeight w:val="300"/>
        </w:trPr>
        <w:tc>
          <w:tcPr>
            <w:tcW w:w="2127" w:type="dxa"/>
            <w:tcBorders>
              <w:top w:val="nil"/>
              <w:left w:val="nil"/>
              <w:bottom w:val="nil"/>
              <w:right w:val="single" w:sz="4" w:space="0" w:color="auto"/>
            </w:tcBorders>
            <w:shd w:val="clear" w:color="auto" w:fill="auto"/>
            <w:noWrap/>
            <w:vAlign w:val="center"/>
            <w:hideMark/>
          </w:tcPr>
          <w:p w14:paraId="4739A0DC" w14:textId="5D298889" w:rsidR="005D6B4A" w:rsidRPr="00852B05" w:rsidRDefault="00852B05" w:rsidP="005D6B4A">
            <w:pPr>
              <w:rPr>
                <w:rFonts w:ascii="Calibri" w:eastAsia="Times New Roman" w:hAnsi="Calibri" w:cs="Times New Roman"/>
                <w:b/>
                <w:bCs/>
                <w:color w:val="000000"/>
                <w:sz w:val="22"/>
                <w:szCs w:val="22"/>
                <w:lang w:val="en-GB"/>
              </w:rPr>
            </w:pPr>
            <w:r w:rsidRPr="00852B05">
              <w:rPr>
                <w:rFonts w:asciiTheme="majorHAnsi" w:hAnsiTheme="majorHAnsi" w:cs="Lucida Grande"/>
                <w:b/>
                <w:color w:val="000000"/>
                <w:sz w:val="22"/>
                <w:szCs w:val="22"/>
              </w:rPr>
              <w:t>IL-8 rs4073</w:t>
            </w:r>
          </w:p>
        </w:tc>
        <w:tc>
          <w:tcPr>
            <w:tcW w:w="993" w:type="dxa"/>
            <w:tcBorders>
              <w:top w:val="nil"/>
              <w:left w:val="nil"/>
              <w:bottom w:val="nil"/>
              <w:right w:val="nil"/>
            </w:tcBorders>
            <w:shd w:val="clear" w:color="auto" w:fill="auto"/>
            <w:noWrap/>
            <w:vAlign w:val="bottom"/>
            <w:hideMark/>
          </w:tcPr>
          <w:p w14:paraId="08DCF71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5" w:type="dxa"/>
            <w:tcBorders>
              <w:top w:val="nil"/>
              <w:left w:val="nil"/>
              <w:bottom w:val="nil"/>
              <w:right w:val="nil"/>
            </w:tcBorders>
            <w:shd w:val="clear" w:color="auto" w:fill="auto"/>
            <w:noWrap/>
            <w:vAlign w:val="bottom"/>
            <w:hideMark/>
          </w:tcPr>
          <w:p w14:paraId="1FFFAE55"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8" w:type="dxa"/>
            <w:tcBorders>
              <w:top w:val="nil"/>
              <w:left w:val="nil"/>
              <w:bottom w:val="nil"/>
              <w:right w:val="nil"/>
            </w:tcBorders>
            <w:shd w:val="clear" w:color="auto" w:fill="auto"/>
            <w:noWrap/>
            <w:vAlign w:val="bottom"/>
            <w:hideMark/>
          </w:tcPr>
          <w:p w14:paraId="2ECFB43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single" w:sz="4" w:space="0" w:color="auto"/>
            </w:tcBorders>
            <w:shd w:val="clear" w:color="auto" w:fill="auto"/>
            <w:noWrap/>
            <w:vAlign w:val="bottom"/>
            <w:hideMark/>
          </w:tcPr>
          <w:p w14:paraId="71418AC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7A76DF1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843" w:type="dxa"/>
            <w:tcBorders>
              <w:top w:val="nil"/>
              <w:left w:val="nil"/>
              <w:bottom w:val="nil"/>
              <w:right w:val="nil"/>
            </w:tcBorders>
            <w:shd w:val="clear" w:color="auto" w:fill="auto"/>
            <w:noWrap/>
            <w:vAlign w:val="bottom"/>
            <w:hideMark/>
          </w:tcPr>
          <w:p w14:paraId="3D59890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92" w:type="dxa"/>
            <w:tcBorders>
              <w:top w:val="nil"/>
              <w:left w:val="nil"/>
              <w:bottom w:val="nil"/>
              <w:right w:val="nil"/>
            </w:tcBorders>
            <w:shd w:val="clear" w:color="auto" w:fill="auto"/>
            <w:noWrap/>
            <w:vAlign w:val="bottom"/>
            <w:hideMark/>
          </w:tcPr>
          <w:p w14:paraId="2EEB1F1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4" w:type="dxa"/>
            <w:tcBorders>
              <w:top w:val="nil"/>
              <w:left w:val="nil"/>
              <w:bottom w:val="nil"/>
              <w:right w:val="nil"/>
            </w:tcBorders>
            <w:shd w:val="clear" w:color="auto" w:fill="auto"/>
            <w:noWrap/>
            <w:vAlign w:val="bottom"/>
            <w:hideMark/>
          </w:tcPr>
          <w:p w14:paraId="0D13D89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0" w:type="dxa"/>
            <w:tcBorders>
              <w:top w:val="nil"/>
              <w:left w:val="nil"/>
              <w:bottom w:val="nil"/>
              <w:right w:val="nil"/>
            </w:tcBorders>
            <w:shd w:val="clear" w:color="auto" w:fill="auto"/>
            <w:noWrap/>
            <w:vAlign w:val="bottom"/>
            <w:hideMark/>
          </w:tcPr>
          <w:p w14:paraId="4D691E0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nil"/>
            </w:tcBorders>
            <w:shd w:val="clear" w:color="auto" w:fill="auto"/>
            <w:noWrap/>
            <w:vAlign w:val="bottom"/>
            <w:hideMark/>
          </w:tcPr>
          <w:p w14:paraId="54B0DD9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r>
      <w:tr w:rsidR="005D6B4A" w:rsidRPr="005D6B4A" w14:paraId="02F965DA"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29D81E47"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Common</w:t>
            </w:r>
          </w:p>
        </w:tc>
        <w:tc>
          <w:tcPr>
            <w:tcW w:w="993" w:type="dxa"/>
            <w:tcBorders>
              <w:top w:val="nil"/>
              <w:left w:val="nil"/>
              <w:bottom w:val="nil"/>
              <w:right w:val="nil"/>
            </w:tcBorders>
            <w:shd w:val="clear" w:color="auto" w:fill="auto"/>
            <w:noWrap/>
            <w:vAlign w:val="bottom"/>
            <w:hideMark/>
          </w:tcPr>
          <w:p w14:paraId="630E534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28 (25)</w:t>
            </w:r>
          </w:p>
        </w:tc>
        <w:tc>
          <w:tcPr>
            <w:tcW w:w="1985" w:type="dxa"/>
            <w:tcBorders>
              <w:top w:val="nil"/>
              <w:left w:val="nil"/>
              <w:bottom w:val="nil"/>
              <w:right w:val="nil"/>
            </w:tcBorders>
            <w:shd w:val="clear" w:color="auto" w:fill="auto"/>
            <w:noWrap/>
            <w:vAlign w:val="bottom"/>
            <w:hideMark/>
          </w:tcPr>
          <w:p w14:paraId="379E6BB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8.37 (4.21, 15.60)</w:t>
            </w:r>
          </w:p>
        </w:tc>
        <w:tc>
          <w:tcPr>
            <w:tcW w:w="1728" w:type="dxa"/>
            <w:tcBorders>
              <w:top w:val="nil"/>
              <w:left w:val="nil"/>
              <w:bottom w:val="nil"/>
              <w:right w:val="nil"/>
            </w:tcBorders>
            <w:shd w:val="clear" w:color="auto" w:fill="auto"/>
            <w:noWrap/>
            <w:vAlign w:val="bottom"/>
            <w:hideMark/>
          </w:tcPr>
          <w:p w14:paraId="539734E7"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single" w:sz="4" w:space="0" w:color="auto"/>
            </w:tcBorders>
            <w:shd w:val="clear" w:color="auto" w:fill="auto"/>
            <w:noWrap/>
            <w:vAlign w:val="bottom"/>
            <w:hideMark/>
          </w:tcPr>
          <w:p w14:paraId="6AD5718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19726D8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 (8)</w:t>
            </w:r>
          </w:p>
        </w:tc>
        <w:tc>
          <w:tcPr>
            <w:tcW w:w="1843" w:type="dxa"/>
            <w:tcBorders>
              <w:top w:val="nil"/>
              <w:left w:val="nil"/>
              <w:bottom w:val="nil"/>
              <w:right w:val="nil"/>
            </w:tcBorders>
            <w:shd w:val="clear" w:color="auto" w:fill="auto"/>
            <w:noWrap/>
            <w:vAlign w:val="bottom"/>
            <w:hideMark/>
          </w:tcPr>
          <w:p w14:paraId="55E0307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5.13 (2.80, NA)</w:t>
            </w:r>
          </w:p>
        </w:tc>
        <w:tc>
          <w:tcPr>
            <w:tcW w:w="992" w:type="dxa"/>
            <w:tcBorders>
              <w:top w:val="nil"/>
              <w:left w:val="nil"/>
              <w:bottom w:val="nil"/>
              <w:right w:val="nil"/>
            </w:tcBorders>
            <w:shd w:val="clear" w:color="auto" w:fill="auto"/>
            <w:noWrap/>
            <w:vAlign w:val="bottom"/>
            <w:hideMark/>
          </w:tcPr>
          <w:p w14:paraId="14AFA145"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18 (17)</w:t>
            </w:r>
          </w:p>
        </w:tc>
        <w:tc>
          <w:tcPr>
            <w:tcW w:w="1984" w:type="dxa"/>
            <w:tcBorders>
              <w:top w:val="nil"/>
              <w:left w:val="nil"/>
              <w:bottom w:val="nil"/>
              <w:right w:val="nil"/>
            </w:tcBorders>
            <w:shd w:val="clear" w:color="auto" w:fill="auto"/>
            <w:noWrap/>
            <w:vAlign w:val="bottom"/>
            <w:hideMark/>
          </w:tcPr>
          <w:p w14:paraId="30CA805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9.36 (4.44, 16.10)</w:t>
            </w:r>
          </w:p>
        </w:tc>
        <w:tc>
          <w:tcPr>
            <w:tcW w:w="1720" w:type="dxa"/>
            <w:tcBorders>
              <w:top w:val="nil"/>
              <w:left w:val="nil"/>
              <w:bottom w:val="nil"/>
              <w:right w:val="nil"/>
            </w:tcBorders>
            <w:shd w:val="clear" w:color="auto" w:fill="auto"/>
            <w:noWrap/>
            <w:vAlign w:val="bottom"/>
            <w:hideMark/>
          </w:tcPr>
          <w:p w14:paraId="63AABD95"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0.93 (0.40, 2.18)</w:t>
            </w:r>
          </w:p>
        </w:tc>
        <w:tc>
          <w:tcPr>
            <w:tcW w:w="840" w:type="dxa"/>
            <w:tcBorders>
              <w:top w:val="nil"/>
              <w:left w:val="nil"/>
              <w:bottom w:val="nil"/>
              <w:right w:val="nil"/>
            </w:tcBorders>
            <w:shd w:val="clear" w:color="auto" w:fill="auto"/>
            <w:noWrap/>
            <w:vAlign w:val="bottom"/>
            <w:hideMark/>
          </w:tcPr>
          <w:p w14:paraId="2837E282"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12AB9D5F"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34C520C1"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Rare</w:t>
            </w:r>
          </w:p>
        </w:tc>
        <w:tc>
          <w:tcPr>
            <w:tcW w:w="993" w:type="dxa"/>
            <w:tcBorders>
              <w:top w:val="nil"/>
              <w:left w:val="nil"/>
              <w:bottom w:val="nil"/>
              <w:right w:val="nil"/>
            </w:tcBorders>
            <w:shd w:val="clear" w:color="auto" w:fill="auto"/>
            <w:noWrap/>
            <w:vAlign w:val="bottom"/>
            <w:hideMark/>
          </w:tcPr>
          <w:p w14:paraId="09866DA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34 (30)</w:t>
            </w:r>
          </w:p>
        </w:tc>
        <w:tc>
          <w:tcPr>
            <w:tcW w:w="1985" w:type="dxa"/>
            <w:tcBorders>
              <w:top w:val="nil"/>
              <w:left w:val="nil"/>
              <w:bottom w:val="nil"/>
              <w:right w:val="nil"/>
            </w:tcBorders>
            <w:shd w:val="clear" w:color="auto" w:fill="auto"/>
            <w:noWrap/>
            <w:vAlign w:val="bottom"/>
            <w:hideMark/>
          </w:tcPr>
          <w:p w14:paraId="052A3D0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8.49 (5.07, 12.3)</w:t>
            </w:r>
          </w:p>
        </w:tc>
        <w:tc>
          <w:tcPr>
            <w:tcW w:w="1728" w:type="dxa"/>
            <w:tcBorders>
              <w:top w:val="nil"/>
              <w:left w:val="nil"/>
              <w:bottom w:val="nil"/>
              <w:right w:val="nil"/>
            </w:tcBorders>
            <w:shd w:val="clear" w:color="auto" w:fill="auto"/>
            <w:noWrap/>
            <w:vAlign w:val="bottom"/>
            <w:hideMark/>
          </w:tcPr>
          <w:p w14:paraId="4072D07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1.10 (0.64, 1.88)</w:t>
            </w:r>
          </w:p>
        </w:tc>
        <w:tc>
          <w:tcPr>
            <w:tcW w:w="840" w:type="dxa"/>
            <w:tcBorders>
              <w:top w:val="nil"/>
              <w:left w:val="nil"/>
              <w:bottom w:val="nil"/>
              <w:right w:val="single" w:sz="4" w:space="0" w:color="auto"/>
            </w:tcBorders>
            <w:shd w:val="clear" w:color="auto" w:fill="auto"/>
            <w:noWrap/>
            <w:vAlign w:val="bottom"/>
            <w:hideMark/>
          </w:tcPr>
          <w:p w14:paraId="0FB51AB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31CD8C2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17 (14)</w:t>
            </w:r>
          </w:p>
        </w:tc>
        <w:tc>
          <w:tcPr>
            <w:tcW w:w="1843" w:type="dxa"/>
            <w:tcBorders>
              <w:top w:val="nil"/>
              <w:left w:val="nil"/>
              <w:bottom w:val="nil"/>
              <w:right w:val="nil"/>
            </w:tcBorders>
            <w:shd w:val="clear" w:color="auto" w:fill="auto"/>
            <w:noWrap/>
            <w:vAlign w:val="bottom"/>
            <w:hideMark/>
          </w:tcPr>
          <w:p w14:paraId="3586B98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9.24 (5.07, NA)</w:t>
            </w:r>
          </w:p>
        </w:tc>
        <w:tc>
          <w:tcPr>
            <w:tcW w:w="992" w:type="dxa"/>
            <w:tcBorders>
              <w:top w:val="nil"/>
              <w:left w:val="nil"/>
              <w:bottom w:val="nil"/>
              <w:right w:val="nil"/>
            </w:tcBorders>
            <w:shd w:val="clear" w:color="auto" w:fill="auto"/>
            <w:noWrap/>
            <w:vAlign w:val="bottom"/>
            <w:hideMark/>
          </w:tcPr>
          <w:p w14:paraId="0C88C94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17 (16)</w:t>
            </w:r>
          </w:p>
        </w:tc>
        <w:tc>
          <w:tcPr>
            <w:tcW w:w="1984" w:type="dxa"/>
            <w:tcBorders>
              <w:top w:val="nil"/>
              <w:left w:val="nil"/>
              <w:bottom w:val="nil"/>
              <w:right w:val="nil"/>
            </w:tcBorders>
            <w:shd w:val="clear" w:color="auto" w:fill="auto"/>
            <w:noWrap/>
            <w:vAlign w:val="bottom"/>
            <w:hideMark/>
          </w:tcPr>
          <w:p w14:paraId="769DD8E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7.70 (4.54, 12.40)</w:t>
            </w:r>
          </w:p>
        </w:tc>
        <w:tc>
          <w:tcPr>
            <w:tcW w:w="1720" w:type="dxa"/>
            <w:tcBorders>
              <w:top w:val="nil"/>
              <w:left w:val="nil"/>
              <w:bottom w:val="nil"/>
              <w:right w:val="nil"/>
            </w:tcBorders>
            <w:shd w:val="clear" w:color="auto" w:fill="auto"/>
            <w:noWrap/>
            <w:vAlign w:val="bottom"/>
            <w:hideMark/>
          </w:tcPr>
          <w:p w14:paraId="2097977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1.57 (0.73, 3.35)</w:t>
            </w:r>
          </w:p>
        </w:tc>
        <w:tc>
          <w:tcPr>
            <w:tcW w:w="840" w:type="dxa"/>
            <w:tcBorders>
              <w:top w:val="nil"/>
              <w:left w:val="nil"/>
              <w:bottom w:val="nil"/>
              <w:right w:val="nil"/>
            </w:tcBorders>
            <w:shd w:val="clear" w:color="auto" w:fill="auto"/>
            <w:noWrap/>
            <w:vAlign w:val="bottom"/>
            <w:hideMark/>
          </w:tcPr>
          <w:p w14:paraId="7299D5CA"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65E6190D" w14:textId="77777777" w:rsidTr="00852B05">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5CC10A12"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Hetero.</w:t>
            </w:r>
          </w:p>
        </w:tc>
        <w:tc>
          <w:tcPr>
            <w:tcW w:w="993" w:type="dxa"/>
            <w:tcBorders>
              <w:top w:val="nil"/>
              <w:left w:val="nil"/>
              <w:bottom w:val="single" w:sz="4" w:space="0" w:color="auto"/>
              <w:right w:val="nil"/>
            </w:tcBorders>
            <w:shd w:val="clear" w:color="auto" w:fill="auto"/>
            <w:noWrap/>
            <w:vAlign w:val="bottom"/>
            <w:hideMark/>
          </w:tcPr>
          <w:p w14:paraId="74AC361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66 (64)</w:t>
            </w:r>
          </w:p>
        </w:tc>
        <w:tc>
          <w:tcPr>
            <w:tcW w:w="1985" w:type="dxa"/>
            <w:tcBorders>
              <w:top w:val="nil"/>
              <w:left w:val="nil"/>
              <w:bottom w:val="single" w:sz="4" w:space="0" w:color="auto"/>
              <w:right w:val="nil"/>
            </w:tcBorders>
            <w:shd w:val="clear" w:color="auto" w:fill="auto"/>
            <w:noWrap/>
            <w:vAlign w:val="bottom"/>
            <w:hideMark/>
          </w:tcPr>
          <w:p w14:paraId="0DA4239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10.10 (8.16, 12.7)</w:t>
            </w:r>
          </w:p>
        </w:tc>
        <w:tc>
          <w:tcPr>
            <w:tcW w:w="1728" w:type="dxa"/>
            <w:tcBorders>
              <w:top w:val="nil"/>
              <w:left w:val="nil"/>
              <w:bottom w:val="single" w:sz="4" w:space="0" w:color="auto"/>
              <w:right w:val="nil"/>
            </w:tcBorders>
            <w:shd w:val="clear" w:color="auto" w:fill="auto"/>
            <w:noWrap/>
            <w:vAlign w:val="bottom"/>
            <w:hideMark/>
          </w:tcPr>
          <w:p w14:paraId="6CF62ED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1.06 (0.66, 1.69)</w:t>
            </w:r>
          </w:p>
        </w:tc>
        <w:tc>
          <w:tcPr>
            <w:tcW w:w="840" w:type="dxa"/>
            <w:tcBorders>
              <w:top w:val="nil"/>
              <w:left w:val="nil"/>
              <w:bottom w:val="single" w:sz="4" w:space="0" w:color="auto"/>
              <w:right w:val="single" w:sz="4" w:space="0" w:color="auto"/>
            </w:tcBorders>
            <w:shd w:val="clear" w:color="auto" w:fill="auto"/>
            <w:noWrap/>
            <w:vAlign w:val="bottom"/>
            <w:hideMark/>
          </w:tcPr>
          <w:p w14:paraId="3B70104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0.947</w:t>
            </w:r>
          </w:p>
        </w:tc>
        <w:tc>
          <w:tcPr>
            <w:tcW w:w="975" w:type="dxa"/>
            <w:tcBorders>
              <w:top w:val="nil"/>
              <w:left w:val="nil"/>
              <w:bottom w:val="single" w:sz="4" w:space="0" w:color="auto"/>
              <w:right w:val="nil"/>
            </w:tcBorders>
            <w:shd w:val="clear" w:color="auto" w:fill="auto"/>
            <w:noWrap/>
            <w:vAlign w:val="bottom"/>
            <w:hideMark/>
          </w:tcPr>
          <w:p w14:paraId="552C43C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33 (31)</w:t>
            </w:r>
          </w:p>
        </w:tc>
        <w:tc>
          <w:tcPr>
            <w:tcW w:w="1843" w:type="dxa"/>
            <w:tcBorders>
              <w:top w:val="nil"/>
              <w:left w:val="nil"/>
              <w:bottom w:val="single" w:sz="4" w:space="0" w:color="auto"/>
              <w:right w:val="nil"/>
            </w:tcBorders>
            <w:shd w:val="clear" w:color="auto" w:fill="auto"/>
            <w:noWrap/>
            <w:vAlign w:val="bottom"/>
            <w:hideMark/>
          </w:tcPr>
          <w:p w14:paraId="1E315C6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9.64 (7.50, 13.0)</w:t>
            </w:r>
          </w:p>
        </w:tc>
        <w:tc>
          <w:tcPr>
            <w:tcW w:w="992" w:type="dxa"/>
            <w:tcBorders>
              <w:top w:val="nil"/>
              <w:left w:val="nil"/>
              <w:bottom w:val="single" w:sz="4" w:space="0" w:color="auto"/>
              <w:right w:val="nil"/>
            </w:tcBorders>
            <w:shd w:val="clear" w:color="auto" w:fill="auto"/>
            <w:noWrap/>
            <w:vAlign w:val="bottom"/>
            <w:hideMark/>
          </w:tcPr>
          <w:p w14:paraId="66B186F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33 (33)</w:t>
            </w:r>
          </w:p>
        </w:tc>
        <w:tc>
          <w:tcPr>
            <w:tcW w:w="1984" w:type="dxa"/>
            <w:tcBorders>
              <w:top w:val="nil"/>
              <w:left w:val="nil"/>
              <w:bottom w:val="single" w:sz="4" w:space="0" w:color="auto"/>
              <w:right w:val="nil"/>
            </w:tcBorders>
            <w:shd w:val="clear" w:color="auto" w:fill="auto"/>
            <w:noWrap/>
            <w:vAlign w:val="bottom"/>
            <w:hideMark/>
          </w:tcPr>
          <w:p w14:paraId="4394C05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11.15 (7.83, 13.00)</w:t>
            </w:r>
          </w:p>
        </w:tc>
        <w:tc>
          <w:tcPr>
            <w:tcW w:w="1720" w:type="dxa"/>
            <w:tcBorders>
              <w:top w:val="nil"/>
              <w:left w:val="nil"/>
              <w:bottom w:val="single" w:sz="4" w:space="0" w:color="auto"/>
              <w:right w:val="nil"/>
            </w:tcBorders>
            <w:shd w:val="clear" w:color="auto" w:fill="auto"/>
            <w:noWrap/>
            <w:vAlign w:val="bottom"/>
            <w:hideMark/>
          </w:tcPr>
          <w:p w14:paraId="3CA3FCC2"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1.08 (0.66, 1.78)</w:t>
            </w:r>
          </w:p>
        </w:tc>
        <w:tc>
          <w:tcPr>
            <w:tcW w:w="840" w:type="dxa"/>
            <w:tcBorders>
              <w:top w:val="nil"/>
              <w:left w:val="nil"/>
              <w:bottom w:val="single" w:sz="4" w:space="0" w:color="auto"/>
              <w:right w:val="nil"/>
            </w:tcBorders>
            <w:shd w:val="clear" w:color="auto" w:fill="auto"/>
            <w:noWrap/>
            <w:vAlign w:val="bottom"/>
            <w:hideMark/>
          </w:tcPr>
          <w:p w14:paraId="7A2483E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0.74</w:t>
            </w:r>
          </w:p>
        </w:tc>
      </w:tr>
      <w:tr w:rsidR="005D6B4A" w:rsidRPr="005D6B4A" w14:paraId="1B4D8D85" w14:textId="77777777" w:rsidTr="00852B05">
        <w:trPr>
          <w:trHeight w:val="300"/>
        </w:trPr>
        <w:tc>
          <w:tcPr>
            <w:tcW w:w="2127" w:type="dxa"/>
            <w:tcBorders>
              <w:top w:val="nil"/>
              <w:left w:val="nil"/>
              <w:bottom w:val="nil"/>
              <w:right w:val="single" w:sz="4" w:space="0" w:color="auto"/>
            </w:tcBorders>
            <w:shd w:val="clear" w:color="auto" w:fill="auto"/>
            <w:noWrap/>
            <w:vAlign w:val="center"/>
            <w:hideMark/>
          </w:tcPr>
          <w:p w14:paraId="475BEE99" w14:textId="700EA9B6" w:rsidR="005D6B4A" w:rsidRPr="00852B05" w:rsidRDefault="00852B05" w:rsidP="005D6B4A">
            <w:pPr>
              <w:rPr>
                <w:rFonts w:ascii="Calibri" w:eastAsia="Times New Roman" w:hAnsi="Calibri" w:cs="Times New Roman"/>
                <w:b/>
                <w:bCs/>
                <w:color w:val="000000"/>
                <w:sz w:val="22"/>
                <w:szCs w:val="22"/>
                <w:lang w:val="en-GB"/>
              </w:rPr>
            </w:pPr>
            <w:r w:rsidRPr="00852B05">
              <w:rPr>
                <w:rFonts w:asciiTheme="majorHAnsi" w:hAnsiTheme="majorHAnsi" w:cs="Lucida Grande"/>
                <w:b/>
                <w:color w:val="000000"/>
                <w:sz w:val="22"/>
                <w:szCs w:val="22"/>
              </w:rPr>
              <w:t>VEGFA rs699947</w:t>
            </w:r>
          </w:p>
        </w:tc>
        <w:tc>
          <w:tcPr>
            <w:tcW w:w="993" w:type="dxa"/>
            <w:tcBorders>
              <w:top w:val="nil"/>
              <w:left w:val="nil"/>
              <w:bottom w:val="nil"/>
              <w:right w:val="nil"/>
            </w:tcBorders>
            <w:shd w:val="clear" w:color="auto" w:fill="auto"/>
            <w:noWrap/>
            <w:vAlign w:val="bottom"/>
            <w:hideMark/>
          </w:tcPr>
          <w:p w14:paraId="2CDD4C7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5" w:type="dxa"/>
            <w:tcBorders>
              <w:top w:val="nil"/>
              <w:left w:val="nil"/>
              <w:bottom w:val="nil"/>
              <w:right w:val="nil"/>
            </w:tcBorders>
            <w:shd w:val="clear" w:color="auto" w:fill="auto"/>
            <w:noWrap/>
            <w:vAlign w:val="bottom"/>
            <w:hideMark/>
          </w:tcPr>
          <w:p w14:paraId="40CBEFE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8" w:type="dxa"/>
            <w:tcBorders>
              <w:top w:val="nil"/>
              <w:left w:val="nil"/>
              <w:bottom w:val="nil"/>
              <w:right w:val="nil"/>
            </w:tcBorders>
            <w:shd w:val="clear" w:color="auto" w:fill="auto"/>
            <w:noWrap/>
            <w:vAlign w:val="bottom"/>
            <w:hideMark/>
          </w:tcPr>
          <w:p w14:paraId="6ABFA6B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single" w:sz="4" w:space="0" w:color="auto"/>
            </w:tcBorders>
            <w:shd w:val="clear" w:color="auto" w:fill="auto"/>
            <w:noWrap/>
            <w:vAlign w:val="bottom"/>
            <w:hideMark/>
          </w:tcPr>
          <w:p w14:paraId="556AC77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7C73010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843" w:type="dxa"/>
            <w:tcBorders>
              <w:top w:val="nil"/>
              <w:left w:val="nil"/>
              <w:bottom w:val="nil"/>
              <w:right w:val="nil"/>
            </w:tcBorders>
            <w:shd w:val="clear" w:color="auto" w:fill="auto"/>
            <w:noWrap/>
            <w:vAlign w:val="bottom"/>
            <w:hideMark/>
          </w:tcPr>
          <w:p w14:paraId="62FBAA2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92" w:type="dxa"/>
            <w:tcBorders>
              <w:top w:val="nil"/>
              <w:left w:val="nil"/>
              <w:bottom w:val="nil"/>
              <w:right w:val="nil"/>
            </w:tcBorders>
            <w:shd w:val="clear" w:color="auto" w:fill="auto"/>
            <w:noWrap/>
            <w:vAlign w:val="bottom"/>
            <w:hideMark/>
          </w:tcPr>
          <w:p w14:paraId="6BBCA6E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4" w:type="dxa"/>
            <w:tcBorders>
              <w:top w:val="nil"/>
              <w:left w:val="nil"/>
              <w:bottom w:val="nil"/>
              <w:right w:val="nil"/>
            </w:tcBorders>
            <w:shd w:val="clear" w:color="auto" w:fill="auto"/>
            <w:noWrap/>
            <w:vAlign w:val="bottom"/>
            <w:hideMark/>
          </w:tcPr>
          <w:p w14:paraId="3F5C30A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0" w:type="dxa"/>
            <w:tcBorders>
              <w:top w:val="nil"/>
              <w:left w:val="nil"/>
              <w:bottom w:val="nil"/>
              <w:right w:val="nil"/>
            </w:tcBorders>
            <w:shd w:val="clear" w:color="auto" w:fill="auto"/>
            <w:noWrap/>
            <w:vAlign w:val="bottom"/>
            <w:hideMark/>
          </w:tcPr>
          <w:p w14:paraId="4EC45CC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nil"/>
            </w:tcBorders>
            <w:shd w:val="clear" w:color="auto" w:fill="auto"/>
            <w:noWrap/>
            <w:vAlign w:val="bottom"/>
            <w:hideMark/>
          </w:tcPr>
          <w:p w14:paraId="5E270DE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r>
      <w:tr w:rsidR="005D6B4A" w:rsidRPr="005D6B4A" w14:paraId="485F1F9C"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093AF40C"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Common</w:t>
            </w:r>
          </w:p>
        </w:tc>
        <w:tc>
          <w:tcPr>
            <w:tcW w:w="993" w:type="dxa"/>
            <w:tcBorders>
              <w:top w:val="nil"/>
              <w:left w:val="nil"/>
              <w:bottom w:val="nil"/>
              <w:right w:val="nil"/>
            </w:tcBorders>
            <w:shd w:val="clear" w:color="auto" w:fill="auto"/>
            <w:noWrap/>
            <w:vAlign w:val="bottom"/>
            <w:hideMark/>
          </w:tcPr>
          <w:p w14:paraId="35B123D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32 (31)</w:t>
            </w:r>
          </w:p>
        </w:tc>
        <w:tc>
          <w:tcPr>
            <w:tcW w:w="1985" w:type="dxa"/>
            <w:tcBorders>
              <w:top w:val="nil"/>
              <w:left w:val="nil"/>
              <w:bottom w:val="nil"/>
              <w:right w:val="nil"/>
            </w:tcBorders>
            <w:shd w:val="clear" w:color="auto" w:fill="auto"/>
            <w:noWrap/>
            <w:vAlign w:val="bottom"/>
            <w:hideMark/>
          </w:tcPr>
          <w:p w14:paraId="67B89A6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8.85 (7.50, 12.10)</w:t>
            </w:r>
          </w:p>
        </w:tc>
        <w:tc>
          <w:tcPr>
            <w:tcW w:w="1728" w:type="dxa"/>
            <w:tcBorders>
              <w:top w:val="nil"/>
              <w:left w:val="nil"/>
              <w:bottom w:val="nil"/>
              <w:right w:val="nil"/>
            </w:tcBorders>
            <w:shd w:val="clear" w:color="auto" w:fill="auto"/>
            <w:noWrap/>
            <w:vAlign w:val="bottom"/>
            <w:hideMark/>
          </w:tcPr>
          <w:p w14:paraId="3008ADE6"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single" w:sz="4" w:space="0" w:color="auto"/>
            </w:tcBorders>
            <w:shd w:val="clear" w:color="auto" w:fill="auto"/>
            <w:noWrap/>
            <w:vAlign w:val="bottom"/>
            <w:hideMark/>
          </w:tcPr>
          <w:p w14:paraId="58041EC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311DAA6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 (10)</w:t>
            </w:r>
          </w:p>
        </w:tc>
        <w:tc>
          <w:tcPr>
            <w:tcW w:w="1843" w:type="dxa"/>
            <w:tcBorders>
              <w:top w:val="nil"/>
              <w:left w:val="nil"/>
              <w:bottom w:val="nil"/>
              <w:right w:val="nil"/>
            </w:tcBorders>
            <w:shd w:val="clear" w:color="auto" w:fill="auto"/>
            <w:noWrap/>
            <w:vAlign w:val="bottom"/>
            <w:hideMark/>
          </w:tcPr>
          <w:p w14:paraId="5A1F4A1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8.95 (6.35, NA)</w:t>
            </w:r>
          </w:p>
        </w:tc>
        <w:tc>
          <w:tcPr>
            <w:tcW w:w="992" w:type="dxa"/>
            <w:tcBorders>
              <w:top w:val="nil"/>
              <w:left w:val="nil"/>
              <w:bottom w:val="nil"/>
              <w:right w:val="nil"/>
            </w:tcBorders>
            <w:shd w:val="clear" w:color="auto" w:fill="auto"/>
            <w:noWrap/>
            <w:vAlign w:val="bottom"/>
            <w:hideMark/>
          </w:tcPr>
          <w:p w14:paraId="7D6B682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21 (21)</w:t>
            </w:r>
          </w:p>
        </w:tc>
        <w:tc>
          <w:tcPr>
            <w:tcW w:w="1984" w:type="dxa"/>
            <w:tcBorders>
              <w:top w:val="nil"/>
              <w:left w:val="nil"/>
              <w:bottom w:val="nil"/>
              <w:right w:val="nil"/>
            </w:tcBorders>
            <w:shd w:val="clear" w:color="auto" w:fill="auto"/>
            <w:noWrap/>
            <w:vAlign w:val="bottom"/>
            <w:hideMark/>
          </w:tcPr>
          <w:p w14:paraId="1C8727F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8.75 (5.79, 12.70)</w:t>
            </w:r>
          </w:p>
        </w:tc>
        <w:tc>
          <w:tcPr>
            <w:tcW w:w="1720" w:type="dxa"/>
            <w:tcBorders>
              <w:top w:val="nil"/>
              <w:left w:val="nil"/>
              <w:bottom w:val="nil"/>
              <w:right w:val="nil"/>
            </w:tcBorders>
            <w:shd w:val="clear" w:color="auto" w:fill="auto"/>
            <w:noWrap/>
            <w:vAlign w:val="bottom"/>
            <w:hideMark/>
          </w:tcPr>
          <w:p w14:paraId="0814DE0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1.05 (0.49, 2.27)</w:t>
            </w:r>
          </w:p>
        </w:tc>
        <w:tc>
          <w:tcPr>
            <w:tcW w:w="840" w:type="dxa"/>
            <w:tcBorders>
              <w:top w:val="nil"/>
              <w:left w:val="nil"/>
              <w:bottom w:val="nil"/>
              <w:right w:val="nil"/>
            </w:tcBorders>
            <w:shd w:val="clear" w:color="auto" w:fill="auto"/>
            <w:noWrap/>
            <w:vAlign w:val="bottom"/>
            <w:hideMark/>
          </w:tcPr>
          <w:p w14:paraId="2395E42C"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69BF1595"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044C8349"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Rare</w:t>
            </w:r>
          </w:p>
        </w:tc>
        <w:tc>
          <w:tcPr>
            <w:tcW w:w="993" w:type="dxa"/>
            <w:tcBorders>
              <w:top w:val="nil"/>
              <w:left w:val="nil"/>
              <w:bottom w:val="nil"/>
              <w:right w:val="nil"/>
            </w:tcBorders>
            <w:shd w:val="clear" w:color="auto" w:fill="auto"/>
            <w:noWrap/>
            <w:vAlign w:val="bottom"/>
            <w:hideMark/>
          </w:tcPr>
          <w:p w14:paraId="0655324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40 (37)</w:t>
            </w:r>
          </w:p>
        </w:tc>
        <w:tc>
          <w:tcPr>
            <w:tcW w:w="1985" w:type="dxa"/>
            <w:tcBorders>
              <w:top w:val="nil"/>
              <w:left w:val="nil"/>
              <w:bottom w:val="nil"/>
              <w:right w:val="nil"/>
            </w:tcBorders>
            <w:shd w:val="clear" w:color="auto" w:fill="auto"/>
            <w:noWrap/>
            <w:vAlign w:val="bottom"/>
            <w:hideMark/>
          </w:tcPr>
          <w:p w14:paraId="0D77A95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7.98 (4.38, 10.90)</w:t>
            </w:r>
          </w:p>
        </w:tc>
        <w:tc>
          <w:tcPr>
            <w:tcW w:w="1728" w:type="dxa"/>
            <w:tcBorders>
              <w:top w:val="nil"/>
              <w:left w:val="nil"/>
              <w:bottom w:val="nil"/>
              <w:right w:val="nil"/>
            </w:tcBorders>
            <w:shd w:val="clear" w:color="auto" w:fill="auto"/>
            <w:noWrap/>
            <w:vAlign w:val="bottom"/>
            <w:hideMark/>
          </w:tcPr>
          <w:p w14:paraId="42A726C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0.88 (0.54, 1.42)</w:t>
            </w:r>
          </w:p>
        </w:tc>
        <w:tc>
          <w:tcPr>
            <w:tcW w:w="840" w:type="dxa"/>
            <w:tcBorders>
              <w:top w:val="nil"/>
              <w:left w:val="nil"/>
              <w:bottom w:val="nil"/>
              <w:right w:val="single" w:sz="4" w:space="0" w:color="auto"/>
            </w:tcBorders>
            <w:shd w:val="clear" w:color="auto" w:fill="auto"/>
            <w:noWrap/>
            <w:vAlign w:val="bottom"/>
            <w:hideMark/>
          </w:tcPr>
          <w:p w14:paraId="2187431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5D247B1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21 (19)</w:t>
            </w:r>
          </w:p>
        </w:tc>
        <w:tc>
          <w:tcPr>
            <w:tcW w:w="1843" w:type="dxa"/>
            <w:tcBorders>
              <w:top w:val="nil"/>
              <w:left w:val="nil"/>
              <w:bottom w:val="nil"/>
              <w:right w:val="nil"/>
            </w:tcBorders>
            <w:shd w:val="clear" w:color="auto" w:fill="auto"/>
            <w:noWrap/>
            <w:vAlign w:val="bottom"/>
            <w:hideMark/>
          </w:tcPr>
          <w:p w14:paraId="5B9285E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9.24 (4.38, 13.0)</w:t>
            </w:r>
          </w:p>
        </w:tc>
        <w:tc>
          <w:tcPr>
            <w:tcW w:w="992" w:type="dxa"/>
            <w:tcBorders>
              <w:top w:val="nil"/>
              <w:left w:val="nil"/>
              <w:bottom w:val="nil"/>
              <w:right w:val="nil"/>
            </w:tcBorders>
            <w:shd w:val="clear" w:color="auto" w:fill="auto"/>
            <w:noWrap/>
            <w:vAlign w:val="bottom"/>
            <w:hideMark/>
          </w:tcPr>
          <w:p w14:paraId="1F28E93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19 (18)</w:t>
            </w:r>
          </w:p>
        </w:tc>
        <w:tc>
          <w:tcPr>
            <w:tcW w:w="1984" w:type="dxa"/>
            <w:tcBorders>
              <w:top w:val="nil"/>
              <w:left w:val="nil"/>
              <w:bottom w:val="nil"/>
              <w:right w:val="nil"/>
            </w:tcBorders>
            <w:shd w:val="clear" w:color="auto" w:fill="auto"/>
            <w:noWrap/>
            <w:vAlign w:val="bottom"/>
            <w:hideMark/>
          </w:tcPr>
          <w:p w14:paraId="7F885A3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7.40 (4.11, 19.10)</w:t>
            </w:r>
          </w:p>
        </w:tc>
        <w:tc>
          <w:tcPr>
            <w:tcW w:w="1720" w:type="dxa"/>
            <w:tcBorders>
              <w:top w:val="nil"/>
              <w:left w:val="nil"/>
              <w:bottom w:val="nil"/>
              <w:right w:val="nil"/>
            </w:tcBorders>
            <w:shd w:val="clear" w:color="auto" w:fill="auto"/>
            <w:noWrap/>
            <w:vAlign w:val="bottom"/>
            <w:hideMark/>
          </w:tcPr>
          <w:p w14:paraId="2CFAE64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1.04 (0.55, 1.99)</w:t>
            </w:r>
          </w:p>
        </w:tc>
        <w:tc>
          <w:tcPr>
            <w:tcW w:w="840" w:type="dxa"/>
            <w:tcBorders>
              <w:top w:val="nil"/>
              <w:left w:val="nil"/>
              <w:bottom w:val="nil"/>
              <w:right w:val="nil"/>
            </w:tcBorders>
            <w:shd w:val="clear" w:color="auto" w:fill="auto"/>
            <w:noWrap/>
            <w:vAlign w:val="bottom"/>
            <w:hideMark/>
          </w:tcPr>
          <w:p w14:paraId="305FE41E"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4CF5D7B9" w14:textId="77777777" w:rsidTr="00852B05">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62ABE84B"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Hetero.</w:t>
            </w:r>
          </w:p>
        </w:tc>
        <w:tc>
          <w:tcPr>
            <w:tcW w:w="993" w:type="dxa"/>
            <w:tcBorders>
              <w:top w:val="nil"/>
              <w:left w:val="nil"/>
              <w:bottom w:val="single" w:sz="4" w:space="0" w:color="auto"/>
              <w:right w:val="nil"/>
            </w:tcBorders>
            <w:shd w:val="clear" w:color="auto" w:fill="auto"/>
            <w:noWrap/>
            <w:vAlign w:val="bottom"/>
            <w:hideMark/>
          </w:tcPr>
          <w:p w14:paraId="77FB660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56 (51)</w:t>
            </w:r>
          </w:p>
        </w:tc>
        <w:tc>
          <w:tcPr>
            <w:tcW w:w="1985" w:type="dxa"/>
            <w:tcBorders>
              <w:top w:val="nil"/>
              <w:left w:val="nil"/>
              <w:bottom w:val="single" w:sz="4" w:space="0" w:color="auto"/>
              <w:right w:val="nil"/>
            </w:tcBorders>
            <w:shd w:val="clear" w:color="auto" w:fill="auto"/>
            <w:noWrap/>
            <w:vAlign w:val="bottom"/>
            <w:hideMark/>
          </w:tcPr>
          <w:p w14:paraId="0286F4A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11.58 (8.03, 15.60)</w:t>
            </w:r>
          </w:p>
        </w:tc>
        <w:tc>
          <w:tcPr>
            <w:tcW w:w="1728" w:type="dxa"/>
            <w:tcBorders>
              <w:top w:val="nil"/>
              <w:left w:val="nil"/>
              <w:bottom w:val="single" w:sz="4" w:space="0" w:color="auto"/>
              <w:right w:val="nil"/>
            </w:tcBorders>
            <w:shd w:val="clear" w:color="auto" w:fill="auto"/>
            <w:noWrap/>
            <w:vAlign w:val="bottom"/>
            <w:hideMark/>
          </w:tcPr>
          <w:p w14:paraId="0E63EB0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0.70 (0.435, 1.11)</w:t>
            </w:r>
          </w:p>
        </w:tc>
        <w:tc>
          <w:tcPr>
            <w:tcW w:w="840" w:type="dxa"/>
            <w:tcBorders>
              <w:top w:val="nil"/>
              <w:left w:val="nil"/>
              <w:bottom w:val="single" w:sz="4" w:space="0" w:color="auto"/>
              <w:right w:val="single" w:sz="4" w:space="0" w:color="auto"/>
            </w:tcBorders>
            <w:shd w:val="clear" w:color="auto" w:fill="auto"/>
            <w:noWrap/>
            <w:vAlign w:val="bottom"/>
            <w:hideMark/>
          </w:tcPr>
          <w:p w14:paraId="2A3D49C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0.289</w:t>
            </w:r>
          </w:p>
        </w:tc>
        <w:tc>
          <w:tcPr>
            <w:tcW w:w="975" w:type="dxa"/>
            <w:tcBorders>
              <w:top w:val="nil"/>
              <w:left w:val="nil"/>
              <w:bottom w:val="single" w:sz="4" w:space="0" w:color="auto"/>
              <w:right w:val="nil"/>
            </w:tcBorders>
            <w:shd w:val="clear" w:color="auto" w:fill="auto"/>
            <w:noWrap/>
            <w:vAlign w:val="bottom"/>
            <w:hideMark/>
          </w:tcPr>
          <w:p w14:paraId="0C4387D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28 (24)</w:t>
            </w:r>
          </w:p>
        </w:tc>
        <w:tc>
          <w:tcPr>
            <w:tcW w:w="1843" w:type="dxa"/>
            <w:tcBorders>
              <w:top w:val="nil"/>
              <w:left w:val="nil"/>
              <w:bottom w:val="single" w:sz="4" w:space="0" w:color="auto"/>
              <w:right w:val="nil"/>
            </w:tcBorders>
            <w:shd w:val="clear" w:color="auto" w:fill="auto"/>
            <w:noWrap/>
            <w:vAlign w:val="bottom"/>
            <w:hideMark/>
          </w:tcPr>
          <w:p w14:paraId="15C03B2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9.38 (5.07, 18.7)</w:t>
            </w:r>
          </w:p>
        </w:tc>
        <w:tc>
          <w:tcPr>
            <w:tcW w:w="992" w:type="dxa"/>
            <w:tcBorders>
              <w:top w:val="nil"/>
              <w:left w:val="nil"/>
              <w:bottom w:val="single" w:sz="4" w:space="0" w:color="auto"/>
              <w:right w:val="nil"/>
            </w:tcBorders>
            <w:shd w:val="clear" w:color="auto" w:fill="auto"/>
            <w:noWrap/>
            <w:vAlign w:val="bottom"/>
            <w:hideMark/>
          </w:tcPr>
          <w:p w14:paraId="0AAAD39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28 (27)</w:t>
            </w:r>
          </w:p>
        </w:tc>
        <w:tc>
          <w:tcPr>
            <w:tcW w:w="1984" w:type="dxa"/>
            <w:tcBorders>
              <w:top w:val="nil"/>
              <w:left w:val="nil"/>
              <w:bottom w:val="single" w:sz="4" w:space="0" w:color="auto"/>
              <w:right w:val="nil"/>
            </w:tcBorders>
            <w:shd w:val="clear" w:color="auto" w:fill="auto"/>
            <w:noWrap/>
            <w:vAlign w:val="bottom"/>
            <w:hideMark/>
          </w:tcPr>
          <w:p w14:paraId="5683073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11.92 (7.70, 15.70)</w:t>
            </w:r>
          </w:p>
        </w:tc>
        <w:tc>
          <w:tcPr>
            <w:tcW w:w="1720" w:type="dxa"/>
            <w:tcBorders>
              <w:top w:val="nil"/>
              <w:left w:val="nil"/>
              <w:bottom w:val="single" w:sz="4" w:space="0" w:color="auto"/>
              <w:right w:val="nil"/>
            </w:tcBorders>
            <w:shd w:val="clear" w:color="auto" w:fill="auto"/>
            <w:noWrap/>
            <w:vAlign w:val="bottom"/>
            <w:hideMark/>
          </w:tcPr>
          <w:p w14:paraId="7BB8A2E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1.28 (0.73, 2.25)</w:t>
            </w:r>
          </w:p>
        </w:tc>
        <w:tc>
          <w:tcPr>
            <w:tcW w:w="840" w:type="dxa"/>
            <w:tcBorders>
              <w:top w:val="nil"/>
              <w:left w:val="nil"/>
              <w:bottom w:val="single" w:sz="4" w:space="0" w:color="auto"/>
              <w:right w:val="nil"/>
            </w:tcBorders>
            <w:shd w:val="clear" w:color="auto" w:fill="auto"/>
            <w:noWrap/>
            <w:vAlign w:val="bottom"/>
            <w:hideMark/>
          </w:tcPr>
          <w:p w14:paraId="754E03D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0.98</w:t>
            </w:r>
          </w:p>
        </w:tc>
      </w:tr>
      <w:tr w:rsidR="005D6B4A" w:rsidRPr="005D6B4A" w14:paraId="5A5CAAF1" w14:textId="77777777" w:rsidTr="00852B05">
        <w:trPr>
          <w:trHeight w:val="300"/>
        </w:trPr>
        <w:tc>
          <w:tcPr>
            <w:tcW w:w="2127" w:type="dxa"/>
            <w:tcBorders>
              <w:top w:val="nil"/>
              <w:left w:val="nil"/>
              <w:bottom w:val="nil"/>
              <w:right w:val="single" w:sz="4" w:space="0" w:color="auto"/>
            </w:tcBorders>
            <w:shd w:val="clear" w:color="auto" w:fill="auto"/>
            <w:noWrap/>
            <w:vAlign w:val="center"/>
            <w:hideMark/>
          </w:tcPr>
          <w:p w14:paraId="0E61A9DA" w14:textId="11033F70" w:rsidR="005D6B4A" w:rsidRPr="00852B05" w:rsidRDefault="00852B05" w:rsidP="005D6B4A">
            <w:pPr>
              <w:rPr>
                <w:rFonts w:ascii="Calibri" w:eastAsia="Times New Roman" w:hAnsi="Calibri" w:cs="Times New Roman"/>
                <w:b/>
                <w:bCs/>
                <w:color w:val="000000"/>
                <w:sz w:val="20"/>
                <w:szCs w:val="20"/>
                <w:lang w:val="en-GB"/>
              </w:rPr>
            </w:pPr>
            <w:r>
              <w:rPr>
                <w:rFonts w:asciiTheme="majorHAnsi" w:hAnsiTheme="majorHAnsi" w:cs="Lucida Grande"/>
                <w:b/>
                <w:color w:val="000000"/>
                <w:sz w:val="20"/>
                <w:szCs w:val="20"/>
              </w:rPr>
              <w:t xml:space="preserve">VEGF (FLT1) </w:t>
            </w:r>
            <w:r w:rsidRPr="00852B05">
              <w:rPr>
                <w:rFonts w:asciiTheme="majorHAnsi" w:hAnsiTheme="majorHAnsi" w:cs="Lucida Grande"/>
                <w:b/>
                <w:color w:val="000000"/>
                <w:sz w:val="20"/>
                <w:szCs w:val="20"/>
              </w:rPr>
              <w:t>rs9582036</w:t>
            </w:r>
          </w:p>
        </w:tc>
        <w:tc>
          <w:tcPr>
            <w:tcW w:w="993" w:type="dxa"/>
            <w:tcBorders>
              <w:top w:val="nil"/>
              <w:left w:val="nil"/>
              <w:bottom w:val="nil"/>
              <w:right w:val="nil"/>
            </w:tcBorders>
            <w:shd w:val="clear" w:color="auto" w:fill="auto"/>
            <w:noWrap/>
            <w:vAlign w:val="bottom"/>
            <w:hideMark/>
          </w:tcPr>
          <w:p w14:paraId="53BDDB4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5" w:type="dxa"/>
            <w:tcBorders>
              <w:top w:val="nil"/>
              <w:left w:val="nil"/>
              <w:bottom w:val="nil"/>
              <w:right w:val="nil"/>
            </w:tcBorders>
            <w:shd w:val="clear" w:color="auto" w:fill="auto"/>
            <w:noWrap/>
            <w:vAlign w:val="bottom"/>
            <w:hideMark/>
          </w:tcPr>
          <w:p w14:paraId="3591E66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8" w:type="dxa"/>
            <w:tcBorders>
              <w:top w:val="nil"/>
              <w:left w:val="nil"/>
              <w:bottom w:val="nil"/>
              <w:right w:val="nil"/>
            </w:tcBorders>
            <w:shd w:val="clear" w:color="auto" w:fill="auto"/>
            <w:noWrap/>
            <w:vAlign w:val="bottom"/>
            <w:hideMark/>
          </w:tcPr>
          <w:p w14:paraId="3941767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single" w:sz="4" w:space="0" w:color="auto"/>
            </w:tcBorders>
            <w:shd w:val="clear" w:color="auto" w:fill="auto"/>
            <w:noWrap/>
            <w:vAlign w:val="bottom"/>
            <w:hideMark/>
          </w:tcPr>
          <w:p w14:paraId="1F6B1DD5"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6B64435A"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843" w:type="dxa"/>
            <w:tcBorders>
              <w:top w:val="nil"/>
              <w:left w:val="nil"/>
              <w:bottom w:val="nil"/>
              <w:right w:val="nil"/>
            </w:tcBorders>
            <w:shd w:val="clear" w:color="auto" w:fill="auto"/>
            <w:noWrap/>
            <w:vAlign w:val="bottom"/>
            <w:hideMark/>
          </w:tcPr>
          <w:p w14:paraId="0078BEC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92" w:type="dxa"/>
            <w:tcBorders>
              <w:top w:val="nil"/>
              <w:left w:val="nil"/>
              <w:bottom w:val="nil"/>
              <w:right w:val="nil"/>
            </w:tcBorders>
            <w:shd w:val="clear" w:color="auto" w:fill="auto"/>
            <w:noWrap/>
            <w:vAlign w:val="bottom"/>
            <w:hideMark/>
          </w:tcPr>
          <w:p w14:paraId="333B54C6"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984" w:type="dxa"/>
            <w:tcBorders>
              <w:top w:val="nil"/>
              <w:left w:val="nil"/>
              <w:bottom w:val="nil"/>
              <w:right w:val="nil"/>
            </w:tcBorders>
            <w:shd w:val="clear" w:color="auto" w:fill="auto"/>
            <w:noWrap/>
            <w:vAlign w:val="bottom"/>
            <w:hideMark/>
          </w:tcPr>
          <w:p w14:paraId="062FF52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1720" w:type="dxa"/>
            <w:tcBorders>
              <w:top w:val="nil"/>
              <w:left w:val="nil"/>
              <w:bottom w:val="nil"/>
              <w:right w:val="nil"/>
            </w:tcBorders>
            <w:shd w:val="clear" w:color="auto" w:fill="auto"/>
            <w:noWrap/>
            <w:vAlign w:val="bottom"/>
            <w:hideMark/>
          </w:tcPr>
          <w:p w14:paraId="78DD2B4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840" w:type="dxa"/>
            <w:tcBorders>
              <w:top w:val="nil"/>
              <w:left w:val="nil"/>
              <w:bottom w:val="nil"/>
              <w:right w:val="nil"/>
            </w:tcBorders>
            <w:shd w:val="clear" w:color="auto" w:fill="auto"/>
            <w:noWrap/>
            <w:vAlign w:val="bottom"/>
            <w:hideMark/>
          </w:tcPr>
          <w:p w14:paraId="57D325C4"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r>
      <w:tr w:rsidR="005D6B4A" w:rsidRPr="005D6B4A" w14:paraId="4BC12469"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3016B81E"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Common</w:t>
            </w:r>
          </w:p>
        </w:tc>
        <w:tc>
          <w:tcPr>
            <w:tcW w:w="993" w:type="dxa"/>
            <w:tcBorders>
              <w:top w:val="nil"/>
              <w:left w:val="nil"/>
              <w:bottom w:val="nil"/>
              <w:right w:val="nil"/>
            </w:tcBorders>
            <w:shd w:val="clear" w:color="auto" w:fill="auto"/>
            <w:noWrap/>
            <w:vAlign w:val="bottom"/>
            <w:hideMark/>
          </w:tcPr>
          <w:p w14:paraId="72A22532"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69 (66)</w:t>
            </w:r>
          </w:p>
        </w:tc>
        <w:tc>
          <w:tcPr>
            <w:tcW w:w="1985" w:type="dxa"/>
            <w:tcBorders>
              <w:top w:val="nil"/>
              <w:left w:val="nil"/>
              <w:bottom w:val="nil"/>
              <w:right w:val="nil"/>
            </w:tcBorders>
            <w:shd w:val="clear" w:color="auto" w:fill="auto"/>
            <w:noWrap/>
            <w:vAlign w:val="bottom"/>
            <w:hideMark/>
          </w:tcPr>
          <w:p w14:paraId="5179E83F"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8.32 (6.68, 11.0)</w:t>
            </w:r>
          </w:p>
        </w:tc>
        <w:tc>
          <w:tcPr>
            <w:tcW w:w="1728" w:type="dxa"/>
            <w:tcBorders>
              <w:top w:val="nil"/>
              <w:left w:val="nil"/>
              <w:bottom w:val="nil"/>
              <w:right w:val="nil"/>
            </w:tcBorders>
            <w:shd w:val="clear" w:color="auto" w:fill="auto"/>
            <w:noWrap/>
            <w:vAlign w:val="bottom"/>
            <w:hideMark/>
          </w:tcPr>
          <w:p w14:paraId="4CCFA71B"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single" w:sz="4" w:space="0" w:color="auto"/>
            </w:tcBorders>
            <w:shd w:val="clear" w:color="auto" w:fill="auto"/>
            <w:noWrap/>
            <w:vAlign w:val="bottom"/>
            <w:hideMark/>
          </w:tcPr>
          <w:p w14:paraId="554A981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29B8952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30 (37)</w:t>
            </w:r>
          </w:p>
        </w:tc>
        <w:tc>
          <w:tcPr>
            <w:tcW w:w="1843" w:type="dxa"/>
            <w:tcBorders>
              <w:top w:val="nil"/>
              <w:left w:val="nil"/>
              <w:bottom w:val="nil"/>
              <w:right w:val="nil"/>
            </w:tcBorders>
            <w:shd w:val="clear" w:color="auto" w:fill="auto"/>
            <w:noWrap/>
            <w:vAlign w:val="bottom"/>
            <w:hideMark/>
          </w:tcPr>
          <w:p w14:paraId="293FA06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8.55 (6.35, 13.0)</w:t>
            </w:r>
          </w:p>
        </w:tc>
        <w:tc>
          <w:tcPr>
            <w:tcW w:w="992" w:type="dxa"/>
            <w:tcBorders>
              <w:top w:val="nil"/>
              <w:left w:val="nil"/>
              <w:bottom w:val="nil"/>
              <w:right w:val="nil"/>
            </w:tcBorders>
            <w:shd w:val="clear" w:color="auto" w:fill="auto"/>
            <w:noWrap/>
            <w:vAlign w:val="bottom"/>
            <w:hideMark/>
          </w:tcPr>
          <w:p w14:paraId="08F8C2E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39 (39)</w:t>
            </w:r>
          </w:p>
        </w:tc>
        <w:tc>
          <w:tcPr>
            <w:tcW w:w="1984" w:type="dxa"/>
            <w:tcBorders>
              <w:top w:val="nil"/>
              <w:left w:val="nil"/>
              <w:bottom w:val="nil"/>
              <w:right w:val="nil"/>
            </w:tcBorders>
            <w:shd w:val="clear" w:color="auto" w:fill="auto"/>
            <w:noWrap/>
            <w:vAlign w:val="bottom"/>
            <w:hideMark/>
          </w:tcPr>
          <w:p w14:paraId="4A5A79C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8.22 (4.87, 12.10)</w:t>
            </w:r>
          </w:p>
        </w:tc>
        <w:tc>
          <w:tcPr>
            <w:tcW w:w="1720" w:type="dxa"/>
            <w:tcBorders>
              <w:top w:val="nil"/>
              <w:left w:val="nil"/>
              <w:bottom w:val="nil"/>
              <w:right w:val="nil"/>
            </w:tcBorders>
            <w:shd w:val="clear" w:color="auto" w:fill="auto"/>
            <w:noWrap/>
            <w:vAlign w:val="bottom"/>
            <w:hideMark/>
          </w:tcPr>
          <w:p w14:paraId="0BFDA66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1.20 (0.73, 1.97)</w:t>
            </w:r>
          </w:p>
        </w:tc>
        <w:tc>
          <w:tcPr>
            <w:tcW w:w="840" w:type="dxa"/>
            <w:tcBorders>
              <w:top w:val="nil"/>
              <w:left w:val="nil"/>
              <w:bottom w:val="nil"/>
              <w:right w:val="nil"/>
            </w:tcBorders>
            <w:shd w:val="clear" w:color="auto" w:fill="auto"/>
            <w:noWrap/>
            <w:vAlign w:val="bottom"/>
            <w:hideMark/>
          </w:tcPr>
          <w:p w14:paraId="1CE657C0"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60249743" w14:textId="77777777" w:rsidTr="00852B05">
        <w:trPr>
          <w:trHeight w:val="300"/>
        </w:trPr>
        <w:tc>
          <w:tcPr>
            <w:tcW w:w="2127" w:type="dxa"/>
            <w:tcBorders>
              <w:top w:val="nil"/>
              <w:left w:val="nil"/>
              <w:bottom w:val="nil"/>
              <w:right w:val="single" w:sz="4" w:space="0" w:color="auto"/>
            </w:tcBorders>
            <w:shd w:val="clear" w:color="auto" w:fill="auto"/>
            <w:noWrap/>
            <w:vAlign w:val="bottom"/>
            <w:hideMark/>
          </w:tcPr>
          <w:p w14:paraId="4B9EAACF"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Homo. Rare</w:t>
            </w:r>
          </w:p>
        </w:tc>
        <w:tc>
          <w:tcPr>
            <w:tcW w:w="993" w:type="dxa"/>
            <w:tcBorders>
              <w:top w:val="nil"/>
              <w:left w:val="nil"/>
              <w:bottom w:val="nil"/>
              <w:right w:val="nil"/>
            </w:tcBorders>
            <w:shd w:val="clear" w:color="auto" w:fill="auto"/>
            <w:noWrap/>
            <w:vAlign w:val="bottom"/>
            <w:hideMark/>
          </w:tcPr>
          <w:p w14:paraId="210B98CC"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6 (6)</w:t>
            </w:r>
          </w:p>
        </w:tc>
        <w:tc>
          <w:tcPr>
            <w:tcW w:w="1985" w:type="dxa"/>
            <w:tcBorders>
              <w:top w:val="nil"/>
              <w:left w:val="nil"/>
              <w:bottom w:val="nil"/>
              <w:right w:val="nil"/>
            </w:tcBorders>
            <w:shd w:val="clear" w:color="auto" w:fill="auto"/>
            <w:noWrap/>
            <w:vAlign w:val="bottom"/>
            <w:hideMark/>
          </w:tcPr>
          <w:p w14:paraId="54F19C88"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5.26 (2.73, NA)</w:t>
            </w:r>
          </w:p>
        </w:tc>
        <w:tc>
          <w:tcPr>
            <w:tcW w:w="1728" w:type="dxa"/>
            <w:tcBorders>
              <w:top w:val="nil"/>
              <w:left w:val="nil"/>
              <w:bottom w:val="nil"/>
              <w:right w:val="nil"/>
            </w:tcBorders>
            <w:shd w:val="clear" w:color="auto" w:fill="auto"/>
            <w:noWrap/>
            <w:vAlign w:val="bottom"/>
            <w:hideMark/>
          </w:tcPr>
          <w:p w14:paraId="540EDFC0"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1.36 (0.59, 3.16)</w:t>
            </w:r>
          </w:p>
        </w:tc>
        <w:tc>
          <w:tcPr>
            <w:tcW w:w="840" w:type="dxa"/>
            <w:tcBorders>
              <w:top w:val="nil"/>
              <w:left w:val="nil"/>
              <w:bottom w:val="nil"/>
              <w:right w:val="single" w:sz="4" w:space="0" w:color="auto"/>
            </w:tcBorders>
            <w:shd w:val="clear" w:color="auto" w:fill="auto"/>
            <w:noWrap/>
            <w:vAlign w:val="bottom"/>
            <w:hideMark/>
          </w:tcPr>
          <w:p w14:paraId="59AABA7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 </w:t>
            </w:r>
          </w:p>
        </w:tc>
        <w:tc>
          <w:tcPr>
            <w:tcW w:w="975" w:type="dxa"/>
            <w:tcBorders>
              <w:top w:val="nil"/>
              <w:left w:val="nil"/>
              <w:bottom w:val="nil"/>
              <w:right w:val="nil"/>
            </w:tcBorders>
            <w:shd w:val="clear" w:color="auto" w:fill="auto"/>
            <w:noWrap/>
            <w:vAlign w:val="bottom"/>
            <w:hideMark/>
          </w:tcPr>
          <w:p w14:paraId="05C14347"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5(5)</w:t>
            </w:r>
          </w:p>
        </w:tc>
        <w:tc>
          <w:tcPr>
            <w:tcW w:w="1843" w:type="dxa"/>
            <w:tcBorders>
              <w:top w:val="nil"/>
              <w:left w:val="nil"/>
              <w:bottom w:val="nil"/>
              <w:right w:val="nil"/>
            </w:tcBorders>
            <w:shd w:val="clear" w:color="auto" w:fill="auto"/>
            <w:noWrap/>
            <w:vAlign w:val="bottom"/>
            <w:hideMark/>
          </w:tcPr>
          <w:p w14:paraId="623EA38D"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992" w:type="dxa"/>
            <w:tcBorders>
              <w:top w:val="nil"/>
              <w:left w:val="nil"/>
              <w:bottom w:val="nil"/>
              <w:right w:val="nil"/>
            </w:tcBorders>
            <w:shd w:val="clear" w:color="auto" w:fill="auto"/>
            <w:noWrap/>
            <w:vAlign w:val="bottom"/>
            <w:hideMark/>
          </w:tcPr>
          <w:p w14:paraId="1815513C"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984" w:type="dxa"/>
            <w:tcBorders>
              <w:top w:val="nil"/>
              <w:left w:val="nil"/>
              <w:bottom w:val="nil"/>
              <w:right w:val="nil"/>
            </w:tcBorders>
            <w:shd w:val="clear" w:color="auto" w:fill="auto"/>
            <w:noWrap/>
            <w:vAlign w:val="bottom"/>
            <w:hideMark/>
          </w:tcPr>
          <w:p w14:paraId="04DA2BB0"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1720" w:type="dxa"/>
            <w:tcBorders>
              <w:top w:val="nil"/>
              <w:left w:val="nil"/>
              <w:bottom w:val="nil"/>
              <w:right w:val="nil"/>
            </w:tcBorders>
            <w:shd w:val="clear" w:color="auto" w:fill="auto"/>
            <w:noWrap/>
            <w:vAlign w:val="bottom"/>
            <w:hideMark/>
          </w:tcPr>
          <w:p w14:paraId="40CABDF4" w14:textId="77777777" w:rsidR="005D6B4A" w:rsidRPr="005D6B4A" w:rsidRDefault="005D6B4A" w:rsidP="005D6B4A">
            <w:pPr>
              <w:jc w:val="center"/>
              <w:rPr>
                <w:rFonts w:ascii="Calibri" w:eastAsia="Times New Roman" w:hAnsi="Calibri" w:cs="Times New Roman"/>
                <w:color w:val="000000"/>
                <w:sz w:val="20"/>
                <w:szCs w:val="20"/>
                <w:lang w:val="en-GB"/>
              </w:rPr>
            </w:pPr>
          </w:p>
        </w:tc>
        <w:tc>
          <w:tcPr>
            <w:tcW w:w="840" w:type="dxa"/>
            <w:tcBorders>
              <w:top w:val="nil"/>
              <w:left w:val="nil"/>
              <w:bottom w:val="nil"/>
              <w:right w:val="nil"/>
            </w:tcBorders>
            <w:shd w:val="clear" w:color="auto" w:fill="auto"/>
            <w:noWrap/>
            <w:vAlign w:val="bottom"/>
            <w:hideMark/>
          </w:tcPr>
          <w:p w14:paraId="3CE60A44" w14:textId="77777777" w:rsidR="005D6B4A" w:rsidRPr="005D6B4A" w:rsidRDefault="005D6B4A" w:rsidP="005D6B4A">
            <w:pPr>
              <w:jc w:val="center"/>
              <w:rPr>
                <w:rFonts w:ascii="Calibri" w:eastAsia="Times New Roman" w:hAnsi="Calibri" w:cs="Times New Roman"/>
                <w:color w:val="000000"/>
                <w:sz w:val="20"/>
                <w:szCs w:val="20"/>
                <w:lang w:val="en-GB"/>
              </w:rPr>
            </w:pPr>
          </w:p>
        </w:tc>
      </w:tr>
      <w:tr w:rsidR="005D6B4A" w:rsidRPr="005D6B4A" w14:paraId="30D0D548" w14:textId="77777777" w:rsidTr="00852B05">
        <w:trPr>
          <w:trHeight w:val="300"/>
        </w:trPr>
        <w:tc>
          <w:tcPr>
            <w:tcW w:w="2127" w:type="dxa"/>
            <w:tcBorders>
              <w:top w:val="nil"/>
              <w:left w:val="nil"/>
              <w:bottom w:val="single" w:sz="4" w:space="0" w:color="auto"/>
              <w:right w:val="single" w:sz="4" w:space="0" w:color="auto"/>
            </w:tcBorders>
            <w:shd w:val="clear" w:color="auto" w:fill="auto"/>
            <w:noWrap/>
            <w:vAlign w:val="bottom"/>
            <w:hideMark/>
          </w:tcPr>
          <w:p w14:paraId="76CBC6E5" w14:textId="77777777" w:rsidR="005D6B4A" w:rsidRPr="005D6B4A" w:rsidRDefault="005D6B4A" w:rsidP="005D6B4A">
            <w:pPr>
              <w:ind w:firstLineChars="100" w:firstLine="220"/>
              <w:rPr>
                <w:rFonts w:ascii="Calibri" w:eastAsia="Times New Roman" w:hAnsi="Calibri" w:cs="Times New Roman"/>
                <w:color w:val="000000"/>
                <w:sz w:val="22"/>
                <w:szCs w:val="22"/>
                <w:lang w:val="en-GB"/>
              </w:rPr>
            </w:pPr>
            <w:r w:rsidRPr="005D6B4A">
              <w:rPr>
                <w:rFonts w:ascii="Calibri" w:eastAsia="Times New Roman" w:hAnsi="Calibri" w:cs="Times New Roman"/>
                <w:color w:val="000000"/>
                <w:sz w:val="22"/>
                <w:szCs w:val="22"/>
                <w:lang w:val="en-GB"/>
              </w:rPr>
              <w:t>Hetero.</w:t>
            </w:r>
          </w:p>
        </w:tc>
        <w:tc>
          <w:tcPr>
            <w:tcW w:w="993" w:type="dxa"/>
            <w:tcBorders>
              <w:top w:val="nil"/>
              <w:left w:val="nil"/>
              <w:bottom w:val="single" w:sz="4" w:space="0" w:color="auto"/>
              <w:right w:val="nil"/>
            </w:tcBorders>
            <w:shd w:val="clear" w:color="auto" w:fill="auto"/>
            <w:noWrap/>
            <w:vAlign w:val="bottom"/>
            <w:hideMark/>
          </w:tcPr>
          <w:p w14:paraId="029A2C1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53 (47)</w:t>
            </w:r>
          </w:p>
        </w:tc>
        <w:tc>
          <w:tcPr>
            <w:tcW w:w="1985" w:type="dxa"/>
            <w:tcBorders>
              <w:top w:val="nil"/>
              <w:left w:val="nil"/>
              <w:bottom w:val="single" w:sz="4" w:space="0" w:color="auto"/>
              <w:right w:val="nil"/>
            </w:tcBorders>
            <w:shd w:val="clear" w:color="auto" w:fill="auto"/>
            <w:noWrap/>
            <w:vAlign w:val="bottom"/>
            <w:hideMark/>
          </w:tcPr>
          <w:p w14:paraId="6F9938C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11.15 (9.64, 12.8)</w:t>
            </w:r>
          </w:p>
        </w:tc>
        <w:tc>
          <w:tcPr>
            <w:tcW w:w="1728" w:type="dxa"/>
            <w:tcBorders>
              <w:top w:val="nil"/>
              <w:left w:val="nil"/>
              <w:bottom w:val="single" w:sz="4" w:space="0" w:color="auto"/>
              <w:right w:val="nil"/>
            </w:tcBorders>
            <w:shd w:val="clear" w:color="auto" w:fill="auto"/>
            <w:noWrap/>
            <w:vAlign w:val="bottom"/>
            <w:hideMark/>
          </w:tcPr>
          <w:p w14:paraId="64250C4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0.82 (0.56, 1.20)</w:t>
            </w:r>
          </w:p>
        </w:tc>
        <w:tc>
          <w:tcPr>
            <w:tcW w:w="840" w:type="dxa"/>
            <w:tcBorders>
              <w:top w:val="nil"/>
              <w:left w:val="nil"/>
              <w:bottom w:val="single" w:sz="4" w:space="0" w:color="auto"/>
              <w:right w:val="single" w:sz="4" w:space="0" w:color="auto"/>
            </w:tcBorders>
            <w:shd w:val="clear" w:color="auto" w:fill="auto"/>
            <w:noWrap/>
            <w:vAlign w:val="bottom"/>
            <w:hideMark/>
          </w:tcPr>
          <w:p w14:paraId="7C540D39"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0.38</w:t>
            </w:r>
          </w:p>
        </w:tc>
        <w:tc>
          <w:tcPr>
            <w:tcW w:w="975" w:type="dxa"/>
            <w:tcBorders>
              <w:top w:val="nil"/>
              <w:left w:val="nil"/>
              <w:bottom w:val="single" w:sz="4" w:space="0" w:color="auto"/>
              <w:right w:val="nil"/>
            </w:tcBorders>
            <w:shd w:val="clear" w:color="auto" w:fill="auto"/>
            <w:noWrap/>
            <w:vAlign w:val="bottom"/>
            <w:hideMark/>
          </w:tcPr>
          <w:p w14:paraId="3F8C4E53"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25 (21)</w:t>
            </w:r>
          </w:p>
        </w:tc>
        <w:tc>
          <w:tcPr>
            <w:tcW w:w="1843" w:type="dxa"/>
            <w:tcBorders>
              <w:top w:val="nil"/>
              <w:left w:val="nil"/>
              <w:bottom w:val="single" w:sz="4" w:space="0" w:color="auto"/>
              <w:right w:val="nil"/>
            </w:tcBorders>
            <w:shd w:val="clear" w:color="auto" w:fill="auto"/>
            <w:noWrap/>
            <w:vAlign w:val="bottom"/>
            <w:hideMark/>
          </w:tcPr>
          <w:p w14:paraId="04A5A17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10.86 (5.00, 17.0)</w:t>
            </w:r>
          </w:p>
        </w:tc>
        <w:tc>
          <w:tcPr>
            <w:tcW w:w="992" w:type="dxa"/>
            <w:tcBorders>
              <w:top w:val="nil"/>
              <w:left w:val="nil"/>
              <w:bottom w:val="single" w:sz="4" w:space="0" w:color="auto"/>
              <w:right w:val="nil"/>
            </w:tcBorders>
            <w:shd w:val="clear" w:color="auto" w:fill="auto"/>
            <w:noWrap/>
            <w:vAlign w:val="bottom"/>
            <w:hideMark/>
          </w:tcPr>
          <w:p w14:paraId="6131225B"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28 (26)</w:t>
            </w:r>
          </w:p>
        </w:tc>
        <w:tc>
          <w:tcPr>
            <w:tcW w:w="1984" w:type="dxa"/>
            <w:tcBorders>
              <w:top w:val="nil"/>
              <w:left w:val="nil"/>
              <w:bottom w:val="single" w:sz="4" w:space="0" w:color="auto"/>
              <w:right w:val="nil"/>
            </w:tcBorders>
            <w:shd w:val="clear" w:color="auto" w:fill="auto"/>
            <w:noWrap/>
            <w:vAlign w:val="bottom"/>
            <w:hideMark/>
          </w:tcPr>
          <w:p w14:paraId="34FFF71E"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11.50 (8.22, 15.20)</w:t>
            </w:r>
          </w:p>
        </w:tc>
        <w:tc>
          <w:tcPr>
            <w:tcW w:w="1720" w:type="dxa"/>
            <w:tcBorders>
              <w:top w:val="nil"/>
              <w:left w:val="nil"/>
              <w:bottom w:val="single" w:sz="4" w:space="0" w:color="auto"/>
              <w:right w:val="nil"/>
            </w:tcBorders>
            <w:shd w:val="clear" w:color="auto" w:fill="auto"/>
            <w:noWrap/>
            <w:vAlign w:val="bottom"/>
            <w:hideMark/>
          </w:tcPr>
          <w:p w14:paraId="5AB80F9D"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1.10 (0.62, 1.97)</w:t>
            </w:r>
          </w:p>
        </w:tc>
        <w:tc>
          <w:tcPr>
            <w:tcW w:w="840" w:type="dxa"/>
            <w:tcBorders>
              <w:top w:val="nil"/>
              <w:left w:val="nil"/>
              <w:bottom w:val="single" w:sz="4" w:space="0" w:color="auto"/>
              <w:right w:val="nil"/>
            </w:tcBorders>
            <w:shd w:val="clear" w:color="auto" w:fill="auto"/>
            <w:noWrap/>
            <w:vAlign w:val="bottom"/>
            <w:hideMark/>
          </w:tcPr>
          <w:p w14:paraId="623BF271" w14:textId="77777777" w:rsidR="005D6B4A" w:rsidRPr="005D6B4A" w:rsidRDefault="005D6B4A" w:rsidP="005D6B4A">
            <w:pPr>
              <w:jc w:val="center"/>
              <w:rPr>
                <w:rFonts w:ascii="Calibri" w:eastAsia="Times New Roman" w:hAnsi="Calibri" w:cs="Times New Roman"/>
                <w:color w:val="000000"/>
                <w:sz w:val="20"/>
                <w:szCs w:val="20"/>
                <w:lang w:val="en-GB"/>
              </w:rPr>
            </w:pPr>
            <w:r w:rsidRPr="005D6B4A">
              <w:rPr>
                <w:rFonts w:ascii="Calibri" w:eastAsia="Times New Roman" w:hAnsi="Calibri" w:cs="Times New Roman"/>
                <w:color w:val="000000"/>
                <w:sz w:val="20"/>
                <w:szCs w:val="20"/>
                <w:lang w:val="en-GB"/>
              </w:rPr>
              <w:t>0.66</w:t>
            </w:r>
          </w:p>
        </w:tc>
      </w:tr>
    </w:tbl>
    <w:p w14:paraId="1C42F824" w14:textId="55BA0CCB" w:rsidR="005D6B4A" w:rsidRDefault="005D6B4A" w:rsidP="00C22D3B">
      <w:pPr>
        <w:spacing w:line="480" w:lineRule="auto"/>
        <w:rPr>
          <w:rFonts w:asciiTheme="majorHAnsi" w:hAnsiTheme="majorHAnsi"/>
        </w:rPr>
        <w:sectPr w:rsidR="005D6B4A" w:rsidSect="005D6B4A">
          <w:pgSz w:w="16840" w:h="11901" w:orient="landscape"/>
          <w:pgMar w:top="1797" w:right="1440" w:bottom="1797" w:left="1440" w:header="709" w:footer="709" w:gutter="0"/>
          <w:cols w:space="708"/>
          <w:docGrid w:linePitch="360"/>
        </w:sectPr>
      </w:pPr>
      <w:r>
        <w:rPr>
          <w:rFonts w:asciiTheme="majorHAnsi" w:hAnsiTheme="majorHAnsi"/>
        </w:rPr>
        <w:t>Table 3: Overall survival by prognostic translational factors</w:t>
      </w:r>
    </w:p>
    <w:tbl>
      <w:tblPr>
        <w:tblW w:w="9500" w:type="dxa"/>
        <w:tblInd w:w="-318" w:type="dxa"/>
        <w:tblLook w:val="04A0" w:firstRow="1" w:lastRow="0" w:firstColumn="1" w:lastColumn="0" w:noHBand="0" w:noVBand="1"/>
      </w:tblPr>
      <w:tblGrid>
        <w:gridCol w:w="3200"/>
        <w:gridCol w:w="2100"/>
        <w:gridCol w:w="2100"/>
        <w:gridCol w:w="2100"/>
      </w:tblGrid>
      <w:tr w:rsidR="00BA4FEA" w:rsidRPr="00BA4FEA" w14:paraId="737FFF83" w14:textId="77777777" w:rsidTr="00BA4FEA">
        <w:trPr>
          <w:trHeight w:val="320"/>
        </w:trPr>
        <w:tc>
          <w:tcPr>
            <w:tcW w:w="3200" w:type="dxa"/>
            <w:tcBorders>
              <w:top w:val="nil"/>
              <w:left w:val="nil"/>
              <w:bottom w:val="double" w:sz="6" w:space="0" w:color="auto"/>
              <w:right w:val="single" w:sz="4" w:space="0" w:color="auto"/>
            </w:tcBorders>
            <w:shd w:val="clear" w:color="auto" w:fill="auto"/>
            <w:noWrap/>
            <w:vAlign w:val="bottom"/>
            <w:hideMark/>
          </w:tcPr>
          <w:p w14:paraId="3B03D09E" w14:textId="77777777" w:rsidR="00BA4FEA" w:rsidRPr="00BA4FEA" w:rsidRDefault="00BA4FEA" w:rsidP="00BA4FEA">
            <w:pPr>
              <w:rPr>
                <w:rFonts w:ascii="Calibri" w:eastAsia="Times New Roman" w:hAnsi="Calibri" w:cs="Times New Roman"/>
                <w:color w:val="000000"/>
                <w:lang w:val="en-GB"/>
              </w:rPr>
            </w:pPr>
            <w:r w:rsidRPr="00BA4FEA">
              <w:rPr>
                <w:rFonts w:ascii="Calibri" w:eastAsia="Times New Roman" w:hAnsi="Calibri" w:cs="Times New Roman"/>
                <w:color w:val="000000"/>
                <w:lang w:val="en-GB"/>
              </w:rPr>
              <w:lastRenderedPageBreak/>
              <w:t>Factor</w:t>
            </w:r>
          </w:p>
        </w:tc>
        <w:tc>
          <w:tcPr>
            <w:tcW w:w="2100" w:type="dxa"/>
            <w:tcBorders>
              <w:top w:val="nil"/>
              <w:left w:val="nil"/>
              <w:bottom w:val="double" w:sz="6" w:space="0" w:color="auto"/>
              <w:right w:val="nil"/>
            </w:tcBorders>
            <w:shd w:val="clear" w:color="auto" w:fill="auto"/>
            <w:noWrap/>
            <w:vAlign w:val="bottom"/>
            <w:hideMark/>
          </w:tcPr>
          <w:p w14:paraId="1C672002" w14:textId="77777777" w:rsidR="00BA4FEA" w:rsidRPr="00BA4FEA" w:rsidRDefault="00BA4FEA" w:rsidP="00BA4FEA">
            <w:pPr>
              <w:jc w:val="center"/>
              <w:rPr>
                <w:rFonts w:ascii="Calibri" w:eastAsia="Times New Roman" w:hAnsi="Calibri" w:cs="Times New Roman"/>
                <w:color w:val="000000"/>
                <w:lang w:val="en-GB"/>
              </w:rPr>
            </w:pPr>
            <w:r w:rsidRPr="00BA4FEA">
              <w:rPr>
                <w:rFonts w:ascii="Calibri" w:eastAsia="Times New Roman" w:hAnsi="Calibri" w:cs="Times New Roman"/>
                <w:color w:val="000000"/>
                <w:lang w:val="en-GB"/>
              </w:rPr>
              <w:t>beta (se)</w:t>
            </w:r>
          </w:p>
        </w:tc>
        <w:tc>
          <w:tcPr>
            <w:tcW w:w="2100" w:type="dxa"/>
            <w:tcBorders>
              <w:top w:val="nil"/>
              <w:left w:val="nil"/>
              <w:bottom w:val="double" w:sz="6" w:space="0" w:color="auto"/>
              <w:right w:val="nil"/>
            </w:tcBorders>
            <w:shd w:val="clear" w:color="auto" w:fill="auto"/>
            <w:noWrap/>
            <w:vAlign w:val="bottom"/>
            <w:hideMark/>
          </w:tcPr>
          <w:p w14:paraId="3B43A1B4" w14:textId="77777777" w:rsidR="00BA4FEA" w:rsidRPr="00BA4FEA" w:rsidRDefault="00BA4FEA" w:rsidP="00BA4FEA">
            <w:pPr>
              <w:jc w:val="center"/>
              <w:rPr>
                <w:rFonts w:ascii="Calibri" w:eastAsia="Times New Roman" w:hAnsi="Calibri" w:cs="Times New Roman"/>
                <w:color w:val="000000"/>
                <w:lang w:val="en-GB"/>
              </w:rPr>
            </w:pPr>
            <w:r w:rsidRPr="00BA4FEA">
              <w:rPr>
                <w:rFonts w:ascii="Calibri" w:eastAsia="Times New Roman" w:hAnsi="Calibri" w:cs="Times New Roman"/>
                <w:color w:val="000000"/>
                <w:lang w:val="en-GB"/>
              </w:rPr>
              <w:t>HR (95% CI</w:t>
            </w:r>
          </w:p>
        </w:tc>
        <w:tc>
          <w:tcPr>
            <w:tcW w:w="2100" w:type="dxa"/>
            <w:tcBorders>
              <w:top w:val="nil"/>
              <w:left w:val="nil"/>
              <w:bottom w:val="double" w:sz="6" w:space="0" w:color="auto"/>
              <w:right w:val="nil"/>
            </w:tcBorders>
            <w:shd w:val="clear" w:color="auto" w:fill="auto"/>
            <w:noWrap/>
            <w:vAlign w:val="bottom"/>
            <w:hideMark/>
          </w:tcPr>
          <w:p w14:paraId="2C9F39FA" w14:textId="77777777" w:rsidR="00BA4FEA" w:rsidRPr="00BA4FEA" w:rsidRDefault="00BA4FEA" w:rsidP="00BA4FEA">
            <w:pPr>
              <w:jc w:val="center"/>
              <w:rPr>
                <w:rFonts w:ascii="Calibri" w:eastAsia="Times New Roman" w:hAnsi="Calibri" w:cs="Times New Roman"/>
                <w:color w:val="000000"/>
                <w:lang w:val="en-GB"/>
              </w:rPr>
            </w:pPr>
            <w:r w:rsidRPr="00BA4FEA">
              <w:rPr>
                <w:rFonts w:ascii="Calibri" w:eastAsia="Times New Roman" w:hAnsi="Calibri" w:cs="Times New Roman"/>
                <w:color w:val="000000"/>
                <w:lang w:val="en-GB"/>
              </w:rPr>
              <w:t>P-value</w:t>
            </w:r>
          </w:p>
        </w:tc>
      </w:tr>
      <w:tr w:rsidR="00BA4FEA" w:rsidRPr="00BA4FEA" w14:paraId="6025E022"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107A40AD" w14:textId="77777777" w:rsidR="00BA4FEA" w:rsidRPr="00BA4FEA" w:rsidRDefault="00BA4FEA" w:rsidP="00BA4FEA">
            <w:pPr>
              <w:jc w:val="both"/>
              <w:rPr>
                <w:rFonts w:ascii="Calibri" w:eastAsia="Times New Roman" w:hAnsi="Calibri" w:cs="Times New Roman"/>
                <w:b/>
                <w:bCs/>
                <w:color w:val="000000"/>
                <w:sz w:val="22"/>
                <w:szCs w:val="22"/>
                <w:lang w:val="en-GB"/>
              </w:rPr>
            </w:pPr>
            <w:r w:rsidRPr="00BA4FEA">
              <w:rPr>
                <w:rFonts w:ascii="Calibri" w:eastAsia="Times New Roman" w:hAnsi="Calibri" w:cs="Times New Roman"/>
                <w:b/>
                <w:bCs/>
                <w:color w:val="000000"/>
                <w:sz w:val="22"/>
                <w:szCs w:val="22"/>
                <w:lang w:val="en-GB"/>
              </w:rPr>
              <w:t>ECOG Performance Status</w:t>
            </w:r>
          </w:p>
        </w:tc>
        <w:tc>
          <w:tcPr>
            <w:tcW w:w="2100" w:type="dxa"/>
            <w:tcBorders>
              <w:top w:val="nil"/>
              <w:left w:val="nil"/>
              <w:bottom w:val="nil"/>
              <w:right w:val="nil"/>
            </w:tcBorders>
            <w:shd w:val="clear" w:color="auto" w:fill="auto"/>
            <w:noWrap/>
            <w:vAlign w:val="bottom"/>
            <w:hideMark/>
          </w:tcPr>
          <w:p w14:paraId="3D0FD888"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23F2AF47"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303AF06A" w14:textId="77777777" w:rsidR="00BA4FEA" w:rsidRPr="00BA4FEA" w:rsidRDefault="00BA4FEA" w:rsidP="00BA4FEA">
            <w:pPr>
              <w:jc w:val="center"/>
              <w:rPr>
                <w:rFonts w:ascii="Calibri" w:eastAsia="Times New Roman" w:hAnsi="Calibri" w:cs="Times New Roman"/>
                <w:color w:val="000000"/>
                <w:sz w:val="22"/>
                <w:szCs w:val="22"/>
                <w:lang w:val="en-GB"/>
              </w:rPr>
            </w:pPr>
          </w:p>
        </w:tc>
      </w:tr>
      <w:tr w:rsidR="00BA4FEA" w:rsidRPr="00BA4FEA" w14:paraId="5E6A85A6"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28145916" w14:textId="77777777" w:rsidR="00BA4FEA" w:rsidRPr="00BA4FEA" w:rsidRDefault="00BA4FEA" w:rsidP="00BA4FEA">
            <w:pPr>
              <w:jc w:val="right"/>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w:t>
            </w:r>
          </w:p>
        </w:tc>
        <w:tc>
          <w:tcPr>
            <w:tcW w:w="2100" w:type="dxa"/>
            <w:tcBorders>
              <w:top w:val="nil"/>
              <w:left w:val="nil"/>
              <w:bottom w:val="nil"/>
              <w:right w:val="nil"/>
            </w:tcBorders>
            <w:shd w:val="clear" w:color="auto" w:fill="auto"/>
            <w:noWrap/>
            <w:vAlign w:val="bottom"/>
            <w:hideMark/>
          </w:tcPr>
          <w:p w14:paraId="2FAA6793"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3754504A"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3898F136" w14:textId="77777777" w:rsidR="00BA4FEA" w:rsidRPr="00BA4FEA" w:rsidRDefault="00BA4FEA" w:rsidP="00BA4FEA">
            <w:pPr>
              <w:jc w:val="center"/>
              <w:rPr>
                <w:rFonts w:ascii="Calibri" w:eastAsia="Times New Roman" w:hAnsi="Calibri" w:cs="Times New Roman"/>
                <w:color w:val="000000"/>
                <w:sz w:val="22"/>
                <w:szCs w:val="22"/>
                <w:lang w:val="en-GB"/>
              </w:rPr>
            </w:pPr>
          </w:p>
        </w:tc>
      </w:tr>
      <w:tr w:rsidR="00BA4FEA" w:rsidRPr="00BA4FEA" w14:paraId="49B00A57"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379613C3" w14:textId="77777777" w:rsidR="00BA4FEA" w:rsidRPr="00BA4FEA" w:rsidRDefault="00BA4FEA" w:rsidP="00BA4FEA">
            <w:pPr>
              <w:jc w:val="right"/>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1</w:t>
            </w:r>
          </w:p>
        </w:tc>
        <w:tc>
          <w:tcPr>
            <w:tcW w:w="2100" w:type="dxa"/>
            <w:tcBorders>
              <w:top w:val="nil"/>
              <w:left w:val="nil"/>
              <w:bottom w:val="nil"/>
              <w:right w:val="nil"/>
            </w:tcBorders>
            <w:shd w:val="clear" w:color="auto" w:fill="auto"/>
            <w:noWrap/>
            <w:vAlign w:val="bottom"/>
            <w:hideMark/>
          </w:tcPr>
          <w:p w14:paraId="1380ED3E"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0.25 (0.21)</w:t>
            </w:r>
          </w:p>
        </w:tc>
        <w:tc>
          <w:tcPr>
            <w:tcW w:w="2100" w:type="dxa"/>
            <w:tcBorders>
              <w:top w:val="nil"/>
              <w:left w:val="nil"/>
              <w:bottom w:val="nil"/>
              <w:right w:val="nil"/>
            </w:tcBorders>
            <w:shd w:val="clear" w:color="auto" w:fill="auto"/>
            <w:noWrap/>
            <w:vAlign w:val="bottom"/>
            <w:hideMark/>
          </w:tcPr>
          <w:p w14:paraId="541A2F5A"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1.29 (0.86, 1.95)</w:t>
            </w:r>
          </w:p>
        </w:tc>
        <w:tc>
          <w:tcPr>
            <w:tcW w:w="2100" w:type="dxa"/>
            <w:tcBorders>
              <w:top w:val="nil"/>
              <w:left w:val="nil"/>
              <w:bottom w:val="nil"/>
              <w:right w:val="nil"/>
            </w:tcBorders>
            <w:shd w:val="clear" w:color="auto" w:fill="auto"/>
            <w:noWrap/>
            <w:vAlign w:val="bottom"/>
            <w:hideMark/>
          </w:tcPr>
          <w:p w14:paraId="0B9762A5"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0.219</w:t>
            </w:r>
          </w:p>
        </w:tc>
      </w:tr>
      <w:tr w:rsidR="00BA4FEA" w:rsidRPr="00BA4FEA" w14:paraId="19CCD49A" w14:textId="77777777" w:rsidTr="00BA4FEA">
        <w:trPr>
          <w:trHeight w:val="320"/>
        </w:trPr>
        <w:tc>
          <w:tcPr>
            <w:tcW w:w="3200" w:type="dxa"/>
            <w:tcBorders>
              <w:top w:val="nil"/>
              <w:left w:val="nil"/>
              <w:bottom w:val="single" w:sz="4" w:space="0" w:color="auto"/>
              <w:right w:val="single" w:sz="4" w:space="0" w:color="auto"/>
            </w:tcBorders>
            <w:shd w:val="clear" w:color="auto" w:fill="auto"/>
            <w:noWrap/>
            <w:vAlign w:val="center"/>
            <w:hideMark/>
          </w:tcPr>
          <w:p w14:paraId="01898081" w14:textId="77777777" w:rsidR="00BA4FEA" w:rsidRPr="00BA4FEA" w:rsidRDefault="00BA4FEA" w:rsidP="00BA4FEA">
            <w:pPr>
              <w:jc w:val="right"/>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2</w:t>
            </w:r>
          </w:p>
        </w:tc>
        <w:tc>
          <w:tcPr>
            <w:tcW w:w="2100" w:type="dxa"/>
            <w:tcBorders>
              <w:top w:val="nil"/>
              <w:left w:val="nil"/>
              <w:bottom w:val="single" w:sz="4" w:space="0" w:color="auto"/>
              <w:right w:val="nil"/>
            </w:tcBorders>
            <w:shd w:val="clear" w:color="auto" w:fill="auto"/>
            <w:noWrap/>
            <w:vAlign w:val="bottom"/>
            <w:hideMark/>
          </w:tcPr>
          <w:p w14:paraId="131380A0"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1.02 (0.34)</w:t>
            </w:r>
          </w:p>
        </w:tc>
        <w:tc>
          <w:tcPr>
            <w:tcW w:w="2100" w:type="dxa"/>
            <w:tcBorders>
              <w:top w:val="nil"/>
              <w:left w:val="nil"/>
              <w:bottom w:val="single" w:sz="4" w:space="0" w:color="auto"/>
              <w:right w:val="nil"/>
            </w:tcBorders>
            <w:shd w:val="clear" w:color="auto" w:fill="auto"/>
            <w:noWrap/>
            <w:vAlign w:val="bottom"/>
            <w:hideMark/>
          </w:tcPr>
          <w:p w14:paraId="6E3A3099"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2.78 (1.42, 5.43)</w:t>
            </w:r>
          </w:p>
        </w:tc>
        <w:tc>
          <w:tcPr>
            <w:tcW w:w="2100" w:type="dxa"/>
            <w:tcBorders>
              <w:top w:val="nil"/>
              <w:left w:val="nil"/>
              <w:bottom w:val="single" w:sz="4" w:space="0" w:color="auto"/>
              <w:right w:val="nil"/>
            </w:tcBorders>
            <w:shd w:val="clear" w:color="auto" w:fill="auto"/>
            <w:noWrap/>
            <w:vAlign w:val="bottom"/>
            <w:hideMark/>
          </w:tcPr>
          <w:p w14:paraId="496744F2"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0.003</w:t>
            </w:r>
          </w:p>
        </w:tc>
      </w:tr>
      <w:tr w:rsidR="00BA4FEA" w:rsidRPr="00BA4FEA" w14:paraId="7B658EDD"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6204E5DE" w14:textId="77777777" w:rsidR="00BA4FEA" w:rsidRPr="00BA4FEA" w:rsidRDefault="00BA4FEA" w:rsidP="00BA4FEA">
            <w:pPr>
              <w:jc w:val="both"/>
              <w:rPr>
                <w:rFonts w:ascii="Calibri" w:eastAsia="Times New Roman" w:hAnsi="Calibri" w:cs="Times New Roman"/>
                <w:b/>
                <w:bCs/>
                <w:color w:val="000000"/>
                <w:sz w:val="22"/>
                <w:szCs w:val="22"/>
                <w:lang w:val="en-GB"/>
              </w:rPr>
            </w:pPr>
            <w:r w:rsidRPr="00BA4FEA">
              <w:rPr>
                <w:rFonts w:ascii="Calibri" w:eastAsia="Times New Roman" w:hAnsi="Calibri" w:cs="Times New Roman"/>
                <w:b/>
                <w:bCs/>
                <w:color w:val="000000"/>
                <w:sz w:val="22"/>
                <w:szCs w:val="22"/>
                <w:lang w:val="en-GB"/>
              </w:rPr>
              <w:t xml:space="preserve">Tumour Histology, </w:t>
            </w:r>
            <w:r w:rsidRPr="00BA4FEA">
              <w:rPr>
                <w:rFonts w:ascii="Calibri" w:eastAsia="Times New Roman" w:hAnsi="Calibri" w:cs="Times New Roman"/>
                <w:color w:val="000000"/>
                <w:sz w:val="22"/>
                <w:szCs w:val="22"/>
                <w:lang w:val="en-GB"/>
              </w:rPr>
              <w:t>n (%)</w:t>
            </w:r>
          </w:p>
        </w:tc>
        <w:tc>
          <w:tcPr>
            <w:tcW w:w="2100" w:type="dxa"/>
            <w:tcBorders>
              <w:top w:val="nil"/>
              <w:left w:val="nil"/>
              <w:bottom w:val="nil"/>
              <w:right w:val="nil"/>
            </w:tcBorders>
            <w:shd w:val="clear" w:color="auto" w:fill="auto"/>
            <w:noWrap/>
            <w:vAlign w:val="bottom"/>
            <w:hideMark/>
          </w:tcPr>
          <w:p w14:paraId="70F37240"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46730413"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45702C70" w14:textId="77777777" w:rsidR="00BA4FEA" w:rsidRPr="00BA4FEA" w:rsidRDefault="00BA4FEA" w:rsidP="00BA4FEA">
            <w:pPr>
              <w:jc w:val="center"/>
              <w:rPr>
                <w:rFonts w:ascii="Calibri" w:eastAsia="Times New Roman" w:hAnsi="Calibri" w:cs="Times New Roman"/>
                <w:color w:val="000000"/>
                <w:sz w:val="22"/>
                <w:szCs w:val="22"/>
                <w:lang w:val="en-GB"/>
              </w:rPr>
            </w:pPr>
          </w:p>
        </w:tc>
      </w:tr>
      <w:tr w:rsidR="00BA4FEA" w:rsidRPr="00BA4FEA" w14:paraId="2CDF0531" w14:textId="77777777" w:rsidTr="00BA4FEA">
        <w:trPr>
          <w:trHeight w:val="320"/>
        </w:trPr>
        <w:tc>
          <w:tcPr>
            <w:tcW w:w="3200" w:type="dxa"/>
            <w:tcBorders>
              <w:top w:val="nil"/>
              <w:left w:val="nil"/>
              <w:bottom w:val="nil"/>
              <w:right w:val="single" w:sz="4" w:space="0" w:color="auto"/>
            </w:tcBorders>
            <w:shd w:val="clear" w:color="auto" w:fill="auto"/>
            <w:vAlign w:val="center"/>
            <w:hideMark/>
          </w:tcPr>
          <w:p w14:paraId="0226ADBF" w14:textId="77777777" w:rsidR="00BA4FEA" w:rsidRPr="00BA4FEA" w:rsidRDefault="00BA4FEA" w:rsidP="00BA4FEA">
            <w:pPr>
              <w:jc w:val="right"/>
              <w:rPr>
                <w:rFonts w:ascii="Calibri" w:eastAsia="Times New Roman" w:hAnsi="Calibri" w:cs="Times New Roman"/>
                <w:color w:val="000000"/>
                <w:sz w:val="22"/>
                <w:szCs w:val="22"/>
                <w:lang w:val="en-GB"/>
              </w:rPr>
            </w:pPr>
            <w:proofErr w:type="spellStart"/>
            <w:r w:rsidRPr="00BA4FEA">
              <w:rPr>
                <w:rFonts w:ascii="Calibri" w:eastAsia="Times New Roman" w:hAnsi="Calibri" w:cs="Times New Roman"/>
                <w:color w:val="000000"/>
                <w:sz w:val="22"/>
                <w:szCs w:val="22"/>
                <w:lang w:val="en-GB"/>
              </w:rPr>
              <w:t>Panc</w:t>
            </w:r>
            <w:proofErr w:type="spellEnd"/>
            <w:r w:rsidRPr="00BA4FEA">
              <w:rPr>
                <w:rFonts w:ascii="Calibri" w:eastAsia="Times New Roman" w:hAnsi="Calibri" w:cs="Times New Roman"/>
                <w:color w:val="000000"/>
                <w:sz w:val="22"/>
                <w:szCs w:val="22"/>
                <w:lang w:val="en-GB"/>
              </w:rPr>
              <w:t>. ductal adenocarcinoma</w:t>
            </w:r>
          </w:p>
        </w:tc>
        <w:tc>
          <w:tcPr>
            <w:tcW w:w="2100" w:type="dxa"/>
            <w:tcBorders>
              <w:top w:val="nil"/>
              <w:left w:val="nil"/>
              <w:bottom w:val="nil"/>
              <w:right w:val="nil"/>
            </w:tcBorders>
            <w:shd w:val="clear" w:color="auto" w:fill="auto"/>
            <w:noWrap/>
            <w:vAlign w:val="bottom"/>
            <w:hideMark/>
          </w:tcPr>
          <w:p w14:paraId="20E43CCC"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6EFD31BB"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0269B8B1" w14:textId="77777777" w:rsidR="00BA4FEA" w:rsidRPr="00BA4FEA" w:rsidRDefault="00BA4FEA" w:rsidP="00BA4FEA">
            <w:pPr>
              <w:jc w:val="center"/>
              <w:rPr>
                <w:rFonts w:ascii="Calibri" w:eastAsia="Times New Roman" w:hAnsi="Calibri" w:cs="Times New Roman"/>
                <w:color w:val="000000"/>
                <w:sz w:val="22"/>
                <w:szCs w:val="22"/>
                <w:lang w:val="en-GB"/>
              </w:rPr>
            </w:pPr>
          </w:p>
        </w:tc>
      </w:tr>
      <w:tr w:rsidR="00BA4FEA" w:rsidRPr="00BA4FEA" w14:paraId="4A09F07D" w14:textId="77777777" w:rsidTr="00BA4FEA">
        <w:trPr>
          <w:trHeight w:val="320"/>
        </w:trPr>
        <w:tc>
          <w:tcPr>
            <w:tcW w:w="3200" w:type="dxa"/>
            <w:tcBorders>
              <w:top w:val="nil"/>
              <w:left w:val="nil"/>
              <w:bottom w:val="single" w:sz="4" w:space="0" w:color="auto"/>
              <w:right w:val="single" w:sz="4" w:space="0" w:color="auto"/>
            </w:tcBorders>
            <w:shd w:val="clear" w:color="auto" w:fill="auto"/>
            <w:vAlign w:val="center"/>
            <w:hideMark/>
          </w:tcPr>
          <w:p w14:paraId="02D6E6B3" w14:textId="77777777" w:rsidR="00BA4FEA" w:rsidRPr="00BA4FEA" w:rsidRDefault="00BA4FEA" w:rsidP="00BA4FEA">
            <w:pPr>
              <w:jc w:val="right"/>
              <w:rPr>
                <w:rFonts w:ascii="Calibri" w:eastAsia="Times New Roman" w:hAnsi="Calibri" w:cs="Times New Roman"/>
                <w:color w:val="000000"/>
                <w:sz w:val="22"/>
                <w:szCs w:val="22"/>
                <w:lang w:val="en-GB"/>
              </w:rPr>
            </w:pPr>
            <w:proofErr w:type="spellStart"/>
            <w:r w:rsidRPr="00BA4FEA">
              <w:rPr>
                <w:rFonts w:ascii="Calibri" w:eastAsia="Times New Roman" w:hAnsi="Calibri" w:cs="Times New Roman"/>
                <w:color w:val="000000"/>
                <w:sz w:val="22"/>
                <w:szCs w:val="22"/>
                <w:lang w:val="en-GB"/>
              </w:rPr>
              <w:t>Undiff</w:t>
            </w:r>
            <w:proofErr w:type="spellEnd"/>
            <w:r w:rsidRPr="00BA4FEA">
              <w:rPr>
                <w:rFonts w:ascii="Calibri" w:eastAsia="Times New Roman" w:hAnsi="Calibri" w:cs="Times New Roman"/>
                <w:color w:val="000000"/>
                <w:sz w:val="22"/>
                <w:szCs w:val="22"/>
                <w:lang w:val="en-GB"/>
              </w:rPr>
              <w:t xml:space="preserve">. </w:t>
            </w:r>
            <w:proofErr w:type="gramStart"/>
            <w:r w:rsidRPr="00BA4FEA">
              <w:rPr>
                <w:rFonts w:ascii="Calibri" w:eastAsia="Times New Roman" w:hAnsi="Calibri" w:cs="Times New Roman"/>
                <w:color w:val="000000"/>
                <w:sz w:val="22"/>
                <w:szCs w:val="22"/>
                <w:lang w:val="en-GB"/>
              </w:rPr>
              <w:t>carcinoma</w:t>
            </w:r>
            <w:proofErr w:type="gramEnd"/>
            <w:r w:rsidRPr="00BA4FEA">
              <w:rPr>
                <w:rFonts w:ascii="Calibri" w:eastAsia="Times New Roman" w:hAnsi="Calibri" w:cs="Times New Roman"/>
                <w:color w:val="000000"/>
                <w:sz w:val="22"/>
                <w:szCs w:val="22"/>
                <w:lang w:val="en-GB"/>
              </w:rPr>
              <w:t xml:space="preserve"> of the </w:t>
            </w:r>
            <w:proofErr w:type="spellStart"/>
            <w:r w:rsidRPr="00BA4FEA">
              <w:rPr>
                <w:rFonts w:ascii="Calibri" w:eastAsia="Times New Roman" w:hAnsi="Calibri" w:cs="Times New Roman"/>
                <w:color w:val="000000"/>
                <w:sz w:val="22"/>
                <w:szCs w:val="22"/>
                <w:lang w:val="en-GB"/>
              </w:rPr>
              <w:t>panc</w:t>
            </w:r>
            <w:proofErr w:type="spellEnd"/>
            <w:r w:rsidRPr="00BA4FEA">
              <w:rPr>
                <w:rFonts w:ascii="Calibri" w:eastAsia="Times New Roman" w:hAnsi="Calibri" w:cs="Times New Roman"/>
                <w:color w:val="000000"/>
                <w:sz w:val="22"/>
                <w:szCs w:val="22"/>
                <w:lang w:val="en-GB"/>
              </w:rPr>
              <w:t>.</w:t>
            </w:r>
          </w:p>
        </w:tc>
        <w:tc>
          <w:tcPr>
            <w:tcW w:w="2100" w:type="dxa"/>
            <w:tcBorders>
              <w:top w:val="nil"/>
              <w:left w:val="nil"/>
              <w:bottom w:val="single" w:sz="4" w:space="0" w:color="auto"/>
              <w:right w:val="nil"/>
            </w:tcBorders>
            <w:shd w:val="clear" w:color="auto" w:fill="auto"/>
            <w:noWrap/>
            <w:vAlign w:val="bottom"/>
            <w:hideMark/>
          </w:tcPr>
          <w:p w14:paraId="095D067F"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0.59 (0.30)</w:t>
            </w:r>
          </w:p>
        </w:tc>
        <w:tc>
          <w:tcPr>
            <w:tcW w:w="2100" w:type="dxa"/>
            <w:tcBorders>
              <w:top w:val="nil"/>
              <w:left w:val="nil"/>
              <w:bottom w:val="single" w:sz="4" w:space="0" w:color="auto"/>
              <w:right w:val="nil"/>
            </w:tcBorders>
            <w:shd w:val="clear" w:color="auto" w:fill="auto"/>
            <w:noWrap/>
            <w:vAlign w:val="bottom"/>
            <w:hideMark/>
          </w:tcPr>
          <w:p w14:paraId="50CEE2B8"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1.81 (1.00, 3.27)</w:t>
            </w:r>
          </w:p>
        </w:tc>
        <w:tc>
          <w:tcPr>
            <w:tcW w:w="2100" w:type="dxa"/>
            <w:tcBorders>
              <w:top w:val="nil"/>
              <w:left w:val="nil"/>
              <w:bottom w:val="single" w:sz="4" w:space="0" w:color="auto"/>
              <w:right w:val="nil"/>
            </w:tcBorders>
            <w:shd w:val="clear" w:color="auto" w:fill="auto"/>
            <w:noWrap/>
            <w:vAlign w:val="bottom"/>
            <w:hideMark/>
          </w:tcPr>
          <w:p w14:paraId="2BDCA09A"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0.049</w:t>
            </w:r>
          </w:p>
        </w:tc>
      </w:tr>
      <w:tr w:rsidR="00BA4FEA" w:rsidRPr="00BA4FEA" w14:paraId="7AC4F772"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7A5BBC41" w14:textId="77777777" w:rsidR="00BA4FEA" w:rsidRPr="00BA4FEA" w:rsidRDefault="00BA4FEA" w:rsidP="00BA4FEA">
            <w:pPr>
              <w:jc w:val="both"/>
              <w:rPr>
                <w:rFonts w:ascii="Calibri" w:eastAsia="Times New Roman" w:hAnsi="Calibri" w:cs="Times New Roman"/>
                <w:b/>
                <w:bCs/>
                <w:color w:val="000000"/>
                <w:sz w:val="22"/>
                <w:szCs w:val="22"/>
                <w:lang w:val="en-GB"/>
              </w:rPr>
            </w:pPr>
            <w:r w:rsidRPr="00BA4FEA">
              <w:rPr>
                <w:rFonts w:ascii="Calibri" w:eastAsia="Times New Roman" w:hAnsi="Calibri" w:cs="Times New Roman"/>
                <w:b/>
                <w:bCs/>
                <w:color w:val="000000"/>
                <w:sz w:val="22"/>
                <w:szCs w:val="22"/>
                <w:lang w:val="en-GB"/>
              </w:rPr>
              <w:t>CA19.9</w:t>
            </w:r>
          </w:p>
        </w:tc>
        <w:tc>
          <w:tcPr>
            <w:tcW w:w="2100" w:type="dxa"/>
            <w:tcBorders>
              <w:top w:val="nil"/>
              <w:left w:val="nil"/>
              <w:bottom w:val="nil"/>
              <w:right w:val="nil"/>
            </w:tcBorders>
            <w:shd w:val="clear" w:color="auto" w:fill="auto"/>
            <w:noWrap/>
            <w:vAlign w:val="bottom"/>
            <w:hideMark/>
          </w:tcPr>
          <w:p w14:paraId="2C520971" w14:textId="77777777" w:rsidR="00BA4FEA" w:rsidRPr="00BA4FEA" w:rsidRDefault="00BA4FEA" w:rsidP="00BA4FEA">
            <w:pPr>
              <w:jc w:val="center"/>
              <w:rPr>
                <w:rFonts w:ascii="Calibri" w:eastAsia="Times New Roman" w:hAnsi="Calibri" w:cs="Times New Roman"/>
                <w:color w:val="000000"/>
                <w:lang w:val="en-GB"/>
              </w:rPr>
            </w:pPr>
            <w:r w:rsidRPr="00BA4FEA">
              <w:rPr>
                <w:rFonts w:ascii="Calibri" w:eastAsia="Times New Roman" w:hAnsi="Calibri" w:cs="Times New Roman"/>
                <w:color w:val="000000"/>
                <w:lang w:val="en-GB"/>
              </w:rPr>
              <w:t>0.14 (0.04)</w:t>
            </w:r>
          </w:p>
        </w:tc>
        <w:tc>
          <w:tcPr>
            <w:tcW w:w="2100" w:type="dxa"/>
            <w:tcBorders>
              <w:top w:val="nil"/>
              <w:left w:val="nil"/>
              <w:bottom w:val="nil"/>
              <w:right w:val="nil"/>
            </w:tcBorders>
            <w:shd w:val="clear" w:color="auto" w:fill="auto"/>
            <w:noWrap/>
            <w:vAlign w:val="bottom"/>
            <w:hideMark/>
          </w:tcPr>
          <w:p w14:paraId="62410964" w14:textId="77777777" w:rsidR="00BA4FEA" w:rsidRPr="00BA4FEA" w:rsidRDefault="00BA4FEA" w:rsidP="00BA4FEA">
            <w:pPr>
              <w:jc w:val="center"/>
              <w:rPr>
                <w:rFonts w:ascii="Calibri" w:eastAsia="Times New Roman" w:hAnsi="Calibri" w:cs="Times New Roman"/>
                <w:color w:val="000000"/>
                <w:lang w:val="en-GB"/>
              </w:rPr>
            </w:pPr>
            <w:r w:rsidRPr="00BA4FEA">
              <w:rPr>
                <w:rFonts w:ascii="Calibri" w:eastAsia="Times New Roman" w:hAnsi="Calibri" w:cs="Times New Roman"/>
                <w:color w:val="000000"/>
                <w:lang w:val="en-GB"/>
              </w:rPr>
              <w:t>1.15 (1.06, 1.25)</w:t>
            </w:r>
          </w:p>
        </w:tc>
        <w:tc>
          <w:tcPr>
            <w:tcW w:w="2100" w:type="dxa"/>
            <w:tcBorders>
              <w:top w:val="nil"/>
              <w:left w:val="nil"/>
              <w:bottom w:val="nil"/>
              <w:right w:val="nil"/>
            </w:tcBorders>
            <w:shd w:val="clear" w:color="auto" w:fill="auto"/>
            <w:noWrap/>
            <w:vAlign w:val="bottom"/>
            <w:hideMark/>
          </w:tcPr>
          <w:p w14:paraId="74123D42" w14:textId="77777777" w:rsidR="00BA4FEA" w:rsidRPr="00BA4FEA" w:rsidRDefault="00BA4FEA" w:rsidP="00BA4FEA">
            <w:pPr>
              <w:jc w:val="center"/>
              <w:rPr>
                <w:rFonts w:ascii="Calibri" w:eastAsia="Times New Roman" w:hAnsi="Calibri" w:cs="Times New Roman"/>
                <w:color w:val="000000"/>
                <w:lang w:val="en-GB"/>
              </w:rPr>
            </w:pPr>
            <w:r w:rsidRPr="00BA4FEA">
              <w:rPr>
                <w:rFonts w:ascii="Calibri" w:eastAsia="Times New Roman" w:hAnsi="Calibri" w:cs="Times New Roman"/>
                <w:color w:val="000000"/>
                <w:lang w:val="en-GB"/>
              </w:rPr>
              <w:t>0.001</w:t>
            </w:r>
          </w:p>
        </w:tc>
      </w:tr>
      <w:tr w:rsidR="00BA4FEA" w:rsidRPr="00BA4FEA" w14:paraId="5316B72F"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7155D4F6" w14:textId="77777777" w:rsidR="00BA4FEA" w:rsidRPr="00BA4FEA" w:rsidRDefault="00BA4FEA" w:rsidP="00BA4FEA">
            <w:pPr>
              <w:jc w:val="both"/>
              <w:rPr>
                <w:rFonts w:ascii="Calibri" w:eastAsia="Times New Roman" w:hAnsi="Calibri" w:cs="Times New Roman"/>
                <w:b/>
                <w:bCs/>
                <w:color w:val="000000"/>
                <w:sz w:val="22"/>
                <w:szCs w:val="22"/>
                <w:lang w:val="en-GB"/>
              </w:rPr>
            </w:pPr>
            <w:r w:rsidRPr="00BA4FEA">
              <w:rPr>
                <w:rFonts w:ascii="Calibri" w:eastAsia="Times New Roman" w:hAnsi="Calibri" w:cs="Times New Roman"/>
                <w:b/>
                <w:bCs/>
                <w:color w:val="000000"/>
                <w:sz w:val="22"/>
                <w:szCs w:val="22"/>
                <w:lang w:val="en-GB"/>
              </w:rPr>
              <w:t xml:space="preserve">Arm, </w:t>
            </w:r>
            <w:r w:rsidRPr="00BA4FEA">
              <w:rPr>
                <w:rFonts w:ascii="Calibri" w:eastAsia="Times New Roman" w:hAnsi="Calibri" w:cs="Times New Roman"/>
                <w:color w:val="000000"/>
                <w:sz w:val="22"/>
                <w:szCs w:val="22"/>
                <w:lang w:val="en-GB"/>
              </w:rPr>
              <w:t>n (%)</w:t>
            </w:r>
          </w:p>
        </w:tc>
        <w:tc>
          <w:tcPr>
            <w:tcW w:w="2100" w:type="dxa"/>
            <w:tcBorders>
              <w:top w:val="nil"/>
              <w:left w:val="nil"/>
              <w:bottom w:val="nil"/>
              <w:right w:val="nil"/>
            </w:tcBorders>
            <w:shd w:val="clear" w:color="auto" w:fill="auto"/>
            <w:noWrap/>
            <w:vAlign w:val="center"/>
            <w:hideMark/>
          </w:tcPr>
          <w:p w14:paraId="04D7C7A6"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center"/>
            <w:hideMark/>
          </w:tcPr>
          <w:p w14:paraId="6512DC88"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center"/>
            <w:hideMark/>
          </w:tcPr>
          <w:p w14:paraId="1FA33436" w14:textId="77777777" w:rsidR="00BA4FEA" w:rsidRPr="00BA4FEA" w:rsidRDefault="00BA4FEA" w:rsidP="00BA4FEA">
            <w:pPr>
              <w:jc w:val="center"/>
              <w:rPr>
                <w:rFonts w:ascii="Calibri" w:eastAsia="Times New Roman" w:hAnsi="Calibri" w:cs="Times New Roman"/>
                <w:color w:val="000000"/>
                <w:sz w:val="22"/>
                <w:szCs w:val="22"/>
                <w:lang w:val="en-GB"/>
              </w:rPr>
            </w:pPr>
          </w:p>
        </w:tc>
      </w:tr>
      <w:tr w:rsidR="00BA4FEA" w:rsidRPr="00BA4FEA" w14:paraId="1765E81F" w14:textId="77777777" w:rsidTr="00BA4FEA">
        <w:trPr>
          <w:trHeight w:val="320"/>
        </w:trPr>
        <w:tc>
          <w:tcPr>
            <w:tcW w:w="3200" w:type="dxa"/>
            <w:tcBorders>
              <w:top w:val="nil"/>
              <w:left w:val="nil"/>
              <w:bottom w:val="nil"/>
              <w:right w:val="single" w:sz="4" w:space="0" w:color="auto"/>
            </w:tcBorders>
            <w:shd w:val="clear" w:color="auto" w:fill="auto"/>
            <w:noWrap/>
            <w:vAlign w:val="center"/>
            <w:hideMark/>
          </w:tcPr>
          <w:p w14:paraId="297E6F6D" w14:textId="77777777" w:rsidR="00BA4FEA" w:rsidRPr="00BA4FEA" w:rsidRDefault="00BA4FEA" w:rsidP="00BA4FEA">
            <w:pPr>
              <w:jc w:val="right"/>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Gemcitabine plus Placebo</w:t>
            </w:r>
          </w:p>
        </w:tc>
        <w:tc>
          <w:tcPr>
            <w:tcW w:w="2100" w:type="dxa"/>
            <w:tcBorders>
              <w:top w:val="nil"/>
              <w:left w:val="nil"/>
              <w:bottom w:val="nil"/>
              <w:right w:val="nil"/>
            </w:tcBorders>
            <w:shd w:val="clear" w:color="auto" w:fill="auto"/>
            <w:noWrap/>
            <w:vAlign w:val="bottom"/>
            <w:hideMark/>
          </w:tcPr>
          <w:p w14:paraId="72856AE8"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03633CF9" w14:textId="77777777" w:rsidR="00BA4FEA" w:rsidRPr="00BA4FEA" w:rsidRDefault="00BA4FEA" w:rsidP="00BA4FEA">
            <w:pPr>
              <w:jc w:val="center"/>
              <w:rPr>
                <w:rFonts w:ascii="Calibri" w:eastAsia="Times New Roman" w:hAnsi="Calibri" w:cs="Times New Roman"/>
                <w:color w:val="000000"/>
                <w:sz w:val="22"/>
                <w:szCs w:val="22"/>
                <w:lang w:val="en-GB"/>
              </w:rPr>
            </w:pPr>
          </w:p>
        </w:tc>
        <w:tc>
          <w:tcPr>
            <w:tcW w:w="2100" w:type="dxa"/>
            <w:tcBorders>
              <w:top w:val="nil"/>
              <w:left w:val="nil"/>
              <w:bottom w:val="nil"/>
              <w:right w:val="nil"/>
            </w:tcBorders>
            <w:shd w:val="clear" w:color="auto" w:fill="auto"/>
            <w:noWrap/>
            <w:vAlign w:val="bottom"/>
            <w:hideMark/>
          </w:tcPr>
          <w:p w14:paraId="1126C525" w14:textId="77777777" w:rsidR="00BA4FEA" w:rsidRPr="00BA4FEA" w:rsidRDefault="00BA4FEA" w:rsidP="00BA4FEA">
            <w:pPr>
              <w:jc w:val="center"/>
              <w:rPr>
                <w:rFonts w:ascii="Calibri" w:eastAsia="Times New Roman" w:hAnsi="Calibri" w:cs="Times New Roman"/>
                <w:color w:val="000000"/>
                <w:sz w:val="22"/>
                <w:szCs w:val="22"/>
                <w:lang w:val="en-GB"/>
              </w:rPr>
            </w:pPr>
          </w:p>
        </w:tc>
      </w:tr>
      <w:tr w:rsidR="00BA4FEA" w:rsidRPr="00BA4FEA" w14:paraId="210E7059" w14:textId="77777777" w:rsidTr="00BA4FEA">
        <w:trPr>
          <w:trHeight w:val="320"/>
        </w:trPr>
        <w:tc>
          <w:tcPr>
            <w:tcW w:w="3200" w:type="dxa"/>
            <w:tcBorders>
              <w:top w:val="nil"/>
              <w:left w:val="nil"/>
              <w:bottom w:val="single" w:sz="4" w:space="0" w:color="auto"/>
              <w:right w:val="single" w:sz="4" w:space="0" w:color="auto"/>
            </w:tcBorders>
            <w:shd w:val="clear" w:color="auto" w:fill="auto"/>
            <w:noWrap/>
            <w:vAlign w:val="center"/>
            <w:hideMark/>
          </w:tcPr>
          <w:p w14:paraId="3B86B245" w14:textId="77777777" w:rsidR="00BA4FEA" w:rsidRPr="00BA4FEA" w:rsidRDefault="00BA4FEA" w:rsidP="00BA4FEA">
            <w:pPr>
              <w:jc w:val="right"/>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Gemcitabine plus Vandetanib</w:t>
            </w:r>
          </w:p>
        </w:tc>
        <w:tc>
          <w:tcPr>
            <w:tcW w:w="2100" w:type="dxa"/>
            <w:tcBorders>
              <w:top w:val="nil"/>
              <w:left w:val="nil"/>
              <w:bottom w:val="single" w:sz="4" w:space="0" w:color="auto"/>
              <w:right w:val="nil"/>
            </w:tcBorders>
            <w:shd w:val="clear" w:color="auto" w:fill="auto"/>
            <w:noWrap/>
            <w:vAlign w:val="bottom"/>
            <w:hideMark/>
          </w:tcPr>
          <w:p w14:paraId="3971E612"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0.28 (0.18)</w:t>
            </w:r>
          </w:p>
        </w:tc>
        <w:tc>
          <w:tcPr>
            <w:tcW w:w="2100" w:type="dxa"/>
            <w:tcBorders>
              <w:top w:val="nil"/>
              <w:left w:val="nil"/>
              <w:bottom w:val="single" w:sz="4" w:space="0" w:color="auto"/>
              <w:right w:val="nil"/>
            </w:tcBorders>
            <w:shd w:val="clear" w:color="auto" w:fill="auto"/>
            <w:noWrap/>
            <w:vAlign w:val="bottom"/>
            <w:hideMark/>
          </w:tcPr>
          <w:p w14:paraId="619414AF"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1.33 (0.93, 1.90)</w:t>
            </w:r>
          </w:p>
        </w:tc>
        <w:tc>
          <w:tcPr>
            <w:tcW w:w="2100" w:type="dxa"/>
            <w:tcBorders>
              <w:top w:val="nil"/>
              <w:left w:val="nil"/>
              <w:bottom w:val="single" w:sz="4" w:space="0" w:color="auto"/>
              <w:right w:val="nil"/>
            </w:tcBorders>
            <w:shd w:val="clear" w:color="auto" w:fill="auto"/>
            <w:noWrap/>
            <w:vAlign w:val="bottom"/>
            <w:hideMark/>
          </w:tcPr>
          <w:p w14:paraId="08EA56BE" w14:textId="77777777" w:rsidR="00BA4FEA" w:rsidRPr="00BA4FEA" w:rsidRDefault="00BA4FEA" w:rsidP="00BA4FEA">
            <w:pPr>
              <w:jc w:val="center"/>
              <w:rPr>
                <w:rFonts w:ascii="Calibri" w:eastAsia="Times New Roman" w:hAnsi="Calibri" w:cs="Times New Roman"/>
                <w:color w:val="000000"/>
                <w:sz w:val="22"/>
                <w:szCs w:val="22"/>
                <w:lang w:val="en-GB"/>
              </w:rPr>
            </w:pPr>
            <w:r w:rsidRPr="00BA4FEA">
              <w:rPr>
                <w:rFonts w:ascii="Calibri" w:eastAsia="Times New Roman" w:hAnsi="Calibri" w:cs="Times New Roman"/>
                <w:color w:val="000000"/>
                <w:sz w:val="22"/>
                <w:szCs w:val="22"/>
                <w:lang w:val="en-GB"/>
              </w:rPr>
              <w:t>0.12</w:t>
            </w:r>
          </w:p>
        </w:tc>
      </w:tr>
    </w:tbl>
    <w:p w14:paraId="74B8835E" w14:textId="3AF82710" w:rsidR="006F00D7" w:rsidRPr="008519A1" w:rsidRDefault="00BA4FEA" w:rsidP="00C22D3B">
      <w:pPr>
        <w:spacing w:line="480" w:lineRule="auto"/>
        <w:rPr>
          <w:rFonts w:asciiTheme="majorHAnsi" w:hAnsiTheme="majorHAnsi"/>
        </w:rPr>
      </w:pPr>
      <w:r>
        <w:rPr>
          <w:rFonts w:asciiTheme="majorHAnsi" w:hAnsiTheme="majorHAnsi"/>
        </w:rPr>
        <w:t>Table 4: Multivariate analysis</w:t>
      </w:r>
    </w:p>
    <w:sectPr w:rsidR="006F00D7" w:rsidRPr="008519A1" w:rsidSect="00741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B13D5" w14:textId="77777777" w:rsidR="00A31F91" w:rsidRDefault="00A31F91" w:rsidP="004E661D">
      <w:r>
        <w:separator/>
      </w:r>
    </w:p>
  </w:endnote>
  <w:endnote w:type="continuationSeparator" w:id="0">
    <w:p w14:paraId="3500600E" w14:textId="77777777" w:rsidR="00A31F91" w:rsidRDefault="00A31F91" w:rsidP="004E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A603C" w14:textId="77777777" w:rsidR="00A31F91" w:rsidRDefault="00A31F91" w:rsidP="004E661D">
      <w:r>
        <w:separator/>
      </w:r>
    </w:p>
  </w:footnote>
  <w:footnote w:type="continuationSeparator" w:id="0">
    <w:p w14:paraId="49340681" w14:textId="77777777" w:rsidR="00A31F91" w:rsidRDefault="00A31F91" w:rsidP="004E6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71A8"/>
    <w:multiLevelType w:val="hybridMultilevel"/>
    <w:tmpl w:val="0D9EC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88273E"/>
    <w:multiLevelType w:val="hybridMultilevel"/>
    <w:tmpl w:val="56E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3B"/>
    <w:rsid w:val="000154F1"/>
    <w:rsid w:val="000427D8"/>
    <w:rsid w:val="00076ED8"/>
    <w:rsid w:val="000B64E4"/>
    <w:rsid w:val="001E2578"/>
    <w:rsid w:val="002075B3"/>
    <w:rsid w:val="002634C3"/>
    <w:rsid w:val="00276061"/>
    <w:rsid w:val="0030212D"/>
    <w:rsid w:val="00327649"/>
    <w:rsid w:val="0038747B"/>
    <w:rsid w:val="003A1534"/>
    <w:rsid w:val="003C72E8"/>
    <w:rsid w:val="00480270"/>
    <w:rsid w:val="004B26F5"/>
    <w:rsid w:val="004C33CE"/>
    <w:rsid w:val="004C4067"/>
    <w:rsid w:val="004E661D"/>
    <w:rsid w:val="00505D3B"/>
    <w:rsid w:val="005403CC"/>
    <w:rsid w:val="00587EE5"/>
    <w:rsid w:val="005D6B4A"/>
    <w:rsid w:val="0060439E"/>
    <w:rsid w:val="006C3CF9"/>
    <w:rsid w:val="006F00D7"/>
    <w:rsid w:val="00741520"/>
    <w:rsid w:val="007D4410"/>
    <w:rsid w:val="007D4FC2"/>
    <w:rsid w:val="007E1461"/>
    <w:rsid w:val="008519A1"/>
    <w:rsid w:val="00852B05"/>
    <w:rsid w:val="0092748F"/>
    <w:rsid w:val="00955FEE"/>
    <w:rsid w:val="00960B81"/>
    <w:rsid w:val="0099700A"/>
    <w:rsid w:val="00A06716"/>
    <w:rsid w:val="00A078BA"/>
    <w:rsid w:val="00A31F91"/>
    <w:rsid w:val="00AC6CD7"/>
    <w:rsid w:val="00AD09F3"/>
    <w:rsid w:val="00AE0BAF"/>
    <w:rsid w:val="00AE2E83"/>
    <w:rsid w:val="00AF7F06"/>
    <w:rsid w:val="00B34B3E"/>
    <w:rsid w:val="00BA4FEA"/>
    <w:rsid w:val="00BB2734"/>
    <w:rsid w:val="00C22D3B"/>
    <w:rsid w:val="00CB321A"/>
    <w:rsid w:val="00D65638"/>
    <w:rsid w:val="00DA2BB5"/>
    <w:rsid w:val="00E27FED"/>
    <w:rsid w:val="00E56DF0"/>
    <w:rsid w:val="00E87277"/>
    <w:rsid w:val="00EF2BA9"/>
    <w:rsid w:val="00F57C5F"/>
    <w:rsid w:val="00F63C04"/>
    <w:rsid w:val="00FC551C"/>
    <w:rsid w:val="00FF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77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2D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D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78"/>
    <w:pPr>
      <w:ind w:left="720"/>
      <w:contextualSpacing/>
    </w:pPr>
  </w:style>
  <w:style w:type="paragraph" w:styleId="Header">
    <w:name w:val="header"/>
    <w:basedOn w:val="Normal"/>
    <w:link w:val="HeaderChar"/>
    <w:uiPriority w:val="99"/>
    <w:unhideWhenUsed/>
    <w:rsid w:val="004E661D"/>
    <w:pPr>
      <w:tabs>
        <w:tab w:val="center" w:pos="4320"/>
        <w:tab w:val="right" w:pos="8640"/>
      </w:tabs>
    </w:pPr>
  </w:style>
  <w:style w:type="character" w:customStyle="1" w:styleId="HeaderChar">
    <w:name w:val="Header Char"/>
    <w:basedOn w:val="DefaultParagraphFont"/>
    <w:link w:val="Header"/>
    <w:uiPriority w:val="99"/>
    <w:rsid w:val="004E661D"/>
  </w:style>
  <w:style w:type="paragraph" w:styleId="Footer">
    <w:name w:val="footer"/>
    <w:basedOn w:val="Normal"/>
    <w:link w:val="FooterChar"/>
    <w:uiPriority w:val="99"/>
    <w:unhideWhenUsed/>
    <w:rsid w:val="004E661D"/>
    <w:pPr>
      <w:tabs>
        <w:tab w:val="center" w:pos="4320"/>
        <w:tab w:val="right" w:pos="8640"/>
      </w:tabs>
    </w:pPr>
  </w:style>
  <w:style w:type="character" w:customStyle="1" w:styleId="FooterChar">
    <w:name w:val="Footer Char"/>
    <w:basedOn w:val="DefaultParagraphFont"/>
    <w:link w:val="Footer"/>
    <w:uiPriority w:val="99"/>
    <w:rsid w:val="004E661D"/>
  </w:style>
  <w:style w:type="paragraph" w:styleId="Title">
    <w:name w:val="Title"/>
    <w:basedOn w:val="Normal"/>
    <w:next w:val="Normal"/>
    <w:link w:val="TitleChar"/>
    <w:uiPriority w:val="10"/>
    <w:qFormat/>
    <w:rsid w:val="00C22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D3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2D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2D3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22D3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D4FC2"/>
    <w:rPr>
      <w:sz w:val="18"/>
      <w:szCs w:val="18"/>
    </w:rPr>
  </w:style>
  <w:style w:type="paragraph" w:styleId="CommentText">
    <w:name w:val="annotation text"/>
    <w:basedOn w:val="Normal"/>
    <w:link w:val="CommentTextChar"/>
    <w:uiPriority w:val="99"/>
    <w:semiHidden/>
    <w:unhideWhenUsed/>
    <w:rsid w:val="007D4FC2"/>
  </w:style>
  <w:style w:type="character" w:customStyle="1" w:styleId="CommentTextChar">
    <w:name w:val="Comment Text Char"/>
    <w:basedOn w:val="DefaultParagraphFont"/>
    <w:link w:val="CommentText"/>
    <w:uiPriority w:val="99"/>
    <w:semiHidden/>
    <w:rsid w:val="007D4FC2"/>
  </w:style>
  <w:style w:type="paragraph" w:styleId="CommentSubject">
    <w:name w:val="annotation subject"/>
    <w:basedOn w:val="CommentText"/>
    <w:next w:val="CommentText"/>
    <w:link w:val="CommentSubjectChar"/>
    <w:uiPriority w:val="99"/>
    <w:semiHidden/>
    <w:unhideWhenUsed/>
    <w:rsid w:val="007D4FC2"/>
    <w:rPr>
      <w:b/>
      <w:bCs/>
      <w:sz w:val="20"/>
      <w:szCs w:val="20"/>
    </w:rPr>
  </w:style>
  <w:style w:type="character" w:customStyle="1" w:styleId="CommentSubjectChar">
    <w:name w:val="Comment Subject Char"/>
    <w:basedOn w:val="CommentTextChar"/>
    <w:link w:val="CommentSubject"/>
    <w:uiPriority w:val="99"/>
    <w:semiHidden/>
    <w:rsid w:val="007D4FC2"/>
    <w:rPr>
      <w:b/>
      <w:bCs/>
      <w:sz w:val="20"/>
      <w:szCs w:val="20"/>
    </w:rPr>
  </w:style>
  <w:style w:type="paragraph" w:styleId="BalloonText">
    <w:name w:val="Balloon Text"/>
    <w:basedOn w:val="Normal"/>
    <w:link w:val="BalloonTextChar"/>
    <w:uiPriority w:val="99"/>
    <w:semiHidden/>
    <w:unhideWhenUsed/>
    <w:rsid w:val="007D4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C2"/>
    <w:rPr>
      <w:rFonts w:ascii="Lucida Grande" w:hAnsi="Lucida Grande" w:cs="Lucida Grande"/>
      <w:sz w:val="18"/>
      <w:szCs w:val="18"/>
    </w:rPr>
  </w:style>
  <w:style w:type="paragraph" w:styleId="FootnoteText">
    <w:name w:val="footnote text"/>
    <w:basedOn w:val="Normal"/>
    <w:link w:val="FootnoteTextChar"/>
    <w:uiPriority w:val="99"/>
    <w:unhideWhenUsed/>
    <w:rsid w:val="007D4FC2"/>
  </w:style>
  <w:style w:type="character" w:customStyle="1" w:styleId="FootnoteTextChar">
    <w:name w:val="Footnote Text Char"/>
    <w:basedOn w:val="DefaultParagraphFont"/>
    <w:link w:val="FootnoteText"/>
    <w:uiPriority w:val="99"/>
    <w:rsid w:val="007D4FC2"/>
  </w:style>
  <w:style w:type="character" w:styleId="FootnoteReference">
    <w:name w:val="footnote reference"/>
    <w:basedOn w:val="DefaultParagraphFont"/>
    <w:uiPriority w:val="99"/>
    <w:unhideWhenUsed/>
    <w:rsid w:val="007D4FC2"/>
    <w:rPr>
      <w:vertAlign w:val="superscript"/>
    </w:rPr>
  </w:style>
  <w:style w:type="paragraph" w:styleId="NormalWeb">
    <w:name w:val="Normal (Web)"/>
    <w:basedOn w:val="Normal"/>
    <w:uiPriority w:val="99"/>
    <w:semiHidden/>
    <w:unhideWhenUsed/>
    <w:rsid w:val="00EF2BA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2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2D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2D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78"/>
    <w:pPr>
      <w:ind w:left="720"/>
      <w:contextualSpacing/>
    </w:pPr>
  </w:style>
  <w:style w:type="paragraph" w:styleId="Header">
    <w:name w:val="header"/>
    <w:basedOn w:val="Normal"/>
    <w:link w:val="HeaderChar"/>
    <w:uiPriority w:val="99"/>
    <w:unhideWhenUsed/>
    <w:rsid w:val="004E661D"/>
    <w:pPr>
      <w:tabs>
        <w:tab w:val="center" w:pos="4320"/>
        <w:tab w:val="right" w:pos="8640"/>
      </w:tabs>
    </w:pPr>
  </w:style>
  <w:style w:type="character" w:customStyle="1" w:styleId="HeaderChar">
    <w:name w:val="Header Char"/>
    <w:basedOn w:val="DefaultParagraphFont"/>
    <w:link w:val="Header"/>
    <w:uiPriority w:val="99"/>
    <w:rsid w:val="004E661D"/>
  </w:style>
  <w:style w:type="paragraph" w:styleId="Footer">
    <w:name w:val="footer"/>
    <w:basedOn w:val="Normal"/>
    <w:link w:val="FooterChar"/>
    <w:uiPriority w:val="99"/>
    <w:unhideWhenUsed/>
    <w:rsid w:val="004E661D"/>
    <w:pPr>
      <w:tabs>
        <w:tab w:val="center" w:pos="4320"/>
        <w:tab w:val="right" w:pos="8640"/>
      </w:tabs>
    </w:pPr>
  </w:style>
  <w:style w:type="character" w:customStyle="1" w:styleId="FooterChar">
    <w:name w:val="Footer Char"/>
    <w:basedOn w:val="DefaultParagraphFont"/>
    <w:link w:val="Footer"/>
    <w:uiPriority w:val="99"/>
    <w:rsid w:val="004E661D"/>
  </w:style>
  <w:style w:type="paragraph" w:styleId="Title">
    <w:name w:val="Title"/>
    <w:basedOn w:val="Normal"/>
    <w:next w:val="Normal"/>
    <w:link w:val="TitleChar"/>
    <w:uiPriority w:val="10"/>
    <w:qFormat/>
    <w:rsid w:val="00C22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D3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2D3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2D3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22D3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D4FC2"/>
    <w:rPr>
      <w:sz w:val="18"/>
      <w:szCs w:val="18"/>
    </w:rPr>
  </w:style>
  <w:style w:type="paragraph" w:styleId="CommentText">
    <w:name w:val="annotation text"/>
    <w:basedOn w:val="Normal"/>
    <w:link w:val="CommentTextChar"/>
    <w:uiPriority w:val="99"/>
    <w:semiHidden/>
    <w:unhideWhenUsed/>
    <w:rsid w:val="007D4FC2"/>
  </w:style>
  <w:style w:type="character" w:customStyle="1" w:styleId="CommentTextChar">
    <w:name w:val="Comment Text Char"/>
    <w:basedOn w:val="DefaultParagraphFont"/>
    <w:link w:val="CommentText"/>
    <w:uiPriority w:val="99"/>
    <w:semiHidden/>
    <w:rsid w:val="007D4FC2"/>
  </w:style>
  <w:style w:type="paragraph" w:styleId="CommentSubject">
    <w:name w:val="annotation subject"/>
    <w:basedOn w:val="CommentText"/>
    <w:next w:val="CommentText"/>
    <w:link w:val="CommentSubjectChar"/>
    <w:uiPriority w:val="99"/>
    <w:semiHidden/>
    <w:unhideWhenUsed/>
    <w:rsid w:val="007D4FC2"/>
    <w:rPr>
      <w:b/>
      <w:bCs/>
      <w:sz w:val="20"/>
      <w:szCs w:val="20"/>
    </w:rPr>
  </w:style>
  <w:style w:type="character" w:customStyle="1" w:styleId="CommentSubjectChar">
    <w:name w:val="Comment Subject Char"/>
    <w:basedOn w:val="CommentTextChar"/>
    <w:link w:val="CommentSubject"/>
    <w:uiPriority w:val="99"/>
    <w:semiHidden/>
    <w:rsid w:val="007D4FC2"/>
    <w:rPr>
      <w:b/>
      <w:bCs/>
      <w:sz w:val="20"/>
      <w:szCs w:val="20"/>
    </w:rPr>
  </w:style>
  <w:style w:type="paragraph" w:styleId="BalloonText">
    <w:name w:val="Balloon Text"/>
    <w:basedOn w:val="Normal"/>
    <w:link w:val="BalloonTextChar"/>
    <w:uiPriority w:val="99"/>
    <w:semiHidden/>
    <w:unhideWhenUsed/>
    <w:rsid w:val="007D4F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C2"/>
    <w:rPr>
      <w:rFonts w:ascii="Lucida Grande" w:hAnsi="Lucida Grande" w:cs="Lucida Grande"/>
      <w:sz w:val="18"/>
      <w:szCs w:val="18"/>
    </w:rPr>
  </w:style>
  <w:style w:type="paragraph" w:styleId="FootnoteText">
    <w:name w:val="footnote text"/>
    <w:basedOn w:val="Normal"/>
    <w:link w:val="FootnoteTextChar"/>
    <w:uiPriority w:val="99"/>
    <w:unhideWhenUsed/>
    <w:rsid w:val="007D4FC2"/>
  </w:style>
  <w:style w:type="character" w:customStyle="1" w:styleId="FootnoteTextChar">
    <w:name w:val="Footnote Text Char"/>
    <w:basedOn w:val="DefaultParagraphFont"/>
    <w:link w:val="FootnoteText"/>
    <w:uiPriority w:val="99"/>
    <w:rsid w:val="007D4FC2"/>
  </w:style>
  <w:style w:type="character" w:styleId="FootnoteReference">
    <w:name w:val="footnote reference"/>
    <w:basedOn w:val="DefaultParagraphFont"/>
    <w:uiPriority w:val="99"/>
    <w:unhideWhenUsed/>
    <w:rsid w:val="007D4FC2"/>
    <w:rPr>
      <w:vertAlign w:val="superscript"/>
    </w:rPr>
  </w:style>
  <w:style w:type="paragraph" w:styleId="NormalWeb">
    <w:name w:val="Normal (Web)"/>
    <w:basedOn w:val="Normal"/>
    <w:uiPriority w:val="99"/>
    <w:semiHidden/>
    <w:unhideWhenUsed/>
    <w:rsid w:val="00EF2BA9"/>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F2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5872">
      <w:bodyDiv w:val="1"/>
      <w:marLeft w:val="0"/>
      <w:marRight w:val="0"/>
      <w:marTop w:val="0"/>
      <w:marBottom w:val="0"/>
      <w:divBdr>
        <w:top w:val="none" w:sz="0" w:space="0" w:color="auto"/>
        <w:left w:val="none" w:sz="0" w:space="0" w:color="auto"/>
        <w:bottom w:val="none" w:sz="0" w:space="0" w:color="auto"/>
        <w:right w:val="none" w:sz="0" w:space="0" w:color="auto"/>
      </w:divBdr>
    </w:div>
    <w:div w:id="140928730">
      <w:bodyDiv w:val="1"/>
      <w:marLeft w:val="0"/>
      <w:marRight w:val="0"/>
      <w:marTop w:val="0"/>
      <w:marBottom w:val="0"/>
      <w:divBdr>
        <w:top w:val="none" w:sz="0" w:space="0" w:color="auto"/>
        <w:left w:val="none" w:sz="0" w:space="0" w:color="auto"/>
        <w:bottom w:val="none" w:sz="0" w:space="0" w:color="auto"/>
        <w:right w:val="none" w:sz="0" w:space="0" w:color="auto"/>
      </w:divBdr>
    </w:div>
    <w:div w:id="168565022">
      <w:bodyDiv w:val="1"/>
      <w:marLeft w:val="0"/>
      <w:marRight w:val="0"/>
      <w:marTop w:val="0"/>
      <w:marBottom w:val="0"/>
      <w:divBdr>
        <w:top w:val="none" w:sz="0" w:space="0" w:color="auto"/>
        <w:left w:val="none" w:sz="0" w:space="0" w:color="auto"/>
        <w:bottom w:val="none" w:sz="0" w:space="0" w:color="auto"/>
        <w:right w:val="none" w:sz="0" w:space="0" w:color="auto"/>
      </w:divBdr>
    </w:div>
    <w:div w:id="203103393">
      <w:bodyDiv w:val="1"/>
      <w:marLeft w:val="0"/>
      <w:marRight w:val="0"/>
      <w:marTop w:val="0"/>
      <w:marBottom w:val="0"/>
      <w:divBdr>
        <w:top w:val="none" w:sz="0" w:space="0" w:color="auto"/>
        <w:left w:val="none" w:sz="0" w:space="0" w:color="auto"/>
        <w:bottom w:val="none" w:sz="0" w:space="0" w:color="auto"/>
        <w:right w:val="none" w:sz="0" w:space="0" w:color="auto"/>
      </w:divBdr>
    </w:div>
    <w:div w:id="259996389">
      <w:bodyDiv w:val="1"/>
      <w:marLeft w:val="0"/>
      <w:marRight w:val="0"/>
      <w:marTop w:val="0"/>
      <w:marBottom w:val="0"/>
      <w:divBdr>
        <w:top w:val="none" w:sz="0" w:space="0" w:color="auto"/>
        <w:left w:val="none" w:sz="0" w:space="0" w:color="auto"/>
        <w:bottom w:val="none" w:sz="0" w:space="0" w:color="auto"/>
        <w:right w:val="none" w:sz="0" w:space="0" w:color="auto"/>
      </w:divBdr>
    </w:div>
    <w:div w:id="386105014">
      <w:bodyDiv w:val="1"/>
      <w:marLeft w:val="0"/>
      <w:marRight w:val="0"/>
      <w:marTop w:val="0"/>
      <w:marBottom w:val="0"/>
      <w:divBdr>
        <w:top w:val="none" w:sz="0" w:space="0" w:color="auto"/>
        <w:left w:val="none" w:sz="0" w:space="0" w:color="auto"/>
        <w:bottom w:val="none" w:sz="0" w:space="0" w:color="auto"/>
        <w:right w:val="none" w:sz="0" w:space="0" w:color="auto"/>
      </w:divBdr>
    </w:div>
    <w:div w:id="1227374126">
      <w:bodyDiv w:val="1"/>
      <w:marLeft w:val="0"/>
      <w:marRight w:val="0"/>
      <w:marTop w:val="0"/>
      <w:marBottom w:val="0"/>
      <w:divBdr>
        <w:top w:val="none" w:sz="0" w:space="0" w:color="auto"/>
        <w:left w:val="none" w:sz="0" w:space="0" w:color="auto"/>
        <w:bottom w:val="none" w:sz="0" w:space="0" w:color="auto"/>
        <w:right w:val="none" w:sz="0" w:space="0" w:color="auto"/>
      </w:divBdr>
    </w:div>
    <w:div w:id="1318805658">
      <w:bodyDiv w:val="1"/>
      <w:marLeft w:val="0"/>
      <w:marRight w:val="0"/>
      <w:marTop w:val="0"/>
      <w:marBottom w:val="0"/>
      <w:divBdr>
        <w:top w:val="none" w:sz="0" w:space="0" w:color="auto"/>
        <w:left w:val="none" w:sz="0" w:space="0" w:color="auto"/>
        <w:bottom w:val="none" w:sz="0" w:space="0" w:color="auto"/>
        <w:right w:val="none" w:sz="0" w:space="0" w:color="auto"/>
      </w:divBdr>
    </w:div>
    <w:div w:id="1660966023">
      <w:bodyDiv w:val="1"/>
      <w:marLeft w:val="0"/>
      <w:marRight w:val="0"/>
      <w:marTop w:val="0"/>
      <w:marBottom w:val="0"/>
      <w:divBdr>
        <w:top w:val="none" w:sz="0" w:space="0" w:color="auto"/>
        <w:left w:val="none" w:sz="0" w:space="0" w:color="auto"/>
        <w:bottom w:val="none" w:sz="0" w:space="0" w:color="auto"/>
        <w:right w:val="none" w:sz="0" w:space="0" w:color="auto"/>
      </w:divBdr>
    </w:div>
    <w:div w:id="2138209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2818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stor.org/stable/2344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Jackson</dc:creator>
  <cp:lastModifiedBy>Greenhaf</cp:lastModifiedBy>
  <cp:revision>2</cp:revision>
  <dcterms:created xsi:type="dcterms:W3CDTF">2015-12-01T12:18:00Z</dcterms:created>
  <dcterms:modified xsi:type="dcterms:W3CDTF">2015-12-01T12:18:00Z</dcterms:modified>
</cp:coreProperties>
</file>