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95197" w14:textId="5F4BF27C" w:rsidR="0094190B" w:rsidRPr="0094190B" w:rsidRDefault="0094190B" w:rsidP="00D70D02">
      <w:pPr>
        <w:spacing w:after="0" w:line="480" w:lineRule="auto"/>
        <w:rPr>
          <w:b/>
        </w:rPr>
      </w:pPr>
      <w:r w:rsidRPr="0094190B">
        <w:rPr>
          <w:b/>
        </w:rPr>
        <w:t>Title</w:t>
      </w:r>
    </w:p>
    <w:p w14:paraId="151D8859" w14:textId="7DEAD379" w:rsidR="00CA0A33" w:rsidRDefault="00EA6BA4" w:rsidP="00D70D02">
      <w:pPr>
        <w:spacing w:after="0" w:line="480" w:lineRule="auto"/>
      </w:pPr>
      <w:r w:rsidRPr="0094190B">
        <w:t>Impact of non-adherence on the safety and efficacy of uric acid lowering therapies in the treatment of gout: A PKPD simulation study</w:t>
      </w:r>
    </w:p>
    <w:p w14:paraId="6EF1F4E4" w14:textId="77777777" w:rsidR="00D828B5" w:rsidRPr="0094190B" w:rsidRDefault="00D828B5" w:rsidP="00D70D02">
      <w:pPr>
        <w:spacing w:after="0" w:line="480" w:lineRule="auto"/>
      </w:pPr>
    </w:p>
    <w:p w14:paraId="63C4C32D" w14:textId="7FA256C9" w:rsidR="005B71D9" w:rsidRDefault="0094190B" w:rsidP="00D70D02">
      <w:pPr>
        <w:spacing w:after="0" w:line="480" w:lineRule="auto"/>
        <w:rPr>
          <w:b/>
        </w:rPr>
      </w:pPr>
      <w:r>
        <w:rPr>
          <w:b/>
        </w:rPr>
        <w:t>Authors</w:t>
      </w:r>
    </w:p>
    <w:p w14:paraId="7AA0AC56" w14:textId="15217C66" w:rsidR="00E1706C" w:rsidRDefault="00E1706C" w:rsidP="00D70D02">
      <w:pPr>
        <w:spacing w:after="0" w:line="480" w:lineRule="auto"/>
        <w:rPr>
          <w:vertAlign w:val="superscript"/>
        </w:rPr>
      </w:pPr>
      <w:r w:rsidRPr="00C403A0">
        <w:t>Authors</w:t>
      </w:r>
      <w:r w:rsidR="00956D1F" w:rsidRPr="00C403A0">
        <w:t xml:space="preserve">: </w:t>
      </w:r>
      <w:r w:rsidRPr="00C403A0">
        <w:t>Daniel Hill-McManus</w:t>
      </w:r>
      <w:r w:rsidRPr="00C403A0">
        <w:rPr>
          <w:vertAlign w:val="superscript"/>
        </w:rPr>
        <w:t>1</w:t>
      </w:r>
      <w:r w:rsidRPr="00C403A0">
        <w:t>, Elena Soto</w:t>
      </w:r>
      <w:r w:rsidRPr="00C403A0">
        <w:rPr>
          <w:vertAlign w:val="superscript"/>
        </w:rPr>
        <w:t>2</w:t>
      </w:r>
      <w:r w:rsidRPr="00C403A0">
        <w:t>, Scott Marshall</w:t>
      </w:r>
      <w:r w:rsidRPr="00C403A0">
        <w:rPr>
          <w:vertAlign w:val="superscript"/>
        </w:rPr>
        <w:t>2</w:t>
      </w:r>
      <w:r w:rsidRPr="00C403A0">
        <w:t xml:space="preserve">, </w:t>
      </w:r>
      <w:r w:rsidR="00FD31BF" w:rsidRPr="00C403A0">
        <w:t>Steven Lane</w:t>
      </w:r>
      <w:r w:rsidR="00FD31BF" w:rsidRPr="00C403A0">
        <w:rPr>
          <w:vertAlign w:val="superscript"/>
        </w:rPr>
        <w:t>3</w:t>
      </w:r>
      <w:r w:rsidR="00FD31BF" w:rsidRPr="00C403A0">
        <w:t xml:space="preserve">, </w:t>
      </w:r>
      <w:r w:rsidRPr="00C403A0">
        <w:t>Dyfrig Hughes</w:t>
      </w:r>
      <w:r w:rsidRPr="00C403A0">
        <w:rPr>
          <w:vertAlign w:val="superscript"/>
        </w:rPr>
        <w:t>1</w:t>
      </w:r>
    </w:p>
    <w:p w14:paraId="75D7625D" w14:textId="0626A313" w:rsidR="00E1706C" w:rsidRDefault="00C403A0" w:rsidP="00D70D02">
      <w:pPr>
        <w:spacing w:after="0" w:line="480" w:lineRule="auto"/>
      </w:pPr>
      <w:r>
        <w:t xml:space="preserve">Affiliations: </w:t>
      </w:r>
      <w:r w:rsidR="00E1706C" w:rsidRPr="00C403A0">
        <w:t>1) Centre for Health Economic and Medicines E</w:t>
      </w:r>
      <w:r>
        <w:t xml:space="preserve">valuation, Bangor University; </w:t>
      </w:r>
      <w:r w:rsidR="00E1706C" w:rsidRPr="00C403A0">
        <w:t>2) Pharmacometrics</w:t>
      </w:r>
      <w:r w:rsidR="00DE2341" w:rsidRPr="00C403A0">
        <w:t>,</w:t>
      </w:r>
      <w:r w:rsidR="00E1706C" w:rsidRPr="00C403A0">
        <w:t xml:space="preserve"> Pfizer Ltd</w:t>
      </w:r>
      <w:r w:rsidR="00DE2341" w:rsidRPr="00C403A0">
        <w:t>,</w:t>
      </w:r>
      <w:r w:rsidR="00E1706C" w:rsidRPr="00C403A0">
        <w:t xml:space="preserve"> Sandwich</w:t>
      </w:r>
      <w:r w:rsidR="00DE2341" w:rsidRPr="00C403A0">
        <w:t>,</w:t>
      </w:r>
      <w:r>
        <w:t xml:space="preserve"> UK; </w:t>
      </w:r>
      <w:r w:rsidR="00FD31BF" w:rsidRPr="00C403A0">
        <w:t xml:space="preserve">3) </w:t>
      </w:r>
      <w:hyperlink r:id="rId8" w:history="1">
        <w:r w:rsidR="00BC0CD7" w:rsidRPr="00C403A0">
          <w:t>Department</w:t>
        </w:r>
      </w:hyperlink>
      <w:r w:rsidR="00BC0CD7" w:rsidRPr="00C403A0">
        <w:t xml:space="preserve"> of Biostatistics</w:t>
      </w:r>
      <w:r w:rsidR="00FD31BF" w:rsidRPr="00C403A0">
        <w:t>, University of Liverpool</w:t>
      </w:r>
    </w:p>
    <w:p w14:paraId="342E2787" w14:textId="3CF4D453" w:rsidR="00776A02" w:rsidRPr="0094190B" w:rsidRDefault="0094190B" w:rsidP="00D70D02">
      <w:pPr>
        <w:spacing w:after="0" w:line="480" w:lineRule="auto"/>
      </w:pPr>
      <w:r w:rsidRPr="0094190B">
        <w:t xml:space="preserve">Correspondence: Daniel Hill-McManus, Centre for Health Economic and Medicines Evaluation, </w:t>
      </w:r>
      <w:proofErr w:type="spellStart"/>
      <w:r w:rsidRPr="0094190B">
        <w:t>Ardudwy</w:t>
      </w:r>
      <w:proofErr w:type="spellEnd"/>
      <w:r w:rsidRPr="0094190B">
        <w:t xml:space="preserve"> Building, Normal Site, Bangor University, Bangor. LL57 2PZ.</w:t>
      </w:r>
      <w:r>
        <w:t xml:space="preserve"> </w:t>
      </w:r>
      <w:r w:rsidRPr="0094190B">
        <w:t>d.mcmanus@bangor.ac.uk</w:t>
      </w:r>
      <w:r>
        <w:t xml:space="preserve">. </w:t>
      </w:r>
      <w:r w:rsidRPr="0094190B">
        <w:t>+44(0)1248 388479</w:t>
      </w:r>
      <w:r>
        <w:t>.</w:t>
      </w:r>
    </w:p>
    <w:p w14:paraId="68A2422E" w14:textId="77777777" w:rsidR="008F1E77" w:rsidRDefault="008F1E77" w:rsidP="00D70D02">
      <w:pPr>
        <w:spacing w:after="0" w:line="480" w:lineRule="auto"/>
        <w:rPr>
          <w:b/>
        </w:rPr>
      </w:pPr>
    </w:p>
    <w:p w14:paraId="134520FF" w14:textId="726B346F" w:rsidR="008F1E77" w:rsidRPr="008F1E77" w:rsidRDefault="008F1E77" w:rsidP="00D70D02">
      <w:pPr>
        <w:spacing w:after="0" w:line="480" w:lineRule="auto"/>
      </w:pPr>
      <w:r w:rsidRPr="008F1E77">
        <w:t>Number of references:</w:t>
      </w:r>
      <w:r>
        <w:t xml:space="preserve"> </w:t>
      </w:r>
      <w:r w:rsidR="00DC4CFB">
        <w:t>44</w:t>
      </w:r>
    </w:p>
    <w:p w14:paraId="1640800E" w14:textId="65ABD694" w:rsidR="008F1E77" w:rsidRPr="008F1E77" w:rsidRDefault="008F1E77" w:rsidP="00D70D02">
      <w:pPr>
        <w:spacing w:after="0" w:line="480" w:lineRule="auto"/>
      </w:pPr>
      <w:r w:rsidRPr="008F1E77">
        <w:t>Number of figures:</w:t>
      </w:r>
      <w:r w:rsidR="00DC4CFB">
        <w:t xml:space="preserve"> </w:t>
      </w:r>
      <w:r w:rsidR="0026466C">
        <w:t>4</w:t>
      </w:r>
    </w:p>
    <w:p w14:paraId="384E093A" w14:textId="214768F7" w:rsidR="008F1E77" w:rsidRPr="008F1E77" w:rsidRDefault="008F1E77" w:rsidP="00D70D02">
      <w:pPr>
        <w:spacing w:after="0" w:line="480" w:lineRule="auto"/>
      </w:pPr>
      <w:r w:rsidRPr="008F1E77">
        <w:t>Number of tables:</w:t>
      </w:r>
      <w:r w:rsidR="00DC4CFB">
        <w:t xml:space="preserve"> 3</w:t>
      </w:r>
    </w:p>
    <w:p w14:paraId="1E00A8C0" w14:textId="358912B2" w:rsidR="00C403A0" w:rsidRDefault="008F1E77" w:rsidP="00D70D02">
      <w:pPr>
        <w:spacing w:after="0" w:line="480" w:lineRule="auto"/>
        <w:rPr>
          <w:b/>
        </w:rPr>
      </w:pPr>
      <w:r w:rsidRPr="008F1E77">
        <w:t>Key words:</w:t>
      </w:r>
      <w:r w:rsidR="00DC4CFB">
        <w:t xml:space="preserve"> pharmacokinetics, pharmacodynamics, urate-lowering therapy, lesinurad, febuxostat, hyperuricosuria.</w:t>
      </w:r>
      <w:r w:rsidR="00C403A0">
        <w:rPr>
          <w:b/>
        </w:rPr>
        <w:br w:type="page"/>
      </w:r>
    </w:p>
    <w:p w14:paraId="05A83349" w14:textId="20C42860" w:rsidR="0026466C" w:rsidRDefault="0026466C" w:rsidP="00D70D02">
      <w:pPr>
        <w:spacing w:after="0" w:line="480" w:lineRule="auto"/>
        <w:rPr>
          <w:b/>
        </w:rPr>
      </w:pPr>
      <w:r>
        <w:rPr>
          <w:b/>
        </w:rPr>
        <w:lastRenderedPageBreak/>
        <w:t>Abstract</w:t>
      </w:r>
    </w:p>
    <w:p w14:paraId="65405D6B" w14:textId="22CE3177" w:rsidR="00D828B5" w:rsidRDefault="00197DAF" w:rsidP="00014A9B">
      <w:pPr>
        <w:spacing w:after="0" w:line="480" w:lineRule="auto"/>
      </w:pPr>
      <w:r>
        <w:t>Dual</w:t>
      </w:r>
      <w:r w:rsidR="00D828B5">
        <w:t>-</w:t>
      </w:r>
      <w:r w:rsidR="00D7557A">
        <w:t>urate lowering therapy (ULT)</w:t>
      </w:r>
      <w:r>
        <w:t xml:space="preserve"> with xanthine oxidase inhibitor (XOI) and uricosuric medications are </w:t>
      </w:r>
      <w:r w:rsidR="00BF1B5A">
        <w:t>a treatment</w:t>
      </w:r>
      <w:r>
        <w:t xml:space="preserve"> option for </w:t>
      </w:r>
      <w:r w:rsidR="006B04C1">
        <w:t>severe gout</w:t>
      </w:r>
      <w:r>
        <w:t xml:space="preserve">. Uricosurics </w:t>
      </w:r>
      <w:r w:rsidR="006B04C1">
        <w:t>c</w:t>
      </w:r>
      <w:r w:rsidR="00D7557A">
        <w:t>an</w:t>
      </w:r>
      <w:r w:rsidR="006B04C1">
        <w:t xml:space="preserve"> cause</w:t>
      </w:r>
      <w:r>
        <w:t xml:space="preserve"> </w:t>
      </w:r>
      <w:r w:rsidR="00DF29A1">
        <w:t xml:space="preserve">hyperuricosuria, a risk factor for nephrolithiasis and acute uric acid nephropathy. </w:t>
      </w:r>
      <w:r w:rsidR="00014A9B">
        <w:t>The impact of poor medication adherence on the risk of hyperuricosuria was studied using 2-compartment PK models based on published evidence and a semi-mechanistic 4-compartment pharmacokinetic-pharmacodynamic (PKPD).</w:t>
      </w:r>
      <w:r w:rsidR="00D828B5" w:rsidRPr="00D828B5">
        <w:t xml:space="preserve"> </w:t>
      </w:r>
      <w:r w:rsidR="00D828B5">
        <w:t>The model was used to simulate mono and dual-therapy regimens with varying adherence patterns. Simulation results showed a surge in urinary uric acid occurs when dosing is restarted following missed doses.</w:t>
      </w:r>
      <w:r w:rsidR="00D828B5" w:rsidRPr="00D828B5">
        <w:t xml:space="preserve"> </w:t>
      </w:r>
      <w:r w:rsidR="00D828B5">
        <w:t>Very poor adherence results in negligible improvements in treatment success and increases the rate of episodic hyperuricosuria. Further research is needed into impact of adherence patterns on treatment success rate rates and kidney safety in order to better understand how</w:t>
      </w:r>
      <w:r w:rsidR="00D828B5" w:rsidRPr="00A11972">
        <w:t xml:space="preserve"> </w:t>
      </w:r>
      <w:r w:rsidR="00D828B5">
        <w:t>dual-ULT could be optimally used in the treatment of hyperuricemia in patients with gout.</w:t>
      </w:r>
    </w:p>
    <w:p w14:paraId="50337AEC" w14:textId="663A4CA2" w:rsidR="001C4EE6" w:rsidRDefault="001C4EE6" w:rsidP="00D70D02">
      <w:pPr>
        <w:spacing w:after="0" w:line="480" w:lineRule="auto"/>
        <w:rPr>
          <w:b/>
        </w:rPr>
      </w:pPr>
      <w:r>
        <w:rPr>
          <w:b/>
        </w:rPr>
        <w:br w:type="page"/>
      </w:r>
    </w:p>
    <w:p w14:paraId="51E47A88" w14:textId="77777777" w:rsidR="008C2EAA" w:rsidRPr="00BA22B5" w:rsidRDefault="008C2EAA" w:rsidP="00D70D02">
      <w:pPr>
        <w:spacing w:after="0" w:line="480" w:lineRule="auto"/>
        <w:rPr>
          <w:b/>
        </w:rPr>
      </w:pPr>
      <w:r w:rsidRPr="00BA22B5">
        <w:rPr>
          <w:b/>
        </w:rPr>
        <w:lastRenderedPageBreak/>
        <w:t>Introduction</w:t>
      </w:r>
    </w:p>
    <w:p w14:paraId="7D0C66D5" w14:textId="56E98090" w:rsidR="00791EAF" w:rsidRDefault="008C2EAA" w:rsidP="00D70D02">
      <w:pPr>
        <w:spacing w:after="0" w:line="480" w:lineRule="auto"/>
      </w:pPr>
      <w:r>
        <w:t xml:space="preserve">Gout is a painful and disabling </w:t>
      </w:r>
      <w:r w:rsidR="006A4E89">
        <w:t xml:space="preserve">chronic </w:t>
      </w:r>
      <w:r>
        <w:t xml:space="preserve">disease which has proven difficult to </w:t>
      </w:r>
      <w:r w:rsidR="00D278C7">
        <w:t>treat</w:t>
      </w:r>
      <w:r>
        <w:t xml:space="preserve"> and affects a large </w:t>
      </w:r>
      <w:r w:rsidR="00E82A39">
        <w:t>and increasing number of people</w:t>
      </w:r>
      <w:r w:rsidR="00014A9B">
        <w:t>.</w:t>
      </w:r>
      <w:r w:rsidR="00E82A39">
        <w:fldChar w:fldCharType="begin" w:fldLock="1"/>
      </w:r>
      <w:r w:rsidR="00EC525B">
        <w:instrText>ADDIN CSL_CITATION { "citationItems" : [ { "id" : "ITEM-1", "itemData" : { "DOI" : "10.1016/S0140-6736(16)00346-9", "ISSN" : "1474547X", "abstract" : "Gout is a chronic disease of deposition of monosodium urate crystals, which form in the presence of increased urate concentrations. Although environmental factors contribute to hyperuricaemia, renal and gut excretion of urate is central to regulation of serum urate, and genetic factors are important. Activation of the NLRP3 inflammasome and release of interleukin 1?? have key roles in initiation of acute gout flares. A \"treat to target serum urate\" approach is essential for effective gout management; long-term lowering of serum urate to less than 360 ??mol/L leads to crystal dissolution and ultimately to suppression of flares. An allopurinol dose-escalation strategy is frequently effective for achieving treatment targets, and several new urate-lowering drugs are also available. Worldwide, rates of initiation and continuation of urate-lowering therapy are very low, and, consequently, achievement of serum urate targets is infrequent. Strategies to improve quality of gout care are needed.", "author" : [ { "dropping-particle" : "", "family" : "Dalbeth", "given" : "Nicola", "non-dropping-particle" : "", "parse-names" : false, "suffix" : "" }, { "dropping-particle" : "", "family" : "Merriman", "given" : "Tony R.", "non-dropping-particle" : "", "parse-names" : false, "suffix" : "" }, { "dropping-particle" : "", "family" : "Stamp", "given" : "Lisa K.", "non-dropping-particle" : "", "parse-names" : false, "suffix" : "" } ], "container-title" : "The Lancet", "id" : "ITEM-1", "issue" : "16", "issued" : { "date-parts" : [ [ "2016" ] ] }, "page" : "1-14", "title" : "Gout", "type" : "article-journal", "volume" : "6736" }, "uris" : [ "http://www.mendeley.com/documents/?uuid=c4a6a9fe-118d-4843-83ba-481c0943c215" ] } ], "mendeley" : { "formattedCitation" : "&lt;sup&gt;1&lt;/sup&gt;", "plainTextFormattedCitation" : "1", "previouslyFormattedCitation" : "&lt;sup&gt;1&lt;/sup&gt;" }, "properties" : { "noteIndex" : 0 }, "schema" : "https://github.com/citation-style-language/schema/raw/master/csl-citation.json" }</w:instrText>
      </w:r>
      <w:r w:rsidR="00E82A39">
        <w:fldChar w:fldCharType="separate"/>
      </w:r>
      <w:r w:rsidR="00523B14" w:rsidRPr="00523B14">
        <w:rPr>
          <w:noProof/>
          <w:vertAlign w:val="superscript"/>
        </w:rPr>
        <w:t>1</w:t>
      </w:r>
      <w:r w:rsidR="00E82A39">
        <w:fldChar w:fldCharType="end"/>
      </w:r>
      <w:r w:rsidR="00E16B3A">
        <w:t xml:space="preserve"> </w:t>
      </w:r>
      <w:r w:rsidR="008B7E74">
        <w:t>Long term treatment with u</w:t>
      </w:r>
      <w:r>
        <w:t xml:space="preserve">rate lowering therapies (ULTs) </w:t>
      </w:r>
      <w:r w:rsidR="003D1D5B">
        <w:t>aim</w:t>
      </w:r>
      <w:r w:rsidR="00005EE6">
        <w:t>s</w:t>
      </w:r>
      <w:r w:rsidR="003D1D5B">
        <w:t xml:space="preserve"> to</w:t>
      </w:r>
      <w:r w:rsidR="008B7E74">
        <w:t xml:space="preserve"> </w:t>
      </w:r>
      <w:r w:rsidR="00BD670C">
        <w:t>reduce</w:t>
      </w:r>
      <w:r w:rsidR="008B7E74">
        <w:t xml:space="preserve"> serum uric acid</w:t>
      </w:r>
      <w:r w:rsidR="00830EBE">
        <w:t xml:space="preserve"> (</w:t>
      </w:r>
      <w:proofErr w:type="spellStart"/>
      <w:r w:rsidR="00830EBE">
        <w:t>sUA</w:t>
      </w:r>
      <w:proofErr w:type="spellEnd"/>
      <w:r w:rsidR="00830EBE">
        <w:t>)</w:t>
      </w:r>
      <w:r w:rsidR="008B7E74">
        <w:t xml:space="preserve"> </w:t>
      </w:r>
      <w:r w:rsidR="00145A3B">
        <w:t>concentration</w:t>
      </w:r>
      <w:r w:rsidR="00BD670C">
        <w:t>s</w:t>
      </w:r>
      <w:r w:rsidR="008B7E74">
        <w:t xml:space="preserve"> </w:t>
      </w:r>
      <w:r w:rsidR="00BD670C">
        <w:t xml:space="preserve">to </w:t>
      </w:r>
      <w:r w:rsidR="008B7E74">
        <w:t>below the point of saturation (a</w:t>
      </w:r>
      <w:r w:rsidR="001D492C">
        <w:t>pproximately</w:t>
      </w:r>
      <w:r w:rsidR="008B7E74">
        <w:t xml:space="preserve"> 6 mg/</w:t>
      </w:r>
      <w:proofErr w:type="spellStart"/>
      <w:r w:rsidR="008B7E74">
        <w:t>dL</w:t>
      </w:r>
      <w:proofErr w:type="spellEnd"/>
      <w:r w:rsidR="008B7E74">
        <w:t xml:space="preserve">). </w:t>
      </w:r>
      <w:r w:rsidR="006A4E89">
        <w:t>When treatment with a xanthine oxidase inhibitor (XOI) alone is unsuccessful, a</w:t>
      </w:r>
      <w:r w:rsidR="00D5569F">
        <w:t xml:space="preserve"> </w:t>
      </w:r>
      <w:r w:rsidR="006A4E89">
        <w:t>u</w:t>
      </w:r>
      <w:r w:rsidR="00E833A8">
        <w:t xml:space="preserve">ricosuric </w:t>
      </w:r>
      <w:r w:rsidR="00791EAF">
        <w:t>can be used in combination</w:t>
      </w:r>
      <w:r w:rsidR="00014A9B">
        <w:t>.</w:t>
      </w:r>
      <w:r w:rsidR="00791EAF">
        <w:fldChar w:fldCharType="begin" w:fldLock="1"/>
      </w:r>
      <w:r w:rsidR="00EC525B">
        <w:instrText>ADDIN CSL_CITATION { "citationItems" : [ { "id" : "ITEM-1", "itemData" : { "DOI" : "10.1136/annrheumdis-2016-209707", "ISBN" : "0003-4967", "ISSN" : "16809408", "PMID" : "27457514", "abstract" : "B", "author" : [ { "dropping-particle" : "", "family" : "Richette", "given" : "P", "non-dropping-particle" : "", "parse-names" : false, "suffix" : "" }, { "dropping-particle" : "", "family" : "Doherty", "given" : "M", "non-dropping-particle" : "", "parse-names" : false, "suffix" : "" }, { "dropping-particle" : "", "family" : "Pascual", "given" : "E", "non-dropping-particle" : "", "parse-names" : false, "suffix" : "" }, { "dropping-particle" : "", "family" : "Barskova", "given" : "V", "non-dropping-particle" : "", "parse-names" : false, "suffix" : "" }, { "dropping-particle" : "", "family" : "Becce", "given" : "F", "non-dropping-particle" : "", "parse-names" : false, "suffix" : "" }, { "dropping-particle" : "", "family" : "Castaneda-Sanabria", "given" : "J", "non-dropping-particle" : "", "parse-names" : false, "suffix" : "" }, { "dropping-particle" : "", "family" : "Coyfish", "given" : "M", "non-dropping-particle" : "", "parse-names" : false, "suffix" : "" }, { "dropping-particle" : "", "family" : "Bardin", "given" : "T", "non-dropping-particle" : "", "parse-names" : false, "suffix" : "" } ], "container-title" : "Ann Rheum Dis", "id" : "ITEM-1", "issued" : { "date-parts" : [ [ "2017" ] ] }, "page" : "29-42", "title" : "2016 updated EULAR evidence-based recommendations for the management of gout", "type" : "article-journal", "volume" : "76" }, "uris" : [ "http://www.mendeley.com/documents/?uuid=ceb82a77-c8a1-4e22-9ae0-131cdfc7b453" ] } ], "mendeley" : { "formattedCitation" : "&lt;sup&gt;2&lt;/sup&gt;", "plainTextFormattedCitation" : "2", "previouslyFormattedCitation" : "&lt;sup&gt;2&lt;/sup&gt;" }, "properties" : { "noteIndex" : 0 }, "schema" : "https://github.com/citation-style-language/schema/raw/master/csl-citation.json" }</w:instrText>
      </w:r>
      <w:r w:rsidR="00791EAF">
        <w:fldChar w:fldCharType="separate"/>
      </w:r>
      <w:r w:rsidR="00523B14" w:rsidRPr="00523B14">
        <w:rPr>
          <w:noProof/>
          <w:vertAlign w:val="superscript"/>
        </w:rPr>
        <w:t>2</w:t>
      </w:r>
      <w:r w:rsidR="00791EAF">
        <w:fldChar w:fldCharType="end"/>
      </w:r>
      <w:r w:rsidR="00791EAF">
        <w:t xml:space="preserve"> The use of uricosurics for long-term therapy has been limited due to possible hepatotoxicity (</w:t>
      </w:r>
      <w:proofErr w:type="spellStart"/>
      <w:r w:rsidR="00791EAF">
        <w:t>benzbromarone</w:t>
      </w:r>
      <w:proofErr w:type="spellEnd"/>
      <w:r w:rsidR="00791EAF">
        <w:t>) and drug-drug interactions (probenecid). However, the uric acid transporter-1 (URAT-1) inhibitor lesinurad has recently</w:t>
      </w:r>
      <w:r w:rsidR="00791EAF" w:rsidRPr="0078138B">
        <w:t xml:space="preserve"> </w:t>
      </w:r>
      <w:r w:rsidR="006959A0">
        <w:t xml:space="preserve">gained regulatory </w:t>
      </w:r>
      <w:r w:rsidR="00791EAF" w:rsidRPr="0078138B">
        <w:t xml:space="preserve">approved </w:t>
      </w:r>
      <w:r w:rsidR="00791EAF">
        <w:t>and is intended for long-term therapy in combination with</w:t>
      </w:r>
      <w:r w:rsidR="00791EAF" w:rsidRPr="0078138B">
        <w:t xml:space="preserve"> an XOI</w:t>
      </w:r>
      <w:r w:rsidR="00014A9B">
        <w:t>.</w:t>
      </w:r>
      <w:r w:rsidR="00791EAF">
        <w:fldChar w:fldCharType="begin" w:fldLock="1"/>
      </w:r>
      <w:r w:rsidR="00EC525B">
        <w:instrText>ADDIN CSL_CITATION { "citationItems" : [ { "id" : "ITEM-1", "itemData" : { "DOI" : "10.1186/s13075-016-1107-x", "ISBN" : "1478-6354", "ISSN" : "1478-6362", "PMID" : "27716403", "abstract" : "BACKGROUND: Excess body burden of uric acid promotes gout. Diminished renal clearance of uric acid causes hyperuricemia in most patients with gout, and the renal urate transporter (URAT)1 is important for regulation of serum uric acid (sUA) levels. The URAT1 inhibitors probenecid and benzbromarone are used as gout therapies; however, their use is limited by drug-drug interactions and off-target toxicity, respectively. Here, we define the mechanism of action of lesinurad (Zurampic(R); RDEA594), a novel URAT1 inhibitor, recently approved in the USA and Europe for treatment of chronic gout. METHODS: sUA levels, fractional excretion of uric acid (FEUA), lesinurad plasma levels, and urinary excretion of lesinurad were measured in healthy volunteers treated with lesinurad. In addition, lesinurad, probenecid, and benzbromarone were compared in vitro for effects on urate transporters and the organic anion transporters (OAT)1 and OAT3, changes in mitochondrial membrane potential, and human peroxisome proliferator-activated receptor gamma (PPARgamma) activity. RESULTS: After 6 hours, a single 200-mg dose of lesinurad elevated FEUA 3.6-fold (p &lt; 0.001) and reduced sUA levels by 33 % (p &lt; 0.001). At concentrations achieved in the clinic, lesinurad inhibited activity of URAT1 and OAT4 in vitro, did not inhibit GLUT9, and had no effect on ABCG2. Lesinurad also showed a low risk for mitochondrial toxicity and PPARgamma induction compared to benzbromarone. Unlike probenecid, lesinurad did not inhibit OAT1 or OAT3 in the clinical setting. CONCLUSION: The pharmacodynamic effects and in vitro activity of lesinurad are consistent with inhibition of URAT1 and OAT4, major apical transporters for uric acid. Lesinurad also has a favorable selectivity and safety profile, consistent with an important role in sUA-lowering therapy for patients with gout.", "author" : [ { "dropping-particle" : "", "family" : "Miner", "given" : "J", "non-dropping-particle" : "", "parse-names" : false, "suffix" : "" }, { "dropping-particle" : "", "family" : "Tan", "given" : "P K", "non-dropping-particle" : "", "parse-names" : false, "suffix" : "" }, { "dropping-particle" : "", "family" : "Hyndman", "given" : "D", "non-dropping-particle" : "", "parse-names" : false, "suffix" : "" }, { "dropping-particle" : "", "family" : "Liu", "given" : "S", "non-dropping-particle" : "", "parse-names" : false, "suffix" : "" }, { "dropping-particle" : "", "family" : "Iverson", "given" : "C", "non-dropping-particle" : "", "parse-names" : false, "suffix" : "" }, { "dropping-particle" : "", "family" : "Nanavati", "given" : "P", "non-dropping-particle" : "", "parse-names" : false, "suffix" : "" }, { "dropping-particle" : "", "family" : "Hagerty", "given" : "D T", "non-dropping-particle" : "", "parse-names" : false, "suffix" : "" }, { "dropping-particle" : "", "family" : "Manhard", "given" : "K", "non-dropping-particle" : "", "parse-names" : false, "suffix" : "" }, { "dropping-particle" : "", "family" : "Shen", "given" : "Z", "non-dropping-particle" : "", "parse-names" : false, "suffix" : "" }, { "dropping-particle" : "", "family" : "Girardet", "given" : "J L", "non-dropping-particle" : "", "parse-names" : false, "suffix" : "" }, { "dropping-particle" : "", "family" : "Yeh", "given" : "L T", "non-dropping-particle" : "", "parse-names" : false, "suffix" : "" }, { "dropping-particle" : "", "family" : "Terkeltaub", "given" : "R", "non-dropping-particle" : "", "parse-names" : false, "suffix" : "" }, { "dropping-particle" : "", "family" : "Quart", "given" : "B", "non-dropping-particle" : "", "parse-names" : false, "suffix" : "" } ], "container-title" : "Arthritis Res Ther", "id" : "ITEM-1", "issued" : { "date-parts" : [ [ "2016" ] ] }, "page" : "214", "publisher" : "Arthritis Research &amp; Therapy", "title" : "Lesinurad, a novel, oral compound for gout, acts to decrease serum uric acid through inhibition of urate transporters in the kidney", "type" : "article-journal", "volume" : "18" }, "uris" : [ "http://www.mendeley.com/documents/?uuid=ad6436f3-7179-47c0-a466-dcad33472212" ] } ], "mendeley" : { "formattedCitation" : "&lt;sup&gt;3&lt;/sup&gt;", "plainTextFormattedCitation" : "3", "previouslyFormattedCitation" : "&lt;sup&gt;3&lt;/sup&gt;" }, "properties" : { "noteIndex" : 0 }, "schema" : "https://github.com/citation-style-language/schema/raw/master/csl-citation.json" }</w:instrText>
      </w:r>
      <w:r w:rsidR="00791EAF">
        <w:fldChar w:fldCharType="separate"/>
      </w:r>
      <w:r w:rsidR="00523B14" w:rsidRPr="00523B14">
        <w:rPr>
          <w:noProof/>
          <w:vertAlign w:val="superscript"/>
        </w:rPr>
        <w:t>3</w:t>
      </w:r>
      <w:r w:rsidR="00791EAF">
        <w:fldChar w:fldCharType="end"/>
      </w:r>
    </w:p>
    <w:p w14:paraId="21A00319" w14:textId="77777777" w:rsidR="0091173C" w:rsidRDefault="0091173C" w:rsidP="00D70D02">
      <w:pPr>
        <w:spacing w:after="0" w:line="480" w:lineRule="auto"/>
      </w:pPr>
    </w:p>
    <w:p w14:paraId="707A52C3" w14:textId="17DDA088" w:rsidR="00E55201" w:rsidRDefault="00791EAF" w:rsidP="00D70D02">
      <w:pPr>
        <w:spacing w:after="0" w:line="480" w:lineRule="auto"/>
      </w:pPr>
      <w:r>
        <w:t xml:space="preserve">Because they increase the renal excretion of uric acid, uricosurics such as lesinurad, can cause </w:t>
      </w:r>
      <w:r w:rsidR="006A4E89">
        <w:t>hyperuricosuria (</w:t>
      </w:r>
      <w:r w:rsidR="006A4E89" w:rsidRPr="000A3CD9">
        <w:rPr>
          <w:rStyle w:val="st"/>
        </w:rPr>
        <w:t xml:space="preserve">urinary excretion of uric acid </w:t>
      </w:r>
      <w:r w:rsidR="006A4E89">
        <w:rPr>
          <w:rStyle w:val="st"/>
        </w:rPr>
        <w:t>≥</w:t>
      </w:r>
      <w:r w:rsidR="006A4E89" w:rsidRPr="000A3CD9">
        <w:rPr>
          <w:rStyle w:val="st"/>
        </w:rPr>
        <w:t>800 mg/day in men</w:t>
      </w:r>
      <w:r w:rsidR="006A4E89">
        <w:rPr>
          <w:rStyle w:val="st"/>
        </w:rPr>
        <w:t>;</w:t>
      </w:r>
      <w:r w:rsidR="006A4E89" w:rsidRPr="000A3CD9">
        <w:rPr>
          <w:rStyle w:val="st"/>
        </w:rPr>
        <w:t xml:space="preserve"> </w:t>
      </w:r>
      <w:r w:rsidR="006A4E89">
        <w:rPr>
          <w:rStyle w:val="st"/>
        </w:rPr>
        <w:t>≥</w:t>
      </w:r>
      <w:r w:rsidR="006A4E89" w:rsidRPr="000A3CD9">
        <w:rPr>
          <w:rStyle w:val="st"/>
        </w:rPr>
        <w:t>750 mg/day in women</w:t>
      </w:r>
      <w:r w:rsidR="006A4E89">
        <w:rPr>
          <w:rStyle w:val="st"/>
        </w:rPr>
        <w:t>)</w:t>
      </w:r>
      <w:r w:rsidR="00014A9B">
        <w:rPr>
          <w:rStyle w:val="st"/>
        </w:rPr>
        <w:t>.</w:t>
      </w:r>
      <w:r w:rsidR="006A4E89">
        <w:rPr>
          <w:rStyle w:val="st"/>
        </w:rPr>
        <w:fldChar w:fldCharType="begin" w:fldLock="1"/>
      </w:r>
      <w:r w:rsidR="00EC525B">
        <w:rPr>
          <w:rStyle w:val="st"/>
        </w:rPr>
        <w:instrText>ADDIN CSL_CITATION { "citationItems" : [ { "id" : "ITEM-1", "itemData" : { "DOI" : "10.1016/S0090-4295(02)01908-8", "ISBN" : "0090-4295", "ISSN" : "00904295", "PMID" : "12429297", "abstract" : "Objectives. To determine whether the biochemical presentation and urinary physicochemical environment of patients with hyperuricosuria presenting with calcium stones (hyperuricosuric calcium urolithiasis [HUCU]) differs from those of patients with gouty diathesis (GD) or idiopathic uric acid urolithiasis. Methods. A total of 122 patients with HUCU and 68 patients with GD were identified from our \"stone registry\" of patients who underwent a full ambulatory evaluation. All patients with HUCU had urinary uric acid greater than 800 mg/day in men and greater than 750 mg/day in women and presented with calcium stones. Those with GD had pure uric acid stones or mixed uric acid-calcium stones and did not have secondary causes of uric acid urolithiasis. Data derived from the fasting serum and 24-hour urine samples collected on a random diet and on a diet restricted in calcium, sodium, and oxalate were compared between the two groups. Results. Compared with patients with HUCU, those with GD had significantly higher serum uric acid and lower urinary uric acid and pH levels (mean value 5.38 and 5.35 on random and restricted diets versus 6.09 and 6.14, respectively). The fractional excretion of urate and the discriminant score of the relationship between urinary pH and the fractional excretion of urate were significantly lower in those with GD than in those with HUCU. Patients with HUCU displayed a greater urinary saturation of sodium urate and calcium oxalate compared with those with GD, and those with GD had a higher urinary content of undissociated uric acid and lower urinary saturation of brushite (calcium phosphate). Conclusions. Patients with HUCU presented with normal urinary pH and hyperuricosuria, accompanied sometimes by hypercalciuria, which produced increased urinary saturation of sodium urate and calcium oxalate. In contrast, those with GD had a low fractional excretion of urate (that contributed to hyperuricemia) and low urinary pH (that led to increased amount of undissociated uric acid). The varying biochemical and physicochemical presentations of the two conditions can be ascribed to overindulgence with purine-rich foods in those with HUCU and underlying primary gout in those with GD. ?? 2002, Elsevier Science Inc.", "author" : [ { "dropping-particle" : "", "family" : "Pak", "given" : "C. Y C", "non-dropping-particle" : "", "parse-names" : false, "suffix" : "" }, { "dropping-particle" : "", "family" : "Poindexter", "given" : "John R.", "non-dropping-particle" : "", "parse-names" : false, "suffix" : "" }, { "dropping-particle" : "", "family" : "Peterson", "given" : "Roy D.", "non-dropping-particle" : "", "parse-names" : false, "suffix" : "" }, { "dropping-particle" : "", "family" : "Koska", "given" : "Janice", "non-dropping-particle" : "", "parse-names" : false, "suffix" : "" }, { "dropping-particle" : "", "family" : "Sakhaee", "given" : "Khashayar", "non-dropping-particle" : "", "parse-names" : false, "suffix" : "" } ], "container-title" : "Urology", "id" : "ITEM-1", "issue" : "5", "issued" : { "date-parts" : [ [ "2002" ] ] }, "page" : "789-794", "title" : "Biochemical distinction between hyperuricosuric calcium urolithiasis and gouty diathesis", "type" : "article-journal", "volume" : "60" }, "uris" : [ "http://www.mendeley.com/documents/?uuid=192c70a4-b95e-460d-9522-e83b4d66aeaf" ] } ], "mendeley" : { "formattedCitation" : "&lt;sup&gt;4&lt;/sup&gt;", "plainTextFormattedCitation" : "4", "previouslyFormattedCitation" : "&lt;sup&gt;4&lt;/sup&gt;" }, "properties" : { "noteIndex" : 0 }, "schema" : "https://github.com/citation-style-language/schema/raw/master/csl-citation.json" }</w:instrText>
      </w:r>
      <w:r w:rsidR="006A4E89">
        <w:rPr>
          <w:rStyle w:val="st"/>
        </w:rPr>
        <w:fldChar w:fldCharType="separate"/>
      </w:r>
      <w:r w:rsidR="00523B14" w:rsidRPr="00523B14">
        <w:rPr>
          <w:rStyle w:val="st"/>
          <w:noProof/>
          <w:vertAlign w:val="superscript"/>
        </w:rPr>
        <w:t>4</w:t>
      </w:r>
      <w:r w:rsidR="006A4E89">
        <w:rPr>
          <w:rStyle w:val="st"/>
        </w:rPr>
        <w:fldChar w:fldCharType="end"/>
      </w:r>
      <w:r>
        <w:rPr>
          <w:rStyle w:val="st"/>
        </w:rPr>
        <w:t xml:space="preserve"> H</w:t>
      </w:r>
      <w:r w:rsidR="00905F57">
        <w:rPr>
          <w:rStyle w:val="st"/>
        </w:rPr>
        <w:t>igh levels of urinary uric acid</w:t>
      </w:r>
      <w:r w:rsidR="002D7F79">
        <w:rPr>
          <w:rStyle w:val="st"/>
        </w:rPr>
        <w:t xml:space="preserve"> (</w:t>
      </w:r>
      <w:proofErr w:type="spellStart"/>
      <w:r w:rsidR="002D7F79">
        <w:rPr>
          <w:rStyle w:val="st"/>
        </w:rPr>
        <w:t>uUA</w:t>
      </w:r>
      <w:proofErr w:type="spellEnd"/>
      <w:r w:rsidR="002D7F79">
        <w:rPr>
          <w:rStyle w:val="st"/>
        </w:rPr>
        <w:t>)</w:t>
      </w:r>
      <w:r w:rsidR="00905F57">
        <w:rPr>
          <w:rStyle w:val="st"/>
        </w:rPr>
        <w:t xml:space="preserve"> can cause kidney damage which may be </w:t>
      </w:r>
      <w:r w:rsidR="00905F57">
        <w:t>acute, such as stone formation (nephrolithiasis)</w:t>
      </w:r>
      <w:r w:rsidR="005E6683">
        <w:fldChar w:fldCharType="begin" w:fldLock="1"/>
      </w:r>
      <w:r w:rsidR="00EC525B">
        <w:instrText>ADDIN CSL_CITATION { "citationItems" : [ { "id" : "ITEM-1", "itemData" : { "DOI" : "10.1007/978-1-4615-9140-5_46", "ISBN" : "978-1-4615-9140-5", "author" : [ { "dropping-particle" : "", "family" : "Bluestone", "given" : "Rodney", "non-dropping-particle" : "", "parse-names" : false, "suffix" : "" }, { "dropping-particle" : "", "family" : "Klinenberg", "given" : "James", "non-dropping-particle" : "", "parse-names" : false, "suffix" : "" }, { "dropping-particle" : "", "family" : "Lee", "given" : "Ian K", "non-dropping-particle" : "", "parse-names" : false, "suffix" : "" } ], "container-title" : "Advances in Experimental Medicine and Biology", "id" : "ITEM-1", "issued" : { "date-parts" : [ [ "1980" ] ] }, "page" : "283-286", "title" : "Benzbromarone as a Long-Term Uricosuric Agent", "type" : "article-journal", "volume" : "122" }, "uris" : [ "http://www.mendeley.com/documents/?uuid=25f68b05-6d61-4d6b-b0dc-84a77376802c" ] } ], "mendeley" : { "formattedCitation" : "&lt;sup&gt;5&lt;/sup&gt;", "plainTextFormattedCitation" : "5", "previouslyFormattedCitation" : "&lt;sup&gt;5&lt;/sup&gt;" }, "properties" : { "noteIndex" : 0 }, "schema" : "https://github.com/citation-style-language/schema/raw/master/csl-citation.json" }</w:instrText>
      </w:r>
      <w:r w:rsidR="005E6683">
        <w:fldChar w:fldCharType="separate"/>
      </w:r>
      <w:r w:rsidR="00523B14" w:rsidRPr="00523B14">
        <w:rPr>
          <w:noProof/>
          <w:vertAlign w:val="superscript"/>
        </w:rPr>
        <w:t>5</w:t>
      </w:r>
      <w:r w:rsidR="005E6683">
        <w:fldChar w:fldCharType="end"/>
      </w:r>
      <w:r w:rsidR="00905F57">
        <w:t xml:space="preserve"> </w:t>
      </w:r>
      <w:r w:rsidR="00FF56E0">
        <w:t>and</w:t>
      </w:r>
      <w:r w:rsidR="00905F57">
        <w:t xml:space="preserve"> intrarenal obstruction (acute urate nephropathy), or chronic as in chronic</w:t>
      </w:r>
      <w:r w:rsidR="003D1D5B">
        <w:t xml:space="preserve"> (or </w:t>
      </w:r>
      <w:r w:rsidR="00905F57">
        <w:t>gouty</w:t>
      </w:r>
      <w:r w:rsidR="003D1D5B">
        <w:t>)</w:t>
      </w:r>
      <w:r w:rsidR="00905F57">
        <w:t xml:space="preserve"> nephropathy.</w:t>
      </w:r>
      <w:r w:rsidR="001A53C7">
        <w:t xml:space="preserve"> </w:t>
      </w:r>
      <w:r w:rsidR="00E55201">
        <w:t>Acute kidney injury can occur when uric acid concentrations in renal tubules reach supersaturation, which</w:t>
      </w:r>
      <w:r w:rsidR="000C2C0C">
        <w:t xml:space="preserve"> also depends on urine pH</w:t>
      </w:r>
      <w:r w:rsidR="00014A9B">
        <w:t>.</w:t>
      </w:r>
      <w:r w:rsidR="00BB33B7">
        <w:fldChar w:fldCharType="begin" w:fldLock="1"/>
      </w:r>
      <w:r w:rsidR="00EC525B">
        <w:instrText>ADDIN CSL_CITATION { "citationItems" : [ { "id" : "ITEM-1", "itemData" : { "DOI" : "10.1097/01.mnh.0000119527.79618.13", "ISSN" : "1062-4821", "PMID" : "15202612", "abstract" : "Purpose of review The factors involved in the pathogenesis of uric acid nephrolithiasis are well known. A low urinary pH is the most significant element in the generation of stones, with hyperuricosuria being a less common finding. The underlying mechanism(s) responsible for these disturbances remain poorly characterized. This review summarizes previous knowledge and highlights some recent developments in the pathophysiology of low urine pH and hyperuricosuria. Recent findings Epidemiological and metabolic studies have indicated an association between uric acid nephrolithiasis and insulin resistance. Some potential mechanisms include impaired ammoniagenesis caused by resistance to insulin action in the renal proximal tubule, or substrate competition by free fatty acids. The evaluation of a large Sicilian kindred recently revealed a putative genetic locus linked to uric acid stone disease. The identification of novel complementary DNA has provided an interesting insight into the renal handling of uric acid, including one genetic cause of renal uric acid wasting. Summary The recognition of metabolic, molecular, and genetic factors that influence urinary pH, and uric acid metabolism and excretion, will provide novel insights into the pathogenesis of uric acid stones, and open the way for new therapeutic strategies. Keywords", "author" : [ { "dropping-particle" : "", "family" : "Maalouf", "given" : "Naim M", "non-dropping-particle" : "", "parse-names" : false, "suffix" : "" }, { "dropping-particle" : "", "family" : "Cameron", "given" : "Mary Ann", "non-dropping-particle" : "", "parse-names" : false, "suffix" : "" }, { "dropping-particle" : "", "family" : "Moe", "given" : "Orson W", "non-dropping-particle" : "", "parse-names" : false, "suffix" : "" }, { "dropping-particle" : "", "family" : "Sakhaee", "given" : "Khashayar", "non-dropping-particle" : "", "parse-names" : false, "suffix" : "" } ], "container-title" : "Current Opinion in Nephrology and Hypertension", "id" : "ITEM-1", "issue" : "2", "issued" : { "date-parts" : [ [ "2004" ] ] }, "page" : "181-189", "title" : "Novel insights into the pathogenesis of uric acid nephrolithiasis", "type" : "article-journal", "volume" : "13" }, "uris" : [ "http://www.mendeley.com/documents/?uuid=65872563-b3b0-4fb5-993f-306cff75d3f9" ] }, { "id" : "ITEM-2", "itemData" : { "DOI" : "10.1016/j.jare.2016.09.006", "ISSN" : "20901232", "abstract" : "Acute kidney injury causes great morbidity and mortality in both the community and hospital settings. Understanding the etiological factors and the pathophysiological principles resulting in acute kidney injury is essential in prompting appropriate therapies. Recently hyperuricemia has been recognized as a potentially modifiable risk factor for acute kidney injury, including that associated with cardiovascular surgery, radiocontrast administration, rhabdomyolysis, and associated with heat stress. This review discussed the evidence that repeated episodes of acute kidney injury from heat stress and dehydration may also underlie the pathogenesis of the chronic kidney disease epidemic that is occurring in Central America (Mesoamerican nephropathy). Potential mechanisms for how uric acid might contribute to acute kidney injury are also discussed, including systemic effects on renal microvasculature and hemodynamics, and local crystalline and noncrystalline effects on the renal tubules. Pilot clinical trials also show potential benefits of lowering uric acid on acute kidney injury associated with a variety of insults. In summary, there is mounting evidence that hyperuricemia may have a significant role in the development of acute kidney injury. Prospective, placebo controlled, randomized trials are needed to determine the potential benefit of uric acid lowering therapy on kidney and cardio-metabolic diseases.", "author" : [ { "dropping-particle" : "", "family" : "Hahn", "given" : "Kai", "non-dropping-particle" : "", "parse-names" : false, "suffix" : "" }, { "dropping-particle" : "", "family" : "Kanbay", "given" : "Mehmet", "non-dropping-particle" : "", "parse-names" : false, "suffix" : "" }, { "dropping-particle" : "", "family" : "Lanaspa", "given" : "Miguel A.", "non-dropping-particle" : "", "parse-names" : false, "suffix" : "" }, { "dropping-particle" : "", "family" : "Johnson", "given" : "Richard J.", "non-dropping-particle" : "", "parse-names" : false, "suffix" : "" }, { "dropping-particle" : "", "family" : "Ejaz", "given" : "A. Ahsan", "non-dropping-particle" : "", "parse-names" : false, "suffix" : "" } ], "container-title" : "Journal of Advanced Research", "id" : "ITEM-2", "issued" : { "date-parts" : [ [ "2017" ] ] }, "publisher" : "Cairo University", "title" : "Serum uric acid and acute kidney injury: A mini review", "type" : "article-journal", "volume" : "In Press" }, "uris" : [ "http://www.mendeley.com/documents/?uuid=af2c7196-6bff-4832-8a73-c2f18e166c52" ] } ], "mendeley" : { "formattedCitation" : "&lt;sup&gt;6,7&lt;/sup&gt;", "plainTextFormattedCitation" : "6,7", "previouslyFormattedCitation" : "&lt;sup&gt;6,7&lt;/sup&gt;" }, "properties" : { "noteIndex" : 0 }, "schema" : "https://github.com/citation-style-language/schema/raw/master/csl-citation.json" }</w:instrText>
      </w:r>
      <w:r w:rsidR="00BB33B7">
        <w:fldChar w:fldCharType="separate"/>
      </w:r>
      <w:r w:rsidR="00523B14" w:rsidRPr="00523B14">
        <w:rPr>
          <w:noProof/>
          <w:vertAlign w:val="superscript"/>
        </w:rPr>
        <w:t>6,7</w:t>
      </w:r>
      <w:r w:rsidR="00BB33B7">
        <w:fldChar w:fldCharType="end"/>
      </w:r>
      <w:r w:rsidR="00E55201">
        <w:t xml:space="preserve"> </w:t>
      </w:r>
      <w:proofErr w:type="gramStart"/>
      <w:r w:rsidR="00E55201">
        <w:t>Chronic</w:t>
      </w:r>
      <w:proofErr w:type="gramEnd"/>
      <w:r w:rsidR="00E55201">
        <w:t xml:space="preserve"> nephropathy is thought to result from long-term hyperuricosuria which may be below supersaturation </w:t>
      </w:r>
      <w:r w:rsidR="006A4E89">
        <w:t>concentrations</w:t>
      </w:r>
      <w:r w:rsidR="00E55201">
        <w:t xml:space="preserve">. The existence of </w:t>
      </w:r>
      <w:r w:rsidR="003D1D5B">
        <w:t xml:space="preserve">chronic </w:t>
      </w:r>
      <w:r w:rsidR="00E55201">
        <w:t>nephropathy remains controversial</w:t>
      </w:r>
      <w:r w:rsidR="00A07E66">
        <w:fldChar w:fldCharType="begin" w:fldLock="1"/>
      </w:r>
      <w:r w:rsidR="00EC525B">
        <w:instrText>ADDIN CSL_CITATION { "citationItems" : [ { "id" : "ITEM-1", "itemData" : { "DOI" : "10.1681/ASN.2008101115", "ISSN" : "1533-3450", "PMID" : "19729442", "abstract" : "The question of whether hyperuricemia can induce chronic direct renal injury has been argued for many decades. Despite continued efforts and strong motivations to seek an answer, the current evidence still cannot definitively prove or refute the hypothesis. Recent data in rodents do favor causality between hyperuricemia and renal disease. Human epidemiologic data are quite varied, but positive studies do exist. Pathophysiologic models of biology for this entity are sparse in animals and nonexistent in humans.", "author" : [ { "dropping-particle" : "", "family" : "Moe", "given" : "Orson W", "non-dropping-particle" : "", "parse-names" : false, "suffix" : "" } ], "container-title" : "Journal of the American Society of Nephrology : JASN", "id" : "ITEM-1", "issue" : "3", "issued" : { "date-parts" : [ [ "2010" ] ] }, "page" : "395-7", "title" : "Posing the question again: does chronic uric acid nephropathy exist?", "type" : "article-journal", "volume" : "21" }, "uris" : [ "http://www.mendeley.com/documents/?uuid=289732cd-a642-43ba-8eda-c7089fa8cb5c" ] } ], "mendeley" : { "formattedCitation" : "&lt;sup&gt;8&lt;/sup&gt;", "plainTextFormattedCitation" : "8", "previouslyFormattedCitation" : "&lt;sup&gt;8&lt;/sup&gt;" }, "properties" : { "noteIndex" : 0 }, "schema" : "https://github.com/citation-style-language/schema/raw/master/csl-citation.json" }</w:instrText>
      </w:r>
      <w:r w:rsidR="00A07E66">
        <w:fldChar w:fldCharType="separate"/>
      </w:r>
      <w:r w:rsidR="00523B14" w:rsidRPr="00523B14">
        <w:rPr>
          <w:noProof/>
          <w:vertAlign w:val="superscript"/>
        </w:rPr>
        <w:t>8</w:t>
      </w:r>
      <w:r w:rsidR="00A07E66">
        <w:fldChar w:fldCharType="end"/>
      </w:r>
      <w:r w:rsidR="00E55201">
        <w:t>, but is supported by animal models and some epidemiological studies</w:t>
      </w:r>
      <w:r w:rsidR="00014A9B">
        <w:t>.</w:t>
      </w:r>
      <w:r w:rsidR="006122E4">
        <w:fldChar w:fldCharType="begin" w:fldLock="1"/>
      </w:r>
      <w:r w:rsidR="00EC525B">
        <w:instrText>ADDIN CSL_CITATION { "citationItems" : [ { "id" : "ITEM-1", "itemData" : { "DOI" : "10.5527/wjn.v2.i2.17", "ISBN" : "3974233970", "ISSN" : "2220-6124", "PMID" : "24175261", "abstract" : "A role for uric acid in the pathogenesis and progression of renal disease had been proposed almost a century ago, but, too hastily dismissed in the early eighties. A body of evidence, mostly accumulated during the last decade, has led to a reappraisal of the influence of uric acid on hypertension, cardiovascular, and renal disease. The focus of this review will be solely on the relationship between serum uric acid and renal function and disease. We will review experimental evidence derived from animal and human studies, evidence gathered from a number of epidemiological studies, and from the few (up to now) studies of uric-acid-lowering therapy. Some space will be also devoted to the effects of uric acid in special populations, such as diabetics and recipients of kidney allografts. Finally we will briefly discuss the challenges of a trial of uric-acid-lowering treatment, and the recent suggestions on how to conduct such a trial.", "author" : [ { "dropping-particle" : "", "family" : "Bellomo", "given" : "Gianni", "non-dropping-particle" : "", "parse-names" : false, "suffix" : "" } ], "container-title" : "World journal of nephrology", "id" : "ITEM-1", "issue" : "2", "issued" : { "date-parts" : [ [ "2013" ] ] }, "page" : "17-25", "title" : "Uric acid and chronic kidney disease: A time to act?", "type" : "article-journal", "volume" : "2" }, "uris" : [ "http://www.mendeley.com/documents/?uuid=65e17bb3-6ef7-4a07-978a-5741f79a30fc" ] } ], "mendeley" : { "formattedCitation" : "&lt;sup&gt;9&lt;/sup&gt;", "plainTextFormattedCitation" : "9", "previouslyFormattedCitation" : "&lt;sup&gt;9&lt;/sup&gt;" }, "properties" : { "noteIndex" : 0 }, "schema" : "https://github.com/citation-style-language/schema/raw/master/csl-citation.json" }</w:instrText>
      </w:r>
      <w:r w:rsidR="006122E4">
        <w:fldChar w:fldCharType="separate"/>
      </w:r>
      <w:r w:rsidR="00523B14" w:rsidRPr="00523B14">
        <w:rPr>
          <w:noProof/>
          <w:vertAlign w:val="superscript"/>
        </w:rPr>
        <w:t>9</w:t>
      </w:r>
      <w:r w:rsidR="006122E4">
        <w:fldChar w:fldCharType="end"/>
      </w:r>
      <w:r w:rsidR="005E6683">
        <w:t xml:space="preserve"> </w:t>
      </w:r>
      <w:r w:rsidR="006451E4">
        <w:t>The harmful effects of uric acid on the kidney are a possible explanation of the association, in recent clinical trials, between lesinurad and an increase in the rate of raised serum creatinine and, for higher doses, with serious renal adverse events</w:t>
      </w:r>
      <w:r w:rsidR="00014A9B">
        <w:t>.</w:t>
      </w:r>
      <w:r w:rsidR="006451E4">
        <w:fldChar w:fldCharType="begin" w:fldLock="1"/>
      </w:r>
      <w:r w:rsidR="00EC525B">
        <w:instrText>ADDIN CSL_CITATION { "citationItems" : [ { "id" : "ITEM-1", "itemData" : { "ISBN" : "2001003440297", "author" : [ { "dropping-particle" : "", "family" : "EMA", "given" : "", "non-dropping-particle" : "", "parse-names" : false, "suffix" : "" } ], "id" : "ITEM-1", "issued" : { "date-parts" : [ [ "2015" ] ] }, "title" : "Zurampic Assessment Report", "type" : "report", "volume" : "EMA/6459/2" }, "uris" : [ "http://www.mendeley.com/documents/?uuid=184fa3cf-f305-4276-a427-d2f4e5be6979" ] } ], "mendeley" : { "formattedCitation" : "&lt;sup&gt;10&lt;/sup&gt;", "plainTextFormattedCitation" : "10", "previouslyFormattedCitation" : "&lt;sup&gt;10&lt;/sup&gt;" }, "properties" : { "noteIndex" : 0 }, "schema" : "https://github.com/citation-style-language/schema/raw/master/csl-citation.json" }</w:instrText>
      </w:r>
      <w:r w:rsidR="006451E4">
        <w:fldChar w:fldCharType="separate"/>
      </w:r>
      <w:r w:rsidR="00523B14" w:rsidRPr="00523B14">
        <w:rPr>
          <w:noProof/>
          <w:vertAlign w:val="superscript"/>
        </w:rPr>
        <w:t>10</w:t>
      </w:r>
      <w:r w:rsidR="006451E4">
        <w:fldChar w:fldCharType="end"/>
      </w:r>
    </w:p>
    <w:p w14:paraId="12A38DFB" w14:textId="77777777" w:rsidR="0091173C" w:rsidRDefault="0091173C" w:rsidP="00D70D02">
      <w:pPr>
        <w:spacing w:after="0" w:line="480" w:lineRule="auto"/>
      </w:pPr>
    </w:p>
    <w:p w14:paraId="50D0D605" w14:textId="51325DA5" w:rsidR="006959A0" w:rsidRDefault="00BD670C" w:rsidP="00D70D02">
      <w:pPr>
        <w:spacing w:after="0" w:line="480" w:lineRule="auto"/>
      </w:pPr>
      <w:r>
        <w:t xml:space="preserve">Adherence to </w:t>
      </w:r>
      <w:r w:rsidR="006959A0">
        <w:t>ULT is</w:t>
      </w:r>
      <w:r>
        <w:t xml:space="preserve"> known to be amongst the lowest of any chronic disease treatment</w:t>
      </w:r>
      <w:r>
        <w:fldChar w:fldCharType="begin" w:fldLock="1"/>
      </w:r>
      <w:r w:rsidR="00EC525B">
        <w:instrText>ADDIN CSL_CITATION { "citationItems" : [ { "id" : "ITEM-1", "itemData" : { "DOI" : "10.1592/phco.28.4.437.Comparison", "author" : [ { "dropping-particle" : "", "family" : "Briesacher", "given" : "Becky A", "non-dropping-particle" : "", "parse-names" : false, "suffix" : "" }, { "dropping-particle" : "", "family" : "Ph", "given" : "D", "non-dropping-particle" : "", "parse-names" : false, "suffix" : "" }, { "dropping-particle" : "", "family" : "Andrade", "given" : "Susan E", "non-dropping-particle" : "", "parse-names" : false, "suffix" : "" }, { "dropping-particle" : "", "family" : "Sc", "given" : "D", "non-dropping-particle" : "", "parse-names" : false, "suffix" : "" }, { "dropping-particle" : "", "family" : "Fouayzi", "given" : "Hassan", "non-dropping-particle" : "", "parse-names" : false, "suffix" : "" }, { "dropping-particle" : "", "family" : "Chan", "given" : "Arnold", "non-dropping-particle" : "", "parse-names" : false, "suffix" : "" } ], "container-title" : "Pharmacotherapy", "id" : "ITEM-1", "issue" : "4", "issued" : { "date-parts" : [ [ "2008" ] ] }, "page" : "437-443", "title" : "Comparison of Drug Adherence Rates Among Patients with Seven Different Medical Conditions", "type" : "article-journal", "volume" : "28" }, "uris" : [ "http://www.mendeley.com/documents/?uuid=9742171f-421e-4f8b-a54e-6b9810f3e2d6" ] }, { "id" : "ITEM-2", "itemData" : { "DOI" : "10.1002/acr.22336", "ISBN" : "2151-464X", "ISSN" : "21514658", "PMID" : "24692321", "abstract" : "Objective: Recent data suggesting the growing problem of medication non-adherence in gout has called for the need to synthesize the burden, determinants, and impacts of the problem. Our objective was to a conduct a systematic review of the literature examining medication adherence among patients with gout in real-world settings. Methods: We conducted a search of Medline, Embase, International Pharmaceutical Abstracts, PsycINFO, and CINAHL databases and selected studies of gout patients and medication adherence in real-world settings. We extracted information on study design, sample size, length of follow-up, data source (e.g. prescription records vs. electronic monitoring vs. self-report), type of non-adherence problem evaluated, adherence measures and reported estimates, and determinants of adherence reported in multivariable analyses. Results: We included 16 studies, which we categorized according to methods used to measure adherence including electronic prescription records (10), clinical records (1), electronic monitoring devices (1), and self-report (4). The burden of non-adherence was reported in all studies and among studies based on electronic prescription records, adherence rates were all below 0.80 and the proportion of adherent patients ranged from 10% to 46%. Six studies reported on determinants, with older age and having comorbid hypertension consistently shown to be positively associated with better adherence. One study showed the impact of adherence on achieving serum uric acid target. Conclusions: With less than half of gout patients in real-world settings adherent with their treatment, this systematic review highlights the importance of discussing adherence with medications during health care professional encounters with patients. \u00a9 2014 American College of Rheumatology.", "author" : [ { "dropping-particle" : "", "family" : "Vera", "given" : "Mary A.", "non-dropping-particle" : "De", "parse-names" : false, "suffix" : "" }, { "dropping-particle" : "", "family" : "Marcotte", "given" : "Greg", "non-dropping-particle" : "", "parse-names" : false, "suffix" : "" }, { "dropping-particle" : "", "family" : "Rai", "given" : "Sharan", "non-dropping-particle" : "", "parse-names" : false, "suffix" : "" }, { "dropping-particle" : "", "family" : "Galo", "given" : "Jessica S.", "non-dropping-particle" : "", "parse-names" : false, "suffix" : "" }, { "dropping-particle" : "", "family" : "Bhole", "given" : "Vidula", "non-dropping-particle" : "", "parse-names" : false, "suffix" : "" } ], "container-title" : "Arthritis Care and Research", "id" : "ITEM-2", "issue" : "10", "issued" : { "date-parts" : [ [ "2014" ] ] }, "page" : "1551-1559", "title" : "Medication adherence in gout: A systematic review", "type" : "article-journal", "volume" : "66" }, "uris" : [ "http://www.mendeley.com/documents/?uuid=3e47b13d-40f8-4bd0-bb71-df0d3880eef2" ] } ], "mendeley" : { "formattedCitation" : "&lt;sup&gt;11,12&lt;/sup&gt;", "plainTextFormattedCitation" : "11,12", "previouslyFormattedCitation" : "&lt;sup&gt;11,12&lt;/sup&gt;" }, "properties" : { "noteIndex" : 0 }, "schema" : "https://github.com/citation-style-language/schema/raw/master/csl-citation.json" }</w:instrText>
      </w:r>
      <w:r>
        <w:fldChar w:fldCharType="separate"/>
      </w:r>
      <w:r w:rsidR="00523B14" w:rsidRPr="00523B14">
        <w:rPr>
          <w:noProof/>
          <w:vertAlign w:val="superscript"/>
        </w:rPr>
        <w:t>11,12</w:t>
      </w:r>
      <w:r>
        <w:fldChar w:fldCharType="end"/>
      </w:r>
      <w:r>
        <w:t xml:space="preserve">, with 70% of patients having a drug holiday of at least 60 days over 6 years. </w:t>
      </w:r>
      <w:r w:rsidR="00323D2A">
        <w:t xml:space="preserve">Poor adherence to allopurinol monotherapy </w:t>
      </w:r>
      <w:r w:rsidR="006A4E89">
        <w:t>is</w:t>
      </w:r>
      <w:r w:rsidR="00323D2A">
        <w:t xml:space="preserve"> associated wit</w:t>
      </w:r>
      <w:r w:rsidR="00014A9B">
        <w:t>h lower treatment success rates</w:t>
      </w:r>
      <w:r w:rsidR="008267EA">
        <w:t>.</w:t>
      </w:r>
      <w:r w:rsidR="00323D2A">
        <w:fldChar w:fldCharType="begin" w:fldLock="1"/>
      </w:r>
      <w:r w:rsidR="00EC525B">
        <w:instrText>ADDIN CSL_CITATION { "citationItems" : [ { "id" : "ITEM-1", "itemData" : { "DOI" : "10.1185/03007990903017966", "ISBN" : "1473-4877; 0300-7995", "ISSN" : "1473-4877", "PMID" : "19485724", "abstract" : "To determine the association between allopurinol compliance and serum urate (sUA) level; and examine the association between sUA and gout-related healthcare costs in a large managed care population.", "author" : [ { "dropping-particle" : "", "family" : "Halpern", "given" : "Rachel", "non-dropping-particle" : "", "parse-names" : false, "suffix" : "" }, { "dropping-particle" : "", "family" : "Mody", "given" : "Reema R", "non-dropping-particle" : "", "parse-names" : false, "suffix" : "" }, { "dropping-particle" : "", "family" : "Fuldeore", "given" : "Mahesh J", "non-dropping-particle" : "", "parse-names" : false, "suffix" : "" }, { "dropping-particle" : "", "family" : "Patel", "given" : "Pankaj a", "non-dropping-particle" : "", "parse-names" : false, "suffix" : "" }, { "dropping-particle" : "", "family" : "Mikuls", "given" : "TR", "non-dropping-particle" : "", "parse-names" : false, "suffix" : "" } ], "container-title" : "Current Medical Research and Opinion", "id" : "ITEM-1", "issue" : "7", "issued" : { "date-parts" : [ [ "2009" ] ] }, "page" : "1711-9", "title" : "Impact of noncompliance with urate-lowering drug on serum urate and gout-related healthcare costs: administrative claims analysis.", "type" : "article-journal", "volume" : "25" }, "uris" : [ "http://www.mendeley.com/documents/?uuid=84416785-cccf-43a5-87cd-12b9bf1a475d" ] } ], "mendeley" : { "formattedCitation" : "&lt;sup&gt;13&lt;/sup&gt;", "plainTextFormattedCitation" : "13", "previouslyFormattedCitation" : "&lt;sup&gt;13&lt;/sup&gt;" }, "properties" : { "noteIndex" : 0 }, "schema" : "https://github.com/citation-style-language/schema/raw/master/csl-citation.json" }</w:instrText>
      </w:r>
      <w:r w:rsidR="00323D2A">
        <w:fldChar w:fldCharType="separate"/>
      </w:r>
      <w:r w:rsidR="00523B14" w:rsidRPr="00523B14">
        <w:rPr>
          <w:noProof/>
          <w:vertAlign w:val="superscript"/>
        </w:rPr>
        <w:t>13</w:t>
      </w:r>
      <w:r w:rsidR="00323D2A">
        <w:fldChar w:fldCharType="end"/>
      </w:r>
      <w:r w:rsidR="00323D2A">
        <w:t xml:space="preserve"> While dual-therapy increased response rates compared with</w:t>
      </w:r>
      <w:r w:rsidR="00014A9B">
        <w:t xml:space="preserve"> monotherapy in clinical trials</w:t>
      </w:r>
      <w:r w:rsidR="00323D2A">
        <w:fldChar w:fldCharType="begin" w:fldLock="1"/>
      </w:r>
      <w:r w:rsidR="00EC525B">
        <w:instrText>ADDIN CSL_CITATION { "citationItems" : [ { "id" : "ITEM-1", "itemData" : { "abstract" : "Objectives Determine the efficacy and safety of daily lesinurad (200 or 400 mg orally) added to allopurinol in patients with serum uric acid (sUA) above target in a 12-month, randomised, phase III trial.Methods Patients on allopurinol \u2265300 mg (\u2265200 mg in moderate renal impairment) had sUA level of \u22656.5 mg/dL (\u2265387 \u00b5mol/L) at screening and two or more gout flares in the prior year. Primary end point was the proportion of patients achieving sUA level of &lt;6.0 mg/dL (&lt;357 \u00b5mol/L) (month 6). Key secondary end points were mean gout flare rate requiring treatment (months 7 through 12) and proportions of patients with complete resolution of one or more target tophi (month 12). Safety assessments included adverse events and laboratory data.Results Patients (n=610) were predominantly male, with mean (\u00b1SD) age 51.2\u00b110.90 years, gout duration 11.5\u00b19.26 years and baseline sUA of 6.9\u00b11.2 mg/dL (410\u00b171 \u00b5mol/L). Lesinurad at 200 and 400 mg doses, added to allopurinol, significantly increased proportions of patients achieving sUA target versus allopurinol-alone therapy by month 6 (55.4%, 66.5% and 23.3%, respectively, p&lt;0.0001 both lesinurad+allopurinol groups). In key secondary end points, there were no statistically significant treatment-group differences favouring lesinurad. Lesinurad was generally well tolerated; the 200 mg dose had a safety profile comparable with allopurinol-alone therapy. Renal-related adverse events occurred in 5.9% of lesinurad 200 mg+allopurinol, 15.0% of lesinurad 400 mg+allopurinol and 4.9% of allopurinol-alone groups, with serum creatinine elevation of \u22651.5\u00d7 baseline in 5.9%, 15.0% and 3.4%, respectively. Serious treatment-emergent adverse events occurred in 4.4% of lesinurad 200 mg+allopurinol, in 9.5% of lesinurad 400 mg+allopurinol and in 3.9% of allopurinol-alone groups, respectively.Conclusion Lesinurad added to allopurinol demonstrated superior sUA lowering versus allopurinol-alone therapy and lesinurad 200 mg was generally well tolerated in patients with gout warranting additional therapy.Trial registration number NCT01493531.", "author" : [ { "dropping-particle" : "", "family" : "Bardin", "given" : "Thomas", "non-dropping-particle" : "", "parse-names" : false, "suffix" : "" }, { "dropping-particle" : "", "family" : "Keenan", "given" : "Robert T", "non-dropping-particle" : "", "parse-names" : false, "suffix" : "" }, { "dropping-particle" : "", "family" : "Khanna", "given" : "Puja P", "non-dropping-particle" : "", "parse-names" : false, "suffix" : "" }, { "dropping-particle" : "", "family" : "Kopicko", "given" : "Jeff", "non-dropping-particle" : "", "parse-names" : false, "suffix" : "" }, { "dropping-particle" : "", "family" : "Fung", "given" : "Maple", "non-dropping-particle" : "", "parse-names" : false, "suffix" : "" }, { "dropping-particle" : "", "family" : "Bhakta", "given" : "Nihar", "non-dropping-particle" : "", "parse-names" : false, "suffix" : "" }, { "dropping-particle" : "", "family" : "Adler", "given" : "Scott", "non-dropping-particle" : "", "parse-names" : false, "suffix" : "" }, { "dropping-particle" : "", "family" : "Storgard", "given" : "Chris", "non-dropping-particle" : "", "parse-names" : false, "suffix" : "" }, { "dropping-particle" : "", "family" : "Baumgartner", "given" : "Scott", "non-dropping-particle" : "", "parse-names" : false, "suffix" : "" }, { "dropping-particle" : "", "family" : "So", "given" : "Alexander", "non-dropping-particle" : "", "parse-names" : false, "suffix" : "" } ], "container-title" : "Annals of the Rheumatic Diseases", "id" : "ITEM-1", "issued" : { "date-parts" : [ [ "2016", "11", "7" ] ] }, "note" : "10.1136/annrheumdis-2016-209213", "page" : "1-10", "title" : "Lesinurad in combination with allopurinol: a randomised, double-blind, placebo-controlled study in patients with gout with inadequate response to standard of care (the multinational CLEAR 2 study)", "type" : "article-journal", "volume" : "0" }, "uris" : [ "http://www.mendeley.com/documents/?uuid=6c01764d-0622-4cc3-bf38-f52f4c3e518e" ] }, { "id" : "ITEM-2", "itemData" : { "author" : [ { "dropping-particle" : "", "family" : "Dalbeth", "given" : "N", "non-dropping-particle" : "", "parse-names" : false, "suffix" : "" }, { "dropping-particle" : "", "family" : "Jones", "given" : "G", "non-dropping-particle" : "", "parse-names" : false, "suffix" : "" }, { "dropping-particle" : "", "family" : "Terkeltaub", "given" : "R", "non-dropping-particle" : "", "parse-names" : false, "suffix" : "" }, { "dropping-particle" : "", "family" : "Khanna", "given" : "D", "non-dropping-particle" : "", "parse-names" : false, "suffix" : "" }, { "dropping-particle" : "", "family" : "Kopicko", "given" : "J", "non-dropping-particle" : "", "parse-names" : false, "suffix" : "" }, { "dropping-particle" : "", "family" : "Bhakta", "given" : "N", "non-dropping-particle" : "", "parse-names" : false, "suffix" : "" }, { "dropping-particle" : "", "family" : "Fung", "given" : "M", "non-dropping-particle" : "", "parse-names" : false, "suffix" : "" }, { "dropping-particle" : "", "family" : "Storgard", "given" : "C", "non-dropping-particle" : "", "parse-names" : false, "suffix" : "" }, { "dropping-particle" : "", "family" : "Baumgartner", "given" : "S", "non-dropping-particle" : "", "parse-names" : false, "suffix" : "" }, { "dropping-particle" : "", "family" : "Perez-Ruiz", "given" : "F", "non-dropping-particle" : "", "parse-names" : false, "suffix" : "" } ], "id" : "ITEM-2", "issued" : { "date-parts" : [ [ "2015" ] ] }, "title" : "SAT0329: Lesinurad, A Novel Selective Uric Acid Reabsorption Inhibitor, in Combination with Febuxostat, in Patients with Tophaceous Gout: The CRYSTAL Phase III Clinical Trial", "type" : "paper-conference" }, "uris" : [ "http://www.mendeley.com/documents/?uuid=bdf62586-403a-4004-a91c-94f388a153af" ] }, { "id" : "ITEM-3", "itemData" : { "DOI" : "10.1002/art.39840", "ISSN" : "2326-5205", "PMID" : "27564409", "abstract" : "OBJECTIVE Lesinurad is a selective uric acid reabsorption inhibitor for treatment of gout in combination with xanthine oxidase inhibitors. CLEAR 1 (Combining Lesinurad with Allopurinol Standard of Care in Inadequate Responders) was a 12-month, randomized, phase-III trial of daily lesinurad (200-mg or 400-mg orally) added to allopurinol in subjects with serum urate (sUA) above &lt;6.0 mg/dL target. METHODS Subjects on allopurinol \u2265300 mg (\u2265200 mg in moderate renal impairment) had sUA \u22656.5 mg/dL at screening and \u22652 gout flares in the prior year. Primary endpoint was the proportion of subjects achieving sUA &lt;6.0 mg/dL (Month 6). Key secondary endpoints were mean gout flare rate requiring treatment (Months 7 through 12) and proportions of subjects with complete resolution of \u22651 target tophi (Month 12). Safety assessments included adverse events and laboratory data. RESULTS Subjects (N=603) were predominantly male, mean\u00b1SD age 51.9\u00b111.3 years, gout duration 11.8\u00b19.4 years, baseline sUA 6.94\u00b11.27 mg/dL, and at allopurinol dose 306.6\u00b159.58 mg/day. Lesinurad at 200-mg and 400-mg doses, added to allopurinol, significantly increased proportions of subjects achieving sUA target versus allopurinol alone by Month 6 (54.2%, 59.2%, and 27.9%, respectively, P&lt;0.0001). Lesinurad was not significantly superior in secondary endpoints: rates of gout flares and complete tophus resolution. Lesinurad was generally well-tolerated; the safety profile of the 200-mg dose was comparable to allopurinol alone, except for higher incidences of predominantly-reversible serum creatinine elevation. CONCLUSION Lesinurad added to allopurinol provided benefit versus allopurinol alone in reducing sUA levels and is a new treatment option for patients needing additional urate-lowering. This article is protected by copyright. All rights reserved.", "author" : [ { "dropping-particle" : "", "family" : "Saag", "given" : "Kenneth G", "non-dropping-particle" : "", "parse-names" : false, "suffix" : "" }, { "dropping-particle" : "", "family" : "Fitz-Patrick", "given" : "David", "non-dropping-particle" : "", "parse-names" : false, "suffix" : "" }, { "dropping-particle" : "", "family" : "Kopicko", "given" : "Jeff", "non-dropping-particle" : "", "parse-names" : false, "suffix" : "" }, { "dropping-particle" : "", "family" : "Fung", "given" : "Maple", "non-dropping-particle" : "", "parse-names" : false, "suffix" : "" }, { "dropping-particle" : "", "family" : "Bhakta", "given" : "Nihar", "non-dropping-particle" : "", "parse-names" : false, "suffix" : "" }, { "dropping-particle" : "", "family" : "Adler", "given" : "Scott", "non-dropping-particle" : "", "parse-names" : false, "suffix" : "" }, { "dropping-particle" : "", "family" : "Storgard", "given" : "Chris", "non-dropping-particle" : "", "parse-names" : false, "suffix" : "" }, { "dropping-particle" : "", "family" : "Baumgartner", "given" : "Scott", "non-dropping-particle" : "", "parse-names" : false, "suffix" : "" }, { "dropping-particle" : "", "family" : "Becker", "given" : "Michael A", "non-dropping-particle" : "", "parse-names" : false, "suffix" : "" } ], "container-title" : "Arthritis &amp; rheumatology", "id" : "ITEM-3", "issue" : "1", "issued" : { "date-parts" : [ [ "2017" ] ] }, "page" : "203-212", "title" : "Lesinurad Combined With Allopurinol: Randomized, Double-Blind, Placebo-Controlled Study in Gout Subjects With Inadequate Response to Standard of Care Allopurinol (A US-based Study).", "type" : "article-journal", "volume" : "69" }, "uris" : [ "http://www.mendeley.com/documents/?uuid=44fc1efc-f527-4fc4-8500-2a6b258e47e4" ] } ], "mendeley" : { "formattedCitation" : "&lt;sup&gt;14\u201316&lt;/sup&gt;", "plainTextFormattedCitation" : "14\u201316", "previouslyFormattedCitation" : "&lt;sup&gt;14\u201316&lt;/sup&gt;" }, "properties" : { "noteIndex" : 0 }, "schema" : "https://github.com/citation-style-language/schema/raw/master/csl-citation.json" }</w:instrText>
      </w:r>
      <w:r w:rsidR="00323D2A">
        <w:fldChar w:fldCharType="separate"/>
      </w:r>
      <w:r w:rsidR="00523B14" w:rsidRPr="00523B14">
        <w:rPr>
          <w:noProof/>
          <w:vertAlign w:val="superscript"/>
        </w:rPr>
        <w:t>14–16</w:t>
      </w:r>
      <w:r w:rsidR="00323D2A">
        <w:fldChar w:fldCharType="end"/>
      </w:r>
      <w:r w:rsidR="00323D2A">
        <w:t xml:space="preserve">, </w:t>
      </w:r>
      <w:r w:rsidR="003D1D5B">
        <w:t xml:space="preserve">interruption in dosing </w:t>
      </w:r>
      <w:r w:rsidR="006959A0">
        <w:t xml:space="preserve">(drug </w:t>
      </w:r>
      <w:r w:rsidR="006959A0">
        <w:lastRenderedPageBreak/>
        <w:t xml:space="preserve">holiday) </w:t>
      </w:r>
      <w:r w:rsidR="00D278C7">
        <w:t xml:space="preserve">could </w:t>
      </w:r>
      <w:r w:rsidR="006959A0">
        <w:t xml:space="preserve">result in high peaks in </w:t>
      </w:r>
      <w:proofErr w:type="spellStart"/>
      <w:r w:rsidR="006959A0">
        <w:rPr>
          <w:rStyle w:val="st"/>
        </w:rPr>
        <w:t>uUA</w:t>
      </w:r>
      <w:proofErr w:type="spellEnd"/>
      <w:r w:rsidR="006959A0">
        <w:t xml:space="preserve"> concentration when treatment is restarted.</w:t>
      </w:r>
      <w:r w:rsidR="00AA4030">
        <w:t xml:space="preserve"> </w:t>
      </w:r>
      <w:r w:rsidR="006959A0">
        <w:t xml:space="preserve">Regular drug holidays, or poor </w:t>
      </w:r>
      <w:r w:rsidR="00AA4030">
        <w:t>implementation</w:t>
      </w:r>
      <w:r w:rsidR="006959A0">
        <w:t xml:space="preserve"> of the prescribed regimen</w:t>
      </w:r>
      <w:r w:rsidR="00AA4030">
        <w:fldChar w:fldCharType="begin" w:fldLock="1"/>
      </w:r>
      <w:r w:rsidR="00EC525B">
        <w:instrText>ADDIN CSL_CITATION { "citationItems" : [ { "id" : "ITEM-1", "itemData" : { "DOI" : "10.1111/j.1365-2125.2012.04167.x", "ISBN" : "03065251", "ISSN" : "03065251", "PMID" : "22486599", "abstract" : "Interest in patient adherence has increased in recent years, with a growing literature that shows the pervasiveness of poor adherence to appropriately prescribed medications. However, four decades of adherence research has not resulted in uniformity in the terminology used to describe deviations from prescribed therapies. The aim of this review was to propose a new taxonomy, in which adherence to medications is conceptualized, based on behavioural and pharmacological science, and which will support quantifiable parameters. A systematic literature review was performed using MEDLINE, EMBASE, CINAHL, the Cochrane Library and PsycINFO from database inception to 1 April 2009. The objective was to identify the different conceptual approaches to adherence research. Definitions were analyzed according to time and methodological perspectives. A taxonomic approach was subsequently derived, evaluated and discussed with international experts. More than 10 different terms describing medication-taking behaviour were identified through the literature review, often with differing meanings. The conceptual foundation for a new, transparent taxonomy relies on three elements, which make a clear distinction between processes that describe actions through established routines ('Adherence to medications', 'Management of adherence') and the discipline that studies those processes ('Adherence-related sciences'). 'Adherence to medications' is the process by which patients take their medication as prescribed, further divided into three quantifiable phases: 'Initiation', 'Implementation' and 'Discontinuation'. In response to the proliferation of ambiguous or unquantifiable terms in the literature on medication adherence, this research has resulted in a new conceptual foundation for a transparent taxonomy. The terms and definitions are focused on promoting consistency and quantification in terminology and methods to aid in the conduct, analysis and interpretation of scientific studies of medication adherence.", "author" : [ { "dropping-particle" : "", "family" : "Vrijens", "given" : "Bernard", "non-dropping-particle" : "", "parse-names" : false, "suffix" : "" }, { "dropping-particle" : "", "family" : "Geest", "given" : "Sabina", "non-dropping-particle" : "De", "parse-names" : false, "suffix" : "" }, { "dropping-particle" : "", "family" : "Hughes", "given" : "Dyfrig A.", "non-dropping-particle" : "", "parse-names" : false, "suffix" : "" }, { "dropping-particle" : "", "family" : "Przemyslaw", "given" : "Kardas", "non-dropping-particle" : "", "parse-names" : false, "suffix" : "" }, { "dropping-particle" : "", "family" : "Demonceau", "given" : "Jenny", "non-dropping-particle" : "", "parse-names" : false, "suffix" : "" }, { "dropping-particle" : "", "family" : "Ruppar", "given" : "Todd", "non-dropping-particle" : "", "parse-names" : false, "suffix" : "" }, { "dropping-particle" : "", "family" : "Dobbels", "given" : "Fabienne", "non-dropping-particle" : "", "parse-names" : false, "suffix" : "" }, { "dropping-particle" : "", "family" : "Fargher", "given" : "Emily", "non-dropping-particle" : "", "parse-names" : false, "suffix" : "" }, { "dropping-particle" : "", "family" : "Morrison", "given" : "Valerie", "non-dropping-particle" : "", "parse-names" : false, "suffix" : "" }, { "dropping-particle" : "", "family" : "Lewek", "given" : "Pawel", "non-dropping-particle" : "", "parse-names" : false, "suffix" : "" }, { "dropping-particle" : "", "family" : "Matyjaszczyk", "given" : "Michal", "non-dropping-particle" : "", "parse-names" : false, "suffix" : "" }, { "dropping-particle" : "", "family" : "Mshelia", "given" : "Comfort", "non-dropping-particle" : "", "parse-names" : false, "suffix" : "" }, { "dropping-particle" : "", "family" : "Clyne", "given" : "Wendy", "non-dropping-particle" : "", "parse-names" : false, "suffix" : "" }, { "dropping-particle" : "", "family" : "Aronson", "given" : "Jeffrey K.", "non-dropping-particle" : "", "parse-names" : false, "suffix" : "" }, { "dropping-particle" : "", "family" : "Urquhart", "given" : "J.", "non-dropping-particle" : "", "parse-names" : false, "suffix" : "" } ], "container-title" : "British Journal of Clinical Pharmacology", "id" : "ITEM-1", "issue" : "5", "issued" : { "date-parts" : [ [ "2012" ] ] }, "page" : "691-705", "title" : "A new taxonomy for describing and defining adherence to medications", "type" : "article-journal", "volume" : "73" }, "uris" : [ "http://www.mendeley.com/documents/?uuid=19aa1ae8-03fd-4c14-99e0-cde98a7c6a27" ] } ], "mendeley" : { "formattedCitation" : "&lt;sup&gt;17&lt;/sup&gt;", "plainTextFormattedCitation" : "17", "previouslyFormattedCitation" : "&lt;sup&gt;17&lt;/sup&gt;" }, "properties" : { "noteIndex" : 0 }, "schema" : "https://github.com/citation-style-language/schema/raw/master/csl-citation.json" }</w:instrText>
      </w:r>
      <w:r w:rsidR="00AA4030">
        <w:fldChar w:fldCharType="separate"/>
      </w:r>
      <w:r w:rsidR="00523B14" w:rsidRPr="00523B14">
        <w:rPr>
          <w:noProof/>
          <w:vertAlign w:val="superscript"/>
        </w:rPr>
        <w:t>17</w:t>
      </w:r>
      <w:r w:rsidR="00AA4030">
        <w:fldChar w:fldCharType="end"/>
      </w:r>
      <w:r w:rsidR="006959A0">
        <w:t>, may therefore</w:t>
      </w:r>
      <w:r w:rsidR="006959A0" w:rsidRPr="006959A0">
        <w:t xml:space="preserve"> </w:t>
      </w:r>
      <w:r w:rsidR="006959A0">
        <w:t>increase the risk of renal adverse events caused by uric acid nephropathy.</w:t>
      </w:r>
    </w:p>
    <w:p w14:paraId="278A9CFE" w14:textId="77777777" w:rsidR="0091173C" w:rsidRDefault="0091173C" w:rsidP="00D70D02">
      <w:pPr>
        <w:spacing w:after="0" w:line="480" w:lineRule="auto"/>
      </w:pPr>
    </w:p>
    <w:p w14:paraId="4318A30B" w14:textId="09C276E9" w:rsidR="00C1217F" w:rsidRDefault="000C1F49" w:rsidP="00D70D02">
      <w:pPr>
        <w:spacing w:after="0" w:line="480" w:lineRule="auto"/>
      </w:pPr>
      <w:r>
        <w:t xml:space="preserve">This study aims to </w:t>
      </w:r>
      <w:r w:rsidR="00BD2604">
        <w:t>simulate</w:t>
      </w:r>
      <w:r w:rsidR="006A4E89">
        <w:t xml:space="preserve"> the relation between poor implementation of dosing and efficacy, and to </w:t>
      </w:r>
      <w:r w:rsidR="00C1217F">
        <w:t>quantify the risk of hyperuricosuria in gout patients receiving dual-</w:t>
      </w:r>
      <w:r w:rsidR="009E757F">
        <w:t xml:space="preserve"> and mono-</w:t>
      </w:r>
      <w:r w:rsidR="00C1217F">
        <w:t xml:space="preserve">ULT. </w:t>
      </w:r>
    </w:p>
    <w:p w14:paraId="4CEF684A" w14:textId="534CBA46" w:rsidR="006A04A4" w:rsidRDefault="006A04A4" w:rsidP="00D70D02">
      <w:pPr>
        <w:spacing w:after="0" w:line="480" w:lineRule="auto"/>
      </w:pPr>
    </w:p>
    <w:p w14:paraId="58A5794E" w14:textId="77777777" w:rsidR="0026466C" w:rsidRPr="00BA22B5" w:rsidRDefault="0026466C" w:rsidP="00D70D02">
      <w:pPr>
        <w:spacing w:after="0" w:line="480" w:lineRule="auto"/>
        <w:rPr>
          <w:b/>
        </w:rPr>
      </w:pPr>
      <w:r w:rsidRPr="00BA22B5">
        <w:rPr>
          <w:b/>
        </w:rPr>
        <w:t>Results</w:t>
      </w:r>
    </w:p>
    <w:p w14:paraId="5F2B7D86" w14:textId="77777777" w:rsidR="0026466C" w:rsidRDefault="0026466C" w:rsidP="00D70D02">
      <w:pPr>
        <w:spacing w:after="0" w:line="480" w:lineRule="auto"/>
      </w:pPr>
      <w:r>
        <w:t>The combined set of PD parameters and corresponding between subject variabilities (BSV) which were derived or estimated from the literature are presented in Table 1. Goodness of fit plots and visual predictive checks for the nonlinear mixed effects modelling are provided as supplementary material.</w:t>
      </w:r>
    </w:p>
    <w:p w14:paraId="4192FB8D" w14:textId="77777777" w:rsidR="00D828B5" w:rsidRDefault="00D828B5" w:rsidP="00D70D02">
      <w:pPr>
        <w:spacing w:after="0" w:line="480" w:lineRule="auto"/>
      </w:pPr>
    </w:p>
    <w:p w14:paraId="227B75DE" w14:textId="0FB5845D" w:rsidR="0026466C" w:rsidRDefault="0026466C" w:rsidP="00D70D02">
      <w:pPr>
        <w:spacing w:after="0" w:line="480" w:lineRule="auto"/>
      </w:pPr>
      <w:r>
        <w:t xml:space="preserve">With perfect adherence, </w:t>
      </w:r>
      <w:proofErr w:type="spellStart"/>
      <w:r>
        <w:t>uUA</w:t>
      </w:r>
      <w:proofErr w:type="spellEnd"/>
      <w:r>
        <w:t xml:space="preserve"> concentrations are maintained at low levels under the combined action of febuxostat </w:t>
      </w:r>
      <w:r w:rsidRPr="004664BA">
        <w:t>and lesinurad</w:t>
      </w:r>
      <w:r>
        <w:t xml:space="preserve"> (Figure </w:t>
      </w:r>
      <w:r w:rsidR="00014A9B">
        <w:t>1</w:t>
      </w:r>
      <w:r>
        <w:t>)</w:t>
      </w:r>
      <w:r w:rsidRPr="004664BA">
        <w:t xml:space="preserve">. During </w:t>
      </w:r>
      <w:r>
        <w:t>a</w:t>
      </w:r>
      <w:r w:rsidRPr="004664BA">
        <w:t xml:space="preserve"> simulated drug holiday of 8 days, urinary concentrations increase as </w:t>
      </w:r>
      <w:proofErr w:type="spellStart"/>
      <w:r w:rsidRPr="004664BA">
        <w:t>sUA</w:t>
      </w:r>
      <w:proofErr w:type="spellEnd"/>
      <w:r w:rsidRPr="004664BA">
        <w:t xml:space="preserve"> concentrations </w:t>
      </w:r>
      <w:r>
        <w:t>return towards baseline</w:t>
      </w:r>
      <w:r w:rsidRPr="004664BA">
        <w:t xml:space="preserve">. </w:t>
      </w:r>
      <w:r>
        <w:t>After dosing is restarted</w:t>
      </w:r>
      <w:r w:rsidRPr="007C55E0">
        <w:t xml:space="preserve"> </w:t>
      </w:r>
      <w:r>
        <w:t xml:space="preserve">peaks in </w:t>
      </w:r>
      <w:proofErr w:type="spellStart"/>
      <w:r>
        <w:t>uUA</w:t>
      </w:r>
      <w:proofErr w:type="spellEnd"/>
      <w:r>
        <w:t xml:space="preserve"> concentrations occur, in the under-</w:t>
      </w:r>
      <w:proofErr w:type="spellStart"/>
      <w:r>
        <w:t>excreter</w:t>
      </w:r>
      <w:proofErr w:type="spellEnd"/>
      <w:r>
        <w:t xml:space="preserve"> the peak was at 39 mg/dl which exceeds the typical average concentration for a healthy person (30 mg/dl). For the overproducer the peak </w:t>
      </w:r>
      <w:proofErr w:type="spellStart"/>
      <w:r>
        <w:t>uUA</w:t>
      </w:r>
      <w:proofErr w:type="spellEnd"/>
      <w:r>
        <w:t xml:space="preserve"> concentration is 85 mg/dl which exceeds the threshold for typical average </w:t>
      </w:r>
      <w:proofErr w:type="spellStart"/>
      <w:r>
        <w:t>uUA</w:t>
      </w:r>
      <w:proofErr w:type="spellEnd"/>
      <w:r>
        <w:t xml:space="preserve"> concentration of an individual with hyperuricosuria (53 mg/dl). For under-excreters </w:t>
      </w:r>
      <w:proofErr w:type="spellStart"/>
      <w:r>
        <w:t>uUA</w:t>
      </w:r>
      <w:proofErr w:type="spellEnd"/>
      <w:r>
        <w:t xml:space="preserve"> concentrations after restarting treatment following an 8 day drug holiday could b</w:t>
      </w:r>
      <w:r w:rsidR="00014A9B">
        <w:t>ecome supersaturated if the pH was</w:t>
      </w:r>
      <w:r>
        <w:t xml:space="preserve"> acidic</w:t>
      </w:r>
      <w:r w:rsidRPr="00A519C9">
        <w:t xml:space="preserve"> (pH&lt;5.3</w:t>
      </w:r>
      <w:r>
        <w:t>;</w:t>
      </w:r>
      <w:r w:rsidRPr="00A519C9">
        <w:t xml:space="preserve"> normal range</w:t>
      </w:r>
      <w:r>
        <w:t xml:space="preserve"> 4.5-8)</w:t>
      </w:r>
      <w:r w:rsidRPr="00A519C9">
        <w:t xml:space="preserve">. For overproducers, </w:t>
      </w:r>
      <w:r>
        <w:t xml:space="preserve">peak </w:t>
      </w:r>
      <w:proofErr w:type="spellStart"/>
      <w:r>
        <w:t>uUA</w:t>
      </w:r>
      <w:proofErr w:type="spellEnd"/>
      <w:r w:rsidRPr="00A519C9">
        <w:t xml:space="preserve"> concentrations </w:t>
      </w:r>
      <w:r>
        <w:t xml:space="preserve">after restarting treatment </w:t>
      </w:r>
      <w:r w:rsidRPr="00A519C9">
        <w:t xml:space="preserve">are </w:t>
      </w:r>
      <w:r>
        <w:t>expected to reach supersaturation at a higher pH of approximately 5.9.</w:t>
      </w:r>
    </w:p>
    <w:p w14:paraId="3EC92E2F" w14:textId="77777777" w:rsidR="00D828B5" w:rsidRDefault="00D828B5" w:rsidP="00D70D02">
      <w:pPr>
        <w:spacing w:after="0" w:line="480" w:lineRule="auto"/>
      </w:pPr>
    </w:p>
    <w:p w14:paraId="7565869C" w14:textId="3C984F62" w:rsidR="0026466C" w:rsidRDefault="0026466C" w:rsidP="00D70D02">
      <w:pPr>
        <w:spacing w:after="0" w:line="480" w:lineRule="auto"/>
      </w:pPr>
      <w:r w:rsidRPr="00302311">
        <w:t>Increasing the length of a drug holiday increases the proportion of patients whose daily amount of uric acid excreted exceed</w:t>
      </w:r>
      <w:r>
        <w:t>s</w:t>
      </w:r>
      <w:r w:rsidRPr="00302311">
        <w:t xml:space="preserve"> the threshold for hyperuricosuria</w:t>
      </w:r>
      <w:r>
        <w:t xml:space="preserve"> upon restarting treatment (Figure </w:t>
      </w:r>
      <w:r w:rsidR="00014A9B">
        <w:t>2</w:t>
      </w:r>
      <w:r>
        <w:t>)</w:t>
      </w:r>
      <w:r w:rsidRPr="00302311">
        <w:t xml:space="preserve">. </w:t>
      </w:r>
      <w:r w:rsidRPr="00302311">
        <w:lastRenderedPageBreak/>
        <w:t>The proportion of patients with hyperuricosuria increases with increasing doses of lesinurad and is greatest for lesinurad 400mg monotherapy</w:t>
      </w:r>
      <w:r>
        <w:t xml:space="preserve">. For under-excreters taking a 20 day drug holiday, the addition of 200mg lesinurad to 80mg febuxostat increased the percentage of patients experiencing hyperuricosuria </w:t>
      </w:r>
      <w:r w:rsidRPr="00A519C9">
        <w:t xml:space="preserve">form </w:t>
      </w:r>
      <w:r>
        <w:t>0%</w:t>
      </w:r>
      <w:r w:rsidRPr="00A519C9">
        <w:t xml:space="preserve"> to </w:t>
      </w:r>
      <w:r>
        <w:t>1.4</w:t>
      </w:r>
      <w:r w:rsidRPr="00A519C9">
        <w:t>%</w:t>
      </w:r>
      <w:r>
        <w:t xml:space="preserve"> and then to 3.1% with 400mg lesinurad</w:t>
      </w:r>
      <w:r w:rsidRPr="00A519C9">
        <w:t xml:space="preserve">. Drug holidays in overproducers taking ULTs very quickly lead to levels of hyperuricosuria </w:t>
      </w:r>
      <w:r>
        <w:t>in</w:t>
      </w:r>
      <w:r w:rsidRPr="00A519C9">
        <w:t xml:space="preserve"> over </w:t>
      </w:r>
      <w:r>
        <w:t>70</w:t>
      </w:r>
      <w:r w:rsidRPr="00A519C9">
        <w:t>%</w:t>
      </w:r>
      <w:r>
        <w:t xml:space="preserve"> of patients</w:t>
      </w:r>
      <w:r w:rsidRPr="00A519C9">
        <w:t>. In both patient groups one- or two-day drug holidays are well tolerated compared to longer holidays</w:t>
      </w:r>
      <w:r>
        <w:t xml:space="preserve"> with only moderate increases in the rates of hyperuricosuria.</w:t>
      </w:r>
    </w:p>
    <w:p w14:paraId="46FD925F" w14:textId="77777777" w:rsidR="00D828B5" w:rsidRDefault="00D828B5" w:rsidP="00D70D02">
      <w:pPr>
        <w:spacing w:after="0" w:line="480" w:lineRule="auto"/>
      </w:pPr>
    </w:p>
    <w:p w14:paraId="52E9FB04" w14:textId="46FF9DA9" w:rsidR="0026466C" w:rsidRDefault="0026466C" w:rsidP="00D70D02">
      <w:pPr>
        <w:spacing w:after="0" w:line="480" w:lineRule="auto"/>
      </w:pPr>
      <w:r>
        <w:t>After 120 days of treatment with perfect adherence, the proportion of patients treated to target (</w:t>
      </w:r>
      <w:proofErr w:type="spellStart"/>
      <w:r>
        <w:t>sUA</w:t>
      </w:r>
      <w:proofErr w:type="spellEnd"/>
      <w:r>
        <w:t xml:space="preserve"> ≤5mg/</w:t>
      </w:r>
      <w:proofErr w:type="spellStart"/>
      <w:r>
        <w:t>dL</w:t>
      </w:r>
      <w:proofErr w:type="spellEnd"/>
      <w:r>
        <w:t xml:space="preserve"> on day 120) is greater </w:t>
      </w:r>
      <w:r w:rsidRPr="00A519C9">
        <w:t xml:space="preserve">than was </w:t>
      </w:r>
      <w:r>
        <w:t>observed</w:t>
      </w:r>
      <w:r w:rsidRPr="00A519C9">
        <w:t xml:space="preserve"> in the </w:t>
      </w:r>
      <w:r>
        <w:t xml:space="preserve">CRYSTAL </w:t>
      </w:r>
      <w:r w:rsidRPr="00A519C9">
        <w:t>trial</w:t>
      </w:r>
      <w:r>
        <w:t xml:space="preserve"> (Figure </w:t>
      </w:r>
      <w:r w:rsidR="00297F5A">
        <w:t>3</w:t>
      </w:r>
      <w:r>
        <w:t>)</w:t>
      </w:r>
      <w:r w:rsidRPr="00A519C9">
        <w:t xml:space="preserve">. </w:t>
      </w:r>
      <w:r>
        <w:t>However, s</w:t>
      </w:r>
      <w:r w:rsidRPr="00A519C9">
        <w:t>uccess rates fall rapidly as an increasing proportion of doses are missed at random. For febuxostat 80mg, febux</w:t>
      </w:r>
      <w:r>
        <w:t>ostat 80mg with lesinurad 200mg,</w:t>
      </w:r>
      <w:r w:rsidRPr="00A519C9">
        <w:t xml:space="preserve"> febuxostat 80mg with lesinurad 400mg</w:t>
      </w:r>
      <w:r>
        <w:t xml:space="preserve"> and lesinurad 400mg monotherapy,</w:t>
      </w:r>
      <w:r w:rsidRPr="00A519C9">
        <w:t xml:space="preserve"> the success rates at 100% of doses taken are </w:t>
      </w:r>
      <w:r>
        <w:t>87.2%, 94.5%,</w:t>
      </w:r>
      <w:r w:rsidRPr="00A519C9">
        <w:t xml:space="preserve"> </w:t>
      </w:r>
      <w:r>
        <w:t>96.0</w:t>
      </w:r>
      <w:r w:rsidRPr="00A519C9">
        <w:t>%</w:t>
      </w:r>
      <w:r>
        <w:t xml:space="preserve"> and 15.4%,</w:t>
      </w:r>
      <w:r w:rsidRPr="00A519C9">
        <w:t xml:space="preserve"> respectively. At 50% of doses taken at random, these success rates fall to 27.</w:t>
      </w:r>
      <w:r>
        <w:t>2</w:t>
      </w:r>
      <w:r w:rsidRPr="00A519C9">
        <w:t xml:space="preserve">%, </w:t>
      </w:r>
      <w:r>
        <w:t>42.6</w:t>
      </w:r>
      <w:r w:rsidRPr="00A519C9">
        <w:t>%</w:t>
      </w:r>
      <w:r>
        <w:t>, 47.3%</w:t>
      </w:r>
      <w:r w:rsidRPr="00A519C9">
        <w:t xml:space="preserve"> and </w:t>
      </w:r>
      <w:r>
        <w:t>7.4</w:t>
      </w:r>
      <w:r w:rsidRPr="00A519C9">
        <w:t>%</w:t>
      </w:r>
      <w:r>
        <w:t>,</w:t>
      </w:r>
      <w:r w:rsidRPr="00A519C9">
        <w:t xml:space="preserve"> respectively. </w:t>
      </w:r>
      <w:r>
        <w:t>The corresponding plots for overproducers are provided in the supplementary material.</w:t>
      </w:r>
    </w:p>
    <w:p w14:paraId="08E5236D" w14:textId="77777777" w:rsidR="00D828B5" w:rsidRDefault="00D828B5" w:rsidP="00D70D02">
      <w:pPr>
        <w:spacing w:after="0" w:line="480" w:lineRule="auto"/>
      </w:pPr>
    </w:p>
    <w:p w14:paraId="754FBB77" w14:textId="34AA127D" w:rsidR="0026466C" w:rsidRDefault="0026466C" w:rsidP="00D70D02">
      <w:pPr>
        <w:spacing w:after="0" w:line="480" w:lineRule="auto"/>
      </w:pPr>
      <w:r>
        <w:t>I</w:t>
      </w:r>
      <w:r w:rsidRPr="00A519C9">
        <w:t>ncreasing the proportion of doses missed at random results in higher rates of hyperuricosuria</w:t>
      </w:r>
      <w:r>
        <w:t xml:space="preserve"> due to randomly occurring drug holidays</w:t>
      </w:r>
      <w:r w:rsidRPr="00A519C9">
        <w:t>, especially in the presence</w:t>
      </w:r>
      <w:r>
        <w:t xml:space="preserve"> of a uricosuric (Figure </w:t>
      </w:r>
      <w:r w:rsidR="00297F5A">
        <w:t>3</w:t>
      </w:r>
      <w:r>
        <w:t xml:space="preserve">). The baseline daily </w:t>
      </w:r>
      <w:proofErr w:type="spellStart"/>
      <w:r>
        <w:t>uUA</w:t>
      </w:r>
      <w:proofErr w:type="spellEnd"/>
      <w:r>
        <w:t xml:space="preserve"> excreted in under-excreters is below healthy baseline levels and none of the simulated cohort showed hyperuricosuria in the absence of ULT. For dual-ULT with a uricosuric, however, randomly occurring drug holidays resulted in increasing rates of hyperuricosuria. </w:t>
      </w:r>
      <w:r w:rsidRPr="005A45D8">
        <w:t>For example</w:t>
      </w:r>
      <w:r>
        <w:t xml:space="preserve"> at 30% of doses taken</w:t>
      </w:r>
      <w:r w:rsidRPr="005A45D8">
        <w:t xml:space="preserve">, </w:t>
      </w:r>
      <w:r>
        <w:t>for</w:t>
      </w:r>
      <w:r w:rsidRPr="00A519C9">
        <w:t xml:space="preserve"> febux</w:t>
      </w:r>
      <w:r>
        <w:t>ostat 80mg with lesinurad 200mg,</w:t>
      </w:r>
      <w:r w:rsidRPr="00A519C9">
        <w:t xml:space="preserve"> febuxostat 80mg with lesinurad 400mg</w:t>
      </w:r>
      <w:r>
        <w:t xml:space="preserve"> and febuxostat 400mg monotherapy</w:t>
      </w:r>
      <w:r w:rsidRPr="00A519C9">
        <w:t xml:space="preserve"> the </w:t>
      </w:r>
      <w:r>
        <w:t>rates of hyperuricosuria are</w:t>
      </w:r>
      <w:r w:rsidRPr="00A519C9">
        <w:t xml:space="preserve"> </w:t>
      </w:r>
      <w:r>
        <w:t>1.3</w:t>
      </w:r>
      <w:r w:rsidRPr="00A519C9">
        <w:t xml:space="preserve">%, </w:t>
      </w:r>
      <w:r>
        <w:t>3.2</w:t>
      </w:r>
      <w:r w:rsidRPr="00A519C9">
        <w:t xml:space="preserve">% and </w:t>
      </w:r>
      <w:r>
        <w:t>4.9</w:t>
      </w:r>
      <w:r w:rsidRPr="00A519C9">
        <w:t>%</w:t>
      </w:r>
      <w:r>
        <w:t>,</w:t>
      </w:r>
      <w:r w:rsidRPr="00A519C9">
        <w:t xml:space="preserve"> respectively</w:t>
      </w:r>
    </w:p>
    <w:p w14:paraId="0ED7BD78" w14:textId="598CC910" w:rsidR="0026466C" w:rsidRDefault="0026466C" w:rsidP="00D70D02">
      <w:pPr>
        <w:spacing w:after="0" w:line="480" w:lineRule="auto"/>
      </w:pPr>
    </w:p>
    <w:p w14:paraId="47B7073A" w14:textId="77777777" w:rsidR="0026466C" w:rsidRPr="00BA22B5" w:rsidRDefault="0026466C" w:rsidP="00D70D02">
      <w:pPr>
        <w:spacing w:after="0" w:line="480" w:lineRule="auto"/>
        <w:rPr>
          <w:b/>
        </w:rPr>
      </w:pPr>
      <w:r w:rsidRPr="00BA22B5">
        <w:rPr>
          <w:b/>
        </w:rPr>
        <w:lastRenderedPageBreak/>
        <w:t>Discussion</w:t>
      </w:r>
    </w:p>
    <w:p w14:paraId="539D23EC" w14:textId="77777777" w:rsidR="0026466C" w:rsidRDefault="0026466C" w:rsidP="00D70D02">
      <w:pPr>
        <w:spacing w:after="0" w:line="480" w:lineRule="auto"/>
      </w:pPr>
      <w:r>
        <w:t xml:space="preserve">The use of uricosurics, either as monotherapy or in combination with an XOI, results in transient increases in </w:t>
      </w:r>
      <w:proofErr w:type="spellStart"/>
      <w:r>
        <w:t>uUA</w:t>
      </w:r>
      <w:proofErr w:type="spellEnd"/>
      <w:r>
        <w:t xml:space="preserve"> concentrations when dosing is restarted after a drug holiday. This is predicted to raise the pH at which supersaturation of uric acid in urine could occur for a fixed volume of urine output, making supersaturation more likely. For a drug holiday from dual-ULTs this effect is likely to be greater than when starting treatment for the first time where, as per the regulatory approval of lesinurad, patients must already have been taking an XOI. Our simulations suggest that when </w:t>
      </w:r>
      <w:proofErr w:type="spellStart"/>
      <w:r>
        <w:t>uUA</w:t>
      </w:r>
      <w:proofErr w:type="spellEnd"/>
      <w:r>
        <w:t xml:space="preserve"> concentrations are at their peak the threshold for supersaturation is raised to 5.3 for under-excreters and 5.9 for overproducers, so that for a urinary pH at or below this level crystal formation may occur.</w:t>
      </w:r>
    </w:p>
    <w:p w14:paraId="10451C25" w14:textId="77777777" w:rsidR="00D828B5" w:rsidRDefault="00D828B5" w:rsidP="00D70D02">
      <w:pPr>
        <w:spacing w:after="0" w:line="480" w:lineRule="auto"/>
      </w:pPr>
    </w:p>
    <w:p w14:paraId="4E77E522" w14:textId="77777777" w:rsidR="0026466C" w:rsidRDefault="0026466C" w:rsidP="00D70D02">
      <w:pPr>
        <w:spacing w:after="0" w:line="480" w:lineRule="auto"/>
      </w:pPr>
      <w:r w:rsidRPr="004664BA">
        <w:t>Increasing the length of a drug holiday increase</w:t>
      </w:r>
      <w:r>
        <w:t>d</w:t>
      </w:r>
      <w:r w:rsidRPr="004664BA">
        <w:t xml:space="preserve"> the proportion of patients whose daily amount of uric acid excreted exceed</w:t>
      </w:r>
      <w:r>
        <w:t>ed</w:t>
      </w:r>
      <w:r w:rsidRPr="004664BA">
        <w:t xml:space="preserve"> the threshold for hyperuricosuria.</w:t>
      </w:r>
      <w:r>
        <w:t xml:space="preserve"> The addition of 200mg lesinurad to 80mg febuxostat increased the proportion of patients experiencing hyperuricosuria </w:t>
      </w:r>
      <w:r w:rsidRPr="00A519C9">
        <w:t xml:space="preserve">form </w:t>
      </w:r>
      <w:r>
        <w:t>0%</w:t>
      </w:r>
      <w:r w:rsidRPr="00A519C9">
        <w:t xml:space="preserve"> to </w:t>
      </w:r>
      <w:r>
        <w:t>1.4% in under-excreters and from 68.8% to 72.1% in overproducers following a 20 day drug holiday. Treatment outcomes deteriorated</w:t>
      </w:r>
      <w:r w:rsidRPr="00A519C9">
        <w:t xml:space="preserve"> rapidly as an increasing proportion of doses </w:t>
      </w:r>
      <w:r>
        <w:t>were</w:t>
      </w:r>
      <w:r w:rsidRPr="00A519C9">
        <w:t xml:space="preserve"> missed at random. </w:t>
      </w:r>
      <w:r>
        <w:t>For under-excreters taking febuxostat 80mg with lesinurad 200mg efficacy fell from 94.5% to 42.6% and hyperuricosuria rose from 0% to 0.4%, when adherence reduced from 100% to 50%.</w:t>
      </w:r>
    </w:p>
    <w:p w14:paraId="465575C8" w14:textId="77777777" w:rsidR="00D828B5" w:rsidRDefault="00D828B5" w:rsidP="00D70D02">
      <w:pPr>
        <w:spacing w:after="0" w:line="480" w:lineRule="auto"/>
      </w:pPr>
    </w:p>
    <w:p w14:paraId="689E1F5E" w14:textId="2E092B57" w:rsidR="0026466C" w:rsidRDefault="0026466C" w:rsidP="00D70D02">
      <w:pPr>
        <w:spacing w:after="0" w:line="480" w:lineRule="auto"/>
      </w:pPr>
      <w:r>
        <w:t>Approximately 90% of gout patients have hyperuricemia caused by the renal under-excretion of uric acid</w:t>
      </w:r>
      <w:r w:rsidR="008267EA">
        <w:t>.</w:t>
      </w:r>
      <w:r>
        <w:fldChar w:fldCharType="begin" w:fldLock="1"/>
      </w:r>
      <w:r w:rsidR="00EC525B">
        <w:instrText>ADDIN CSL_CITATION { "citationItems" : [ { "id" : "ITEM-1", "itemData" : { "ISSN" : "1539-3704 (Electronic)", "PMID" : "16204163", "author" : [ { "dropping-particle" : "", "family" : "Choi", "given" : "Hyon K", "non-dropping-particle" : "", "parse-names" : false, "suffix" : "" }, { "dropping-particle" : "", "family" : "Mount", "given" : "David B", "non-dropping-particle" : "", "parse-names" : false, "suffix" : "" }, { "dropping-particle" : "", "family" : "Reginato", "given" : "Anthony M", "non-dropping-particle" : "", "parse-names" : false, "suffix" : "" } ], "container-title" : "Annals of internal medicine", "id" : "ITEM-1", "issue" : "7", "issued" : { "date-parts" : [ [ "2005", "10" ] ] }, "language" : "eng", "page" : "499-516", "publisher-place" : "United States", "title" : "Pathogenesis of gout.", "type" : "article-journal", "volume" : "143" }, "uris" : [ "http://www.mendeley.com/documents/?uuid=37370341-e8a1-4b9e-94f1-5fd176e997cd" ] } ], "mendeley" : { "formattedCitation" : "&lt;sup&gt;18&lt;/sup&gt;", "plainTextFormattedCitation" : "18", "previouslyFormattedCitation" : "&lt;sup&gt;18&lt;/sup&gt;" }, "properties" : { "noteIndex" : 0 }, "schema" : "https://github.com/citation-style-language/schema/raw/master/csl-citation.json" }</w:instrText>
      </w:r>
      <w:r>
        <w:fldChar w:fldCharType="separate"/>
      </w:r>
      <w:r w:rsidR="00523B14" w:rsidRPr="00523B14">
        <w:rPr>
          <w:noProof/>
          <w:vertAlign w:val="superscript"/>
        </w:rPr>
        <w:t>18</w:t>
      </w:r>
      <w:r>
        <w:fldChar w:fldCharType="end"/>
      </w:r>
      <w:r>
        <w:t xml:space="preserve"> In this case unless </w:t>
      </w:r>
      <w:proofErr w:type="spellStart"/>
      <w:r>
        <w:t>sUA</w:t>
      </w:r>
      <w:proofErr w:type="spellEnd"/>
      <w:r>
        <w:t xml:space="preserve"> concentrations are very high, or urinary volume is also lowered, these patients are likely to have </w:t>
      </w:r>
      <w:proofErr w:type="spellStart"/>
      <w:r>
        <w:t>uUA</w:t>
      </w:r>
      <w:proofErr w:type="spellEnd"/>
      <w:r>
        <w:t xml:space="preserve"> concentrations lower than healthy subjects. However, in simulations of drug holidays, after restarting dual-ULT these patients had </w:t>
      </w:r>
      <w:proofErr w:type="spellStart"/>
      <w:r>
        <w:t>uUA</w:t>
      </w:r>
      <w:proofErr w:type="spellEnd"/>
      <w:r>
        <w:t xml:space="preserve"> concentrations raised to above the baseline levels for healthy subjects and a small proportion exceeded the threshold for hyperuricosuria. For these patients to be at an increased risk of kidney damage would likely require </w:t>
      </w:r>
      <w:r>
        <w:lastRenderedPageBreak/>
        <w:t xml:space="preserve">either a very low urinary output volume or a low urine </w:t>
      </w:r>
      <w:proofErr w:type="spellStart"/>
      <w:r>
        <w:t>pH.</w:t>
      </w:r>
      <w:proofErr w:type="spellEnd"/>
      <w:r w:rsidRPr="001F6D00">
        <w:t xml:space="preserve"> </w:t>
      </w:r>
      <w:r>
        <w:t>Urine pH is the primary predictor of nephrolithiasis, since the solubility of uric acid is very sensitive to small changes in pH</w:t>
      </w:r>
      <w:r w:rsidR="008267EA">
        <w:t>.</w:t>
      </w:r>
      <w:r>
        <w:fldChar w:fldCharType="begin" w:fldLock="1"/>
      </w:r>
      <w:r w:rsidR="00EC525B">
        <w:instrText>ADDIN CSL_CITATION { "citationItems" : [ { "id" : "ITEM-1", "itemData" : { "DOI" : "10.1053/j.ackd.2012.07.014", "ISSN" : "15485595", "PMID" : "23089277", "abstract" : "Recent work has highlighted the strong relationships among obesity, diabetes, and the metabolic syndrome as causes of low urinary pH. Low urinary pH in turn is the major urinary risk factor for uric acid stones. Unlike calcium stones, uric acid stones can be dissolved and easily prevented with adequate urinary alkalinization. Recognizing the relevant risk factors should lead to increased identification of these radiolucent stones. The cornerstone of therapy is raising urinary pH; xanthine dehydrogenase inhibitors should be used only when urinary alkalinization cannot be achieved. ?? 2012.", "author" : [ { "dropping-particle" : "", "family" : "Mehta", "given" : "Tapan H.", "non-dropping-particle" : "", "parse-names" : false, "suffix" : "" }, { "dropping-particle" : "", "family" : "Goldfarb", "given" : "David S.", "non-dropping-particle" : "", "parse-names" : false, "suffix" : "" } ], "container-title" : "Advances in Chronic Kidney Disease", "id" : "ITEM-1", "issue" : "6", "issued" : { "date-parts" : [ [ "2012" ] ] }, "page" : "413-418", "title" : "Uric Acid Stones and Hyperuricosuria", "type" : "article-journal", "volume" : "19" }, "uris" : [ "http://www.mendeley.com/documents/?uuid=c4b43f17-0bbc-4eb2-b74e-45638870f0fe" ] } ], "mendeley" : { "formattedCitation" : "&lt;sup&gt;19&lt;/sup&gt;", "plainTextFormattedCitation" : "19", "previouslyFormattedCitation" : "&lt;sup&gt;19&lt;/sup&gt;" }, "properties" : { "noteIndex" : 0 }, "schema" : "https://github.com/citation-style-language/schema/raw/master/csl-citation.json" }</w:instrText>
      </w:r>
      <w:r>
        <w:fldChar w:fldCharType="separate"/>
      </w:r>
      <w:r w:rsidR="00523B14" w:rsidRPr="00523B14">
        <w:rPr>
          <w:noProof/>
          <w:vertAlign w:val="superscript"/>
        </w:rPr>
        <w:t>19</w:t>
      </w:r>
      <w:r>
        <w:fldChar w:fldCharType="end"/>
      </w:r>
      <w:r w:rsidDel="00A46393">
        <w:t xml:space="preserve"> </w:t>
      </w:r>
    </w:p>
    <w:p w14:paraId="5794584A" w14:textId="77777777" w:rsidR="00D828B5" w:rsidRDefault="00D828B5" w:rsidP="00D70D02">
      <w:pPr>
        <w:spacing w:after="0" w:line="480" w:lineRule="auto"/>
      </w:pPr>
    </w:p>
    <w:p w14:paraId="15264712" w14:textId="0A3E50A2" w:rsidR="0026466C" w:rsidRDefault="0026466C" w:rsidP="00D70D02">
      <w:pPr>
        <w:spacing w:after="0" w:line="480" w:lineRule="auto"/>
      </w:pPr>
      <w:r>
        <w:t>Genetic disorders or a high-purine diet can be the cause of an overproduction of uric acid in the remaining 10% of gout patients</w:t>
      </w:r>
      <w:r w:rsidR="008267EA">
        <w:t>.</w:t>
      </w:r>
      <w:r>
        <w:fldChar w:fldCharType="begin" w:fldLock="1"/>
      </w:r>
      <w:r w:rsidR="00EC525B">
        <w:instrText>ADDIN CSL_CITATION { "citationItems" : [ { "id" : "ITEM-1", "itemData" : { "DOI" : "10.1093/rheumatology/kep349", "ISBN" : "1462-0332 (Electronic)\\r1462-0324 (Linking)", "ISSN" : "14620324", "PMID" : "19447779", "abstract" : "Gout is a true crystal deposition disease caused by formation of monosodium urate crystals in joints and other tissues. It is a common inflammatory arthritis that has increased in prevalence in recent decades. Gout normally results from the interaction of genetic, constitutional and environmental risk factors. It is more common in men and strongly age related. A major determinant is the degree of elevation of uric acid levels above the saturation point for urate crystal formation, principally caused by inefficient renal urate excretion. Local joint tissue factors may influence the topography and extent of crystal deposition. Recent studies have provided information on dietary risk factors for gout: higher intakes of red meat, fructose and beer are independently associated with increased risk, whereas higher intakes of coffee, low-fat dairy products and vitamin C are associated with lower risk. Several renal urate transporters have been identified including URAT1 and SLC2A9 (GLUT9) and polymorphisms in these genes are associated with an increased risk of hyperuricaemia and gout. Many drugs influence serum uric acid levels through an effect on renal urate transport. Comorbidities, including the metabolic syndrome and impaired renal function are common in gout patients. The usual initial presentation of gout is with rapidly developing acute inflammatory monoarthritis, typically affecting the first MTP joint. If left untreated it may progress with recurrent acute attacks and eventual development of chronic symptoms and joint damage. New knowledge of the modifiable risk factors for gout can be integrated into the management strategy to optimize long-term patient outcomes.", "author" : [ { "dropping-particle" : "", "family" : "Doherty", "given" : "Michael", "non-dropping-particle" : "", "parse-names" : false, "suffix" : "" } ], "container-title" : "Rheumatology", "id" : "ITEM-1", "issue" : "3", "issued" : { "date-parts" : [ [ "2009" ] ] }, "page" : "613-614", "title" : "New insights into the epidemiology of gout", "type" : "article-journal", "volume" : "49" }, "uris" : [ "http://www.mendeley.com/documents/?uuid=d58e049f-c581-43cb-8401-e7696a52b450" ] } ], "mendeley" : { "formattedCitation" : "&lt;sup&gt;20&lt;/sup&gt;", "plainTextFormattedCitation" : "20", "previouslyFormattedCitation" : "&lt;sup&gt;20&lt;/sup&gt;" }, "properties" : { "noteIndex" : 0 }, "schema" : "https://github.com/citation-style-language/schema/raw/master/csl-citation.json" }</w:instrText>
      </w:r>
      <w:r>
        <w:fldChar w:fldCharType="separate"/>
      </w:r>
      <w:r w:rsidR="00523B14" w:rsidRPr="00523B14">
        <w:rPr>
          <w:noProof/>
          <w:vertAlign w:val="superscript"/>
        </w:rPr>
        <w:t>20</w:t>
      </w:r>
      <w:r>
        <w:fldChar w:fldCharType="end"/>
      </w:r>
      <w:r>
        <w:t xml:space="preserve"> Hyperuricosuria is a defining feature of uric acid overproduction</w:t>
      </w:r>
      <w:r>
        <w:fldChar w:fldCharType="begin" w:fldLock="1"/>
      </w:r>
      <w:r w:rsidR="00EC525B">
        <w:instrText>ADDIN CSL_CITATION { "citationItems" : [ { "id" : "ITEM-1", "itemData" : { "author" : [ { "dropping-particle" : "", "family" : "Pittman", "given" : "JR", "non-dropping-particle" : "", "parse-names" : false, "suffix" : "" }, { "dropping-particle" : "", "family" : "Bross", "given" : "MH", "non-dropping-particle" : "", "parse-names" : false, "suffix" : "" } ], "container-title" : "American Family Physician", "id" : "ITEM-1", "issue" : "7", "issued" : { "date-parts" : [ [ "1999" ] ] }, "page" : "1799-1806", "title" : "Diagnosis and management of gout", "type" : "article-journal", "volume" : "59" }, "uris" : [ "http://www.mendeley.com/documents/?uuid=97b91d5d-6679-48d3-b859-774ef12d76eb" ] } ], "mendeley" : { "formattedCitation" : "&lt;sup&gt;21&lt;/sup&gt;", "plainTextFormattedCitation" : "21", "previouslyFormattedCitation" : "&lt;sup&gt;21&lt;/sup&gt;" }, "properties" : { "noteIndex" : 0 }, "schema" : "https://github.com/citation-style-language/schema/raw/master/csl-citation.json" }</w:instrText>
      </w:r>
      <w:r>
        <w:fldChar w:fldCharType="separate"/>
      </w:r>
      <w:r w:rsidR="00523B14" w:rsidRPr="00523B14">
        <w:rPr>
          <w:noProof/>
          <w:vertAlign w:val="superscript"/>
        </w:rPr>
        <w:t>21</w:t>
      </w:r>
      <w:r>
        <w:fldChar w:fldCharType="end"/>
      </w:r>
      <w:r>
        <w:t xml:space="preserve"> putting these patients at an increased risk of kidney injury without treatment. Our simulations suggest that in the case of very good medication adherence, dual-ULT would result in sustained reductions in </w:t>
      </w:r>
      <w:proofErr w:type="spellStart"/>
      <w:r>
        <w:t>sUA</w:t>
      </w:r>
      <w:proofErr w:type="spellEnd"/>
      <w:r>
        <w:t xml:space="preserve"> concentrations and also, therefore, </w:t>
      </w:r>
      <w:proofErr w:type="spellStart"/>
      <w:r>
        <w:t>uUA</w:t>
      </w:r>
      <w:proofErr w:type="spellEnd"/>
      <w:r>
        <w:t xml:space="preserve"> excreted. Regular drug holidays, however, would result in episodes in which urinary uric output was raised above its already high baseline. For this reason uricosurics may not be appropriate for this patient group</w:t>
      </w:r>
      <w:r>
        <w:fldChar w:fldCharType="begin" w:fldLock="1"/>
      </w:r>
      <w:r w:rsidR="00EC525B">
        <w:instrText>ADDIN CSL_CITATION { "citationItems" : [ { "id" : "ITEM-1", "itemData" : { "DOI" : "10.1002/acr.21772", "ISBN" : "2151-4658 (Electronic)\\r2151-464X (Linking)", "ISSN" : "2151464X", "PMID" : "23024028", "abstract" : "Guidelines and recommendations developed and/or endorsed by the American College of Rheumatology (ACR) are intended to provide guidance for particular patterns of practice and not to dictate the care of a particular patient. The ACR considers adherence to these guidelines and recommendations to be voluntary, with the ultimate determination regarding their application to be made by the physician in light of each patient's individual circumstances. Guidelines and recommendations are intended to promote beneficial or desirable outcomes but cannot guarantee any specific outcome. Guidelines and recommendations developed or endorsed by the ACR are subject to periodic revision as warranted by the evolution of medical knowledge, technology, and practice. The American College of Rheumatology is an independent, professional, medical and scientific society which does not guarantee, warrant, or endorse any commercial product or service. (copyright) 2012, American College of Rheumatology.", "author" : [ { "dropping-particle" : "", "family" : "Khanna", "given" : "Dinesh", "non-dropping-particle" : "", "parse-names" : false, "suffix" : "" }, { "dropping-particle" : "", "family" : "Fitzgerald", "given" : "John D.", "non-dropping-particle" : "", "parse-names" : false, "suffix" : "" }, { "dropping-particle" : "", "family" : "Khanna", "given" : "Puja P.", "non-dropping-particle" : "", "parse-names" : false, "suffix" : "" }, { "dropping-particle" : "", "family" : "Bae", "given" : "Sangmee", "non-dropping-particle" : "", "parse-names" : false, "suffix" : "" }, { "dropping-particle" : "", "family" : "Singh", "given" : "Manjit K.", "non-dropping-particle" : "", "parse-names" : false, "suffix" : "" }, { "dropping-particle" : "", "family" : "Neogi", "given" : "Tuhina", "non-dropping-particle" : "", "parse-names" : false, "suffix" : "" }, { "dropping-particle" : "", "family" : "Pillinger", "given" : "Michael H.", "non-dropping-particle" : "", "parse-names" : false, "suffix" : "" }, { "dropping-particle" : "", "family" : "Merill", "given" : "Joan", "non-dropping-particle" : "", "parse-names" : false, "suffix" : "" }, { "dropping-particle" : "", "family" : "Lee", "given" : "Susan", "non-dropping-particle" : "", "parse-names" : false, "suffix" : "" }, { "dropping-particle" : "", "family" : "Prakash", "given" : "Shraddha", "non-dropping-particle" : "", "parse-names" : false, "suffix" : "" }, { "dropping-particle" : "", "family" : "Kaldas", "given" : "Marian", "non-dropping-particle" : "", "parse-names" : false, "suffix" : "" }, { "dropping-particle" : "", "family" : "Gogia", "given" : "Maneesh", "non-dropping-particle" : "", "parse-names" : false, "suffix" : "" }, { "dropping-particle" : "", "family" : "Perez-Ruiz", "given" : "Fernando", "non-dropping-particle" : "", "parse-names" : false, "suffix" : "" }, { "dropping-particle" : "", "family" : "Taylor", "given" : "Will", "non-dropping-particle" : "", "parse-names" : false, "suffix" : "" }, { "dropping-particle" : "", "family" : "Liot\u00e9", "given" : "Fr\u00e9d\u00e9ric", "non-dropping-particle" : "", "parse-names" : false, "suffix" : "" }, { "dropping-particle" : "", "family" : "Choi", "given" : "Hyon", "non-dropping-particle" : "", "parse-names" : false, "suffix" : "" }, { "dropping-particle" : "", "family" : "Singh", "given" : "Jasvinder A.", "non-dropping-particle" : "", "parse-names" : false, "suffix" : "" }, { "dropping-particle" : "", "family" : "Dalbeth", "given" : "Nicola", "non-dropping-particle" : "", "parse-names" : false, "suffix" : "" }, { "dropping-particle" : "", "family" : "Kaplan", "given" : "Sanford", "non-dropping-particle" : "", "parse-names" : false, "suffix" : "" }, { "dropping-particle" : "", "family" : "Niyyar", "given" : "Vandana", "non-dropping-particle" : "", "parse-names" : false, "suffix" : "" }, { "dropping-particle" : "", "family" : "Jones", "given" : "Danielle", "non-dropping-particle" : "", "parse-names" : false, "suffix" : "" }, { "dropping-particle" : "", "family" : "Yarows", "given" : "Steven A.", "non-dropping-particle" : "", "parse-names" : false, "suffix" : "" }, { "dropping-particle" : "", "family" : "Roessler", "given" : "Blake", "non-dropping-particle" : "", "parse-names" : false, "suffix" : "" }, { "dropping-particle" : "", "family" : "Kerr", "given" : "Gail", "non-dropping-particle" : "", "parse-names" : false, "suffix" : "" }, { "dropping-particle" : "", "family" : "King", "given" : "Charles", "non-dropping-particle" : "", "parse-names" : false, "suffix" : "" }, { "dropping-particle" : "", "family" : "Levy", "given" : "Gerald", "non-dropping-particle" : "", "parse-names" : false, "suffix" : "" }, { "dropping-particle" : "", "family" : "Furst", "given" : "Daniel E.", "non-dropping-particle" : "", "parse-names" : false, "suffix" : "" }, { "dropping-particle" : "", "family" : "Edwards", "given" : "N. Lawrence", "non-dropping-particle" : "", "parse-names" : false, "suffix" : "" }, { "dropping-particle" : "", "family" : "Mandell", "given" : "Brian", "non-dropping-particle" : "", "parse-names" : false, "suffix" : "" }, { "dropping-particle" : "", "family" : "Schumacher", "given" : "H. Ralph", "non-dropping-particle" : "", "parse-names" : false, "suffix" : "" }, { "dropping-particle" : "", "family" : "Robbins", "given" : "Mark", "non-dropping-particle" : "", "parse-names" : false, "suffix" : "" }, { "dropping-particle" : "", "family" : "Wenger", "given" : "Neil", "non-dropping-particle" : "", "parse-names" : false, "suffix" : "" }, { "dropping-particle" : "", "family" : "Terkeltaub", "given" : "Robert", "non-dropping-particle" : "", "parse-names" : false, "suffix" : "" } ], "container-title" : "Arthritis Care and Research", "id" : "ITEM-1", "issue" : "10", "issued" : { "date-parts" : [ [ "2012" ] ] }, "page" : "1431-1446", "title" : "2012 American college of rheumatology guidelines for management of gout. part 1: Systematic nonpharmacologic and pharmacologic therapeutic approaches to hyperuricemia", "type" : "article-journal", "volume" : "64" }, "uris" : [ "http://www.mendeley.com/documents/?uuid=e695278c-1a51-4509-b489-ed95bd29b790" ] } ], "mendeley" : { "formattedCitation" : "&lt;sup&gt;22&lt;/sup&gt;", "plainTextFormattedCitation" : "22", "previouslyFormattedCitation" : "&lt;sup&gt;22&lt;/sup&gt;" }, "properties" : { "noteIndex" : 0 }, "schema" : "https://github.com/citation-style-language/schema/raw/master/csl-citation.json" }</w:instrText>
      </w:r>
      <w:r>
        <w:fldChar w:fldCharType="separate"/>
      </w:r>
      <w:r w:rsidR="00523B14" w:rsidRPr="00523B14">
        <w:rPr>
          <w:noProof/>
          <w:vertAlign w:val="superscript"/>
        </w:rPr>
        <w:t>22</w:t>
      </w:r>
      <w:r>
        <w:fldChar w:fldCharType="end"/>
      </w:r>
      <w:r>
        <w:t>, but no cautions are made in the label for lesinurad</w:t>
      </w:r>
      <w:r w:rsidR="008267EA">
        <w:t>.</w:t>
      </w:r>
      <w:r>
        <w:fldChar w:fldCharType="begin" w:fldLock="1"/>
      </w:r>
      <w:r w:rsidR="00A468FE">
        <w:instrText>ADDIN CSL_CITATION { "citationItems" : [ { "id" : "ITEM-1", "itemData" : { "author" : [ { "dropping-particle" : "", "family" : "FDA", "given" : "", "non-dropping-particle" : "", "parse-names" : false, "suffix" : "" } ], "id" : "ITEM-1", "issued" : { "date-parts" : [ [ "2015" ] ] }, "number-of-pages" : "Reference ID: 3864748", "title" : "Zurampic label", "type" : "report" }, "uris" : [ "http://www.mendeley.com/documents/?uuid=9ecb4cdd-d85c-416b-ab36-6003d450e1f0" ] } ], "mendeley" : { "formattedCitation" : "&lt;sup&gt;23&lt;/sup&gt;", "plainTextFormattedCitation" : "23", "previouslyFormattedCitation" : "&lt;sup&gt;23&lt;/sup&gt;" }, "properties" : { "noteIndex" : 0 }, "schema" : "https://github.com/citation-style-language/schema/raw/master/csl-citation.json" }</w:instrText>
      </w:r>
      <w:r>
        <w:fldChar w:fldCharType="separate"/>
      </w:r>
      <w:r w:rsidR="00523B14" w:rsidRPr="00523B14">
        <w:rPr>
          <w:noProof/>
          <w:vertAlign w:val="superscript"/>
        </w:rPr>
        <w:t>23</w:t>
      </w:r>
      <w:r>
        <w:fldChar w:fldCharType="end"/>
      </w:r>
    </w:p>
    <w:p w14:paraId="605DF9CD" w14:textId="77777777" w:rsidR="00D828B5" w:rsidRDefault="00D828B5" w:rsidP="00D70D02">
      <w:pPr>
        <w:spacing w:after="0" w:line="480" w:lineRule="auto"/>
      </w:pPr>
    </w:p>
    <w:p w14:paraId="788142EB" w14:textId="4C96F3CF" w:rsidR="0026466C" w:rsidRDefault="0026466C" w:rsidP="00D70D02">
      <w:pPr>
        <w:spacing w:after="0" w:line="480" w:lineRule="auto"/>
      </w:pPr>
      <w:r>
        <w:t>To our knowledge this is the first study of the relationship between medication adherence and the efficacy and safety of dual-ULT therapy for the treatment of gout. This is especially timely given the recent approval of lesinurad for use in combination with an XOI in patients who have not responded on an XOI alone</w:t>
      </w:r>
      <w:r w:rsidR="008267EA">
        <w:t>.</w:t>
      </w:r>
      <w:r>
        <w:fldChar w:fldCharType="begin" w:fldLock="1"/>
      </w:r>
      <w:r w:rsidR="00A468FE">
        <w:instrText>ADDIN CSL_CITATION { "citationItems" : [ { "id" : "ITEM-1", "itemData" : { "author" : [ { "dropping-particle" : "", "family" : "Center for Drug Evaluation and Research.", "given" : "", "non-dropping-particle" : "", "parse-names" : false, "suffix" : "" } ], "id" : "ITEM-1", "issued" : { "date-parts" : [ [ "2015" ] ] }, "title" : "Lesinurad Approval Package. Application Number: 207988Orig1s000", "type" : "report" }, "uris" : [ "http://www.mendeley.com/documents/?uuid=15e1251f-53d1-4daf-a7f1-4e89a1a58cd7" ] } ], "mendeley" : { "formattedCitation" : "&lt;sup&gt;24&lt;/sup&gt;", "plainTextFormattedCitation" : "24", "previouslyFormattedCitation" : "&lt;sup&gt;24&lt;/sup&gt;" }, "properties" : { "noteIndex" : 0 }, "schema" : "https://github.com/citation-style-language/schema/raw/master/csl-citation.json" }</w:instrText>
      </w:r>
      <w:r>
        <w:fldChar w:fldCharType="separate"/>
      </w:r>
      <w:r w:rsidR="00523B14" w:rsidRPr="00523B14">
        <w:rPr>
          <w:noProof/>
          <w:vertAlign w:val="superscript"/>
        </w:rPr>
        <w:t>24</w:t>
      </w:r>
      <w:r>
        <w:fldChar w:fldCharType="end"/>
      </w:r>
      <w:r>
        <w:t xml:space="preserve"> Our analysis benefits from having used a semi-mechanistic PD model which provides a level of complexity capable of capturing the non-steady state system dynamics. The effects of treatments have been investigated in two distinct patient subgroups; the cause of hyperuricemia being either an overproduction or under-excretion of uric acid. When comparing our simulation results with the findings from clinical trials, all of our perfect adherence simulations produced higher </w:t>
      </w:r>
      <w:r w:rsidRPr="00A519C9">
        <w:t xml:space="preserve">treatment success rates than was </w:t>
      </w:r>
      <w:r>
        <w:t>reported</w:t>
      </w:r>
      <w:r w:rsidRPr="00A519C9">
        <w:t xml:space="preserve"> in</w:t>
      </w:r>
      <w:r>
        <w:t xml:space="preserve"> </w:t>
      </w:r>
      <w:r w:rsidRPr="00A519C9">
        <w:t>trial</w:t>
      </w:r>
      <w:r>
        <w:t>s</w:t>
      </w:r>
      <w:r w:rsidRPr="00A519C9">
        <w:t>.</w:t>
      </w:r>
      <w:r>
        <w:t xml:space="preserve"> Treatment discontinuation was measured in the trial but the number of doses missed while patients continued on each treatment arm was not as far as we are aware. </w:t>
      </w:r>
    </w:p>
    <w:p w14:paraId="60D82DB2" w14:textId="77777777" w:rsidR="00D828B5" w:rsidRDefault="00D828B5" w:rsidP="00D70D02">
      <w:pPr>
        <w:spacing w:after="0" w:line="480" w:lineRule="auto"/>
      </w:pPr>
    </w:p>
    <w:p w14:paraId="11F13938" w14:textId="56143D6A" w:rsidR="0026466C" w:rsidRDefault="0026466C" w:rsidP="00D70D02">
      <w:pPr>
        <w:spacing w:after="0" w:line="480" w:lineRule="auto"/>
      </w:pPr>
      <w:r>
        <w:t xml:space="preserve">The main limitation of this study was our reliance on different sources of data from different populations. This limited our ability to fully quantify the variability and co-dependencies, </w:t>
      </w:r>
      <w:r>
        <w:lastRenderedPageBreak/>
        <w:t>nonetheless, we consider the model to be representative of existing dual-ULTs. We assumed that non-renal clearance of uric acid, which is responsible for around a third of total excretion</w:t>
      </w:r>
      <w:r>
        <w:fldChar w:fldCharType="begin" w:fldLock="1"/>
      </w:r>
      <w:r w:rsidR="00EC525B">
        <w:instrText>ADDIN CSL_CITATION { "citationItems" : [ { "id" : "ITEM-1", "itemData" : { "DOI" : "10.1038/ncomms1756", "ISBN" : "2041-1723 (Electronic)\\r2041-1723 (Linking)", "ISSN" : "2041-1723", "PMID" : "22473008", "abstract" : "ABCG2, also known as BCRP, is a high-capacity urate exporter, the dysfunction of which raises gout/hyperuricemia risk. Generally, hyperuricemia has been classified into urate 'overproduction type' and/or 'underexcretion type' based solely on renal urate excretion, without considering an extra-renal pathway. Here we show that decreased extra-renal urate excretion caused by ABCG2 dysfunction is a common mechanism of hyperuricemia. Clinical parameters, including urinary urate excretion, are examined in 644 male outpatients with hyperuricemia. Paradoxically, ABCG2 export dysfunction significantly increases urinary urate excretion and risk ratio of urate overproduction. Abcg2-knockout mice show increased serum uric acid levels and renal urate excretion, and decreased intestinal urate excretion. Together with high ABCG2 expression in extra-renal tissues, our data suggest that the 'overproduction type' in the current concept of hyperuricemia be renamed 'renal overload type', which consists of two subtypes-'extra-renal urate underexcretion' and genuine 'urate overproduction'-providing a new concept valuable for the treatment of hyperuricemia and gout.", "author" : [ { "dropping-particle" : "", "family" : "Ichida", "given" : "Kimiyoshi", "non-dropping-particle" : "", "parse-names" : false, "suffix" : "" }, { "dropping-particle" : "", "family" : "Matsuo", "given" : "Hirotaka", "non-dropping-particle" : "", "parse-names" : false, "suffix" : "" }, { "dropping-particle" : "", "family" : "Takada", "given" : "Tappei", "non-dropping-particle" : "", "parse-names" : false, "suffix" : "" }, { "dropping-particle" : "", "family" : "Nakayama", "given" : "Akiyoshi", "non-dropping-particle" : "", "parse-names" : false, "suffix" : "" }, { "dropping-particle" : "", "family" : "Murakami", "given" : "Keizo", "non-dropping-particle" : "", "parse-names" : false, "suffix" : "" }, { "dropping-particle" : "", "family" : "Shimizu", "given" : "Toru", "non-dropping-particle" : "", "parse-names" : false, "suffix" : "" }, { "dropping-particle" : "", "family" : "Yamanashi", "given" : "Yoshihide", "non-dropping-particle" : "", "parse-names" : false, "suffix" : "" }, { "dropping-particle" : "", "family" : "Kasuga", "given" : "Hiroshi", "non-dropping-particle" : "", "parse-names" : false, "suffix" : "" }, { "dropping-particle" : "", "family" : "Nakashima", "given" : "Hiroshi", "non-dropping-particle" : "", "parse-names" : false, "suffix" : "" }, { "dropping-particle" : "", "family" : "Nakamura", "given" : "Takahiro", "non-dropping-particle" : "", "parse-names" : false, "suffix" : "" }, { "dropping-particle" : "", "family" : "Takada", "given" : "Yuzo", "non-dropping-particle" : "", "parse-names" : false, "suffix" : "" }, { "dropping-particle" : "", "family" : "Kawamura", "given" : "Yusuke", "non-dropping-particle" : "", "parse-names" : false, "suffix" : "" }, { "dropping-particle" : "", "family" : "Inoue", "given" : "Hiroki", "non-dropping-particle" : "", "parse-names" : false, "suffix" : "" }, { "dropping-particle" : "", "family" : "Okada", "given" : "Chisa", "non-dropping-particle" : "", "parse-names" : false, "suffix" : "" }, { "dropping-particle" : "", "family" : "Utsumi", "given" : "Yoshitaka", "non-dropping-particle" : "", "parse-names" : false, "suffix" : "" }, { "dropping-particle" : "", "family" : "Ikebuchi", "given" : "Yuki", "non-dropping-particle" : "", "parse-names" : false, "suffix" : "" }, { "dropping-particle" : "", "family" : "Ito", "given" : "Kousei", "non-dropping-particle" : "", "parse-names" : false, "suffix" : "" }, { "dropping-particle" : "", "family" : "Nakamura", "given" : "Makiko", "non-dropping-particle" : "", "parse-names" : false, "suffix" : "" }, { "dropping-particle" : "", "family" : "Shinohara", "given" : "Yoshihiko", "non-dropping-particle" : "", "parse-names" : false, "suffix" : "" }, { "dropping-particle" : "", "family" : "Hosoyamada", "given" : "Makoto", "non-dropping-particle" : "", "parse-names" : false, "suffix" : "" }, { "dropping-particle" : "", "family" : "Sakurai", "given" : "Yutaka", "non-dropping-particle" : "", "parse-names" : false, "suffix" : "" }, { "dropping-particle" : "", "family" : "Shinomiya", "given" : "Nariyoshi", "non-dropping-particle" : "", "parse-names" : false, "suffix" : "" }, { "dropping-particle" : "", "family" : "Hosoya", "given" : "Tatsuo", "non-dropping-particle" : "", "parse-names" : false, "suffix" : "" }, { "dropping-particle" : "", "family" : "Suzuki", "given" : "Hiroshi", "non-dropping-particle" : "", "parse-names" : false, "suffix" : "" } ], "container-title" : "Nature Communications", "id" : "ITEM-1", "issued" : { "date-parts" : [ [ "2012" ] ] }, "page" : "764", "publisher" : "Nature Publishing Group", "title" : "Decreased extra-renal urate excretion is a common cause of hyperuricemia", "type" : "article-journal", "volume" : "3" }, "uris" : [ "http://www.mendeley.com/documents/?uuid=3b9cd4fc-8f8b-40c9-acac-1d02b78c45f6" ] } ], "mendeley" : { "formattedCitation" : "&lt;sup&gt;25&lt;/sup&gt;", "plainTextFormattedCitation" : "25", "previouslyFormattedCitation" : "&lt;sup&gt;25&lt;/sup&gt;" }, "properties" : { "noteIndex" : 0 }, "schema" : "https://github.com/citation-style-language/schema/raw/master/csl-citation.json" }</w:instrText>
      </w:r>
      <w:r>
        <w:fldChar w:fldCharType="separate"/>
      </w:r>
      <w:r w:rsidR="00523B14" w:rsidRPr="00523B14">
        <w:rPr>
          <w:noProof/>
          <w:vertAlign w:val="superscript"/>
        </w:rPr>
        <w:t>25</w:t>
      </w:r>
      <w:r>
        <w:fldChar w:fldCharType="end"/>
      </w:r>
      <w:r>
        <w:t xml:space="preserve">, was negligible. The contribution of non-renal clearance relative to renal clearance will be less in scenarios where a uricosuric is taken. Finally, this paper has focussed on the XOI febuxostat, but allopurinol is by far the most commonly prescribed ULT. However, we have no reason to believe that these findings do not extend to other XOIs (allopurinol) and uricosurics (probenecid and </w:t>
      </w:r>
      <w:proofErr w:type="spellStart"/>
      <w:r>
        <w:t>benzbromarone</w:t>
      </w:r>
      <w:proofErr w:type="spellEnd"/>
      <w:r>
        <w:t>).</w:t>
      </w:r>
    </w:p>
    <w:p w14:paraId="710BF887" w14:textId="77777777" w:rsidR="00D828B5" w:rsidRDefault="00D828B5" w:rsidP="00D70D02">
      <w:pPr>
        <w:spacing w:after="0" w:line="480" w:lineRule="auto"/>
      </w:pPr>
    </w:p>
    <w:p w14:paraId="6E2CD8F5" w14:textId="2D495D10" w:rsidR="0026466C" w:rsidRDefault="0026466C" w:rsidP="00D70D02">
      <w:pPr>
        <w:spacing w:after="0" w:line="480" w:lineRule="auto"/>
      </w:pPr>
      <w:r>
        <w:t xml:space="preserve">With currently available ULTs a large proportion of patients do not achieve sustained reductions in </w:t>
      </w:r>
      <w:proofErr w:type="spellStart"/>
      <w:r>
        <w:t>sUA</w:t>
      </w:r>
      <w:proofErr w:type="spellEnd"/>
      <w:r>
        <w:t xml:space="preserve"> to below saturation concentrations. The potential reasons for treatment failure include poor adherence to treatment, under-dosing, variation in treatment response and the underlying cause of hyperuricemia</w:t>
      </w:r>
      <w:r w:rsidR="008267EA">
        <w:t>.</w:t>
      </w:r>
      <w:r>
        <w:fldChar w:fldCharType="begin" w:fldLock="1"/>
      </w:r>
      <w:r w:rsidR="00EC525B">
        <w:instrText>ADDIN CSL_CITATION { "citationItems" : [ { "id" : "ITEM-1", "itemData" : { "DOI" : "10.1016/j.semarthrit.2014.05.007.Impaired", "ISSN" : "0300919X", "PMID" : "7803683", "author" : [ { "dropping-particle" : "", "family" : "Stamp", "given" : "Lisa K", "non-dropping-particle" : "", "parse-names" : false, "suffix" : "" }, { "dropping-particle" : "", "family" : "Merriman", "given" : "Tony R", "non-dropping-particle" : "", "parse-names" : false, "suffix" : "" }, { "dropping-particle" : "", "family" : "Barclay", "given" : "Murray L", "non-dropping-particle" : "", "parse-names" : false, "suffix" : "" }, { "dropping-particle" : "", "family" : "Singh", "given" : "Jasvinder A", "non-dropping-particle" : "", "parse-names" : false, "suffix" : "" }, { "dropping-particle" : "", "family" : "Roberts", "given" : "Rebecca L", "non-dropping-particle" : "", "parse-names" : false, "suffix" : "" }, { "dropping-particle" : "", "family" : "Wright", "given" : "Daniel FB", "non-dropping-particle" : "", "parse-names" : false, "suffix" : "" }, { "dropping-particle" : "", "family" : "Dalbeth", "given" : "Nicola", "non-dropping-particle" : "", "parse-names" : false, "suffix" : "" } ], "container-title" : "Semin Arthitis Rheum", "id" : "ITEM-1", "issue" : "2", "issued" : { "date-parts" : [ [ "2014" ] ] }, "page" : "170-174", "title" : "Impaired response or insufficient dosage? - examining the potential causes of \"inadequate response\" to allopurinol in the treatment of gout", "type" : "article-journal", "volume" : "44" }, "uris" : [ "http://www.mendeley.com/documents/?uuid=5dadcb21-b537-4fbc-9694-04a14efc6a61" ] } ], "mendeley" : { "formattedCitation" : "&lt;sup&gt;26&lt;/sup&gt;", "plainTextFormattedCitation" : "26", "previouslyFormattedCitation" : "&lt;sup&gt;26&lt;/sup&gt;" }, "properties" : { "noteIndex" : 0 }, "schema" : "https://github.com/citation-style-language/schema/raw/master/csl-citation.json" }</w:instrText>
      </w:r>
      <w:r>
        <w:fldChar w:fldCharType="separate"/>
      </w:r>
      <w:r w:rsidR="00523B14" w:rsidRPr="00523B14">
        <w:rPr>
          <w:noProof/>
          <w:vertAlign w:val="superscript"/>
        </w:rPr>
        <w:t>26</w:t>
      </w:r>
      <w:r>
        <w:fldChar w:fldCharType="end"/>
      </w:r>
      <w:r>
        <w:t xml:space="preserve"> Adherence to ULTs is known to be amongst the lowest of any chronic disease treatment</w:t>
      </w:r>
      <w:r>
        <w:fldChar w:fldCharType="begin" w:fldLock="1"/>
      </w:r>
      <w:r w:rsidR="00EC525B">
        <w:instrText>ADDIN CSL_CITATION { "citationItems" : [ { "id" : "ITEM-1", "itemData" : { "DOI" : "10.1592/phco.28.4.437.Comparison", "author" : [ { "dropping-particle" : "", "family" : "Briesacher", "given" : "Becky A", "non-dropping-particle" : "", "parse-names" : false, "suffix" : "" }, { "dropping-particle" : "", "family" : "Ph", "given" : "D", "non-dropping-particle" : "", "parse-names" : false, "suffix" : "" }, { "dropping-particle" : "", "family" : "Andrade", "given" : "Susan E", "non-dropping-particle" : "", "parse-names" : false, "suffix" : "" }, { "dropping-particle" : "", "family" : "Sc", "given" : "D", "non-dropping-particle" : "", "parse-names" : false, "suffix" : "" }, { "dropping-particle" : "", "family" : "Fouayzi", "given" : "Hassan", "non-dropping-particle" : "", "parse-names" : false, "suffix" : "" }, { "dropping-particle" : "", "family" : "Chan", "given" : "Arnold", "non-dropping-particle" : "", "parse-names" : false, "suffix" : "" } ], "container-title" : "Pharmacotherapy", "id" : "ITEM-1", "issue" : "4", "issued" : { "date-parts" : [ [ "2008" ] ] }, "page" : "437-443", "title" : "Comparison of Drug Adherence Rates Among Patients with Seven Different Medical Conditions", "type" : "article-journal", "volume" : "28" }, "uris" : [ "http://www.mendeley.com/documents/?uuid=9742171f-421e-4f8b-a54e-6b9810f3e2d6" ] }, { "id" : "ITEM-2", "itemData" : { "DOI" : "10.1002/acr.22336", "ISBN" : "2151-464X", "ISSN" : "21514658", "PMID" : "24692321", "abstract" : "Objective: Recent data suggesting the growing problem of medication non-adherence in gout has called for the need to synthesize the burden, determinants, and impacts of the problem. Our objective was to a conduct a systematic review of the literature examining medication adherence among patients with gout in real-world settings. Methods: We conducted a search of Medline, Embase, International Pharmaceutical Abstracts, PsycINFO, and CINAHL databases and selected studies of gout patients and medication adherence in real-world settings. We extracted information on study design, sample size, length of follow-up, data source (e.g. prescription records vs. electronic monitoring vs. self-report), type of non-adherence problem evaluated, adherence measures and reported estimates, and determinants of adherence reported in multivariable analyses. Results: We included 16 studies, which we categorized according to methods used to measure adherence including electronic prescription records (10), clinical records (1), electronic monitoring devices (1), and self-report (4). The burden of non-adherence was reported in all studies and among studies based on electronic prescription records, adherence rates were all below 0.80 and the proportion of adherent patients ranged from 10% to 46%. Six studies reported on determinants, with older age and having comorbid hypertension consistently shown to be positively associated with better adherence. One study showed the impact of adherence on achieving serum uric acid target. Conclusions: With less than half of gout patients in real-world settings adherent with their treatment, this systematic review highlights the importance of discussing adherence with medications during health care professional encounters with patients. \u00a9 2014 American College of Rheumatology.", "author" : [ { "dropping-particle" : "", "family" : "Vera", "given" : "Mary A.", "non-dropping-particle" : "De", "parse-names" : false, "suffix" : "" }, { "dropping-particle" : "", "family" : "Marcotte", "given" : "Greg", "non-dropping-particle" : "", "parse-names" : false, "suffix" : "" }, { "dropping-particle" : "", "family" : "Rai", "given" : "Sharan", "non-dropping-particle" : "", "parse-names" : false, "suffix" : "" }, { "dropping-particle" : "", "family" : "Galo", "given" : "Jessica S.", "non-dropping-particle" : "", "parse-names" : false, "suffix" : "" }, { "dropping-particle" : "", "family" : "Bhole", "given" : "Vidula", "non-dropping-particle" : "", "parse-names" : false, "suffix" : "" } ], "container-title" : "Arthritis Care and Research", "id" : "ITEM-2", "issue" : "10", "issued" : { "date-parts" : [ [ "2014" ] ] }, "page" : "1551-1559", "title" : "Medication adherence in gout: A systematic review", "type" : "article-journal", "volume" : "66" }, "uris" : [ "http://www.mendeley.com/documents/?uuid=3e47b13d-40f8-4bd0-bb71-df0d3880eef2" ] } ], "mendeley" : { "formattedCitation" : "&lt;sup&gt;11,12&lt;/sup&gt;", "plainTextFormattedCitation" : "11,12", "previouslyFormattedCitation" : "&lt;sup&gt;11,12&lt;/sup&gt;" }, "properties" : { "noteIndex" : 0 }, "schema" : "https://github.com/citation-style-language/schema/raw/master/csl-citation.json" }</w:instrText>
      </w:r>
      <w:r>
        <w:fldChar w:fldCharType="separate"/>
      </w:r>
      <w:r w:rsidR="00523B14" w:rsidRPr="00523B14">
        <w:rPr>
          <w:noProof/>
          <w:vertAlign w:val="superscript"/>
        </w:rPr>
        <w:t>11,12</w:t>
      </w:r>
      <w:r>
        <w:fldChar w:fldCharType="end"/>
      </w:r>
      <w:r>
        <w:t xml:space="preserve"> and studies provide evidence for both long</w:t>
      </w:r>
      <w:r>
        <w:fldChar w:fldCharType="begin" w:fldLock="1"/>
      </w:r>
      <w:r w:rsidR="00EC525B">
        <w:instrText>ADDIN CSL_CITATION { "citationItems" : [ { "id" : "ITEM-1", "itemData" : { "DOI" : "10.1016/j.amjmed.2009.05.026.The", "author" : [ { "dropping-particle" : "", "family" : "Harrold", "given" : "Leslie R", "non-dropping-particle" : "", "parse-names" : false, "suffix" : "" }, { "dropping-particle" : "", "family" : "Andrade", "given" : "Susan E", "non-dropping-particle" : "", "parse-names" : false, "suffix" : "" }, { "dropping-particle" : "", "family" : "Briesacher", "given" : "Becky", "non-dropping-particle" : "", "parse-names" : false, "suffix" : "" }, { "dropping-particle" : "", "family" : "Raebel", "given" : "Marsha A", "non-dropping-particle" : "", "parse-names" : false, "suffix" : "" }, { "dropping-particle" : "", "family" : "Fouayzi", "given" : "Hassan", "non-dropping-particle" : "", "parse-names" : false, "suffix" : "" }, { "dropping-particle" : "", "family" : "Yood", "given" : "Robert A", "non-dropping-particle" : "", "parse-names" : false, "suffix" : "" }, { "dropping-particle" : "", "family" : "Ockene", "given" : "Ira S", "non-dropping-particle" : "", "parse-names" : false, "suffix" : "" } ], "container-title" : "Am J Med", "id" : "ITEM-1", "issue" : "1", "issued" : { "date-parts" : [ [ "2010" ] ] }, "page" : "1-11", "title" : "The Dynamics of Chronic Gout Treatment: medication gaps and return to therapy", "type" : "article-journal", "volume" : "123" }, "uris" : [ "http://www.mendeley.com/documents/?uuid=aaaec637-d603-4dec-9747-8393ae3d86d9" ] } ], "mendeley" : { "formattedCitation" : "&lt;sup&gt;27&lt;/sup&gt;", "plainTextFormattedCitation" : "27", "previouslyFormattedCitation" : "&lt;sup&gt;27&lt;/sup&gt;" }, "properties" : { "noteIndex" : 0 }, "schema" : "https://github.com/citation-style-language/schema/raw/master/csl-citation.json" }</w:instrText>
      </w:r>
      <w:r>
        <w:fldChar w:fldCharType="separate"/>
      </w:r>
      <w:r w:rsidR="00523B14" w:rsidRPr="00523B14">
        <w:rPr>
          <w:noProof/>
          <w:vertAlign w:val="superscript"/>
        </w:rPr>
        <w:t>27</w:t>
      </w:r>
      <w:r>
        <w:fldChar w:fldCharType="end"/>
      </w:r>
      <w:r>
        <w:t xml:space="preserve"> and short</w:t>
      </w:r>
      <w:r>
        <w:fldChar w:fldCharType="begin" w:fldLock="1"/>
      </w:r>
      <w:r w:rsidR="00A468FE">
        <w:instrText>ADDIN CSL_CITATION { "citationItems" : [ { "id" : "ITEM-1", "itemData" : { "DOI" : "0315162X-30-44 [pii]", "ISBN" : "0315-162X (Print)0315-162X (Linking)", "ISSN" : "0315-162X (Print) 0315-162x", "PMID" : "12508389", "abstract" : "OBJECTIVE: (1) To explore patient compliance with prescribed drug regimens in the setting of usual care for outpatients with rheumatoid arthritis (RA), gout, and polymyalgia rheumatica (PMR) by utilizing electronic medication event monitors (MEMS(R)) to register openings of the medication package. (2) To examine the influence of disease, frequency of intake of the drug, and class of drug on compliance. (3) To explore the influence of demographic factors, quality of life measures, coping, health status, and functional ability as potential predictors of patient compliance. METHODS: A total of 127 consenting consecutive patients were enrolled: 81 patients with RA, 33 taking nonsteroidal antiinflammatory drugs (13 diclofenac TID and 20 naproxen BID) and 48 taking disease modifying antirheumatic drugs [25 sulfasalazine (SSZ) BID and 23 methotrexate (MTX) once weekly]; 17 patients with PMR starting with prednisolone QD; and 29 patients with gout starting with colchicine (12, QD) or starting with uric acid lowering agents (17, QD). All patients received first prescriptions and were instructed to take the medication as prescribed. Followup was 6 months (gout 12 mo). All patients were aware of the monitoring capability of the package. At baseline a series of questionnaires was completed. We summarized the dosing histories as \"taking compliance\" (percentage of total prescribed doses taken), \"correct dosing\" (percentage of doses taken as prescribed), and \"timing compliance\" (percentage of doses taken within +/- 25% of prescribed interdose intervals). RESULTS: A total of 26,685 days (&gt; 73 patient-years) were monitored. Compliance expressed as \"taking compliance,\" mean (95% CI), \"correct dosing,\" mean (95% CI), and \"timing compliance,\" mean (95% CI) are: naproxen: 82% (75-90), 68% (57-80), 48% (34-61); diclofenac: 77% (61-93), 67% (47-87), 39% (21-57); MTX: 107% (98-117), 81% (75-87), 83% (76-90); SSZ: 72% (60-84), 55% (44-67), 25% (18-33); prednisolone: 96% (89-102), 88% (83-92), 82% (74-89); colchicine: 65% (48-81), 44% (26-62), 32% (18-46); and uric acid lowering agents: 84% (76-92), 74% (63-85), 65% (52-79). Missed doses occurred more frequently than taking of extra doses: in RA, on 10% of all monitored days there was no evidence of dosing, while on 3% of all monitored days extra doses were taken. In PMR and gout these data are 10% and 4%, and 15% and 7%, respectively. We observed a decline of compliance over time in all study medication groups. Multiple regress\u2026", "author" : [ { "dropping-particle" : "", "family" : "Klerk", "given" : "Erik", "non-dropping-particle" : "de", "parse-names" : false, "suffix" : "" }, { "dropping-particle" : "", "family" : "Heijde", "given" : "Desiree", "non-dropping-particle" : "van der", "parse-names" : false, "suffix" : "" }, { "dropping-particle" : "", "family" : "Landewe", "given" : "Robert", "non-dropping-particle" : "", "parse-names" : false, "suffix" : "" }, { "dropping-particle" : "", "family" : "Tempel", "given" : "Hille", "non-dropping-particle" : "van der", "parse-names" : false, "suffix" : "" }, { "dropping-particle" : "", "family" : "Urquhart", "given" : "John", "non-dropping-particle" : "", "parse-names" : false, "suffix" : "" }, { "dropping-particle" : "", "family" : "Linden", "given" : "Sjef", "non-dropping-particle" : "van der", "parse-names" : false, "suffix" : "" } ], "container-title" : "Journal of Rheumatology", "id" : "ITEM-1", "issue" : "1", "issued" : { "date-parts" : [ [ "2003" ] ] }, "page" : "44-54", "title" : "Patient compliance in rheumatoid arthritis, polymyalgia rheumatica, and gout.", "type" : "article-journal", "volume" : "30" }, "uris" : [ "http://www.mendeley.com/documents/?uuid=a9180328-bf7e-4c0d-af94-ee5c60664f50" ] } ], "mendeley" : { "formattedCitation" : "&lt;sup&gt;28&lt;/sup&gt;", "plainTextFormattedCitation" : "28", "previouslyFormattedCitation" : "&lt;sup&gt;28&lt;/sup&gt;" }, "properties" : { "noteIndex" : 0 }, "schema" : "https://github.com/citation-style-language/schema/raw/master/csl-citation.json" }</w:instrText>
      </w:r>
      <w:r>
        <w:fldChar w:fldCharType="separate"/>
      </w:r>
      <w:r w:rsidR="00523B14" w:rsidRPr="00523B14">
        <w:rPr>
          <w:noProof/>
          <w:vertAlign w:val="superscript"/>
        </w:rPr>
        <w:t>28</w:t>
      </w:r>
      <w:r>
        <w:fldChar w:fldCharType="end"/>
      </w:r>
      <w:r>
        <w:t xml:space="preserve"> drug holidays. This study shows that renal safety may also be compromised by poor medication adherence and highlights the need to improve adherence and adapt treatments to poorly adherent populations. This could include compliance instruction on drug labelling</w:t>
      </w:r>
      <w:r>
        <w:fldChar w:fldCharType="begin" w:fldLock="1"/>
      </w:r>
      <w:r w:rsidR="00EC525B">
        <w:instrText>ADDIN CSL_CITATION { "citationItems" : [ { "id" : "ITEM-1", "itemData" : { "DOI" : "10.1067/mcp.2000.110976", "ISSN" : "00099236", "PMID" : "11180017", "author" : [ { "dropping-particle" : "", "family" : "Levy", "given" : "Gerhard", "non-dropping-particle" : "", "parse-names" : false, "suffix" : "" }, { "dropping-particle" : "", "family" : "Zamacona", "given" : "Miren K.", "non-dropping-particle" : "", "parse-names" : false, "suffix" : "" }, { "dropping-particle" : "", "family" : "Jusko", "given" : "William J.", "non-dropping-particle" : "", "parse-names" : false, "suffix" : "" } ], "container-title" : "Clinical Pharmacology and Therapeutics", "id" : "ITEM-1", "issue" : "6", "issued" : { "date-parts" : [ [ "2000" ] ] }, "page" : "586-591", "title" : "Developing compliance instructions for drug labeling", "type" : "article-journal", "volume" : "68" }, "uris" : [ "http://www.mendeley.com/documents/?uuid=549d97a6-a918-40d1-bfa7-887d0156fe17" ] } ], "mendeley" : { "formattedCitation" : "&lt;sup&gt;29&lt;/sup&gt;", "plainTextFormattedCitation" : "29", "previouslyFormattedCitation" : "&lt;sup&gt;29&lt;/sup&gt;" }, "properties" : { "noteIndex" : 0 }, "schema" : "https://github.com/citation-style-language/schema/raw/master/csl-citation.json" }</w:instrText>
      </w:r>
      <w:r>
        <w:fldChar w:fldCharType="separate"/>
      </w:r>
      <w:r w:rsidR="00523B14" w:rsidRPr="00523B14">
        <w:rPr>
          <w:noProof/>
          <w:vertAlign w:val="superscript"/>
        </w:rPr>
        <w:t>29</w:t>
      </w:r>
      <w:r>
        <w:fldChar w:fldCharType="end"/>
      </w:r>
      <w:r>
        <w:t>, indicating a number of doses which can be missed based on the forgiveness of the drug to missed doses</w:t>
      </w:r>
      <w:r w:rsidR="008267EA">
        <w:t>.</w:t>
      </w:r>
      <w:r>
        <w:fldChar w:fldCharType="begin" w:fldLock="1"/>
      </w:r>
      <w:r w:rsidR="00EC525B">
        <w:instrText>ADDIN CSL_CITATION { "citationItems" : [ { "id" : "ITEM-1", "itemData" : { "DOI" : "10.1002/psp4.4", "ISSN" : "21638306", "PMID" : "26225235", "abstract" : "The circumstance of how sensitive therapeutic success is under imperfect adherence is driven by the property known as forgiveness. To date, no studies have considered variability in the pharmacokinetic-pharmacodynamic process in conjunction with imperfect adherence patterns in order to develop a comparative criterion to determine the forgiveness of a drug. In this study, we have proposed a criterion to quantify forgiveness; illustrated the criterion for a theoretical example and evaluated the forgiveness of a motivating example, namely warfarin. A forgiveness criterion, relative forgiveness, is defined as the number of times more likely that a target is successfully attained under perfect adherence compared to imperfect adherence; or when comparing two drugs under a standard setting of imperfect adherence. The relative forgiveness criterion may have important implications for both drug development and clinical practice since the choice of drug can account for the likely influence of its forgiveness.", "author" : [ { "dropping-particle" : "", "family" : "Assawasuwannakit", "given" : "Piyanan", "non-dropping-particle" : "", "parse-names" : false, "suffix" : "" }, { "dropping-particle" : "", "family" : "Braund", "given" : "Rhiannon", "non-dropping-particle" : "", "parse-names" : false, "suffix" : "" }, { "dropping-particle" : "", "family" : "Duffull", "given" : "Stephen B", "non-dropping-particle" : "", "parse-names" : false, "suffix" : "" } ], "container-title" : "CPT: Pharmacometrics &amp; Systems Pharmacology", "id" : "ITEM-1", "issue" : "3", "issued" : { "date-parts" : [ [ "2015" ] ] }, "page" : "204-211", "title" : "Quantification of the Forgiveness of Drugs to Imperfect Adherence", "type" : "article-journal", "volume" : "4" }, "uris" : [ "http://www.mendeley.com/documents/?uuid=2be035e3-f089-4a8d-95ea-b44ffde7ecee" ] } ], "mendeley" : { "formattedCitation" : "&lt;sup&gt;30&lt;/sup&gt;", "plainTextFormattedCitation" : "30", "previouslyFormattedCitation" : "&lt;sup&gt;30&lt;/sup&gt;" }, "properties" : { "noteIndex" : 0 }, "schema" : "https://github.com/citation-style-language/schema/raw/master/csl-citation.json" }</w:instrText>
      </w:r>
      <w:r>
        <w:fldChar w:fldCharType="separate"/>
      </w:r>
      <w:r w:rsidR="00523B14" w:rsidRPr="00523B14">
        <w:rPr>
          <w:noProof/>
          <w:vertAlign w:val="superscript"/>
        </w:rPr>
        <w:t>30</w:t>
      </w:r>
      <w:r>
        <w:fldChar w:fldCharType="end"/>
      </w:r>
      <w:r>
        <w:t xml:space="preserve"> Such measures may improve the safety profile of future uricosurics, which for lesinurad may have influenced reimbursement decisions</w:t>
      </w:r>
      <w:r w:rsidR="008267EA">
        <w:t>.</w:t>
      </w:r>
      <w:r>
        <w:fldChar w:fldCharType="begin" w:fldLock="1"/>
      </w:r>
      <w:r w:rsidR="00153286">
        <w:instrText>ADDIN CSL_CITATION { "citationItems" : [ { "id" : "ITEM-1", "itemData" : { "author" : [ { "dropping-particle" : "", "family" : "National Institute for Health and Care Excellence.", "given" : "", "non-dropping-particle" : "", "parse-names" : false, "suffix" : "" } ], "id" : "ITEM-1", "issued" : { "date-parts" : [ [ "2016" ] ] }, "title" : "Single Technology Appraisal: Lesinurad for treating chronic hyperuricaemia in people with gout, Committee Papers", "type" : "article-journal", "volume" : "[ID761]" }, "uris" : [ "http://www.mendeley.com/documents/?uuid=2472339a-4dbf-476f-9431-5bc964e4ca76" ] } ], "mendeley" : { "formattedCitation" : "&lt;sup&gt;31&lt;/sup&gt;", "plainTextFormattedCitation" : "31", "previouslyFormattedCitation" : "&lt;sup&gt;31&lt;/sup&gt;" }, "properties" : { "noteIndex" : 0 }, "schema" : "https://github.com/citation-style-language/schema/raw/master/csl-citation.json" }</w:instrText>
      </w:r>
      <w:r>
        <w:fldChar w:fldCharType="separate"/>
      </w:r>
      <w:r w:rsidR="00523B14" w:rsidRPr="00523B14">
        <w:rPr>
          <w:noProof/>
          <w:vertAlign w:val="superscript"/>
        </w:rPr>
        <w:t>31</w:t>
      </w:r>
      <w:r>
        <w:fldChar w:fldCharType="end"/>
      </w:r>
    </w:p>
    <w:p w14:paraId="551236F5" w14:textId="77777777" w:rsidR="00D828B5" w:rsidRDefault="00D828B5" w:rsidP="00D70D02">
      <w:pPr>
        <w:spacing w:after="0" w:line="480" w:lineRule="auto"/>
      </w:pPr>
    </w:p>
    <w:p w14:paraId="498C1103" w14:textId="77777777" w:rsidR="0026466C" w:rsidRDefault="0026466C" w:rsidP="00D70D02">
      <w:pPr>
        <w:spacing w:after="0" w:line="480" w:lineRule="auto"/>
      </w:pPr>
      <w:r>
        <w:t xml:space="preserve">If gout patients adhere well to dual-ULT then it appears to offer a means of further reducing </w:t>
      </w:r>
      <w:proofErr w:type="spellStart"/>
      <w:r>
        <w:t>sUA</w:t>
      </w:r>
      <w:proofErr w:type="spellEnd"/>
      <w:r>
        <w:t xml:space="preserve"> concentrations with a negligible increase in urinary uric acid output. However, regular drug holidays which are commonplace amongst gout patients using ULTs, result in much lower rates of long term treatment success and increased rates of hyperuricosuria when treatment is restarted. This has the potential to increase the risk of kidney damage in all patients, but especially those with hyperuricemia due to overproduction of uric acid. </w:t>
      </w:r>
      <w:r w:rsidRPr="00A11972">
        <w:t xml:space="preserve"> </w:t>
      </w:r>
      <w:r>
        <w:t>Further research is needed into the impact of adherence patterns on treatment success rates and kidney safety in order to better understand how</w:t>
      </w:r>
      <w:r w:rsidRPr="00A11972">
        <w:t xml:space="preserve"> </w:t>
      </w:r>
      <w:r>
        <w:t>dual-ULT could be optimally used in the treatment of hyperuricemia in patients with gout.</w:t>
      </w:r>
    </w:p>
    <w:p w14:paraId="36D33D01" w14:textId="77777777" w:rsidR="00D828B5" w:rsidRDefault="00D828B5" w:rsidP="00D70D02">
      <w:pPr>
        <w:spacing w:after="0" w:line="480" w:lineRule="auto"/>
      </w:pPr>
    </w:p>
    <w:p w14:paraId="43EACCD2" w14:textId="77777777" w:rsidR="00561BCA" w:rsidRPr="005C608B" w:rsidRDefault="00561BCA" w:rsidP="00D70D02">
      <w:pPr>
        <w:spacing w:after="0" w:line="480" w:lineRule="auto"/>
        <w:rPr>
          <w:b/>
        </w:rPr>
      </w:pPr>
      <w:r w:rsidRPr="005C608B">
        <w:rPr>
          <w:b/>
        </w:rPr>
        <w:t>Methods</w:t>
      </w:r>
    </w:p>
    <w:p w14:paraId="456C7BE6" w14:textId="5D9BE7E4" w:rsidR="00945413" w:rsidRPr="00BA22B5" w:rsidRDefault="00945413" w:rsidP="00D70D02">
      <w:pPr>
        <w:spacing w:after="0" w:line="480" w:lineRule="auto"/>
        <w:rPr>
          <w:i/>
        </w:rPr>
      </w:pPr>
      <w:r w:rsidRPr="00BA22B5">
        <w:rPr>
          <w:i/>
        </w:rPr>
        <w:t>Strategy</w:t>
      </w:r>
    </w:p>
    <w:p w14:paraId="06E6265B" w14:textId="3E216AD7" w:rsidR="00B921D4" w:rsidRDefault="00352CD5" w:rsidP="00D70D02">
      <w:pPr>
        <w:spacing w:after="0" w:line="480" w:lineRule="auto"/>
      </w:pPr>
      <w:r>
        <w:t xml:space="preserve">A </w:t>
      </w:r>
      <w:r w:rsidR="00D75F44">
        <w:t>semi-mechanistic</w:t>
      </w:r>
      <w:r>
        <w:t xml:space="preserve"> pharmacokinetic-pharmacodynamic (PKPD) model, based on previous research on the systems pharmacology of the purine metabolic pathway</w:t>
      </w:r>
      <w:r>
        <w:fldChar w:fldCharType="begin" w:fldLock="1"/>
      </w:r>
      <w:r w:rsidR="00153286">
        <w:instrText>ADDIN CSL_CITATION { "citationItems" : [ { "id" : "ITEM-1", "itemData" : { "author" : [ { "dropping-particle" : "", "family" : "Dua", "given" : "Pinky", "non-dropping-particle" : "", "parse-names" : false, "suffix" : "" }, { "dropping-particle" : "", "family" : "Demin", "given" : "Oleg", "non-dropping-particle" : "", "parse-names" : false, "suffix" : "" }, { "dropping-particle" : "", "family" : "Sokolov", "given" : "Victor", "non-dropping-particle" : "", "parse-names" : false, "suffix" : "" }, { "dropping-particle" : "", "family" : "Yakovleva", "given" : "Tatiana", "non-dropping-particle" : "", "parse-names" : false, "suffix" : "" }, { "dropping-particle" : "", "family" : "Demin", "given" : "Oleg", "non-dropping-particle" : "", "parse-names" : false, "suffix" : "" }, { "dropping-particle" : "Van Der", "family" : "Graaf", "given" : "Piet", "non-dropping-particle" : "", "parse-names" : false, "suffix" : "" } ], "id" : "ITEM-1", "issued" : { "date-parts" : [ [ "2014" ] ] }, "title" : "A systems pharmacology model of purine metabolism to explore novel options for the treatment of Gout (Poster). Systems Pharmacology in Drug Discovery &amp; Development. 2014.", "type" : "article" }, "uris" : [ "http://www.mendeley.com/documents/?uuid=953c6deb-d3c1-44d8-82d3-9fcaf23e1858" ] } ], "mendeley" : { "formattedCitation" : "&lt;sup&gt;32&lt;/sup&gt;", "plainTextFormattedCitation" : "32", "previouslyFormattedCitation" : "&lt;sup&gt;32&lt;/sup&gt;" }, "properties" : { "noteIndex" : 0 }, "schema" : "https://github.com/citation-style-language/schema/raw/master/csl-citation.json" }</w:instrText>
      </w:r>
      <w:r>
        <w:fldChar w:fldCharType="separate"/>
      </w:r>
      <w:r w:rsidR="00523B14" w:rsidRPr="00523B14">
        <w:rPr>
          <w:noProof/>
          <w:vertAlign w:val="superscript"/>
        </w:rPr>
        <w:t>32</w:t>
      </w:r>
      <w:r>
        <w:fldChar w:fldCharType="end"/>
      </w:r>
      <w:r>
        <w:t xml:space="preserve">, was developed to capture the pharmacology of ULTs (Figure </w:t>
      </w:r>
      <w:r w:rsidR="00CF7A19">
        <w:t>4</w:t>
      </w:r>
      <w:r>
        <w:t xml:space="preserve">). </w:t>
      </w:r>
      <w:r w:rsidR="00CA0A65">
        <w:t xml:space="preserve">The </w:t>
      </w:r>
      <w:r w:rsidR="00B921D4">
        <w:t xml:space="preserve">system </w:t>
      </w:r>
      <w:r w:rsidR="00B26E62">
        <w:t xml:space="preserve">was </w:t>
      </w:r>
      <w:r w:rsidR="00CA0A65">
        <w:t xml:space="preserve">comprised of four compartments </w:t>
      </w:r>
      <w:r w:rsidR="001973BC">
        <w:t xml:space="preserve">utilising a </w:t>
      </w:r>
      <w:r w:rsidR="00C1217F">
        <w:t>zero order production rate (k</w:t>
      </w:r>
      <w:r w:rsidR="00C1217F" w:rsidRPr="00C1217F">
        <w:rPr>
          <w:vertAlign w:val="subscript"/>
        </w:rPr>
        <w:t>0</w:t>
      </w:r>
      <w:r w:rsidR="00CA0A65">
        <w:t>) governing the formation of xanthine and first order production rates characterising its biotransformation to uric acid (k</w:t>
      </w:r>
      <w:r w:rsidR="00CA0A65" w:rsidRPr="00C1217F">
        <w:rPr>
          <w:vertAlign w:val="subscript"/>
        </w:rPr>
        <w:t>1</w:t>
      </w:r>
      <w:r w:rsidR="004C362B">
        <w:t xml:space="preserve">) and </w:t>
      </w:r>
      <w:r w:rsidR="00CA0A65">
        <w:t>the elimination of xanthine</w:t>
      </w:r>
      <w:r w:rsidR="001973BC">
        <w:t xml:space="preserve"> </w:t>
      </w:r>
      <w:r w:rsidR="00CA0A65">
        <w:t>(k</w:t>
      </w:r>
      <w:r w:rsidR="00CA0A65" w:rsidRPr="00C1217F">
        <w:rPr>
          <w:vertAlign w:val="subscript"/>
        </w:rPr>
        <w:t>2</w:t>
      </w:r>
      <w:r w:rsidR="00CA0A65">
        <w:t>) and uric acid (k</w:t>
      </w:r>
      <w:r w:rsidR="00CA0A65" w:rsidRPr="00C1217F">
        <w:rPr>
          <w:vertAlign w:val="subscript"/>
        </w:rPr>
        <w:t>3</w:t>
      </w:r>
      <w:r w:rsidR="00CA0A65">
        <w:t xml:space="preserve">) into the urine. </w:t>
      </w:r>
      <w:r w:rsidR="001973BC">
        <w:t>These</w:t>
      </w:r>
      <w:r w:rsidR="001973BC" w:rsidRPr="001973BC">
        <w:t xml:space="preserve"> </w:t>
      </w:r>
      <w:r w:rsidR="001973BC">
        <w:t>in turn were parameterised in terms of volumes and clearance terms.</w:t>
      </w:r>
    </w:p>
    <w:p w14:paraId="060F2223" w14:textId="77777777" w:rsidR="00D828B5" w:rsidRDefault="00D828B5" w:rsidP="00D70D02">
      <w:pPr>
        <w:spacing w:after="0" w:line="480" w:lineRule="auto"/>
      </w:pPr>
    </w:p>
    <w:p w14:paraId="666A1DD1" w14:textId="15AA5AE7" w:rsidR="00352CD5" w:rsidRDefault="00352CD5" w:rsidP="00D70D02">
      <w:pPr>
        <w:spacing w:after="0" w:line="480" w:lineRule="auto"/>
      </w:pPr>
      <w:r>
        <w:t xml:space="preserve">The PD model </w:t>
      </w:r>
      <w:r w:rsidR="00BD670C">
        <w:t xml:space="preserve">characterises the time course of </w:t>
      </w:r>
      <w:proofErr w:type="spellStart"/>
      <w:r w:rsidR="00BD670C">
        <w:t>sUA</w:t>
      </w:r>
      <w:proofErr w:type="spellEnd"/>
      <w:r w:rsidR="00BD670C">
        <w:t xml:space="preserve">, </w:t>
      </w:r>
      <w:proofErr w:type="spellStart"/>
      <w:r w:rsidR="00BD670C">
        <w:t>uUA</w:t>
      </w:r>
      <w:proofErr w:type="spellEnd"/>
      <w:r w:rsidR="00BD670C">
        <w:t>, xanthine and urinary xanthine.</w:t>
      </w:r>
      <w:r w:rsidR="00A22080">
        <w:t xml:space="preserve"> </w:t>
      </w:r>
      <w:r w:rsidR="005C3BBA">
        <w:t xml:space="preserve">Two inhibitory indirect response models were used to account for the effect of </w:t>
      </w:r>
      <w:r w:rsidR="00B921D4">
        <w:t xml:space="preserve">multiple doses of </w:t>
      </w:r>
      <w:r w:rsidR="005C3BBA">
        <w:t xml:space="preserve">febuxostat on </w:t>
      </w:r>
      <w:r w:rsidR="00F5334D">
        <w:t>k</w:t>
      </w:r>
      <w:r w:rsidR="008A0FB5" w:rsidRPr="008A0FB5">
        <w:rPr>
          <w:vertAlign w:val="subscript"/>
        </w:rPr>
        <w:t>0</w:t>
      </w:r>
      <w:r w:rsidR="00B921D4">
        <w:t xml:space="preserve"> </w:t>
      </w:r>
      <w:r w:rsidR="005C3BBA">
        <w:t xml:space="preserve">and </w:t>
      </w:r>
      <w:r w:rsidR="00B921D4">
        <w:t>k</w:t>
      </w:r>
      <w:r w:rsidR="00B921D4" w:rsidRPr="006E684D">
        <w:rPr>
          <w:vertAlign w:val="subscript"/>
        </w:rPr>
        <w:t>1</w:t>
      </w:r>
      <w:r w:rsidR="005C3BBA">
        <w:t xml:space="preserve">. A </w:t>
      </w:r>
      <w:r w:rsidR="00F41F9C">
        <w:t>stimulatory indirect response</w:t>
      </w:r>
      <w:r w:rsidR="00F41F9C">
        <w:fldChar w:fldCharType="begin" w:fldLock="1"/>
      </w:r>
      <w:r w:rsidR="00EC525B">
        <w:instrText>ADDIN CSL_CITATION { "citationItems" : [ { "id" : "ITEM-1", "itemData" : { "DOI" : "10.1046/j.1365-2125.1998.00676.x", "ISBN" : "1365-2125", "ISSN" : "03065251", "PMID" : "9517366", "abstract" : "This review describes four basic physiologic indirect pharmacodynamic response (IDR) models which have been proposed to characterize the pharmacodynamics of drugs that act by indirect mechanisms such as inhibition or stimulation of the production or dissipation of factors controlling the measured effect. The principles underlying IDR models and their response patterns are described. The applicability of these basic IDR models to characterize pharmacodynamic responses of diverse drugs such as inhibition of gastric acid secretion by nizatidine and stimulation of MX protein synthesis by interferon alpha-2a is demonstrated. A list of other uses of these models is provided. These models can be readily extended to accommodate additional complexities such as nonstationary or circadian baselines, equilibration delay, depletion or accumulation of a precursor pool, sigmoidicity, or other mechanisms. Indirect response models which have a logical mechanistic basis account for time-delays in many responses and are widely applicable in clinical pharmacology.", "author" : [ { "dropping-particle" : "", "family" : "Sharma", "given" : "Amarnath", "non-dropping-particle" : "", "parse-names" : false, "suffix" : "" }, { "dropping-particle" : "", "family" : "Jusko", "given" : "William J.", "non-dropping-particle" : "", "parse-names" : false, "suffix" : "" } ], "container-title" : "British Journal of Clinical Pharmacology", "id" : "ITEM-1", "issue" : "3", "issued" : { "date-parts" : [ [ "1998" ] ] }, "page" : "229-239", "title" : "Characteristics of indirect pharmacodynamic models and applications to clinical drug responses", "type" : "article-journal", "volume" : "45" }, "uris" : [ "http://www.mendeley.com/documents/?uuid=78662a72-c46f-4baf-ae51-8363ea3b6a2a" ] } ], "mendeley" : { "formattedCitation" : "&lt;sup&gt;33&lt;/sup&gt;", "plainTextFormattedCitation" : "33", "previouslyFormattedCitation" : "&lt;sup&gt;33&lt;/sup&gt;" }, "properties" : { "noteIndex" : 0 }, "schema" : "https://github.com/citation-style-language/schema/raw/master/csl-citation.json" }</w:instrText>
      </w:r>
      <w:r w:rsidR="00F41F9C">
        <w:fldChar w:fldCharType="separate"/>
      </w:r>
      <w:r w:rsidR="00523B14" w:rsidRPr="00523B14">
        <w:rPr>
          <w:noProof/>
          <w:vertAlign w:val="superscript"/>
        </w:rPr>
        <w:t>33</w:t>
      </w:r>
      <w:r w:rsidR="00F41F9C">
        <w:fldChar w:fldCharType="end"/>
      </w:r>
      <w:r w:rsidR="00F41F9C">
        <w:t xml:space="preserve"> equation acting on the k</w:t>
      </w:r>
      <w:r w:rsidR="00F41F9C">
        <w:rPr>
          <w:vertAlign w:val="subscript"/>
        </w:rPr>
        <w:t xml:space="preserve">2 </w:t>
      </w:r>
      <w:r w:rsidR="00F41F9C">
        <w:t>rate parameter</w:t>
      </w:r>
      <w:r w:rsidR="005C3BBA">
        <w:t xml:space="preserve"> was incorporated to model </w:t>
      </w:r>
      <w:r w:rsidR="00B921D4">
        <w:t>the increased</w:t>
      </w:r>
      <w:r w:rsidR="005C3BBA">
        <w:t xml:space="preserve"> xanthine renal clearance associated with febuxostat</w:t>
      </w:r>
      <w:r w:rsidR="008267EA">
        <w:t>.</w:t>
      </w:r>
      <w:r w:rsidR="005C3BBA">
        <w:fldChar w:fldCharType="begin" w:fldLock="1"/>
      </w:r>
      <w:r w:rsidR="00EC525B">
        <w:instrText>ADDIN CSL_CITATION { "citationItems" : [ { "id" : "ITEM-1", "itemData" : { "author" : [ { "dropping-particle" : "", "family" : "Khosravan", "given" : "Reza", "non-dropping-particle" : "", "parse-names" : false, "suffix" : "" }, { "dropping-particle" : "", "family" : "Grabowski", "given" : "Brian A", "non-dropping-particle" : "", "parse-names" : false, "suffix" : "" }, { "dropping-particle" : "", "family" : "Wu", "given" : "Jing-tao", "non-dropping-particle" : "", "parse-names" : false, "suffix" : "" }, { "dropping-particle" : "", "family" : "Joseph-ridge", "given" : "Nancy", "non-dropping-particle" : "", "parse-names" : false, "suffix" : "" }, { "dropping-particle" : "", "family" : "Vernillet", "given" : "Laurent", "non-dropping-particle" : "", "parse-names" : false, "suffix" : "" } ], "container-title" : "Clinical Pharmacokinetics", "id" : "ITEM-1", "issue" : "8", "issued" : { "date-parts" : [ [ "2006" ] ] }, "page" : "821-841", "title" : "Pharmacokinetics, Pharmacodynamcis and Safety of Febuxostat , a Non-Purine Selective Inhibitor of Xanthine Oxidase , in a Dose Escalation Study in Healthy Subjects", "type" : "article-journal", "volume" : "45" }, "uris" : [ "http://www.mendeley.com/documents/?uuid=d9e85080-6278-44e4-be4c-ec001aee80b0" ] } ], "mendeley" : { "formattedCitation" : "&lt;sup&gt;34&lt;/sup&gt;", "plainTextFormattedCitation" : "34", "previouslyFormattedCitation" : "&lt;sup&gt;34&lt;/sup&gt;" }, "properties" : { "noteIndex" : 0 }, "schema" : "https://github.com/citation-style-language/schema/raw/master/csl-citation.json" }</w:instrText>
      </w:r>
      <w:r w:rsidR="005C3BBA">
        <w:fldChar w:fldCharType="separate"/>
      </w:r>
      <w:r w:rsidR="00523B14" w:rsidRPr="00523B14">
        <w:rPr>
          <w:noProof/>
          <w:vertAlign w:val="superscript"/>
        </w:rPr>
        <w:t>34</w:t>
      </w:r>
      <w:r w:rsidR="005C3BBA">
        <w:fldChar w:fldCharType="end"/>
      </w:r>
      <w:r w:rsidR="00F41F9C">
        <w:t xml:space="preserve"> </w:t>
      </w:r>
      <w:r>
        <w:t>Th</w:t>
      </w:r>
      <w:r w:rsidR="005C3BBA">
        <w:t xml:space="preserve">e clearance of uric acid </w:t>
      </w:r>
      <w:r w:rsidR="00B921D4">
        <w:t xml:space="preserve">upon multiple doses of </w:t>
      </w:r>
      <w:r w:rsidR="005C3BBA">
        <w:t>lesinurad wa</w:t>
      </w:r>
      <w:r>
        <w:t>s modelled using a stimulatory indirect response equation acting on the k</w:t>
      </w:r>
      <w:r>
        <w:rPr>
          <w:vertAlign w:val="subscript"/>
        </w:rPr>
        <w:t xml:space="preserve">3 </w:t>
      </w:r>
      <w:r>
        <w:t xml:space="preserve">rate parameter. </w:t>
      </w:r>
    </w:p>
    <w:p w14:paraId="0D9D49F2" w14:textId="77777777" w:rsidR="00D828B5" w:rsidRDefault="00D828B5" w:rsidP="00D70D02">
      <w:pPr>
        <w:spacing w:after="0" w:line="480" w:lineRule="auto"/>
      </w:pPr>
    </w:p>
    <w:p w14:paraId="11D3058F" w14:textId="1D5ABF3B" w:rsidR="009E7356" w:rsidRDefault="00B921D4" w:rsidP="00D70D02">
      <w:pPr>
        <w:spacing w:after="0" w:line="480" w:lineRule="auto"/>
      </w:pPr>
      <w:r w:rsidRPr="009E7356">
        <w:t xml:space="preserve">The </w:t>
      </w:r>
      <w:r w:rsidR="001973BC">
        <w:t xml:space="preserve">system and </w:t>
      </w:r>
      <w:r w:rsidR="009E7356">
        <w:t xml:space="preserve">drug PD </w:t>
      </w:r>
      <w:r w:rsidR="00787C1D" w:rsidRPr="001973BC">
        <w:t>model parameter estimates</w:t>
      </w:r>
      <w:r w:rsidR="00D75F44" w:rsidRPr="001973BC">
        <w:t xml:space="preserve"> w</w:t>
      </w:r>
      <w:r w:rsidR="00B11B98" w:rsidRPr="001973BC">
        <w:t>ere</w:t>
      </w:r>
      <w:r w:rsidR="00D75F44" w:rsidRPr="001973BC">
        <w:t xml:space="preserve"> </w:t>
      </w:r>
      <w:r w:rsidR="005C3BBA" w:rsidRPr="00045377">
        <w:t>obtained from</w:t>
      </w:r>
      <w:r w:rsidR="00D75F44" w:rsidRPr="00D548F2">
        <w:t xml:space="preserve"> </w:t>
      </w:r>
      <w:r w:rsidR="005C3BBA" w:rsidRPr="00D548F2">
        <w:t xml:space="preserve">literature and </w:t>
      </w:r>
      <w:r w:rsidR="005C3BBA" w:rsidRPr="00EE22CF">
        <w:t xml:space="preserve">other </w:t>
      </w:r>
      <w:r w:rsidR="00B11B98" w:rsidRPr="00405534">
        <w:t xml:space="preserve">publicly available </w:t>
      </w:r>
      <w:r w:rsidR="005C3BBA" w:rsidRPr="00405534">
        <w:t>sources</w:t>
      </w:r>
      <w:r w:rsidR="00D75F44" w:rsidRPr="00405534">
        <w:t xml:space="preserve">. </w:t>
      </w:r>
      <w:r>
        <w:t>As described below s</w:t>
      </w:r>
      <w:r w:rsidR="005C3BBA" w:rsidRPr="001973BC">
        <w:t>ome parameters values were taken directly from the literature while others were estimated using non-linear mixed effects models and clinical trials data</w:t>
      </w:r>
      <w:r w:rsidR="005C3BBA" w:rsidRPr="009E7356">
        <w:rPr>
          <w:b/>
        </w:rPr>
        <w:t xml:space="preserve">. </w:t>
      </w:r>
      <w:r w:rsidR="009E7356">
        <w:t xml:space="preserve">The parameters required to characterise the pharmacodynamic model are given in Table </w:t>
      </w:r>
      <w:r w:rsidR="0065183F">
        <w:t>1</w:t>
      </w:r>
      <w:r w:rsidR="009E7356">
        <w:t>.</w:t>
      </w:r>
    </w:p>
    <w:p w14:paraId="662A895A" w14:textId="77777777" w:rsidR="00D828B5" w:rsidRDefault="00D828B5" w:rsidP="00D70D02">
      <w:pPr>
        <w:pStyle w:val="ListParagraph"/>
        <w:spacing w:after="0" w:line="480" w:lineRule="auto"/>
        <w:ind w:left="0"/>
        <w:rPr>
          <w:b/>
          <w:i/>
        </w:rPr>
      </w:pPr>
    </w:p>
    <w:p w14:paraId="55501E10" w14:textId="3609157F" w:rsidR="00B709D8" w:rsidRPr="00BA22B5" w:rsidRDefault="00B709D8" w:rsidP="00BA22B5">
      <w:pPr>
        <w:spacing w:after="0" w:line="480" w:lineRule="auto"/>
        <w:rPr>
          <w:i/>
        </w:rPr>
      </w:pPr>
      <w:r w:rsidRPr="00BA22B5">
        <w:rPr>
          <w:i/>
        </w:rPr>
        <w:t>Pharmacokinetics</w:t>
      </w:r>
    </w:p>
    <w:p w14:paraId="714FFE47" w14:textId="436E1201" w:rsidR="001107E4" w:rsidRDefault="002521B2" w:rsidP="00D70D02">
      <w:pPr>
        <w:spacing w:after="0" w:line="480" w:lineRule="auto"/>
      </w:pPr>
      <w:r>
        <w:t>Two</w:t>
      </w:r>
      <w:r w:rsidR="005C452E">
        <w:t>-compar</w:t>
      </w:r>
      <w:r>
        <w:t>t</w:t>
      </w:r>
      <w:r w:rsidR="005C452E">
        <w:t>ment models</w:t>
      </w:r>
      <w:r w:rsidR="00441956">
        <w:t xml:space="preserve"> with first order absorption</w:t>
      </w:r>
      <w:r w:rsidR="005C452E">
        <w:t xml:space="preserve"> </w:t>
      </w:r>
      <w:r>
        <w:t xml:space="preserve">for </w:t>
      </w:r>
      <w:r w:rsidR="00B10433">
        <w:t xml:space="preserve">febuxostat and lesinurad </w:t>
      </w:r>
      <w:r w:rsidR="00441956">
        <w:t>obtained from the literature</w:t>
      </w:r>
      <w:r w:rsidR="00BD670C">
        <w:fldChar w:fldCharType="begin" w:fldLock="1"/>
      </w:r>
      <w:r w:rsidR="00153286">
        <w:instrText>ADDIN CSL_CITATION { "citationItems" : [ { "id" : "ITEM-1", "itemData" : { "author" : [ { "dropping-particle" : "", "family" : "Centre for Drug Evaluation and Research.", "given" : "", "non-dropping-particle" : "", "parse-names" : false, "suffix" : "" } ], "id" : "ITEM-1", "issued" : { "date-parts" : [ [ "2008" ] ] }, "number-of-pages" : "260", "title" : "Clinical Pharmacology and Biopharmaceutics Review (NDA 21-856).", "type" : "report" }, "uris" : [ "http://www.mendeley.com/documents/?uuid=942e547a-9c0e-4635-a053-875485467415" ] }, { "id" : "ITEM-2", "itemData" : { "author" : [ { "dropping-particle" : "", "family" : "Centre for Drug Evaluation and Research.", "given" : "", "non-dropping-particle" : "", "parse-names" : false, "suffix" : "" } ], "id" : "ITEM-2", "issued" : { "date-parts" : [ [ "2014" ] ] }, "title" : "Clinical Pharmacology and Biopharmaceutics Review (Application Number: 207988Orig1s000)", "type" : "report" }, "uris" : [ "http://www.mendeley.com/documents/?uuid=c83511ef-85b7-44cb-a19d-abc3239c7836" ] } ], "mendeley" : { "formattedCitation" : "&lt;sup&gt;35,36&lt;/sup&gt;", "plainTextFormattedCitation" : "35,36", "previouslyFormattedCitation" : "&lt;sup&gt;35,36&lt;/sup&gt;" }, "properties" : { "noteIndex" : 0 }, "schema" : "https://github.com/citation-style-language/schema/raw/master/csl-citation.json" }</w:instrText>
      </w:r>
      <w:r w:rsidR="00BD670C">
        <w:fldChar w:fldCharType="separate"/>
      </w:r>
      <w:r w:rsidR="00523B14" w:rsidRPr="00523B14">
        <w:rPr>
          <w:noProof/>
          <w:vertAlign w:val="superscript"/>
        </w:rPr>
        <w:t>35,36</w:t>
      </w:r>
      <w:r w:rsidR="00BD670C">
        <w:fldChar w:fldCharType="end"/>
      </w:r>
      <w:r w:rsidR="00BD670C">
        <w:t xml:space="preserve"> </w:t>
      </w:r>
      <w:r w:rsidR="00B10433">
        <w:t>were</w:t>
      </w:r>
      <w:r w:rsidR="005C452E">
        <w:t xml:space="preserve"> used to simulate </w:t>
      </w:r>
      <w:r w:rsidR="00441956">
        <w:t xml:space="preserve">typical and individual subject level </w:t>
      </w:r>
      <w:r w:rsidR="005C452E">
        <w:t xml:space="preserve">drug plasma </w:t>
      </w:r>
      <w:r w:rsidR="005C452E">
        <w:lastRenderedPageBreak/>
        <w:t>concentration</w:t>
      </w:r>
      <w:r w:rsidR="00441956" w:rsidRPr="00441956">
        <w:t xml:space="preserve"> </w:t>
      </w:r>
      <w:r w:rsidR="00441956">
        <w:t>time courses</w:t>
      </w:r>
      <w:r w:rsidR="005C452E">
        <w:t xml:space="preserve">. The </w:t>
      </w:r>
      <w:r w:rsidR="003701C2">
        <w:t>PK parameters</w:t>
      </w:r>
      <w:r w:rsidR="00441956">
        <w:t xml:space="preserve">, covariate effects and associated between subject </w:t>
      </w:r>
      <w:r w:rsidR="009E7356">
        <w:t>variability</w:t>
      </w:r>
      <w:r w:rsidR="005C452E">
        <w:t xml:space="preserve"> </w:t>
      </w:r>
      <w:r w:rsidR="00C175BF">
        <w:t>are</w:t>
      </w:r>
      <w:r w:rsidR="005C452E">
        <w:t xml:space="preserve"> reproduced in </w:t>
      </w:r>
      <w:r w:rsidR="00DE5536">
        <w:t>T</w:t>
      </w:r>
      <w:r w:rsidR="00812FFF">
        <w:t>able</w:t>
      </w:r>
      <w:r w:rsidR="005C452E">
        <w:t xml:space="preserve"> </w:t>
      </w:r>
      <w:r w:rsidR="009E7356">
        <w:t>2</w:t>
      </w:r>
      <w:r w:rsidR="005C452E">
        <w:t>.</w:t>
      </w:r>
    </w:p>
    <w:p w14:paraId="65AA5CC3" w14:textId="08E423A1" w:rsidR="00FA6746" w:rsidRDefault="00FA6746" w:rsidP="00D70D02">
      <w:pPr>
        <w:spacing w:after="0" w:line="480" w:lineRule="auto"/>
        <w:rPr>
          <w:i/>
        </w:rPr>
      </w:pPr>
    </w:p>
    <w:p w14:paraId="7D9E1E9B" w14:textId="4632E8FD" w:rsidR="00B709D8" w:rsidRDefault="00B709D8" w:rsidP="00BA22B5">
      <w:pPr>
        <w:spacing w:after="0" w:line="480" w:lineRule="auto"/>
        <w:rPr>
          <w:b/>
          <w:i/>
        </w:rPr>
      </w:pPr>
      <w:r w:rsidRPr="00BA22B5">
        <w:rPr>
          <w:i/>
        </w:rPr>
        <w:t>Pharmacodynamics</w:t>
      </w:r>
    </w:p>
    <w:p w14:paraId="7C13B5DC" w14:textId="02FC501A" w:rsidR="00277C1E" w:rsidRDefault="005028C9" w:rsidP="00D70D02">
      <w:pPr>
        <w:pStyle w:val="ListParagraph"/>
        <w:numPr>
          <w:ilvl w:val="0"/>
          <w:numId w:val="9"/>
        </w:numPr>
        <w:spacing w:after="0" w:line="480" w:lineRule="auto"/>
      </w:pPr>
      <w:r>
        <w:t>Parameters obtained from literature</w:t>
      </w:r>
    </w:p>
    <w:p w14:paraId="59B6F903" w14:textId="26540761" w:rsidR="00F13450" w:rsidRDefault="00640F87" w:rsidP="00D70D02">
      <w:pPr>
        <w:spacing w:after="0" w:line="480" w:lineRule="auto"/>
      </w:pPr>
      <w:r>
        <w:t>The mean rate of renal clearance of uric acid and xanthine</w:t>
      </w:r>
      <w:r w:rsidR="005028C9">
        <w:t xml:space="preserve"> (</w:t>
      </w:r>
      <w:r w:rsidR="00F13450">
        <w:t>CLUA</w:t>
      </w:r>
      <w:r w:rsidR="005028C9">
        <w:t xml:space="preserve"> and</w:t>
      </w:r>
      <w:r w:rsidR="005028C9">
        <w:rPr>
          <w:vertAlign w:val="subscript"/>
        </w:rPr>
        <w:t xml:space="preserve"> </w:t>
      </w:r>
      <w:r w:rsidR="00F13450">
        <w:t>CLX</w:t>
      </w:r>
      <w:r w:rsidR="005028C9">
        <w:t>)</w:t>
      </w:r>
      <w:r>
        <w:t xml:space="preserve"> in healthy volunteers, along with the between-subject variability, was obtained </w:t>
      </w:r>
      <w:r w:rsidR="00E82F9E">
        <w:t>using</w:t>
      </w:r>
      <w:r>
        <w:t xml:space="preserve"> summary data from a phase I </w:t>
      </w:r>
      <w:r w:rsidR="005C3BBA" w:rsidRPr="00874113">
        <w:t>dose-escalation</w:t>
      </w:r>
      <w:r w:rsidR="005C3BBA">
        <w:t xml:space="preserve"> study of 154 healthy volunteers receiving</w:t>
      </w:r>
      <w:r>
        <w:t xml:space="preserve"> febuxostat</w:t>
      </w:r>
      <w:r w:rsidR="008267EA">
        <w:t>.</w:t>
      </w:r>
      <w:r>
        <w:fldChar w:fldCharType="begin" w:fldLock="1"/>
      </w:r>
      <w:r w:rsidR="007F1800">
        <w:instrText>ADDIN CSL_CITATION { "citationItems" : [ { "id" : "ITEM-1", "itemData" : { "author" : [ { "dropping-particle" : "", "family" : "TAP Pharmaceutical Products Inc.", "given" : "", "non-dropping-particle" : "", "parse-names" : false, "suffix" : "" } ], "id" : "ITEM-1", "issued" : { "date-parts" : [ [ "2004" ] ] }, "page" : "Obtained via the EMA on 16/06/16.", "title" : "TMX-99-001 Study Report", "type" : "article-journal" }, "uris" : [ "http://www.mendeley.com/documents/?uuid=fb52a9b3-08a1-4253-bac1-1d5448ba6380" ] } ], "mendeley" : { "formattedCitation" : "&lt;sup&gt;37&lt;/sup&gt;", "plainTextFormattedCitation" : "37", "previouslyFormattedCitation" : "&lt;sup&gt;37&lt;/sup&gt;" }, "properties" : { "noteIndex" : 0 }, "schema" : "https://github.com/citation-style-language/schema/raw/master/csl-citation.json" }</w:instrText>
      </w:r>
      <w:r>
        <w:fldChar w:fldCharType="separate"/>
      </w:r>
      <w:r w:rsidR="00523B14" w:rsidRPr="00523B14">
        <w:rPr>
          <w:noProof/>
          <w:vertAlign w:val="superscript"/>
        </w:rPr>
        <w:t>37</w:t>
      </w:r>
      <w:r>
        <w:fldChar w:fldCharType="end"/>
      </w:r>
      <w:r>
        <w:t xml:space="preserve">  </w:t>
      </w:r>
      <w:r w:rsidR="00E82F9E">
        <w:t xml:space="preserve">The reported average clearance in each group and standard deviations </w:t>
      </w:r>
      <w:r w:rsidR="005C3BBA">
        <w:t>(</w:t>
      </w:r>
      <w:r w:rsidR="00F13450">
        <w:t>s</w:t>
      </w:r>
      <w:r w:rsidR="005C3BBA">
        <w:t xml:space="preserve">upplementary </w:t>
      </w:r>
      <w:r w:rsidR="00F13450">
        <w:t>material</w:t>
      </w:r>
      <w:r w:rsidR="005C3BBA">
        <w:t xml:space="preserve">) </w:t>
      </w:r>
      <w:r w:rsidR="00E82F9E">
        <w:t xml:space="preserve">were combined to estimate an overall population typical value and </w:t>
      </w:r>
      <w:r w:rsidR="00F13450">
        <w:t xml:space="preserve">the </w:t>
      </w:r>
      <w:r w:rsidR="00E82F9E">
        <w:t xml:space="preserve">between subject </w:t>
      </w:r>
      <w:r w:rsidR="00F13450">
        <w:t>variability.</w:t>
      </w:r>
    </w:p>
    <w:p w14:paraId="33379A7A" w14:textId="77777777" w:rsidR="00D828B5" w:rsidRDefault="00D828B5" w:rsidP="00D70D02">
      <w:pPr>
        <w:spacing w:after="0" w:line="480" w:lineRule="auto"/>
      </w:pPr>
    </w:p>
    <w:p w14:paraId="199CB01F" w14:textId="1426C41D" w:rsidR="00A8305B" w:rsidRDefault="00E82F9E" w:rsidP="00D70D02">
      <w:pPr>
        <w:spacing w:after="0" w:line="480" w:lineRule="auto"/>
      </w:pPr>
      <w:r>
        <w:t xml:space="preserve">This trial also found that the rate of xanthine renal clearance in subjects taking febuxostat, even at doses as low as 10mg per day, increased 3- to 5-fold </w:t>
      </w:r>
      <w:r w:rsidR="001973BC">
        <w:t xml:space="preserve">from </w:t>
      </w:r>
      <w:r>
        <w:t>baseline.</w:t>
      </w:r>
      <w:r w:rsidRPr="00E82F9E">
        <w:t xml:space="preserve"> </w:t>
      </w:r>
      <w:r>
        <w:t xml:space="preserve">This </w:t>
      </w:r>
      <w:r w:rsidR="001973BC">
        <w:t>may result from saturation of</w:t>
      </w:r>
      <w:r>
        <w:t xml:space="preserve"> active transport processes responsible for the reabsorption of xanthine from renal tubules</w:t>
      </w:r>
      <w:r w:rsidR="008267EA">
        <w:t>.</w:t>
      </w:r>
      <w:r>
        <w:fldChar w:fldCharType="begin" w:fldLock="1"/>
      </w:r>
      <w:r w:rsidR="00EC525B">
        <w:instrText>ADDIN CSL_CITATION { "citationItems" : [ { "id" : "ITEM-1", "itemData" : { "author" : [ { "dropping-particle" : "", "family" : "Khosravan", "given" : "Reza", "non-dropping-particle" : "", "parse-names" : false, "suffix" : "" }, { "dropping-particle" : "", "family" : "Grabowski", "given" : "Brian A", "non-dropping-particle" : "", "parse-names" : false, "suffix" : "" }, { "dropping-particle" : "", "family" : "Wu", "given" : "Jing-tao", "non-dropping-particle" : "", "parse-names" : false, "suffix" : "" }, { "dropping-particle" : "", "family" : "Joseph-ridge", "given" : "Nancy", "non-dropping-particle" : "", "parse-names" : false, "suffix" : "" }, { "dropping-particle" : "", "family" : "Vernillet", "given" : "Laurent", "non-dropping-particle" : "", "parse-names" : false, "suffix" : "" } ], "container-title" : "Clinical Pharmacokinetics", "id" : "ITEM-1", "issue" : "8", "issued" : { "date-parts" : [ [ "2006" ] ] }, "page" : "821-841", "title" : "Pharmacokinetics, Pharmacodynamcis and Safety of Febuxostat , a Non-Purine Selective Inhibitor of Xanthine Oxidase , in a Dose Escalation Study in Healthy Subjects", "type" : "article-journal", "volume" : "45" }, "uris" : [ "http://www.mendeley.com/documents/?uuid=d9e85080-6278-44e4-be4c-ec001aee80b0" ] } ], "mendeley" : { "formattedCitation" : "&lt;sup&gt;34&lt;/sup&gt;", "plainTextFormattedCitation" : "34", "previouslyFormattedCitation" : "&lt;sup&gt;34&lt;/sup&gt;" }, "properties" : { "noteIndex" : 0 }, "schema" : "https://github.com/citation-style-language/schema/raw/master/csl-citation.json" }</w:instrText>
      </w:r>
      <w:r>
        <w:fldChar w:fldCharType="separate"/>
      </w:r>
      <w:r w:rsidR="00523B14" w:rsidRPr="00523B14">
        <w:rPr>
          <w:noProof/>
          <w:vertAlign w:val="superscript"/>
        </w:rPr>
        <w:t>34</w:t>
      </w:r>
      <w:r>
        <w:fldChar w:fldCharType="end"/>
      </w:r>
      <w:r>
        <w:t xml:space="preserve"> </w:t>
      </w:r>
      <w:r w:rsidR="001973BC">
        <w:t>A</w:t>
      </w:r>
      <w:r>
        <w:t xml:space="preserve"> step function </w:t>
      </w:r>
      <w:r w:rsidR="001973BC">
        <w:t xml:space="preserve">was </w:t>
      </w:r>
      <w:r w:rsidR="00F13450">
        <w:t>assumed</w:t>
      </w:r>
      <w:r w:rsidR="001973BC">
        <w:t xml:space="preserve"> </w:t>
      </w:r>
      <w:r w:rsidR="00A8050D">
        <w:t>using a</w:t>
      </w:r>
      <w:r>
        <w:t xml:space="preserve"> stimulatory </w:t>
      </w:r>
      <w:proofErr w:type="spellStart"/>
      <w:r w:rsidR="00A8050D">
        <w:t>E</w:t>
      </w:r>
      <w:r w:rsidR="00A8050D" w:rsidRPr="00F13450">
        <w:rPr>
          <w:vertAlign w:val="subscript"/>
        </w:rPr>
        <w:t>max</w:t>
      </w:r>
      <w:proofErr w:type="spellEnd"/>
      <w:r w:rsidR="00A8050D">
        <w:t xml:space="preserve"> </w:t>
      </w:r>
      <w:r w:rsidR="00744F22">
        <w:t xml:space="preserve">drug </w:t>
      </w:r>
      <w:r>
        <w:t>function</w:t>
      </w:r>
      <w:r w:rsidR="00F13450">
        <w:t>,</w:t>
      </w:r>
      <w:r>
        <w:t xml:space="preserve"> </w:t>
      </w:r>
      <w:r w:rsidR="00A8305B">
        <w:t>presented below, where EC</w:t>
      </w:r>
      <w:r w:rsidR="00A8305B" w:rsidRPr="009C6951">
        <w:rPr>
          <w:vertAlign w:val="subscript"/>
        </w:rPr>
        <w:t>50</w:t>
      </w:r>
      <w:proofErr w:type="gramStart"/>
      <w:r w:rsidR="00A8305B">
        <w:rPr>
          <w:vertAlign w:val="subscript"/>
        </w:rPr>
        <w:t>,1</w:t>
      </w:r>
      <w:proofErr w:type="gramEnd"/>
      <w:r w:rsidR="00A8305B">
        <w:t xml:space="preserve"> = 0.001 mg/</w:t>
      </w:r>
      <w:proofErr w:type="spellStart"/>
      <w:r w:rsidR="00A8305B">
        <w:t>dL</w:t>
      </w:r>
      <w:proofErr w:type="spellEnd"/>
      <w:r w:rsidR="00A8050D">
        <w:t xml:space="preserve"> (a low concentration associated with the 10mg dose)</w:t>
      </w:r>
      <w:r w:rsidR="00A8305B">
        <w:t>, E</w:t>
      </w:r>
      <w:r w:rsidR="00A8305B" w:rsidRPr="009C6951">
        <w:rPr>
          <w:vertAlign w:val="subscript"/>
        </w:rPr>
        <w:t>max</w:t>
      </w:r>
      <w:r w:rsidR="00A8305B">
        <w:rPr>
          <w:vertAlign w:val="subscript"/>
        </w:rPr>
        <w:t xml:space="preserve">,1 </w:t>
      </w:r>
      <w:r w:rsidR="00A8305B" w:rsidRPr="00206824">
        <w:t xml:space="preserve">= </w:t>
      </w:r>
      <w:r w:rsidR="00A8305B">
        <w:t>3 and C</w:t>
      </w:r>
      <w:r w:rsidR="00A464A4">
        <w:rPr>
          <w:vertAlign w:val="subscript"/>
        </w:rPr>
        <w:t>F</w:t>
      </w:r>
      <w:r w:rsidR="00A8305B">
        <w:t>(t) is the plasma concentration of febuxostat.</w:t>
      </w:r>
    </w:p>
    <w:p w14:paraId="57A1DCA4" w14:textId="606B72DB" w:rsidR="00E82F9E" w:rsidRDefault="007313EC" w:rsidP="00D70D02">
      <w:pPr>
        <w:spacing w:after="0" w:line="480" w:lineRule="auto"/>
      </w:pPr>
      <m:oMath>
        <m:sSub>
          <m:sSubPr>
            <m:ctrlPr>
              <w:rPr>
                <w:rFonts w:ascii="Cambria Math" w:hAnsi="Cambria Math"/>
                <w:i/>
              </w:rPr>
            </m:ctrlPr>
          </m:sSubPr>
          <m:e>
            <m:r>
              <w:rPr>
                <w:rFonts w:ascii="Cambria Math" w:hAnsi="Cambria Math"/>
              </w:rPr>
              <m:t>STIM</m:t>
            </m:r>
          </m:e>
          <m:sub>
            <m:r>
              <w:rPr>
                <w:rFonts w:ascii="Cambria Math" w:hAnsi="Cambria Math"/>
              </w:rPr>
              <m:t>1</m:t>
            </m:r>
          </m:sub>
        </m:sSub>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max,1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hAnsi="Cambria Math"/>
              </w:rPr>
              <m:t>(t)</m:t>
            </m:r>
          </m:num>
          <m:den>
            <m:sSub>
              <m:sSubPr>
                <m:ctrlPr>
                  <w:rPr>
                    <w:rFonts w:ascii="Cambria Math" w:hAnsi="Cambria Math"/>
                    <w:i/>
                  </w:rPr>
                </m:ctrlPr>
              </m:sSubPr>
              <m:e>
                <m:r>
                  <w:rPr>
                    <w:rFonts w:ascii="Cambria Math" w:hAnsi="Cambria Math"/>
                  </w:rPr>
                  <m:t>EC</m:t>
                </m:r>
              </m:e>
              <m:sub>
                <m:r>
                  <w:rPr>
                    <w:rFonts w:ascii="Cambria Math" w:hAnsi="Cambria Math"/>
                  </w:rPr>
                  <m:t>50,1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hAnsi="Cambria Math"/>
              </w:rPr>
              <m:t>(t)</m:t>
            </m:r>
          </m:den>
        </m:f>
      </m:oMath>
      <w:r w:rsidR="00E82F9E">
        <w:t xml:space="preserve"> </w:t>
      </w:r>
    </w:p>
    <w:p w14:paraId="29F0266B" w14:textId="6E618419" w:rsidR="00527B76" w:rsidRDefault="00EA2F38" w:rsidP="00D70D02">
      <w:pPr>
        <w:spacing w:after="0" w:line="480" w:lineRule="auto"/>
      </w:pPr>
      <w:r>
        <w:t>A previous PD model of lesinurad</w:t>
      </w:r>
      <w:r w:rsidR="00E82F9E">
        <w:t xml:space="preserve"> used a direct effect </w:t>
      </w:r>
      <w:proofErr w:type="spellStart"/>
      <w:r w:rsidR="00E82F9E">
        <w:t>E</w:t>
      </w:r>
      <w:r w:rsidR="00E82F9E" w:rsidRPr="000B6D13">
        <w:rPr>
          <w:vertAlign w:val="subscript"/>
        </w:rPr>
        <w:t>max</w:t>
      </w:r>
      <w:proofErr w:type="spellEnd"/>
      <w:r w:rsidR="00E82F9E">
        <w:t xml:space="preserve"> model to relate steady-state average plasma concentration of lesinurad to the individuals’ </w:t>
      </w:r>
      <w:proofErr w:type="spellStart"/>
      <w:r w:rsidR="00E82F9E">
        <w:t>sUA</w:t>
      </w:r>
      <w:proofErr w:type="spellEnd"/>
      <w:r w:rsidR="00E82F9E">
        <w:t xml:space="preserve"> </w:t>
      </w:r>
      <w:r w:rsidR="00145A3B">
        <w:t>concentration</w:t>
      </w:r>
      <w:r w:rsidR="008267EA">
        <w:t>.</w:t>
      </w:r>
      <w:r w:rsidR="00E82F9E">
        <w:fldChar w:fldCharType="begin" w:fldLock="1"/>
      </w:r>
      <w:r w:rsidR="00153286">
        <w:instrText>ADDIN CSL_CITATION { "citationItems" : [ { "id" : "ITEM-1", "itemData" : { "author" : [ { "dropping-particle" : "", "family" : "Centre for Drug Evaluation and Research.", "given" : "", "non-dropping-particle" : "", "parse-names" : false, "suffix" : "" } ], "id" : "ITEM-1", "issued" : { "date-parts" : [ [ "2014" ] ] }, "title" : "Clinical Pharmacology and Biopharmaceutics Review (Application Number: 207988Orig1s000)", "type" : "report" }, "uris" : [ "http://www.mendeley.com/documents/?uuid=c83511ef-85b7-44cb-a19d-abc3239c7836" ] } ], "mendeley" : { "formattedCitation" : "&lt;sup&gt;36&lt;/sup&gt;", "plainTextFormattedCitation" : "36", "previouslyFormattedCitation" : "&lt;sup&gt;36&lt;/sup&gt;" }, "properties" : { "noteIndex" : 0 }, "schema" : "https://github.com/citation-style-language/schema/raw/master/csl-citation.json" }</w:instrText>
      </w:r>
      <w:r w:rsidR="00E82F9E">
        <w:fldChar w:fldCharType="separate"/>
      </w:r>
      <w:r w:rsidR="00523B14" w:rsidRPr="00523B14">
        <w:rPr>
          <w:noProof/>
          <w:vertAlign w:val="superscript"/>
        </w:rPr>
        <w:t>36</w:t>
      </w:r>
      <w:r w:rsidR="00E82F9E">
        <w:fldChar w:fldCharType="end"/>
      </w:r>
      <w:r w:rsidR="00E82F9E">
        <w:t xml:space="preserve"> </w:t>
      </w:r>
      <w:r w:rsidR="005C3BBA">
        <w:t>T</w:t>
      </w:r>
      <w:r w:rsidR="00E82F9E">
        <w:t xml:space="preserve">he parameters of </w:t>
      </w:r>
      <w:r w:rsidR="005C3BBA">
        <w:t xml:space="preserve">the </w:t>
      </w:r>
      <w:r w:rsidR="00E82F9E">
        <w:t>indirect model (E</w:t>
      </w:r>
      <w:r w:rsidR="00E82F9E" w:rsidRPr="001D5C3A">
        <w:rPr>
          <w:vertAlign w:val="subscript"/>
        </w:rPr>
        <w:t>max</w:t>
      </w:r>
      <w:r w:rsidR="00A04ACB">
        <w:rPr>
          <w:vertAlign w:val="subscript"/>
        </w:rPr>
        <w:t>,</w:t>
      </w:r>
      <w:r w:rsidR="00E82F9E" w:rsidRPr="001D5C3A">
        <w:rPr>
          <w:vertAlign w:val="subscript"/>
        </w:rPr>
        <w:t>2</w:t>
      </w:r>
      <w:r w:rsidR="00E82F9E">
        <w:t>, EC</w:t>
      </w:r>
      <w:r w:rsidR="00E82F9E" w:rsidRPr="001D5C3A">
        <w:rPr>
          <w:vertAlign w:val="subscript"/>
        </w:rPr>
        <w:t>50</w:t>
      </w:r>
      <w:r w:rsidR="00E82F9E">
        <w:rPr>
          <w:vertAlign w:val="subscript"/>
        </w:rPr>
        <w:t>,</w:t>
      </w:r>
      <w:r w:rsidR="00E82F9E" w:rsidRPr="001D5C3A">
        <w:rPr>
          <w:vertAlign w:val="subscript"/>
        </w:rPr>
        <w:t>2</w:t>
      </w:r>
      <w:r w:rsidR="00E82F9E">
        <w:t xml:space="preserve">) </w:t>
      </w:r>
      <w:r w:rsidR="005C3BBA">
        <w:t xml:space="preserve">were derived </w:t>
      </w:r>
      <w:r w:rsidR="005138A1">
        <w:t>from</w:t>
      </w:r>
      <w:r w:rsidR="00A8050D">
        <w:t xml:space="preserve"> </w:t>
      </w:r>
      <w:r w:rsidR="00E82F9E">
        <w:t>those given in the published direct model</w:t>
      </w:r>
      <w:r w:rsidR="005C3BBA">
        <w:t xml:space="preserve"> (</w:t>
      </w:r>
      <m:oMath>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max</m:t>
            </m:r>
          </m:sub>
          <m:sup>
            <m:r>
              <w:rPr>
                <w:rFonts w:ascii="Cambria Math" w:eastAsiaTheme="minorEastAsia" w:hAnsi="Cambria Math"/>
              </w:rPr>
              <m:t>D</m:t>
            </m:r>
          </m:sup>
        </m:sSubSup>
      </m:oMath>
      <w:r w:rsidR="005C3BBA">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EC</m:t>
            </m:r>
          </m:e>
          <m:sub>
            <m:r>
              <w:rPr>
                <w:rFonts w:ascii="Cambria Math" w:eastAsiaTheme="minorEastAsia" w:hAnsi="Cambria Math"/>
              </w:rPr>
              <m:t>50</m:t>
            </m:r>
          </m:sub>
          <m:sup>
            <m:r>
              <w:rPr>
                <w:rFonts w:ascii="Cambria Math" w:eastAsiaTheme="minorEastAsia" w:hAnsi="Cambria Math"/>
              </w:rPr>
              <m:t>D</m:t>
            </m:r>
          </m:sup>
        </m:sSubSup>
      </m:oMath>
      <w:r w:rsidR="005C3BBA">
        <w:t>) using the steady state equations</w:t>
      </w:r>
      <w:r w:rsidR="005C3BBA">
        <w:fldChar w:fldCharType="begin" w:fldLock="1"/>
      </w:r>
      <w:r w:rsidR="00EC525B">
        <w:instrText>ADDIN CSL_CITATION { "citationItems" : [ { "id" : "ITEM-1", "itemData" : { "author" : [ { "dropping-particle" : "", "family" : "Gabrielsson", "given" : "Johan", "non-dropping-particle" : "", "parse-names" : false, "suffix" : "" }, { "dropping-particle" : "", "family" : "Weiner", "given" : "Dan", "non-dropping-particle" : "", "parse-names" : false, "suffix" : "" } ], "edition" : "5th editio", "id" : "ITEM-1", "issued" : { "date-parts" : [ [ "2016" ] ] }, "publisher" : "Apotekarsocieteten", "title" : "Pharmacokinetic and Pharmacodynamic Data Analysis", "type" : "book" }, "uris" : [ "http://www.mendeley.com/documents/?uuid=a8993956-f79e-4bc6-8ef3-01565ab0fcde" ] } ], "mendeley" : { "formattedCitation" : "&lt;sup&gt;38&lt;/sup&gt;", "plainTextFormattedCitation" : "38", "previouslyFormattedCitation" : "&lt;sup&gt;38&lt;/sup&gt;" }, "properties" : { "noteIndex" : 0 }, "schema" : "https://github.com/citation-style-language/schema/raw/master/csl-citation.json" }</w:instrText>
      </w:r>
      <w:r w:rsidR="005C3BBA">
        <w:fldChar w:fldCharType="separate"/>
      </w:r>
      <w:r w:rsidR="00523B14" w:rsidRPr="00523B14">
        <w:rPr>
          <w:noProof/>
          <w:vertAlign w:val="superscript"/>
        </w:rPr>
        <w:t>38</w:t>
      </w:r>
      <w:r w:rsidR="005C3BBA">
        <w:fldChar w:fldCharType="end"/>
      </w:r>
      <w:r w:rsidR="005C3BBA">
        <w:t xml:space="preserve"> (</w:t>
      </w:r>
      <w:r w:rsidR="00842449">
        <w:t>supplementary material</w:t>
      </w:r>
      <w:r w:rsidR="005C3BBA">
        <w:t>)</w:t>
      </w:r>
      <w:r w:rsidR="00E82F9E">
        <w:t xml:space="preserve">. The published model includes a covariate effect </w:t>
      </w:r>
      <w:r w:rsidR="00A8050D">
        <w:t>of</w:t>
      </w:r>
      <w:r w:rsidR="00E82F9E">
        <w:t xml:space="preserve"> creatinine clearance </w:t>
      </w:r>
      <w:r w:rsidR="00A8050D">
        <w:t xml:space="preserve">on the </w:t>
      </w:r>
      <w:r w:rsidR="00E82F9E">
        <w:t xml:space="preserve">maximum reduction </w:t>
      </w:r>
      <w:r w:rsidR="00744F22">
        <w:t xml:space="preserve">in </w:t>
      </w:r>
      <w:r w:rsidR="00E82F9E">
        <w:t>uric acid</w:t>
      </w:r>
      <w:proofErr w:type="gramStart"/>
      <w:r w:rsidR="00E82F9E">
        <w:t xml:space="preserve">, </w:t>
      </w:r>
      <w:proofErr w:type="gramEnd"/>
      <m:oMath>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max</m:t>
            </m:r>
          </m:sub>
          <m:sup>
            <m:r>
              <w:rPr>
                <w:rFonts w:ascii="Cambria Math" w:eastAsiaTheme="minorEastAsia" w:hAnsi="Cambria Math"/>
              </w:rPr>
              <m:t>D</m:t>
            </m:r>
          </m:sup>
        </m:sSubSup>
      </m:oMath>
      <w:r w:rsidR="00E82F9E">
        <w:t xml:space="preserve">. </w:t>
      </w:r>
      <w:r w:rsidR="00527B76">
        <w:t xml:space="preserve">The stimulatory </w:t>
      </w:r>
      <w:r w:rsidR="00744F22">
        <w:t xml:space="preserve">model drug </w:t>
      </w:r>
      <w:r w:rsidR="00527B76">
        <w:t xml:space="preserve">function </w:t>
      </w:r>
      <w:r w:rsidR="00744F22">
        <w:t>STIM</w:t>
      </w:r>
      <w:r w:rsidR="00527B76" w:rsidRPr="00744F22">
        <w:rPr>
          <w:vertAlign w:val="subscript"/>
        </w:rPr>
        <w:t>2</w:t>
      </w:r>
      <w:r w:rsidR="00527B76">
        <w:t xml:space="preserve"> is presented below, </w:t>
      </w:r>
      <w:r w:rsidR="00B66D13">
        <w:t>with parameters</w:t>
      </w:r>
      <w:r w:rsidR="00527B76">
        <w:t xml:space="preserve"> EC</w:t>
      </w:r>
      <w:r w:rsidR="00527B76" w:rsidRPr="009C6951">
        <w:rPr>
          <w:vertAlign w:val="subscript"/>
        </w:rPr>
        <w:t>50</w:t>
      </w:r>
      <w:proofErr w:type="gramStart"/>
      <w:r w:rsidR="00527B76">
        <w:rPr>
          <w:vertAlign w:val="subscript"/>
        </w:rPr>
        <w:t>,</w:t>
      </w:r>
      <w:r w:rsidR="009E18B1">
        <w:rPr>
          <w:vertAlign w:val="subscript"/>
        </w:rPr>
        <w:t>2</w:t>
      </w:r>
      <w:proofErr w:type="gramEnd"/>
      <w:r w:rsidR="00527B76">
        <w:t xml:space="preserve"> and E</w:t>
      </w:r>
      <w:r w:rsidR="00527B76" w:rsidRPr="009C6951">
        <w:rPr>
          <w:vertAlign w:val="subscript"/>
        </w:rPr>
        <w:t>max</w:t>
      </w:r>
      <w:r w:rsidR="00527B76">
        <w:rPr>
          <w:vertAlign w:val="subscript"/>
        </w:rPr>
        <w:t>,2</w:t>
      </w:r>
      <w:r w:rsidR="00527B76">
        <w:t xml:space="preserve"> and C</w:t>
      </w:r>
      <w:r w:rsidR="00A464A4">
        <w:rPr>
          <w:vertAlign w:val="subscript"/>
        </w:rPr>
        <w:t>L</w:t>
      </w:r>
      <w:r w:rsidR="00527B76">
        <w:t>(t) is the plasma concentration of lesinurad.</w:t>
      </w:r>
    </w:p>
    <w:p w14:paraId="6A46078D" w14:textId="3EEDDFB4" w:rsidR="00E82F9E" w:rsidRDefault="007313EC" w:rsidP="00D70D02">
      <w:pPr>
        <w:spacing w:after="0" w:line="480" w:lineRule="auto"/>
        <w:rPr>
          <w:rFonts w:eastAsiaTheme="minorEastAsia"/>
        </w:rPr>
      </w:pPr>
      <m:oMath>
        <m:sSub>
          <m:sSubPr>
            <m:ctrlPr>
              <w:rPr>
                <w:rFonts w:ascii="Cambria Math" w:hAnsi="Cambria Math"/>
                <w:i/>
              </w:rPr>
            </m:ctrlPr>
          </m:sSubPr>
          <m:e>
            <m:r>
              <w:rPr>
                <w:rFonts w:ascii="Cambria Math" w:hAnsi="Cambria Math"/>
              </w:rPr>
              <m:t>STIM</m:t>
            </m:r>
          </m:e>
          <m:sub>
            <m:r>
              <w:rPr>
                <w:rFonts w:ascii="Cambria Math" w:hAnsi="Cambria Math"/>
              </w:rPr>
              <m:t>2</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max,2</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L</m:t>
                </m:r>
              </m:sub>
            </m:sSub>
            <m:r>
              <w:rPr>
                <w:rFonts w:ascii="Cambria Math" w:hAnsi="Cambria Math"/>
              </w:rPr>
              <m:t>(t)</m:t>
            </m:r>
          </m:num>
          <m:den>
            <m:sSub>
              <m:sSubPr>
                <m:ctrlPr>
                  <w:rPr>
                    <w:rFonts w:ascii="Cambria Math" w:hAnsi="Cambria Math"/>
                    <w:i/>
                  </w:rPr>
                </m:ctrlPr>
              </m:sSubPr>
              <m:e>
                <m:r>
                  <w:rPr>
                    <w:rFonts w:ascii="Cambria Math" w:hAnsi="Cambria Math"/>
                  </w:rPr>
                  <m:t>EC</m:t>
                </m:r>
              </m:e>
              <m:sub>
                <m:r>
                  <w:rPr>
                    <w:rFonts w:ascii="Cambria Math" w:hAnsi="Cambria Math"/>
                  </w:rPr>
                  <m:t>50,2</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L</m:t>
                </m:r>
              </m:sub>
            </m:sSub>
            <m:r>
              <w:rPr>
                <w:rFonts w:ascii="Cambria Math" w:hAnsi="Cambria Math"/>
              </w:rPr>
              <m:t>(t)</m:t>
            </m:r>
          </m:den>
        </m:f>
      </m:oMath>
      <w:r w:rsidR="000B7FBA">
        <w:rPr>
          <w:rFonts w:eastAsiaTheme="minorEastAsia"/>
        </w:rPr>
        <w:t xml:space="preserve"> </w:t>
      </w:r>
    </w:p>
    <w:p w14:paraId="5E5B4C95" w14:textId="61F47FD8" w:rsidR="00835DD4" w:rsidRPr="00271FF4" w:rsidRDefault="007313EC" w:rsidP="00D70D02">
      <w:pPr>
        <w:spacing w:after="0" w:line="48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max,2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max</m:t>
                </m:r>
              </m:sub>
              <m:sup>
                <m:r>
                  <w:rPr>
                    <w:rFonts w:ascii="Cambria Math" w:eastAsiaTheme="minorEastAsia" w:hAnsi="Cambria Math"/>
                  </w:rPr>
                  <m:t>D</m:t>
                </m:r>
              </m:sup>
            </m:sSubSup>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CrCl</m:t>
                        </m:r>
                      </m:num>
                      <m:den>
                        <m:r>
                          <w:rPr>
                            <w:rFonts w:ascii="Cambria Math" w:eastAsiaTheme="minorEastAsia" w:hAnsi="Cambria Math"/>
                          </w:rPr>
                          <m:t>87</m:t>
                        </m:r>
                      </m:den>
                    </m:f>
                  </m:e>
                </m:d>
              </m:e>
              <m:sup>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crcl</m:t>
                    </m:r>
                  </m:sub>
                </m:sSub>
              </m:sup>
            </m:sSup>
            <m:r>
              <w:rPr>
                <w:rFonts w:ascii="Cambria Math" w:eastAsiaTheme="minorEastAsia" w:hAnsi="Cambria Math"/>
              </w:rPr>
              <m:t>)</m:t>
            </m:r>
          </m:den>
        </m:f>
        <m:r>
          <w:rPr>
            <w:rFonts w:ascii="Cambria Math" w:eastAsiaTheme="minorEastAsia" w:hAnsi="Cambria Math"/>
          </w:rPr>
          <m:t>-1</m:t>
        </m:r>
      </m:oMath>
      <w:r w:rsidR="00271FF4">
        <w:rPr>
          <w:rFonts w:eastAsiaTheme="minorEastAsia"/>
        </w:rPr>
        <w:tab/>
      </w:r>
    </w:p>
    <w:p w14:paraId="098385E1" w14:textId="23D7FDA5" w:rsidR="00271FF4" w:rsidRPr="00F77779" w:rsidRDefault="007313EC" w:rsidP="00D70D02">
      <w:pPr>
        <w:spacing w:after="0" w:line="480" w:lineRule="auto"/>
        <w:rPr>
          <w:rFonts w:eastAsiaTheme="minorEastAsia"/>
        </w:rPr>
      </w:pPr>
      <m:oMath>
        <m:sSub>
          <m:sSubPr>
            <m:ctrlPr>
              <w:rPr>
                <w:rFonts w:ascii="Cambria Math" w:eastAsiaTheme="minorEastAsia" w:hAnsi="Cambria Math"/>
                <w:i/>
              </w:rPr>
            </m:ctrlPr>
          </m:sSubPr>
          <m:e>
            <m:r>
              <w:rPr>
                <w:rFonts w:ascii="Cambria Math" w:eastAsiaTheme="minorEastAsia" w:hAnsi="Cambria Math"/>
              </w:rPr>
              <m:t>EC</m:t>
            </m:r>
          </m:e>
          <m:sub>
            <m:r>
              <w:rPr>
                <w:rFonts w:ascii="Cambria Math" w:eastAsiaTheme="minorEastAsia" w:hAnsi="Cambria Math"/>
              </w:rPr>
              <m:t>50,2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max,2</m:t>
                </m:r>
              </m:sub>
            </m:sSub>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EC</m:t>
                </m:r>
              </m:e>
              <m:sub>
                <m:r>
                  <w:rPr>
                    <w:rFonts w:ascii="Cambria Math" w:eastAsiaTheme="minorEastAsia" w:hAnsi="Cambria Math"/>
                  </w:rPr>
                  <m:t>50</m:t>
                </m:r>
              </m:sub>
              <m:sup>
                <m:r>
                  <w:rPr>
                    <w:rFonts w:ascii="Cambria Math" w:eastAsiaTheme="minorEastAsia" w:hAnsi="Cambria Math"/>
                  </w:rPr>
                  <m:t>D</m:t>
                </m:r>
              </m:sup>
            </m:sSubSup>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max</m:t>
                        </m:r>
                      </m:sub>
                      <m:sup>
                        <m:r>
                          <w:rPr>
                            <w:rFonts w:ascii="Cambria Math" w:eastAsiaTheme="minorEastAsia" w:hAnsi="Cambria Math"/>
                          </w:rPr>
                          <m:t>D</m:t>
                        </m:r>
                      </m:sup>
                    </m:sSubSup>
                  </m:num>
                  <m:den>
                    <m:r>
                      <w:rPr>
                        <w:rFonts w:ascii="Cambria Math" w:eastAsiaTheme="minorEastAsia" w:hAnsi="Cambria Math"/>
                      </w:rPr>
                      <m:t>2</m:t>
                    </m:r>
                  </m:den>
                </m:f>
              </m:e>
            </m:d>
            <m:r>
              <w:rPr>
                <w:rFonts w:ascii="Cambria Math" w:eastAsiaTheme="minorEastAsia" w:hAnsi="Cambria Math"/>
              </w:rPr>
              <m:t>)-1</m:t>
            </m:r>
          </m:den>
        </m:f>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EC</m:t>
            </m:r>
          </m:e>
          <m:sub>
            <m:r>
              <w:rPr>
                <w:rFonts w:ascii="Cambria Math" w:eastAsiaTheme="minorEastAsia" w:hAnsi="Cambria Math"/>
              </w:rPr>
              <m:t>50</m:t>
            </m:r>
          </m:sub>
          <m:sup>
            <m:r>
              <w:rPr>
                <w:rFonts w:ascii="Cambria Math" w:eastAsiaTheme="minorEastAsia" w:hAnsi="Cambria Math"/>
              </w:rPr>
              <m:t>D</m:t>
            </m:r>
          </m:sup>
        </m:sSubSup>
      </m:oMath>
      <w:r w:rsidR="00F77779">
        <w:rPr>
          <w:rFonts w:eastAsiaTheme="minorEastAsia"/>
        </w:rPr>
        <w:tab/>
      </w:r>
    </w:p>
    <w:p w14:paraId="35B8DA4D" w14:textId="0A3C4020" w:rsidR="00F77779" w:rsidRPr="00271FF4" w:rsidRDefault="00F55BCC" w:rsidP="00D70D02">
      <w:pPr>
        <w:spacing w:after="0" w:line="480" w:lineRule="auto"/>
        <w:rPr>
          <w:rFonts w:eastAsiaTheme="minorEastAsia"/>
        </w:rPr>
      </w:pPr>
      <w:proofErr w:type="spellStart"/>
      <w:r>
        <w:rPr>
          <w:rFonts w:eastAsiaTheme="minorEastAsia"/>
        </w:rPr>
        <w:t>CrCl</w:t>
      </w:r>
      <w:proofErr w:type="spellEnd"/>
      <w:r w:rsidR="00872E62">
        <w:rPr>
          <w:rFonts w:eastAsiaTheme="minorEastAsia"/>
        </w:rPr>
        <w:t xml:space="preserve"> is the individual’s creatinine clearance rate</w:t>
      </w:r>
      <w:r w:rsidR="005C3BBA">
        <w:rPr>
          <w:rFonts w:eastAsiaTheme="minorEastAsia"/>
        </w:rPr>
        <w:t xml:space="preserve"> and</w:t>
      </w:r>
      <w:r>
        <w:rPr>
          <w:rFonts w:eastAsiaTheme="minorEastAsia"/>
        </w:rPr>
        <w:t xml:space="preserve"> E</w:t>
      </w:r>
      <w:r w:rsidRPr="00872E62">
        <w:rPr>
          <w:rFonts w:eastAsiaTheme="minorEastAsia"/>
          <w:vertAlign w:val="subscript"/>
        </w:rPr>
        <w:t>0</w:t>
      </w:r>
      <w:r w:rsidR="00872E62">
        <w:rPr>
          <w:rFonts w:eastAsiaTheme="minorEastAsia"/>
          <w:vertAlign w:val="subscript"/>
        </w:rPr>
        <w:t xml:space="preserve"> </w:t>
      </w:r>
      <w:r w:rsidR="00872E62">
        <w:rPr>
          <w:rFonts w:eastAsiaTheme="minorEastAsia"/>
        </w:rPr>
        <w:t xml:space="preserve">is the baseline </w:t>
      </w:r>
      <w:proofErr w:type="spellStart"/>
      <w:r w:rsidR="00872E62">
        <w:rPr>
          <w:rFonts w:eastAsiaTheme="minorEastAsia"/>
        </w:rPr>
        <w:t>sUA</w:t>
      </w:r>
      <w:proofErr w:type="spellEnd"/>
      <w:r w:rsidR="00872E62">
        <w:rPr>
          <w:rFonts w:eastAsiaTheme="minorEastAsia"/>
        </w:rPr>
        <w:t xml:space="preserve"> concentration of trial participants used to derive the direct </w:t>
      </w:r>
      <w:proofErr w:type="spellStart"/>
      <w:r w:rsidR="001F674F">
        <w:rPr>
          <w:rFonts w:eastAsiaTheme="minorEastAsia"/>
        </w:rPr>
        <w:t>E</w:t>
      </w:r>
      <w:r w:rsidR="001F674F" w:rsidRPr="005138A1">
        <w:rPr>
          <w:rFonts w:eastAsiaTheme="minorEastAsia"/>
          <w:vertAlign w:val="subscript"/>
        </w:rPr>
        <w:t>max</w:t>
      </w:r>
      <w:proofErr w:type="spellEnd"/>
      <w:r w:rsidR="00872E62">
        <w:rPr>
          <w:rFonts w:eastAsiaTheme="minorEastAsia"/>
        </w:rPr>
        <w:t xml:space="preserve"> model parameters.</w:t>
      </w:r>
    </w:p>
    <w:p w14:paraId="226B57B5" w14:textId="772DFCA1" w:rsidR="005D6C66" w:rsidRDefault="005D6C66" w:rsidP="00D70D02">
      <w:pPr>
        <w:spacing w:after="0" w:line="480" w:lineRule="auto"/>
      </w:pPr>
    </w:p>
    <w:p w14:paraId="3ECAD680" w14:textId="7AF82CB5" w:rsidR="00277C1E" w:rsidRPr="00DF3D6D" w:rsidRDefault="003E7364" w:rsidP="00D70D02">
      <w:pPr>
        <w:pStyle w:val="ListParagraph"/>
        <w:numPr>
          <w:ilvl w:val="0"/>
          <w:numId w:val="9"/>
        </w:numPr>
        <w:spacing w:after="0" w:line="480" w:lineRule="auto"/>
      </w:pPr>
      <w:r w:rsidRPr="00DF3D6D">
        <w:t xml:space="preserve">Estimated using </w:t>
      </w:r>
      <w:r w:rsidR="00F305B5" w:rsidRPr="00DF3D6D">
        <w:t>statistical modelling</w:t>
      </w:r>
    </w:p>
    <w:p w14:paraId="55F4382E" w14:textId="3B0F8D83" w:rsidR="005D6C66" w:rsidRDefault="00DF3D6D" w:rsidP="00D70D02">
      <w:pPr>
        <w:spacing w:after="0" w:line="480" w:lineRule="auto"/>
      </w:pPr>
      <w:r>
        <w:t>All other parameters were</w:t>
      </w:r>
      <w:r w:rsidR="006F2F44">
        <w:t xml:space="preserve"> estimated using non-linear mix</w:t>
      </w:r>
      <w:r w:rsidR="00DE4302">
        <w:t xml:space="preserve">ed effects modelling </w:t>
      </w:r>
      <w:r w:rsidR="00744F22">
        <w:t>and</w:t>
      </w:r>
      <w:r>
        <w:t xml:space="preserve"> </w:t>
      </w:r>
      <w:r w:rsidR="00C62A0A">
        <w:t xml:space="preserve">febuxostat </w:t>
      </w:r>
      <w:r w:rsidR="00DE4302">
        <w:t xml:space="preserve">phase I trial </w:t>
      </w:r>
      <w:r w:rsidR="00C62A0A">
        <w:t xml:space="preserve">summary data </w:t>
      </w:r>
      <w:r w:rsidR="00744F22">
        <w:t>o</w:t>
      </w:r>
      <w:r w:rsidR="00BB5284">
        <w:t>n</w:t>
      </w:r>
      <w:r w:rsidR="00DC7698">
        <w:t xml:space="preserve"> </w:t>
      </w:r>
      <w:r w:rsidR="00C62A0A">
        <w:t>daily area under the plasma concentration curve (AUC) and 24-hour urinary excretion of xanthine and uric acid</w:t>
      </w:r>
      <w:r w:rsidR="008267EA">
        <w:t>.</w:t>
      </w:r>
      <w:r w:rsidR="00DC7698">
        <w:fldChar w:fldCharType="begin" w:fldLock="1"/>
      </w:r>
      <w:r w:rsidR="007F1800">
        <w:instrText>ADDIN CSL_CITATION { "citationItems" : [ { "id" : "ITEM-1", "itemData" : { "author" : [ { "dropping-particle" : "", "family" : "TAP Pharmaceutical Products Inc.", "given" : "", "non-dropping-particle" : "", "parse-names" : false, "suffix" : "" } ], "id" : "ITEM-1", "issued" : { "date-parts" : [ [ "2004" ] ] }, "page" : "Obtained via the EMA on 16/06/16.", "title" : "TMX-99-001 Study Report", "type" : "article-journal" }, "uris" : [ "http://www.mendeley.com/documents/?uuid=fb52a9b3-08a1-4253-bac1-1d5448ba6380" ] } ], "mendeley" : { "formattedCitation" : "&lt;sup&gt;37&lt;/sup&gt;", "plainTextFormattedCitation" : "37", "previouslyFormattedCitation" : "&lt;sup&gt;37&lt;/sup&gt;" }, "properties" : { "noteIndex" : 0 }, "schema" : "https://github.com/citation-style-language/schema/raw/master/csl-citation.json" }</w:instrText>
      </w:r>
      <w:r w:rsidR="00DC7698">
        <w:fldChar w:fldCharType="separate"/>
      </w:r>
      <w:r w:rsidR="00523B14" w:rsidRPr="00523B14">
        <w:rPr>
          <w:noProof/>
          <w:vertAlign w:val="superscript"/>
        </w:rPr>
        <w:t>37</w:t>
      </w:r>
      <w:r w:rsidR="00DC7698">
        <w:fldChar w:fldCharType="end"/>
      </w:r>
      <w:r w:rsidR="00AA4030">
        <w:t xml:space="preserve"> This was conditional on the clearance estimates and drug PD function parameters obtained directly from the literature in the previous section. </w:t>
      </w:r>
      <w:r w:rsidR="00C62A0A">
        <w:t xml:space="preserve">A NONMEM dataset was created using the AUC and urinary data and the trial dosing schedule. Each value was an average across all individuals within a dose group and has, therefore, </w:t>
      </w:r>
      <w:r w:rsidR="001F7F1B">
        <w:t xml:space="preserve">been </w:t>
      </w:r>
      <w:r w:rsidR="00C62A0A">
        <w:t>replicated according to the number of subjects within the group in order to weight by sample size.</w:t>
      </w:r>
    </w:p>
    <w:p w14:paraId="3A41A32D" w14:textId="77777777" w:rsidR="00D828B5" w:rsidRDefault="00D828B5" w:rsidP="00D70D02">
      <w:pPr>
        <w:spacing w:after="0" w:line="480" w:lineRule="auto"/>
      </w:pPr>
    </w:p>
    <w:p w14:paraId="271C6806" w14:textId="242BD945" w:rsidR="007D69A7" w:rsidRDefault="007D69A7" w:rsidP="00D70D02">
      <w:pPr>
        <w:spacing w:after="0" w:line="480" w:lineRule="auto"/>
      </w:pPr>
      <w:r>
        <w:t>The PKPD mode</w:t>
      </w:r>
      <w:r w:rsidR="00BB5284">
        <w:t>l</w:t>
      </w:r>
      <w:r>
        <w:t>l</w:t>
      </w:r>
      <w:r w:rsidR="00BB5284">
        <w:t>ing</w:t>
      </w:r>
      <w:r>
        <w:t xml:space="preserve"> was </w:t>
      </w:r>
      <w:r w:rsidR="00BB5284">
        <w:t>conducted</w:t>
      </w:r>
      <w:r w:rsidR="00DC7698">
        <w:t xml:space="preserve"> using </w:t>
      </w:r>
      <w:r>
        <w:t xml:space="preserve">NONMEM 7.3 </w:t>
      </w:r>
      <w:r w:rsidR="00DC7698">
        <w:t xml:space="preserve">and </w:t>
      </w:r>
      <w:r>
        <w:t xml:space="preserve">the ADVAN6 routine for solving differential equations. The PD model was coded using the differential equations in </w:t>
      </w:r>
      <w:r w:rsidR="00744F22">
        <w:t>F</w:t>
      </w:r>
      <w:r>
        <w:t xml:space="preserve">igure </w:t>
      </w:r>
      <w:r w:rsidR="00CF7A19">
        <w:t>4</w:t>
      </w:r>
      <w:r>
        <w:t xml:space="preserve"> </w:t>
      </w:r>
      <w:r w:rsidR="00744F22">
        <w:t>where</w:t>
      </w:r>
      <w:r>
        <w:t xml:space="preserve"> equations 3 and 4 correspond directly to published data on 24-hour urinary excretion</w:t>
      </w:r>
      <w:r w:rsidR="008267EA">
        <w:t>.</w:t>
      </w:r>
      <w:r>
        <w:fldChar w:fldCharType="begin" w:fldLock="1"/>
      </w:r>
      <w:r w:rsidR="007F1800">
        <w:instrText>ADDIN CSL_CITATION { "citationItems" : [ { "id" : "ITEM-1", "itemData" : { "author" : [ { "dropping-particle" : "", "family" : "TAP Pharmaceutical Products Inc.", "given" : "", "non-dropping-particle" : "", "parse-names" : false, "suffix" : "" } ], "id" : "ITEM-1", "issued" : { "date-parts" : [ [ "2004" ] ] }, "page" : "Obtained via the EMA on 16/06/16.", "title" : "TMX-99-001 Study Report", "type" : "article-journal" }, "uris" : [ "http://www.mendeley.com/documents/?uuid=fb52a9b3-08a1-4253-bac1-1d5448ba6380" ] } ], "mendeley" : { "formattedCitation" : "&lt;sup&gt;37&lt;/sup&gt;", "plainTextFormattedCitation" : "37", "previouslyFormattedCitation" : "&lt;sup&gt;37&lt;/sup&gt;" }, "properties" : { "noteIndex" : 0 }, "schema" : "https://github.com/citation-style-language/schema/raw/master/csl-citation.json" }</w:instrText>
      </w:r>
      <w:r>
        <w:fldChar w:fldCharType="separate"/>
      </w:r>
      <w:r w:rsidR="00523B14" w:rsidRPr="00523B14">
        <w:rPr>
          <w:noProof/>
          <w:vertAlign w:val="superscript"/>
        </w:rPr>
        <w:t>37</w:t>
      </w:r>
      <w:r>
        <w:fldChar w:fldCharType="end"/>
      </w:r>
      <w:r w:rsidR="000633F7">
        <w:t xml:space="preserve"> However, additional </w:t>
      </w:r>
      <w:proofErr w:type="spellStart"/>
      <w:r w:rsidR="00744F22">
        <w:t>sUA</w:t>
      </w:r>
      <w:proofErr w:type="spellEnd"/>
      <w:r w:rsidR="000633F7">
        <w:t xml:space="preserve"> and </w:t>
      </w:r>
      <w:r w:rsidR="00DD673B">
        <w:t>serum</w:t>
      </w:r>
      <w:r w:rsidR="000633F7">
        <w:t xml:space="preserve"> xanthine </w:t>
      </w:r>
      <w:r>
        <w:t>accumulation compartments were added to compute the area under the concentration curve at 24 hour intervals. Parameter estimation used the first order algorithm and different initial parameter estimates</w:t>
      </w:r>
      <w:r w:rsidR="005F6044">
        <w:t xml:space="preserve"> were tested</w:t>
      </w:r>
      <w:r>
        <w:t>. No random effects were included on</w:t>
      </w:r>
      <w:r w:rsidR="00BA63F2">
        <w:t xml:space="preserve"> system</w:t>
      </w:r>
      <w:r>
        <w:t xml:space="preserve"> parameters estimated in NONMEM since the data points do not come from individual subjects. </w:t>
      </w:r>
      <w:r w:rsidR="005138A1">
        <w:t xml:space="preserve">The </w:t>
      </w:r>
      <w:r w:rsidR="005B1BE7">
        <w:t>inhibitory model drug functions INH</w:t>
      </w:r>
      <w:r w:rsidR="005B1BE7" w:rsidRPr="005138A1">
        <w:rPr>
          <w:vertAlign w:val="subscript"/>
        </w:rPr>
        <w:t>1</w:t>
      </w:r>
      <w:r w:rsidR="005B1BE7">
        <w:t xml:space="preserve"> and INH</w:t>
      </w:r>
      <w:r w:rsidR="005B1BE7" w:rsidRPr="005138A1">
        <w:rPr>
          <w:vertAlign w:val="subscript"/>
        </w:rPr>
        <w:t>2</w:t>
      </w:r>
      <w:r w:rsidR="005B1BE7">
        <w:t xml:space="preserve"> </w:t>
      </w:r>
      <w:r w:rsidR="001F7F1B">
        <w:t>are</w:t>
      </w:r>
      <w:r>
        <w:t xml:space="preserve"> of the form </w:t>
      </w:r>
      <w:r w:rsidR="005138A1">
        <w:t>given</w:t>
      </w:r>
      <w:r>
        <w:t xml:space="preserve"> below</w:t>
      </w:r>
      <w:r w:rsidR="001F7F1B">
        <w:t xml:space="preserve"> where</w:t>
      </w:r>
      <w:r>
        <w:t xml:space="preserve"> </w:t>
      </w:r>
      <w:proofErr w:type="gramStart"/>
      <w:r>
        <w:t>C</w:t>
      </w:r>
      <w:r w:rsidR="004F48FD">
        <w:rPr>
          <w:vertAlign w:val="subscript"/>
        </w:rPr>
        <w:t>F</w:t>
      </w:r>
      <w:r>
        <w:t>(</w:t>
      </w:r>
      <w:proofErr w:type="gramEnd"/>
      <w:r>
        <w:t>t) is the plasma concentration of febuxostat.</w:t>
      </w:r>
      <w:r w:rsidR="00BB5284">
        <w:t xml:space="preserve"> </w:t>
      </w:r>
    </w:p>
    <w:p w14:paraId="5927CC67" w14:textId="6B166D73" w:rsidR="007D69A7" w:rsidRPr="007D69A7" w:rsidRDefault="007D69A7" w:rsidP="00D70D02">
      <w:pPr>
        <w:spacing w:after="0" w:line="480" w:lineRule="auto"/>
        <w:rPr>
          <w:rFonts w:eastAsiaTheme="minorEastAsia"/>
        </w:rPr>
      </w:pPr>
      <m:oMathPara>
        <m:oMathParaPr>
          <m:jc m:val="left"/>
        </m:oMathParaPr>
        <m:oMath>
          <m:r>
            <w:rPr>
              <w:rFonts w:ascii="Cambria Math" w:hAnsi="Cambria Math"/>
            </w:rPr>
            <w:lastRenderedPageBreak/>
            <m:t xml:space="preserve">INH= </m:t>
          </m:r>
          <m:f>
            <m:fPr>
              <m:ctrlPr>
                <w:rPr>
                  <w:rFonts w:ascii="Cambria Math" w:hAnsi="Cambria Math"/>
                  <w:i/>
                </w:rPr>
              </m:ctrlPr>
            </m:fPr>
            <m:num>
              <m:sSub>
                <m:sSubPr>
                  <m:ctrlPr>
                    <w:rPr>
                      <w:rFonts w:ascii="Cambria Math" w:hAnsi="Cambria Math"/>
                      <w:i/>
                    </w:rPr>
                  </m:ctrlPr>
                </m:sSubPr>
                <m:e>
                  <m:r>
                    <w:rPr>
                      <w:rFonts w:ascii="Cambria Math" w:hAnsi="Cambria Math"/>
                    </w:rPr>
                    <m:t>IC</m:t>
                  </m:r>
                </m:e>
                <m:sub>
                  <m:r>
                    <w:rPr>
                      <w:rFonts w:ascii="Cambria Math" w:hAnsi="Cambria Math"/>
                    </w:rPr>
                    <m:t>50</m:t>
                  </m:r>
                </m:sub>
              </m:sSub>
            </m:num>
            <m:den>
              <m:sSub>
                <m:sSubPr>
                  <m:ctrlPr>
                    <w:rPr>
                      <w:rFonts w:ascii="Cambria Math" w:hAnsi="Cambria Math"/>
                      <w:i/>
                    </w:rPr>
                  </m:ctrlPr>
                </m:sSubPr>
                <m:e>
                  <m:r>
                    <w:rPr>
                      <w:rFonts w:ascii="Cambria Math" w:hAnsi="Cambria Math"/>
                    </w:rPr>
                    <m:t>IC</m:t>
                  </m:r>
                </m:e>
                <m:sub>
                  <m:r>
                    <w:rPr>
                      <w:rFonts w:ascii="Cambria Math" w:hAnsi="Cambria Math"/>
                    </w:rPr>
                    <m:t>50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hAnsi="Cambria Math"/>
                </w:rPr>
                <m:t>(t)</m:t>
              </m:r>
            </m:den>
          </m:f>
        </m:oMath>
      </m:oMathPara>
    </w:p>
    <w:p w14:paraId="1D67E299" w14:textId="559412C2" w:rsidR="00EE57C8" w:rsidRDefault="00BB5284" w:rsidP="00D70D02">
      <w:pPr>
        <w:spacing w:after="0" w:line="480" w:lineRule="auto"/>
      </w:pPr>
      <w:r>
        <w:t>In order to simply the modelling procedure and make use of all available evidence</w:t>
      </w:r>
      <w:r w:rsidR="00FD23E3">
        <w:t xml:space="preserve"> the statistical modelling was performed in two stages. The first stage </w:t>
      </w:r>
      <w:r>
        <w:t>used</w:t>
      </w:r>
      <w:r w:rsidR="00FD23E3">
        <w:t xml:space="preserve"> a published PKPD model of febuxostat </w:t>
      </w:r>
      <w:r>
        <w:t>that</w:t>
      </w:r>
      <w:r w:rsidR="00FD23E3">
        <w:t xml:space="preserve"> used an indirect inhibitory response model applied to a zero order rate of uric acid production</w:t>
      </w:r>
      <w:r w:rsidR="008267EA">
        <w:t>.</w:t>
      </w:r>
      <w:r w:rsidR="00FD23E3">
        <w:fldChar w:fldCharType="begin" w:fldLock="1"/>
      </w:r>
      <w:r w:rsidR="00153286">
        <w:instrText>ADDIN CSL_CITATION { "citationItems" : [ { "id" : "ITEM-1", "itemData" : { "author" : [ { "dropping-particle" : "", "family" : "Centre for Drug Evaluation and Research.", "given" : "", "non-dropping-particle" : "", "parse-names" : false, "suffix" : "" } ], "id" : "ITEM-1", "issued" : { "date-parts" : [ [ "2008" ] ] }, "number-of-pages" : "260", "title" : "Clinical Pharmacology and Biopharmaceutics Review (NDA 21-856).", "type" : "report" }, "uris" : [ "http://www.mendeley.com/documents/?uuid=942e547a-9c0e-4635-a053-875485467415" ] } ], "mendeley" : { "formattedCitation" : "&lt;sup&gt;35&lt;/sup&gt;", "plainTextFormattedCitation" : "35", "previouslyFormattedCitation" : "&lt;sup&gt;35&lt;/sup&gt;" }, "properties" : { "noteIndex" : 0 }, "schema" : "https://github.com/citation-style-language/schema/raw/master/csl-citation.json" }</w:instrText>
      </w:r>
      <w:r w:rsidR="00FD23E3">
        <w:fldChar w:fldCharType="separate"/>
      </w:r>
      <w:r w:rsidR="00523B14" w:rsidRPr="00523B14">
        <w:rPr>
          <w:noProof/>
          <w:vertAlign w:val="superscript"/>
        </w:rPr>
        <w:t>35</w:t>
      </w:r>
      <w:r w:rsidR="00FD23E3">
        <w:fldChar w:fldCharType="end"/>
      </w:r>
      <w:r w:rsidR="00FD23E3">
        <w:t xml:space="preserve"> Rewriting uric acid production in the differential equations in our model as zero order the literature parameter estimate of 0.0239 mg/dl was assumed for IC</w:t>
      </w:r>
      <w:r w:rsidR="00FD23E3">
        <w:rPr>
          <w:vertAlign w:val="subscript"/>
        </w:rPr>
        <w:t>50</w:t>
      </w:r>
      <w:proofErr w:type="gramStart"/>
      <w:r w:rsidR="00FD23E3">
        <w:rPr>
          <w:vertAlign w:val="subscript"/>
        </w:rPr>
        <w:t>,2</w:t>
      </w:r>
      <w:proofErr w:type="gramEnd"/>
      <w:r w:rsidR="00FD23E3">
        <w:t xml:space="preserve"> and the remaining parameters were then estimated. In the second stage, the uric acid production was returned to being first order, such that it is a function of changing xanthine levels, and a new parameter estimate was made of IC</w:t>
      </w:r>
      <w:r w:rsidR="00FD23E3">
        <w:rPr>
          <w:vertAlign w:val="subscript"/>
        </w:rPr>
        <w:t>50</w:t>
      </w:r>
      <w:proofErr w:type="gramStart"/>
      <w:r w:rsidR="00FD23E3">
        <w:rPr>
          <w:vertAlign w:val="subscript"/>
        </w:rPr>
        <w:t>,2</w:t>
      </w:r>
      <w:proofErr w:type="gramEnd"/>
      <w:r w:rsidR="00FD23E3">
        <w:t xml:space="preserve"> </w:t>
      </w:r>
      <w:r w:rsidR="005374E9">
        <w:t>with all other parameters fixed.</w:t>
      </w:r>
    </w:p>
    <w:p w14:paraId="031DC467" w14:textId="77777777" w:rsidR="00D828B5" w:rsidRDefault="00D828B5" w:rsidP="00D70D02">
      <w:pPr>
        <w:spacing w:after="0" w:line="480" w:lineRule="auto"/>
      </w:pPr>
    </w:p>
    <w:p w14:paraId="5ECCEEEA" w14:textId="06197E8C" w:rsidR="00F606A1" w:rsidRPr="00BA22B5" w:rsidRDefault="00AF53EF" w:rsidP="00BA22B5">
      <w:pPr>
        <w:spacing w:after="0" w:line="480" w:lineRule="auto"/>
        <w:rPr>
          <w:i/>
        </w:rPr>
      </w:pPr>
      <w:r w:rsidRPr="00BA22B5">
        <w:rPr>
          <w:i/>
        </w:rPr>
        <w:t>Gout patient s</w:t>
      </w:r>
      <w:r w:rsidR="00F606A1" w:rsidRPr="00BA22B5">
        <w:rPr>
          <w:i/>
        </w:rPr>
        <w:t xml:space="preserve">imulation </w:t>
      </w:r>
      <w:r w:rsidRPr="00BA22B5">
        <w:rPr>
          <w:i/>
        </w:rPr>
        <w:t>m</w:t>
      </w:r>
      <w:r w:rsidR="00F606A1" w:rsidRPr="00BA22B5">
        <w:rPr>
          <w:i/>
        </w:rPr>
        <w:t>odel</w:t>
      </w:r>
    </w:p>
    <w:p w14:paraId="76F67BE5" w14:textId="6FB313FE" w:rsidR="00F606A1" w:rsidRDefault="00BE4865" w:rsidP="00D70D02">
      <w:pPr>
        <w:spacing w:after="0" w:line="480" w:lineRule="auto"/>
      </w:pPr>
      <w:r w:rsidRPr="00BA22B5">
        <w:t>We assumed that the febuxostat pharmacodynamic</w:t>
      </w:r>
      <w:r>
        <w:t xml:space="preserve"> parameters estimated for healthy volunteers </w:t>
      </w:r>
      <w:r w:rsidR="00D66561">
        <w:t>could</w:t>
      </w:r>
      <w:r>
        <w:t xml:space="preserve"> be applied to gout patients with hyperuricemia. However, systems parameters have been adjusted</w:t>
      </w:r>
      <w:r w:rsidR="000633F7" w:rsidRPr="000633F7">
        <w:t xml:space="preserve"> </w:t>
      </w:r>
      <w:r w:rsidR="000633F7">
        <w:t>to be representative of a patient population</w:t>
      </w:r>
      <w:r>
        <w:t xml:space="preserve">. </w:t>
      </w:r>
      <w:r w:rsidR="00536F9D">
        <w:t xml:space="preserve">A typical patient </w:t>
      </w:r>
      <w:proofErr w:type="spellStart"/>
      <w:r w:rsidR="00536F9D">
        <w:t>sUA</w:t>
      </w:r>
      <w:proofErr w:type="spellEnd"/>
      <w:r w:rsidR="00536F9D">
        <w:t xml:space="preserve"> </w:t>
      </w:r>
      <w:r w:rsidR="00145A3B">
        <w:t>concentration</w:t>
      </w:r>
      <w:r w:rsidR="00536F9D">
        <w:t xml:space="preserve"> was assumed to be 8.83 mg/dl (standard deviation of 1.53) </w:t>
      </w:r>
      <w:r w:rsidR="00160BED">
        <w:t xml:space="preserve">as this was the pre-treatment </w:t>
      </w:r>
      <w:proofErr w:type="spellStart"/>
      <w:r w:rsidR="00160BED">
        <w:t>sUA</w:t>
      </w:r>
      <w:proofErr w:type="spellEnd"/>
      <w:r w:rsidR="00160BED">
        <w:t xml:space="preserve"> </w:t>
      </w:r>
      <w:r w:rsidR="00145A3B">
        <w:t xml:space="preserve">concentration </w:t>
      </w:r>
      <w:r w:rsidR="00160BED">
        <w:t xml:space="preserve">for patients in </w:t>
      </w:r>
      <w:r w:rsidR="00F06748">
        <w:t xml:space="preserve">the </w:t>
      </w:r>
      <w:r w:rsidR="00160BED">
        <w:t>CRYSTAL trial</w:t>
      </w:r>
      <w:r w:rsidR="00F06748" w:rsidRPr="00F06748">
        <w:t xml:space="preserve"> </w:t>
      </w:r>
      <w:r w:rsidR="00045377">
        <w:t xml:space="preserve">which compared </w:t>
      </w:r>
      <w:r w:rsidR="00F06748">
        <w:t>febuxostat with lesinurad</w:t>
      </w:r>
      <w:r w:rsidR="008267EA">
        <w:t>.</w:t>
      </w:r>
      <w:r w:rsidR="008C54D7">
        <w:fldChar w:fldCharType="begin" w:fldLock="1"/>
      </w:r>
      <w:r w:rsidR="007F1800">
        <w:instrText>ADDIN CSL_CITATION { "citationItems" : [ { "id" : "ITEM-1", "itemData" : { "author" : [ { "dropping-particle" : "", "family" : "Ardea Biosciences.", "given" : "", "non-dropping-particle" : "", "parse-names" : false, "suffix" : "" } ], "id" : "ITEM-1", "issue" : "October", "issued" : { "date-parts" : [ [ "2015" ] ] }, "title" : "Lesinurad in Combination With a Xanthine Oxidase Inhibitor for Treatment of Hyperuricemia Associated With Gout. Briefing Document for the Arthritis Advisory Committee", "type" : "report" }, "uris" : [ "http://www.mendeley.com/documents/?uuid=b8cdbe5b-5a25-41d7-bc31-63d8c1273feb" ] } ], "mendeley" : { "formattedCitation" : "&lt;sup&gt;39&lt;/sup&gt;", "plainTextFormattedCitation" : "39", "previouslyFormattedCitation" : "&lt;sup&gt;39&lt;/sup&gt;" }, "properties" : { "noteIndex" : 0 }, "schema" : "https://github.com/citation-style-language/schema/raw/master/csl-citation.json" }</w:instrText>
      </w:r>
      <w:r w:rsidR="008C54D7">
        <w:fldChar w:fldCharType="separate"/>
      </w:r>
      <w:r w:rsidR="00523B14" w:rsidRPr="00523B14">
        <w:rPr>
          <w:noProof/>
          <w:vertAlign w:val="superscript"/>
        </w:rPr>
        <w:t>39</w:t>
      </w:r>
      <w:r w:rsidR="008C54D7">
        <w:fldChar w:fldCharType="end"/>
      </w:r>
      <w:r w:rsidR="00160BED">
        <w:t xml:space="preserve"> </w:t>
      </w:r>
      <w:r w:rsidR="008C54D7">
        <w:t>W</w:t>
      </w:r>
      <w:r w:rsidR="003E60C3">
        <w:t xml:space="preserve">e </w:t>
      </w:r>
      <w:r w:rsidR="004430EB">
        <w:t>considered two phenotypes, overproducers and under-excreters of uric acid</w:t>
      </w:r>
      <w:r w:rsidR="00FD23E3">
        <w:fldChar w:fldCharType="begin" w:fldLock="1"/>
      </w:r>
      <w:r w:rsidR="00EC525B">
        <w:instrText>ADDIN CSL_CITATION { "citationItems" : [ { "id" : "ITEM-1", "itemData" : { "DOI" : "10.1016/S0140-6736(16)00346-9", "ISSN" : "1474547X", "abstract" : "Gout is a chronic disease of deposition of monosodium urate crystals, which form in the presence of increased urate concentrations. Although environmental factors contribute to hyperuricaemia, renal and gut excretion of urate is central to regulation of serum urate, and genetic factors are important. Activation of the NLRP3 inflammasome and release of interleukin 1?? have key roles in initiation of acute gout flares. A \"treat to target serum urate\" approach is essential for effective gout management; long-term lowering of serum urate to less than 360 ??mol/L leads to crystal dissolution and ultimately to suppression of flares. An allopurinol dose-escalation strategy is frequently effective for achieving treatment targets, and several new urate-lowering drugs are also available. Worldwide, rates of initiation and continuation of urate-lowering therapy are very low, and, consequently, achievement of serum urate targets is infrequent. Strategies to improve quality of gout care are needed.", "author" : [ { "dropping-particle" : "", "family" : "Dalbeth", "given" : "Nicola", "non-dropping-particle" : "", "parse-names" : false, "suffix" : "" }, { "dropping-particle" : "", "family" : "Merriman", "given" : "Tony R.", "non-dropping-particle" : "", "parse-names" : false, "suffix" : "" }, { "dropping-particle" : "", "family" : "Stamp", "given" : "Lisa K.", "non-dropping-particle" : "", "parse-names" : false, "suffix" : "" } ], "container-title" : "The Lancet", "id" : "ITEM-1", "issue" : "16", "issued" : { "date-parts" : [ [ "2016" ] ] }, "page" : "1-14", "title" : "Gout", "type" : "article-journal", "volume" : "6736" }, "uris" : [ "http://www.mendeley.com/documents/?uuid=c4a6a9fe-118d-4843-83ba-481c0943c215" ] } ], "mendeley" : { "formattedCitation" : "&lt;sup&gt;1&lt;/sup&gt;", "plainTextFormattedCitation" : "1", "previouslyFormattedCitation" : "&lt;sup&gt;1&lt;/sup&gt;" }, "properties" : { "noteIndex" : 0 }, "schema" : "https://github.com/citation-style-language/schema/raw/master/csl-citation.json" }</w:instrText>
      </w:r>
      <w:r w:rsidR="00FD23E3">
        <w:fldChar w:fldCharType="separate"/>
      </w:r>
      <w:r w:rsidR="00523B14" w:rsidRPr="00523B14">
        <w:rPr>
          <w:noProof/>
          <w:vertAlign w:val="superscript"/>
        </w:rPr>
        <w:t>1</w:t>
      </w:r>
      <w:r w:rsidR="00FD23E3">
        <w:fldChar w:fldCharType="end"/>
      </w:r>
      <w:r w:rsidR="004430EB">
        <w:t>, and</w:t>
      </w:r>
      <w:r w:rsidR="008C54D7">
        <w:t xml:space="preserve"> </w:t>
      </w:r>
      <w:r w:rsidR="009741A3">
        <w:t>modified the healthy subject system</w:t>
      </w:r>
      <w:r w:rsidR="003E60C3">
        <w:t xml:space="preserve"> parameters</w:t>
      </w:r>
      <w:r w:rsidR="004430EB">
        <w:t xml:space="preserve"> accordingly</w:t>
      </w:r>
      <w:r w:rsidR="003E60C3">
        <w:t>. For overproducers</w:t>
      </w:r>
      <w:r w:rsidR="004430EB">
        <w:t>,</w:t>
      </w:r>
      <w:r w:rsidR="003E60C3">
        <w:t xml:space="preserve"> the amount of xanthine </w:t>
      </w:r>
      <w:r w:rsidR="00045377">
        <w:t xml:space="preserve">was </w:t>
      </w:r>
      <w:r w:rsidR="003E60C3">
        <w:t xml:space="preserve">scaled up and for under-excreters the clearance of uric acid </w:t>
      </w:r>
      <w:r w:rsidR="00A268E6">
        <w:t xml:space="preserve">was </w:t>
      </w:r>
      <w:r w:rsidR="003E60C3">
        <w:t xml:space="preserve">scaled down </w:t>
      </w:r>
      <w:r w:rsidR="004430EB">
        <w:t xml:space="preserve">in proportion </w:t>
      </w:r>
      <w:r w:rsidR="003E60C3">
        <w:t xml:space="preserve">to the </w:t>
      </w:r>
      <w:proofErr w:type="spellStart"/>
      <w:r w:rsidR="003E60C3">
        <w:t>sUA</w:t>
      </w:r>
      <w:proofErr w:type="spellEnd"/>
      <w:r w:rsidR="003E60C3">
        <w:t xml:space="preserve"> </w:t>
      </w:r>
      <w:r w:rsidR="00145A3B">
        <w:t>concentration</w:t>
      </w:r>
      <w:r w:rsidR="004430EB">
        <w:t xml:space="preserve"> (Table </w:t>
      </w:r>
      <w:r w:rsidR="00A268E6">
        <w:t>3</w:t>
      </w:r>
      <w:r w:rsidR="004430EB">
        <w:t>)</w:t>
      </w:r>
      <w:r w:rsidR="003E60C3">
        <w:t>.</w:t>
      </w:r>
      <w:r w:rsidR="003E60C3" w:rsidRPr="003E60C3">
        <w:t xml:space="preserve"> </w:t>
      </w:r>
      <w:r w:rsidR="003E60C3">
        <w:t xml:space="preserve">This assumes the </w:t>
      </w:r>
      <w:r w:rsidR="00C83D77">
        <w:t xml:space="preserve">same </w:t>
      </w:r>
      <w:r w:rsidR="003E60C3">
        <w:t xml:space="preserve">volumes of distribution of xanthine and uric acid </w:t>
      </w:r>
      <w:r w:rsidR="00C83D77">
        <w:t>for</w:t>
      </w:r>
      <w:r w:rsidR="003E60C3">
        <w:t xml:space="preserve"> patients </w:t>
      </w:r>
      <w:r w:rsidR="00C83D77">
        <w:t xml:space="preserve">as for </w:t>
      </w:r>
      <w:r w:rsidR="003E60C3">
        <w:t>healthy subjects.</w:t>
      </w:r>
    </w:p>
    <w:p w14:paraId="280448BC" w14:textId="77777777" w:rsidR="00D828B5" w:rsidRPr="00BE4865" w:rsidRDefault="00D828B5" w:rsidP="00D70D02">
      <w:pPr>
        <w:spacing w:after="0" w:line="480" w:lineRule="auto"/>
      </w:pPr>
    </w:p>
    <w:p w14:paraId="1CA499C3" w14:textId="1DFC68AA" w:rsidR="003B7F70" w:rsidRDefault="00F06748" w:rsidP="004C362B">
      <w:pPr>
        <w:spacing w:after="0" w:line="480" w:lineRule="auto"/>
      </w:pPr>
      <w:r>
        <w:t xml:space="preserve">The model </w:t>
      </w:r>
      <w:r w:rsidR="003F513F">
        <w:t>was</w:t>
      </w:r>
      <w:r>
        <w:t xml:space="preserve"> used to simulate treatment with 120 days </w:t>
      </w:r>
      <w:r w:rsidR="00D548F2">
        <w:t xml:space="preserve">ULT </w:t>
      </w:r>
      <w:r>
        <w:t xml:space="preserve">in a hypothetical cohort of </w:t>
      </w:r>
      <w:r w:rsidR="001A6BFB">
        <w:t>1</w:t>
      </w:r>
      <w:r w:rsidR="004C362B">
        <w:t>,</w:t>
      </w:r>
      <w:r>
        <w:t>00</w:t>
      </w:r>
      <w:r w:rsidR="00BF5804">
        <w:t>0</w:t>
      </w:r>
      <w:r>
        <w:t xml:space="preserve"> </w:t>
      </w:r>
      <w:r w:rsidR="00C83D77">
        <w:t xml:space="preserve">patients </w:t>
      </w:r>
      <w:r>
        <w:t xml:space="preserve">with baseline characteristics corresponding to the CRYSTAL trial. </w:t>
      </w:r>
      <w:r w:rsidR="00F56253">
        <w:t xml:space="preserve">The cohort was all male (95% were male in CRYSTAL) and baseline </w:t>
      </w:r>
      <w:proofErr w:type="spellStart"/>
      <w:r w:rsidR="00F56253">
        <w:t>sUA</w:t>
      </w:r>
      <w:proofErr w:type="spellEnd"/>
      <w:r w:rsidR="00F56253">
        <w:t xml:space="preserve">, weight and age were </w:t>
      </w:r>
      <w:r w:rsidR="00BF5804">
        <w:t xml:space="preserve">assumed to be </w:t>
      </w:r>
      <w:r w:rsidR="00F56253">
        <w:t>lognormal</w:t>
      </w:r>
      <w:r w:rsidR="00BF5804">
        <w:t>ly</w:t>
      </w:r>
      <w:r w:rsidR="00F56253">
        <w:t xml:space="preserve"> </w:t>
      </w:r>
      <w:r w:rsidR="00F56253">
        <w:lastRenderedPageBreak/>
        <w:t>distribut</w:t>
      </w:r>
      <w:r w:rsidR="00BF5804">
        <w:t>ed</w:t>
      </w:r>
      <w:r w:rsidR="00F56253">
        <w:t xml:space="preserve"> with mean and standard deviations taken from CRYSTAL</w:t>
      </w:r>
      <w:r w:rsidR="008267EA">
        <w:t>.</w:t>
      </w:r>
      <w:r w:rsidR="00BF5804">
        <w:fldChar w:fldCharType="begin" w:fldLock="1"/>
      </w:r>
      <w:r w:rsidR="007F1800">
        <w:instrText>ADDIN CSL_CITATION { "citationItems" : [ { "id" : "ITEM-1", "itemData" : { "author" : [ { "dropping-particle" : "", "family" : "FDA.", "given" : "", "non-dropping-particle" : "", "parse-names" : false, "suffix" : "" } ], "id" : "ITEM-1", "issued" : { "date-parts" : [ [ "2015" ] ] }, "title" : "Lesinurad for the proposed indication of treatment of hyperuricemia associated with gout in combination with a xanthine oxidase inhibitor (FDA Briefing Package) (NDA 207988)", "type" : "report" }, "uris" : [ "http://www.mendeley.com/documents/?uuid=3decb1f3-a91e-4400-a8e3-ffa32e9d2961" ] } ], "mendeley" : { "formattedCitation" : "&lt;sup&gt;40&lt;/sup&gt;", "plainTextFormattedCitation" : "40", "previouslyFormattedCitation" : "&lt;sup&gt;40&lt;/sup&gt;" }, "properties" : { "noteIndex" : 0 }, "schema" : "https://github.com/citation-style-language/schema/raw/master/csl-citation.json" }</w:instrText>
      </w:r>
      <w:r w:rsidR="00BF5804">
        <w:fldChar w:fldCharType="separate"/>
      </w:r>
      <w:r w:rsidR="00523B14" w:rsidRPr="00523B14">
        <w:rPr>
          <w:noProof/>
          <w:vertAlign w:val="superscript"/>
        </w:rPr>
        <w:t>40</w:t>
      </w:r>
      <w:r w:rsidR="00BF5804">
        <w:fldChar w:fldCharType="end"/>
      </w:r>
      <w:r w:rsidR="00BF5804">
        <w:t xml:space="preserve"> Creatinine clearance</w:t>
      </w:r>
      <w:r w:rsidR="004C362B">
        <w:t xml:space="preserve">, calculated using the </w:t>
      </w:r>
      <w:hyperlink r:id="rId9" w:history="1">
        <w:r w:rsidR="004C362B" w:rsidRPr="00BF5804">
          <w:t>Cockcroft-Gault</w:t>
        </w:r>
      </w:hyperlink>
      <w:r w:rsidR="004C362B">
        <w:t xml:space="preserve"> equation</w:t>
      </w:r>
      <w:r w:rsidR="004C362B">
        <w:fldChar w:fldCharType="begin" w:fldLock="1"/>
      </w:r>
      <w:r w:rsidR="004C362B">
        <w:instrText>ADDIN CSL_CITATION { "citationItems" : [ { "id" : "ITEM-1", "itemData" : { "ISSN" : "1660-8151 (Print)", "PMID" : "1244564", "abstract" : "A formula has been developed to predict creatinine clearance (Ccr) from serum creatinine (Scr) in adult males: (see article)(15% less in females). Derivation included the relationship found between age and 24-hour creatinine excretion/kg in 249 patients aged 18-92. Values for Ccr were predicted by this formula and four other methods and the results compared with the means of two 24-hour Ccr's measured in 236 patients. The above formula gave a correlation coefficient between predicted and mean measured Ccr's of 0.83; on average, the difference predicted and mean measured values was no greater than that between paired clearances. Factors for age and body weight must be included for reasonable prediction.", "author" : [ { "dropping-particle" : "", "family" : "Cockcroft", "given" : "D W", "non-dropping-particle" : "", "parse-names" : false, "suffix" : "" }, { "dropping-particle" : "", "family" : "Gault", "given" : "M H", "non-dropping-particle" : "", "parse-names" : false, "suffix" : "" } ], "container-title" : "Nephron", "id" : "ITEM-1", "issue" : "1", "issued" : { "date-parts" : [ [ "1976" ] ] }, "language" : "eng", "page" : "31-41", "publisher-place" : "Switzerland", "title" : "Prediction of creatinine clearance from serum creatinine.", "type" : "article-journal", "volume" : "16" }, "uris" : [ "http://www.mendeley.com/documents/?uuid=7f698bac-b372-4c48-a6ba-9d2a8eee2938" ] } ], "mendeley" : { "formattedCitation" : "&lt;sup&gt;41&lt;/sup&gt;", "plainTextFormattedCitation" : "41", "previouslyFormattedCitation" : "&lt;sup&gt;41&lt;/sup&gt;" }, "properties" : { "noteIndex" : 0 }, "schema" : "https://github.com/citation-style-language/schema/raw/master/csl-citation.json" }</w:instrText>
      </w:r>
      <w:r w:rsidR="004C362B">
        <w:fldChar w:fldCharType="separate"/>
      </w:r>
      <w:r w:rsidR="004C362B" w:rsidRPr="00523B14">
        <w:rPr>
          <w:noProof/>
          <w:vertAlign w:val="superscript"/>
        </w:rPr>
        <w:t>41</w:t>
      </w:r>
      <w:r w:rsidR="004C362B">
        <w:fldChar w:fldCharType="end"/>
      </w:r>
      <w:r w:rsidR="004C362B">
        <w:t xml:space="preserve">, was reduced by 15 ml/min to better reflect the trial population </w:t>
      </w:r>
      <w:proofErr w:type="spellStart"/>
      <w:r w:rsidR="004C362B">
        <w:t>CrCl</w:t>
      </w:r>
      <w:proofErr w:type="spellEnd"/>
      <w:r w:rsidR="004C362B">
        <w:t>.</w:t>
      </w:r>
      <w:r w:rsidR="00BF5804">
        <w:t xml:space="preserve"> </w:t>
      </w:r>
      <w:r w:rsidR="003B7F70">
        <w:t>Variability of drug effects in INH</w:t>
      </w:r>
      <w:r w:rsidR="003B7F70" w:rsidRPr="005374E9">
        <w:rPr>
          <w:vertAlign w:val="subscript"/>
        </w:rPr>
        <w:t>1</w:t>
      </w:r>
      <w:r w:rsidR="003B7F70">
        <w:t xml:space="preserve"> and INH</w:t>
      </w:r>
      <w:r w:rsidR="003B7F70" w:rsidRPr="005374E9">
        <w:rPr>
          <w:vertAlign w:val="subscript"/>
        </w:rPr>
        <w:t>2</w:t>
      </w:r>
      <w:r w:rsidR="003B7F70">
        <w:rPr>
          <w:vertAlign w:val="subscript"/>
        </w:rPr>
        <w:t xml:space="preserve"> </w:t>
      </w:r>
      <w:r w:rsidR="003B7F70">
        <w:t>could not be estimated and the IC</w:t>
      </w:r>
      <w:r w:rsidR="003B7F70" w:rsidRPr="005374E9">
        <w:rPr>
          <w:vertAlign w:val="subscript"/>
        </w:rPr>
        <w:t>50</w:t>
      </w:r>
      <w:r w:rsidR="003B7F70">
        <w:t xml:space="preserve"> parameters were assumed to vary according to η</w:t>
      </w:r>
      <w:r w:rsidR="003B7F70" w:rsidRPr="004678E8">
        <w:rPr>
          <w:vertAlign w:val="subscript"/>
        </w:rPr>
        <w:t>3</w:t>
      </w:r>
      <w:r w:rsidR="003B7F70">
        <w:rPr>
          <w:vertAlign w:val="subscript"/>
        </w:rPr>
        <w:t xml:space="preserve"> </w:t>
      </w:r>
      <w:r w:rsidR="003B7F70">
        <w:t xml:space="preserve">with a coefficient of variation of 20%. </w:t>
      </w:r>
      <w:r w:rsidR="005947A3">
        <w:t xml:space="preserve">Steady state was assumed following 30 days of simulated treatment and only the latter 60 days was used to </w:t>
      </w:r>
      <w:r w:rsidR="004134F1">
        <w:t>derive</w:t>
      </w:r>
      <w:r w:rsidR="005947A3">
        <w:t xml:space="preserve"> results.</w:t>
      </w:r>
      <w:r>
        <w:t xml:space="preserve"> </w:t>
      </w:r>
    </w:p>
    <w:p w14:paraId="4767194F" w14:textId="77777777" w:rsidR="00D828B5" w:rsidRDefault="00D828B5" w:rsidP="00D70D02">
      <w:pPr>
        <w:spacing w:after="0" w:line="480" w:lineRule="auto"/>
      </w:pPr>
    </w:p>
    <w:p w14:paraId="41308428" w14:textId="03982E4B" w:rsidR="0060546B" w:rsidRDefault="00B1075E" w:rsidP="00D70D02">
      <w:pPr>
        <w:spacing w:after="0" w:line="480" w:lineRule="auto"/>
      </w:pPr>
      <w:r>
        <w:t xml:space="preserve">The </w:t>
      </w:r>
      <w:r w:rsidR="00C83D77">
        <w:t>outcomes of interest were</w:t>
      </w:r>
      <w:r>
        <w:t xml:space="preserve"> the simulated time course of </w:t>
      </w:r>
      <w:proofErr w:type="spellStart"/>
      <w:r>
        <w:t>sUA</w:t>
      </w:r>
      <w:proofErr w:type="spellEnd"/>
      <w:r w:rsidR="00C83D77">
        <w:t xml:space="preserve"> and </w:t>
      </w:r>
      <w:proofErr w:type="spellStart"/>
      <w:r w:rsidR="00C83D77">
        <w:t>uUA</w:t>
      </w:r>
      <w:proofErr w:type="spellEnd"/>
      <w:r>
        <w:t xml:space="preserve"> </w:t>
      </w:r>
      <w:r w:rsidR="00145A3B">
        <w:t>concentration</w:t>
      </w:r>
      <w:r w:rsidR="00C83D77">
        <w:t>s,</w:t>
      </w:r>
      <w:r w:rsidR="00145A3B">
        <w:t xml:space="preserve"> </w:t>
      </w:r>
      <w:r>
        <w:t>from which we estimate</w:t>
      </w:r>
      <w:r w:rsidR="00C83D77">
        <w:t>d</w:t>
      </w:r>
      <w:r>
        <w:t xml:space="preserve"> the proportion of patients responding (</w:t>
      </w:r>
      <w:proofErr w:type="spellStart"/>
      <w:r>
        <w:t>sUA</w:t>
      </w:r>
      <w:proofErr w:type="spellEnd"/>
      <w:r>
        <w:t xml:space="preserve"> </w:t>
      </w:r>
      <w:r w:rsidR="001E048D">
        <w:t>below</w:t>
      </w:r>
      <w:r>
        <w:t xml:space="preserve"> </w:t>
      </w:r>
      <w:r w:rsidR="004430EB">
        <w:t>≤</w:t>
      </w:r>
      <w:r>
        <w:t>5 mg/dl</w:t>
      </w:r>
      <w:r w:rsidR="004134F1">
        <w:t xml:space="preserve"> on day 120</w:t>
      </w:r>
      <w:r>
        <w:t xml:space="preserve">) </w:t>
      </w:r>
      <w:r w:rsidR="000635A8">
        <w:t xml:space="preserve">and the proportion of patients experiencing </w:t>
      </w:r>
      <w:r w:rsidR="00091CBA">
        <w:t>hyperuricosuria</w:t>
      </w:r>
      <w:r w:rsidR="004430EB">
        <w:t xml:space="preserve"> (</w:t>
      </w:r>
      <w:proofErr w:type="spellStart"/>
      <w:r w:rsidR="004430EB">
        <w:t>uUA</w:t>
      </w:r>
      <w:proofErr w:type="spellEnd"/>
      <w:r w:rsidR="004430EB">
        <w:t xml:space="preserve"> </w:t>
      </w:r>
      <w:r w:rsidR="004430EB" w:rsidRPr="004430EB">
        <w:t>≥800 mg/day</w:t>
      </w:r>
      <w:r w:rsidR="004134F1">
        <w:t xml:space="preserve"> on any day</w:t>
      </w:r>
      <w:r w:rsidR="004430EB">
        <w:t>)</w:t>
      </w:r>
      <w:r w:rsidR="000635A8">
        <w:t>.</w:t>
      </w:r>
      <w:r w:rsidR="005947A3">
        <w:t xml:space="preserve"> </w:t>
      </w:r>
      <w:r w:rsidR="00A201E5">
        <w:t>The normal range of 24-hour volume of</w:t>
      </w:r>
      <w:r w:rsidR="00A201E5" w:rsidRPr="00A201E5">
        <w:t xml:space="preserve"> </w:t>
      </w:r>
      <w:r w:rsidR="00A201E5">
        <w:t>urine is 0.5-1 ml/kg/hr,</w:t>
      </w:r>
      <w:r w:rsidR="0060546B">
        <w:t xml:space="preserve"> but is likely to be lower in the elderly</w:t>
      </w:r>
      <w:r w:rsidR="008267EA">
        <w:t>.</w:t>
      </w:r>
      <w:r w:rsidR="0060546B">
        <w:fldChar w:fldCharType="begin" w:fldLock="1"/>
      </w:r>
      <w:r w:rsidR="00EC525B">
        <w:instrText>ADDIN CSL_CITATION { "citationItems" : [ { "id" : "ITEM-1", "itemData" : { "author" : [ { "dropping-particle" : "", "family" : "Tissot", "given" : "William", "non-dropping-particle" : "", "parse-names" : false, "suffix" : "" }, { "dropping-particle" : "", "family" : "Amundsen", "given" : "Cindy L", "non-dropping-particle" : "", "parse-names" : false, "suffix" : "" }, { "dropping-particle" : "", "family" : "Diokno", "given" : "Ananias C", "non-dropping-particle" : "", "parse-names" : false, "suffix" : "" }, { "dropping-particle" : "", "family" : "Webster", "given" : "George D", "non-dropping-particle" : "", "parse-names" : false, "suffix" : "" }, { "dropping-particle" : "", "family" : "Coats", "given" : "Alfred C", "non-dropping-particle" : "", "parse-names" : false, "suffix" : "" } ], "container-title" : "Neurourology and urodynamics", "id" : "ITEM-1", "issue" : "3", "issued" : { "date-parts" : [ [ "2008" ] ] }, "page" : "198-204", "title" : "Bladder Diary Measurements in Asymptomatic Males: Frequency, Volume per Void, and 24-hour Volume", "type" : "article-journal", "volume" : "27" }, "uris" : [ "http://www.mendeley.com/documents/?uuid=30b522b0-adb0-450e-bd24-bb7c16dc0e06" ] }, { "id" : "ITEM-2", "itemData" : { "DOI" : "10.1002/nau", "ISBN" : "1520-6777 (Electronic)\\n0733-2467 (Linking)", "ISSN" : "07332467", "PMID" : "21181961", "abstract" : "Aims: This prospective, randomized, multicenter trial evaluated the 6-month success rate of sacral neuromodulation (SNM) with InterStim1 Therapy versus standard medical therapy (SMT) for overactive bladder (OAB). Methods: Enrolled subjects discontinued OABmedications prior to and during baseline data collection and were randomized 1:1 to SNM or SMT. Subjects had bothersome symptoms of overactive bladder (OAB) including urinary urge incontinence (?2 leaks/72 hr) and/or urgency-frequency (?8 voids/day). Subjects failed at least one anticholinergic medication, and had at least one medication not yet attempted. The primary objective was to compare OAB therapeutic success rate at 6 months betweenSNMandSMT.Results: Overall, 147 subjects were randomized (70 toSNMand 77 to SMT);93%were female and mean age was 58. The primary intent to treat analysis showed OAB therapeutic success was significantly greater in theSNMgroup (61%) than theSMTgroup (42%; P\u00bc0.02). In the as treated analysis,OABtherapeutic success was76%forSNMand49%forSMT(P\u00bc0.002). TheSNMgroup showed significant improvements in quality of life versus the SMT group (all P&lt;0.001) and 86% of SNM subjects reported improved or greatly improved urinary symptom interference score at 6 months, compared to 44% for SMT subjects. The device-related adverse event rate was 30.5% and the medication-related adverse event rate was 27.3%. Conclusions: This study demonstrates superior objective and subjective success of SNM compared to SMT. SNM is shown to be a safe and effective treatment for OAB patients with mild to moderate symptoms.", "author" : [ { "dropping-particle" : "", "family" : "Parsons", "given" : "Matthew", "non-dropping-particle" : "", "parse-names" : false, "suffix" : "" }, { "dropping-particle" : "", "family" : "Tissot", "given" : "William", "non-dropping-particle" : "", "parse-names" : false, "suffix" : "" }, { "dropping-particle" : "", "family" : "Cardozo", "given" : "Linda", "non-dropping-particle" : "", "parse-names" : false, "suffix" : "" }, { "dropping-particle" : "", "family" : "Diokno", "given" : "Ananias", "non-dropping-particle" : "", "parse-names" : false, "suffix" : "" }, { "dropping-particle" : "", "family" : "Anundsen", "given" : "Cindy L", "non-dropping-particle" : "", "parse-names" : false, "suffix" : "" }, { "dropping-particle" : "", "family" : "Coats", "given" : "Alfred C", "non-dropping-particle" : "", "parse-names" : false, "suffix" : "" } ], "container-title" : "Neurourology and urodynamics", "id" : "ITEM-2", "issued" : { "date-parts" : [ [ "2007" ] ] }, "page" : "465-476", "title" : "Normative Bladder Diary Measurements: Night Versus Day", "type" : "article-journal", "volume" : "26" }, "uris" : [ "http://www.mendeley.com/documents/?uuid=c7a305dc-1dd9-4fed-912f-6bef6f76983d" ] } ], "mendeley" : { "formattedCitation" : "&lt;sup&gt;42,43&lt;/sup&gt;", "plainTextFormattedCitation" : "42,43", "previouslyFormattedCitation" : "&lt;sup&gt;42,43&lt;/sup&gt;" }, "properties" : { "noteIndex" : 0 }, "schema" : "https://github.com/citation-style-language/schema/raw/master/csl-citation.json" }</w:instrText>
      </w:r>
      <w:r w:rsidR="0060546B">
        <w:fldChar w:fldCharType="separate"/>
      </w:r>
      <w:r w:rsidR="00523B14" w:rsidRPr="00523B14">
        <w:rPr>
          <w:noProof/>
          <w:vertAlign w:val="superscript"/>
        </w:rPr>
        <w:t>42,43</w:t>
      </w:r>
      <w:r w:rsidR="0060546B">
        <w:fldChar w:fldCharType="end"/>
      </w:r>
      <w:r w:rsidR="0060546B">
        <w:t xml:space="preserve"> </w:t>
      </w:r>
      <w:proofErr w:type="gramStart"/>
      <w:r w:rsidR="0060546B">
        <w:t>On</w:t>
      </w:r>
      <w:proofErr w:type="gramEnd"/>
      <w:r w:rsidR="0060546B">
        <w:t xml:space="preserve"> this basis a representative daily urine output for a 99kg male of 15dl has been assumed for the purpose of </w:t>
      </w:r>
      <w:r w:rsidR="004134F1">
        <w:t xml:space="preserve">estimating </w:t>
      </w:r>
      <w:proofErr w:type="spellStart"/>
      <w:r w:rsidR="0060546B">
        <w:t>uUA</w:t>
      </w:r>
      <w:proofErr w:type="spellEnd"/>
      <w:r w:rsidR="0060546B">
        <w:t xml:space="preserve"> concentration</w:t>
      </w:r>
      <w:r w:rsidR="004134F1">
        <w:t>s</w:t>
      </w:r>
      <w:r w:rsidR="0060546B">
        <w:t xml:space="preserve">. </w:t>
      </w:r>
      <w:r w:rsidR="00056ACF">
        <w:t xml:space="preserve">The soluble limit for uric acid is highly sensitive to urine pH, being much greater in alkaline than in acidic urine. For a given </w:t>
      </w:r>
      <w:proofErr w:type="spellStart"/>
      <w:r w:rsidR="00056ACF">
        <w:t>uUA</w:t>
      </w:r>
      <w:proofErr w:type="spellEnd"/>
      <w:r w:rsidR="00056ACF">
        <w:t xml:space="preserve"> concentration the pH at which saturation would occur was</w:t>
      </w:r>
      <w:r w:rsidR="00EB0508">
        <w:t xml:space="preserve"> estimated by fitting a li</w:t>
      </w:r>
      <w:r w:rsidR="008267EA">
        <w:t>near model to literature data</w:t>
      </w:r>
      <w:r w:rsidR="00C9115E">
        <w:fldChar w:fldCharType="begin" w:fldLock="1"/>
      </w:r>
      <w:r w:rsidR="00EC525B">
        <w:instrText>ADDIN CSL_CITATION { "citationItems" : [ { "id" : "ITEM-1", "itemData" : { "DOI" : "10.1053/j.ackd.2012.07.014", "ISSN" : "15485595", "abstract" : "Recent work has highlighted the strong relationships among obesity, diabetes, and the metabolic syndrome as causes of low urinary pH. Low urinary pH in turn is the major urinary risk factor for uric acid stones. Unlike calcium stones, uric acid stones can be dissolved and easily prevented with adequate urinary alkalinization. Recognizing the relevant risk factors should lead to increased identification of these radiolucent stones. The cornerstone of therapy is raising urinary pH; xanthine dehydrogenase inhibitors should be used only when urinary alkalinization cannot be achieved.", "author" : [ { "dropping-particle" : "", "family" : "Mehta", "given" : "Tapan H.", "non-dropping-particle" : "", "parse-names" : false, "suffix" : "" }, { "dropping-particle" : "", "family" : "Goldfarb", "given" : "David S.", "non-dropping-particle" : "", "parse-names" : false, "suffix" : "" } ], "container-title" : "Advances in Chronic Kidney Disease", "id" : "ITEM-1", "issue" : "6", "issued" : { "date-parts" : [ [ "2012" ] ] }, "page" : "413-418", "title" : "Uric Acid Stones and Hyperuricosuria", "type" : "article-journal", "volume" : "19" }, "uris" : [ "http://www.mendeley.com/documents/?uuid=b361e2cb-fe6f-3af7-886f-76a8ba28d212" ] } ], "mendeley" : { "formattedCitation" : "&lt;sup&gt;44&lt;/sup&gt;", "plainTextFormattedCitation" : "44", "previouslyFormattedCitation" : "&lt;sup&gt;44&lt;/sup&gt;" }, "properties" : { "noteIndex" : 0 }, "schema" : "https://github.com/citation-style-language/schema/raw/master/csl-citation.json" }</w:instrText>
      </w:r>
      <w:r w:rsidR="00C9115E">
        <w:fldChar w:fldCharType="separate"/>
      </w:r>
      <w:r w:rsidR="00523B14" w:rsidRPr="00523B14">
        <w:rPr>
          <w:noProof/>
          <w:vertAlign w:val="superscript"/>
        </w:rPr>
        <w:t>44</w:t>
      </w:r>
      <w:r w:rsidR="00C9115E">
        <w:fldChar w:fldCharType="end"/>
      </w:r>
      <w:r w:rsidR="00C9115E">
        <w:t xml:space="preserve"> to obtain:</w:t>
      </w:r>
      <w:r w:rsidR="00EB0508">
        <w:t xml:space="preserve"> saturation pH = 6.36 – 40.96</w:t>
      </w:r>
      <w:r w:rsidR="00EB0508" w:rsidRPr="00555430">
        <w:t>/</w:t>
      </w:r>
      <w:r w:rsidR="00C9115E">
        <w:t>[</w:t>
      </w:r>
      <w:proofErr w:type="spellStart"/>
      <w:r w:rsidR="00C9115E">
        <w:t>uUA</w:t>
      </w:r>
      <w:proofErr w:type="spellEnd"/>
      <w:r w:rsidR="00C9115E">
        <w:t>].</w:t>
      </w:r>
    </w:p>
    <w:p w14:paraId="3B811FF4" w14:textId="77777777" w:rsidR="0060546B" w:rsidRDefault="0060546B" w:rsidP="00D70D02">
      <w:pPr>
        <w:pStyle w:val="ListParagraph"/>
        <w:spacing w:after="0" w:line="480" w:lineRule="auto"/>
        <w:ind w:left="0"/>
      </w:pPr>
    </w:p>
    <w:p w14:paraId="04734626" w14:textId="7D4AC6D2" w:rsidR="00F606A1" w:rsidRPr="00BA22B5" w:rsidRDefault="00F606A1" w:rsidP="00D70D02">
      <w:pPr>
        <w:pStyle w:val="ListParagraph"/>
        <w:spacing w:after="0" w:line="480" w:lineRule="auto"/>
        <w:ind w:left="0"/>
        <w:rPr>
          <w:i/>
        </w:rPr>
      </w:pPr>
      <w:r w:rsidRPr="00BA22B5">
        <w:rPr>
          <w:i/>
        </w:rPr>
        <w:t>Modelling</w:t>
      </w:r>
      <w:r w:rsidR="00AF53EF" w:rsidRPr="00BA22B5">
        <w:rPr>
          <w:i/>
        </w:rPr>
        <w:t xml:space="preserve"> a</w:t>
      </w:r>
      <w:r w:rsidRPr="00BA22B5">
        <w:rPr>
          <w:i/>
        </w:rPr>
        <w:t>dherence</w:t>
      </w:r>
    </w:p>
    <w:p w14:paraId="38BA73C1" w14:textId="7C9A3A0C" w:rsidR="0060546B" w:rsidRDefault="00F606A1" w:rsidP="00D70D02">
      <w:pPr>
        <w:spacing w:after="0" w:line="480" w:lineRule="auto"/>
      </w:pPr>
      <w:r>
        <w:t xml:space="preserve">The impact of poor adherence </w:t>
      </w:r>
      <w:r w:rsidR="004430EB">
        <w:t>was</w:t>
      </w:r>
      <w:r>
        <w:t xml:space="preserve"> studied for </w:t>
      </w:r>
      <w:r w:rsidR="008973F1">
        <w:t>four</w:t>
      </w:r>
      <w:r>
        <w:t xml:space="preserve"> different </w:t>
      </w:r>
      <w:r w:rsidR="00917702">
        <w:t>ULT</w:t>
      </w:r>
      <w:r>
        <w:t xml:space="preserve"> options, namely febuxostat 80mg monotherapy</w:t>
      </w:r>
      <w:r w:rsidR="0020793B" w:rsidRPr="0020793B">
        <w:t xml:space="preserve"> </w:t>
      </w:r>
      <w:r w:rsidR="0020793B">
        <w:t>and lesinurad 400mg monotherapy</w:t>
      </w:r>
      <w:r>
        <w:t xml:space="preserve">, </w:t>
      </w:r>
      <w:r w:rsidR="0020793B">
        <w:t xml:space="preserve">and </w:t>
      </w:r>
      <w:r>
        <w:t xml:space="preserve">febuxostat 80mg </w:t>
      </w:r>
      <w:r w:rsidR="0020793B">
        <w:t xml:space="preserve">combined </w:t>
      </w:r>
      <w:r w:rsidR="008973F1">
        <w:t>with</w:t>
      </w:r>
      <w:r>
        <w:t xml:space="preserve"> </w:t>
      </w:r>
      <w:r w:rsidR="0020793B">
        <w:t xml:space="preserve">either </w:t>
      </w:r>
      <w:r>
        <w:t>lesinurad 200mg</w:t>
      </w:r>
      <w:r w:rsidR="008973F1" w:rsidRPr="008973F1">
        <w:t xml:space="preserve"> </w:t>
      </w:r>
      <w:r w:rsidR="0020793B">
        <w:t>or</w:t>
      </w:r>
      <w:r>
        <w:t xml:space="preserve"> 400mg</w:t>
      </w:r>
      <w:r w:rsidR="00917702">
        <w:t>. All are once daily regimens and</w:t>
      </w:r>
      <w:r w:rsidR="00AA2A98">
        <w:t xml:space="preserve"> it was assumed that</w:t>
      </w:r>
      <w:r w:rsidR="00917702">
        <w:t xml:space="preserve"> </w:t>
      </w:r>
      <w:r w:rsidR="00AA2A98">
        <w:t xml:space="preserve">doses are </w:t>
      </w:r>
      <w:r w:rsidR="00917702">
        <w:t xml:space="preserve">taken at the same time each day. </w:t>
      </w:r>
      <w:r w:rsidR="00A172AE">
        <w:t xml:space="preserve">Two types of poor adherence </w:t>
      </w:r>
      <w:r w:rsidR="0020793B">
        <w:t>were</w:t>
      </w:r>
      <w:r w:rsidR="00A172AE">
        <w:t xml:space="preserve"> considered, the first being a single drug holiday of increasing duration, from </w:t>
      </w:r>
      <w:r w:rsidR="0020793B">
        <w:t>1 to</w:t>
      </w:r>
      <w:r w:rsidR="00A172AE">
        <w:t xml:space="preserve"> </w:t>
      </w:r>
      <w:r w:rsidR="004C362B">
        <w:t>2</w:t>
      </w:r>
      <w:r w:rsidR="00A172AE">
        <w:t>0 days</w:t>
      </w:r>
      <w:r w:rsidR="0020793B">
        <w:t xml:space="preserve"> to assess </w:t>
      </w:r>
      <w:r w:rsidR="00A172AE">
        <w:t xml:space="preserve">the impact </w:t>
      </w:r>
      <w:r w:rsidR="001B2D12">
        <w:t>on</w:t>
      </w:r>
      <w:r w:rsidR="0020793B">
        <w:t xml:space="preserve"> </w:t>
      </w:r>
      <w:proofErr w:type="spellStart"/>
      <w:r w:rsidR="002D7F79">
        <w:rPr>
          <w:rStyle w:val="st"/>
        </w:rPr>
        <w:t>uUA</w:t>
      </w:r>
      <w:proofErr w:type="spellEnd"/>
      <w:r w:rsidR="0020793B">
        <w:t xml:space="preserve"> burden </w:t>
      </w:r>
      <w:r w:rsidR="00A172AE">
        <w:t xml:space="preserve">of </w:t>
      </w:r>
      <w:r w:rsidR="00730EEA">
        <w:t xml:space="preserve">restarting </w:t>
      </w:r>
      <w:r w:rsidR="0020793B">
        <w:t xml:space="preserve">treatment following </w:t>
      </w:r>
      <w:r w:rsidR="00A172AE">
        <w:t xml:space="preserve">increasing </w:t>
      </w:r>
      <w:r w:rsidR="003F513F">
        <w:t>length</w:t>
      </w:r>
      <w:r w:rsidR="0020793B">
        <w:t>s</w:t>
      </w:r>
      <w:r w:rsidR="003F513F">
        <w:t xml:space="preserve"> of drug holiday</w:t>
      </w:r>
      <w:r w:rsidR="00A172AE">
        <w:t xml:space="preserve">. The second </w:t>
      </w:r>
      <w:r w:rsidR="00EE22CF">
        <w:t xml:space="preserve">assessed </w:t>
      </w:r>
      <w:r w:rsidR="0020793B">
        <w:t xml:space="preserve">the impact of poor implementation on response rates and peaks in </w:t>
      </w:r>
      <w:proofErr w:type="spellStart"/>
      <w:r w:rsidR="001B2D12">
        <w:t>uUA</w:t>
      </w:r>
      <w:proofErr w:type="spellEnd"/>
      <w:r w:rsidR="0020793B">
        <w:t xml:space="preserve"> by simulating </w:t>
      </w:r>
      <w:r w:rsidR="001B2D12">
        <w:t xml:space="preserve">doses taken </w:t>
      </w:r>
      <w:r w:rsidR="00A172AE">
        <w:t>completely at random</w:t>
      </w:r>
      <w:r w:rsidR="00405534">
        <w:t>,</w:t>
      </w:r>
      <w:r w:rsidR="00A172AE">
        <w:t xml:space="preserve"> with a probability ranging from </w:t>
      </w:r>
      <w:r w:rsidR="00027CD7">
        <w:t>1</w:t>
      </w:r>
      <w:r w:rsidR="00A172AE">
        <w:t xml:space="preserve"> </w:t>
      </w:r>
      <w:r w:rsidR="0020793B">
        <w:t>to 0.</w:t>
      </w:r>
      <w:r w:rsidR="00027CD7">
        <w:t>1</w:t>
      </w:r>
      <w:r w:rsidR="00A172AE">
        <w:t xml:space="preserve">. </w:t>
      </w:r>
      <w:r w:rsidR="004134F1">
        <w:t xml:space="preserve">For all dual-ULTs missed doses included both </w:t>
      </w:r>
      <w:r w:rsidR="004C362B">
        <w:t>drugs</w:t>
      </w:r>
      <w:r w:rsidR="004134F1">
        <w:t xml:space="preserve"> </w:t>
      </w:r>
      <w:r w:rsidR="004134F1">
        <w:lastRenderedPageBreak/>
        <w:t xml:space="preserve">being missed simultaneously. </w:t>
      </w:r>
      <w:r w:rsidR="008A7B4A">
        <w:t xml:space="preserve">A total of </w:t>
      </w:r>
      <w:r w:rsidR="004134F1">
        <w:t>3</w:t>
      </w:r>
      <w:r w:rsidR="00EB0508">
        <w:t>0 simulations were conducted for each adherence scenario, which used random</w:t>
      </w:r>
      <w:r w:rsidR="008A7B4A">
        <w:t xml:space="preserve"> samples of the model parameter between subject variability</w:t>
      </w:r>
      <w:r w:rsidR="00EB0508">
        <w:t>, and the results were averaged over the range of simulation results.</w:t>
      </w:r>
      <w:r w:rsidR="00362AA6">
        <w:t xml:space="preserve"> </w:t>
      </w:r>
    </w:p>
    <w:p w14:paraId="2BA75E5A" w14:textId="4EDB5C04" w:rsidR="00D828B5" w:rsidRDefault="00D828B5">
      <w:r>
        <w:br w:type="page"/>
      </w:r>
    </w:p>
    <w:p w14:paraId="7360DB53" w14:textId="2FBAD378" w:rsidR="00A11972" w:rsidRDefault="0026466C" w:rsidP="00D70D02">
      <w:pPr>
        <w:spacing w:after="0" w:line="480" w:lineRule="auto"/>
        <w:rPr>
          <w:b/>
        </w:rPr>
      </w:pPr>
      <w:r w:rsidRPr="005F7BBC">
        <w:rPr>
          <w:b/>
        </w:rPr>
        <w:lastRenderedPageBreak/>
        <w:t>Study Highlights</w:t>
      </w:r>
    </w:p>
    <w:p w14:paraId="39C59AEF" w14:textId="139181EE" w:rsidR="002E32FF" w:rsidRDefault="002460DF" w:rsidP="00D70D02">
      <w:pPr>
        <w:spacing w:after="0" w:line="480" w:lineRule="auto"/>
      </w:pPr>
      <w:r>
        <w:t>WHAT IS THE CURRENT KNOWLEDGE ON THIS TOPIC</w:t>
      </w:r>
      <w:r w:rsidR="002E32FF" w:rsidRPr="00D70D02">
        <w:t>?</w:t>
      </w:r>
    </w:p>
    <w:p w14:paraId="622B8A72" w14:textId="3637A004" w:rsidR="00D70D02" w:rsidRPr="00A4155B" w:rsidRDefault="00D70D02" w:rsidP="00D70D02">
      <w:pPr>
        <w:spacing w:after="0" w:line="480" w:lineRule="auto"/>
        <w:jc w:val="both"/>
        <w:rPr>
          <w:b/>
        </w:rPr>
      </w:pPr>
      <w:r w:rsidRPr="00A4155B">
        <w:t>Ur</w:t>
      </w:r>
      <w:r>
        <w:t>icosurics, used for the treatment of gout, increase the risk of hyperuricosuria and therefore also acute kidney injury. Medication adherence to urate lowering therapies for treating gout is amongst the worst of any chronic disease.</w:t>
      </w:r>
    </w:p>
    <w:p w14:paraId="6CD59AB6" w14:textId="50993D78" w:rsidR="002E32FF" w:rsidRDefault="002460DF" w:rsidP="00D70D02">
      <w:pPr>
        <w:spacing w:after="0" w:line="480" w:lineRule="auto"/>
      </w:pPr>
      <w:r>
        <w:t>WHAT QUESTION DID THIS STUDY ADDRESS</w:t>
      </w:r>
      <w:r w:rsidR="002E32FF" w:rsidRPr="00D70D02">
        <w:t>?</w:t>
      </w:r>
    </w:p>
    <w:p w14:paraId="463250DA" w14:textId="093295D1" w:rsidR="00A92564" w:rsidRPr="00D70D02" w:rsidRDefault="00A92564" w:rsidP="00D70D02">
      <w:pPr>
        <w:spacing w:after="0" w:line="480" w:lineRule="auto"/>
      </w:pPr>
      <w:r>
        <w:t xml:space="preserve">This is a study of </w:t>
      </w:r>
      <w:r w:rsidR="00D01D7C">
        <w:t xml:space="preserve">how </w:t>
      </w:r>
      <w:r>
        <w:t xml:space="preserve">poor medication adherence to dual- and mono-urate lowering therapies </w:t>
      </w:r>
      <w:r w:rsidR="00D01D7C">
        <w:t xml:space="preserve">could </w:t>
      </w:r>
      <w:r>
        <w:t>affect the renal excretion of uric acid and therefore the safety of these treatments.</w:t>
      </w:r>
    </w:p>
    <w:p w14:paraId="7FE54F31" w14:textId="203722F6" w:rsidR="002E32FF" w:rsidRDefault="004021D9" w:rsidP="00D70D02">
      <w:pPr>
        <w:spacing w:after="0" w:line="480" w:lineRule="auto"/>
      </w:pPr>
      <w:r>
        <w:t>WHAT THIS STUDY ADDS TO OUR KNOWLEDGE?</w:t>
      </w:r>
    </w:p>
    <w:p w14:paraId="1F74613B" w14:textId="398C8B79" w:rsidR="00C540E7" w:rsidRDefault="00C540E7" w:rsidP="00C540E7">
      <w:pPr>
        <w:spacing w:after="0" w:line="480" w:lineRule="auto"/>
      </w:pPr>
      <w:r>
        <w:t xml:space="preserve">Poor adherence, where patients return to treatment after a drug holiday, increases the rate of episodic hyperuricosuria when </w:t>
      </w:r>
      <w:r w:rsidR="00B11852">
        <w:t>treatment includes a uricosuric.</w:t>
      </w:r>
    </w:p>
    <w:p w14:paraId="4959CA90" w14:textId="56D222FC" w:rsidR="002E32FF" w:rsidRDefault="004021D9" w:rsidP="00D70D02">
      <w:pPr>
        <w:spacing w:after="0" w:line="480" w:lineRule="auto"/>
      </w:pPr>
      <w:r>
        <w:t>HOW THIS MIGHT CHANGE CLINICAL PHARMACOLOGY AND THERAPEUTICS?</w:t>
      </w:r>
    </w:p>
    <w:p w14:paraId="159B1E95" w14:textId="2FD13C19" w:rsidR="00D70D02" w:rsidRPr="00D70D02" w:rsidRDefault="002460DF" w:rsidP="00D70D02">
      <w:pPr>
        <w:spacing w:after="0" w:line="480" w:lineRule="auto"/>
      </w:pPr>
      <w:r>
        <w:t xml:space="preserve">As poor medication adherence may compromise safety and efficacy of mono- and dual-urate lowering therapies, intervention to improve adherence or tailoring treatments to poorly adherence patients could be beneficial. </w:t>
      </w:r>
      <w:r w:rsidR="00405D4D">
        <w:t>Treatment with uricosurics may not be appropriate for certain patient groups, such as those with gout resulting from an overproduction of uric acid.</w:t>
      </w:r>
    </w:p>
    <w:p w14:paraId="2A92260B" w14:textId="77777777" w:rsidR="002F543B" w:rsidRPr="003447A3" w:rsidRDefault="002F543B" w:rsidP="00D70D02">
      <w:pPr>
        <w:spacing w:after="0" w:line="480" w:lineRule="auto"/>
        <w:rPr>
          <w:rFonts w:ascii="Calibri" w:hAnsi="Calibri"/>
        </w:rPr>
      </w:pPr>
    </w:p>
    <w:p w14:paraId="43CA2F57" w14:textId="0E31EC54" w:rsidR="002F543B" w:rsidRDefault="0026466C" w:rsidP="00D70D02">
      <w:pPr>
        <w:spacing w:after="0" w:line="480" w:lineRule="auto"/>
        <w:rPr>
          <w:rFonts w:ascii="Calibri" w:hAnsi="Calibri"/>
        </w:rPr>
      </w:pPr>
      <w:r w:rsidRPr="003447A3">
        <w:rPr>
          <w:rFonts w:ascii="Calibri" w:hAnsi="Calibri"/>
          <w:b/>
        </w:rPr>
        <w:t>Acknowledgements</w:t>
      </w:r>
      <w:r w:rsidR="003447A3">
        <w:rPr>
          <w:rFonts w:ascii="Calibri" w:hAnsi="Calibri"/>
          <w:b/>
        </w:rPr>
        <w:t xml:space="preserve">: </w:t>
      </w:r>
      <w:r w:rsidR="005F7BBC">
        <w:rPr>
          <w:rFonts w:ascii="Calibri" w:hAnsi="Calibri"/>
        </w:rPr>
        <w:t xml:space="preserve">Funding: </w:t>
      </w:r>
      <w:r w:rsidR="005F7BBC" w:rsidRPr="003447A3">
        <w:t>MRC</w:t>
      </w:r>
      <w:r w:rsidR="005F7BBC">
        <w:rPr>
          <w:rFonts w:ascii="Calibri" w:hAnsi="Calibri"/>
        </w:rPr>
        <w:t xml:space="preserve"> North-West Hub in Trial Methodological Research, Reference number MR/K025635/1</w:t>
      </w:r>
      <w:r w:rsidR="003447A3">
        <w:rPr>
          <w:rFonts w:ascii="Calibri" w:hAnsi="Calibri"/>
        </w:rPr>
        <w:t>.</w:t>
      </w:r>
      <w:r w:rsidR="00E157AC">
        <w:rPr>
          <w:rFonts w:ascii="Calibri" w:hAnsi="Calibri"/>
        </w:rPr>
        <w:t xml:space="preserve"> This research made use of the supercomputing facilities </w:t>
      </w:r>
      <w:r w:rsidR="00F728E3">
        <w:rPr>
          <w:rFonts w:ascii="Calibri" w:hAnsi="Calibri"/>
        </w:rPr>
        <w:t>available via HPC Wales (</w:t>
      </w:r>
      <w:r w:rsidR="00F728E3" w:rsidRPr="00F728E3">
        <w:rPr>
          <w:rFonts w:ascii="Calibri" w:hAnsi="Calibri"/>
        </w:rPr>
        <w:t>www.hpcwales.co.uk</w:t>
      </w:r>
      <w:r w:rsidR="00F728E3">
        <w:rPr>
          <w:rFonts w:ascii="Calibri" w:hAnsi="Calibri"/>
        </w:rPr>
        <w:t>)</w:t>
      </w:r>
      <w:r w:rsidR="00F50AE4">
        <w:rPr>
          <w:rFonts w:ascii="Calibri" w:hAnsi="Calibri"/>
        </w:rPr>
        <w:t>.</w:t>
      </w:r>
    </w:p>
    <w:p w14:paraId="443AD936" w14:textId="77777777" w:rsidR="007820DE" w:rsidRDefault="007820DE" w:rsidP="00D70D02">
      <w:pPr>
        <w:spacing w:after="0" w:line="480" w:lineRule="auto"/>
      </w:pPr>
    </w:p>
    <w:p w14:paraId="3E86F10D" w14:textId="65271B06" w:rsidR="002F543B" w:rsidRPr="002A1FC0" w:rsidRDefault="0026466C" w:rsidP="00D70D02">
      <w:pPr>
        <w:spacing w:after="0" w:line="480" w:lineRule="auto"/>
        <w:rPr>
          <w:rFonts w:ascii="Calibri" w:hAnsi="Calibri"/>
        </w:rPr>
      </w:pPr>
      <w:r w:rsidRPr="00F9751D">
        <w:rPr>
          <w:rFonts w:ascii="Calibri" w:hAnsi="Calibri"/>
          <w:b/>
        </w:rPr>
        <w:t>Conflict of Interest/Disclosure</w:t>
      </w:r>
      <w:r w:rsidR="00F9751D">
        <w:rPr>
          <w:rFonts w:ascii="Calibri" w:hAnsi="Calibri"/>
          <w:b/>
        </w:rPr>
        <w:t xml:space="preserve">: </w:t>
      </w:r>
      <w:r w:rsidR="002A1FC0" w:rsidRPr="002A1FC0">
        <w:rPr>
          <w:rFonts w:ascii="Calibri" w:hAnsi="Calibri"/>
        </w:rPr>
        <w:t>S</w:t>
      </w:r>
      <w:r w:rsidR="002A1FC0">
        <w:rPr>
          <w:rFonts w:ascii="Calibri" w:hAnsi="Calibri"/>
        </w:rPr>
        <w:t>.</w:t>
      </w:r>
      <w:r w:rsidR="002A1FC0" w:rsidRPr="002A1FC0">
        <w:rPr>
          <w:rFonts w:ascii="Calibri" w:hAnsi="Calibri"/>
        </w:rPr>
        <w:t>M</w:t>
      </w:r>
      <w:r w:rsidR="002A1FC0">
        <w:rPr>
          <w:rFonts w:ascii="Calibri" w:hAnsi="Calibri"/>
        </w:rPr>
        <w:t>.</w:t>
      </w:r>
      <w:r w:rsidR="002A1FC0" w:rsidRPr="002A1FC0">
        <w:rPr>
          <w:rFonts w:ascii="Calibri" w:hAnsi="Calibri"/>
        </w:rPr>
        <w:t xml:space="preserve"> and E</w:t>
      </w:r>
      <w:r w:rsidR="002A1FC0">
        <w:rPr>
          <w:rFonts w:ascii="Calibri" w:hAnsi="Calibri"/>
        </w:rPr>
        <w:t>.</w:t>
      </w:r>
      <w:r w:rsidR="002A1FC0" w:rsidRPr="002A1FC0">
        <w:rPr>
          <w:rFonts w:ascii="Calibri" w:hAnsi="Calibri"/>
        </w:rPr>
        <w:t>S</w:t>
      </w:r>
      <w:r w:rsidR="002A1FC0">
        <w:rPr>
          <w:rFonts w:ascii="Calibri" w:hAnsi="Calibri"/>
        </w:rPr>
        <w:t>.</w:t>
      </w:r>
      <w:r w:rsidR="002A1FC0" w:rsidRPr="002A1FC0">
        <w:rPr>
          <w:rFonts w:ascii="Calibri" w:hAnsi="Calibri"/>
        </w:rPr>
        <w:t xml:space="preserve"> are</w:t>
      </w:r>
      <w:r w:rsidR="002A1FC0">
        <w:rPr>
          <w:rFonts w:ascii="Calibri" w:hAnsi="Calibri"/>
        </w:rPr>
        <w:t>,</w:t>
      </w:r>
      <w:r w:rsidR="002A1FC0" w:rsidRPr="002A1FC0">
        <w:rPr>
          <w:rFonts w:ascii="Calibri" w:hAnsi="Calibri"/>
        </w:rPr>
        <w:t xml:space="preserve"> or were</w:t>
      </w:r>
      <w:r w:rsidR="002A1FC0">
        <w:rPr>
          <w:rFonts w:ascii="Calibri" w:hAnsi="Calibri"/>
        </w:rPr>
        <w:t>,</w:t>
      </w:r>
      <w:r w:rsidR="002A1FC0" w:rsidRPr="002A1FC0">
        <w:rPr>
          <w:rFonts w:ascii="Calibri" w:hAnsi="Calibri"/>
        </w:rPr>
        <w:t xml:space="preserve"> employees of Pfizer.</w:t>
      </w:r>
      <w:r w:rsidR="005F7BBC" w:rsidRPr="002A1FC0">
        <w:rPr>
          <w:rFonts w:ascii="Calibri" w:hAnsi="Calibri"/>
        </w:rPr>
        <w:t xml:space="preserve"> </w:t>
      </w:r>
    </w:p>
    <w:p w14:paraId="3D9304C5" w14:textId="77777777" w:rsidR="005F7BBC" w:rsidRPr="003447A3" w:rsidRDefault="005F7BBC" w:rsidP="00D70D02">
      <w:pPr>
        <w:spacing w:after="0" w:line="480" w:lineRule="auto"/>
        <w:rPr>
          <w:rFonts w:ascii="Calibri" w:hAnsi="Calibri"/>
        </w:rPr>
      </w:pPr>
    </w:p>
    <w:p w14:paraId="5E203A96" w14:textId="76BCDECC" w:rsidR="000D7610" w:rsidRDefault="005F7BBC" w:rsidP="00D70D02">
      <w:pPr>
        <w:spacing w:after="0" w:line="480" w:lineRule="auto"/>
        <w:rPr>
          <w:rFonts w:ascii="Calibri" w:hAnsi="Calibri"/>
        </w:rPr>
      </w:pPr>
      <w:r w:rsidRPr="003447A3">
        <w:rPr>
          <w:rFonts w:ascii="Calibri" w:hAnsi="Calibri"/>
          <w:b/>
        </w:rPr>
        <w:t>Author Contributions</w:t>
      </w:r>
      <w:r w:rsidR="003447A3" w:rsidRPr="003447A3">
        <w:rPr>
          <w:rFonts w:ascii="Calibri" w:hAnsi="Calibri"/>
          <w:b/>
        </w:rPr>
        <w:t>:</w:t>
      </w:r>
      <w:r w:rsidR="003447A3">
        <w:rPr>
          <w:rFonts w:ascii="Calibri" w:hAnsi="Calibri"/>
          <w:b/>
        </w:rPr>
        <w:t xml:space="preserve"> </w:t>
      </w:r>
      <w:r w:rsidR="00A1358A" w:rsidRPr="000300E5">
        <w:rPr>
          <w:rFonts w:ascii="Calibri" w:hAnsi="Calibri"/>
        </w:rPr>
        <w:t>D.H.M.</w:t>
      </w:r>
      <w:r w:rsidR="00A1358A">
        <w:rPr>
          <w:rFonts w:ascii="Calibri" w:hAnsi="Calibri"/>
        </w:rPr>
        <w:t xml:space="preserve">, E.S. and S.M. developed the </w:t>
      </w:r>
      <w:r w:rsidR="000D7610">
        <w:rPr>
          <w:rFonts w:ascii="Calibri" w:hAnsi="Calibri"/>
        </w:rPr>
        <w:t xml:space="preserve">simulation models. </w:t>
      </w:r>
      <w:r w:rsidR="000D7610" w:rsidRPr="000300E5">
        <w:rPr>
          <w:rFonts w:ascii="Calibri" w:hAnsi="Calibri"/>
        </w:rPr>
        <w:t>D.H.M.</w:t>
      </w:r>
      <w:r w:rsidR="000D7610">
        <w:rPr>
          <w:rFonts w:ascii="Calibri" w:hAnsi="Calibri"/>
        </w:rPr>
        <w:t xml:space="preserve"> performed the simulation modelling and wrote the manuscript. </w:t>
      </w:r>
      <w:r w:rsidR="000D7610" w:rsidRPr="000D7610">
        <w:rPr>
          <w:rFonts w:ascii="Calibri" w:hAnsi="Calibri"/>
        </w:rPr>
        <w:t>D.H.</w:t>
      </w:r>
      <w:r w:rsidR="00F87350">
        <w:rPr>
          <w:rFonts w:ascii="Calibri" w:hAnsi="Calibri"/>
        </w:rPr>
        <w:t>,</w:t>
      </w:r>
      <w:r w:rsidR="000D7610" w:rsidRPr="000D7610">
        <w:rPr>
          <w:rFonts w:ascii="Calibri" w:hAnsi="Calibri"/>
        </w:rPr>
        <w:t xml:space="preserve"> S.M. and S.L. </w:t>
      </w:r>
      <w:r w:rsidR="00D517E1">
        <w:rPr>
          <w:rFonts w:ascii="Calibri" w:hAnsi="Calibri"/>
        </w:rPr>
        <w:t xml:space="preserve">provided </w:t>
      </w:r>
      <w:r w:rsidR="000D7610" w:rsidRPr="000D7610">
        <w:rPr>
          <w:rFonts w:ascii="Calibri" w:hAnsi="Calibri"/>
        </w:rPr>
        <w:t>technical support and edited the manuscript.</w:t>
      </w:r>
      <w:r w:rsidR="000D7610">
        <w:rPr>
          <w:rFonts w:ascii="Calibri" w:hAnsi="Calibri"/>
        </w:rPr>
        <w:t xml:space="preserve"> </w:t>
      </w:r>
    </w:p>
    <w:p w14:paraId="43EACE8C" w14:textId="2844911E" w:rsidR="00561277" w:rsidRPr="005A1DB7" w:rsidRDefault="00C47D29" w:rsidP="00D70D02">
      <w:pPr>
        <w:spacing w:after="0" w:line="480" w:lineRule="auto"/>
        <w:rPr>
          <w:b/>
        </w:rPr>
      </w:pPr>
      <w:r>
        <w:br w:type="page"/>
      </w:r>
      <w:bookmarkStart w:id="0" w:name="_GoBack"/>
      <w:bookmarkEnd w:id="0"/>
      <w:r w:rsidR="00561277" w:rsidRPr="005A1DB7">
        <w:rPr>
          <w:b/>
        </w:rPr>
        <w:lastRenderedPageBreak/>
        <w:t>References</w:t>
      </w:r>
    </w:p>
    <w:p w14:paraId="3BE4BD7A" w14:textId="7D52B1CB" w:rsidR="007F1800" w:rsidRPr="007F1800" w:rsidRDefault="00561277" w:rsidP="007F1800">
      <w:pPr>
        <w:widowControl w:val="0"/>
        <w:autoSpaceDE w:val="0"/>
        <w:autoSpaceDN w:val="0"/>
        <w:adjustRightInd w:val="0"/>
        <w:spacing w:after="0" w:line="48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7F1800" w:rsidRPr="007F1800">
        <w:rPr>
          <w:rFonts w:ascii="Calibri" w:hAnsi="Calibri" w:cs="Times New Roman"/>
          <w:noProof/>
          <w:szCs w:val="24"/>
        </w:rPr>
        <w:t>1.</w:t>
      </w:r>
      <w:r w:rsidR="007F1800" w:rsidRPr="007F1800">
        <w:rPr>
          <w:rFonts w:ascii="Calibri" w:hAnsi="Calibri" w:cs="Times New Roman"/>
          <w:noProof/>
          <w:szCs w:val="24"/>
        </w:rPr>
        <w:tab/>
        <w:t xml:space="preserve">Dalbeth, N., Merriman, T. R. &amp; Stamp, L. K. Gout. </w:t>
      </w:r>
      <w:r w:rsidR="007F1800" w:rsidRPr="007F1800">
        <w:rPr>
          <w:rFonts w:ascii="Calibri" w:hAnsi="Calibri" w:cs="Times New Roman"/>
          <w:i/>
          <w:iCs/>
          <w:noProof/>
          <w:szCs w:val="24"/>
        </w:rPr>
        <w:t>Lancet</w:t>
      </w:r>
      <w:r w:rsidR="007F1800" w:rsidRPr="007F1800">
        <w:rPr>
          <w:rFonts w:ascii="Calibri" w:hAnsi="Calibri" w:cs="Times New Roman"/>
          <w:noProof/>
          <w:szCs w:val="24"/>
        </w:rPr>
        <w:t xml:space="preserve"> </w:t>
      </w:r>
      <w:r w:rsidR="007F1800" w:rsidRPr="007F1800">
        <w:rPr>
          <w:rFonts w:ascii="Calibri" w:hAnsi="Calibri" w:cs="Times New Roman"/>
          <w:b/>
          <w:bCs/>
          <w:noProof/>
          <w:szCs w:val="24"/>
        </w:rPr>
        <w:t>6736</w:t>
      </w:r>
      <w:r w:rsidR="007F1800" w:rsidRPr="007F1800">
        <w:rPr>
          <w:rFonts w:ascii="Calibri" w:hAnsi="Calibri" w:cs="Times New Roman"/>
          <w:noProof/>
          <w:szCs w:val="24"/>
        </w:rPr>
        <w:t>, 1–14 (2016).</w:t>
      </w:r>
    </w:p>
    <w:p w14:paraId="5145D56C"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w:t>
      </w:r>
      <w:r w:rsidRPr="007F1800">
        <w:rPr>
          <w:rFonts w:ascii="Calibri" w:hAnsi="Calibri" w:cs="Times New Roman"/>
          <w:noProof/>
          <w:szCs w:val="24"/>
        </w:rPr>
        <w:tab/>
        <w:t xml:space="preserve">Richette, P. </w:t>
      </w:r>
      <w:r w:rsidRPr="007F1800">
        <w:rPr>
          <w:rFonts w:ascii="Calibri" w:hAnsi="Calibri" w:cs="Times New Roman"/>
          <w:i/>
          <w:iCs/>
          <w:noProof/>
          <w:szCs w:val="24"/>
        </w:rPr>
        <w:t>et al.</w:t>
      </w:r>
      <w:r w:rsidRPr="007F1800">
        <w:rPr>
          <w:rFonts w:ascii="Calibri" w:hAnsi="Calibri" w:cs="Times New Roman"/>
          <w:noProof/>
          <w:szCs w:val="24"/>
        </w:rPr>
        <w:t xml:space="preserve"> 2016 updated EULAR evidence-based recommendations for the management of gout. </w:t>
      </w:r>
      <w:r w:rsidRPr="007F1800">
        <w:rPr>
          <w:rFonts w:ascii="Calibri" w:hAnsi="Calibri" w:cs="Times New Roman"/>
          <w:i/>
          <w:iCs/>
          <w:noProof/>
          <w:szCs w:val="24"/>
        </w:rPr>
        <w:t>Ann Rheum Dis</w:t>
      </w:r>
      <w:r w:rsidRPr="007F1800">
        <w:rPr>
          <w:rFonts w:ascii="Calibri" w:hAnsi="Calibri" w:cs="Times New Roman"/>
          <w:noProof/>
          <w:szCs w:val="24"/>
        </w:rPr>
        <w:t xml:space="preserve"> </w:t>
      </w:r>
      <w:r w:rsidRPr="007F1800">
        <w:rPr>
          <w:rFonts w:ascii="Calibri" w:hAnsi="Calibri" w:cs="Times New Roman"/>
          <w:b/>
          <w:bCs/>
          <w:noProof/>
          <w:szCs w:val="24"/>
        </w:rPr>
        <w:t>76</w:t>
      </w:r>
      <w:r w:rsidRPr="007F1800">
        <w:rPr>
          <w:rFonts w:ascii="Calibri" w:hAnsi="Calibri" w:cs="Times New Roman"/>
          <w:noProof/>
          <w:szCs w:val="24"/>
        </w:rPr>
        <w:t>, 29–42 (2017).</w:t>
      </w:r>
    </w:p>
    <w:p w14:paraId="7F1983D8"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w:t>
      </w:r>
      <w:r w:rsidRPr="007F1800">
        <w:rPr>
          <w:rFonts w:ascii="Calibri" w:hAnsi="Calibri" w:cs="Times New Roman"/>
          <w:noProof/>
          <w:szCs w:val="24"/>
        </w:rPr>
        <w:tab/>
        <w:t xml:space="preserve">Miner, J. </w:t>
      </w:r>
      <w:r w:rsidRPr="007F1800">
        <w:rPr>
          <w:rFonts w:ascii="Calibri" w:hAnsi="Calibri" w:cs="Times New Roman"/>
          <w:i/>
          <w:iCs/>
          <w:noProof/>
          <w:szCs w:val="24"/>
        </w:rPr>
        <w:t>et al.</w:t>
      </w:r>
      <w:r w:rsidRPr="007F1800">
        <w:rPr>
          <w:rFonts w:ascii="Calibri" w:hAnsi="Calibri" w:cs="Times New Roman"/>
          <w:noProof/>
          <w:szCs w:val="24"/>
        </w:rPr>
        <w:t xml:space="preserve"> Lesinurad, a novel, oral compound for gout, acts to decrease serum uric acid through inhibition of urate transporters in the kidney. </w:t>
      </w:r>
      <w:r w:rsidRPr="007F1800">
        <w:rPr>
          <w:rFonts w:ascii="Calibri" w:hAnsi="Calibri" w:cs="Times New Roman"/>
          <w:i/>
          <w:iCs/>
          <w:noProof/>
          <w:szCs w:val="24"/>
        </w:rPr>
        <w:t>Arthritis Res Ther</w:t>
      </w:r>
      <w:r w:rsidRPr="007F1800">
        <w:rPr>
          <w:rFonts w:ascii="Calibri" w:hAnsi="Calibri" w:cs="Times New Roman"/>
          <w:noProof/>
          <w:szCs w:val="24"/>
        </w:rPr>
        <w:t xml:space="preserve"> </w:t>
      </w:r>
      <w:r w:rsidRPr="007F1800">
        <w:rPr>
          <w:rFonts w:ascii="Calibri" w:hAnsi="Calibri" w:cs="Times New Roman"/>
          <w:b/>
          <w:bCs/>
          <w:noProof/>
          <w:szCs w:val="24"/>
        </w:rPr>
        <w:t>18</w:t>
      </w:r>
      <w:r w:rsidRPr="007F1800">
        <w:rPr>
          <w:rFonts w:ascii="Calibri" w:hAnsi="Calibri" w:cs="Times New Roman"/>
          <w:noProof/>
          <w:szCs w:val="24"/>
        </w:rPr>
        <w:t>, 214 (2016).</w:t>
      </w:r>
    </w:p>
    <w:p w14:paraId="10E40017"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4.</w:t>
      </w:r>
      <w:r w:rsidRPr="007F1800">
        <w:rPr>
          <w:rFonts w:ascii="Calibri" w:hAnsi="Calibri" w:cs="Times New Roman"/>
          <w:noProof/>
          <w:szCs w:val="24"/>
        </w:rPr>
        <w:tab/>
        <w:t xml:space="preserve">Pak, C. Y. C., Poindexter, J. R., Peterson, R. D., Koska, J. &amp; Sakhaee, K. Biochemical distinction between hyperuricosuric calcium urolithiasis and gouty diathesis. </w:t>
      </w:r>
      <w:r w:rsidRPr="007F1800">
        <w:rPr>
          <w:rFonts w:ascii="Calibri" w:hAnsi="Calibri" w:cs="Times New Roman"/>
          <w:i/>
          <w:iCs/>
          <w:noProof/>
          <w:szCs w:val="24"/>
        </w:rPr>
        <w:t>Urology</w:t>
      </w:r>
      <w:r w:rsidRPr="007F1800">
        <w:rPr>
          <w:rFonts w:ascii="Calibri" w:hAnsi="Calibri" w:cs="Times New Roman"/>
          <w:noProof/>
          <w:szCs w:val="24"/>
        </w:rPr>
        <w:t xml:space="preserve"> </w:t>
      </w:r>
      <w:r w:rsidRPr="007F1800">
        <w:rPr>
          <w:rFonts w:ascii="Calibri" w:hAnsi="Calibri" w:cs="Times New Roman"/>
          <w:b/>
          <w:bCs/>
          <w:noProof/>
          <w:szCs w:val="24"/>
        </w:rPr>
        <w:t>60</w:t>
      </w:r>
      <w:r w:rsidRPr="007F1800">
        <w:rPr>
          <w:rFonts w:ascii="Calibri" w:hAnsi="Calibri" w:cs="Times New Roman"/>
          <w:noProof/>
          <w:szCs w:val="24"/>
        </w:rPr>
        <w:t>, 789–794 (2002).</w:t>
      </w:r>
    </w:p>
    <w:p w14:paraId="15E42755"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5.</w:t>
      </w:r>
      <w:r w:rsidRPr="007F1800">
        <w:rPr>
          <w:rFonts w:ascii="Calibri" w:hAnsi="Calibri" w:cs="Times New Roman"/>
          <w:noProof/>
          <w:szCs w:val="24"/>
        </w:rPr>
        <w:tab/>
        <w:t xml:space="preserve">Bluestone, R., Klinenberg, J. &amp; Lee, I. K. Benzbromarone as a Long-Term Uricosuric Agent. </w:t>
      </w:r>
      <w:r w:rsidRPr="007F1800">
        <w:rPr>
          <w:rFonts w:ascii="Calibri" w:hAnsi="Calibri" w:cs="Times New Roman"/>
          <w:i/>
          <w:iCs/>
          <w:noProof/>
          <w:szCs w:val="24"/>
        </w:rPr>
        <w:t>Adv. Exp. Med. Biol.</w:t>
      </w:r>
      <w:r w:rsidRPr="007F1800">
        <w:rPr>
          <w:rFonts w:ascii="Calibri" w:hAnsi="Calibri" w:cs="Times New Roman"/>
          <w:noProof/>
          <w:szCs w:val="24"/>
        </w:rPr>
        <w:t xml:space="preserve"> </w:t>
      </w:r>
      <w:r w:rsidRPr="007F1800">
        <w:rPr>
          <w:rFonts w:ascii="Calibri" w:hAnsi="Calibri" w:cs="Times New Roman"/>
          <w:b/>
          <w:bCs/>
          <w:noProof/>
          <w:szCs w:val="24"/>
        </w:rPr>
        <w:t>122</w:t>
      </w:r>
      <w:r w:rsidRPr="007F1800">
        <w:rPr>
          <w:rFonts w:ascii="Calibri" w:hAnsi="Calibri" w:cs="Times New Roman"/>
          <w:noProof/>
          <w:szCs w:val="24"/>
        </w:rPr>
        <w:t>, 283–286 (1980).</w:t>
      </w:r>
    </w:p>
    <w:p w14:paraId="6CC5AB76"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6.</w:t>
      </w:r>
      <w:r w:rsidRPr="007F1800">
        <w:rPr>
          <w:rFonts w:ascii="Calibri" w:hAnsi="Calibri" w:cs="Times New Roman"/>
          <w:noProof/>
          <w:szCs w:val="24"/>
        </w:rPr>
        <w:tab/>
        <w:t xml:space="preserve">Maalouf, N. M., Cameron, M. A., Moe, O. W. &amp; Sakhaee, K. Novel insights into the pathogenesis of uric acid nephrolithiasis. </w:t>
      </w:r>
      <w:r w:rsidRPr="007F1800">
        <w:rPr>
          <w:rFonts w:ascii="Calibri" w:hAnsi="Calibri" w:cs="Times New Roman"/>
          <w:i/>
          <w:iCs/>
          <w:noProof/>
          <w:szCs w:val="24"/>
        </w:rPr>
        <w:t>Curr. Opin. Nephrol. Hypertens.</w:t>
      </w:r>
      <w:r w:rsidRPr="007F1800">
        <w:rPr>
          <w:rFonts w:ascii="Calibri" w:hAnsi="Calibri" w:cs="Times New Roman"/>
          <w:noProof/>
          <w:szCs w:val="24"/>
        </w:rPr>
        <w:t xml:space="preserve"> </w:t>
      </w:r>
      <w:r w:rsidRPr="007F1800">
        <w:rPr>
          <w:rFonts w:ascii="Calibri" w:hAnsi="Calibri" w:cs="Times New Roman"/>
          <w:b/>
          <w:bCs/>
          <w:noProof/>
          <w:szCs w:val="24"/>
        </w:rPr>
        <w:t>13</w:t>
      </w:r>
      <w:r w:rsidRPr="007F1800">
        <w:rPr>
          <w:rFonts w:ascii="Calibri" w:hAnsi="Calibri" w:cs="Times New Roman"/>
          <w:noProof/>
          <w:szCs w:val="24"/>
        </w:rPr>
        <w:t>, 181–189 (2004).</w:t>
      </w:r>
    </w:p>
    <w:p w14:paraId="764FC7EC"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7.</w:t>
      </w:r>
      <w:r w:rsidRPr="007F1800">
        <w:rPr>
          <w:rFonts w:ascii="Calibri" w:hAnsi="Calibri" w:cs="Times New Roman"/>
          <w:noProof/>
          <w:szCs w:val="24"/>
        </w:rPr>
        <w:tab/>
        <w:t xml:space="preserve">Hahn, K., Kanbay, M., Lanaspa, M. A., Johnson, R. J. &amp; Ejaz, A. A. Serum uric acid and acute kidney injury: A mini review. </w:t>
      </w:r>
      <w:r w:rsidRPr="007F1800">
        <w:rPr>
          <w:rFonts w:ascii="Calibri" w:hAnsi="Calibri" w:cs="Times New Roman"/>
          <w:i/>
          <w:iCs/>
          <w:noProof/>
          <w:szCs w:val="24"/>
        </w:rPr>
        <w:t>J. Adv. Res.</w:t>
      </w:r>
      <w:r w:rsidRPr="007F1800">
        <w:rPr>
          <w:rFonts w:ascii="Calibri" w:hAnsi="Calibri" w:cs="Times New Roman"/>
          <w:noProof/>
          <w:szCs w:val="24"/>
        </w:rPr>
        <w:t xml:space="preserve"> </w:t>
      </w:r>
      <w:r w:rsidRPr="007F1800">
        <w:rPr>
          <w:rFonts w:ascii="Calibri" w:hAnsi="Calibri" w:cs="Times New Roman"/>
          <w:b/>
          <w:bCs/>
          <w:noProof/>
          <w:szCs w:val="24"/>
        </w:rPr>
        <w:t>In Press</w:t>
      </w:r>
      <w:r w:rsidRPr="007F1800">
        <w:rPr>
          <w:rFonts w:ascii="Calibri" w:hAnsi="Calibri" w:cs="Times New Roman"/>
          <w:noProof/>
          <w:szCs w:val="24"/>
        </w:rPr>
        <w:t>, (2017).</w:t>
      </w:r>
    </w:p>
    <w:p w14:paraId="6DB5A4E3"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8.</w:t>
      </w:r>
      <w:r w:rsidRPr="007F1800">
        <w:rPr>
          <w:rFonts w:ascii="Calibri" w:hAnsi="Calibri" w:cs="Times New Roman"/>
          <w:noProof/>
          <w:szCs w:val="24"/>
        </w:rPr>
        <w:tab/>
        <w:t xml:space="preserve">Moe, O. W. Posing the question again: does chronic uric acid nephropathy exist? </w:t>
      </w:r>
      <w:r w:rsidRPr="007F1800">
        <w:rPr>
          <w:rFonts w:ascii="Calibri" w:hAnsi="Calibri" w:cs="Times New Roman"/>
          <w:i/>
          <w:iCs/>
          <w:noProof/>
          <w:szCs w:val="24"/>
        </w:rPr>
        <w:t>J. Am. Soc. Nephrol.</w:t>
      </w:r>
      <w:r w:rsidRPr="007F1800">
        <w:rPr>
          <w:rFonts w:ascii="Calibri" w:hAnsi="Calibri" w:cs="Times New Roman"/>
          <w:noProof/>
          <w:szCs w:val="24"/>
        </w:rPr>
        <w:t xml:space="preserve"> </w:t>
      </w:r>
      <w:r w:rsidRPr="007F1800">
        <w:rPr>
          <w:rFonts w:ascii="Calibri" w:hAnsi="Calibri" w:cs="Times New Roman"/>
          <w:b/>
          <w:bCs/>
          <w:noProof/>
          <w:szCs w:val="24"/>
        </w:rPr>
        <w:t>21</w:t>
      </w:r>
      <w:r w:rsidRPr="007F1800">
        <w:rPr>
          <w:rFonts w:ascii="Calibri" w:hAnsi="Calibri" w:cs="Times New Roman"/>
          <w:noProof/>
          <w:szCs w:val="24"/>
        </w:rPr>
        <w:t>, 395–7 (2010).</w:t>
      </w:r>
    </w:p>
    <w:p w14:paraId="6C8397EA"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9.</w:t>
      </w:r>
      <w:r w:rsidRPr="007F1800">
        <w:rPr>
          <w:rFonts w:ascii="Calibri" w:hAnsi="Calibri" w:cs="Times New Roman"/>
          <w:noProof/>
          <w:szCs w:val="24"/>
        </w:rPr>
        <w:tab/>
        <w:t xml:space="preserve">Bellomo, G. Uric acid and chronic kidney disease: A time to act? </w:t>
      </w:r>
      <w:r w:rsidRPr="007F1800">
        <w:rPr>
          <w:rFonts w:ascii="Calibri" w:hAnsi="Calibri" w:cs="Times New Roman"/>
          <w:i/>
          <w:iCs/>
          <w:noProof/>
          <w:szCs w:val="24"/>
        </w:rPr>
        <w:t>World J. Nephrol.</w:t>
      </w:r>
      <w:r w:rsidRPr="007F1800">
        <w:rPr>
          <w:rFonts w:ascii="Calibri" w:hAnsi="Calibri" w:cs="Times New Roman"/>
          <w:noProof/>
          <w:szCs w:val="24"/>
        </w:rPr>
        <w:t xml:space="preserve"> </w:t>
      </w:r>
      <w:r w:rsidRPr="007F1800">
        <w:rPr>
          <w:rFonts w:ascii="Calibri" w:hAnsi="Calibri" w:cs="Times New Roman"/>
          <w:b/>
          <w:bCs/>
          <w:noProof/>
          <w:szCs w:val="24"/>
        </w:rPr>
        <w:t>2</w:t>
      </w:r>
      <w:r w:rsidRPr="007F1800">
        <w:rPr>
          <w:rFonts w:ascii="Calibri" w:hAnsi="Calibri" w:cs="Times New Roman"/>
          <w:noProof/>
          <w:szCs w:val="24"/>
        </w:rPr>
        <w:t>, 17–25 (2013).</w:t>
      </w:r>
    </w:p>
    <w:p w14:paraId="0F67EB2A"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10.</w:t>
      </w:r>
      <w:r w:rsidRPr="007F1800">
        <w:rPr>
          <w:rFonts w:ascii="Calibri" w:hAnsi="Calibri" w:cs="Times New Roman"/>
          <w:noProof/>
          <w:szCs w:val="24"/>
        </w:rPr>
        <w:tab/>
        <w:t xml:space="preserve">EMA </w:t>
      </w:r>
      <w:r w:rsidRPr="007F1800">
        <w:rPr>
          <w:rFonts w:ascii="Calibri" w:hAnsi="Calibri" w:cs="Times New Roman"/>
          <w:i/>
          <w:iCs/>
          <w:noProof/>
          <w:szCs w:val="24"/>
        </w:rPr>
        <w:t>Zurampic Assessment Report</w:t>
      </w:r>
      <w:r w:rsidRPr="007F1800">
        <w:rPr>
          <w:rFonts w:ascii="Calibri" w:hAnsi="Calibri" w:cs="Times New Roman"/>
          <w:noProof/>
          <w:szCs w:val="24"/>
        </w:rPr>
        <w:t xml:space="preserve">. </w:t>
      </w:r>
      <w:r w:rsidRPr="007F1800">
        <w:rPr>
          <w:rFonts w:ascii="Calibri" w:hAnsi="Calibri" w:cs="Times New Roman"/>
          <w:b/>
          <w:bCs/>
          <w:noProof/>
          <w:szCs w:val="24"/>
        </w:rPr>
        <w:t>EMA/6459/2</w:t>
      </w:r>
      <w:r w:rsidRPr="007F1800">
        <w:rPr>
          <w:rFonts w:ascii="Calibri" w:hAnsi="Calibri" w:cs="Times New Roman"/>
          <w:noProof/>
          <w:szCs w:val="24"/>
        </w:rPr>
        <w:t>, (2015).</w:t>
      </w:r>
    </w:p>
    <w:p w14:paraId="20B5672D"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11.</w:t>
      </w:r>
      <w:r w:rsidRPr="007F1800">
        <w:rPr>
          <w:rFonts w:ascii="Calibri" w:hAnsi="Calibri" w:cs="Times New Roman"/>
          <w:noProof/>
          <w:szCs w:val="24"/>
        </w:rPr>
        <w:tab/>
        <w:t xml:space="preserve">Briesacher, B. A. </w:t>
      </w:r>
      <w:r w:rsidRPr="007F1800">
        <w:rPr>
          <w:rFonts w:ascii="Calibri" w:hAnsi="Calibri" w:cs="Times New Roman"/>
          <w:i/>
          <w:iCs/>
          <w:noProof/>
          <w:szCs w:val="24"/>
        </w:rPr>
        <w:t>et al.</w:t>
      </w:r>
      <w:r w:rsidRPr="007F1800">
        <w:rPr>
          <w:rFonts w:ascii="Calibri" w:hAnsi="Calibri" w:cs="Times New Roman"/>
          <w:noProof/>
          <w:szCs w:val="24"/>
        </w:rPr>
        <w:t xml:space="preserve"> Comparison of Drug Adherence Rates Among Patients with Seven Different Medical Conditions. </w:t>
      </w:r>
      <w:r w:rsidRPr="007F1800">
        <w:rPr>
          <w:rFonts w:ascii="Calibri" w:hAnsi="Calibri" w:cs="Times New Roman"/>
          <w:i/>
          <w:iCs/>
          <w:noProof/>
          <w:szCs w:val="24"/>
        </w:rPr>
        <w:t>Pharmacotherapy</w:t>
      </w:r>
      <w:r w:rsidRPr="007F1800">
        <w:rPr>
          <w:rFonts w:ascii="Calibri" w:hAnsi="Calibri" w:cs="Times New Roman"/>
          <w:noProof/>
          <w:szCs w:val="24"/>
        </w:rPr>
        <w:t xml:space="preserve"> </w:t>
      </w:r>
      <w:r w:rsidRPr="007F1800">
        <w:rPr>
          <w:rFonts w:ascii="Calibri" w:hAnsi="Calibri" w:cs="Times New Roman"/>
          <w:b/>
          <w:bCs/>
          <w:noProof/>
          <w:szCs w:val="24"/>
        </w:rPr>
        <w:t>28</w:t>
      </w:r>
      <w:r w:rsidRPr="007F1800">
        <w:rPr>
          <w:rFonts w:ascii="Calibri" w:hAnsi="Calibri" w:cs="Times New Roman"/>
          <w:noProof/>
          <w:szCs w:val="24"/>
        </w:rPr>
        <w:t>, 437–443 (2008).</w:t>
      </w:r>
    </w:p>
    <w:p w14:paraId="6A43F6AC"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12.</w:t>
      </w:r>
      <w:r w:rsidRPr="007F1800">
        <w:rPr>
          <w:rFonts w:ascii="Calibri" w:hAnsi="Calibri" w:cs="Times New Roman"/>
          <w:noProof/>
          <w:szCs w:val="24"/>
        </w:rPr>
        <w:tab/>
        <w:t xml:space="preserve">Vera, M. A. De, Marcotte, G., Rai, S., Galo, J. S. &amp; Bhole, V. Medication adherence in gout: A systematic review. </w:t>
      </w:r>
      <w:r w:rsidRPr="007F1800">
        <w:rPr>
          <w:rFonts w:ascii="Calibri" w:hAnsi="Calibri" w:cs="Times New Roman"/>
          <w:i/>
          <w:iCs/>
          <w:noProof/>
          <w:szCs w:val="24"/>
        </w:rPr>
        <w:t>Arthritis Care Res.</w:t>
      </w:r>
      <w:r w:rsidRPr="007F1800">
        <w:rPr>
          <w:rFonts w:ascii="Calibri" w:hAnsi="Calibri" w:cs="Times New Roman"/>
          <w:noProof/>
          <w:szCs w:val="24"/>
        </w:rPr>
        <w:t xml:space="preserve"> </w:t>
      </w:r>
      <w:r w:rsidRPr="007F1800">
        <w:rPr>
          <w:rFonts w:ascii="Calibri" w:hAnsi="Calibri" w:cs="Times New Roman"/>
          <w:b/>
          <w:bCs/>
          <w:noProof/>
          <w:szCs w:val="24"/>
        </w:rPr>
        <w:t>66</w:t>
      </w:r>
      <w:r w:rsidRPr="007F1800">
        <w:rPr>
          <w:rFonts w:ascii="Calibri" w:hAnsi="Calibri" w:cs="Times New Roman"/>
          <w:noProof/>
          <w:szCs w:val="24"/>
        </w:rPr>
        <w:t>, 1551–1559 (2014).</w:t>
      </w:r>
    </w:p>
    <w:p w14:paraId="4C5B0FB5"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13.</w:t>
      </w:r>
      <w:r w:rsidRPr="007F1800">
        <w:rPr>
          <w:rFonts w:ascii="Calibri" w:hAnsi="Calibri" w:cs="Times New Roman"/>
          <w:noProof/>
          <w:szCs w:val="24"/>
        </w:rPr>
        <w:tab/>
        <w:t xml:space="preserve">Halpern, R., Mody, R. R., Fuldeore, M. J., Patel, P. a &amp; Mikuls, T. Impact of noncompliance with urate-lowering drug on serum urate and gout-related healthcare costs: administrative </w:t>
      </w:r>
      <w:r w:rsidRPr="007F1800">
        <w:rPr>
          <w:rFonts w:ascii="Calibri" w:hAnsi="Calibri" w:cs="Times New Roman"/>
          <w:noProof/>
          <w:szCs w:val="24"/>
        </w:rPr>
        <w:lastRenderedPageBreak/>
        <w:t xml:space="preserve">claims analysis. </w:t>
      </w:r>
      <w:r w:rsidRPr="007F1800">
        <w:rPr>
          <w:rFonts w:ascii="Calibri" w:hAnsi="Calibri" w:cs="Times New Roman"/>
          <w:i/>
          <w:iCs/>
          <w:noProof/>
          <w:szCs w:val="24"/>
        </w:rPr>
        <w:t>Curr. Med. Res. Opin.</w:t>
      </w:r>
      <w:r w:rsidRPr="007F1800">
        <w:rPr>
          <w:rFonts w:ascii="Calibri" w:hAnsi="Calibri" w:cs="Times New Roman"/>
          <w:noProof/>
          <w:szCs w:val="24"/>
        </w:rPr>
        <w:t xml:space="preserve"> </w:t>
      </w:r>
      <w:r w:rsidRPr="007F1800">
        <w:rPr>
          <w:rFonts w:ascii="Calibri" w:hAnsi="Calibri" w:cs="Times New Roman"/>
          <w:b/>
          <w:bCs/>
          <w:noProof/>
          <w:szCs w:val="24"/>
        </w:rPr>
        <w:t>25</w:t>
      </w:r>
      <w:r w:rsidRPr="007F1800">
        <w:rPr>
          <w:rFonts w:ascii="Calibri" w:hAnsi="Calibri" w:cs="Times New Roman"/>
          <w:noProof/>
          <w:szCs w:val="24"/>
        </w:rPr>
        <w:t>, 1711–9 (2009).</w:t>
      </w:r>
    </w:p>
    <w:p w14:paraId="5C7669D2"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14.</w:t>
      </w:r>
      <w:r w:rsidRPr="007F1800">
        <w:rPr>
          <w:rFonts w:ascii="Calibri" w:hAnsi="Calibri" w:cs="Times New Roman"/>
          <w:noProof/>
          <w:szCs w:val="24"/>
        </w:rPr>
        <w:tab/>
        <w:t xml:space="preserve">Bardin, T. </w:t>
      </w:r>
      <w:r w:rsidRPr="007F1800">
        <w:rPr>
          <w:rFonts w:ascii="Calibri" w:hAnsi="Calibri" w:cs="Times New Roman"/>
          <w:i/>
          <w:iCs/>
          <w:noProof/>
          <w:szCs w:val="24"/>
        </w:rPr>
        <w:t>et al.</w:t>
      </w:r>
      <w:r w:rsidRPr="007F1800">
        <w:rPr>
          <w:rFonts w:ascii="Calibri" w:hAnsi="Calibri" w:cs="Times New Roman"/>
          <w:noProof/>
          <w:szCs w:val="24"/>
        </w:rPr>
        <w:t xml:space="preserve"> Lesinurad in combination with allopurinol: a randomised, double-blind, placebo-controlled study in patients with gout with inadequate response to standard of care (the multinational CLEAR 2 study). </w:t>
      </w:r>
      <w:r w:rsidRPr="007F1800">
        <w:rPr>
          <w:rFonts w:ascii="Calibri" w:hAnsi="Calibri" w:cs="Times New Roman"/>
          <w:i/>
          <w:iCs/>
          <w:noProof/>
          <w:szCs w:val="24"/>
        </w:rPr>
        <w:t>Ann. Rheum. Dis.</w:t>
      </w:r>
      <w:r w:rsidRPr="007F1800">
        <w:rPr>
          <w:rFonts w:ascii="Calibri" w:hAnsi="Calibri" w:cs="Times New Roman"/>
          <w:noProof/>
          <w:szCs w:val="24"/>
        </w:rPr>
        <w:t xml:space="preserve"> </w:t>
      </w:r>
      <w:r w:rsidRPr="007F1800">
        <w:rPr>
          <w:rFonts w:ascii="Calibri" w:hAnsi="Calibri" w:cs="Times New Roman"/>
          <w:b/>
          <w:bCs/>
          <w:noProof/>
          <w:szCs w:val="24"/>
        </w:rPr>
        <w:t>0</w:t>
      </w:r>
      <w:r w:rsidRPr="007F1800">
        <w:rPr>
          <w:rFonts w:ascii="Calibri" w:hAnsi="Calibri" w:cs="Times New Roman"/>
          <w:noProof/>
          <w:szCs w:val="24"/>
        </w:rPr>
        <w:t>, 1–10 (2016).</w:t>
      </w:r>
    </w:p>
    <w:p w14:paraId="45C679AD"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15.</w:t>
      </w:r>
      <w:r w:rsidRPr="007F1800">
        <w:rPr>
          <w:rFonts w:ascii="Calibri" w:hAnsi="Calibri" w:cs="Times New Roman"/>
          <w:noProof/>
          <w:szCs w:val="24"/>
        </w:rPr>
        <w:tab/>
        <w:t xml:space="preserve">Dalbeth, N. </w:t>
      </w:r>
      <w:r w:rsidRPr="007F1800">
        <w:rPr>
          <w:rFonts w:ascii="Calibri" w:hAnsi="Calibri" w:cs="Times New Roman"/>
          <w:i/>
          <w:iCs/>
          <w:noProof/>
          <w:szCs w:val="24"/>
        </w:rPr>
        <w:t>et al.</w:t>
      </w:r>
      <w:r w:rsidRPr="007F1800">
        <w:rPr>
          <w:rFonts w:ascii="Calibri" w:hAnsi="Calibri" w:cs="Times New Roman"/>
          <w:noProof/>
          <w:szCs w:val="24"/>
        </w:rPr>
        <w:t xml:space="preserve"> SAT0329: Lesinurad, A Novel Selective Uric Acid Reabsorption Inhibitor, in Combination with Febuxostat, in Patients with Tophaceous Gout: The CRYSTAL Phase III Clinical Trial. (2015).</w:t>
      </w:r>
    </w:p>
    <w:p w14:paraId="6A36BA43"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16.</w:t>
      </w:r>
      <w:r w:rsidRPr="007F1800">
        <w:rPr>
          <w:rFonts w:ascii="Calibri" w:hAnsi="Calibri" w:cs="Times New Roman"/>
          <w:noProof/>
          <w:szCs w:val="24"/>
        </w:rPr>
        <w:tab/>
        <w:t xml:space="preserve">Saag, K. G. </w:t>
      </w:r>
      <w:r w:rsidRPr="007F1800">
        <w:rPr>
          <w:rFonts w:ascii="Calibri" w:hAnsi="Calibri" w:cs="Times New Roman"/>
          <w:i/>
          <w:iCs/>
          <w:noProof/>
          <w:szCs w:val="24"/>
        </w:rPr>
        <w:t>et al.</w:t>
      </w:r>
      <w:r w:rsidRPr="007F1800">
        <w:rPr>
          <w:rFonts w:ascii="Calibri" w:hAnsi="Calibri" w:cs="Times New Roman"/>
          <w:noProof/>
          <w:szCs w:val="24"/>
        </w:rPr>
        <w:t xml:space="preserve"> Lesinurad Combined With Allopurinol: Randomized, Double-Blind, Placebo-Controlled Study in Gout Subjects With Inadequate Response to Standard of Care Allopurinol (A US-based Study). </w:t>
      </w:r>
      <w:r w:rsidRPr="007F1800">
        <w:rPr>
          <w:rFonts w:ascii="Calibri" w:hAnsi="Calibri" w:cs="Times New Roman"/>
          <w:i/>
          <w:iCs/>
          <w:noProof/>
          <w:szCs w:val="24"/>
        </w:rPr>
        <w:t>Arthritis Rheumatol.</w:t>
      </w:r>
      <w:r w:rsidRPr="007F1800">
        <w:rPr>
          <w:rFonts w:ascii="Calibri" w:hAnsi="Calibri" w:cs="Times New Roman"/>
          <w:noProof/>
          <w:szCs w:val="24"/>
        </w:rPr>
        <w:t xml:space="preserve"> </w:t>
      </w:r>
      <w:r w:rsidRPr="007F1800">
        <w:rPr>
          <w:rFonts w:ascii="Calibri" w:hAnsi="Calibri" w:cs="Times New Roman"/>
          <w:b/>
          <w:bCs/>
          <w:noProof/>
          <w:szCs w:val="24"/>
        </w:rPr>
        <w:t>69</w:t>
      </w:r>
      <w:r w:rsidRPr="007F1800">
        <w:rPr>
          <w:rFonts w:ascii="Calibri" w:hAnsi="Calibri" w:cs="Times New Roman"/>
          <w:noProof/>
          <w:szCs w:val="24"/>
        </w:rPr>
        <w:t>, 203–212 (2017).</w:t>
      </w:r>
    </w:p>
    <w:p w14:paraId="50948311"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17.</w:t>
      </w:r>
      <w:r w:rsidRPr="007F1800">
        <w:rPr>
          <w:rFonts w:ascii="Calibri" w:hAnsi="Calibri" w:cs="Times New Roman"/>
          <w:noProof/>
          <w:szCs w:val="24"/>
        </w:rPr>
        <w:tab/>
        <w:t xml:space="preserve">Vrijens, B. </w:t>
      </w:r>
      <w:r w:rsidRPr="007F1800">
        <w:rPr>
          <w:rFonts w:ascii="Calibri" w:hAnsi="Calibri" w:cs="Times New Roman"/>
          <w:i/>
          <w:iCs/>
          <w:noProof/>
          <w:szCs w:val="24"/>
        </w:rPr>
        <w:t>et al.</w:t>
      </w:r>
      <w:r w:rsidRPr="007F1800">
        <w:rPr>
          <w:rFonts w:ascii="Calibri" w:hAnsi="Calibri" w:cs="Times New Roman"/>
          <w:noProof/>
          <w:szCs w:val="24"/>
        </w:rPr>
        <w:t xml:space="preserve"> A new taxonomy for describing and defining adherence to medications. </w:t>
      </w:r>
      <w:r w:rsidRPr="007F1800">
        <w:rPr>
          <w:rFonts w:ascii="Calibri" w:hAnsi="Calibri" w:cs="Times New Roman"/>
          <w:i/>
          <w:iCs/>
          <w:noProof/>
          <w:szCs w:val="24"/>
        </w:rPr>
        <w:t>Br. J. Clin. Pharmacol.</w:t>
      </w:r>
      <w:r w:rsidRPr="007F1800">
        <w:rPr>
          <w:rFonts w:ascii="Calibri" w:hAnsi="Calibri" w:cs="Times New Roman"/>
          <w:noProof/>
          <w:szCs w:val="24"/>
        </w:rPr>
        <w:t xml:space="preserve"> </w:t>
      </w:r>
      <w:r w:rsidRPr="007F1800">
        <w:rPr>
          <w:rFonts w:ascii="Calibri" w:hAnsi="Calibri" w:cs="Times New Roman"/>
          <w:b/>
          <w:bCs/>
          <w:noProof/>
          <w:szCs w:val="24"/>
        </w:rPr>
        <w:t>73</w:t>
      </w:r>
      <w:r w:rsidRPr="007F1800">
        <w:rPr>
          <w:rFonts w:ascii="Calibri" w:hAnsi="Calibri" w:cs="Times New Roman"/>
          <w:noProof/>
          <w:szCs w:val="24"/>
        </w:rPr>
        <w:t>, 691–705 (2012).</w:t>
      </w:r>
    </w:p>
    <w:p w14:paraId="6C74FE23"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18.</w:t>
      </w:r>
      <w:r w:rsidRPr="007F1800">
        <w:rPr>
          <w:rFonts w:ascii="Calibri" w:hAnsi="Calibri" w:cs="Times New Roman"/>
          <w:noProof/>
          <w:szCs w:val="24"/>
        </w:rPr>
        <w:tab/>
        <w:t xml:space="preserve">Choi, H. K., Mount, D. B. &amp; Reginato, A. M. Pathogenesis of gout. </w:t>
      </w:r>
      <w:r w:rsidRPr="007F1800">
        <w:rPr>
          <w:rFonts w:ascii="Calibri" w:hAnsi="Calibri" w:cs="Times New Roman"/>
          <w:i/>
          <w:iCs/>
          <w:noProof/>
          <w:szCs w:val="24"/>
        </w:rPr>
        <w:t>Ann. Intern. Med.</w:t>
      </w:r>
      <w:r w:rsidRPr="007F1800">
        <w:rPr>
          <w:rFonts w:ascii="Calibri" w:hAnsi="Calibri" w:cs="Times New Roman"/>
          <w:noProof/>
          <w:szCs w:val="24"/>
        </w:rPr>
        <w:t xml:space="preserve"> </w:t>
      </w:r>
      <w:r w:rsidRPr="007F1800">
        <w:rPr>
          <w:rFonts w:ascii="Calibri" w:hAnsi="Calibri" w:cs="Times New Roman"/>
          <w:b/>
          <w:bCs/>
          <w:noProof/>
          <w:szCs w:val="24"/>
        </w:rPr>
        <w:t>143</w:t>
      </w:r>
      <w:r w:rsidRPr="007F1800">
        <w:rPr>
          <w:rFonts w:ascii="Calibri" w:hAnsi="Calibri" w:cs="Times New Roman"/>
          <w:noProof/>
          <w:szCs w:val="24"/>
        </w:rPr>
        <w:t>, 499–516 (2005).</w:t>
      </w:r>
    </w:p>
    <w:p w14:paraId="5F46722F"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19.</w:t>
      </w:r>
      <w:r w:rsidRPr="007F1800">
        <w:rPr>
          <w:rFonts w:ascii="Calibri" w:hAnsi="Calibri" w:cs="Times New Roman"/>
          <w:noProof/>
          <w:szCs w:val="24"/>
        </w:rPr>
        <w:tab/>
        <w:t xml:space="preserve">Mehta, T. H. &amp; Goldfarb, D. S. Uric Acid Stones and Hyperuricosuria. </w:t>
      </w:r>
      <w:r w:rsidRPr="007F1800">
        <w:rPr>
          <w:rFonts w:ascii="Calibri" w:hAnsi="Calibri" w:cs="Times New Roman"/>
          <w:i/>
          <w:iCs/>
          <w:noProof/>
          <w:szCs w:val="24"/>
        </w:rPr>
        <w:t>Adv. Chronic Kidney Dis.</w:t>
      </w:r>
      <w:r w:rsidRPr="007F1800">
        <w:rPr>
          <w:rFonts w:ascii="Calibri" w:hAnsi="Calibri" w:cs="Times New Roman"/>
          <w:noProof/>
          <w:szCs w:val="24"/>
        </w:rPr>
        <w:t xml:space="preserve"> </w:t>
      </w:r>
      <w:r w:rsidRPr="007F1800">
        <w:rPr>
          <w:rFonts w:ascii="Calibri" w:hAnsi="Calibri" w:cs="Times New Roman"/>
          <w:b/>
          <w:bCs/>
          <w:noProof/>
          <w:szCs w:val="24"/>
        </w:rPr>
        <w:t>19</w:t>
      </w:r>
      <w:r w:rsidRPr="007F1800">
        <w:rPr>
          <w:rFonts w:ascii="Calibri" w:hAnsi="Calibri" w:cs="Times New Roman"/>
          <w:noProof/>
          <w:szCs w:val="24"/>
        </w:rPr>
        <w:t>, 413–418 (2012).</w:t>
      </w:r>
    </w:p>
    <w:p w14:paraId="2C975D73"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20.</w:t>
      </w:r>
      <w:r w:rsidRPr="007F1800">
        <w:rPr>
          <w:rFonts w:ascii="Calibri" w:hAnsi="Calibri" w:cs="Times New Roman"/>
          <w:noProof/>
          <w:szCs w:val="24"/>
        </w:rPr>
        <w:tab/>
        <w:t xml:space="preserve">Doherty, M. New insights into the epidemiology of gout. </w:t>
      </w:r>
      <w:r w:rsidRPr="007F1800">
        <w:rPr>
          <w:rFonts w:ascii="Calibri" w:hAnsi="Calibri" w:cs="Times New Roman"/>
          <w:i/>
          <w:iCs/>
          <w:noProof/>
          <w:szCs w:val="24"/>
        </w:rPr>
        <w:t>Rheumatology</w:t>
      </w:r>
      <w:r w:rsidRPr="007F1800">
        <w:rPr>
          <w:rFonts w:ascii="Calibri" w:hAnsi="Calibri" w:cs="Times New Roman"/>
          <w:noProof/>
          <w:szCs w:val="24"/>
        </w:rPr>
        <w:t xml:space="preserve"> </w:t>
      </w:r>
      <w:r w:rsidRPr="007F1800">
        <w:rPr>
          <w:rFonts w:ascii="Calibri" w:hAnsi="Calibri" w:cs="Times New Roman"/>
          <w:b/>
          <w:bCs/>
          <w:noProof/>
          <w:szCs w:val="24"/>
        </w:rPr>
        <w:t>49</w:t>
      </w:r>
      <w:r w:rsidRPr="007F1800">
        <w:rPr>
          <w:rFonts w:ascii="Calibri" w:hAnsi="Calibri" w:cs="Times New Roman"/>
          <w:noProof/>
          <w:szCs w:val="24"/>
        </w:rPr>
        <w:t>, 613–614 (2009).</w:t>
      </w:r>
    </w:p>
    <w:p w14:paraId="45E8DF97"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21.</w:t>
      </w:r>
      <w:r w:rsidRPr="007F1800">
        <w:rPr>
          <w:rFonts w:ascii="Calibri" w:hAnsi="Calibri" w:cs="Times New Roman"/>
          <w:noProof/>
          <w:szCs w:val="24"/>
        </w:rPr>
        <w:tab/>
        <w:t xml:space="preserve">Pittman, J. &amp; Bross, M. Diagnosis and management of gout. </w:t>
      </w:r>
      <w:r w:rsidRPr="007F1800">
        <w:rPr>
          <w:rFonts w:ascii="Calibri" w:hAnsi="Calibri" w:cs="Times New Roman"/>
          <w:i/>
          <w:iCs/>
          <w:noProof/>
          <w:szCs w:val="24"/>
        </w:rPr>
        <w:t>Am. Fam. Physician</w:t>
      </w:r>
      <w:r w:rsidRPr="007F1800">
        <w:rPr>
          <w:rFonts w:ascii="Calibri" w:hAnsi="Calibri" w:cs="Times New Roman"/>
          <w:noProof/>
          <w:szCs w:val="24"/>
        </w:rPr>
        <w:t xml:space="preserve"> </w:t>
      </w:r>
      <w:r w:rsidRPr="007F1800">
        <w:rPr>
          <w:rFonts w:ascii="Calibri" w:hAnsi="Calibri" w:cs="Times New Roman"/>
          <w:b/>
          <w:bCs/>
          <w:noProof/>
          <w:szCs w:val="24"/>
        </w:rPr>
        <w:t>59</w:t>
      </w:r>
      <w:r w:rsidRPr="007F1800">
        <w:rPr>
          <w:rFonts w:ascii="Calibri" w:hAnsi="Calibri" w:cs="Times New Roman"/>
          <w:noProof/>
          <w:szCs w:val="24"/>
        </w:rPr>
        <w:t>, 1799–1806 (1999).</w:t>
      </w:r>
    </w:p>
    <w:p w14:paraId="11D68364"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22.</w:t>
      </w:r>
      <w:r w:rsidRPr="007F1800">
        <w:rPr>
          <w:rFonts w:ascii="Calibri" w:hAnsi="Calibri" w:cs="Times New Roman"/>
          <w:noProof/>
          <w:szCs w:val="24"/>
        </w:rPr>
        <w:tab/>
        <w:t xml:space="preserve">Khanna, D. </w:t>
      </w:r>
      <w:r w:rsidRPr="007F1800">
        <w:rPr>
          <w:rFonts w:ascii="Calibri" w:hAnsi="Calibri" w:cs="Times New Roman"/>
          <w:i/>
          <w:iCs/>
          <w:noProof/>
          <w:szCs w:val="24"/>
        </w:rPr>
        <w:t>et al.</w:t>
      </w:r>
      <w:r w:rsidRPr="007F1800">
        <w:rPr>
          <w:rFonts w:ascii="Calibri" w:hAnsi="Calibri" w:cs="Times New Roman"/>
          <w:noProof/>
          <w:szCs w:val="24"/>
        </w:rPr>
        <w:t xml:space="preserve"> 2012 American college of rheumatology guidelines for management of gout. part 1: Systematic nonpharmacologic and pharmacologic therapeutic approaches to hyperuricemia. </w:t>
      </w:r>
      <w:r w:rsidRPr="007F1800">
        <w:rPr>
          <w:rFonts w:ascii="Calibri" w:hAnsi="Calibri" w:cs="Times New Roman"/>
          <w:i/>
          <w:iCs/>
          <w:noProof/>
          <w:szCs w:val="24"/>
        </w:rPr>
        <w:t>Arthritis Care Res.</w:t>
      </w:r>
      <w:r w:rsidRPr="007F1800">
        <w:rPr>
          <w:rFonts w:ascii="Calibri" w:hAnsi="Calibri" w:cs="Times New Roman"/>
          <w:noProof/>
          <w:szCs w:val="24"/>
        </w:rPr>
        <w:t xml:space="preserve"> </w:t>
      </w:r>
      <w:r w:rsidRPr="007F1800">
        <w:rPr>
          <w:rFonts w:ascii="Calibri" w:hAnsi="Calibri" w:cs="Times New Roman"/>
          <w:b/>
          <w:bCs/>
          <w:noProof/>
          <w:szCs w:val="24"/>
        </w:rPr>
        <w:t>64</w:t>
      </w:r>
      <w:r w:rsidRPr="007F1800">
        <w:rPr>
          <w:rFonts w:ascii="Calibri" w:hAnsi="Calibri" w:cs="Times New Roman"/>
          <w:noProof/>
          <w:szCs w:val="24"/>
        </w:rPr>
        <w:t>, 1431–1446 (2012).</w:t>
      </w:r>
    </w:p>
    <w:p w14:paraId="6D7B5D81"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23.</w:t>
      </w:r>
      <w:r w:rsidRPr="007F1800">
        <w:rPr>
          <w:rFonts w:ascii="Calibri" w:hAnsi="Calibri" w:cs="Times New Roman"/>
          <w:noProof/>
          <w:szCs w:val="24"/>
        </w:rPr>
        <w:tab/>
        <w:t xml:space="preserve">FDA </w:t>
      </w:r>
      <w:r w:rsidRPr="007F1800">
        <w:rPr>
          <w:rFonts w:ascii="Calibri" w:hAnsi="Calibri" w:cs="Times New Roman"/>
          <w:i/>
          <w:iCs/>
          <w:noProof/>
          <w:szCs w:val="24"/>
        </w:rPr>
        <w:t>Zurampic label</w:t>
      </w:r>
      <w:r w:rsidRPr="007F1800">
        <w:rPr>
          <w:rFonts w:ascii="Calibri" w:hAnsi="Calibri" w:cs="Times New Roman"/>
          <w:noProof/>
          <w:szCs w:val="24"/>
        </w:rPr>
        <w:t>. (2015). Available at: &lt;http://www.accessdata.fda.gov/drugsatfda_docs/label/2015/%0A207988lbl.pdd&gt;</w:t>
      </w:r>
    </w:p>
    <w:p w14:paraId="30BF1753"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24.</w:t>
      </w:r>
      <w:r w:rsidRPr="007F1800">
        <w:rPr>
          <w:rFonts w:ascii="Calibri" w:hAnsi="Calibri" w:cs="Times New Roman"/>
          <w:noProof/>
          <w:szCs w:val="24"/>
        </w:rPr>
        <w:tab/>
        <w:t xml:space="preserve">Center for Drug Evaluation and Research. </w:t>
      </w:r>
      <w:r w:rsidRPr="007F1800">
        <w:rPr>
          <w:rFonts w:ascii="Calibri" w:hAnsi="Calibri" w:cs="Times New Roman"/>
          <w:i/>
          <w:iCs/>
          <w:noProof/>
          <w:szCs w:val="24"/>
        </w:rPr>
        <w:t>Lesinurad Approval Package. Application Number: 207988Orig1s000</w:t>
      </w:r>
      <w:r w:rsidRPr="007F1800">
        <w:rPr>
          <w:rFonts w:ascii="Calibri" w:hAnsi="Calibri" w:cs="Times New Roman"/>
          <w:noProof/>
          <w:szCs w:val="24"/>
        </w:rPr>
        <w:t xml:space="preserve">. (2015). Available at: </w:t>
      </w:r>
      <w:r w:rsidRPr="007F1800">
        <w:rPr>
          <w:rFonts w:ascii="Calibri" w:hAnsi="Calibri" w:cs="Times New Roman"/>
          <w:noProof/>
          <w:szCs w:val="24"/>
        </w:rPr>
        <w:lastRenderedPageBreak/>
        <w:t>&lt;https://www.accessdata.fda.gov/drugsatfda_docs/nda/2015/207988Orig1s000Approv.pdf&gt;</w:t>
      </w:r>
    </w:p>
    <w:p w14:paraId="2DEE8F90"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25.</w:t>
      </w:r>
      <w:r w:rsidRPr="007F1800">
        <w:rPr>
          <w:rFonts w:ascii="Calibri" w:hAnsi="Calibri" w:cs="Times New Roman"/>
          <w:noProof/>
          <w:szCs w:val="24"/>
        </w:rPr>
        <w:tab/>
        <w:t xml:space="preserve">Ichida, K. </w:t>
      </w:r>
      <w:r w:rsidRPr="007F1800">
        <w:rPr>
          <w:rFonts w:ascii="Calibri" w:hAnsi="Calibri" w:cs="Times New Roman"/>
          <w:i/>
          <w:iCs/>
          <w:noProof/>
          <w:szCs w:val="24"/>
        </w:rPr>
        <w:t>et al.</w:t>
      </w:r>
      <w:r w:rsidRPr="007F1800">
        <w:rPr>
          <w:rFonts w:ascii="Calibri" w:hAnsi="Calibri" w:cs="Times New Roman"/>
          <w:noProof/>
          <w:szCs w:val="24"/>
        </w:rPr>
        <w:t xml:space="preserve"> Decreased extra-renal urate excretion is a common cause of hyperuricemia. </w:t>
      </w:r>
      <w:r w:rsidRPr="007F1800">
        <w:rPr>
          <w:rFonts w:ascii="Calibri" w:hAnsi="Calibri" w:cs="Times New Roman"/>
          <w:i/>
          <w:iCs/>
          <w:noProof/>
          <w:szCs w:val="24"/>
        </w:rPr>
        <w:t>Nat. Commun.</w:t>
      </w:r>
      <w:r w:rsidRPr="007F1800">
        <w:rPr>
          <w:rFonts w:ascii="Calibri" w:hAnsi="Calibri" w:cs="Times New Roman"/>
          <w:noProof/>
          <w:szCs w:val="24"/>
        </w:rPr>
        <w:t xml:space="preserve"> </w:t>
      </w:r>
      <w:r w:rsidRPr="007F1800">
        <w:rPr>
          <w:rFonts w:ascii="Calibri" w:hAnsi="Calibri" w:cs="Times New Roman"/>
          <w:b/>
          <w:bCs/>
          <w:noProof/>
          <w:szCs w:val="24"/>
        </w:rPr>
        <w:t>3</w:t>
      </w:r>
      <w:r w:rsidRPr="007F1800">
        <w:rPr>
          <w:rFonts w:ascii="Calibri" w:hAnsi="Calibri" w:cs="Times New Roman"/>
          <w:noProof/>
          <w:szCs w:val="24"/>
        </w:rPr>
        <w:t>, 764 (2012).</w:t>
      </w:r>
    </w:p>
    <w:p w14:paraId="34065AEF"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26.</w:t>
      </w:r>
      <w:r w:rsidRPr="007F1800">
        <w:rPr>
          <w:rFonts w:ascii="Calibri" w:hAnsi="Calibri" w:cs="Times New Roman"/>
          <w:noProof/>
          <w:szCs w:val="24"/>
        </w:rPr>
        <w:tab/>
        <w:t xml:space="preserve">Stamp, L. K. </w:t>
      </w:r>
      <w:r w:rsidRPr="007F1800">
        <w:rPr>
          <w:rFonts w:ascii="Calibri" w:hAnsi="Calibri" w:cs="Times New Roman"/>
          <w:i/>
          <w:iCs/>
          <w:noProof/>
          <w:szCs w:val="24"/>
        </w:rPr>
        <w:t>et al.</w:t>
      </w:r>
      <w:r w:rsidRPr="007F1800">
        <w:rPr>
          <w:rFonts w:ascii="Calibri" w:hAnsi="Calibri" w:cs="Times New Roman"/>
          <w:noProof/>
          <w:szCs w:val="24"/>
        </w:rPr>
        <w:t xml:space="preserve"> Impaired response or insufficient dosage? - examining the potential causes of ‘inadequate response’ to allopurinol in the treatment of gout. </w:t>
      </w:r>
      <w:r w:rsidRPr="007F1800">
        <w:rPr>
          <w:rFonts w:ascii="Calibri" w:hAnsi="Calibri" w:cs="Times New Roman"/>
          <w:i/>
          <w:iCs/>
          <w:noProof/>
          <w:szCs w:val="24"/>
        </w:rPr>
        <w:t>Semin Arthitis Rheum</w:t>
      </w:r>
      <w:r w:rsidRPr="007F1800">
        <w:rPr>
          <w:rFonts w:ascii="Calibri" w:hAnsi="Calibri" w:cs="Times New Roman"/>
          <w:noProof/>
          <w:szCs w:val="24"/>
        </w:rPr>
        <w:t xml:space="preserve"> </w:t>
      </w:r>
      <w:r w:rsidRPr="007F1800">
        <w:rPr>
          <w:rFonts w:ascii="Calibri" w:hAnsi="Calibri" w:cs="Times New Roman"/>
          <w:b/>
          <w:bCs/>
          <w:noProof/>
          <w:szCs w:val="24"/>
        </w:rPr>
        <w:t>44</w:t>
      </w:r>
      <w:r w:rsidRPr="007F1800">
        <w:rPr>
          <w:rFonts w:ascii="Calibri" w:hAnsi="Calibri" w:cs="Times New Roman"/>
          <w:noProof/>
          <w:szCs w:val="24"/>
        </w:rPr>
        <w:t>, 170–174 (2014).</w:t>
      </w:r>
    </w:p>
    <w:p w14:paraId="72DB5192"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27.</w:t>
      </w:r>
      <w:r w:rsidRPr="007F1800">
        <w:rPr>
          <w:rFonts w:ascii="Calibri" w:hAnsi="Calibri" w:cs="Times New Roman"/>
          <w:noProof/>
          <w:szCs w:val="24"/>
        </w:rPr>
        <w:tab/>
        <w:t xml:space="preserve">Harrold, L. R. </w:t>
      </w:r>
      <w:r w:rsidRPr="007F1800">
        <w:rPr>
          <w:rFonts w:ascii="Calibri" w:hAnsi="Calibri" w:cs="Times New Roman"/>
          <w:i/>
          <w:iCs/>
          <w:noProof/>
          <w:szCs w:val="24"/>
        </w:rPr>
        <w:t>et al.</w:t>
      </w:r>
      <w:r w:rsidRPr="007F1800">
        <w:rPr>
          <w:rFonts w:ascii="Calibri" w:hAnsi="Calibri" w:cs="Times New Roman"/>
          <w:noProof/>
          <w:szCs w:val="24"/>
        </w:rPr>
        <w:t xml:space="preserve"> The Dynamics of Chronic Gout Treatment: medication gaps and return to therapy. </w:t>
      </w:r>
      <w:r w:rsidRPr="007F1800">
        <w:rPr>
          <w:rFonts w:ascii="Calibri" w:hAnsi="Calibri" w:cs="Times New Roman"/>
          <w:i/>
          <w:iCs/>
          <w:noProof/>
          <w:szCs w:val="24"/>
        </w:rPr>
        <w:t>Am J Med</w:t>
      </w:r>
      <w:r w:rsidRPr="007F1800">
        <w:rPr>
          <w:rFonts w:ascii="Calibri" w:hAnsi="Calibri" w:cs="Times New Roman"/>
          <w:noProof/>
          <w:szCs w:val="24"/>
        </w:rPr>
        <w:t xml:space="preserve"> </w:t>
      </w:r>
      <w:r w:rsidRPr="007F1800">
        <w:rPr>
          <w:rFonts w:ascii="Calibri" w:hAnsi="Calibri" w:cs="Times New Roman"/>
          <w:b/>
          <w:bCs/>
          <w:noProof/>
          <w:szCs w:val="24"/>
        </w:rPr>
        <w:t>123</w:t>
      </w:r>
      <w:r w:rsidRPr="007F1800">
        <w:rPr>
          <w:rFonts w:ascii="Calibri" w:hAnsi="Calibri" w:cs="Times New Roman"/>
          <w:noProof/>
          <w:szCs w:val="24"/>
        </w:rPr>
        <w:t>, 1–11 (2010).</w:t>
      </w:r>
    </w:p>
    <w:p w14:paraId="62D54A91"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28.</w:t>
      </w:r>
      <w:r w:rsidRPr="007F1800">
        <w:rPr>
          <w:rFonts w:ascii="Calibri" w:hAnsi="Calibri" w:cs="Times New Roman"/>
          <w:noProof/>
          <w:szCs w:val="24"/>
        </w:rPr>
        <w:tab/>
        <w:t xml:space="preserve">Klerk, E. de </w:t>
      </w:r>
      <w:r w:rsidRPr="007F1800">
        <w:rPr>
          <w:rFonts w:ascii="Calibri" w:hAnsi="Calibri" w:cs="Times New Roman"/>
          <w:i/>
          <w:iCs/>
          <w:noProof/>
          <w:szCs w:val="24"/>
        </w:rPr>
        <w:t>et al.</w:t>
      </w:r>
      <w:r w:rsidRPr="007F1800">
        <w:rPr>
          <w:rFonts w:ascii="Calibri" w:hAnsi="Calibri" w:cs="Times New Roman"/>
          <w:noProof/>
          <w:szCs w:val="24"/>
        </w:rPr>
        <w:t xml:space="preserve"> Patient compliance in rheumatoid arthritis, polymyalgia rheumatica, and gout. </w:t>
      </w:r>
      <w:r w:rsidRPr="007F1800">
        <w:rPr>
          <w:rFonts w:ascii="Calibri" w:hAnsi="Calibri" w:cs="Times New Roman"/>
          <w:i/>
          <w:iCs/>
          <w:noProof/>
          <w:szCs w:val="24"/>
        </w:rPr>
        <w:t>J. Rheumatol.</w:t>
      </w:r>
      <w:r w:rsidRPr="007F1800">
        <w:rPr>
          <w:rFonts w:ascii="Calibri" w:hAnsi="Calibri" w:cs="Times New Roman"/>
          <w:noProof/>
          <w:szCs w:val="24"/>
        </w:rPr>
        <w:t xml:space="preserve"> </w:t>
      </w:r>
      <w:r w:rsidRPr="007F1800">
        <w:rPr>
          <w:rFonts w:ascii="Calibri" w:hAnsi="Calibri" w:cs="Times New Roman"/>
          <w:b/>
          <w:bCs/>
          <w:noProof/>
          <w:szCs w:val="24"/>
        </w:rPr>
        <w:t>30</w:t>
      </w:r>
      <w:r w:rsidRPr="007F1800">
        <w:rPr>
          <w:rFonts w:ascii="Calibri" w:hAnsi="Calibri" w:cs="Times New Roman"/>
          <w:noProof/>
          <w:szCs w:val="24"/>
        </w:rPr>
        <w:t>, 44–54 (2003).</w:t>
      </w:r>
    </w:p>
    <w:p w14:paraId="2B9A98AF"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29.</w:t>
      </w:r>
      <w:r w:rsidRPr="007F1800">
        <w:rPr>
          <w:rFonts w:ascii="Calibri" w:hAnsi="Calibri" w:cs="Times New Roman"/>
          <w:noProof/>
          <w:szCs w:val="24"/>
        </w:rPr>
        <w:tab/>
        <w:t xml:space="preserve">Levy, G., Zamacona, M. K. &amp; Jusko, W. J. Developing compliance instructions for drug labeling. </w:t>
      </w:r>
      <w:r w:rsidRPr="007F1800">
        <w:rPr>
          <w:rFonts w:ascii="Calibri" w:hAnsi="Calibri" w:cs="Times New Roman"/>
          <w:i/>
          <w:iCs/>
          <w:noProof/>
          <w:szCs w:val="24"/>
        </w:rPr>
        <w:t>Clin. Pharmacol. Ther.</w:t>
      </w:r>
      <w:r w:rsidRPr="007F1800">
        <w:rPr>
          <w:rFonts w:ascii="Calibri" w:hAnsi="Calibri" w:cs="Times New Roman"/>
          <w:noProof/>
          <w:szCs w:val="24"/>
        </w:rPr>
        <w:t xml:space="preserve"> </w:t>
      </w:r>
      <w:r w:rsidRPr="007F1800">
        <w:rPr>
          <w:rFonts w:ascii="Calibri" w:hAnsi="Calibri" w:cs="Times New Roman"/>
          <w:b/>
          <w:bCs/>
          <w:noProof/>
          <w:szCs w:val="24"/>
        </w:rPr>
        <w:t>68</w:t>
      </w:r>
      <w:r w:rsidRPr="007F1800">
        <w:rPr>
          <w:rFonts w:ascii="Calibri" w:hAnsi="Calibri" w:cs="Times New Roman"/>
          <w:noProof/>
          <w:szCs w:val="24"/>
        </w:rPr>
        <w:t>, 586–591 (2000).</w:t>
      </w:r>
    </w:p>
    <w:p w14:paraId="64E03CA7"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30.</w:t>
      </w:r>
      <w:r w:rsidRPr="007F1800">
        <w:rPr>
          <w:rFonts w:ascii="Calibri" w:hAnsi="Calibri" w:cs="Times New Roman"/>
          <w:noProof/>
          <w:szCs w:val="24"/>
        </w:rPr>
        <w:tab/>
        <w:t xml:space="preserve">Assawasuwannakit, P., Braund, R. &amp; Duffull, S. B. Quantification of the Forgiveness of Drugs to Imperfect Adherence. </w:t>
      </w:r>
      <w:r w:rsidRPr="007F1800">
        <w:rPr>
          <w:rFonts w:ascii="Calibri" w:hAnsi="Calibri" w:cs="Times New Roman"/>
          <w:i/>
          <w:iCs/>
          <w:noProof/>
          <w:szCs w:val="24"/>
        </w:rPr>
        <w:t>CPT Pharmacometrics Syst. Pharmacol.</w:t>
      </w:r>
      <w:r w:rsidRPr="007F1800">
        <w:rPr>
          <w:rFonts w:ascii="Calibri" w:hAnsi="Calibri" w:cs="Times New Roman"/>
          <w:noProof/>
          <w:szCs w:val="24"/>
        </w:rPr>
        <w:t xml:space="preserve"> </w:t>
      </w:r>
      <w:r w:rsidRPr="007F1800">
        <w:rPr>
          <w:rFonts w:ascii="Calibri" w:hAnsi="Calibri" w:cs="Times New Roman"/>
          <w:b/>
          <w:bCs/>
          <w:noProof/>
          <w:szCs w:val="24"/>
        </w:rPr>
        <w:t>4</w:t>
      </w:r>
      <w:r w:rsidRPr="007F1800">
        <w:rPr>
          <w:rFonts w:ascii="Calibri" w:hAnsi="Calibri" w:cs="Times New Roman"/>
          <w:noProof/>
          <w:szCs w:val="24"/>
        </w:rPr>
        <w:t>, 204–211 (2015).</w:t>
      </w:r>
    </w:p>
    <w:p w14:paraId="0983ACA9"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31.</w:t>
      </w:r>
      <w:r w:rsidRPr="007F1800">
        <w:rPr>
          <w:rFonts w:ascii="Calibri" w:hAnsi="Calibri" w:cs="Times New Roman"/>
          <w:noProof/>
          <w:szCs w:val="24"/>
        </w:rPr>
        <w:tab/>
        <w:t xml:space="preserve">National Institute for Health and Care Excellence. Single Technology Appraisal: Lesinurad for treating chronic hyperuricaemia in people with gout, Committee Papers. </w:t>
      </w:r>
      <w:r w:rsidRPr="007F1800">
        <w:rPr>
          <w:rFonts w:ascii="Calibri" w:hAnsi="Calibri" w:cs="Times New Roman"/>
          <w:b/>
          <w:bCs/>
          <w:noProof/>
          <w:szCs w:val="24"/>
        </w:rPr>
        <w:t>[ID761]</w:t>
      </w:r>
      <w:r w:rsidRPr="007F1800">
        <w:rPr>
          <w:rFonts w:ascii="Calibri" w:hAnsi="Calibri" w:cs="Times New Roman"/>
          <w:noProof/>
          <w:szCs w:val="24"/>
        </w:rPr>
        <w:t>, (2016).</w:t>
      </w:r>
    </w:p>
    <w:p w14:paraId="1B8388A4"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32.</w:t>
      </w:r>
      <w:r w:rsidRPr="007F1800">
        <w:rPr>
          <w:rFonts w:ascii="Calibri" w:hAnsi="Calibri" w:cs="Times New Roman"/>
          <w:noProof/>
          <w:szCs w:val="24"/>
        </w:rPr>
        <w:tab/>
        <w:t xml:space="preserve">Dua, P. </w:t>
      </w:r>
      <w:r w:rsidRPr="007F1800">
        <w:rPr>
          <w:rFonts w:ascii="Calibri" w:hAnsi="Calibri" w:cs="Times New Roman"/>
          <w:i/>
          <w:iCs/>
          <w:noProof/>
          <w:szCs w:val="24"/>
        </w:rPr>
        <w:t>et al.</w:t>
      </w:r>
      <w:r w:rsidRPr="007F1800">
        <w:rPr>
          <w:rFonts w:ascii="Calibri" w:hAnsi="Calibri" w:cs="Times New Roman"/>
          <w:noProof/>
          <w:szCs w:val="24"/>
        </w:rPr>
        <w:t xml:space="preserve"> A systems pharmacology model of purine metabolism to explore novel options for the treatment of Gout (Poster). Systems Pharmacology in Drug Discovery &amp; Development. 2014. (2014). Available at: &lt;http://www.insysbio.ru/en/publication/materials&gt;</w:t>
      </w:r>
    </w:p>
    <w:p w14:paraId="201DCCBA"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33.</w:t>
      </w:r>
      <w:r w:rsidRPr="007F1800">
        <w:rPr>
          <w:rFonts w:ascii="Calibri" w:hAnsi="Calibri" w:cs="Times New Roman"/>
          <w:noProof/>
          <w:szCs w:val="24"/>
        </w:rPr>
        <w:tab/>
        <w:t xml:space="preserve">Sharma, A. &amp; Jusko, W. J. Characteristics of indirect pharmacodynamic models and applications to clinical drug responses. </w:t>
      </w:r>
      <w:r w:rsidRPr="007F1800">
        <w:rPr>
          <w:rFonts w:ascii="Calibri" w:hAnsi="Calibri" w:cs="Times New Roman"/>
          <w:i/>
          <w:iCs/>
          <w:noProof/>
          <w:szCs w:val="24"/>
        </w:rPr>
        <w:t>Br. J. Clin. Pharmacol.</w:t>
      </w:r>
      <w:r w:rsidRPr="007F1800">
        <w:rPr>
          <w:rFonts w:ascii="Calibri" w:hAnsi="Calibri" w:cs="Times New Roman"/>
          <w:noProof/>
          <w:szCs w:val="24"/>
        </w:rPr>
        <w:t xml:space="preserve"> </w:t>
      </w:r>
      <w:r w:rsidRPr="007F1800">
        <w:rPr>
          <w:rFonts w:ascii="Calibri" w:hAnsi="Calibri" w:cs="Times New Roman"/>
          <w:b/>
          <w:bCs/>
          <w:noProof/>
          <w:szCs w:val="24"/>
        </w:rPr>
        <w:t>45</w:t>
      </w:r>
      <w:r w:rsidRPr="007F1800">
        <w:rPr>
          <w:rFonts w:ascii="Calibri" w:hAnsi="Calibri" w:cs="Times New Roman"/>
          <w:noProof/>
          <w:szCs w:val="24"/>
        </w:rPr>
        <w:t>, 229–239 (1998).</w:t>
      </w:r>
    </w:p>
    <w:p w14:paraId="3243CA8C"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34.</w:t>
      </w:r>
      <w:r w:rsidRPr="007F1800">
        <w:rPr>
          <w:rFonts w:ascii="Calibri" w:hAnsi="Calibri" w:cs="Times New Roman"/>
          <w:noProof/>
          <w:szCs w:val="24"/>
        </w:rPr>
        <w:tab/>
        <w:t xml:space="preserve">Khosravan, R., Grabowski, B. A., Wu, J., Joseph-ridge, N. &amp; Vernillet, L. Pharmacokinetics, Pharmacodynamcis and Safety of Febuxostat , a Non-Purine Selective Inhibitor of Xanthine Oxidase , in a Dose Escalation Study in Healthy Subjects. </w:t>
      </w:r>
      <w:r w:rsidRPr="007F1800">
        <w:rPr>
          <w:rFonts w:ascii="Calibri" w:hAnsi="Calibri" w:cs="Times New Roman"/>
          <w:i/>
          <w:iCs/>
          <w:noProof/>
          <w:szCs w:val="24"/>
        </w:rPr>
        <w:t>Clin. Pharmacokinet.</w:t>
      </w:r>
      <w:r w:rsidRPr="007F1800">
        <w:rPr>
          <w:rFonts w:ascii="Calibri" w:hAnsi="Calibri" w:cs="Times New Roman"/>
          <w:noProof/>
          <w:szCs w:val="24"/>
        </w:rPr>
        <w:t xml:space="preserve"> </w:t>
      </w:r>
      <w:r w:rsidRPr="007F1800">
        <w:rPr>
          <w:rFonts w:ascii="Calibri" w:hAnsi="Calibri" w:cs="Times New Roman"/>
          <w:b/>
          <w:bCs/>
          <w:noProof/>
          <w:szCs w:val="24"/>
        </w:rPr>
        <w:t>45</w:t>
      </w:r>
      <w:r w:rsidRPr="007F1800">
        <w:rPr>
          <w:rFonts w:ascii="Calibri" w:hAnsi="Calibri" w:cs="Times New Roman"/>
          <w:noProof/>
          <w:szCs w:val="24"/>
        </w:rPr>
        <w:t>, 821–841 (2006).</w:t>
      </w:r>
    </w:p>
    <w:p w14:paraId="6DBE2191"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35.</w:t>
      </w:r>
      <w:r w:rsidRPr="007F1800">
        <w:rPr>
          <w:rFonts w:ascii="Calibri" w:hAnsi="Calibri" w:cs="Times New Roman"/>
          <w:noProof/>
          <w:szCs w:val="24"/>
        </w:rPr>
        <w:tab/>
        <w:t xml:space="preserve">Centre for Drug Evaluation and Research. </w:t>
      </w:r>
      <w:r w:rsidRPr="007F1800">
        <w:rPr>
          <w:rFonts w:ascii="Calibri" w:hAnsi="Calibri" w:cs="Times New Roman"/>
          <w:i/>
          <w:iCs/>
          <w:noProof/>
          <w:szCs w:val="24"/>
        </w:rPr>
        <w:t xml:space="preserve">Clinical Pharmacology and Biopharmaceutics </w:t>
      </w:r>
      <w:r w:rsidRPr="007F1800">
        <w:rPr>
          <w:rFonts w:ascii="Calibri" w:hAnsi="Calibri" w:cs="Times New Roman"/>
          <w:i/>
          <w:iCs/>
          <w:noProof/>
          <w:szCs w:val="24"/>
        </w:rPr>
        <w:lastRenderedPageBreak/>
        <w:t>Review (NDA 21-856).</w:t>
      </w:r>
      <w:r w:rsidRPr="007F1800">
        <w:rPr>
          <w:rFonts w:ascii="Calibri" w:hAnsi="Calibri" w:cs="Times New Roman"/>
          <w:noProof/>
          <w:szCs w:val="24"/>
        </w:rPr>
        <w:t xml:space="preserve"> (2008). Available at: &lt;https://www.accessdata.fda.gov/drugsatfda_docs/nda/2009/021856s000_ClinPharmR_P1.pdf&gt;</w:t>
      </w:r>
    </w:p>
    <w:p w14:paraId="321AA72C"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36.</w:t>
      </w:r>
      <w:r w:rsidRPr="007F1800">
        <w:rPr>
          <w:rFonts w:ascii="Calibri" w:hAnsi="Calibri" w:cs="Times New Roman"/>
          <w:noProof/>
          <w:szCs w:val="24"/>
        </w:rPr>
        <w:tab/>
        <w:t xml:space="preserve">Centre for Drug Evaluation and Research. </w:t>
      </w:r>
      <w:r w:rsidRPr="007F1800">
        <w:rPr>
          <w:rFonts w:ascii="Calibri" w:hAnsi="Calibri" w:cs="Times New Roman"/>
          <w:i/>
          <w:iCs/>
          <w:noProof/>
          <w:szCs w:val="24"/>
        </w:rPr>
        <w:t>Clinical Pharmacology and Biopharmaceutics Review (Application Number: 207988Orig1s000)</w:t>
      </w:r>
      <w:r w:rsidRPr="007F1800">
        <w:rPr>
          <w:rFonts w:ascii="Calibri" w:hAnsi="Calibri" w:cs="Times New Roman"/>
          <w:noProof/>
          <w:szCs w:val="24"/>
        </w:rPr>
        <w:t>. (2014). Available at: &lt;https://www.accessdata.fda.gov/drugsatfda_docs/nda/2015/207988Orig1s000SumR.pdf&gt;</w:t>
      </w:r>
    </w:p>
    <w:p w14:paraId="438C0140"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37.</w:t>
      </w:r>
      <w:r w:rsidRPr="007F1800">
        <w:rPr>
          <w:rFonts w:ascii="Calibri" w:hAnsi="Calibri" w:cs="Times New Roman"/>
          <w:noProof/>
          <w:szCs w:val="24"/>
        </w:rPr>
        <w:tab/>
        <w:t>TAP Pharmaceutical Products Inc. TMX-99-001 Study Report. Obtained via the EMA on 16/06/16. (2004).</w:t>
      </w:r>
    </w:p>
    <w:p w14:paraId="6D18CBEA"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38.</w:t>
      </w:r>
      <w:r w:rsidRPr="007F1800">
        <w:rPr>
          <w:rFonts w:ascii="Calibri" w:hAnsi="Calibri" w:cs="Times New Roman"/>
          <w:noProof/>
          <w:szCs w:val="24"/>
        </w:rPr>
        <w:tab/>
        <w:t xml:space="preserve">Gabrielsson, J. &amp; Weiner, D. </w:t>
      </w:r>
      <w:r w:rsidRPr="007F1800">
        <w:rPr>
          <w:rFonts w:ascii="Calibri" w:hAnsi="Calibri" w:cs="Times New Roman"/>
          <w:i/>
          <w:iCs/>
          <w:noProof/>
          <w:szCs w:val="24"/>
        </w:rPr>
        <w:t>Pharmacokinetic and Pharmacodynamic Data Analysis</w:t>
      </w:r>
      <w:r w:rsidRPr="007F1800">
        <w:rPr>
          <w:rFonts w:ascii="Calibri" w:hAnsi="Calibri" w:cs="Times New Roman"/>
          <w:noProof/>
          <w:szCs w:val="24"/>
        </w:rPr>
        <w:t>. (Apotekarsocieteten, 2016).</w:t>
      </w:r>
    </w:p>
    <w:p w14:paraId="6B53BDC7"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39.</w:t>
      </w:r>
      <w:r w:rsidRPr="007F1800">
        <w:rPr>
          <w:rFonts w:ascii="Calibri" w:hAnsi="Calibri" w:cs="Times New Roman"/>
          <w:noProof/>
          <w:szCs w:val="24"/>
        </w:rPr>
        <w:tab/>
        <w:t xml:space="preserve">Ardea Biosciences. </w:t>
      </w:r>
      <w:r w:rsidRPr="007F1800">
        <w:rPr>
          <w:rFonts w:ascii="Calibri" w:hAnsi="Calibri" w:cs="Times New Roman"/>
          <w:i/>
          <w:iCs/>
          <w:noProof/>
          <w:szCs w:val="24"/>
        </w:rPr>
        <w:t>Lesinurad in Combination With a Xanthine Oxidase Inhibitor for Treatment of Hyperuricemia Associated With Gout. Briefing Document for the Arthritis Advisory Committee</w:t>
      </w:r>
      <w:r w:rsidRPr="007F1800">
        <w:rPr>
          <w:rFonts w:ascii="Calibri" w:hAnsi="Calibri" w:cs="Times New Roman"/>
          <w:noProof/>
          <w:szCs w:val="24"/>
        </w:rPr>
        <w:t>. (2015). Available at: &lt;http://www.fda.gov/downloads/advisorycommittees/committeesmeetingmaterials/drugs/arthritisadvisorycommittee/ucm467951.pdf&gt;</w:t>
      </w:r>
    </w:p>
    <w:p w14:paraId="06A4592F"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40.</w:t>
      </w:r>
      <w:r w:rsidRPr="007F1800">
        <w:rPr>
          <w:rFonts w:ascii="Calibri" w:hAnsi="Calibri" w:cs="Times New Roman"/>
          <w:noProof/>
          <w:szCs w:val="24"/>
        </w:rPr>
        <w:tab/>
        <w:t xml:space="preserve">FDA. </w:t>
      </w:r>
      <w:r w:rsidRPr="007F1800">
        <w:rPr>
          <w:rFonts w:ascii="Calibri" w:hAnsi="Calibri" w:cs="Times New Roman"/>
          <w:i/>
          <w:iCs/>
          <w:noProof/>
          <w:szCs w:val="24"/>
        </w:rPr>
        <w:t>Lesinurad for the proposed indication of treatment of hyperuricemia associated with gout in combination with a xanthine oxidase inhibitor (FDA Briefing Package) (NDA 207988)</w:t>
      </w:r>
      <w:r w:rsidRPr="007F1800">
        <w:rPr>
          <w:rFonts w:ascii="Calibri" w:hAnsi="Calibri" w:cs="Times New Roman"/>
          <w:noProof/>
          <w:szCs w:val="24"/>
        </w:rPr>
        <w:t>. (2015). Available at: &lt;https://www.fda.gov/downloads/AdvisoryCommittees/CommitteesMeetingMaterials/Drugs/ArthritisAdvisoryCommittee/UCM467942.pdf&gt;</w:t>
      </w:r>
    </w:p>
    <w:p w14:paraId="69FE041D"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41.</w:t>
      </w:r>
      <w:r w:rsidRPr="007F1800">
        <w:rPr>
          <w:rFonts w:ascii="Calibri" w:hAnsi="Calibri" w:cs="Times New Roman"/>
          <w:noProof/>
          <w:szCs w:val="24"/>
        </w:rPr>
        <w:tab/>
        <w:t xml:space="preserve">Cockcroft, D. W. &amp; Gault, M. H. Prediction of creatinine clearance from serum creatinine. </w:t>
      </w:r>
      <w:r w:rsidRPr="007F1800">
        <w:rPr>
          <w:rFonts w:ascii="Calibri" w:hAnsi="Calibri" w:cs="Times New Roman"/>
          <w:i/>
          <w:iCs/>
          <w:noProof/>
          <w:szCs w:val="24"/>
        </w:rPr>
        <w:t>Nephron</w:t>
      </w:r>
      <w:r w:rsidRPr="007F1800">
        <w:rPr>
          <w:rFonts w:ascii="Calibri" w:hAnsi="Calibri" w:cs="Times New Roman"/>
          <w:noProof/>
          <w:szCs w:val="24"/>
        </w:rPr>
        <w:t xml:space="preserve"> </w:t>
      </w:r>
      <w:r w:rsidRPr="007F1800">
        <w:rPr>
          <w:rFonts w:ascii="Calibri" w:hAnsi="Calibri" w:cs="Times New Roman"/>
          <w:b/>
          <w:bCs/>
          <w:noProof/>
          <w:szCs w:val="24"/>
        </w:rPr>
        <w:t>16</w:t>
      </w:r>
      <w:r w:rsidRPr="007F1800">
        <w:rPr>
          <w:rFonts w:ascii="Calibri" w:hAnsi="Calibri" w:cs="Times New Roman"/>
          <w:noProof/>
          <w:szCs w:val="24"/>
        </w:rPr>
        <w:t>, 31–41 (1976).</w:t>
      </w:r>
    </w:p>
    <w:p w14:paraId="50F0B489"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42.</w:t>
      </w:r>
      <w:r w:rsidRPr="007F1800">
        <w:rPr>
          <w:rFonts w:ascii="Calibri" w:hAnsi="Calibri" w:cs="Times New Roman"/>
          <w:noProof/>
          <w:szCs w:val="24"/>
        </w:rPr>
        <w:tab/>
        <w:t xml:space="preserve">Tissot, W., Amundsen, C. L., Diokno, A. C., Webster, G. D. &amp; Coats, A. C. Bladder Diary Measurements in Asymptomatic Males: Frequency, Volume per Void, and 24-hour Volume. </w:t>
      </w:r>
      <w:r w:rsidRPr="007F1800">
        <w:rPr>
          <w:rFonts w:ascii="Calibri" w:hAnsi="Calibri" w:cs="Times New Roman"/>
          <w:i/>
          <w:iCs/>
          <w:noProof/>
          <w:szCs w:val="24"/>
        </w:rPr>
        <w:t>Neurourol. Urodyn.</w:t>
      </w:r>
      <w:r w:rsidRPr="007F1800">
        <w:rPr>
          <w:rFonts w:ascii="Calibri" w:hAnsi="Calibri" w:cs="Times New Roman"/>
          <w:noProof/>
          <w:szCs w:val="24"/>
        </w:rPr>
        <w:t xml:space="preserve"> </w:t>
      </w:r>
      <w:r w:rsidRPr="007F1800">
        <w:rPr>
          <w:rFonts w:ascii="Calibri" w:hAnsi="Calibri" w:cs="Times New Roman"/>
          <w:b/>
          <w:bCs/>
          <w:noProof/>
          <w:szCs w:val="24"/>
        </w:rPr>
        <w:t>27</w:t>
      </w:r>
      <w:r w:rsidRPr="007F1800">
        <w:rPr>
          <w:rFonts w:ascii="Calibri" w:hAnsi="Calibri" w:cs="Times New Roman"/>
          <w:noProof/>
          <w:szCs w:val="24"/>
        </w:rPr>
        <w:t>, 198–204 (2008).</w:t>
      </w:r>
    </w:p>
    <w:p w14:paraId="3D4ACA1B"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cs="Times New Roman"/>
          <w:noProof/>
          <w:szCs w:val="24"/>
        </w:rPr>
      </w:pPr>
      <w:r w:rsidRPr="007F1800">
        <w:rPr>
          <w:rFonts w:ascii="Calibri" w:hAnsi="Calibri" w:cs="Times New Roman"/>
          <w:noProof/>
          <w:szCs w:val="24"/>
        </w:rPr>
        <w:t>43.</w:t>
      </w:r>
      <w:r w:rsidRPr="007F1800">
        <w:rPr>
          <w:rFonts w:ascii="Calibri" w:hAnsi="Calibri" w:cs="Times New Roman"/>
          <w:noProof/>
          <w:szCs w:val="24"/>
        </w:rPr>
        <w:tab/>
        <w:t xml:space="preserve">Parsons, M. </w:t>
      </w:r>
      <w:r w:rsidRPr="007F1800">
        <w:rPr>
          <w:rFonts w:ascii="Calibri" w:hAnsi="Calibri" w:cs="Times New Roman"/>
          <w:i/>
          <w:iCs/>
          <w:noProof/>
          <w:szCs w:val="24"/>
        </w:rPr>
        <w:t>et al.</w:t>
      </w:r>
      <w:r w:rsidRPr="007F1800">
        <w:rPr>
          <w:rFonts w:ascii="Calibri" w:hAnsi="Calibri" w:cs="Times New Roman"/>
          <w:noProof/>
          <w:szCs w:val="24"/>
        </w:rPr>
        <w:t xml:space="preserve"> Normative Bladder Diary Measurements: Night Versus Day. </w:t>
      </w:r>
      <w:r w:rsidRPr="007F1800">
        <w:rPr>
          <w:rFonts w:ascii="Calibri" w:hAnsi="Calibri" w:cs="Times New Roman"/>
          <w:i/>
          <w:iCs/>
          <w:noProof/>
          <w:szCs w:val="24"/>
        </w:rPr>
        <w:t xml:space="preserve">Neurourol. </w:t>
      </w:r>
      <w:r w:rsidRPr="007F1800">
        <w:rPr>
          <w:rFonts w:ascii="Calibri" w:hAnsi="Calibri" w:cs="Times New Roman"/>
          <w:i/>
          <w:iCs/>
          <w:noProof/>
          <w:szCs w:val="24"/>
        </w:rPr>
        <w:lastRenderedPageBreak/>
        <w:t>Urodyn.</w:t>
      </w:r>
      <w:r w:rsidRPr="007F1800">
        <w:rPr>
          <w:rFonts w:ascii="Calibri" w:hAnsi="Calibri" w:cs="Times New Roman"/>
          <w:noProof/>
          <w:szCs w:val="24"/>
        </w:rPr>
        <w:t xml:space="preserve"> </w:t>
      </w:r>
      <w:r w:rsidRPr="007F1800">
        <w:rPr>
          <w:rFonts w:ascii="Calibri" w:hAnsi="Calibri" w:cs="Times New Roman"/>
          <w:b/>
          <w:bCs/>
          <w:noProof/>
          <w:szCs w:val="24"/>
        </w:rPr>
        <w:t>26</w:t>
      </w:r>
      <w:r w:rsidRPr="007F1800">
        <w:rPr>
          <w:rFonts w:ascii="Calibri" w:hAnsi="Calibri" w:cs="Times New Roman"/>
          <w:noProof/>
          <w:szCs w:val="24"/>
        </w:rPr>
        <w:t>, 465–476 (2007).</w:t>
      </w:r>
    </w:p>
    <w:p w14:paraId="79383B95" w14:textId="77777777" w:rsidR="007F1800" w:rsidRPr="007F1800" w:rsidRDefault="007F1800" w:rsidP="007F1800">
      <w:pPr>
        <w:widowControl w:val="0"/>
        <w:autoSpaceDE w:val="0"/>
        <w:autoSpaceDN w:val="0"/>
        <w:adjustRightInd w:val="0"/>
        <w:spacing w:after="0" w:line="480" w:lineRule="auto"/>
        <w:ind w:left="640" w:hanging="640"/>
        <w:rPr>
          <w:rFonts w:ascii="Calibri" w:hAnsi="Calibri"/>
          <w:noProof/>
        </w:rPr>
      </w:pPr>
      <w:r w:rsidRPr="007F1800">
        <w:rPr>
          <w:rFonts w:ascii="Calibri" w:hAnsi="Calibri" w:cs="Times New Roman"/>
          <w:noProof/>
          <w:szCs w:val="24"/>
        </w:rPr>
        <w:t>44.</w:t>
      </w:r>
      <w:r w:rsidRPr="007F1800">
        <w:rPr>
          <w:rFonts w:ascii="Calibri" w:hAnsi="Calibri" w:cs="Times New Roman"/>
          <w:noProof/>
          <w:szCs w:val="24"/>
        </w:rPr>
        <w:tab/>
        <w:t xml:space="preserve">Mehta, T. H. &amp; Goldfarb, D. S. Uric Acid Stones and Hyperuricosuria. </w:t>
      </w:r>
      <w:r w:rsidRPr="007F1800">
        <w:rPr>
          <w:rFonts w:ascii="Calibri" w:hAnsi="Calibri" w:cs="Times New Roman"/>
          <w:i/>
          <w:iCs/>
          <w:noProof/>
          <w:szCs w:val="24"/>
        </w:rPr>
        <w:t>Adv. Chronic Kidney Dis.</w:t>
      </w:r>
      <w:r w:rsidRPr="007F1800">
        <w:rPr>
          <w:rFonts w:ascii="Calibri" w:hAnsi="Calibri" w:cs="Times New Roman"/>
          <w:noProof/>
          <w:szCs w:val="24"/>
        </w:rPr>
        <w:t xml:space="preserve"> </w:t>
      </w:r>
      <w:r w:rsidRPr="007F1800">
        <w:rPr>
          <w:rFonts w:ascii="Calibri" w:hAnsi="Calibri" w:cs="Times New Roman"/>
          <w:b/>
          <w:bCs/>
          <w:noProof/>
          <w:szCs w:val="24"/>
        </w:rPr>
        <w:t>19</w:t>
      </w:r>
      <w:r w:rsidRPr="007F1800">
        <w:rPr>
          <w:rFonts w:ascii="Calibri" w:hAnsi="Calibri" w:cs="Times New Roman"/>
          <w:noProof/>
          <w:szCs w:val="24"/>
        </w:rPr>
        <w:t>, 413–418 (2012).</w:t>
      </w:r>
    </w:p>
    <w:p w14:paraId="02C989A9" w14:textId="77777777" w:rsidR="00FE7FE7" w:rsidRDefault="00561277" w:rsidP="00D70D02">
      <w:pPr>
        <w:spacing w:after="0" w:line="480" w:lineRule="auto"/>
      </w:pPr>
      <w:r>
        <w:fldChar w:fldCharType="end"/>
      </w:r>
    </w:p>
    <w:p w14:paraId="2F998182" w14:textId="70E16C32" w:rsidR="009F6922" w:rsidRPr="005A1DB7" w:rsidRDefault="00FE7FE7" w:rsidP="00D70D02">
      <w:pPr>
        <w:spacing w:after="0" w:line="480" w:lineRule="auto"/>
        <w:rPr>
          <w:sz w:val="28"/>
          <w:szCs w:val="28"/>
        </w:rPr>
      </w:pPr>
      <w:r>
        <w:br w:type="page"/>
      </w:r>
    </w:p>
    <w:p w14:paraId="241C0E72" w14:textId="6362F3B8" w:rsidR="005A1DB7" w:rsidRPr="005A1DB7" w:rsidRDefault="005A1DB7" w:rsidP="00D70D02">
      <w:pPr>
        <w:spacing w:after="0" w:line="480" w:lineRule="auto"/>
        <w:rPr>
          <w:b/>
        </w:rPr>
      </w:pPr>
      <w:r w:rsidRPr="005A1DB7">
        <w:rPr>
          <w:b/>
        </w:rPr>
        <w:lastRenderedPageBreak/>
        <w:t>Figure legends</w:t>
      </w:r>
    </w:p>
    <w:p w14:paraId="1300BA72" w14:textId="77777777" w:rsidR="005A1DB7" w:rsidRPr="005A1DB7" w:rsidRDefault="005A1DB7" w:rsidP="00D70D02">
      <w:pPr>
        <w:spacing w:after="0" w:line="480" w:lineRule="auto"/>
      </w:pPr>
    </w:p>
    <w:p w14:paraId="6566E369" w14:textId="515DDCB4" w:rsidR="000616AA" w:rsidRPr="005A1DB7" w:rsidRDefault="000616AA" w:rsidP="00D70D02">
      <w:pPr>
        <w:spacing w:after="0" w:line="480" w:lineRule="auto"/>
      </w:pPr>
      <w:r w:rsidRPr="005A1DB7">
        <w:t xml:space="preserve">Figure </w:t>
      </w:r>
      <w:r w:rsidR="00CF7A19">
        <w:t>1</w:t>
      </w:r>
      <w:r w:rsidRPr="005A1DB7">
        <w:t xml:space="preserve">. Simulated urinary uric acid </w:t>
      </w:r>
      <w:r w:rsidR="004E6544" w:rsidRPr="005A1DB7">
        <w:t>(</w:t>
      </w:r>
      <w:proofErr w:type="spellStart"/>
      <w:r w:rsidR="004E6544" w:rsidRPr="005A1DB7">
        <w:t>uUA</w:t>
      </w:r>
      <w:proofErr w:type="spellEnd"/>
      <w:r w:rsidR="004E6544" w:rsidRPr="005A1DB7">
        <w:t xml:space="preserve">) </w:t>
      </w:r>
      <w:r w:rsidRPr="005A1DB7">
        <w:t xml:space="preserve">concentration and estimated pH for uric acid supersaturation assuming a daily volume of urine of 15dl. The simulated </w:t>
      </w:r>
      <w:proofErr w:type="spellStart"/>
      <w:r w:rsidR="00354980" w:rsidRPr="005A1DB7">
        <w:t>uUA</w:t>
      </w:r>
      <w:proofErr w:type="spellEnd"/>
      <w:r w:rsidRPr="005A1DB7">
        <w:t xml:space="preserve"> concentration over time (left-hand </w:t>
      </w:r>
      <w:r w:rsidR="004E6544" w:rsidRPr="005A1DB7">
        <w:t>panel</w:t>
      </w:r>
      <w:r w:rsidRPr="005A1DB7">
        <w:t xml:space="preserve">) and the estimated pH at which this concentration would become supersaturated (right-hand </w:t>
      </w:r>
      <w:r w:rsidR="004E6544" w:rsidRPr="005A1DB7">
        <w:t>panel</w:t>
      </w:r>
      <w:r w:rsidRPr="005A1DB7">
        <w:t xml:space="preserve">). Imperfect adherence modelled as an 8 day drug holiday. The </w:t>
      </w:r>
      <w:r w:rsidR="004E6544" w:rsidRPr="005A1DB7">
        <w:t>shaded area</w:t>
      </w:r>
      <w:r w:rsidRPr="005A1DB7">
        <w:t xml:space="preserve"> represents the normal range for urine </w:t>
      </w:r>
      <w:proofErr w:type="spellStart"/>
      <w:r w:rsidRPr="005A1DB7">
        <w:t>pH.</w:t>
      </w:r>
      <w:proofErr w:type="spellEnd"/>
      <w:r w:rsidRPr="005A1DB7">
        <w:t xml:space="preserve"> The upper plots are the central estimates from the PKPD model for a gout patient with hyperuricemia from a reduced rate of uric acid clearance</w:t>
      </w:r>
      <w:r w:rsidR="004E6544" w:rsidRPr="005A1DB7">
        <w:t xml:space="preserve">, and the lower plots </w:t>
      </w:r>
      <w:r w:rsidRPr="005A1DB7">
        <w:t>for hyperuricemia due to overproduction xanthine.</w:t>
      </w:r>
    </w:p>
    <w:p w14:paraId="37F1D1E8" w14:textId="496484DC" w:rsidR="000616AA" w:rsidRPr="005A1DB7" w:rsidRDefault="000616AA" w:rsidP="00D70D02">
      <w:pPr>
        <w:spacing w:after="0" w:line="480" w:lineRule="auto"/>
      </w:pPr>
    </w:p>
    <w:p w14:paraId="530E77DD" w14:textId="3598199D" w:rsidR="000616AA" w:rsidRPr="005A1DB7" w:rsidRDefault="000616AA" w:rsidP="00D70D02">
      <w:pPr>
        <w:spacing w:after="0" w:line="480" w:lineRule="auto"/>
      </w:pPr>
      <w:r w:rsidRPr="005A1DB7">
        <w:t xml:space="preserve">Figure </w:t>
      </w:r>
      <w:r w:rsidR="00CF7A19">
        <w:t>2</w:t>
      </w:r>
      <w:r w:rsidRPr="005A1DB7">
        <w:t xml:space="preserve">. Proportion of simulated patients with one-day hyperuricosuria following a single drug holiday </w:t>
      </w:r>
      <w:r w:rsidR="00B12C7F" w:rsidRPr="005A1DB7">
        <w:t>taking place after one month of perfect adherence</w:t>
      </w:r>
      <w:r w:rsidR="00BD15FD" w:rsidRPr="005A1DB7">
        <w:t>.</w:t>
      </w:r>
    </w:p>
    <w:p w14:paraId="56259EA8" w14:textId="313CE28E" w:rsidR="000616AA" w:rsidRPr="005A1DB7" w:rsidRDefault="000616AA" w:rsidP="00D70D02">
      <w:pPr>
        <w:spacing w:after="0" w:line="480" w:lineRule="auto"/>
      </w:pPr>
    </w:p>
    <w:p w14:paraId="7C44642D" w14:textId="6160DCBF" w:rsidR="000616AA" w:rsidRDefault="000616AA" w:rsidP="00D70D02">
      <w:pPr>
        <w:spacing w:after="0" w:line="480" w:lineRule="auto"/>
      </w:pPr>
      <w:r w:rsidRPr="005A1DB7">
        <w:t xml:space="preserve">Figure </w:t>
      </w:r>
      <w:r w:rsidR="00CF7A19">
        <w:t>3</w:t>
      </w:r>
      <w:r w:rsidRPr="005A1DB7">
        <w:t xml:space="preserve">. Treatment success rates (top row) and the proportion of patients experiencing one-day hyperuricosuria in two months of </w:t>
      </w:r>
      <w:r w:rsidR="004F2404">
        <w:t>urate lowering therapy (ULT)</w:t>
      </w:r>
      <w:r w:rsidRPr="005A1DB7">
        <w:t xml:space="preserve"> (bottom row). Horizontal lines provide the reference response rates for this treatment arm from the CRYSTAL trial comparing febuxostat and lesinurad</w:t>
      </w:r>
      <w:r w:rsidR="001A5DD3" w:rsidRPr="005A1DB7">
        <w:t xml:space="preserve"> and study 303 for lesinurad 400mg monotherapy</w:t>
      </w:r>
      <w:r w:rsidRPr="005A1DB7">
        <w:t xml:space="preserve">. Results are for under-excreters of uric acid only, for overproducers see the supplementary material. </w:t>
      </w:r>
      <w:r w:rsidR="00771586" w:rsidRPr="005A1DB7">
        <w:t>FBX: Febuxostat; LES: Lesinurad.</w:t>
      </w:r>
    </w:p>
    <w:p w14:paraId="5C0178A1" w14:textId="77777777" w:rsidR="00CF7A19" w:rsidRPr="005A1DB7" w:rsidRDefault="00CF7A19" w:rsidP="00D70D02">
      <w:pPr>
        <w:spacing w:after="0" w:line="480" w:lineRule="auto"/>
      </w:pPr>
    </w:p>
    <w:p w14:paraId="7E94F4F7" w14:textId="77777777" w:rsidR="00CF7A19" w:rsidRDefault="00CF7A19" w:rsidP="00CF7A19">
      <w:pPr>
        <w:spacing w:after="0" w:line="480" w:lineRule="auto"/>
      </w:pPr>
      <w:r w:rsidRPr="005A1DB7">
        <w:t xml:space="preserve">Figure </w:t>
      </w:r>
      <w:r>
        <w:t>4</w:t>
      </w:r>
      <w:r w:rsidRPr="005A1DB7">
        <w:t>. Diagrammatic and mathematical representations of the pharmacodynamics of dual-</w:t>
      </w:r>
      <w:r>
        <w:t>urate lowering therapy</w:t>
      </w:r>
    </w:p>
    <w:p w14:paraId="53940CCD" w14:textId="1646724D" w:rsidR="00202015" w:rsidRDefault="00202015" w:rsidP="00D70D02">
      <w:pPr>
        <w:spacing w:after="0" w:line="480" w:lineRule="auto"/>
      </w:pPr>
    </w:p>
    <w:p w14:paraId="3C7FB389" w14:textId="77777777" w:rsidR="00202015" w:rsidRDefault="00202015" w:rsidP="00D70D02">
      <w:pPr>
        <w:spacing w:after="0" w:line="480" w:lineRule="auto"/>
      </w:pPr>
    </w:p>
    <w:sectPr w:rsidR="002020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63554" w14:textId="77777777" w:rsidR="004C362B" w:rsidRDefault="004C362B" w:rsidP="00C403A0">
      <w:pPr>
        <w:spacing w:after="0" w:line="240" w:lineRule="auto"/>
      </w:pPr>
      <w:r>
        <w:separator/>
      </w:r>
    </w:p>
  </w:endnote>
  <w:endnote w:type="continuationSeparator" w:id="0">
    <w:p w14:paraId="271B4C00" w14:textId="77777777" w:rsidR="004C362B" w:rsidRDefault="004C362B" w:rsidP="00C4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602381"/>
      <w:docPartObj>
        <w:docPartGallery w:val="Page Numbers (Bottom of Page)"/>
        <w:docPartUnique/>
      </w:docPartObj>
    </w:sdtPr>
    <w:sdtEndPr>
      <w:rPr>
        <w:noProof/>
      </w:rPr>
    </w:sdtEndPr>
    <w:sdtContent>
      <w:p w14:paraId="36027FEE" w14:textId="2D8243BF" w:rsidR="004C362B" w:rsidRDefault="004C362B">
        <w:pPr>
          <w:pStyle w:val="Footer"/>
          <w:jc w:val="center"/>
        </w:pPr>
        <w:r>
          <w:fldChar w:fldCharType="begin"/>
        </w:r>
        <w:r>
          <w:instrText xml:space="preserve"> PAGE   \* MERGEFORMAT </w:instrText>
        </w:r>
        <w:r>
          <w:fldChar w:fldCharType="separate"/>
        </w:r>
        <w:r w:rsidR="007313EC">
          <w:rPr>
            <w:noProof/>
          </w:rPr>
          <w:t>21</w:t>
        </w:r>
        <w:r>
          <w:rPr>
            <w:noProof/>
          </w:rPr>
          <w:fldChar w:fldCharType="end"/>
        </w:r>
      </w:p>
    </w:sdtContent>
  </w:sdt>
  <w:p w14:paraId="30D3110B" w14:textId="77777777" w:rsidR="004C362B" w:rsidRDefault="004C3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2D015" w14:textId="77777777" w:rsidR="004C362B" w:rsidRDefault="004C362B" w:rsidP="00C403A0">
      <w:pPr>
        <w:spacing w:after="0" w:line="240" w:lineRule="auto"/>
      </w:pPr>
      <w:r>
        <w:separator/>
      </w:r>
    </w:p>
  </w:footnote>
  <w:footnote w:type="continuationSeparator" w:id="0">
    <w:p w14:paraId="1CAAD5EC" w14:textId="77777777" w:rsidR="004C362B" w:rsidRDefault="004C362B" w:rsidP="00C4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2A86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562ED"/>
    <w:multiLevelType w:val="hybridMultilevel"/>
    <w:tmpl w:val="1428AEFC"/>
    <w:lvl w:ilvl="0" w:tplc="1220B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1A20"/>
    <w:multiLevelType w:val="hybridMultilevel"/>
    <w:tmpl w:val="49A6DD04"/>
    <w:lvl w:ilvl="0" w:tplc="815AC5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E733B"/>
    <w:multiLevelType w:val="hybridMultilevel"/>
    <w:tmpl w:val="5DEEFDFC"/>
    <w:lvl w:ilvl="0" w:tplc="1220B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A54E1"/>
    <w:multiLevelType w:val="hybridMultilevel"/>
    <w:tmpl w:val="72127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E5E02"/>
    <w:multiLevelType w:val="hybridMultilevel"/>
    <w:tmpl w:val="97588A0E"/>
    <w:lvl w:ilvl="0" w:tplc="CBB8F12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01F15"/>
    <w:multiLevelType w:val="hybridMultilevel"/>
    <w:tmpl w:val="38BE4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12000"/>
    <w:multiLevelType w:val="hybridMultilevel"/>
    <w:tmpl w:val="BE64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23E65"/>
    <w:multiLevelType w:val="hybridMultilevel"/>
    <w:tmpl w:val="BC467B0A"/>
    <w:lvl w:ilvl="0" w:tplc="B4104848">
      <w:start w:val="1"/>
      <w:numFmt w:val="bullet"/>
      <w:lvlText w:val=""/>
      <w:lvlJc w:val="left"/>
      <w:pPr>
        <w:tabs>
          <w:tab w:val="num" w:pos="720"/>
        </w:tabs>
        <w:ind w:left="720" w:hanging="360"/>
      </w:pPr>
      <w:rPr>
        <w:rFonts w:ascii="Wingdings" w:hAnsi="Wingdings" w:hint="default"/>
      </w:rPr>
    </w:lvl>
    <w:lvl w:ilvl="1" w:tplc="6024A824" w:tentative="1">
      <w:start w:val="1"/>
      <w:numFmt w:val="bullet"/>
      <w:lvlText w:val=""/>
      <w:lvlJc w:val="left"/>
      <w:pPr>
        <w:tabs>
          <w:tab w:val="num" w:pos="1440"/>
        </w:tabs>
        <w:ind w:left="1440" w:hanging="360"/>
      </w:pPr>
      <w:rPr>
        <w:rFonts w:ascii="Wingdings" w:hAnsi="Wingdings" w:hint="default"/>
      </w:rPr>
    </w:lvl>
    <w:lvl w:ilvl="2" w:tplc="E1143E7E" w:tentative="1">
      <w:start w:val="1"/>
      <w:numFmt w:val="bullet"/>
      <w:lvlText w:val=""/>
      <w:lvlJc w:val="left"/>
      <w:pPr>
        <w:tabs>
          <w:tab w:val="num" w:pos="2160"/>
        </w:tabs>
        <w:ind w:left="2160" w:hanging="360"/>
      </w:pPr>
      <w:rPr>
        <w:rFonts w:ascii="Wingdings" w:hAnsi="Wingdings" w:hint="default"/>
      </w:rPr>
    </w:lvl>
    <w:lvl w:ilvl="3" w:tplc="DE448E90" w:tentative="1">
      <w:start w:val="1"/>
      <w:numFmt w:val="bullet"/>
      <w:lvlText w:val=""/>
      <w:lvlJc w:val="left"/>
      <w:pPr>
        <w:tabs>
          <w:tab w:val="num" w:pos="2880"/>
        </w:tabs>
        <w:ind w:left="2880" w:hanging="360"/>
      </w:pPr>
      <w:rPr>
        <w:rFonts w:ascii="Wingdings" w:hAnsi="Wingdings" w:hint="default"/>
      </w:rPr>
    </w:lvl>
    <w:lvl w:ilvl="4" w:tplc="D696BD22" w:tentative="1">
      <w:start w:val="1"/>
      <w:numFmt w:val="bullet"/>
      <w:lvlText w:val=""/>
      <w:lvlJc w:val="left"/>
      <w:pPr>
        <w:tabs>
          <w:tab w:val="num" w:pos="3600"/>
        </w:tabs>
        <w:ind w:left="3600" w:hanging="360"/>
      </w:pPr>
      <w:rPr>
        <w:rFonts w:ascii="Wingdings" w:hAnsi="Wingdings" w:hint="default"/>
      </w:rPr>
    </w:lvl>
    <w:lvl w:ilvl="5" w:tplc="65FC0FFE" w:tentative="1">
      <w:start w:val="1"/>
      <w:numFmt w:val="bullet"/>
      <w:lvlText w:val=""/>
      <w:lvlJc w:val="left"/>
      <w:pPr>
        <w:tabs>
          <w:tab w:val="num" w:pos="4320"/>
        </w:tabs>
        <w:ind w:left="4320" w:hanging="360"/>
      </w:pPr>
      <w:rPr>
        <w:rFonts w:ascii="Wingdings" w:hAnsi="Wingdings" w:hint="default"/>
      </w:rPr>
    </w:lvl>
    <w:lvl w:ilvl="6" w:tplc="DBFE3CC6" w:tentative="1">
      <w:start w:val="1"/>
      <w:numFmt w:val="bullet"/>
      <w:lvlText w:val=""/>
      <w:lvlJc w:val="left"/>
      <w:pPr>
        <w:tabs>
          <w:tab w:val="num" w:pos="5040"/>
        </w:tabs>
        <w:ind w:left="5040" w:hanging="360"/>
      </w:pPr>
      <w:rPr>
        <w:rFonts w:ascii="Wingdings" w:hAnsi="Wingdings" w:hint="default"/>
      </w:rPr>
    </w:lvl>
    <w:lvl w:ilvl="7" w:tplc="E0026E1A" w:tentative="1">
      <w:start w:val="1"/>
      <w:numFmt w:val="bullet"/>
      <w:lvlText w:val=""/>
      <w:lvlJc w:val="left"/>
      <w:pPr>
        <w:tabs>
          <w:tab w:val="num" w:pos="5760"/>
        </w:tabs>
        <w:ind w:left="5760" w:hanging="360"/>
      </w:pPr>
      <w:rPr>
        <w:rFonts w:ascii="Wingdings" w:hAnsi="Wingdings" w:hint="default"/>
      </w:rPr>
    </w:lvl>
    <w:lvl w:ilvl="8" w:tplc="745672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803A6C"/>
    <w:multiLevelType w:val="hybridMultilevel"/>
    <w:tmpl w:val="8B8C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049D7"/>
    <w:multiLevelType w:val="hybridMultilevel"/>
    <w:tmpl w:val="265C0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7663A"/>
    <w:multiLevelType w:val="hybridMultilevel"/>
    <w:tmpl w:val="5DEEFDFC"/>
    <w:lvl w:ilvl="0" w:tplc="1220B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2297F"/>
    <w:multiLevelType w:val="hybridMultilevel"/>
    <w:tmpl w:val="25CA1960"/>
    <w:lvl w:ilvl="0" w:tplc="1220B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0"/>
  </w:num>
  <w:num w:numId="5">
    <w:abstractNumId w:val="5"/>
  </w:num>
  <w:num w:numId="6">
    <w:abstractNumId w:val="8"/>
  </w:num>
  <w:num w:numId="7">
    <w:abstractNumId w:val="2"/>
  </w:num>
  <w:num w:numId="8">
    <w:abstractNumId w:val="4"/>
  </w:num>
  <w:num w:numId="9">
    <w:abstractNumId w:val="3"/>
  </w:num>
  <w:num w:numId="10">
    <w:abstractNumId w:val="12"/>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99"/>
    <w:rsid w:val="0000018E"/>
    <w:rsid w:val="00002163"/>
    <w:rsid w:val="000030C1"/>
    <w:rsid w:val="00003FD3"/>
    <w:rsid w:val="000049B2"/>
    <w:rsid w:val="00005E45"/>
    <w:rsid w:val="00005EE6"/>
    <w:rsid w:val="00006CCE"/>
    <w:rsid w:val="00007C39"/>
    <w:rsid w:val="000102FB"/>
    <w:rsid w:val="00011046"/>
    <w:rsid w:val="00011B99"/>
    <w:rsid w:val="00012BA8"/>
    <w:rsid w:val="00013A18"/>
    <w:rsid w:val="00014A9B"/>
    <w:rsid w:val="0001579E"/>
    <w:rsid w:val="00015EE9"/>
    <w:rsid w:val="0002037E"/>
    <w:rsid w:val="0002328C"/>
    <w:rsid w:val="00024791"/>
    <w:rsid w:val="00024985"/>
    <w:rsid w:val="00024E05"/>
    <w:rsid w:val="00025FC2"/>
    <w:rsid w:val="00027BD7"/>
    <w:rsid w:val="00027C99"/>
    <w:rsid w:val="00027CD7"/>
    <w:rsid w:val="000300E5"/>
    <w:rsid w:val="0003060C"/>
    <w:rsid w:val="00030F98"/>
    <w:rsid w:val="00031980"/>
    <w:rsid w:val="00032B4D"/>
    <w:rsid w:val="0003366D"/>
    <w:rsid w:val="00033AB5"/>
    <w:rsid w:val="00035D14"/>
    <w:rsid w:val="000362B6"/>
    <w:rsid w:val="0004075A"/>
    <w:rsid w:val="00040E36"/>
    <w:rsid w:val="00043DFB"/>
    <w:rsid w:val="00045377"/>
    <w:rsid w:val="00045790"/>
    <w:rsid w:val="000457E4"/>
    <w:rsid w:val="000457FC"/>
    <w:rsid w:val="00051151"/>
    <w:rsid w:val="000514E5"/>
    <w:rsid w:val="00051F51"/>
    <w:rsid w:val="00052657"/>
    <w:rsid w:val="00055095"/>
    <w:rsid w:val="00055825"/>
    <w:rsid w:val="00056ACF"/>
    <w:rsid w:val="0006086A"/>
    <w:rsid w:val="000614D0"/>
    <w:rsid w:val="000616AA"/>
    <w:rsid w:val="000633F7"/>
    <w:rsid w:val="000635A8"/>
    <w:rsid w:val="0007015F"/>
    <w:rsid w:val="00073275"/>
    <w:rsid w:val="00074A99"/>
    <w:rsid w:val="00075939"/>
    <w:rsid w:val="000769E2"/>
    <w:rsid w:val="00076B34"/>
    <w:rsid w:val="00080CCD"/>
    <w:rsid w:val="00080DD0"/>
    <w:rsid w:val="000822CC"/>
    <w:rsid w:val="00086604"/>
    <w:rsid w:val="00086990"/>
    <w:rsid w:val="00091CBA"/>
    <w:rsid w:val="00092302"/>
    <w:rsid w:val="00094A51"/>
    <w:rsid w:val="00095BD6"/>
    <w:rsid w:val="00095D42"/>
    <w:rsid w:val="000979B5"/>
    <w:rsid w:val="00097AB4"/>
    <w:rsid w:val="000A0C53"/>
    <w:rsid w:val="000A2108"/>
    <w:rsid w:val="000A3CD9"/>
    <w:rsid w:val="000A56D2"/>
    <w:rsid w:val="000A682B"/>
    <w:rsid w:val="000A7B14"/>
    <w:rsid w:val="000B0866"/>
    <w:rsid w:val="000B101E"/>
    <w:rsid w:val="000B1145"/>
    <w:rsid w:val="000B195D"/>
    <w:rsid w:val="000B33F8"/>
    <w:rsid w:val="000B4C69"/>
    <w:rsid w:val="000B5274"/>
    <w:rsid w:val="000B6D13"/>
    <w:rsid w:val="000B7FBA"/>
    <w:rsid w:val="000C1059"/>
    <w:rsid w:val="000C1F49"/>
    <w:rsid w:val="000C2C0C"/>
    <w:rsid w:val="000C3212"/>
    <w:rsid w:val="000C41FD"/>
    <w:rsid w:val="000C6B6E"/>
    <w:rsid w:val="000D13B5"/>
    <w:rsid w:val="000D1775"/>
    <w:rsid w:val="000D2F4B"/>
    <w:rsid w:val="000D413A"/>
    <w:rsid w:val="000D4AA5"/>
    <w:rsid w:val="000D64CA"/>
    <w:rsid w:val="000D66B5"/>
    <w:rsid w:val="000D7610"/>
    <w:rsid w:val="000D79FB"/>
    <w:rsid w:val="000D7FDA"/>
    <w:rsid w:val="000E13D3"/>
    <w:rsid w:val="000E1959"/>
    <w:rsid w:val="000E259E"/>
    <w:rsid w:val="000E4685"/>
    <w:rsid w:val="000E4985"/>
    <w:rsid w:val="000E52A8"/>
    <w:rsid w:val="000E7E72"/>
    <w:rsid w:val="000F0526"/>
    <w:rsid w:val="000F1697"/>
    <w:rsid w:val="000F1BC2"/>
    <w:rsid w:val="000F246D"/>
    <w:rsid w:val="000F36CF"/>
    <w:rsid w:val="000F39A0"/>
    <w:rsid w:val="000F3CDB"/>
    <w:rsid w:val="000F487C"/>
    <w:rsid w:val="000F6D34"/>
    <w:rsid w:val="000F749E"/>
    <w:rsid w:val="000F7751"/>
    <w:rsid w:val="00100268"/>
    <w:rsid w:val="00104783"/>
    <w:rsid w:val="00105D54"/>
    <w:rsid w:val="00106046"/>
    <w:rsid w:val="00107026"/>
    <w:rsid w:val="00107E2D"/>
    <w:rsid w:val="001107E4"/>
    <w:rsid w:val="00110B20"/>
    <w:rsid w:val="0011290A"/>
    <w:rsid w:val="00113ED5"/>
    <w:rsid w:val="001140AE"/>
    <w:rsid w:val="00114491"/>
    <w:rsid w:val="00115E6E"/>
    <w:rsid w:val="001162A2"/>
    <w:rsid w:val="001171C6"/>
    <w:rsid w:val="001173A0"/>
    <w:rsid w:val="00117EE7"/>
    <w:rsid w:val="00121DB6"/>
    <w:rsid w:val="00124673"/>
    <w:rsid w:val="00126451"/>
    <w:rsid w:val="00130FC5"/>
    <w:rsid w:val="00131E1C"/>
    <w:rsid w:val="001331E4"/>
    <w:rsid w:val="0013629B"/>
    <w:rsid w:val="0014213C"/>
    <w:rsid w:val="00142EA9"/>
    <w:rsid w:val="00144DD8"/>
    <w:rsid w:val="00145A3B"/>
    <w:rsid w:val="00146405"/>
    <w:rsid w:val="00150F33"/>
    <w:rsid w:val="00151408"/>
    <w:rsid w:val="00153286"/>
    <w:rsid w:val="001534A8"/>
    <w:rsid w:val="0015578D"/>
    <w:rsid w:val="00156F08"/>
    <w:rsid w:val="00160041"/>
    <w:rsid w:val="00160BED"/>
    <w:rsid w:val="00161283"/>
    <w:rsid w:val="001637A5"/>
    <w:rsid w:val="00163E2C"/>
    <w:rsid w:val="00164885"/>
    <w:rsid w:val="001652A3"/>
    <w:rsid w:val="001653F7"/>
    <w:rsid w:val="00166F95"/>
    <w:rsid w:val="00170157"/>
    <w:rsid w:val="00171F14"/>
    <w:rsid w:val="001722F2"/>
    <w:rsid w:val="00172C34"/>
    <w:rsid w:val="00173FAB"/>
    <w:rsid w:val="00174354"/>
    <w:rsid w:val="00174A0C"/>
    <w:rsid w:val="001757FA"/>
    <w:rsid w:val="00176D29"/>
    <w:rsid w:val="00176D5B"/>
    <w:rsid w:val="001778DC"/>
    <w:rsid w:val="00183C5D"/>
    <w:rsid w:val="0018635B"/>
    <w:rsid w:val="0018757E"/>
    <w:rsid w:val="0018793D"/>
    <w:rsid w:val="00192B4A"/>
    <w:rsid w:val="0019503A"/>
    <w:rsid w:val="001973BC"/>
    <w:rsid w:val="00197DAF"/>
    <w:rsid w:val="001A0B42"/>
    <w:rsid w:val="001A126B"/>
    <w:rsid w:val="001A142F"/>
    <w:rsid w:val="001A3308"/>
    <w:rsid w:val="001A3875"/>
    <w:rsid w:val="001A3D9E"/>
    <w:rsid w:val="001A53C7"/>
    <w:rsid w:val="001A5DD3"/>
    <w:rsid w:val="001A600B"/>
    <w:rsid w:val="001A6279"/>
    <w:rsid w:val="001A6BFB"/>
    <w:rsid w:val="001B07B0"/>
    <w:rsid w:val="001B2D12"/>
    <w:rsid w:val="001B4EB0"/>
    <w:rsid w:val="001B5467"/>
    <w:rsid w:val="001B5584"/>
    <w:rsid w:val="001B59B1"/>
    <w:rsid w:val="001B6460"/>
    <w:rsid w:val="001B73BE"/>
    <w:rsid w:val="001B786E"/>
    <w:rsid w:val="001C043D"/>
    <w:rsid w:val="001C3F27"/>
    <w:rsid w:val="001C4EE6"/>
    <w:rsid w:val="001C667C"/>
    <w:rsid w:val="001C6D4E"/>
    <w:rsid w:val="001C717A"/>
    <w:rsid w:val="001C71FC"/>
    <w:rsid w:val="001C7A84"/>
    <w:rsid w:val="001D178D"/>
    <w:rsid w:val="001D1C3D"/>
    <w:rsid w:val="001D1D24"/>
    <w:rsid w:val="001D492C"/>
    <w:rsid w:val="001D4D34"/>
    <w:rsid w:val="001D5C3A"/>
    <w:rsid w:val="001D69AE"/>
    <w:rsid w:val="001D6F6E"/>
    <w:rsid w:val="001D734B"/>
    <w:rsid w:val="001E028E"/>
    <w:rsid w:val="001E048D"/>
    <w:rsid w:val="001E057C"/>
    <w:rsid w:val="001E05C5"/>
    <w:rsid w:val="001E0CA0"/>
    <w:rsid w:val="001E1000"/>
    <w:rsid w:val="001E1455"/>
    <w:rsid w:val="001E3ADC"/>
    <w:rsid w:val="001E3F9D"/>
    <w:rsid w:val="001E4F43"/>
    <w:rsid w:val="001E7E60"/>
    <w:rsid w:val="001F0785"/>
    <w:rsid w:val="001F0A92"/>
    <w:rsid w:val="001F0AA9"/>
    <w:rsid w:val="001F1289"/>
    <w:rsid w:val="001F12EC"/>
    <w:rsid w:val="001F187D"/>
    <w:rsid w:val="001F20FD"/>
    <w:rsid w:val="001F3E04"/>
    <w:rsid w:val="001F41A2"/>
    <w:rsid w:val="001F52A1"/>
    <w:rsid w:val="001F674F"/>
    <w:rsid w:val="001F6D00"/>
    <w:rsid w:val="001F7F1B"/>
    <w:rsid w:val="00202015"/>
    <w:rsid w:val="0020262C"/>
    <w:rsid w:val="00206824"/>
    <w:rsid w:val="0020793B"/>
    <w:rsid w:val="00210211"/>
    <w:rsid w:val="0021046D"/>
    <w:rsid w:val="00211F3A"/>
    <w:rsid w:val="002125BA"/>
    <w:rsid w:val="002125DB"/>
    <w:rsid w:val="00214F65"/>
    <w:rsid w:val="00215C77"/>
    <w:rsid w:val="00216661"/>
    <w:rsid w:val="00217936"/>
    <w:rsid w:val="002202B5"/>
    <w:rsid w:val="0022097D"/>
    <w:rsid w:val="00221A06"/>
    <w:rsid w:val="00222D2D"/>
    <w:rsid w:val="002231AA"/>
    <w:rsid w:val="00223D8B"/>
    <w:rsid w:val="00224D15"/>
    <w:rsid w:val="002264BF"/>
    <w:rsid w:val="00226EFC"/>
    <w:rsid w:val="0022710D"/>
    <w:rsid w:val="00227360"/>
    <w:rsid w:val="0022796A"/>
    <w:rsid w:val="002302EE"/>
    <w:rsid w:val="00233258"/>
    <w:rsid w:val="00235263"/>
    <w:rsid w:val="00236EC6"/>
    <w:rsid w:val="002405FD"/>
    <w:rsid w:val="002432AD"/>
    <w:rsid w:val="002439AF"/>
    <w:rsid w:val="00244590"/>
    <w:rsid w:val="00244B41"/>
    <w:rsid w:val="002460DF"/>
    <w:rsid w:val="002464FA"/>
    <w:rsid w:val="002473C0"/>
    <w:rsid w:val="00250A01"/>
    <w:rsid w:val="00250BDD"/>
    <w:rsid w:val="0025132F"/>
    <w:rsid w:val="00251436"/>
    <w:rsid w:val="002521B2"/>
    <w:rsid w:val="00252338"/>
    <w:rsid w:val="00252405"/>
    <w:rsid w:val="0025311A"/>
    <w:rsid w:val="00253438"/>
    <w:rsid w:val="00253A1F"/>
    <w:rsid w:val="0025466B"/>
    <w:rsid w:val="00254CF1"/>
    <w:rsid w:val="00255D9F"/>
    <w:rsid w:val="0026466C"/>
    <w:rsid w:val="00265037"/>
    <w:rsid w:val="002651AC"/>
    <w:rsid w:val="00265F16"/>
    <w:rsid w:val="002660C1"/>
    <w:rsid w:val="00266D38"/>
    <w:rsid w:val="00271D78"/>
    <w:rsid w:val="00271FF4"/>
    <w:rsid w:val="00272E40"/>
    <w:rsid w:val="002730D4"/>
    <w:rsid w:val="0027376E"/>
    <w:rsid w:val="00274670"/>
    <w:rsid w:val="00274B33"/>
    <w:rsid w:val="00277C1E"/>
    <w:rsid w:val="00277C52"/>
    <w:rsid w:val="00280BE7"/>
    <w:rsid w:val="00280E8C"/>
    <w:rsid w:val="0028198A"/>
    <w:rsid w:val="00284CBE"/>
    <w:rsid w:val="00285224"/>
    <w:rsid w:val="00286A17"/>
    <w:rsid w:val="00291205"/>
    <w:rsid w:val="00291703"/>
    <w:rsid w:val="00292456"/>
    <w:rsid w:val="00294F02"/>
    <w:rsid w:val="002953CD"/>
    <w:rsid w:val="00295B2B"/>
    <w:rsid w:val="00295B5E"/>
    <w:rsid w:val="00295D1C"/>
    <w:rsid w:val="00297E73"/>
    <w:rsid w:val="00297E88"/>
    <w:rsid w:val="00297F5A"/>
    <w:rsid w:val="002A011D"/>
    <w:rsid w:val="002A0C51"/>
    <w:rsid w:val="002A0EA5"/>
    <w:rsid w:val="002A1FC0"/>
    <w:rsid w:val="002A3CA9"/>
    <w:rsid w:val="002A4EE3"/>
    <w:rsid w:val="002A591B"/>
    <w:rsid w:val="002B042E"/>
    <w:rsid w:val="002B3F87"/>
    <w:rsid w:val="002B4A58"/>
    <w:rsid w:val="002B67B2"/>
    <w:rsid w:val="002C028E"/>
    <w:rsid w:val="002C1206"/>
    <w:rsid w:val="002C1C3B"/>
    <w:rsid w:val="002C2170"/>
    <w:rsid w:val="002C3520"/>
    <w:rsid w:val="002C55F5"/>
    <w:rsid w:val="002C62B5"/>
    <w:rsid w:val="002C721B"/>
    <w:rsid w:val="002C78EF"/>
    <w:rsid w:val="002D024D"/>
    <w:rsid w:val="002D4DCC"/>
    <w:rsid w:val="002D5803"/>
    <w:rsid w:val="002D5947"/>
    <w:rsid w:val="002D6C65"/>
    <w:rsid w:val="002D7F79"/>
    <w:rsid w:val="002E085B"/>
    <w:rsid w:val="002E0ACE"/>
    <w:rsid w:val="002E1C8D"/>
    <w:rsid w:val="002E2242"/>
    <w:rsid w:val="002E32FF"/>
    <w:rsid w:val="002E3C70"/>
    <w:rsid w:val="002E562A"/>
    <w:rsid w:val="002E636B"/>
    <w:rsid w:val="002E7539"/>
    <w:rsid w:val="002F04BA"/>
    <w:rsid w:val="002F1738"/>
    <w:rsid w:val="002F201E"/>
    <w:rsid w:val="002F543B"/>
    <w:rsid w:val="002F5F18"/>
    <w:rsid w:val="002F6E98"/>
    <w:rsid w:val="002F7E5F"/>
    <w:rsid w:val="0030072D"/>
    <w:rsid w:val="00300A15"/>
    <w:rsid w:val="00301C8F"/>
    <w:rsid w:val="00302311"/>
    <w:rsid w:val="00303DA4"/>
    <w:rsid w:val="00303EF0"/>
    <w:rsid w:val="00304DE1"/>
    <w:rsid w:val="00304ECE"/>
    <w:rsid w:val="00306655"/>
    <w:rsid w:val="00306EB0"/>
    <w:rsid w:val="00310243"/>
    <w:rsid w:val="00313178"/>
    <w:rsid w:val="00316514"/>
    <w:rsid w:val="00317A94"/>
    <w:rsid w:val="00320132"/>
    <w:rsid w:val="003213A9"/>
    <w:rsid w:val="00323D2A"/>
    <w:rsid w:val="00324BD5"/>
    <w:rsid w:val="003264F3"/>
    <w:rsid w:val="00326520"/>
    <w:rsid w:val="00331FFA"/>
    <w:rsid w:val="00332A4D"/>
    <w:rsid w:val="00333581"/>
    <w:rsid w:val="003347D4"/>
    <w:rsid w:val="00336394"/>
    <w:rsid w:val="003409D5"/>
    <w:rsid w:val="00340E53"/>
    <w:rsid w:val="00341489"/>
    <w:rsid w:val="00341F52"/>
    <w:rsid w:val="0034326A"/>
    <w:rsid w:val="0034442C"/>
    <w:rsid w:val="003447A3"/>
    <w:rsid w:val="003454AB"/>
    <w:rsid w:val="0034643A"/>
    <w:rsid w:val="00346897"/>
    <w:rsid w:val="0034702F"/>
    <w:rsid w:val="0035081B"/>
    <w:rsid w:val="00351D96"/>
    <w:rsid w:val="00352CD5"/>
    <w:rsid w:val="00353154"/>
    <w:rsid w:val="00353D48"/>
    <w:rsid w:val="00354980"/>
    <w:rsid w:val="00355804"/>
    <w:rsid w:val="003576C5"/>
    <w:rsid w:val="003576CF"/>
    <w:rsid w:val="003612D9"/>
    <w:rsid w:val="0036187B"/>
    <w:rsid w:val="00362AA4"/>
    <w:rsid w:val="00362AA6"/>
    <w:rsid w:val="00364AC2"/>
    <w:rsid w:val="00365301"/>
    <w:rsid w:val="00365880"/>
    <w:rsid w:val="00366370"/>
    <w:rsid w:val="00367C8C"/>
    <w:rsid w:val="003701C2"/>
    <w:rsid w:val="0037365C"/>
    <w:rsid w:val="0037557A"/>
    <w:rsid w:val="00375584"/>
    <w:rsid w:val="003757A8"/>
    <w:rsid w:val="00375A52"/>
    <w:rsid w:val="00376BA4"/>
    <w:rsid w:val="00382334"/>
    <w:rsid w:val="0038338C"/>
    <w:rsid w:val="0038506B"/>
    <w:rsid w:val="00386B22"/>
    <w:rsid w:val="0039085D"/>
    <w:rsid w:val="00391378"/>
    <w:rsid w:val="00391E69"/>
    <w:rsid w:val="00392841"/>
    <w:rsid w:val="00393A60"/>
    <w:rsid w:val="00393F7D"/>
    <w:rsid w:val="003956A0"/>
    <w:rsid w:val="00397522"/>
    <w:rsid w:val="003A07C1"/>
    <w:rsid w:val="003A09A1"/>
    <w:rsid w:val="003A3695"/>
    <w:rsid w:val="003B181B"/>
    <w:rsid w:val="003B49D5"/>
    <w:rsid w:val="003B5312"/>
    <w:rsid w:val="003B7F70"/>
    <w:rsid w:val="003C3BAD"/>
    <w:rsid w:val="003C459B"/>
    <w:rsid w:val="003C641C"/>
    <w:rsid w:val="003C6B86"/>
    <w:rsid w:val="003D0600"/>
    <w:rsid w:val="003D1D5B"/>
    <w:rsid w:val="003D32D1"/>
    <w:rsid w:val="003D3D41"/>
    <w:rsid w:val="003D4574"/>
    <w:rsid w:val="003D47BB"/>
    <w:rsid w:val="003D521A"/>
    <w:rsid w:val="003D5772"/>
    <w:rsid w:val="003D7BDB"/>
    <w:rsid w:val="003E273C"/>
    <w:rsid w:val="003E4392"/>
    <w:rsid w:val="003E56FB"/>
    <w:rsid w:val="003E60C3"/>
    <w:rsid w:val="003E7364"/>
    <w:rsid w:val="003E7A90"/>
    <w:rsid w:val="003E7AFF"/>
    <w:rsid w:val="003F26A7"/>
    <w:rsid w:val="003F29B4"/>
    <w:rsid w:val="003F513F"/>
    <w:rsid w:val="003F5DC1"/>
    <w:rsid w:val="003F702E"/>
    <w:rsid w:val="004000D6"/>
    <w:rsid w:val="004021D9"/>
    <w:rsid w:val="004037B5"/>
    <w:rsid w:val="004038C7"/>
    <w:rsid w:val="00404E99"/>
    <w:rsid w:val="00405040"/>
    <w:rsid w:val="00405534"/>
    <w:rsid w:val="00405D4D"/>
    <w:rsid w:val="0040607C"/>
    <w:rsid w:val="00410149"/>
    <w:rsid w:val="004110F3"/>
    <w:rsid w:val="00411340"/>
    <w:rsid w:val="00411BDF"/>
    <w:rsid w:val="00412F33"/>
    <w:rsid w:val="00412FBE"/>
    <w:rsid w:val="004134F1"/>
    <w:rsid w:val="00416C2C"/>
    <w:rsid w:val="00417C9A"/>
    <w:rsid w:val="004206D7"/>
    <w:rsid w:val="004211EC"/>
    <w:rsid w:val="00421E6C"/>
    <w:rsid w:val="00422536"/>
    <w:rsid w:val="00422B14"/>
    <w:rsid w:val="004232A4"/>
    <w:rsid w:val="00423826"/>
    <w:rsid w:val="004249B9"/>
    <w:rsid w:val="00425605"/>
    <w:rsid w:val="004317C0"/>
    <w:rsid w:val="004321DB"/>
    <w:rsid w:val="00432A7B"/>
    <w:rsid w:val="00434485"/>
    <w:rsid w:val="004351FD"/>
    <w:rsid w:val="004358E1"/>
    <w:rsid w:val="00435E10"/>
    <w:rsid w:val="004365AE"/>
    <w:rsid w:val="00436C9B"/>
    <w:rsid w:val="00437D79"/>
    <w:rsid w:val="00440367"/>
    <w:rsid w:val="00441956"/>
    <w:rsid w:val="00442C21"/>
    <w:rsid w:val="00442ED0"/>
    <w:rsid w:val="004430EB"/>
    <w:rsid w:val="0044376C"/>
    <w:rsid w:val="00446F87"/>
    <w:rsid w:val="004473B2"/>
    <w:rsid w:val="00450024"/>
    <w:rsid w:val="00450B33"/>
    <w:rsid w:val="00452F0A"/>
    <w:rsid w:val="0045438E"/>
    <w:rsid w:val="00460249"/>
    <w:rsid w:val="00464110"/>
    <w:rsid w:val="0046517B"/>
    <w:rsid w:val="004655C2"/>
    <w:rsid w:val="004664BA"/>
    <w:rsid w:val="004678E8"/>
    <w:rsid w:val="00470581"/>
    <w:rsid w:val="004705BF"/>
    <w:rsid w:val="0047270E"/>
    <w:rsid w:val="00474F21"/>
    <w:rsid w:val="004758B0"/>
    <w:rsid w:val="00476A5B"/>
    <w:rsid w:val="00477AC4"/>
    <w:rsid w:val="0048021B"/>
    <w:rsid w:val="004871C0"/>
    <w:rsid w:val="00487A62"/>
    <w:rsid w:val="004902B3"/>
    <w:rsid w:val="004905C4"/>
    <w:rsid w:val="00491DC9"/>
    <w:rsid w:val="00492391"/>
    <w:rsid w:val="0049265C"/>
    <w:rsid w:val="0049285E"/>
    <w:rsid w:val="00492B9B"/>
    <w:rsid w:val="00493AE0"/>
    <w:rsid w:val="00493F4F"/>
    <w:rsid w:val="004942BA"/>
    <w:rsid w:val="00494363"/>
    <w:rsid w:val="00494FEC"/>
    <w:rsid w:val="00497184"/>
    <w:rsid w:val="004A356D"/>
    <w:rsid w:val="004A613E"/>
    <w:rsid w:val="004A67E3"/>
    <w:rsid w:val="004A6F15"/>
    <w:rsid w:val="004B2B2F"/>
    <w:rsid w:val="004B3803"/>
    <w:rsid w:val="004C202E"/>
    <w:rsid w:val="004C303C"/>
    <w:rsid w:val="004C362B"/>
    <w:rsid w:val="004C3A0A"/>
    <w:rsid w:val="004C5DB7"/>
    <w:rsid w:val="004C7193"/>
    <w:rsid w:val="004D0B79"/>
    <w:rsid w:val="004D2FB4"/>
    <w:rsid w:val="004D3AA0"/>
    <w:rsid w:val="004D46EB"/>
    <w:rsid w:val="004D78D9"/>
    <w:rsid w:val="004D7CA1"/>
    <w:rsid w:val="004E1142"/>
    <w:rsid w:val="004E1B91"/>
    <w:rsid w:val="004E202C"/>
    <w:rsid w:val="004E3844"/>
    <w:rsid w:val="004E4F15"/>
    <w:rsid w:val="004E6544"/>
    <w:rsid w:val="004F0B56"/>
    <w:rsid w:val="004F2404"/>
    <w:rsid w:val="004F2F97"/>
    <w:rsid w:val="004F35EA"/>
    <w:rsid w:val="004F48FD"/>
    <w:rsid w:val="004F6FBA"/>
    <w:rsid w:val="005028C9"/>
    <w:rsid w:val="00502D54"/>
    <w:rsid w:val="005030CF"/>
    <w:rsid w:val="005034D3"/>
    <w:rsid w:val="00503F8D"/>
    <w:rsid w:val="00504B16"/>
    <w:rsid w:val="00506CAC"/>
    <w:rsid w:val="00506CD1"/>
    <w:rsid w:val="00507DA6"/>
    <w:rsid w:val="005138A1"/>
    <w:rsid w:val="00513CBE"/>
    <w:rsid w:val="0051452B"/>
    <w:rsid w:val="00514A23"/>
    <w:rsid w:val="00515F84"/>
    <w:rsid w:val="005161E3"/>
    <w:rsid w:val="00517708"/>
    <w:rsid w:val="00520EA0"/>
    <w:rsid w:val="00521FEE"/>
    <w:rsid w:val="005223AE"/>
    <w:rsid w:val="00522DD6"/>
    <w:rsid w:val="005230C0"/>
    <w:rsid w:val="00523599"/>
    <w:rsid w:val="00523B14"/>
    <w:rsid w:val="00525144"/>
    <w:rsid w:val="0052520D"/>
    <w:rsid w:val="005267DB"/>
    <w:rsid w:val="00527B76"/>
    <w:rsid w:val="0053036F"/>
    <w:rsid w:val="005319DD"/>
    <w:rsid w:val="00532754"/>
    <w:rsid w:val="0053382C"/>
    <w:rsid w:val="0053557D"/>
    <w:rsid w:val="00536F9D"/>
    <w:rsid w:val="00536FC6"/>
    <w:rsid w:val="005374E9"/>
    <w:rsid w:val="00542738"/>
    <w:rsid w:val="0054647E"/>
    <w:rsid w:val="00546DAB"/>
    <w:rsid w:val="00550E30"/>
    <w:rsid w:val="00551974"/>
    <w:rsid w:val="00551CB3"/>
    <w:rsid w:val="00552CC2"/>
    <w:rsid w:val="00552CF5"/>
    <w:rsid w:val="00553764"/>
    <w:rsid w:val="00554D53"/>
    <w:rsid w:val="00555B90"/>
    <w:rsid w:val="005572DF"/>
    <w:rsid w:val="00561277"/>
    <w:rsid w:val="00561836"/>
    <w:rsid w:val="00561BCA"/>
    <w:rsid w:val="00563467"/>
    <w:rsid w:val="00564107"/>
    <w:rsid w:val="00564D3E"/>
    <w:rsid w:val="00565423"/>
    <w:rsid w:val="005665F3"/>
    <w:rsid w:val="00570775"/>
    <w:rsid w:val="005711BE"/>
    <w:rsid w:val="005715F4"/>
    <w:rsid w:val="00571F99"/>
    <w:rsid w:val="005722AC"/>
    <w:rsid w:val="00572BE3"/>
    <w:rsid w:val="00572C69"/>
    <w:rsid w:val="00573354"/>
    <w:rsid w:val="005738CD"/>
    <w:rsid w:val="00575C3F"/>
    <w:rsid w:val="0058015F"/>
    <w:rsid w:val="00580F90"/>
    <w:rsid w:val="00581A57"/>
    <w:rsid w:val="005830CB"/>
    <w:rsid w:val="00583522"/>
    <w:rsid w:val="00586FC2"/>
    <w:rsid w:val="00591BA8"/>
    <w:rsid w:val="00592F48"/>
    <w:rsid w:val="005936F3"/>
    <w:rsid w:val="00594678"/>
    <w:rsid w:val="005947A3"/>
    <w:rsid w:val="0059593D"/>
    <w:rsid w:val="005A063E"/>
    <w:rsid w:val="005A0BC4"/>
    <w:rsid w:val="005A171D"/>
    <w:rsid w:val="005A1DB7"/>
    <w:rsid w:val="005A2906"/>
    <w:rsid w:val="005A2E66"/>
    <w:rsid w:val="005A45D8"/>
    <w:rsid w:val="005A60C9"/>
    <w:rsid w:val="005A6B52"/>
    <w:rsid w:val="005A7BEC"/>
    <w:rsid w:val="005B1BE7"/>
    <w:rsid w:val="005B20F0"/>
    <w:rsid w:val="005B2610"/>
    <w:rsid w:val="005B2EBE"/>
    <w:rsid w:val="005B35EC"/>
    <w:rsid w:val="005B369C"/>
    <w:rsid w:val="005B37AE"/>
    <w:rsid w:val="005B4154"/>
    <w:rsid w:val="005B49AD"/>
    <w:rsid w:val="005B4E95"/>
    <w:rsid w:val="005B71D9"/>
    <w:rsid w:val="005C1F7D"/>
    <w:rsid w:val="005C3A90"/>
    <w:rsid w:val="005C3BBA"/>
    <w:rsid w:val="005C452E"/>
    <w:rsid w:val="005C557B"/>
    <w:rsid w:val="005C57A1"/>
    <w:rsid w:val="005C608B"/>
    <w:rsid w:val="005C6750"/>
    <w:rsid w:val="005D0A5F"/>
    <w:rsid w:val="005D1096"/>
    <w:rsid w:val="005D2E21"/>
    <w:rsid w:val="005D3EE0"/>
    <w:rsid w:val="005D5697"/>
    <w:rsid w:val="005D5E5B"/>
    <w:rsid w:val="005D5EF9"/>
    <w:rsid w:val="005D6C66"/>
    <w:rsid w:val="005D74C6"/>
    <w:rsid w:val="005E11EB"/>
    <w:rsid w:val="005E1C8C"/>
    <w:rsid w:val="005E1D70"/>
    <w:rsid w:val="005E4B1F"/>
    <w:rsid w:val="005E4C42"/>
    <w:rsid w:val="005E545F"/>
    <w:rsid w:val="005E57CA"/>
    <w:rsid w:val="005E5E20"/>
    <w:rsid w:val="005E6683"/>
    <w:rsid w:val="005E698B"/>
    <w:rsid w:val="005E6F61"/>
    <w:rsid w:val="005E743E"/>
    <w:rsid w:val="005F25A4"/>
    <w:rsid w:val="005F2FA6"/>
    <w:rsid w:val="005F332E"/>
    <w:rsid w:val="005F47EA"/>
    <w:rsid w:val="005F5667"/>
    <w:rsid w:val="005F6044"/>
    <w:rsid w:val="005F7BBC"/>
    <w:rsid w:val="006025D5"/>
    <w:rsid w:val="0060311D"/>
    <w:rsid w:val="00604799"/>
    <w:rsid w:val="00604EEB"/>
    <w:rsid w:val="0060546B"/>
    <w:rsid w:val="00606A61"/>
    <w:rsid w:val="00607D34"/>
    <w:rsid w:val="006122E4"/>
    <w:rsid w:val="00612BA7"/>
    <w:rsid w:val="00612C28"/>
    <w:rsid w:val="00613871"/>
    <w:rsid w:val="00614439"/>
    <w:rsid w:val="00614652"/>
    <w:rsid w:val="00615111"/>
    <w:rsid w:val="0061565C"/>
    <w:rsid w:val="00616842"/>
    <w:rsid w:val="006204D7"/>
    <w:rsid w:val="0062103F"/>
    <w:rsid w:val="00621FC7"/>
    <w:rsid w:val="006225EC"/>
    <w:rsid w:val="006228BF"/>
    <w:rsid w:val="00623645"/>
    <w:rsid w:val="00625A2B"/>
    <w:rsid w:val="006270EE"/>
    <w:rsid w:val="00630230"/>
    <w:rsid w:val="00632422"/>
    <w:rsid w:val="00636416"/>
    <w:rsid w:val="00640F87"/>
    <w:rsid w:val="00642F11"/>
    <w:rsid w:val="00643732"/>
    <w:rsid w:val="006451E4"/>
    <w:rsid w:val="00645C88"/>
    <w:rsid w:val="00646BD3"/>
    <w:rsid w:val="00647184"/>
    <w:rsid w:val="00647619"/>
    <w:rsid w:val="00647EDD"/>
    <w:rsid w:val="00650265"/>
    <w:rsid w:val="0065183F"/>
    <w:rsid w:val="00651AE1"/>
    <w:rsid w:val="00652AE6"/>
    <w:rsid w:val="00652CEF"/>
    <w:rsid w:val="006577C5"/>
    <w:rsid w:val="00657FDA"/>
    <w:rsid w:val="0066241C"/>
    <w:rsid w:val="00662613"/>
    <w:rsid w:val="00662DFB"/>
    <w:rsid w:val="00663030"/>
    <w:rsid w:val="0066516B"/>
    <w:rsid w:val="00670BB9"/>
    <w:rsid w:val="00672DDA"/>
    <w:rsid w:val="0067354F"/>
    <w:rsid w:val="006741C7"/>
    <w:rsid w:val="00674A55"/>
    <w:rsid w:val="00675DE6"/>
    <w:rsid w:val="00677FE4"/>
    <w:rsid w:val="00680318"/>
    <w:rsid w:val="00681C3A"/>
    <w:rsid w:val="00682719"/>
    <w:rsid w:val="00685A01"/>
    <w:rsid w:val="00686B27"/>
    <w:rsid w:val="0068747C"/>
    <w:rsid w:val="0069194F"/>
    <w:rsid w:val="006956E6"/>
    <w:rsid w:val="006959A0"/>
    <w:rsid w:val="00695B4F"/>
    <w:rsid w:val="00696FFF"/>
    <w:rsid w:val="0069715D"/>
    <w:rsid w:val="0069735A"/>
    <w:rsid w:val="006A03EA"/>
    <w:rsid w:val="006A04A4"/>
    <w:rsid w:val="006A27A4"/>
    <w:rsid w:val="006A29D5"/>
    <w:rsid w:val="006A4182"/>
    <w:rsid w:val="006A49DD"/>
    <w:rsid w:val="006A4E89"/>
    <w:rsid w:val="006B04C1"/>
    <w:rsid w:val="006B0B85"/>
    <w:rsid w:val="006B17CB"/>
    <w:rsid w:val="006B1A21"/>
    <w:rsid w:val="006B24DC"/>
    <w:rsid w:val="006B3F1B"/>
    <w:rsid w:val="006B4931"/>
    <w:rsid w:val="006B50D3"/>
    <w:rsid w:val="006C2B16"/>
    <w:rsid w:val="006C5425"/>
    <w:rsid w:val="006D2437"/>
    <w:rsid w:val="006D3546"/>
    <w:rsid w:val="006D54E9"/>
    <w:rsid w:val="006D6871"/>
    <w:rsid w:val="006D788A"/>
    <w:rsid w:val="006E169A"/>
    <w:rsid w:val="006E1859"/>
    <w:rsid w:val="006E2493"/>
    <w:rsid w:val="006E271D"/>
    <w:rsid w:val="006E569E"/>
    <w:rsid w:val="006E5B8D"/>
    <w:rsid w:val="006E684D"/>
    <w:rsid w:val="006E74F4"/>
    <w:rsid w:val="006F102D"/>
    <w:rsid w:val="006F13F1"/>
    <w:rsid w:val="006F1F8D"/>
    <w:rsid w:val="006F2C4F"/>
    <w:rsid w:val="006F2F44"/>
    <w:rsid w:val="006F495A"/>
    <w:rsid w:val="006F7ED0"/>
    <w:rsid w:val="007016CF"/>
    <w:rsid w:val="00703349"/>
    <w:rsid w:val="00703E0C"/>
    <w:rsid w:val="00705A55"/>
    <w:rsid w:val="00712EBA"/>
    <w:rsid w:val="007131D0"/>
    <w:rsid w:val="007159E7"/>
    <w:rsid w:val="0071647F"/>
    <w:rsid w:val="007165F8"/>
    <w:rsid w:val="007204FD"/>
    <w:rsid w:val="00720E06"/>
    <w:rsid w:val="00722163"/>
    <w:rsid w:val="00722C20"/>
    <w:rsid w:val="00723E88"/>
    <w:rsid w:val="00725349"/>
    <w:rsid w:val="00727933"/>
    <w:rsid w:val="007304D1"/>
    <w:rsid w:val="00730EEA"/>
    <w:rsid w:val="00730F3F"/>
    <w:rsid w:val="00731148"/>
    <w:rsid w:val="007313EC"/>
    <w:rsid w:val="007322C8"/>
    <w:rsid w:val="0073257A"/>
    <w:rsid w:val="007325C8"/>
    <w:rsid w:val="00734E93"/>
    <w:rsid w:val="007375F7"/>
    <w:rsid w:val="00740AD9"/>
    <w:rsid w:val="007441ED"/>
    <w:rsid w:val="00744292"/>
    <w:rsid w:val="00744F22"/>
    <w:rsid w:val="0075280C"/>
    <w:rsid w:val="00752955"/>
    <w:rsid w:val="007560A1"/>
    <w:rsid w:val="007574FF"/>
    <w:rsid w:val="00757B4D"/>
    <w:rsid w:val="00761DE3"/>
    <w:rsid w:val="0076436A"/>
    <w:rsid w:val="0076579A"/>
    <w:rsid w:val="007659F1"/>
    <w:rsid w:val="00766775"/>
    <w:rsid w:val="00766F6D"/>
    <w:rsid w:val="00770307"/>
    <w:rsid w:val="00771586"/>
    <w:rsid w:val="00771D69"/>
    <w:rsid w:val="00776A02"/>
    <w:rsid w:val="00776A56"/>
    <w:rsid w:val="00777783"/>
    <w:rsid w:val="00781262"/>
    <w:rsid w:val="0078138B"/>
    <w:rsid w:val="007820DE"/>
    <w:rsid w:val="00782274"/>
    <w:rsid w:val="00782B81"/>
    <w:rsid w:val="00784247"/>
    <w:rsid w:val="00785972"/>
    <w:rsid w:val="0078630C"/>
    <w:rsid w:val="00787C1D"/>
    <w:rsid w:val="00791EAF"/>
    <w:rsid w:val="00792D4E"/>
    <w:rsid w:val="007946CC"/>
    <w:rsid w:val="00795CF9"/>
    <w:rsid w:val="00796FE6"/>
    <w:rsid w:val="007A37D9"/>
    <w:rsid w:val="007A4D14"/>
    <w:rsid w:val="007A5736"/>
    <w:rsid w:val="007A5FF6"/>
    <w:rsid w:val="007A644B"/>
    <w:rsid w:val="007A73FD"/>
    <w:rsid w:val="007B04D4"/>
    <w:rsid w:val="007B0F67"/>
    <w:rsid w:val="007B261D"/>
    <w:rsid w:val="007B2E44"/>
    <w:rsid w:val="007B2F78"/>
    <w:rsid w:val="007B3342"/>
    <w:rsid w:val="007B4C0F"/>
    <w:rsid w:val="007B4D3F"/>
    <w:rsid w:val="007B4E7F"/>
    <w:rsid w:val="007B5454"/>
    <w:rsid w:val="007B72AB"/>
    <w:rsid w:val="007B7BDC"/>
    <w:rsid w:val="007C0F88"/>
    <w:rsid w:val="007C1165"/>
    <w:rsid w:val="007C3355"/>
    <w:rsid w:val="007C4DC0"/>
    <w:rsid w:val="007C55E0"/>
    <w:rsid w:val="007D0AB7"/>
    <w:rsid w:val="007D0C09"/>
    <w:rsid w:val="007D0E1F"/>
    <w:rsid w:val="007D0E89"/>
    <w:rsid w:val="007D28DF"/>
    <w:rsid w:val="007D2D7F"/>
    <w:rsid w:val="007D3F5A"/>
    <w:rsid w:val="007D53DB"/>
    <w:rsid w:val="007D69A7"/>
    <w:rsid w:val="007D6E6B"/>
    <w:rsid w:val="007D748C"/>
    <w:rsid w:val="007D75CA"/>
    <w:rsid w:val="007E2E57"/>
    <w:rsid w:val="007E4905"/>
    <w:rsid w:val="007E6892"/>
    <w:rsid w:val="007E7483"/>
    <w:rsid w:val="007E7B4E"/>
    <w:rsid w:val="007F1800"/>
    <w:rsid w:val="007F6B77"/>
    <w:rsid w:val="007F6E83"/>
    <w:rsid w:val="00802A48"/>
    <w:rsid w:val="00802CBB"/>
    <w:rsid w:val="00804B21"/>
    <w:rsid w:val="008055FF"/>
    <w:rsid w:val="00806B58"/>
    <w:rsid w:val="008079DB"/>
    <w:rsid w:val="008106CE"/>
    <w:rsid w:val="00811DB2"/>
    <w:rsid w:val="00812FFF"/>
    <w:rsid w:val="00813161"/>
    <w:rsid w:val="008134AA"/>
    <w:rsid w:val="00816B9F"/>
    <w:rsid w:val="00816CD6"/>
    <w:rsid w:val="008175E9"/>
    <w:rsid w:val="0082025C"/>
    <w:rsid w:val="00821621"/>
    <w:rsid w:val="00821FE1"/>
    <w:rsid w:val="00822C92"/>
    <w:rsid w:val="00823791"/>
    <w:rsid w:val="00825DE9"/>
    <w:rsid w:val="008267EA"/>
    <w:rsid w:val="00826AA2"/>
    <w:rsid w:val="00830EBE"/>
    <w:rsid w:val="0083118C"/>
    <w:rsid w:val="00832811"/>
    <w:rsid w:val="008334C1"/>
    <w:rsid w:val="0083449F"/>
    <w:rsid w:val="00835DD4"/>
    <w:rsid w:val="00835E9B"/>
    <w:rsid w:val="0083691B"/>
    <w:rsid w:val="00837D2B"/>
    <w:rsid w:val="00837D6A"/>
    <w:rsid w:val="00841A2C"/>
    <w:rsid w:val="00842449"/>
    <w:rsid w:val="00842921"/>
    <w:rsid w:val="00842C8A"/>
    <w:rsid w:val="00844C05"/>
    <w:rsid w:val="00845275"/>
    <w:rsid w:val="008453FA"/>
    <w:rsid w:val="0084619E"/>
    <w:rsid w:val="008475B5"/>
    <w:rsid w:val="008541AC"/>
    <w:rsid w:val="0085498A"/>
    <w:rsid w:val="00860590"/>
    <w:rsid w:val="0086084A"/>
    <w:rsid w:val="00860BDE"/>
    <w:rsid w:val="008626B2"/>
    <w:rsid w:val="008641F4"/>
    <w:rsid w:val="00864541"/>
    <w:rsid w:val="00864BE0"/>
    <w:rsid w:val="00864F4A"/>
    <w:rsid w:val="0086645B"/>
    <w:rsid w:val="00867125"/>
    <w:rsid w:val="008676E4"/>
    <w:rsid w:val="008713A8"/>
    <w:rsid w:val="00872E62"/>
    <w:rsid w:val="00873444"/>
    <w:rsid w:val="00873A64"/>
    <w:rsid w:val="00874113"/>
    <w:rsid w:val="00875BFC"/>
    <w:rsid w:val="00876E58"/>
    <w:rsid w:val="00876FEE"/>
    <w:rsid w:val="00877833"/>
    <w:rsid w:val="0088086C"/>
    <w:rsid w:val="00882236"/>
    <w:rsid w:val="00883644"/>
    <w:rsid w:val="00884C1D"/>
    <w:rsid w:val="00890F86"/>
    <w:rsid w:val="008922F0"/>
    <w:rsid w:val="008936F9"/>
    <w:rsid w:val="0089384E"/>
    <w:rsid w:val="00894AC8"/>
    <w:rsid w:val="00895526"/>
    <w:rsid w:val="00896AA6"/>
    <w:rsid w:val="008973F1"/>
    <w:rsid w:val="008A0FB5"/>
    <w:rsid w:val="008A17B9"/>
    <w:rsid w:val="008A1E99"/>
    <w:rsid w:val="008A47DD"/>
    <w:rsid w:val="008A4B1B"/>
    <w:rsid w:val="008A6831"/>
    <w:rsid w:val="008A72D8"/>
    <w:rsid w:val="008A7B4A"/>
    <w:rsid w:val="008B00CB"/>
    <w:rsid w:val="008B106F"/>
    <w:rsid w:val="008B3592"/>
    <w:rsid w:val="008B41B9"/>
    <w:rsid w:val="008B46C6"/>
    <w:rsid w:val="008B7527"/>
    <w:rsid w:val="008B7E74"/>
    <w:rsid w:val="008C1811"/>
    <w:rsid w:val="008C2EAA"/>
    <w:rsid w:val="008C46F5"/>
    <w:rsid w:val="008C4D83"/>
    <w:rsid w:val="008C5469"/>
    <w:rsid w:val="008C54D7"/>
    <w:rsid w:val="008C6866"/>
    <w:rsid w:val="008D0115"/>
    <w:rsid w:val="008D1BE9"/>
    <w:rsid w:val="008D1FBA"/>
    <w:rsid w:val="008D22E6"/>
    <w:rsid w:val="008D3D22"/>
    <w:rsid w:val="008D4A94"/>
    <w:rsid w:val="008D4BAC"/>
    <w:rsid w:val="008D5F09"/>
    <w:rsid w:val="008D6D7F"/>
    <w:rsid w:val="008D7982"/>
    <w:rsid w:val="008E0938"/>
    <w:rsid w:val="008E2BB4"/>
    <w:rsid w:val="008E4770"/>
    <w:rsid w:val="008E51DB"/>
    <w:rsid w:val="008E5530"/>
    <w:rsid w:val="008F1E77"/>
    <w:rsid w:val="008F2260"/>
    <w:rsid w:val="008F24B5"/>
    <w:rsid w:val="008F26D7"/>
    <w:rsid w:val="008F27A4"/>
    <w:rsid w:val="008F291C"/>
    <w:rsid w:val="008F2E6F"/>
    <w:rsid w:val="008F432F"/>
    <w:rsid w:val="008F466E"/>
    <w:rsid w:val="008F4FED"/>
    <w:rsid w:val="008F688D"/>
    <w:rsid w:val="008F7741"/>
    <w:rsid w:val="00900943"/>
    <w:rsid w:val="00900D64"/>
    <w:rsid w:val="00900E20"/>
    <w:rsid w:val="00901887"/>
    <w:rsid w:val="009042F3"/>
    <w:rsid w:val="00905194"/>
    <w:rsid w:val="0090524B"/>
    <w:rsid w:val="00905EE3"/>
    <w:rsid w:val="00905F57"/>
    <w:rsid w:val="009068EA"/>
    <w:rsid w:val="00906EF2"/>
    <w:rsid w:val="009078DC"/>
    <w:rsid w:val="0091047D"/>
    <w:rsid w:val="0091173C"/>
    <w:rsid w:val="00913CA3"/>
    <w:rsid w:val="009146D0"/>
    <w:rsid w:val="00917702"/>
    <w:rsid w:val="00921523"/>
    <w:rsid w:val="00921BA8"/>
    <w:rsid w:val="00921C3D"/>
    <w:rsid w:val="00922545"/>
    <w:rsid w:val="0092497D"/>
    <w:rsid w:val="00925883"/>
    <w:rsid w:val="009305EC"/>
    <w:rsid w:val="009306F4"/>
    <w:rsid w:val="009313F0"/>
    <w:rsid w:val="00931D48"/>
    <w:rsid w:val="00931E20"/>
    <w:rsid w:val="00934F27"/>
    <w:rsid w:val="00935425"/>
    <w:rsid w:val="00937089"/>
    <w:rsid w:val="009376E0"/>
    <w:rsid w:val="009405F8"/>
    <w:rsid w:val="00940A88"/>
    <w:rsid w:val="0094190B"/>
    <w:rsid w:val="009427C5"/>
    <w:rsid w:val="00943C85"/>
    <w:rsid w:val="0094430B"/>
    <w:rsid w:val="009447AA"/>
    <w:rsid w:val="00945413"/>
    <w:rsid w:val="00951747"/>
    <w:rsid w:val="00952ED8"/>
    <w:rsid w:val="00953ACE"/>
    <w:rsid w:val="00953B33"/>
    <w:rsid w:val="009555C9"/>
    <w:rsid w:val="00956D1F"/>
    <w:rsid w:val="00960BEF"/>
    <w:rsid w:val="00961FD2"/>
    <w:rsid w:val="00962F73"/>
    <w:rsid w:val="00964937"/>
    <w:rsid w:val="00966986"/>
    <w:rsid w:val="00970C7A"/>
    <w:rsid w:val="009741A3"/>
    <w:rsid w:val="0097463D"/>
    <w:rsid w:val="00974A14"/>
    <w:rsid w:val="00974AD9"/>
    <w:rsid w:val="00974DDD"/>
    <w:rsid w:val="00975FE0"/>
    <w:rsid w:val="00976049"/>
    <w:rsid w:val="00977381"/>
    <w:rsid w:val="009773A8"/>
    <w:rsid w:val="009774F3"/>
    <w:rsid w:val="00977624"/>
    <w:rsid w:val="00980339"/>
    <w:rsid w:val="00980D83"/>
    <w:rsid w:val="009840C3"/>
    <w:rsid w:val="009860FF"/>
    <w:rsid w:val="00992EA1"/>
    <w:rsid w:val="009933DA"/>
    <w:rsid w:val="00993E7C"/>
    <w:rsid w:val="009946CD"/>
    <w:rsid w:val="0099733E"/>
    <w:rsid w:val="00997EC9"/>
    <w:rsid w:val="009A027A"/>
    <w:rsid w:val="009A0314"/>
    <w:rsid w:val="009A0CC4"/>
    <w:rsid w:val="009A1743"/>
    <w:rsid w:val="009A1F37"/>
    <w:rsid w:val="009A208C"/>
    <w:rsid w:val="009A4CF9"/>
    <w:rsid w:val="009A746E"/>
    <w:rsid w:val="009B11D1"/>
    <w:rsid w:val="009B2C30"/>
    <w:rsid w:val="009B4570"/>
    <w:rsid w:val="009B4ABB"/>
    <w:rsid w:val="009B5153"/>
    <w:rsid w:val="009B640E"/>
    <w:rsid w:val="009C5BC4"/>
    <w:rsid w:val="009C6900"/>
    <w:rsid w:val="009C6951"/>
    <w:rsid w:val="009C78C8"/>
    <w:rsid w:val="009C7956"/>
    <w:rsid w:val="009D3568"/>
    <w:rsid w:val="009D402A"/>
    <w:rsid w:val="009D4D45"/>
    <w:rsid w:val="009D6EA0"/>
    <w:rsid w:val="009E00D8"/>
    <w:rsid w:val="009E02AE"/>
    <w:rsid w:val="009E057D"/>
    <w:rsid w:val="009E0814"/>
    <w:rsid w:val="009E0D3A"/>
    <w:rsid w:val="009E10DF"/>
    <w:rsid w:val="009E18B1"/>
    <w:rsid w:val="009E4813"/>
    <w:rsid w:val="009E51B7"/>
    <w:rsid w:val="009E7356"/>
    <w:rsid w:val="009E757F"/>
    <w:rsid w:val="009F0C53"/>
    <w:rsid w:val="009F160C"/>
    <w:rsid w:val="009F1AA6"/>
    <w:rsid w:val="009F207C"/>
    <w:rsid w:val="009F483C"/>
    <w:rsid w:val="009F5F2B"/>
    <w:rsid w:val="009F6922"/>
    <w:rsid w:val="009F6CDA"/>
    <w:rsid w:val="009F7249"/>
    <w:rsid w:val="009F76CD"/>
    <w:rsid w:val="00A02C10"/>
    <w:rsid w:val="00A03FE8"/>
    <w:rsid w:val="00A044D3"/>
    <w:rsid w:val="00A04ACB"/>
    <w:rsid w:val="00A05145"/>
    <w:rsid w:val="00A05512"/>
    <w:rsid w:val="00A0696A"/>
    <w:rsid w:val="00A072FD"/>
    <w:rsid w:val="00A079E8"/>
    <w:rsid w:val="00A07E66"/>
    <w:rsid w:val="00A11972"/>
    <w:rsid w:val="00A1358A"/>
    <w:rsid w:val="00A137A4"/>
    <w:rsid w:val="00A15677"/>
    <w:rsid w:val="00A159D5"/>
    <w:rsid w:val="00A172AE"/>
    <w:rsid w:val="00A17579"/>
    <w:rsid w:val="00A201E5"/>
    <w:rsid w:val="00A2111E"/>
    <w:rsid w:val="00A21D69"/>
    <w:rsid w:val="00A22080"/>
    <w:rsid w:val="00A2208D"/>
    <w:rsid w:val="00A227F1"/>
    <w:rsid w:val="00A250DD"/>
    <w:rsid w:val="00A25573"/>
    <w:rsid w:val="00A268E6"/>
    <w:rsid w:val="00A26989"/>
    <w:rsid w:val="00A26ADD"/>
    <w:rsid w:val="00A31B45"/>
    <w:rsid w:val="00A31C6D"/>
    <w:rsid w:val="00A32429"/>
    <w:rsid w:val="00A35270"/>
    <w:rsid w:val="00A36513"/>
    <w:rsid w:val="00A37EBE"/>
    <w:rsid w:val="00A40EE5"/>
    <w:rsid w:val="00A4155B"/>
    <w:rsid w:val="00A43B26"/>
    <w:rsid w:val="00A45FC1"/>
    <w:rsid w:val="00A46393"/>
    <w:rsid w:val="00A464A4"/>
    <w:rsid w:val="00A468FE"/>
    <w:rsid w:val="00A477AB"/>
    <w:rsid w:val="00A505CF"/>
    <w:rsid w:val="00A50BCD"/>
    <w:rsid w:val="00A519C9"/>
    <w:rsid w:val="00A51A55"/>
    <w:rsid w:val="00A5250B"/>
    <w:rsid w:val="00A56093"/>
    <w:rsid w:val="00A57D24"/>
    <w:rsid w:val="00A629C0"/>
    <w:rsid w:val="00A66CDD"/>
    <w:rsid w:val="00A70B7B"/>
    <w:rsid w:val="00A7134D"/>
    <w:rsid w:val="00A72ED1"/>
    <w:rsid w:val="00A735DC"/>
    <w:rsid w:val="00A74D21"/>
    <w:rsid w:val="00A7644A"/>
    <w:rsid w:val="00A76B9C"/>
    <w:rsid w:val="00A770EF"/>
    <w:rsid w:val="00A77587"/>
    <w:rsid w:val="00A8050D"/>
    <w:rsid w:val="00A82543"/>
    <w:rsid w:val="00A8305B"/>
    <w:rsid w:val="00A83095"/>
    <w:rsid w:val="00A834A1"/>
    <w:rsid w:val="00A840A8"/>
    <w:rsid w:val="00A8422E"/>
    <w:rsid w:val="00A8507A"/>
    <w:rsid w:val="00A90C6D"/>
    <w:rsid w:val="00A922A5"/>
    <w:rsid w:val="00A92564"/>
    <w:rsid w:val="00A92A39"/>
    <w:rsid w:val="00A94BBF"/>
    <w:rsid w:val="00A97E66"/>
    <w:rsid w:val="00AA0B98"/>
    <w:rsid w:val="00AA1455"/>
    <w:rsid w:val="00AA2A98"/>
    <w:rsid w:val="00AA4030"/>
    <w:rsid w:val="00AA40D3"/>
    <w:rsid w:val="00AA4D8F"/>
    <w:rsid w:val="00AA5B25"/>
    <w:rsid w:val="00AA6A84"/>
    <w:rsid w:val="00AB1D31"/>
    <w:rsid w:val="00AB3E66"/>
    <w:rsid w:val="00AB4424"/>
    <w:rsid w:val="00AB4E77"/>
    <w:rsid w:val="00AB51FD"/>
    <w:rsid w:val="00AB5DB1"/>
    <w:rsid w:val="00AB5E94"/>
    <w:rsid w:val="00AB6250"/>
    <w:rsid w:val="00AB6D84"/>
    <w:rsid w:val="00AB70FB"/>
    <w:rsid w:val="00AB7EF9"/>
    <w:rsid w:val="00AC191B"/>
    <w:rsid w:val="00AC26A4"/>
    <w:rsid w:val="00AC40D0"/>
    <w:rsid w:val="00AC4912"/>
    <w:rsid w:val="00AC5850"/>
    <w:rsid w:val="00AC6A5F"/>
    <w:rsid w:val="00AD1533"/>
    <w:rsid w:val="00AD285F"/>
    <w:rsid w:val="00AD3753"/>
    <w:rsid w:val="00AD3B18"/>
    <w:rsid w:val="00AD477A"/>
    <w:rsid w:val="00AD59C4"/>
    <w:rsid w:val="00AD5ACF"/>
    <w:rsid w:val="00AD73EE"/>
    <w:rsid w:val="00AD78FC"/>
    <w:rsid w:val="00AD7FA7"/>
    <w:rsid w:val="00AE0131"/>
    <w:rsid w:val="00AE0346"/>
    <w:rsid w:val="00AE070E"/>
    <w:rsid w:val="00AE215E"/>
    <w:rsid w:val="00AE2897"/>
    <w:rsid w:val="00AE2BAA"/>
    <w:rsid w:val="00AE2D60"/>
    <w:rsid w:val="00AE35AA"/>
    <w:rsid w:val="00AE5D1C"/>
    <w:rsid w:val="00AF379B"/>
    <w:rsid w:val="00AF3B33"/>
    <w:rsid w:val="00AF4262"/>
    <w:rsid w:val="00AF53EF"/>
    <w:rsid w:val="00AF5A0E"/>
    <w:rsid w:val="00AF73BC"/>
    <w:rsid w:val="00B00A1D"/>
    <w:rsid w:val="00B04470"/>
    <w:rsid w:val="00B047B6"/>
    <w:rsid w:val="00B04882"/>
    <w:rsid w:val="00B06BC1"/>
    <w:rsid w:val="00B10433"/>
    <w:rsid w:val="00B1075E"/>
    <w:rsid w:val="00B1142F"/>
    <w:rsid w:val="00B11852"/>
    <w:rsid w:val="00B11A00"/>
    <w:rsid w:val="00B11B98"/>
    <w:rsid w:val="00B11CAE"/>
    <w:rsid w:val="00B12C7F"/>
    <w:rsid w:val="00B13DB3"/>
    <w:rsid w:val="00B14942"/>
    <w:rsid w:val="00B160ED"/>
    <w:rsid w:val="00B177A3"/>
    <w:rsid w:val="00B21013"/>
    <w:rsid w:val="00B210A3"/>
    <w:rsid w:val="00B212E4"/>
    <w:rsid w:val="00B21A13"/>
    <w:rsid w:val="00B22002"/>
    <w:rsid w:val="00B2233F"/>
    <w:rsid w:val="00B26E62"/>
    <w:rsid w:val="00B3081A"/>
    <w:rsid w:val="00B310C6"/>
    <w:rsid w:val="00B325D9"/>
    <w:rsid w:val="00B32A6C"/>
    <w:rsid w:val="00B32D13"/>
    <w:rsid w:val="00B40AF7"/>
    <w:rsid w:val="00B413F8"/>
    <w:rsid w:val="00B417E6"/>
    <w:rsid w:val="00B423FA"/>
    <w:rsid w:val="00B42597"/>
    <w:rsid w:val="00B42EE6"/>
    <w:rsid w:val="00B43BD5"/>
    <w:rsid w:val="00B46EF1"/>
    <w:rsid w:val="00B4767F"/>
    <w:rsid w:val="00B47CE4"/>
    <w:rsid w:val="00B514CC"/>
    <w:rsid w:val="00B53ACC"/>
    <w:rsid w:val="00B54865"/>
    <w:rsid w:val="00B54F5F"/>
    <w:rsid w:val="00B5550E"/>
    <w:rsid w:val="00B55647"/>
    <w:rsid w:val="00B576D9"/>
    <w:rsid w:val="00B611BE"/>
    <w:rsid w:val="00B61E4A"/>
    <w:rsid w:val="00B62DD4"/>
    <w:rsid w:val="00B64B34"/>
    <w:rsid w:val="00B6575B"/>
    <w:rsid w:val="00B658D6"/>
    <w:rsid w:val="00B66654"/>
    <w:rsid w:val="00B667D6"/>
    <w:rsid w:val="00B66B9F"/>
    <w:rsid w:val="00B66D13"/>
    <w:rsid w:val="00B709D8"/>
    <w:rsid w:val="00B72265"/>
    <w:rsid w:val="00B73E84"/>
    <w:rsid w:val="00B748F5"/>
    <w:rsid w:val="00B753C8"/>
    <w:rsid w:val="00B75A82"/>
    <w:rsid w:val="00B76A2C"/>
    <w:rsid w:val="00B76F31"/>
    <w:rsid w:val="00B81C7C"/>
    <w:rsid w:val="00B8231F"/>
    <w:rsid w:val="00B83323"/>
    <w:rsid w:val="00B834A1"/>
    <w:rsid w:val="00B90754"/>
    <w:rsid w:val="00B91142"/>
    <w:rsid w:val="00B921D4"/>
    <w:rsid w:val="00B946C0"/>
    <w:rsid w:val="00B94C91"/>
    <w:rsid w:val="00B94D67"/>
    <w:rsid w:val="00BA0124"/>
    <w:rsid w:val="00BA0B2B"/>
    <w:rsid w:val="00BA22B5"/>
    <w:rsid w:val="00BA551E"/>
    <w:rsid w:val="00BA5D97"/>
    <w:rsid w:val="00BA63F2"/>
    <w:rsid w:val="00BB1D68"/>
    <w:rsid w:val="00BB33B7"/>
    <w:rsid w:val="00BB38E2"/>
    <w:rsid w:val="00BB5284"/>
    <w:rsid w:val="00BB6041"/>
    <w:rsid w:val="00BB6DE0"/>
    <w:rsid w:val="00BB6FB1"/>
    <w:rsid w:val="00BB729D"/>
    <w:rsid w:val="00BB7901"/>
    <w:rsid w:val="00BC08B3"/>
    <w:rsid w:val="00BC0CD7"/>
    <w:rsid w:val="00BD094D"/>
    <w:rsid w:val="00BD13F8"/>
    <w:rsid w:val="00BD15FD"/>
    <w:rsid w:val="00BD1CCA"/>
    <w:rsid w:val="00BD1DC0"/>
    <w:rsid w:val="00BD2604"/>
    <w:rsid w:val="00BD314E"/>
    <w:rsid w:val="00BD3DC0"/>
    <w:rsid w:val="00BD4BE8"/>
    <w:rsid w:val="00BD5F8E"/>
    <w:rsid w:val="00BD6081"/>
    <w:rsid w:val="00BD670C"/>
    <w:rsid w:val="00BD6CC5"/>
    <w:rsid w:val="00BE041B"/>
    <w:rsid w:val="00BE1168"/>
    <w:rsid w:val="00BE1A47"/>
    <w:rsid w:val="00BE1ACA"/>
    <w:rsid w:val="00BE2B70"/>
    <w:rsid w:val="00BE3E0F"/>
    <w:rsid w:val="00BE3E5D"/>
    <w:rsid w:val="00BE4865"/>
    <w:rsid w:val="00BE6986"/>
    <w:rsid w:val="00BE69B8"/>
    <w:rsid w:val="00BF1176"/>
    <w:rsid w:val="00BF1B5A"/>
    <w:rsid w:val="00BF20CF"/>
    <w:rsid w:val="00BF2435"/>
    <w:rsid w:val="00BF28D9"/>
    <w:rsid w:val="00BF5804"/>
    <w:rsid w:val="00BF6699"/>
    <w:rsid w:val="00BF6C76"/>
    <w:rsid w:val="00C00D62"/>
    <w:rsid w:val="00C02569"/>
    <w:rsid w:val="00C04BD8"/>
    <w:rsid w:val="00C06630"/>
    <w:rsid w:val="00C10325"/>
    <w:rsid w:val="00C11BDB"/>
    <w:rsid w:val="00C1212A"/>
    <w:rsid w:val="00C1217F"/>
    <w:rsid w:val="00C12BE5"/>
    <w:rsid w:val="00C130FC"/>
    <w:rsid w:val="00C15668"/>
    <w:rsid w:val="00C15C74"/>
    <w:rsid w:val="00C15C7A"/>
    <w:rsid w:val="00C16FE5"/>
    <w:rsid w:val="00C175BF"/>
    <w:rsid w:val="00C17FD9"/>
    <w:rsid w:val="00C2072E"/>
    <w:rsid w:val="00C22A2F"/>
    <w:rsid w:val="00C23067"/>
    <w:rsid w:val="00C24E83"/>
    <w:rsid w:val="00C25252"/>
    <w:rsid w:val="00C2633F"/>
    <w:rsid w:val="00C317DF"/>
    <w:rsid w:val="00C32838"/>
    <w:rsid w:val="00C403A0"/>
    <w:rsid w:val="00C4217E"/>
    <w:rsid w:val="00C427C2"/>
    <w:rsid w:val="00C4367B"/>
    <w:rsid w:val="00C4425A"/>
    <w:rsid w:val="00C446F2"/>
    <w:rsid w:val="00C47D29"/>
    <w:rsid w:val="00C540E7"/>
    <w:rsid w:val="00C55442"/>
    <w:rsid w:val="00C56432"/>
    <w:rsid w:val="00C57F7C"/>
    <w:rsid w:val="00C621B8"/>
    <w:rsid w:val="00C62A0A"/>
    <w:rsid w:val="00C63A85"/>
    <w:rsid w:val="00C64316"/>
    <w:rsid w:val="00C64C27"/>
    <w:rsid w:val="00C651AA"/>
    <w:rsid w:val="00C65CE1"/>
    <w:rsid w:val="00C6718E"/>
    <w:rsid w:val="00C71053"/>
    <w:rsid w:val="00C714EA"/>
    <w:rsid w:val="00C72822"/>
    <w:rsid w:val="00C7535C"/>
    <w:rsid w:val="00C75C9B"/>
    <w:rsid w:val="00C77497"/>
    <w:rsid w:val="00C81ACA"/>
    <w:rsid w:val="00C83D77"/>
    <w:rsid w:val="00C83FC4"/>
    <w:rsid w:val="00C874F2"/>
    <w:rsid w:val="00C900AA"/>
    <w:rsid w:val="00C907D1"/>
    <w:rsid w:val="00C9115E"/>
    <w:rsid w:val="00C91726"/>
    <w:rsid w:val="00C91780"/>
    <w:rsid w:val="00C91BC3"/>
    <w:rsid w:val="00C94857"/>
    <w:rsid w:val="00C948FE"/>
    <w:rsid w:val="00C9544B"/>
    <w:rsid w:val="00C96A3B"/>
    <w:rsid w:val="00C96D54"/>
    <w:rsid w:val="00C96DBA"/>
    <w:rsid w:val="00C970A0"/>
    <w:rsid w:val="00CA0A33"/>
    <w:rsid w:val="00CA0A65"/>
    <w:rsid w:val="00CA112B"/>
    <w:rsid w:val="00CA11EB"/>
    <w:rsid w:val="00CA3E1B"/>
    <w:rsid w:val="00CA6618"/>
    <w:rsid w:val="00CB17D1"/>
    <w:rsid w:val="00CB1E3C"/>
    <w:rsid w:val="00CB438B"/>
    <w:rsid w:val="00CB44CD"/>
    <w:rsid w:val="00CB5104"/>
    <w:rsid w:val="00CB7882"/>
    <w:rsid w:val="00CC0107"/>
    <w:rsid w:val="00CC0405"/>
    <w:rsid w:val="00CC2B2D"/>
    <w:rsid w:val="00CC3075"/>
    <w:rsid w:val="00CC4271"/>
    <w:rsid w:val="00CD034F"/>
    <w:rsid w:val="00CD08D6"/>
    <w:rsid w:val="00CD096C"/>
    <w:rsid w:val="00CD2700"/>
    <w:rsid w:val="00CD381D"/>
    <w:rsid w:val="00CD647D"/>
    <w:rsid w:val="00CD6964"/>
    <w:rsid w:val="00CD6A59"/>
    <w:rsid w:val="00CD6D26"/>
    <w:rsid w:val="00CE158A"/>
    <w:rsid w:val="00CE1A22"/>
    <w:rsid w:val="00CE1C6C"/>
    <w:rsid w:val="00CE2669"/>
    <w:rsid w:val="00CE5383"/>
    <w:rsid w:val="00CE6885"/>
    <w:rsid w:val="00CE7433"/>
    <w:rsid w:val="00CE7F9A"/>
    <w:rsid w:val="00CF045D"/>
    <w:rsid w:val="00CF11A0"/>
    <w:rsid w:val="00CF16B8"/>
    <w:rsid w:val="00CF1C4B"/>
    <w:rsid w:val="00CF294F"/>
    <w:rsid w:val="00CF2A1A"/>
    <w:rsid w:val="00CF6912"/>
    <w:rsid w:val="00CF69FB"/>
    <w:rsid w:val="00CF7A19"/>
    <w:rsid w:val="00D01D7C"/>
    <w:rsid w:val="00D01F00"/>
    <w:rsid w:val="00D04F18"/>
    <w:rsid w:val="00D05429"/>
    <w:rsid w:val="00D07140"/>
    <w:rsid w:val="00D07925"/>
    <w:rsid w:val="00D1085B"/>
    <w:rsid w:val="00D12C97"/>
    <w:rsid w:val="00D1400B"/>
    <w:rsid w:val="00D1509D"/>
    <w:rsid w:val="00D15D7E"/>
    <w:rsid w:val="00D15F0C"/>
    <w:rsid w:val="00D15FAC"/>
    <w:rsid w:val="00D17C81"/>
    <w:rsid w:val="00D22576"/>
    <w:rsid w:val="00D22CE3"/>
    <w:rsid w:val="00D24B0E"/>
    <w:rsid w:val="00D26768"/>
    <w:rsid w:val="00D278C7"/>
    <w:rsid w:val="00D279B1"/>
    <w:rsid w:val="00D300DE"/>
    <w:rsid w:val="00D3283D"/>
    <w:rsid w:val="00D34703"/>
    <w:rsid w:val="00D34D7D"/>
    <w:rsid w:val="00D35B82"/>
    <w:rsid w:val="00D3647F"/>
    <w:rsid w:val="00D36799"/>
    <w:rsid w:val="00D41044"/>
    <w:rsid w:val="00D41D86"/>
    <w:rsid w:val="00D45861"/>
    <w:rsid w:val="00D463B5"/>
    <w:rsid w:val="00D51111"/>
    <w:rsid w:val="00D517E1"/>
    <w:rsid w:val="00D51888"/>
    <w:rsid w:val="00D53C66"/>
    <w:rsid w:val="00D54251"/>
    <w:rsid w:val="00D546E8"/>
    <w:rsid w:val="00D548F2"/>
    <w:rsid w:val="00D54DC3"/>
    <w:rsid w:val="00D5569F"/>
    <w:rsid w:val="00D61B8A"/>
    <w:rsid w:val="00D61C8D"/>
    <w:rsid w:val="00D62358"/>
    <w:rsid w:val="00D628F5"/>
    <w:rsid w:val="00D630FC"/>
    <w:rsid w:val="00D6462D"/>
    <w:rsid w:val="00D65027"/>
    <w:rsid w:val="00D66561"/>
    <w:rsid w:val="00D67FC9"/>
    <w:rsid w:val="00D70D02"/>
    <w:rsid w:val="00D71094"/>
    <w:rsid w:val="00D72CA7"/>
    <w:rsid w:val="00D7557A"/>
    <w:rsid w:val="00D7581B"/>
    <w:rsid w:val="00D75F44"/>
    <w:rsid w:val="00D77930"/>
    <w:rsid w:val="00D807C8"/>
    <w:rsid w:val="00D828B5"/>
    <w:rsid w:val="00D8355A"/>
    <w:rsid w:val="00D85316"/>
    <w:rsid w:val="00D853AE"/>
    <w:rsid w:val="00D85DAC"/>
    <w:rsid w:val="00D85E93"/>
    <w:rsid w:val="00D90A69"/>
    <w:rsid w:val="00D90E47"/>
    <w:rsid w:val="00D928BB"/>
    <w:rsid w:val="00D9532E"/>
    <w:rsid w:val="00D95F5C"/>
    <w:rsid w:val="00D96B63"/>
    <w:rsid w:val="00DA0429"/>
    <w:rsid w:val="00DA0F15"/>
    <w:rsid w:val="00DA241E"/>
    <w:rsid w:val="00DA615F"/>
    <w:rsid w:val="00DB069E"/>
    <w:rsid w:val="00DB1558"/>
    <w:rsid w:val="00DB3515"/>
    <w:rsid w:val="00DB3D30"/>
    <w:rsid w:val="00DB41FE"/>
    <w:rsid w:val="00DB4957"/>
    <w:rsid w:val="00DB584B"/>
    <w:rsid w:val="00DB72BA"/>
    <w:rsid w:val="00DB7907"/>
    <w:rsid w:val="00DC2BC8"/>
    <w:rsid w:val="00DC35F8"/>
    <w:rsid w:val="00DC4CFB"/>
    <w:rsid w:val="00DC5361"/>
    <w:rsid w:val="00DC667A"/>
    <w:rsid w:val="00DC7698"/>
    <w:rsid w:val="00DC7814"/>
    <w:rsid w:val="00DD14B2"/>
    <w:rsid w:val="00DD454E"/>
    <w:rsid w:val="00DD485C"/>
    <w:rsid w:val="00DD5CB1"/>
    <w:rsid w:val="00DD65A2"/>
    <w:rsid w:val="00DD66EF"/>
    <w:rsid w:val="00DD673B"/>
    <w:rsid w:val="00DD69BC"/>
    <w:rsid w:val="00DD7A20"/>
    <w:rsid w:val="00DE06F3"/>
    <w:rsid w:val="00DE12AD"/>
    <w:rsid w:val="00DE2341"/>
    <w:rsid w:val="00DE3328"/>
    <w:rsid w:val="00DE3852"/>
    <w:rsid w:val="00DE4302"/>
    <w:rsid w:val="00DE4923"/>
    <w:rsid w:val="00DE5536"/>
    <w:rsid w:val="00DE5638"/>
    <w:rsid w:val="00DE6914"/>
    <w:rsid w:val="00DE6BC0"/>
    <w:rsid w:val="00DE6C4B"/>
    <w:rsid w:val="00DE6D84"/>
    <w:rsid w:val="00DE7953"/>
    <w:rsid w:val="00DF2642"/>
    <w:rsid w:val="00DF29A1"/>
    <w:rsid w:val="00DF2EFF"/>
    <w:rsid w:val="00DF3D6D"/>
    <w:rsid w:val="00E017CC"/>
    <w:rsid w:val="00E01CEF"/>
    <w:rsid w:val="00E03F38"/>
    <w:rsid w:val="00E04098"/>
    <w:rsid w:val="00E05B7F"/>
    <w:rsid w:val="00E0686C"/>
    <w:rsid w:val="00E0725D"/>
    <w:rsid w:val="00E14DAF"/>
    <w:rsid w:val="00E14E50"/>
    <w:rsid w:val="00E157AC"/>
    <w:rsid w:val="00E16B3A"/>
    <w:rsid w:val="00E1706C"/>
    <w:rsid w:val="00E17A33"/>
    <w:rsid w:val="00E200AD"/>
    <w:rsid w:val="00E20320"/>
    <w:rsid w:val="00E20B90"/>
    <w:rsid w:val="00E210F0"/>
    <w:rsid w:val="00E22EBF"/>
    <w:rsid w:val="00E22EE5"/>
    <w:rsid w:val="00E2331A"/>
    <w:rsid w:val="00E23C24"/>
    <w:rsid w:val="00E245DB"/>
    <w:rsid w:val="00E246DC"/>
    <w:rsid w:val="00E261C4"/>
    <w:rsid w:val="00E26B6B"/>
    <w:rsid w:val="00E276CF"/>
    <w:rsid w:val="00E356E9"/>
    <w:rsid w:val="00E40664"/>
    <w:rsid w:val="00E41CB9"/>
    <w:rsid w:val="00E431FF"/>
    <w:rsid w:val="00E435F9"/>
    <w:rsid w:val="00E4409C"/>
    <w:rsid w:val="00E51B7C"/>
    <w:rsid w:val="00E55201"/>
    <w:rsid w:val="00E6264F"/>
    <w:rsid w:val="00E63DD3"/>
    <w:rsid w:val="00E65794"/>
    <w:rsid w:val="00E74CA5"/>
    <w:rsid w:val="00E769BF"/>
    <w:rsid w:val="00E77DE5"/>
    <w:rsid w:val="00E80918"/>
    <w:rsid w:val="00E80DB3"/>
    <w:rsid w:val="00E80E2A"/>
    <w:rsid w:val="00E8246E"/>
    <w:rsid w:val="00E82A39"/>
    <w:rsid w:val="00E82F9E"/>
    <w:rsid w:val="00E833A8"/>
    <w:rsid w:val="00E83E36"/>
    <w:rsid w:val="00E84C27"/>
    <w:rsid w:val="00E854C7"/>
    <w:rsid w:val="00E87051"/>
    <w:rsid w:val="00E90F5D"/>
    <w:rsid w:val="00E918A7"/>
    <w:rsid w:val="00E936A9"/>
    <w:rsid w:val="00E94A6E"/>
    <w:rsid w:val="00E94D4B"/>
    <w:rsid w:val="00E97A35"/>
    <w:rsid w:val="00EA0BD3"/>
    <w:rsid w:val="00EA1EB9"/>
    <w:rsid w:val="00EA2499"/>
    <w:rsid w:val="00EA2EF1"/>
    <w:rsid w:val="00EA2F38"/>
    <w:rsid w:val="00EA4F68"/>
    <w:rsid w:val="00EA6BA4"/>
    <w:rsid w:val="00EA6F93"/>
    <w:rsid w:val="00EA7E76"/>
    <w:rsid w:val="00EB0508"/>
    <w:rsid w:val="00EB2BC2"/>
    <w:rsid w:val="00EB2C69"/>
    <w:rsid w:val="00EB3CD0"/>
    <w:rsid w:val="00EB42BA"/>
    <w:rsid w:val="00EB4E10"/>
    <w:rsid w:val="00EB504F"/>
    <w:rsid w:val="00EB5243"/>
    <w:rsid w:val="00EC326A"/>
    <w:rsid w:val="00EC3FDB"/>
    <w:rsid w:val="00EC525B"/>
    <w:rsid w:val="00EC52D4"/>
    <w:rsid w:val="00EC5FE4"/>
    <w:rsid w:val="00EC771F"/>
    <w:rsid w:val="00EC7F97"/>
    <w:rsid w:val="00ED0197"/>
    <w:rsid w:val="00ED04C8"/>
    <w:rsid w:val="00ED051F"/>
    <w:rsid w:val="00ED0BA5"/>
    <w:rsid w:val="00ED2160"/>
    <w:rsid w:val="00ED3532"/>
    <w:rsid w:val="00ED4AB6"/>
    <w:rsid w:val="00ED6254"/>
    <w:rsid w:val="00ED7FEA"/>
    <w:rsid w:val="00EE22CF"/>
    <w:rsid w:val="00EE32F3"/>
    <w:rsid w:val="00EE5742"/>
    <w:rsid w:val="00EE57C8"/>
    <w:rsid w:val="00EE7C6B"/>
    <w:rsid w:val="00EF146F"/>
    <w:rsid w:val="00EF353B"/>
    <w:rsid w:val="00EF3D8E"/>
    <w:rsid w:val="00EF4C8B"/>
    <w:rsid w:val="00EF4DBE"/>
    <w:rsid w:val="00EF7B0D"/>
    <w:rsid w:val="00F06748"/>
    <w:rsid w:val="00F07FF4"/>
    <w:rsid w:val="00F103F2"/>
    <w:rsid w:val="00F11DAB"/>
    <w:rsid w:val="00F12006"/>
    <w:rsid w:val="00F13450"/>
    <w:rsid w:val="00F15245"/>
    <w:rsid w:val="00F16394"/>
    <w:rsid w:val="00F16439"/>
    <w:rsid w:val="00F20622"/>
    <w:rsid w:val="00F20E02"/>
    <w:rsid w:val="00F21240"/>
    <w:rsid w:val="00F22724"/>
    <w:rsid w:val="00F25087"/>
    <w:rsid w:val="00F25757"/>
    <w:rsid w:val="00F305B5"/>
    <w:rsid w:val="00F305F2"/>
    <w:rsid w:val="00F31843"/>
    <w:rsid w:val="00F31BCB"/>
    <w:rsid w:val="00F320AC"/>
    <w:rsid w:val="00F32AAA"/>
    <w:rsid w:val="00F33562"/>
    <w:rsid w:val="00F33FCE"/>
    <w:rsid w:val="00F3434A"/>
    <w:rsid w:val="00F40AE8"/>
    <w:rsid w:val="00F40EAF"/>
    <w:rsid w:val="00F41906"/>
    <w:rsid w:val="00F41F20"/>
    <w:rsid w:val="00F41F9C"/>
    <w:rsid w:val="00F422CF"/>
    <w:rsid w:val="00F42FC7"/>
    <w:rsid w:val="00F44D6C"/>
    <w:rsid w:val="00F466F5"/>
    <w:rsid w:val="00F46948"/>
    <w:rsid w:val="00F50A33"/>
    <w:rsid w:val="00F50AE4"/>
    <w:rsid w:val="00F50FC8"/>
    <w:rsid w:val="00F5220A"/>
    <w:rsid w:val="00F5334D"/>
    <w:rsid w:val="00F53FBB"/>
    <w:rsid w:val="00F55BCC"/>
    <w:rsid w:val="00F56237"/>
    <w:rsid w:val="00F5624C"/>
    <w:rsid w:val="00F56253"/>
    <w:rsid w:val="00F56673"/>
    <w:rsid w:val="00F56A4C"/>
    <w:rsid w:val="00F56C83"/>
    <w:rsid w:val="00F5724A"/>
    <w:rsid w:val="00F57E7F"/>
    <w:rsid w:val="00F6049C"/>
    <w:rsid w:val="00F606A1"/>
    <w:rsid w:val="00F62389"/>
    <w:rsid w:val="00F62892"/>
    <w:rsid w:val="00F646DE"/>
    <w:rsid w:val="00F701F7"/>
    <w:rsid w:val="00F7069A"/>
    <w:rsid w:val="00F728E3"/>
    <w:rsid w:val="00F72959"/>
    <w:rsid w:val="00F74966"/>
    <w:rsid w:val="00F7607C"/>
    <w:rsid w:val="00F761ED"/>
    <w:rsid w:val="00F765B5"/>
    <w:rsid w:val="00F77595"/>
    <w:rsid w:val="00F77779"/>
    <w:rsid w:val="00F81120"/>
    <w:rsid w:val="00F82A2A"/>
    <w:rsid w:val="00F8517B"/>
    <w:rsid w:val="00F87350"/>
    <w:rsid w:val="00F90104"/>
    <w:rsid w:val="00F96168"/>
    <w:rsid w:val="00F971A4"/>
    <w:rsid w:val="00F9751D"/>
    <w:rsid w:val="00F97E4A"/>
    <w:rsid w:val="00FA0391"/>
    <w:rsid w:val="00FA16B0"/>
    <w:rsid w:val="00FA2451"/>
    <w:rsid w:val="00FA346F"/>
    <w:rsid w:val="00FA4317"/>
    <w:rsid w:val="00FA5AB8"/>
    <w:rsid w:val="00FA6746"/>
    <w:rsid w:val="00FA74C6"/>
    <w:rsid w:val="00FB211A"/>
    <w:rsid w:val="00FB58F3"/>
    <w:rsid w:val="00FB7127"/>
    <w:rsid w:val="00FC07A5"/>
    <w:rsid w:val="00FC0C20"/>
    <w:rsid w:val="00FC12EC"/>
    <w:rsid w:val="00FC6CF3"/>
    <w:rsid w:val="00FC7518"/>
    <w:rsid w:val="00FD0928"/>
    <w:rsid w:val="00FD0C03"/>
    <w:rsid w:val="00FD1D71"/>
    <w:rsid w:val="00FD1F04"/>
    <w:rsid w:val="00FD23E3"/>
    <w:rsid w:val="00FD31BF"/>
    <w:rsid w:val="00FD3BCB"/>
    <w:rsid w:val="00FD3BCC"/>
    <w:rsid w:val="00FD4956"/>
    <w:rsid w:val="00FE15E1"/>
    <w:rsid w:val="00FE2BB4"/>
    <w:rsid w:val="00FE30D4"/>
    <w:rsid w:val="00FE41FA"/>
    <w:rsid w:val="00FE4708"/>
    <w:rsid w:val="00FE4823"/>
    <w:rsid w:val="00FE48A1"/>
    <w:rsid w:val="00FE5AE4"/>
    <w:rsid w:val="00FE6340"/>
    <w:rsid w:val="00FE63A0"/>
    <w:rsid w:val="00FE7351"/>
    <w:rsid w:val="00FE76C1"/>
    <w:rsid w:val="00FE7E8E"/>
    <w:rsid w:val="00FE7FE7"/>
    <w:rsid w:val="00FF1A0B"/>
    <w:rsid w:val="00FF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CCD2"/>
  <w15:docId w15:val="{99DA8952-3135-41E8-88E8-ABEFC431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58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EC"/>
    <w:pPr>
      <w:ind w:left="720"/>
      <w:contextualSpacing/>
    </w:pPr>
  </w:style>
  <w:style w:type="table" w:styleId="TableGrid">
    <w:name w:val="Table Grid"/>
    <w:basedOn w:val="TableNormal"/>
    <w:uiPriority w:val="39"/>
    <w:rsid w:val="0056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B4424"/>
    <w:pPr>
      <w:numPr>
        <w:numId w:val="3"/>
      </w:numPr>
      <w:contextualSpacing/>
    </w:pPr>
  </w:style>
  <w:style w:type="character" w:customStyle="1" w:styleId="st">
    <w:name w:val="st"/>
    <w:basedOn w:val="DefaultParagraphFont"/>
    <w:rsid w:val="000A3CD9"/>
  </w:style>
  <w:style w:type="character" w:styleId="Emphasis">
    <w:name w:val="Emphasis"/>
    <w:basedOn w:val="DefaultParagraphFont"/>
    <w:uiPriority w:val="20"/>
    <w:qFormat/>
    <w:rsid w:val="000A3CD9"/>
    <w:rPr>
      <w:i/>
      <w:iCs/>
    </w:rPr>
  </w:style>
  <w:style w:type="paragraph" w:styleId="BalloonText">
    <w:name w:val="Balloon Text"/>
    <w:basedOn w:val="Normal"/>
    <w:link w:val="BalloonTextChar"/>
    <w:uiPriority w:val="99"/>
    <w:semiHidden/>
    <w:unhideWhenUsed/>
    <w:rsid w:val="00CA0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A33"/>
    <w:rPr>
      <w:rFonts w:ascii="Segoe UI" w:hAnsi="Segoe UI" w:cs="Segoe UI"/>
      <w:sz w:val="18"/>
      <w:szCs w:val="18"/>
    </w:rPr>
  </w:style>
  <w:style w:type="character" w:styleId="Hyperlink">
    <w:name w:val="Hyperlink"/>
    <w:basedOn w:val="DefaultParagraphFont"/>
    <w:uiPriority w:val="99"/>
    <w:unhideWhenUsed/>
    <w:rsid w:val="00FD31BF"/>
    <w:rPr>
      <w:color w:val="0000FF"/>
      <w:u w:val="single"/>
    </w:rPr>
  </w:style>
  <w:style w:type="paragraph" w:styleId="NormalWeb">
    <w:name w:val="Normal (Web)"/>
    <w:basedOn w:val="Normal"/>
    <w:uiPriority w:val="99"/>
    <w:semiHidden/>
    <w:unhideWhenUsed/>
    <w:rsid w:val="00391E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B5153"/>
    <w:rPr>
      <w:sz w:val="16"/>
      <w:szCs w:val="16"/>
    </w:rPr>
  </w:style>
  <w:style w:type="paragraph" w:styleId="CommentText">
    <w:name w:val="annotation text"/>
    <w:basedOn w:val="Normal"/>
    <w:link w:val="CommentTextChar"/>
    <w:uiPriority w:val="99"/>
    <w:semiHidden/>
    <w:unhideWhenUsed/>
    <w:rsid w:val="009B5153"/>
    <w:pPr>
      <w:spacing w:line="240" w:lineRule="auto"/>
    </w:pPr>
    <w:rPr>
      <w:sz w:val="20"/>
      <w:szCs w:val="20"/>
    </w:rPr>
  </w:style>
  <w:style w:type="character" w:customStyle="1" w:styleId="CommentTextChar">
    <w:name w:val="Comment Text Char"/>
    <w:basedOn w:val="DefaultParagraphFont"/>
    <w:link w:val="CommentText"/>
    <w:uiPriority w:val="99"/>
    <w:semiHidden/>
    <w:rsid w:val="009B5153"/>
    <w:rPr>
      <w:sz w:val="20"/>
      <w:szCs w:val="20"/>
    </w:rPr>
  </w:style>
  <w:style w:type="paragraph" w:customStyle="1" w:styleId="xmsonormal">
    <w:name w:val="x_msonormal"/>
    <w:basedOn w:val="Normal"/>
    <w:rsid w:val="001E1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commenttext">
    <w:name w:val="x_msocommenttext"/>
    <w:basedOn w:val="Normal"/>
    <w:rsid w:val="001E1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F73BC"/>
    <w:rPr>
      <w:b/>
      <w:bCs/>
    </w:rPr>
  </w:style>
  <w:style w:type="character" w:customStyle="1" w:styleId="CommentSubjectChar">
    <w:name w:val="Comment Subject Char"/>
    <w:basedOn w:val="CommentTextChar"/>
    <w:link w:val="CommentSubject"/>
    <w:uiPriority w:val="99"/>
    <w:semiHidden/>
    <w:rsid w:val="00AF73BC"/>
    <w:rPr>
      <w:b/>
      <w:bCs/>
      <w:sz w:val="20"/>
      <w:szCs w:val="20"/>
    </w:rPr>
  </w:style>
  <w:style w:type="paragraph" w:styleId="Revision">
    <w:name w:val="Revision"/>
    <w:hidden/>
    <w:uiPriority w:val="99"/>
    <w:semiHidden/>
    <w:rsid w:val="00FE63A0"/>
    <w:pPr>
      <w:spacing w:after="0" w:line="240" w:lineRule="auto"/>
    </w:pPr>
  </w:style>
  <w:style w:type="character" w:styleId="PlaceholderText">
    <w:name w:val="Placeholder Text"/>
    <w:basedOn w:val="DefaultParagraphFont"/>
    <w:uiPriority w:val="99"/>
    <w:semiHidden/>
    <w:rsid w:val="00835DD4"/>
    <w:rPr>
      <w:color w:val="808080"/>
    </w:rPr>
  </w:style>
  <w:style w:type="character" w:customStyle="1" w:styleId="Heading3Char">
    <w:name w:val="Heading 3 Char"/>
    <w:basedOn w:val="DefaultParagraphFont"/>
    <w:link w:val="Heading3"/>
    <w:uiPriority w:val="9"/>
    <w:rsid w:val="00BF5804"/>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C4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A0"/>
  </w:style>
  <w:style w:type="paragraph" w:styleId="Footer">
    <w:name w:val="footer"/>
    <w:basedOn w:val="Normal"/>
    <w:link w:val="FooterChar"/>
    <w:uiPriority w:val="99"/>
    <w:unhideWhenUsed/>
    <w:rsid w:val="00C40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A0"/>
  </w:style>
  <w:style w:type="character" w:customStyle="1" w:styleId="currenthithighlight">
    <w:name w:val="currenthithighlight"/>
    <w:basedOn w:val="DefaultParagraphFont"/>
    <w:rsid w:val="005F7BBC"/>
  </w:style>
  <w:style w:type="character" w:customStyle="1" w:styleId="A3">
    <w:name w:val="A3"/>
    <w:uiPriority w:val="99"/>
    <w:rsid w:val="005F7BBC"/>
    <w:rPr>
      <w:rFonts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6776">
      <w:bodyDiv w:val="1"/>
      <w:marLeft w:val="0"/>
      <w:marRight w:val="0"/>
      <w:marTop w:val="0"/>
      <w:marBottom w:val="0"/>
      <w:divBdr>
        <w:top w:val="none" w:sz="0" w:space="0" w:color="auto"/>
        <w:left w:val="none" w:sz="0" w:space="0" w:color="auto"/>
        <w:bottom w:val="none" w:sz="0" w:space="0" w:color="auto"/>
        <w:right w:val="none" w:sz="0" w:space="0" w:color="auto"/>
      </w:divBdr>
    </w:div>
    <w:div w:id="198669716">
      <w:bodyDiv w:val="1"/>
      <w:marLeft w:val="0"/>
      <w:marRight w:val="0"/>
      <w:marTop w:val="0"/>
      <w:marBottom w:val="0"/>
      <w:divBdr>
        <w:top w:val="none" w:sz="0" w:space="0" w:color="auto"/>
        <w:left w:val="none" w:sz="0" w:space="0" w:color="auto"/>
        <w:bottom w:val="none" w:sz="0" w:space="0" w:color="auto"/>
        <w:right w:val="none" w:sz="0" w:space="0" w:color="auto"/>
      </w:divBdr>
    </w:div>
    <w:div w:id="934166338">
      <w:bodyDiv w:val="1"/>
      <w:marLeft w:val="0"/>
      <w:marRight w:val="0"/>
      <w:marTop w:val="0"/>
      <w:marBottom w:val="0"/>
      <w:divBdr>
        <w:top w:val="none" w:sz="0" w:space="0" w:color="auto"/>
        <w:left w:val="none" w:sz="0" w:space="0" w:color="auto"/>
        <w:bottom w:val="none" w:sz="0" w:space="0" w:color="auto"/>
        <w:right w:val="none" w:sz="0" w:space="0" w:color="auto"/>
      </w:divBdr>
      <w:divsChild>
        <w:div w:id="2037654428">
          <w:marLeft w:val="850"/>
          <w:marRight w:val="0"/>
          <w:marTop w:val="0"/>
          <w:marBottom w:val="0"/>
          <w:divBdr>
            <w:top w:val="none" w:sz="0" w:space="0" w:color="auto"/>
            <w:left w:val="none" w:sz="0" w:space="0" w:color="auto"/>
            <w:bottom w:val="none" w:sz="0" w:space="0" w:color="auto"/>
            <w:right w:val="none" w:sz="0" w:space="0" w:color="auto"/>
          </w:divBdr>
        </w:div>
      </w:divsChild>
    </w:div>
    <w:div w:id="1148666457">
      <w:bodyDiv w:val="1"/>
      <w:marLeft w:val="0"/>
      <w:marRight w:val="0"/>
      <w:marTop w:val="0"/>
      <w:marBottom w:val="0"/>
      <w:divBdr>
        <w:top w:val="none" w:sz="0" w:space="0" w:color="auto"/>
        <w:left w:val="none" w:sz="0" w:space="0" w:color="auto"/>
        <w:bottom w:val="none" w:sz="0" w:space="0" w:color="auto"/>
        <w:right w:val="none" w:sz="0" w:space="0" w:color="auto"/>
      </w:divBdr>
    </w:div>
    <w:div w:id="1703509443">
      <w:bodyDiv w:val="1"/>
      <w:marLeft w:val="0"/>
      <w:marRight w:val="0"/>
      <w:marTop w:val="0"/>
      <w:marBottom w:val="0"/>
      <w:divBdr>
        <w:top w:val="none" w:sz="0" w:space="0" w:color="auto"/>
        <w:left w:val="none" w:sz="0" w:space="0" w:color="auto"/>
        <w:bottom w:val="none" w:sz="0" w:space="0" w:color="auto"/>
        <w:right w:val="none" w:sz="0" w:space="0" w:color="auto"/>
      </w:divBdr>
    </w:div>
    <w:div w:id="2120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translational-medic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phron.com/cgi-bin/CGSI.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F538-7FCC-46CE-BA79-31420A72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4FEFA96D.dotm</Template>
  <TotalTime>1436</TotalTime>
  <Pages>21</Pages>
  <Words>21186</Words>
  <Characters>120761</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141664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Joseph Hill-McManus</dc:creator>
  <cp:lastModifiedBy>Daniel Joseph Hill-McManus</cp:lastModifiedBy>
  <cp:revision>41</cp:revision>
  <cp:lastPrinted>2017-04-27T09:33:00Z</cp:lastPrinted>
  <dcterms:created xsi:type="dcterms:W3CDTF">2017-04-26T13:15:00Z</dcterms:created>
  <dcterms:modified xsi:type="dcterms:W3CDTF">2017-04-27T14:20:00Z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0f0ea4a9-1337-350d-adad-d025f13ac945</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http://www.zotero.org/styles/clinical-pharmacology-and-therapeutics</vt:lpwstr>
  </property>
  <property fmtid="{D5CDD505-2E9C-101B-9397-08002B2CF9AE}" pid="9" name="Mendeley Recent Style Name 2_1">
    <vt:lpwstr>Clinical Pharmacology &amp; Therapeutics</vt:lpwstr>
  </property>
  <property fmtid="{D5CDD505-2E9C-101B-9397-08002B2CF9AE}" pid="10" name="Mendeley Recent Style Id 3_1">
    <vt:lpwstr>http://csl.mendeley.com/styles/464087751/clinical-pharmacology-and-therapeutics-2</vt:lpwstr>
  </property>
  <property fmtid="{D5CDD505-2E9C-101B-9397-08002B2CF9AE}" pid="11" name="Mendeley Recent Style Name 3_1">
    <vt:lpwstr>Clinical Pharmacology &amp; Therapeutics - Dan McManus</vt:lpwstr>
  </property>
  <property fmtid="{D5CDD505-2E9C-101B-9397-08002B2CF9AE}" pid="12" name="Mendeley Recent Style Id 4_1">
    <vt:lpwstr>http://www.zotero.org/styles/elsevier-vancouver</vt:lpwstr>
  </property>
  <property fmtid="{D5CDD505-2E9C-101B-9397-08002B2CF9AE}" pid="13" name="Mendeley Recent Style Name 4_1">
    <vt:lpwstr>Elsevier Vancouver</vt:lpwstr>
  </property>
  <property fmtid="{D5CDD505-2E9C-101B-9397-08002B2CF9AE}" pid="14" name="Mendeley Recent Style Id 5_1">
    <vt:lpwstr>http://csl.mendeley.com/styles/464087751/elsevier-vancouver</vt:lpwstr>
  </property>
  <property fmtid="{D5CDD505-2E9C-101B-9397-08002B2CF9AE}" pid="15" name="Mendeley Recent Style Name 5_1">
    <vt:lpwstr>Elsevier Vancouver - Dan McManus</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http://csl.mendeley.com/styles/464087751/vancouver</vt:lpwstr>
  </property>
  <property fmtid="{D5CDD505-2E9C-101B-9397-08002B2CF9AE}" pid="23" name="Mendeley Recent Style Name 9_1">
    <vt:lpwstr>Vancouver - Dan McManus</vt:lpwstr>
  </property>
  <property fmtid="{D5CDD505-2E9C-101B-9397-08002B2CF9AE}" pid="24" name="Mendeley Citation Style_1">
    <vt:lpwstr>http://csl.mendeley.com/styles/464087751/clinical-pharmacology-and-therapeutics-2</vt:lpwstr>
  </property>
</Properties>
</file>