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380" w:rsidRPr="003D087C" w:rsidRDefault="00202925" w:rsidP="003D087C">
      <w:pPr>
        <w:spacing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 xml:space="preserve">Asymptomatic corneal keratopathy secondary to </w:t>
      </w:r>
      <w:r w:rsidR="006D0B0C" w:rsidRPr="003D087C">
        <w:rPr>
          <w:rFonts w:ascii="Times New Roman" w:hAnsi="Times New Roman" w:cs="Times New Roman"/>
          <w:b/>
          <w:sz w:val="24"/>
          <w:szCs w:val="24"/>
        </w:rPr>
        <w:t>hypertyrosinaemia</w:t>
      </w:r>
      <w:r w:rsidRPr="003D087C">
        <w:rPr>
          <w:rFonts w:ascii="Times New Roman" w:hAnsi="Times New Roman" w:cs="Times New Roman"/>
          <w:b/>
          <w:sz w:val="24"/>
          <w:szCs w:val="24"/>
        </w:rPr>
        <w:t xml:space="preserve"> following low dose nitisinone</w:t>
      </w:r>
      <w:r w:rsidR="008573AD" w:rsidRPr="003D087C">
        <w:rPr>
          <w:rFonts w:ascii="Times New Roman" w:hAnsi="Times New Roman" w:cs="Times New Roman"/>
          <w:b/>
          <w:sz w:val="24"/>
          <w:szCs w:val="24"/>
        </w:rPr>
        <w:t xml:space="preserve"> and a literature review of tyrosine keratopathy in </w:t>
      </w:r>
      <w:r w:rsidR="00234657" w:rsidRPr="003D087C">
        <w:rPr>
          <w:rFonts w:ascii="Times New Roman" w:hAnsi="Times New Roman" w:cs="Times New Roman"/>
          <w:b/>
          <w:sz w:val="24"/>
          <w:szCs w:val="24"/>
        </w:rPr>
        <w:t>alkaptonuria</w:t>
      </w:r>
      <w:r w:rsidR="008573AD" w:rsidRPr="003D087C">
        <w:rPr>
          <w:rFonts w:ascii="Times New Roman" w:hAnsi="Times New Roman" w:cs="Times New Roman"/>
          <w:b/>
          <w:sz w:val="24"/>
          <w:szCs w:val="24"/>
        </w:rPr>
        <w:t xml:space="preserve"> </w:t>
      </w:r>
    </w:p>
    <w:p w:rsidR="00202925" w:rsidRPr="003D087C" w:rsidRDefault="009C7A09" w:rsidP="003D087C">
      <w:pPr>
        <w:spacing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 xml:space="preserve">M </w:t>
      </w:r>
      <w:r w:rsidR="00202925" w:rsidRPr="003D087C">
        <w:rPr>
          <w:rFonts w:ascii="Times New Roman" w:hAnsi="Times New Roman" w:cs="Times New Roman"/>
          <w:b/>
          <w:sz w:val="24"/>
          <w:szCs w:val="24"/>
        </w:rPr>
        <w:t xml:space="preserve">Khedr </w:t>
      </w:r>
      <w:r w:rsidR="00202925" w:rsidRPr="003D087C">
        <w:rPr>
          <w:rFonts w:ascii="Times New Roman" w:hAnsi="Times New Roman" w:cs="Times New Roman"/>
          <w:b/>
          <w:sz w:val="24"/>
          <w:szCs w:val="24"/>
          <w:vertAlign w:val="superscript"/>
        </w:rPr>
        <w:t>1</w:t>
      </w:r>
      <w:r w:rsidR="00202925"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S </w:t>
      </w:r>
      <w:r w:rsidR="00202925" w:rsidRPr="003D087C">
        <w:rPr>
          <w:rFonts w:ascii="Times New Roman" w:hAnsi="Times New Roman" w:cs="Times New Roman"/>
          <w:b/>
          <w:sz w:val="24"/>
          <w:szCs w:val="24"/>
        </w:rPr>
        <w:t xml:space="preserve">Judd </w:t>
      </w:r>
      <w:r w:rsidR="00202925" w:rsidRPr="003D087C">
        <w:rPr>
          <w:rFonts w:ascii="Times New Roman" w:hAnsi="Times New Roman" w:cs="Times New Roman"/>
          <w:b/>
          <w:sz w:val="24"/>
          <w:szCs w:val="24"/>
          <w:vertAlign w:val="superscript"/>
        </w:rPr>
        <w:t>2</w:t>
      </w:r>
      <w:r w:rsidR="00202925"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MC </w:t>
      </w:r>
      <w:r w:rsidR="00202925" w:rsidRPr="003D087C">
        <w:rPr>
          <w:rFonts w:ascii="Times New Roman" w:hAnsi="Times New Roman" w:cs="Times New Roman"/>
          <w:b/>
          <w:sz w:val="24"/>
          <w:szCs w:val="24"/>
        </w:rPr>
        <w:t xml:space="preserve">Briggs </w:t>
      </w:r>
      <w:r w:rsidR="00202925" w:rsidRPr="003D087C">
        <w:rPr>
          <w:rFonts w:ascii="Times New Roman" w:hAnsi="Times New Roman" w:cs="Times New Roman"/>
          <w:b/>
          <w:sz w:val="24"/>
          <w:szCs w:val="24"/>
          <w:vertAlign w:val="superscript"/>
        </w:rPr>
        <w:t>3</w:t>
      </w:r>
      <w:r w:rsidR="00202925" w:rsidRPr="003D087C">
        <w:rPr>
          <w:rFonts w:ascii="Times New Roman" w:hAnsi="Times New Roman" w:cs="Times New Roman"/>
          <w:b/>
          <w:sz w:val="24"/>
          <w:szCs w:val="24"/>
        </w:rPr>
        <w:t>,</w:t>
      </w:r>
      <w:r w:rsidR="00D70134"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AT </w:t>
      </w:r>
      <w:r w:rsidR="00D70134" w:rsidRPr="003D087C">
        <w:rPr>
          <w:rFonts w:ascii="Times New Roman" w:hAnsi="Times New Roman" w:cs="Times New Roman"/>
          <w:b/>
          <w:sz w:val="24"/>
          <w:szCs w:val="24"/>
        </w:rPr>
        <w:t xml:space="preserve">Hughes </w:t>
      </w:r>
      <w:r w:rsidR="00D70134" w:rsidRPr="003D087C">
        <w:rPr>
          <w:rFonts w:ascii="Times New Roman" w:hAnsi="Times New Roman" w:cs="Times New Roman"/>
          <w:b/>
          <w:sz w:val="24"/>
          <w:szCs w:val="24"/>
          <w:vertAlign w:val="superscript"/>
        </w:rPr>
        <w:t>1</w:t>
      </w:r>
      <w:r w:rsidR="00556DA4" w:rsidRPr="003D087C">
        <w:rPr>
          <w:rFonts w:ascii="Times New Roman" w:hAnsi="Times New Roman" w:cs="Times New Roman"/>
          <w:b/>
          <w:sz w:val="24"/>
          <w:szCs w:val="24"/>
          <w:vertAlign w:val="superscript"/>
        </w:rPr>
        <w:t>,4</w:t>
      </w:r>
      <w:r w:rsidR="00D70134"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AM </w:t>
      </w:r>
      <w:r w:rsidR="00D70134" w:rsidRPr="003D087C">
        <w:rPr>
          <w:rFonts w:ascii="Times New Roman" w:hAnsi="Times New Roman" w:cs="Times New Roman"/>
          <w:b/>
          <w:sz w:val="24"/>
          <w:szCs w:val="24"/>
        </w:rPr>
        <w:t xml:space="preserve">Milan </w:t>
      </w:r>
      <w:r w:rsidR="00D70134" w:rsidRPr="003D087C">
        <w:rPr>
          <w:rFonts w:ascii="Times New Roman" w:hAnsi="Times New Roman" w:cs="Times New Roman"/>
          <w:b/>
          <w:sz w:val="24"/>
          <w:szCs w:val="24"/>
          <w:vertAlign w:val="superscript"/>
        </w:rPr>
        <w:t>1</w:t>
      </w:r>
      <w:r w:rsidR="00556DA4" w:rsidRPr="003D087C">
        <w:rPr>
          <w:rFonts w:ascii="Times New Roman" w:hAnsi="Times New Roman" w:cs="Times New Roman"/>
          <w:b/>
          <w:sz w:val="24"/>
          <w:szCs w:val="24"/>
          <w:vertAlign w:val="superscript"/>
        </w:rPr>
        <w:t>,4</w:t>
      </w:r>
      <w:r w:rsidR="00D70134"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RMK </w:t>
      </w:r>
      <w:r w:rsidR="006371BC" w:rsidRPr="003D087C">
        <w:rPr>
          <w:rFonts w:ascii="Times New Roman" w:hAnsi="Times New Roman" w:cs="Times New Roman"/>
          <w:b/>
          <w:sz w:val="24"/>
          <w:szCs w:val="24"/>
        </w:rPr>
        <w:t xml:space="preserve">Stewart </w:t>
      </w:r>
      <w:r w:rsidR="006371BC" w:rsidRPr="003D087C">
        <w:rPr>
          <w:rFonts w:ascii="Times New Roman" w:hAnsi="Times New Roman" w:cs="Times New Roman"/>
          <w:b/>
          <w:sz w:val="24"/>
          <w:szCs w:val="24"/>
          <w:vertAlign w:val="superscript"/>
        </w:rPr>
        <w:t>5</w:t>
      </w:r>
      <w:r w:rsidR="00D61CB7">
        <w:rPr>
          <w:rFonts w:ascii="Times New Roman" w:hAnsi="Times New Roman" w:cs="Times New Roman"/>
          <w:b/>
          <w:sz w:val="24"/>
          <w:szCs w:val="24"/>
          <w:vertAlign w:val="superscript"/>
        </w:rPr>
        <w:t>,7</w:t>
      </w:r>
      <w:r w:rsidR="006371BC"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EA </w:t>
      </w:r>
      <w:r w:rsidR="006371BC" w:rsidRPr="003D087C">
        <w:rPr>
          <w:rFonts w:ascii="Times New Roman" w:hAnsi="Times New Roman" w:cs="Times New Roman"/>
          <w:b/>
          <w:sz w:val="24"/>
          <w:szCs w:val="24"/>
        </w:rPr>
        <w:t xml:space="preserve">Lock </w:t>
      </w:r>
      <w:r w:rsidR="006371BC" w:rsidRPr="003D087C">
        <w:rPr>
          <w:rFonts w:ascii="Times New Roman" w:hAnsi="Times New Roman" w:cs="Times New Roman"/>
          <w:b/>
          <w:sz w:val="24"/>
          <w:szCs w:val="24"/>
          <w:vertAlign w:val="superscript"/>
        </w:rPr>
        <w:t>6</w:t>
      </w:r>
      <w:r w:rsidR="006371BC" w:rsidRPr="003D087C">
        <w:rPr>
          <w:rFonts w:ascii="Times New Roman" w:hAnsi="Times New Roman" w:cs="Times New Roman"/>
          <w:b/>
          <w:sz w:val="24"/>
          <w:szCs w:val="24"/>
        </w:rPr>
        <w:t xml:space="preserve">, </w:t>
      </w:r>
      <w:r w:rsidRPr="003D087C">
        <w:rPr>
          <w:rFonts w:ascii="Times New Roman" w:hAnsi="Times New Roman" w:cs="Times New Roman"/>
          <w:b/>
          <w:sz w:val="24"/>
          <w:szCs w:val="24"/>
        </w:rPr>
        <w:t xml:space="preserve">JA </w:t>
      </w:r>
      <w:r w:rsidR="00D70134" w:rsidRPr="003D087C">
        <w:rPr>
          <w:rFonts w:ascii="Times New Roman" w:hAnsi="Times New Roman" w:cs="Times New Roman"/>
          <w:b/>
          <w:sz w:val="24"/>
          <w:szCs w:val="24"/>
        </w:rPr>
        <w:t xml:space="preserve">Gallagher </w:t>
      </w:r>
      <w:r w:rsidR="00D70134" w:rsidRPr="003D087C">
        <w:rPr>
          <w:rFonts w:ascii="Times New Roman" w:hAnsi="Times New Roman" w:cs="Times New Roman"/>
          <w:b/>
          <w:sz w:val="24"/>
          <w:szCs w:val="24"/>
          <w:vertAlign w:val="superscript"/>
        </w:rPr>
        <w:t>4</w:t>
      </w:r>
      <w:r w:rsidR="00D70134" w:rsidRPr="003D087C">
        <w:rPr>
          <w:rFonts w:ascii="Times New Roman" w:hAnsi="Times New Roman" w:cs="Times New Roman"/>
          <w:b/>
          <w:sz w:val="24"/>
          <w:szCs w:val="24"/>
        </w:rPr>
        <w:t>,</w:t>
      </w:r>
      <w:r w:rsidRPr="003D087C">
        <w:rPr>
          <w:rFonts w:ascii="Times New Roman" w:hAnsi="Times New Roman" w:cs="Times New Roman"/>
          <w:b/>
          <w:sz w:val="24"/>
          <w:szCs w:val="24"/>
        </w:rPr>
        <w:t xml:space="preserve"> LR</w:t>
      </w:r>
      <w:r w:rsidR="00D70134" w:rsidRPr="003D087C">
        <w:rPr>
          <w:rFonts w:ascii="Times New Roman" w:hAnsi="Times New Roman" w:cs="Times New Roman"/>
          <w:b/>
          <w:sz w:val="24"/>
          <w:szCs w:val="24"/>
        </w:rPr>
        <w:t xml:space="preserve"> </w:t>
      </w:r>
      <w:r w:rsidR="00202925" w:rsidRPr="003D087C">
        <w:rPr>
          <w:rFonts w:ascii="Times New Roman" w:hAnsi="Times New Roman" w:cs="Times New Roman"/>
          <w:b/>
          <w:sz w:val="24"/>
          <w:szCs w:val="24"/>
        </w:rPr>
        <w:t xml:space="preserve">Ranganath </w:t>
      </w:r>
      <w:r w:rsidR="00202925" w:rsidRPr="003D087C">
        <w:rPr>
          <w:rFonts w:ascii="Times New Roman" w:hAnsi="Times New Roman" w:cs="Times New Roman"/>
          <w:b/>
          <w:sz w:val="24"/>
          <w:szCs w:val="24"/>
          <w:vertAlign w:val="superscript"/>
        </w:rPr>
        <w:t>1</w:t>
      </w:r>
      <w:r w:rsidR="00556DA4" w:rsidRPr="003D087C">
        <w:rPr>
          <w:rFonts w:ascii="Times New Roman" w:hAnsi="Times New Roman" w:cs="Times New Roman"/>
          <w:b/>
          <w:sz w:val="24"/>
          <w:szCs w:val="24"/>
          <w:vertAlign w:val="superscript"/>
        </w:rPr>
        <w:t>,4</w:t>
      </w:r>
      <w:r w:rsidR="00202925" w:rsidRPr="003D087C">
        <w:rPr>
          <w:rFonts w:ascii="Times New Roman" w:hAnsi="Times New Roman" w:cs="Times New Roman"/>
          <w:b/>
          <w:sz w:val="24"/>
          <w:szCs w:val="24"/>
        </w:rPr>
        <w:t xml:space="preserve"> </w:t>
      </w:r>
    </w:p>
    <w:p w:rsidR="00202925" w:rsidRPr="003D087C" w:rsidRDefault="00202925"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vertAlign w:val="superscript"/>
        </w:rPr>
        <w:t>1</w:t>
      </w:r>
      <w:r w:rsidRPr="003D087C">
        <w:rPr>
          <w:rFonts w:ascii="Times New Roman" w:hAnsi="Times New Roman" w:cs="Times New Roman"/>
          <w:sz w:val="24"/>
          <w:szCs w:val="24"/>
        </w:rPr>
        <w:t>Department of Clinical Biochemistry and Metabolic Medicine</w:t>
      </w:r>
      <w:r w:rsidR="00556DA4" w:rsidRPr="003D087C">
        <w:rPr>
          <w:rFonts w:ascii="Times New Roman" w:hAnsi="Times New Roman" w:cs="Times New Roman"/>
          <w:sz w:val="24"/>
          <w:szCs w:val="24"/>
        </w:rPr>
        <w:t>, Liverpool Clinical Laboratories</w:t>
      </w:r>
      <w:r w:rsidRPr="003D087C">
        <w:rPr>
          <w:rFonts w:ascii="Times New Roman" w:hAnsi="Times New Roman" w:cs="Times New Roman"/>
          <w:sz w:val="24"/>
          <w:szCs w:val="24"/>
        </w:rPr>
        <w:t xml:space="preserve">, </w:t>
      </w:r>
      <w:r w:rsidRPr="003D087C">
        <w:rPr>
          <w:rFonts w:ascii="Times New Roman" w:hAnsi="Times New Roman" w:cs="Times New Roman"/>
          <w:sz w:val="24"/>
          <w:szCs w:val="24"/>
          <w:vertAlign w:val="superscript"/>
        </w:rPr>
        <w:t>2</w:t>
      </w:r>
      <w:r w:rsidRPr="003D087C">
        <w:rPr>
          <w:rFonts w:ascii="Times New Roman" w:hAnsi="Times New Roman" w:cs="Times New Roman"/>
          <w:sz w:val="24"/>
          <w:szCs w:val="24"/>
        </w:rPr>
        <w:t xml:space="preserve">Department of </w:t>
      </w:r>
      <w:r w:rsidR="00556DA4" w:rsidRPr="003D087C">
        <w:rPr>
          <w:rFonts w:ascii="Times New Roman" w:hAnsi="Times New Roman" w:cs="Times New Roman"/>
          <w:sz w:val="24"/>
          <w:szCs w:val="24"/>
        </w:rPr>
        <w:t xml:space="preserve">Nutrition </w:t>
      </w:r>
      <w:r w:rsidRPr="003D087C">
        <w:rPr>
          <w:rFonts w:ascii="Times New Roman" w:hAnsi="Times New Roman" w:cs="Times New Roman"/>
          <w:sz w:val="24"/>
          <w:szCs w:val="24"/>
        </w:rPr>
        <w:t xml:space="preserve">and </w:t>
      </w:r>
      <w:r w:rsidR="00556DA4" w:rsidRPr="003D087C">
        <w:rPr>
          <w:rFonts w:ascii="Times New Roman" w:hAnsi="Times New Roman" w:cs="Times New Roman"/>
          <w:sz w:val="24"/>
          <w:szCs w:val="24"/>
        </w:rPr>
        <w:t>Dietetics</w:t>
      </w:r>
      <w:r w:rsidRPr="003D087C">
        <w:rPr>
          <w:rFonts w:ascii="Times New Roman" w:hAnsi="Times New Roman" w:cs="Times New Roman"/>
          <w:sz w:val="24"/>
          <w:szCs w:val="24"/>
        </w:rPr>
        <w:t xml:space="preserve">, </w:t>
      </w:r>
      <w:r w:rsidRPr="003D087C">
        <w:rPr>
          <w:rFonts w:ascii="Times New Roman" w:hAnsi="Times New Roman" w:cs="Times New Roman"/>
          <w:sz w:val="24"/>
          <w:szCs w:val="24"/>
          <w:vertAlign w:val="superscript"/>
        </w:rPr>
        <w:t>3</w:t>
      </w:r>
      <w:r w:rsidRPr="003D087C">
        <w:rPr>
          <w:rFonts w:ascii="Times New Roman" w:hAnsi="Times New Roman" w:cs="Times New Roman"/>
          <w:sz w:val="24"/>
          <w:szCs w:val="24"/>
        </w:rPr>
        <w:t>Department of Ophthalmology, Royal Liverpool University Hospital,</w:t>
      </w:r>
      <w:r w:rsidR="00410380" w:rsidRPr="003D087C">
        <w:rPr>
          <w:rFonts w:ascii="Times New Roman" w:hAnsi="Times New Roman" w:cs="Times New Roman"/>
          <w:sz w:val="24"/>
          <w:szCs w:val="24"/>
        </w:rPr>
        <w:t xml:space="preserve"> </w:t>
      </w:r>
      <w:proofErr w:type="spellStart"/>
      <w:r w:rsidRPr="003D087C">
        <w:rPr>
          <w:rFonts w:ascii="Times New Roman" w:hAnsi="Times New Roman" w:cs="Times New Roman"/>
          <w:sz w:val="24"/>
          <w:szCs w:val="24"/>
        </w:rPr>
        <w:t>Prescot</w:t>
      </w:r>
      <w:proofErr w:type="spellEnd"/>
      <w:r w:rsidRPr="003D087C">
        <w:rPr>
          <w:rFonts w:ascii="Times New Roman" w:hAnsi="Times New Roman" w:cs="Times New Roman"/>
          <w:sz w:val="24"/>
          <w:szCs w:val="24"/>
        </w:rPr>
        <w:t xml:space="preserve"> Street, Liverpool L7 8XP, UK</w:t>
      </w:r>
    </w:p>
    <w:p w:rsidR="00AC17C7" w:rsidRPr="003D087C" w:rsidRDefault="00A11AF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vertAlign w:val="superscript"/>
        </w:rPr>
        <w:t>4</w:t>
      </w:r>
      <w:r w:rsidRPr="003D087C">
        <w:rPr>
          <w:rFonts w:ascii="Times New Roman" w:hAnsi="Times New Roman" w:cs="Times New Roman"/>
          <w:sz w:val="24"/>
          <w:szCs w:val="24"/>
        </w:rPr>
        <w:t>Department of Musculoskeletal Biology, Institute of Ageing and Chronic Disease, William Duncan Building, 6 West Derby Street</w:t>
      </w:r>
      <w:r w:rsidR="00D42A1E" w:rsidRPr="003D087C">
        <w:rPr>
          <w:rFonts w:ascii="Times New Roman" w:hAnsi="Times New Roman" w:cs="Times New Roman"/>
          <w:sz w:val="24"/>
          <w:szCs w:val="24"/>
        </w:rPr>
        <w:t>, Liverpool</w:t>
      </w:r>
      <w:r w:rsidRPr="003D087C">
        <w:rPr>
          <w:rFonts w:ascii="Times New Roman" w:hAnsi="Times New Roman" w:cs="Times New Roman"/>
          <w:sz w:val="24"/>
          <w:szCs w:val="24"/>
        </w:rPr>
        <w:t xml:space="preserve"> L7 8TX</w:t>
      </w:r>
      <w:r w:rsidR="00D42A1E" w:rsidRPr="003D087C">
        <w:rPr>
          <w:rFonts w:ascii="Times New Roman" w:hAnsi="Times New Roman" w:cs="Times New Roman"/>
          <w:sz w:val="24"/>
          <w:szCs w:val="24"/>
        </w:rPr>
        <w:t>, UK</w:t>
      </w:r>
    </w:p>
    <w:p w:rsidR="006371BC" w:rsidRPr="003D087C" w:rsidRDefault="00C378D1" w:rsidP="003D087C">
      <w:pPr>
        <w:spacing w:line="480" w:lineRule="auto"/>
        <w:rPr>
          <w:rFonts w:ascii="Times New Roman" w:hAnsi="Times New Roman" w:cs="Times New Roman"/>
          <w:sz w:val="24"/>
          <w:szCs w:val="24"/>
        </w:rPr>
      </w:pPr>
      <w:r w:rsidRPr="003D087C">
        <w:rPr>
          <w:rFonts w:ascii="Times New Roman" w:hAnsi="Times New Roman" w:cs="Times New Roman"/>
          <w:sz w:val="24"/>
          <w:szCs w:val="24"/>
          <w:vertAlign w:val="superscript"/>
        </w:rPr>
        <w:t>5</w:t>
      </w:r>
      <w:r w:rsidR="006371BC" w:rsidRPr="003D087C">
        <w:rPr>
          <w:rFonts w:ascii="Times New Roman" w:hAnsi="Times New Roman" w:cs="Times New Roman"/>
          <w:sz w:val="24"/>
          <w:szCs w:val="24"/>
        </w:rPr>
        <w:t>Royal Victorian Eye and Ear Hospital, 32 Gisborne St, East Melbourne VIC 3002, Australia</w:t>
      </w:r>
    </w:p>
    <w:p w:rsidR="006371BC" w:rsidRDefault="006371BC" w:rsidP="003D087C">
      <w:pPr>
        <w:spacing w:line="480" w:lineRule="auto"/>
        <w:rPr>
          <w:rFonts w:ascii="Times New Roman" w:hAnsi="Times New Roman" w:cs="Times New Roman"/>
          <w:sz w:val="24"/>
          <w:szCs w:val="24"/>
        </w:rPr>
      </w:pPr>
      <w:r w:rsidRPr="003D087C">
        <w:rPr>
          <w:rFonts w:ascii="Times New Roman" w:hAnsi="Times New Roman" w:cs="Times New Roman"/>
          <w:sz w:val="24"/>
          <w:szCs w:val="24"/>
          <w:vertAlign w:val="superscript"/>
        </w:rPr>
        <w:t>6</w:t>
      </w:r>
      <w:r w:rsidRPr="003D087C">
        <w:rPr>
          <w:rFonts w:ascii="Times New Roman" w:hAnsi="Times New Roman" w:cs="Times New Roman"/>
          <w:sz w:val="24"/>
          <w:szCs w:val="24"/>
        </w:rPr>
        <w:t>School of Pharmacy and Biomolecular Sciences, Liverpool John Moores University, Byrom Street, Liverpool L3 3AF, UK</w:t>
      </w:r>
    </w:p>
    <w:p w:rsidR="00D61CB7" w:rsidRPr="003D087C" w:rsidRDefault="00D61CB7" w:rsidP="003D087C">
      <w:pPr>
        <w:spacing w:line="480" w:lineRule="auto"/>
        <w:rPr>
          <w:rFonts w:ascii="Times New Roman" w:hAnsi="Times New Roman" w:cs="Times New Roman"/>
          <w:sz w:val="24"/>
          <w:szCs w:val="24"/>
        </w:rPr>
      </w:pPr>
      <w:r w:rsidRPr="00D61CB7">
        <w:rPr>
          <w:rFonts w:ascii="Times New Roman" w:hAnsi="Times New Roman" w:cs="Times New Roman"/>
          <w:sz w:val="24"/>
          <w:szCs w:val="24"/>
          <w:vertAlign w:val="superscript"/>
        </w:rPr>
        <w:t>7</w:t>
      </w:r>
      <w:r w:rsidRPr="00D61CB7">
        <w:rPr>
          <w:rFonts w:ascii="Times New Roman" w:hAnsi="Times New Roman" w:cs="Times New Roman"/>
          <w:sz w:val="24"/>
          <w:szCs w:val="24"/>
        </w:rPr>
        <w:t>Department of Eye and Vision Science, University of Liverpool, UK</w:t>
      </w:r>
    </w:p>
    <w:p w:rsidR="00202925" w:rsidRPr="003D087C" w:rsidRDefault="00A11AF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 </w:t>
      </w:r>
      <w:r w:rsidR="00202925" w:rsidRPr="003D087C">
        <w:rPr>
          <w:rFonts w:ascii="Times New Roman" w:hAnsi="Times New Roman" w:cs="Times New Roman"/>
          <w:b/>
          <w:sz w:val="24"/>
          <w:szCs w:val="24"/>
        </w:rPr>
        <w:t>Corresponding author:</w:t>
      </w:r>
      <w:r w:rsidR="00202925" w:rsidRPr="003D087C">
        <w:rPr>
          <w:rFonts w:ascii="Times New Roman" w:hAnsi="Times New Roman" w:cs="Times New Roman"/>
          <w:sz w:val="24"/>
          <w:szCs w:val="24"/>
        </w:rPr>
        <w:t xml:space="preserve"> M Khedr, Department of Clinical Biochemistry and Metabolic Medicine, Royal Liverpool University Hospital, </w:t>
      </w:r>
      <w:proofErr w:type="spellStart"/>
      <w:r w:rsidR="00202925" w:rsidRPr="003D087C">
        <w:rPr>
          <w:rFonts w:ascii="Times New Roman" w:hAnsi="Times New Roman" w:cs="Times New Roman"/>
          <w:sz w:val="24"/>
          <w:szCs w:val="24"/>
        </w:rPr>
        <w:t>Prescot</w:t>
      </w:r>
      <w:proofErr w:type="spellEnd"/>
      <w:r w:rsidR="00202925" w:rsidRPr="003D087C">
        <w:rPr>
          <w:rFonts w:ascii="Times New Roman" w:hAnsi="Times New Roman" w:cs="Times New Roman"/>
          <w:sz w:val="24"/>
          <w:szCs w:val="24"/>
        </w:rPr>
        <w:t xml:space="preserve"> Street, Liverpool, L7 8XP; e-mail: mkhedr@liverpool.ac.uk</w:t>
      </w:r>
    </w:p>
    <w:p w:rsidR="00202925" w:rsidRPr="003D087C" w:rsidRDefault="00202925" w:rsidP="003D087C">
      <w:pPr>
        <w:spacing w:line="480" w:lineRule="auto"/>
        <w:jc w:val="both"/>
        <w:rPr>
          <w:rFonts w:ascii="Times New Roman" w:hAnsi="Times New Roman" w:cs="Times New Roman"/>
          <w:sz w:val="24"/>
          <w:szCs w:val="24"/>
        </w:rPr>
      </w:pPr>
      <w:r w:rsidRPr="003D087C">
        <w:rPr>
          <w:rFonts w:ascii="Times New Roman" w:hAnsi="Times New Roman" w:cs="Times New Roman"/>
          <w:b/>
          <w:sz w:val="24"/>
          <w:szCs w:val="24"/>
        </w:rPr>
        <w:t>Keywords:</w:t>
      </w:r>
      <w:r w:rsidRPr="003D087C">
        <w:rPr>
          <w:rFonts w:ascii="Times New Roman" w:hAnsi="Times New Roman" w:cs="Times New Roman"/>
          <w:sz w:val="24"/>
          <w:szCs w:val="24"/>
        </w:rPr>
        <w:t xml:space="preserve"> Alkaptonuria, </w:t>
      </w:r>
      <w:r w:rsidR="00556DA4" w:rsidRPr="003D087C">
        <w:rPr>
          <w:rFonts w:ascii="Times New Roman" w:hAnsi="Times New Roman" w:cs="Times New Roman"/>
          <w:sz w:val="24"/>
          <w:szCs w:val="24"/>
        </w:rPr>
        <w:t>Nitisinone</w:t>
      </w:r>
      <w:r w:rsidRPr="003D087C">
        <w:rPr>
          <w:rFonts w:ascii="Times New Roman" w:hAnsi="Times New Roman" w:cs="Times New Roman"/>
          <w:sz w:val="24"/>
          <w:szCs w:val="24"/>
        </w:rPr>
        <w:t>, Keratopathy</w:t>
      </w:r>
      <w:r w:rsidR="006C3FBB">
        <w:rPr>
          <w:rFonts w:ascii="Times New Roman" w:hAnsi="Times New Roman" w:cs="Times New Roman"/>
          <w:sz w:val="24"/>
          <w:szCs w:val="24"/>
        </w:rPr>
        <w:t>, Tyrosine</w:t>
      </w:r>
    </w:p>
    <w:p w:rsidR="00202925" w:rsidRPr="003D087C" w:rsidRDefault="00202925" w:rsidP="003D087C">
      <w:pPr>
        <w:spacing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 xml:space="preserve">Word count (excluding title page, abstract, references, figures and tables): </w:t>
      </w:r>
    </w:p>
    <w:p w:rsidR="00635AEF" w:rsidRPr="00C53A23" w:rsidRDefault="00202925" w:rsidP="003D087C">
      <w:pPr>
        <w:spacing w:line="480" w:lineRule="auto"/>
        <w:jc w:val="both"/>
        <w:rPr>
          <w:rFonts w:ascii="Times New Roman" w:hAnsi="Times New Roman" w:cs="Times New Roman"/>
          <w:sz w:val="24"/>
          <w:szCs w:val="24"/>
        </w:rPr>
      </w:pPr>
      <w:r w:rsidRPr="00C53A23">
        <w:rPr>
          <w:rFonts w:ascii="Times New Roman" w:hAnsi="Times New Roman" w:cs="Times New Roman"/>
          <w:sz w:val="24"/>
          <w:szCs w:val="24"/>
        </w:rPr>
        <w:t>Manuscript:</w:t>
      </w:r>
      <w:r w:rsidR="00725F21" w:rsidRPr="00C53A23">
        <w:rPr>
          <w:rFonts w:ascii="Times New Roman" w:hAnsi="Times New Roman" w:cs="Times New Roman"/>
          <w:sz w:val="24"/>
          <w:szCs w:val="24"/>
        </w:rPr>
        <w:t xml:space="preserve"> </w:t>
      </w:r>
      <w:r w:rsidR="00DB7988">
        <w:rPr>
          <w:rFonts w:ascii="Times New Roman" w:hAnsi="Times New Roman" w:cs="Times New Roman"/>
          <w:sz w:val="24"/>
          <w:szCs w:val="24"/>
        </w:rPr>
        <w:t>2086</w:t>
      </w:r>
      <w:r w:rsidR="003D2649" w:rsidRPr="00C53A23">
        <w:rPr>
          <w:rFonts w:ascii="Times New Roman" w:hAnsi="Times New Roman" w:cs="Times New Roman"/>
          <w:sz w:val="24"/>
          <w:szCs w:val="24"/>
        </w:rPr>
        <w:t xml:space="preserve">, </w:t>
      </w:r>
      <w:r w:rsidRPr="00C53A23">
        <w:rPr>
          <w:rFonts w:ascii="Times New Roman" w:hAnsi="Times New Roman" w:cs="Times New Roman"/>
          <w:sz w:val="24"/>
          <w:szCs w:val="24"/>
        </w:rPr>
        <w:t xml:space="preserve">Abstract: </w:t>
      </w:r>
      <w:r w:rsidR="00020E9E" w:rsidRPr="00C53A23">
        <w:rPr>
          <w:rFonts w:ascii="Times New Roman" w:hAnsi="Times New Roman" w:cs="Times New Roman"/>
          <w:sz w:val="24"/>
          <w:szCs w:val="24"/>
        </w:rPr>
        <w:t>2</w:t>
      </w:r>
      <w:r w:rsidR="009017C4" w:rsidRPr="00C53A23">
        <w:rPr>
          <w:rFonts w:ascii="Times New Roman" w:hAnsi="Times New Roman" w:cs="Times New Roman"/>
          <w:sz w:val="24"/>
          <w:szCs w:val="24"/>
        </w:rPr>
        <w:t>4</w:t>
      </w:r>
      <w:r w:rsidR="00E10AF2" w:rsidRPr="00C53A23">
        <w:rPr>
          <w:rFonts w:ascii="Times New Roman" w:hAnsi="Times New Roman" w:cs="Times New Roman"/>
          <w:sz w:val="24"/>
          <w:szCs w:val="24"/>
        </w:rPr>
        <w:t>0</w:t>
      </w:r>
    </w:p>
    <w:p w:rsidR="00202925" w:rsidRPr="003D087C" w:rsidRDefault="00635AEF" w:rsidP="003D087C">
      <w:pPr>
        <w:spacing w:line="480" w:lineRule="auto"/>
        <w:jc w:val="both"/>
        <w:rPr>
          <w:rFonts w:ascii="Times New Roman" w:hAnsi="Times New Roman" w:cs="Times New Roman"/>
          <w:sz w:val="24"/>
          <w:szCs w:val="24"/>
        </w:rPr>
      </w:pPr>
      <w:r w:rsidRPr="00C53A23">
        <w:rPr>
          <w:rFonts w:ascii="Times New Roman" w:hAnsi="Times New Roman" w:cs="Times New Roman"/>
          <w:sz w:val="24"/>
          <w:szCs w:val="24"/>
        </w:rPr>
        <w:t xml:space="preserve">Number of References: </w:t>
      </w:r>
      <w:r w:rsidR="00502A31" w:rsidRPr="00C53A23">
        <w:rPr>
          <w:rFonts w:ascii="Times New Roman" w:hAnsi="Times New Roman" w:cs="Times New Roman"/>
          <w:sz w:val="24"/>
          <w:szCs w:val="24"/>
        </w:rPr>
        <w:t>2</w:t>
      </w:r>
      <w:r w:rsidR="00DB7988">
        <w:rPr>
          <w:rFonts w:ascii="Times New Roman" w:hAnsi="Times New Roman" w:cs="Times New Roman"/>
          <w:sz w:val="24"/>
          <w:szCs w:val="24"/>
        </w:rPr>
        <w:t>3</w:t>
      </w:r>
    </w:p>
    <w:p w:rsidR="001B5A5F" w:rsidRPr="003D087C" w:rsidRDefault="00202925" w:rsidP="003D087C">
      <w:pPr>
        <w:spacing w:after="160" w:line="480" w:lineRule="auto"/>
        <w:jc w:val="both"/>
        <w:rPr>
          <w:rFonts w:ascii="Times New Roman" w:hAnsi="Times New Roman" w:cs="Times New Roman"/>
          <w:sz w:val="24"/>
          <w:szCs w:val="24"/>
        </w:rPr>
      </w:pPr>
      <w:r w:rsidRPr="003D087C">
        <w:rPr>
          <w:rFonts w:ascii="Times New Roman" w:hAnsi="Times New Roman" w:cs="Times New Roman"/>
          <w:b/>
          <w:sz w:val="24"/>
          <w:szCs w:val="24"/>
        </w:rPr>
        <w:t>Figures:</w:t>
      </w:r>
      <w:r w:rsidRPr="003D087C">
        <w:rPr>
          <w:rFonts w:ascii="Times New Roman" w:hAnsi="Times New Roman" w:cs="Times New Roman"/>
          <w:sz w:val="24"/>
          <w:szCs w:val="24"/>
        </w:rPr>
        <w:t xml:space="preserve"> </w:t>
      </w:r>
      <w:r w:rsidR="006E2809" w:rsidRPr="003D087C">
        <w:rPr>
          <w:rFonts w:ascii="Times New Roman" w:hAnsi="Times New Roman" w:cs="Times New Roman"/>
          <w:sz w:val="24"/>
          <w:szCs w:val="24"/>
        </w:rPr>
        <w:t>1</w:t>
      </w:r>
      <w:r w:rsidRPr="003D087C">
        <w:rPr>
          <w:rFonts w:ascii="Times New Roman" w:hAnsi="Times New Roman" w:cs="Times New Roman"/>
          <w:sz w:val="24"/>
          <w:szCs w:val="24"/>
        </w:rPr>
        <w:tab/>
      </w:r>
      <w:proofErr w:type="gramStart"/>
      <w:r w:rsidRPr="003D087C">
        <w:rPr>
          <w:rFonts w:ascii="Times New Roman" w:hAnsi="Times New Roman" w:cs="Times New Roman"/>
          <w:b/>
          <w:sz w:val="24"/>
          <w:szCs w:val="24"/>
        </w:rPr>
        <w:t>Tables</w:t>
      </w:r>
      <w:proofErr w:type="gramEnd"/>
      <w:r w:rsidRPr="003D087C">
        <w:rPr>
          <w:rFonts w:ascii="Times New Roman" w:hAnsi="Times New Roman" w:cs="Times New Roman"/>
          <w:b/>
          <w:sz w:val="24"/>
          <w:szCs w:val="24"/>
        </w:rPr>
        <w:t>:</w:t>
      </w:r>
      <w:r w:rsidRPr="003D087C">
        <w:rPr>
          <w:rFonts w:ascii="Times New Roman" w:hAnsi="Times New Roman" w:cs="Times New Roman"/>
          <w:sz w:val="24"/>
          <w:szCs w:val="24"/>
        </w:rPr>
        <w:t xml:space="preserve"> 2</w:t>
      </w:r>
    </w:p>
    <w:p w:rsidR="00635AEF" w:rsidRPr="003D087C" w:rsidRDefault="00635AEF" w:rsidP="003D087C">
      <w:pPr>
        <w:spacing w:after="160" w:line="480" w:lineRule="auto"/>
        <w:jc w:val="both"/>
        <w:rPr>
          <w:rFonts w:ascii="Times New Roman" w:hAnsi="Times New Roman" w:cs="Times New Roman"/>
          <w:sz w:val="24"/>
          <w:szCs w:val="24"/>
        </w:rPr>
      </w:pPr>
      <w:r w:rsidRPr="003D087C">
        <w:rPr>
          <w:rFonts w:ascii="Times New Roman" w:hAnsi="Times New Roman" w:cs="Times New Roman"/>
          <w:sz w:val="24"/>
          <w:szCs w:val="24"/>
        </w:rPr>
        <w:lastRenderedPageBreak/>
        <w:t>The colour pictures provided may be used for the front cover of the issue</w:t>
      </w:r>
    </w:p>
    <w:p w:rsidR="0096155C" w:rsidRPr="003D087C" w:rsidRDefault="0096155C" w:rsidP="003D087C">
      <w:pPr>
        <w:autoSpaceDE w:val="0"/>
        <w:autoSpaceDN w:val="0"/>
        <w:adjustRightInd w:val="0"/>
        <w:spacing w:after="0"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Abstract</w:t>
      </w:r>
    </w:p>
    <w:p w:rsidR="0096155C" w:rsidRPr="003D087C" w:rsidRDefault="0096155C" w:rsidP="003D087C">
      <w:pPr>
        <w:autoSpaceDE w:val="0"/>
        <w:autoSpaceDN w:val="0"/>
        <w:adjustRightInd w:val="0"/>
        <w:spacing w:after="0" w:line="480" w:lineRule="auto"/>
        <w:jc w:val="both"/>
        <w:rPr>
          <w:rFonts w:ascii="Times New Roman" w:hAnsi="Times New Roman" w:cs="Times New Roman"/>
          <w:sz w:val="24"/>
          <w:szCs w:val="24"/>
        </w:rPr>
      </w:pPr>
    </w:p>
    <w:p w:rsidR="0096155C" w:rsidRPr="003D087C" w:rsidRDefault="0096155C"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Nitisinone</w:t>
      </w:r>
      <w:r w:rsidR="00556DA4" w:rsidRPr="003D087C">
        <w:rPr>
          <w:rFonts w:ascii="Times New Roman" w:hAnsi="Times New Roman" w:cs="Times New Roman"/>
          <w:sz w:val="24"/>
          <w:szCs w:val="24"/>
        </w:rPr>
        <w:t xml:space="preserve">, although unapproved for use in </w:t>
      </w:r>
      <w:r w:rsidR="009F7F5F" w:rsidRPr="003D087C">
        <w:rPr>
          <w:rFonts w:ascii="Times New Roman" w:hAnsi="Times New Roman" w:cs="Times New Roman"/>
          <w:sz w:val="24"/>
          <w:szCs w:val="24"/>
        </w:rPr>
        <w:t>alkaptonuria (</w:t>
      </w:r>
      <w:r w:rsidR="00556DA4" w:rsidRPr="003D087C">
        <w:rPr>
          <w:rFonts w:ascii="Times New Roman" w:hAnsi="Times New Roman" w:cs="Times New Roman"/>
          <w:sz w:val="24"/>
          <w:szCs w:val="24"/>
        </w:rPr>
        <w:t>AKU</w:t>
      </w:r>
      <w:r w:rsidR="009F7F5F" w:rsidRPr="003D087C">
        <w:rPr>
          <w:rFonts w:ascii="Times New Roman" w:hAnsi="Times New Roman" w:cs="Times New Roman"/>
          <w:sz w:val="24"/>
          <w:szCs w:val="24"/>
        </w:rPr>
        <w:t>)</w:t>
      </w:r>
      <w:r w:rsidR="00556DA4" w:rsidRPr="003D087C">
        <w:rPr>
          <w:rFonts w:ascii="Times New Roman" w:hAnsi="Times New Roman" w:cs="Times New Roman"/>
          <w:sz w:val="24"/>
          <w:szCs w:val="24"/>
        </w:rPr>
        <w:t>,</w:t>
      </w:r>
      <w:r w:rsidRPr="003D087C">
        <w:rPr>
          <w:rFonts w:ascii="Times New Roman" w:hAnsi="Times New Roman" w:cs="Times New Roman"/>
          <w:sz w:val="24"/>
          <w:szCs w:val="24"/>
        </w:rPr>
        <w:t xml:space="preserve"> is currently the only homogentisic acid lowering therapy with a potential to modify disease progression in</w:t>
      </w:r>
      <w:r w:rsidR="006D0B0C" w:rsidRPr="003D087C">
        <w:rPr>
          <w:rFonts w:ascii="Times New Roman" w:hAnsi="Times New Roman" w:cs="Times New Roman"/>
          <w:sz w:val="24"/>
          <w:szCs w:val="24"/>
        </w:rPr>
        <w:t xml:space="preserve"> </w:t>
      </w:r>
      <w:r w:rsidR="009F7F5F" w:rsidRPr="003D087C">
        <w:rPr>
          <w:rFonts w:ascii="Times New Roman" w:hAnsi="Times New Roman" w:cs="Times New Roman"/>
          <w:sz w:val="24"/>
          <w:szCs w:val="24"/>
        </w:rPr>
        <w:t>AKU</w:t>
      </w:r>
      <w:r w:rsidR="00DA062A" w:rsidRPr="003D087C">
        <w:rPr>
          <w:rFonts w:ascii="Times New Roman" w:hAnsi="Times New Roman" w:cs="Times New Roman"/>
          <w:sz w:val="24"/>
          <w:szCs w:val="24"/>
        </w:rPr>
        <w:t>.</w:t>
      </w:r>
      <w:r w:rsidR="00556DA4" w:rsidRPr="003D087C">
        <w:rPr>
          <w:rFonts w:ascii="Times New Roman" w:hAnsi="Times New Roman" w:cs="Times New Roman"/>
          <w:sz w:val="24"/>
          <w:szCs w:val="24"/>
        </w:rPr>
        <w:t xml:space="preserve"> </w:t>
      </w:r>
      <w:r w:rsidRPr="003D087C">
        <w:rPr>
          <w:rFonts w:ascii="Times New Roman" w:hAnsi="Times New Roman" w:cs="Times New Roman"/>
          <w:sz w:val="24"/>
          <w:szCs w:val="24"/>
        </w:rPr>
        <w:t>Therefore, safe use of nitisinone</w:t>
      </w:r>
      <w:r w:rsidR="00A4648E" w:rsidRPr="003D087C">
        <w:rPr>
          <w:rFonts w:ascii="Times New Roman" w:hAnsi="Times New Roman" w:cs="Times New Roman"/>
          <w:sz w:val="24"/>
          <w:szCs w:val="24"/>
        </w:rPr>
        <w:t xml:space="preserve"> off-label</w:t>
      </w:r>
      <w:r w:rsidRPr="003D087C">
        <w:rPr>
          <w:rFonts w:ascii="Times New Roman" w:hAnsi="Times New Roman" w:cs="Times New Roman"/>
          <w:sz w:val="24"/>
          <w:szCs w:val="24"/>
        </w:rPr>
        <w:t xml:space="preserve"> requires identifying and managing tyrosine </w:t>
      </w:r>
      <w:r w:rsidRPr="003D087C">
        <w:rPr>
          <w:rFonts w:ascii="Times New Roman" w:hAnsi="Times New Roman" w:cs="Times New Roman"/>
          <w:color w:val="000000" w:themeColor="text1"/>
          <w:sz w:val="24"/>
          <w:szCs w:val="24"/>
        </w:rPr>
        <w:t xml:space="preserve">keratopathy. </w:t>
      </w:r>
      <w:r w:rsidR="006D7F37" w:rsidRPr="003D087C">
        <w:rPr>
          <w:rFonts w:ascii="Times New Roman" w:hAnsi="Times New Roman" w:cs="Times New Roman"/>
          <w:color w:val="000000" w:themeColor="text1"/>
          <w:sz w:val="24"/>
          <w:szCs w:val="24"/>
        </w:rPr>
        <w:t xml:space="preserve">A 22 year old male with AKU </w:t>
      </w:r>
      <w:r w:rsidR="009F7F5F" w:rsidRPr="003D087C">
        <w:rPr>
          <w:rFonts w:ascii="Times New Roman" w:hAnsi="Times New Roman" w:cs="Times New Roman"/>
          <w:color w:val="000000" w:themeColor="text1"/>
          <w:sz w:val="24"/>
          <w:szCs w:val="24"/>
        </w:rPr>
        <w:t>commenced</w:t>
      </w:r>
      <w:r w:rsidR="006D7F37" w:rsidRPr="003D087C">
        <w:rPr>
          <w:rFonts w:ascii="Times New Roman" w:hAnsi="Times New Roman" w:cs="Times New Roman"/>
          <w:color w:val="000000" w:themeColor="text1"/>
          <w:sz w:val="24"/>
          <w:szCs w:val="24"/>
        </w:rPr>
        <w:t xml:space="preserve"> </w:t>
      </w:r>
      <w:r w:rsidR="009F7F5F" w:rsidRPr="003D087C">
        <w:rPr>
          <w:rFonts w:ascii="Times New Roman" w:hAnsi="Times New Roman" w:cs="Times New Roman"/>
          <w:color w:val="000000" w:themeColor="text1"/>
          <w:sz w:val="24"/>
          <w:szCs w:val="24"/>
        </w:rPr>
        <w:t xml:space="preserve">2mg daily </w:t>
      </w:r>
      <w:r w:rsidR="006D7F37" w:rsidRPr="003D087C">
        <w:rPr>
          <w:rFonts w:ascii="Times New Roman" w:hAnsi="Times New Roman" w:cs="Times New Roman"/>
          <w:color w:val="000000" w:themeColor="text1"/>
          <w:sz w:val="24"/>
          <w:szCs w:val="24"/>
        </w:rPr>
        <w:t>nitisinone after full assessment</w:t>
      </w:r>
      <w:r w:rsidR="009F7F5F" w:rsidRPr="003D087C">
        <w:rPr>
          <w:rFonts w:ascii="Times New Roman" w:hAnsi="Times New Roman" w:cs="Times New Roman"/>
          <w:color w:val="000000" w:themeColor="text1"/>
          <w:sz w:val="24"/>
          <w:szCs w:val="24"/>
        </w:rPr>
        <w:t xml:space="preserve">.  He was </w:t>
      </w:r>
      <w:r w:rsidR="006D7F37" w:rsidRPr="003D087C">
        <w:rPr>
          <w:rFonts w:ascii="Times New Roman" w:hAnsi="Times New Roman" w:cs="Times New Roman"/>
          <w:color w:val="000000" w:themeColor="text1"/>
          <w:sz w:val="24"/>
          <w:szCs w:val="24"/>
        </w:rPr>
        <w:t>issue</w:t>
      </w:r>
      <w:r w:rsidR="009F7F5F" w:rsidRPr="003D087C">
        <w:rPr>
          <w:rFonts w:ascii="Times New Roman" w:hAnsi="Times New Roman" w:cs="Times New Roman"/>
          <w:color w:val="000000" w:themeColor="text1"/>
          <w:sz w:val="24"/>
          <w:szCs w:val="24"/>
        </w:rPr>
        <w:t>d</w:t>
      </w:r>
      <w:r w:rsidR="006D7F37" w:rsidRPr="003D087C">
        <w:rPr>
          <w:rFonts w:ascii="Times New Roman" w:hAnsi="Times New Roman" w:cs="Times New Roman"/>
          <w:color w:val="000000" w:themeColor="text1"/>
          <w:sz w:val="24"/>
          <w:szCs w:val="24"/>
        </w:rPr>
        <w:t xml:space="preserve"> an alert card </w:t>
      </w:r>
      <w:r w:rsidR="00C07027" w:rsidRPr="003D087C">
        <w:rPr>
          <w:rFonts w:ascii="Times New Roman" w:hAnsi="Times New Roman" w:cs="Times New Roman"/>
          <w:color w:val="000000" w:themeColor="text1"/>
          <w:sz w:val="24"/>
          <w:szCs w:val="24"/>
        </w:rPr>
        <w:t>explaining</w:t>
      </w:r>
      <w:r w:rsidR="006D7F37" w:rsidRPr="003D087C">
        <w:rPr>
          <w:rFonts w:ascii="Times New Roman" w:hAnsi="Times New Roman" w:cs="Times New Roman"/>
          <w:color w:val="000000" w:themeColor="text1"/>
          <w:sz w:val="24"/>
          <w:szCs w:val="24"/>
        </w:rPr>
        <w:t xml:space="preserve"> potential </w:t>
      </w:r>
      <w:r w:rsidR="00C07027" w:rsidRPr="003D087C">
        <w:rPr>
          <w:rFonts w:ascii="Times New Roman" w:hAnsi="Times New Roman" w:cs="Times New Roman"/>
          <w:color w:val="000000" w:themeColor="text1"/>
          <w:sz w:val="24"/>
          <w:szCs w:val="24"/>
        </w:rPr>
        <w:t xml:space="preserve">ocular </w:t>
      </w:r>
      <w:r w:rsidR="006D7F37" w:rsidRPr="003D087C">
        <w:rPr>
          <w:rFonts w:ascii="Times New Roman" w:hAnsi="Times New Roman" w:cs="Times New Roman"/>
          <w:color w:val="000000" w:themeColor="text1"/>
          <w:sz w:val="24"/>
          <w:szCs w:val="24"/>
        </w:rPr>
        <w:t>symptoms such as red eye, tearing, oc</w:t>
      </w:r>
      <w:r w:rsidR="00C07027" w:rsidRPr="003D087C">
        <w:rPr>
          <w:rFonts w:ascii="Times New Roman" w:hAnsi="Times New Roman" w:cs="Times New Roman"/>
          <w:color w:val="000000" w:themeColor="text1"/>
          <w:sz w:val="24"/>
          <w:szCs w:val="24"/>
        </w:rPr>
        <w:t>ular pain and visual impairment</w:t>
      </w:r>
      <w:r w:rsidR="006D7F37" w:rsidRPr="003D087C">
        <w:rPr>
          <w:rFonts w:ascii="Times New Roman" w:hAnsi="Times New Roman" w:cs="Times New Roman"/>
          <w:color w:val="000000" w:themeColor="text1"/>
          <w:sz w:val="24"/>
          <w:szCs w:val="24"/>
        </w:rPr>
        <w:t xml:space="preserve"> </w:t>
      </w:r>
      <w:r w:rsidR="00C07027" w:rsidRPr="003D087C">
        <w:rPr>
          <w:rFonts w:ascii="Times New Roman" w:hAnsi="Times New Roman" w:cs="Times New Roman"/>
          <w:color w:val="000000" w:themeColor="text1"/>
          <w:sz w:val="24"/>
          <w:szCs w:val="24"/>
        </w:rPr>
        <w:t>and how</w:t>
      </w:r>
      <w:r w:rsidR="006D7F37" w:rsidRPr="003D087C">
        <w:rPr>
          <w:rFonts w:ascii="Times New Roman" w:hAnsi="Times New Roman" w:cs="Times New Roman"/>
          <w:color w:val="000000" w:themeColor="text1"/>
          <w:sz w:val="24"/>
          <w:szCs w:val="24"/>
        </w:rPr>
        <w:t xml:space="preserve"> </w:t>
      </w:r>
      <w:r w:rsidR="00DA062A" w:rsidRPr="003D087C">
        <w:rPr>
          <w:rFonts w:ascii="Times New Roman" w:hAnsi="Times New Roman" w:cs="Times New Roman"/>
          <w:color w:val="000000" w:themeColor="text1"/>
          <w:sz w:val="24"/>
          <w:szCs w:val="24"/>
        </w:rPr>
        <w:t xml:space="preserve">to </w:t>
      </w:r>
      <w:r w:rsidR="006D7F37" w:rsidRPr="003D087C">
        <w:rPr>
          <w:rFonts w:ascii="Times New Roman" w:hAnsi="Times New Roman" w:cs="Times New Roman"/>
          <w:color w:val="000000" w:themeColor="text1"/>
          <w:sz w:val="24"/>
          <w:szCs w:val="24"/>
        </w:rPr>
        <w:t>manage the</w:t>
      </w:r>
      <w:r w:rsidR="00C07027" w:rsidRPr="003D087C">
        <w:rPr>
          <w:rFonts w:ascii="Times New Roman" w:hAnsi="Times New Roman" w:cs="Times New Roman"/>
          <w:color w:val="000000" w:themeColor="text1"/>
          <w:sz w:val="24"/>
          <w:szCs w:val="24"/>
        </w:rPr>
        <w:t>m</w:t>
      </w:r>
      <w:r w:rsidR="006D7F37" w:rsidRPr="003D087C">
        <w:rPr>
          <w:rFonts w:ascii="Times New Roman" w:hAnsi="Times New Roman" w:cs="Times New Roman"/>
          <w:color w:val="000000" w:themeColor="text1"/>
          <w:sz w:val="24"/>
          <w:szCs w:val="24"/>
        </w:rPr>
        <w:t xml:space="preserve">. </w:t>
      </w:r>
      <w:r w:rsidR="009F67EA" w:rsidRPr="003D087C">
        <w:rPr>
          <w:rFonts w:ascii="Times New Roman" w:hAnsi="Times New Roman" w:cs="Times New Roman"/>
          <w:color w:val="000000" w:themeColor="text1"/>
          <w:sz w:val="24"/>
          <w:szCs w:val="24"/>
        </w:rPr>
        <w:t>On</w:t>
      </w:r>
      <w:r w:rsidR="006D7F37" w:rsidRPr="003D087C">
        <w:rPr>
          <w:rFonts w:ascii="Times New Roman" w:hAnsi="Times New Roman" w:cs="Times New Roman"/>
          <w:color w:val="000000" w:themeColor="text1"/>
          <w:sz w:val="24"/>
          <w:szCs w:val="24"/>
        </w:rPr>
        <w:t xml:space="preserve"> his </w:t>
      </w:r>
      <w:r w:rsidR="009F67EA" w:rsidRPr="003D087C">
        <w:rPr>
          <w:rFonts w:ascii="Times New Roman" w:hAnsi="Times New Roman" w:cs="Times New Roman"/>
          <w:color w:val="000000" w:themeColor="text1"/>
          <w:sz w:val="24"/>
          <w:szCs w:val="24"/>
        </w:rPr>
        <w:t xml:space="preserve">first and second annual follow up </w:t>
      </w:r>
      <w:r w:rsidR="006D7F37" w:rsidRPr="003D087C">
        <w:rPr>
          <w:rFonts w:ascii="Times New Roman" w:hAnsi="Times New Roman" w:cs="Times New Roman"/>
          <w:color w:val="000000" w:themeColor="text1"/>
          <w:sz w:val="24"/>
          <w:szCs w:val="24"/>
        </w:rPr>
        <w:t>visit</w:t>
      </w:r>
      <w:r w:rsidR="008D7B65">
        <w:rPr>
          <w:rFonts w:ascii="Times New Roman" w:hAnsi="Times New Roman" w:cs="Times New Roman"/>
          <w:color w:val="000000" w:themeColor="text1"/>
          <w:sz w:val="24"/>
          <w:szCs w:val="24"/>
        </w:rPr>
        <w:t>s</w:t>
      </w:r>
      <w:r w:rsidR="006D7F37" w:rsidRPr="003D087C">
        <w:rPr>
          <w:rFonts w:ascii="Times New Roman" w:hAnsi="Times New Roman" w:cs="Times New Roman"/>
          <w:color w:val="000000" w:themeColor="text1"/>
          <w:sz w:val="24"/>
          <w:szCs w:val="24"/>
        </w:rPr>
        <w:t xml:space="preserve"> to the National Alkaptonuria Centre</w:t>
      </w:r>
      <w:r w:rsidR="006D0B0C" w:rsidRPr="003D087C">
        <w:rPr>
          <w:rFonts w:ascii="Times New Roman" w:hAnsi="Times New Roman" w:cs="Times New Roman"/>
          <w:color w:val="000000" w:themeColor="text1"/>
          <w:sz w:val="24"/>
          <w:szCs w:val="24"/>
        </w:rPr>
        <w:t xml:space="preserve"> (NAC)</w:t>
      </w:r>
      <w:r w:rsidR="009C518E" w:rsidRPr="003D087C">
        <w:rPr>
          <w:rFonts w:ascii="Times New Roman" w:hAnsi="Times New Roman" w:cs="Times New Roman"/>
          <w:color w:val="000000" w:themeColor="text1"/>
          <w:sz w:val="24"/>
          <w:szCs w:val="24"/>
        </w:rPr>
        <w:t xml:space="preserve">, </w:t>
      </w:r>
      <w:r w:rsidR="006D7F37" w:rsidRPr="003D087C">
        <w:rPr>
          <w:rFonts w:ascii="Times New Roman" w:hAnsi="Times New Roman" w:cs="Times New Roman"/>
          <w:color w:val="000000" w:themeColor="text1"/>
          <w:sz w:val="24"/>
          <w:szCs w:val="24"/>
        </w:rPr>
        <w:t>there was no corneal keratopathy</w:t>
      </w:r>
      <w:r w:rsidR="006D0B0C" w:rsidRPr="003D087C">
        <w:rPr>
          <w:rFonts w:ascii="Times New Roman" w:hAnsi="Times New Roman" w:cs="Times New Roman"/>
          <w:color w:val="000000" w:themeColor="text1"/>
          <w:sz w:val="24"/>
          <w:szCs w:val="24"/>
        </w:rPr>
        <w:t xml:space="preserve"> on slit lamp examination</w:t>
      </w:r>
      <w:r w:rsidR="006D7F37" w:rsidRPr="003D087C">
        <w:rPr>
          <w:rFonts w:ascii="Times New Roman" w:hAnsi="Times New Roman" w:cs="Times New Roman"/>
          <w:color w:val="000000" w:themeColor="text1"/>
          <w:sz w:val="24"/>
          <w:szCs w:val="24"/>
        </w:rPr>
        <w:t>.</w:t>
      </w:r>
      <w:r w:rsidR="009C518E" w:rsidRPr="003D087C">
        <w:rPr>
          <w:rFonts w:ascii="Times New Roman" w:hAnsi="Times New Roman" w:cs="Times New Roman"/>
          <w:color w:val="000000" w:themeColor="text1"/>
          <w:sz w:val="24"/>
          <w:szCs w:val="24"/>
        </w:rPr>
        <w:t xml:space="preserve"> </w:t>
      </w:r>
      <w:r w:rsidR="009F67EA" w:rsidRPr="003D087C">
        <w:rPr>
          <w:rFonts w:ascii="Times New Roman" w:hAnsi="Times New Roman" w:cs="Times New Roman"/>
          <w:color w:val="000000" w:themeColor="text1"/>
          <w:sz w:val="24"/>
          <w:szCs w:val="24"/>
        </w:rPr>
        <w:t xml:space="preserve">On </w:t>
      </w:r>
      <w:r w:rsidR="009C518E" w:rsidRPr="003D087C">
        <w:rPr>
          <w:rFonts w:ascii="Times New Roman" w:hAnsi="Times New Roman" w:cs="Times New Roman"/>
          <w:color w:val="000000" w:themeColor="text1"/>
          <w:sz w:val="24"/>
          <w:szCs w:val="24"/>
        </w:rPr>
        <w:t xml:space="preserve">his </w:t>
      </w:r>
      <w:r w:rsidR="009F67EA" w:rsidRPr="003D087C">
        <w:rPr>
          <w:rFonts w:ascii="Times New Roman" w:hAnsi="Times New Roman" w:cs="Times New Roman"/>
          <w:color w:val="000000" w:themeColor="text1"/>
          <w:sz w:val="24"/>
          <w:szCs w:val="24"/>
        </w:rPr>
        <w:t xml:space="preserve">third follow up annual visit to the NAC, he was found to have </w:t>
      </w:r>
      <w:r w:rsidR="00A4648E" w:rsidRPr="003D087C">
        <w:rPr>
          <w:rFonts w:ascii="Times New Roman" w:hAnsi="Times New Roman" w:cs="Times New Roman"/>
          <w:sz w:val="24"/>
          <w:szCs w:val="24"/>
        </w:rPr>
        <w:t xml:space="preserve">typical dendritiform </w:t>
      </w:r>
      <w:r w:rsidR="009C518E" w:rsidRPr="003D087C">
        <w:rPr>
          <w:rFonts w:ascii="Times New Roman" w:hAnsi="Times New Roman" w:cs="Times New Roman"/>
          <w:sz w:val="24"/>
          <w:szCs w:val="24"/>
        </w:rPr>
        <w:t xml:space="preserve">corneal keratopathy </w:t>
      </w:r>
      <w:r w:rsidR="00A4648E" w:rsidRPr="003D087C">
        <w:rPr>
          <w:rFonts w:ascii="Times New Roman" w:hAnsi="Times New Roman" w:cs="Times New Roman"/>
          <w:sz w:val="24"/>
          <w:szCs w:val="24"/>
        </w:rPr>
        <w:t xml:space="preserve">in both eyes </w:t>
      </w:r>
      <w:r w:rsidR="009C518E" w:rsidRPr="003D087C">
        <w:rPr>
          <w:rFonts w:ascii="Times New Roman" w:hAnsi="Times New Roman" w:cs="Times New Roman"/>
          <w:sz w:val="24"/>
          <w:szCs w:val="24"/>
        </w:rPr>
        <w:t xml:space="preserve">which was asymptomatic. Nitisinone was </w:t>
      </w:r>
      <w:r w:rsidR="009F67EA" w:rsidRPr="003D087C">
        <w:rPr>
          <w:rFonts w:ascii="Times New Roman" w:hAnsi="Times New Roman" w:cs="Times New Roman"/>
          <w:sz w:val="24"/>
          <w:szCs w:val="24"/>
        </w:rPr>
        <w:t>suspended until a</w:t>
      </w:r>
      <w:r w:rsidR="009C518E" w:rsidRPr="003D087C">
        <w:rPr>
          <w:rFonts w:ascii="Times New Roman" w:hAnsi="Times New Roman" w:cs="Times New Roman"/>
          <w:sz w:val="24"/>
          <w:szCs w:val="24"/>
        </w:rPr>
        <w:t xml:space="preserve"> repeat slit lamp examination</w:t>
      </w:r>
      <w:r w:rsidR="009F67EA" w:rsidRPr="003D087C">
        <w:rPr>
          <w:rFonts w:ascii="Times New Roman" w:hAnsi="Times New Roman" w:cs="Times New Roman"/>
          <w:sz w:val="24"/>
          <w:szCs w:val="24"/>
        </w:rPr>
        <w:t>,</w:t>
      </w:r>
      <w:r w:rsidR="00A4648E" w:rsidRPr="003D087C">
        <w:rPr>
          <w:rFonts w:ascii="Times New Roman" w:hAnsi="Times New Roman" w:cs="Times New Roman"/>
          <w:sz w:val="24"/>
          <w:szCs w:val="24"/>
        </w:rPr>
        <w:t xml:space="preserve"> </w:t>
      </w:r>
      <w:r w:rsidR="009017C4" w:rsidRPr="003D087C">
        <w:rPr>
          <w:rFonts w:ascii="Times New Roman" w:hAnsi="Times New Roman" w:cs="Times New Roman"/>
          <w:sz w:val="24"/>
          <w:szCs w:val="24"/>
        </w:rPr>
        <w:t>two weeks</w:t>
      </w:r>
      <w:r w:rsidR="00A4648E" w:rsidRPr="003D087C">
        <w:rPr>
          <w:rFonts w:ascii="Times New Roman" w:hAnsi="Times New Roman" w:cs="Times New Roman"/>
          <w:sz w:val="24"/>
          <w:szCs w:val="24"/>
        </w:rPr>
        <w:t xml:space="preserve"> later</w:t>
      </w:r>
      <w:r w:rsidR="009F67EA" w:rsidRPr="003D087C">
        <w:rPr>
          <w:rFonts w:ascii="Times New Roman" w:hAnsi="Times New Roman" w:cs="Times New Roman"/>
          <w:sz w:val="24"/>
          <w:szCs w:val="24"/>
        </w:rPr>
        <w:t>,</w:t>
      </w:r>
      <w:r w:rsidR="00A4648E" w:rsidRPr="003D087C">
        <w:rPr>
          <w:rFonts w:ascii="Times New Roman" w:hAnsi="Times New Roman" w:cs="Times New Roman"/>
          <w:sz w:val="24"/>
          <w:szCs w:val="24"/>
        </w:rPr>
        <w:t xml:space="preserve"> </w:t>
      </w:r>
      <w:r w:rsidR="009C518E" w:rsidRPr="003D087C">
        <w:rPr>
          <w:rFonts w:ascii="Times New Roman" w:hAnsi="Times New Roman" w:cs="Times New Roman"/>
          <w:sz w:val="24"/>
          <w:szCs w:val="24"/>
        </w:rPr>
        <w:t>confirmed that the keratopathy had resolved</w:t>
      </w:r>
      <w:r w:rsidR="009F67EA" w:rsidRPr="003D087C">
        <w:rPr>
          <w:rFonts w:ascii="Times New Roman" w:hAnsi="Times New Roman" w:cs="Times New Roman"/>
          <w:sz w:val="24"/>
          <w:szCs w:val="24"/>
        </w:rPr>
        <w:t>. H</w:t>
      </w:r>
      <w:r w:rsidR="009C518E" w:rsidRPr="003D087C">
        <w:rPr>
          <w:rFonts w:ascii="Times New Roman" w:hAnsi="Times New Roman" w:cs="Times New Roman"/>
          <w:sz w:val="24"/>
          <w:szCs w:val="24"/>
        </w:rPr>
        <w:t xml:space="preserve">e recommenced nitisinone 2mg daily with a stricter low protein diet. </w:t>
      </w:r>
      <w:r w:rsidR="009F67EA" w:rsidRPr="003D087C">
        <w:rPr>
          <w:rFonts w:ascii="Times New Roman" w:hAnsi="Times New Roman" w:cs="Times New Roman"/>
          <w:sz w:val="24"/>
          <w:szCs w:val="24"/>
        </w:rPr>
        <w:t>On</w:t>
      </w:r>
      <w:r w:rsidR="009C518E" w:rsidRPr="003D087C">
        <w:rPr>
          <w:rFonts w:ascii="Times New Roman" w:hAnsi="Times New Roman" w:cs="Times New Roman"/>
          <w:sz w:val="24"/>
          <w:szCs w:val="24"/>
        </w:rPr>
        <w:t xml:space="preserve"> his </w:t>
      </w:r>
      <w:r w:rsidR="009F67EA" w:rsidRPr="003D087C">
        <w:rPr>
          <w:rFonts w:ascii="Times New Roman" w:hAnsi="Times New Roman" w:cs="Times New Roman"/>
          <w:sz w:val="24"/>
          <w:szCs w:val="24"/>
        </w:rPr>
        <w:t xml:space="preserve">fourth </w:t>
      </w:r>
      <w:r w:rsidR="009C518E" w:rsidRPr="003D087C">
        <w:rPr>
          <w:rFonts w:ascii="Times New Roman" w:hAnsi="Times New Roman" w:cs="Times New Roman"/>
          <w:sz w:val="24"/>
          <w:szCs w:val="24"/>
        </w:rPr>
        <w:t xml:space="preserve">annual </w:t>
      </w:r>
      <w:r w:rsidR="009F67EA" w:rsidRPr="003D087C">
        <w:rPr>
          <w:rFonts w:ascii="Times New Roman" w:hAnsi="Times New Roman" w:cs="Times New Roman"/>
          <w:sz w:val="24"/>
          <w:szCs w:val="24"/>
        </w:rPr>
        <w:t xml:space="preserve">follow up </w:t>
      </w:r>
      <w:r w:rsidR="009C518E" w:rsidRPr="003D087C">
        <w:rPr>
          <w:rFonts w:ascii="Times New Roman" w:hAnsi="Times New Roman" w:cs="Times New Roman"/>
          <w:sz w:val="24"/>
          <w:szCs w:val="24"/>
        </w:rPr>
        <w:t>visit to the NAC,</w:t>
      </w:r>
      <w:r w:rsidR="00A4648E" w:rsidRPr="003D087C">
        <w:rPr>
          <w:rFonts w:ascii="Times New Roman" w:hAnsi="Times New Roman" w:cs="Times New Roman"/>
          <w:sz w:val="24"/>
          <w:szCs w:val="24"/>
        </w:rPr>
        <w:t xml:space="preserve"> a</w:t>
      </w:r>
      <w:r w:rsidR="009F67EA" w:rsidRPr="003D087C">
        <w:rPr>
          <w:rFonts w:ascii="Times New Roman" w:hAnsi="Times New Roman" w:cs="Times New Roman"/>
          <w:sz w:val="24"/>
          <w:szCs w:val="24"/>
        </w:rPr>
        <w:t xml:space="preserve"> routine</w:t>
      </w:r>
      <w:r w:rsidR="00A4648E" w:rsidRPr="003D087C">
        <w:rPr>
          <w:rFonts w:ascii="Times New Roman" w:hAnsi="Times New Roman" w:cs="Times New Roman"/>
          <w:sz w:val="24"/>
          <w:szCs w:val="24"/>
        </w:rPr>
        <w:t xml:space="preserve"> slit lamp examination showed</w:t>
      </w:r>
      <w:r w:rsidR="009C518E" w:rsidRPr="003D087C">
        <w:rPr>
          <w:rFonts w:ascii="Times New Roman" w:hAnsi="Times New Roman" w:cs="Times New Roman"/>
          <w:sz w:val="24"/>
          <w:szCs w:val="24"/>
        </w:rPr>
        <w:t xml:space="preserve"> </w:t>
      </w:r>
      <w:r w:rsidR="009C518E" w:rsidRPr="003D087C">
        <w:rPr>
          <w:rFonts w:ascii="Times New Roman" w:hAnsi="Times New Roman" w:cs="Times New Roman"/>
          <w:iCs/>
          <w:sz w:val="24"/>
          <w:szCs w:val="24"/>
        </w:rPr>
        <w:t>mild corneal keratopathy</w:t>
      </w:r>
      <w:r w:rsidR="00A4648E" w:rsidRPr="003D087C">
        <w:rPr>
          <w:rFonts w:ascii="Times New Roman" w:hAnsi="Times New Roman" w:cs="Times New Roman"/>
          <w:iCs/>
          <w:sz w:val="24"/>
          <w:szCs w:val="24"/>
        </w:rPr>
        <w:t xml:space="preserve"> in the left eye</w:t>
      </w:r>
      <w:r w:rsidR="009F67EA" w:rsidRPr="003D087C">
        <w:rPr>
          <w:rFonts w:ascii="Times New Roman" w:hAnsi="Times New Roman" w:cs="Times New Roman"/>
          <w:iCs/>
          <w:sz w:val="24"/>
          <w:szCs w:val="24"/>
        </w:rPr>
        <w:t xml:space="preserve">. This is </w:t>
      </w:r>
      <w:r w:rsidR="009F67EA" w:rsidRPr="003D087C">
        <w:rPr>
          <w:rFonts w:ascii="Times New Roman" w:hAnsi="Times New Roman" w:cs="Times New Roman"/>
          <w:sz w:val="24"/>
          <w:szCs w:val="24"/>
        </w:rPr>
        <w:t>despite him reporting no ocular symptoms</w:t>
      </w:r>
      <w:r w:rsidR="009F67EA" w:rsidRPr="003D087C">
        <w:rPr>
          <w:rFonts w:ascii="Times New Roman" w:hAnsi="Times New Roman" w:cs="Times New Roman"/>
          <w:iCs/>
          <w:sz w:val="24"/>
          <w:szCs w:val="24"/>
        </w:rPr>
        <w:t>.</w:t>
      </w:r>
      <w:r w:rsidR="009C518E" w:rsidRPr="003D087C">
        <w:rPr>
          <w:rFonts w:ascii="Times New Roman" w:hAnsi="Times New Roman" w:cs="Times New Roman"/>
          <w:iCs/>
          <w:sz w:val="24"/>
          <w:szCs w:val="24"/>
        </w:rPr>
        <w:t xml:space="preserve"> </w:t>
      </w:r>
      <w:r w:rsidR="00A4648E" w:rsidRPr="003D087C">
        <w:rPr>
          <w:rFonts w:ascii="Times New Roman" w:hAnsi="Times New Roman" w:cs="Times New Roman"/>
          <w:iCs/>
          <w:sz w:val="24"/>
          <w:szCs w:val="24"/>
        </w:rPr>
        <w:t xml:space="preserve">This case highlights the fact that corneal keratopathy can occur without symptoms and any monitoring plan with off-label use of nitisinone in AKU will need to take this possibility into account. </w:t>
      </w:r>
      <w:r w:rsidR="006D7F37" w:rsidRPr="003D087C">
        <w:rPr>
          <w:rFonts w:ascii="Times New Roman" w:hAnsi="Times New Roman" w:cs="Times New Roman"/>
          <w:color w:val="000000" w:themeColor="text1"/>
          <w:sz w:val="24"/>
          <w:szCs w:val="24"/>
        </w:rPr>
        <w:t xml:space="preserve">This is also the </w:t>
      </w:r>
      <w:r w:rsidRPr="003D087C">
        <w:rPr>
          <w:rFonts w:ascii="Times New Roman" w:hAnsi="Times New Roman" w:cs="Times New Roman"/>
          <w:color w:val="000000" w:themeColor="text1"/>
          <w:sz w:val="24"/>
          <w:szCs w:val="24"/>
        </w:rPr>
        <w:t>first time</w:t>
      </w:r>
      <w:r w:rsidR="00A4648E" w:rsidRPr="003D087C">
        <w:rPr>
          <w:rFonts w:ascii="Times New Roman" w:hAnsi="Times New Roman" w:cs="Times New Roman"/>
          <w:color w:val="000000" w:themeColor="text1"/>
          <w:sz w:val="24"/>
          <w:szCs w:val="24"/>
        </w:rPr>
        <w:t xml:space="preserve"> that typical corneal keratopathy has been described with the use of low dose nitisinone in AKU without symptoms.</w:t>
      </w:r>
    </w:p>
    <w:p w:rsidR="0096155C" w:rsidRPr="003D087C" w:rsidRDefault="00AA31DD" w:rsidP="003D087C">
      <w:pPr>
        <w:autoSpaceDE w:val="0"/>
        <w:autoSpaceDN w:val="0"/>
        <w:adjustRightInd w:val="0"/>
        <w:spacing w:after="0"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Take home message:</w:t>
      </w:r>
    </w:p>
    <w:p w:rsidR="00AA31DD" w:rsidRDefault="00AA31DD"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Asymptomatic tyrosine keratopathy </w:t>
      </w:r>
      <w:r w:rsidR="005B5570" w:rsidRPr="003D087C">
        <w:rPr>
          <w:rFonts w:ascii="Times New Roman" w:hAnsi="Times New Roman" w:cs="Times New Roman"/>
          <w:sz w:val="24"/>
          <w:szCs w:val="24"/>
        </w:rPr>
        <w:t>may</w:t>
      </w:r>
      <w:r w:rsidRPr="003D087C">
        <w:rPr>
          <w:rFonts w:ascii="Times New Roman" w:hAnsi="Times New Roman" w:cs="Times New Roman"/>
          <w:sz w:val="24"/>
          <w:szCs w:val="24"/>
        </w:rPr>
        <w:t xml:space="preserve"> occur in AKU patients taking low dose nitisinone</w:t>
      </w:r>
      <w:r w:rsidR="00F31854">
        <w:rPr>
          <w:rFonts w:ascii="Times New Roman" w:hAnsi="Times New Roman" w:cs="Times New Roman"/>
          <w:sz w:val="24"/>
          <w:szCs w:val="24"/>
        </w:rPr>
        <w:t>. It</w:t>
      </w:r>
      <w:r w:rsidR="00987771" w:rsidRPr="003D087C">
        <w:rPr>
          <w:rFonts w:ascii="Times New Roman" w:hAnsi="Times New Roman" w:cs="Times New Roman"/>
          <w:sz w:val="24"/>
          <w:szCs w:val="24"/>
        </w:rPr>
        <w:t xml:space="preserve"> can be detected using</w:t>
      </w:r>
      <w:r w:rsidR="00876978" w:rsidRPr="003D087C">
        <w:rPr>
          <w:rFonts w:ascii="Times New Roman" w:hAnsi="Times New Roman" w:cs="Times New Roman"/>
          <w:sz w:val="24"/>
          <w:szCs w:val="24"/>
        </w:rPr>
        <w:t xml:space="preserve"> </w:t>
      </w:r>
      <w:r w:rsidR="00987771" w:rsidRPr="003D087C">
        <w:rPr>
          <w:rFonts w:ascii="Times New Roman" w:hAnsi="Times New Roman" w:cs="Times New Roman"/>
          <w:sz w:val="24"/>
          <w:szCs w:val="24"/>
        </w:rPr>
        <w:t>e</w:t>
      </w:r>
      <w:r w:rsidR="00876978" w:rsidRPr="003D087C">
        <w:rPr>
          <w:rFonts w:ascii="Times New Roman" w:hAnsi="Times New Roman" w:cs="Times New Roman"/>
          <w:sz w:val="24"/>
          <w:szCs w:val="24"/>
        </w:rPr>
        <w:t>lective and symptom-based slit lamp examination</w:t>
      </w:r>
      <w:r w:rsidR="00F31854">
        <w:rPr>
          <w:rFonts w:ascii="Times New Roman" w:hAnsi="Times New Roman" w:cs="Times New Roman"/>
          <w:sz w:val="24"/>
          <w:szCs w:val="24"/>
        </w:rPr>
        <w:t xml:space="preserve"> and i</w:t>
      </w:r>
      <w:r w:rsidR="00F26D65">
        <w:rPr>
          <w:rFonts w:ascii="Times New Roman" w:hAnsi="Times New Roman" w:cs="Times New Roman"/>
          <w:sz w:val="24"/>
          <w:szCs w:val="24"/>
        </w:rPr>
        <w:t xml:space="preserve">t should be managed by a metabolic physician </w:t>
      </w:r>
      <w:r w:rsidR="00F31854">
        <w:rPr>
          <w:rFonts w:ascii="Times New Roman" w:hAnsi="Times New Roman" w:cs="Times New Roman"/>
          <w:sz w:val="24"/>
          <w:szCs w:val="24"/>
        </w:rPr>
        <w:t xml:space="preserve">and a specialised </w:t>
      </w:r>
      <w:r w:rsidR="0044089E">
        <w:rPr>
          <w:rFonts w:ascii="Times New Roman" w:hAnsi="Times New Roman" w:cs="Times New Roman"/>
          <w:sz w:val="24"/>
          <w:szCs w:val="24"/>
        </w:rPr>
        <w:t>dietitian.</w:t>
      </w:r>
    </w:p>
    <w:p w:rsidR="00135CFA" w:rsidRDefault="00135CFA" w:rsidP="00135CFA">
      <w:pPr>
        <w:autoSpaceDE w:val="0"/>
        <w:autoSpaceDN w:val="0"/>
        <w:adjustRightInd w:val="0"/>
        <w:spacing w:after="0" w:line="480" w:lineRule="auto"/>
        <w:jc w:val="center"/>
        <w:rPr>
          <w:rFonts w:ascii="Times New Roman" w:hAnsi="Times New Roman" w:cs="Times New Roman"/>
          <w:b/>
          <w:sz w:val="24"/>
          <w:szCs w:val="24"/>
        </w:rPr>
      </w:pPr>
      <w:r w:rsidRPr="00135CFA">
        <w:rPr>
          <w:rFonts w:ascii="Times New Roman" w:hAnsi="Times New Roman" w:cs="Times New Roman"/>
          <w:b/>
          <w:sz w:val="24"/>
          <w:szCs w:val="24"/>
        </w:rPr>
        <w:lastRenderedPageBreak/>
        <w:t>Compliance with Ethics Guidelines</w:t>
      </w:r>
    </w:p>
    <w:tbl>
      <w:tblPr>
        <w:tblStyle w:val="TableGrid"/>
        <w:tblW w:w="0" w:type="auto"/>
        <w:tblLook w:val="04A0" w:firstRow="1" w:lastRow="0" w:firstColumn="1" w:lastColumn="0" w:noHBand="0" w:noVBand="1"/>
      </w:tblPr>
      <w:tblGrid>
        <w:gridCol w:w="3936"/>
        <w:gridCol w:w="5306"/>
      </w:tblGrid>
      <w:tr w:rsidR="00135CFA" w:rsidTr="00135CFA">
        <w:tc>
          <w:tcPr>
            <w:tcW w:w="3936" w:type="dxa"/>
          </w:tcPr>
          <w:p w:rsidR="00135CFA" w:rsidRDefault="00135CFA" w:rsidP="00135CFA">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sz w:val="24"/>
                <w:szCs w:val="24"/>
              </w:rPr>
              <w:t>Conflict of Interest</w:t>
            </w:r>
          </w:p>
        </w:tc>
        <w:tc>
          <w:tcPr>
            <w:tcW w:w="5306" w:type="dxa"/>
          </w:tcPr>
          <w:p w:rsidR="00135CFA" w:rsidRDefault="00135CFA" w:rsidP="00135CFA">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sz w:val="24"/>
                <w:szCs w:val="24"/>
              </w:rPr>
              <w:t>M Khedr</w:t>
            </w:r>
            <w:r w:rsidRPr="005037AA">
              <w:rPr>
                <w:rFonts w:ascii="Times New Roman" w:hAnsi="Times New Roman" w:cs="Times New Roman"/>
                <w:sz w:val="24"/>
                <w:szCs w:val="24"/>
              </w:rPr>
              <w:t>, S Judd,</w:t>
            </w:r>
            <w:r>
              <w:rPr>
                <w:rFonts w:ascii="Times New Roman" w:hAnsi="Times New Roman" w:cs="Times New Roman"/>
                <w:sz w:val="24"/>
                <w:szCs w:val="24"/>
              </w:rPr>
              <w:t xml:space="preserve"> </w:t>
            </w:r>
            <w:r w:rsidRPr="005037AA">
              <w:rPr>
                <w:rFonts w:ascii="Times New Roman" w:hAnsi="Times New Roman" w:cs="Times New Roman"/>
                <w:sz w:val="24"/>
                <w:szCs w:val="24"/>
              </w:rPr>
              <w:t>MC Briggs, AT Hughes</w:t>
            </w:r>
            <w:r>
              <w:rPr>
                <w:rFonts w:ascii="Times New Roman" w:hAnsi="Times New Roman" w:cs="Times New Roman"/>
                <w:sz w:val="24"/>
                <w:szCs w:val="24"/>
              </w:rPr>
              <w:t>, AM Milan</w:t>
            </w:r>
            <w:r w:rsidRPr="005037AA">
              <w:rPr>
                <w:rFonts w:ascii="Times New Roman" w:hAnsi="Times New Roman" w:cs="Times New Roman"/>
                <w:sz w:val="24"/>
                <w:szCs w:val="24"/>
              </w:rPr>
              <w:t>, RMK Stewart, EA Lock, JA Gallagher</w:t>
            </w:r>
            <w:r>
              <w:rPr>
                <w:rFonts w:ascii="Times New Roman" w:hAnsi="Times New Roman" w:cs="Times New Roman"/>
                <w:sz w:val="24"/>
                <w:szCs w:val="24"/>
              </w:rPr>
              <w:t xml:space="preserve"> and </w:t>
            </w:r>
            <w:r w:rsidRPr="005037AA">
              <w:rPr>
                <w:rFonts w:ascii="Times New Roman" w:hAnsi="Times New Roman" w:cs="Times New Roman"/>
                <w:sz w:val="24"/>
                <w:szCs w:val="24"/>
              </w:rPr>
              <w:t xml:space="preserve">LR Ranganath </w:t>
            </w:r>
            <w:r>
              <w:rPr>
                <w:rFonts w:ascii="Times New Roman" w:hAnsi="Times New Roman" w:cs="Times New Roman"/>
                <w:sz w:val="24"/>
                <w:szCs w:val="24"/>
              </w:rPr>
              <w:t>declare that they have no conflict of interest.</w:t>
            </w:r>
          </w:p>
        </w:tc>
      </w:tr>
      <w:tr w:rsidR="00135CFA" w:rsidTr="00135CFA">
        <w:tc>
          <w:tcPr>
            <w:tcW w:w="3936" w:type="dxa"/>
          </w:tcPr>
          <w:p w:rsidR="00135CFA" w:rsidRDefault="00135CFA" w:rsidP="00135CFA">
            <w:pPr>
              <w:autoSpaceDE w:val="0"/>
              <w:autoSpaceDN w:val="0"/>
              <w:adjustRightInd w:val="0"/>
              <w:spacing w:after="0" w:line="480" w:lineRule="auto"/>
              <w:rPr>
                <w:rFonts w:ascii="Times New Roman" w:hAnsi="Times New Roman" w:cs="Times New Roman"/>
                <w:b/>
                <w:sz w:val="24"/>
                <w:szCs w:val="24"/>
              </w:rPr>
            </w:pPr>
            <w:r w:rsidRPr="00135CFA">
              <w:rPr>
                <w:rFonts w:ascii="Times New Roman" w:hAnsi="Times New Roman" w:cs="Times New Roman"/>
                <w:b/>
                <w:sz w:val="24"/>
                <w:szCs w:val="24"/>
              </w:rPr>
              <w:t>Informed Consent</w:t>
            </w:r>
          </w:p>
        </w:tc>
        <w:tc>
          <w:tcPr>
            <w:tcW w:w="5306" w:type="dxa"/>
          </w:tcPr>
          <w:p w:rsidR="00135CFA" w:rsidRPr="00135CFA" w:rsidRDefault="00135CFA" w:rsidP="00135CFA">
            <w:pPr>
              <w:autoSpaceDE w:val="0"/>
              <w:autoSpaceDN w:val="0"/>
              <w:adjustRightInd w:val="0"/>
              <w:spacing w:after="0" w:line="480" w:lineRule="auto"/>
              <w:rPr>
                <w:rFonts w:ascii="Times New Roman" w:hAnsi="Times New Roman" w:cs="Times New Roman"/>
                <w:sz w:val="24"/>
                <w:szCs w:val="24"/>
              </w:rPr>
            </w:pPr>
            <w:r w:rsidRPr="00135CFA">
              <w:rPr>
                <w:rFonts w:ascii="Times New Roman" w:hAnsi="Times New Roman" w:cs="Times New Roman"/>
                <w:sz w:val="24"/>
                <w:szCs w:val="24"/>
              </w:rPr>
              <w:t>All procedures followed were in accordance with the ethical standards of the responsible committee on human experimentation (institutional and national) and with the Helsinki Declaration of 1975, as revised in 2000 (5). Informed consent was obtained from all patients for being included in the study.</w:t>
            </w:r>
          </w:p>
        </w:tc>
      </w:tr>
      <w:tr w:rsidR="00135CFA" w:rsidTr="00135CFA">
        <w:tc>
          <w:tcPr>
            <w:tcW w:w="3936" w:type="dxa"/>
          </w:tcPr>
          <w:p w:rsidR="00135CFA" w:rsidRDefault="00135CFA" w:rsidP="00135CFA">
            <w:pPr>
              <w:autoSpaceDE w:val="0"/>
              <w:autoSpaceDN w:val="0"/>
              <w:adjustRightInd w:val="0"/>
              <w:spacing w:after="0" w:line="480" w:lineRule="auto"/>
              <w:rPr>
                <w:rFonts w:ascii="Times New Roman" w:hAnsi="Times New Roman" w:cs="Times New Roman"/>
                <w:b/>
                <w:sz w:val="24"/>
                <w:szCs w:val="24"/>
              </w:rPr>
            </w:pPr>
            <w:r w:rsidRPr="00135CFA">
              <w:rPr>
                <w:rFonts w:ascii="Times New Roman" w:hAnsi="Times New Roman" w:cs="Times New Roman"/>
                <w:b/>
                <w:sz w:val="24"/>
                <w:szCs w:val="24"/>
              </w:rPr>
              <w:t>Animal Rights</w:t>
            </w:r>
          </w:p>
        </w:tc>
        <w:tc>
          <w:tcPr>
            <w:tcW w:w="5306" w:type="dxa"/>
          </w:tcPr>
          <w:p w:rsidR="00135CFA" w:rsidRPr="00135CFA" w:rsidRDefault="00135CFA" w:rsidP="00135CFA">
            <w:pPr>
              <w:autoSpaceDE w:val="0"/>
              <w:autoSpaceDN w:val="0"/>
              <w:adjustRightInd w:val="0"/>
              <w:spacing w:after="0" w:line="480" w:lineRule="auto"/>
              <w:rPr>
                <w:rFonts w:ascii="Times New Roman" w:hAnsi="Times New Roman" w:cs="Times New Roman"/>
                <w:sz w:val="24"/>
                <w:szCs w:val="24"/>
              </w:rPr>
            </w:pPr>
            <w:r w:rsidRPr="00135CFA">
              <w:rPr>
                <w:rFonts w:ascii="Times New Roman" w:hAnsi="Times New Roman" w:cs="Times New Roman"/>
                <w:sz w:val="24"/>
                <w:szCs w:val="24"/>
              </w:rPr>
              <w:t>This article does not contain any studies with human or animal subjects performed by the any of the authors.</w:t>
            </w:r>
          </w:p>
        </w:tc>
      </w:tr>
      <w:tr w:rsidR="00135CFA" w:rsidTr="00135CFA">
        <w:tc>
          <w:tcPr>
            <w:tcW w:w="3936" w:type="dxa"/>
          </w:tcPr>
          <w:p w:rsidR="00135CFA" w:rsidRPr="00135CFA" w:rsidRDefault="00135CFA" w:rsidP="00135CFA">
            <w:pPr>
              <w:autoSpaceDE w:val="0"/>
              <w:autoSpaceDN w:val="0"/>
              <w:adjustRightInd w:val="0"/>
              <w:spacing w:after="0" w:line="480" w:lineRule="auto"/>
              <w:rPr>
                <w:rFonts w:ascii="Times New Roman" w:hAnsi="Times New Roman" w:cs="Times New Roman"/>
                <w:b/>
                <w:sz w:val="24"/>
                <w:szCs w:val="24"/>
              </w:rPr>
            </w:pPr>
            <w:r w:rsidRPr="00135CFA">
              <w:rPr>
                <w:rFonts w:ascii="Times New Roman" w:hAnsi="Times New Roman" w:cs="Times New Roman"/>
                <w:b/>
                <w:sz w:val="24"/>
                <w:szCs w:val="24"/>
              </w:rPr>
              <w:t>Details of the contributions of individual authors</w:t>
            </w:r>
          </w:p>
        </w:tc>
        <w:tc>
          <w:tcPr>
            <w:tcW w:w="5306" w:type="dxa"/>
          </w:tcPr>
          <w:p w:rsidR="00135CFA" w:rsidRPr="0006096F" w:rsidRDefault="00135CFA" w:rsidP="00135CFA">
            <w:pPr>
              <w:spacing w:after="160" w:line="480" w:lineRule="auto"/>
              <w:jc w:val="both"/>
              <w:rPr>
                <w:rFonts w:ascii="Times New Roman" w:hAnsi="Times New Roman" w:cs="Times New Roman"/>
                <w:color w:val="131413"/>
                <w:sz w:val="24"/>
                <w:szCs w:val="20"/>
              </w:rPr>
            </w:pPr>
            <w:r w:rsidRPr="0006096F">
              <w:rPr>
                <w:rFonts w:ascii="Times New Roman" w:hAnsi="Times New Roman" w:cs="Times New Roman"/>
                <w:color w:val="131413"/>
                <w:sz w:val="24"/>
                <w:szCs w:val="20"/>
              </w:rPr>
              <w:t>M Khedr wrote the first draft</w:t>
            </w:r>
          </w:p>
          <w:p w:rsidR="00135CFA" w:rsidRPr="0006096F" w:rsidRDefault="00135CFA" w:rsidP="00135CFA">
            <w:pPr>
              <w:spacing w:after="160" w:line="480" w:lineRule="auto"/>
              <w:jc w:val="both"/>
              <w:rPr>
                <w:rFonts w:ascii="Times New Roman" w:hAnsi="Times New Roman" w:cs="Times New Roman"/>
                <w:color w:val="131413"/>
                <w:sz w:val="24"/>
                <w:szCs w:val="20"/>
              </w:rPr>
            </w:pPr>
            <w:r w:rsidRPr="0006096F">
              <w:rPr>
                <w:rFonts w:ascii="Times New Roman" w:hAnsi="Times New Roman" w:cs="Times New Roman"/>
                <w:color w:val="131413"/>
                <w:sz w:val="24"/>
                <w:szCs w:val="20"/>
              </w:rPr>
              <w:t xml:space="preserve">S Judd carried out dietary assessments </w:t>
            </w:r>
          </w:p>
          <w:p w:rsidR="00135CFA" w:rsidRDefault="00135CFA" w:rsidP="00135CFA">
            <w:pPr>
              <w:spacing w:after="160" w:line="480" w:lineRule="auto"/>
              <w:jc w:val="both"/>
              <w:rPr>
                <w:rFonts w:ascii="Times New Roman" w:hAnsi="Times New Roman" w:cs="Times New Roman"/>
                <w:b/>
                <w:sz w:val="24"/>
                <w:szCs w:val="24"/>
              </w:rPr>
            </w:pPr>
            <w:r w:rsidRPr="0006096F">
              <w:rPr>
                <w:rFonts w:ascii="Times New Roman" w:hAnsi="Times New Roman" w:cs="Times New Roman"/>
                <w:color w:val="131413"/>
                <w:sz w:val="24"/>
                <w:szCs w:val="20"/>
              </w:rPr>
              <w:t>AT Hughes, AM Milan, MC Briggs, RMK Stewart,</w:t>
            </w:r>
            <w:r>
              <w:rPr>
                <w:rFonts w:ascii="Times New Roman" w:hAnsi="Times New Roman" w:cs="Times New Roman"/>
                <w:color w:val="131413"/>
                <w:sz w:val="24"/>
                <w:szCs w:val="20"/>
              </w:rPr>
              <w:t xml:space="preserve"> </w:t>
            </w:r>
            <w:r w:rsidRPr="0006096F">
              <w:rPr>
                <w:rFonts w:ascii="Times New Roman" w:hAnsi="Times New Roman" w:cs="Times New Roman"/>
                <w:color w:val="131413"/>
                <w:sz w:val="24"/>
                <w:szCs w:val="20"/>
              </w:rPr>
              <w:t xml:space="preserve">EA Lock, </w:t>
            </w:r>
            <w:proofErr w:type="gramStart"/>
            <w:r w:rsidRPr="0006096F">
              <w:rPr>
                <w:rFonts w:ascii="Times New Roman" w:hAnsi="Times New Roman" w:cs="Times New Roman"/>
                <w:color w:val="131413"/>
                <w:sz w:val="24"/>
                <w:szCs w:val="20"/>
              </w:rPr>
              <w:t>JA</w:t>
            </w:r>
            <w:proofErr w:type="gramEnd"/>
            <w:r w:rsidRPr="0006096F">
              <w:rPr>
                <w:rFonts w:ascii="Times New Roman" w:hAnsi="Times New Roman" w:cs="Times New Roman"/>
                <w:color w:val="131413"/>
                <w:sz w:val="24"/>
                <w:szCs w:val="20"/>
              </w:rPr>
              <w:t xml:space="preserve"> Gallagher LR Ranganath: Intellectual input and support, editing the manuscript.</w:t>
            </w:r>
            <w:r w:rsidRPr="0006096F">
              <w:rPr>
                <w:rStyle w:val="apple-converted-space"/>
                <w:rFonts w:ascii="Times New Roman" w:hAnsi="Times New Roman" w:cs="Times New Roman"/>
                <w:b/>
                <w:color w:val="000033"/>
                <w:sz w:val="24"/>
                <w:szCs w:val="24"/>
                <w:shd w:val="clear" w:color="auto" w:fill="F4F4F4"/>
              </w:rPr>
              <w:t xml:space="preserve"> </w:t>
            </w:r>
          </w:p>
        </w:tc>
      </w:tr>
    </w:tbl>
    <w:p w:rsidR="00135CFA" w:rsidRPr="00135CFA" w:rsidRDefault="00135CFA" w:rsidP="00135CFA">
      <w:pPr>
        <w:autoSpaceDE w:val="0"/>
        <w:autoSpaceDN w:val="0"/>
        <w:adjustRightInd w:val="0"/>
        <w:spacing w:after="0" w:line="48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3961"/>
        <w:gridCol w:w="5281"/>
      </w:tblGrid>
      <w:tr w:rsidR="00CA4129" w:rsidTr="00270602">
        <w:tc>
          <w:tcPr>
            <w:tcW w:w="3961" w:type="dxa"/>
          </w:tcPr>
          <w:p w:rsidR="00CA4129" w:rsidRDefault="00270602" w:rsidP="00270602">
            <w:pPr>
              <w:rPr>
                <w:rFonts w:ascii="Times New Roman" w:hAnsi="Times New Roman" w:cs="Times New Roman"/>
                <w:b/>
                <w:sz w:val="24"/>
                <w:szCs w:val="24"/>
              </w:rPr>
            </w:pPr>
            <w:r w:rsidRPr="00270602">
              <w:rPr>
                <w:rFonts w:ascii="Times New Roman" w:hAnsi="Times New Roman" w:cs="Times New Roman"/>
                <w:b/>
                <w:sz w:val="24"/>
                <w:szCs w:val="24"/>
              </w:rPr>
              <w:t xml:space="preserve">Corresponding author: </w:t>
            </w:r>
          </w:p>
        </w:tc>
        <w:tc>
          <w:tcPr>
            <w:tcW w:w="5281" w:type="dxa"/>
          </w:tcPr>
          <w:p w:rsidR="00CA4129" w:rsidRPr="00270602" w:rsidRDefault="00270602" w:rsidP="000773E3">
            <w:pPr>
              <w:rPr>
                <w:rFonts w:ascii="Times New Roman" w:hAnsi="Times New Roman" w:cs="Times New Roman"/>
                <w:sz w:val="24"/>
                <w:szCs w:val="24"/>
              </w:rPr>
            </w:pPr>
            <w:r w:rsidRPr="00270602">
              <w:rPr>
                <w:rFonts w:ascii="Times New Roman" w:hAnsi="Times New Roman" w:cs="Times New Roman"/>
                <w:sz w:val="24"/>
                <w:szCs w:val="24"/>
              </w:rPr>
              <w:t>M Khedr</w:t>
            </w:r>
          </w:p>
        </w:tc>
      </w:tr>
      <w:tr w:rsidR="00270602" w:rsidTr="00270602">
        <w:tc>
          <w:tcPr>
            <w:tcW w:w="3961" w:type="dxa"/>
          </w:tcPr>
          <w:p w:rsidR="00270602" w:rsidRPr="00F14586" w:rsidRDefault="00270602" w:rsidP="000773E3">
            <w:pPr>
              <w:rPr>
                <w:rFonts w:ascii="Times New Roman" w:hAnsi="Times New Roman" w:cs="Times New Roman"/>
                <w:b/>
                <w:sz w:val="24"/>
                <w:szCs w:val="24"/>
              </w:rPr>
            </w:pPr>
            <w:r>
              <w:rPr>
                <w:rFonts w:ascii="Times New Roman" w:hAnsi="Times New Roman" w:cs="Times New Roman"/>
                <w:b/>
                <w:sz w:val="24"/>
                <w:szCs w:val="24"/>
              </w:rPr>
              <w:t>G</w:t>
            </w:r>
            <w:r w:rsidRPr="00F14586">
              <w:rPr>
                <w:rFonts w:ascii="Times New Roman" w:hAnsi="Times New Roman" w:cs="Times New Roman"/>
                <w:b/>
                <w:sz w:val="24"/>
                <w:szCs w:val="24"/>
              </w:rPr>
              <w:t>uarantor</w:t>
            </w:r>
          </w:p>
        </w:tc>
        <w:tc>
          <w:tcPr>
            <w:tcW w:w="5281" w:type="dxa"/>
          </w:tcPr>
          <w:p w:rsidR="00270602" w:rsidRPr="00270602" w:rsidRDefault="00270602" w:rsidP="000773E3">
            <w:pPr>
              <w:rPr>
                <w:rFonts w:ascii="Times New Roman" w:hAnsi="Times New Roman" w:cs="Times New Roman"/>
                <w:sz w:val="24"/>
                <w:szCs w:val="24"/>
              </w:rPr>
            </w:pPr>
            <w:r w:rsidRPr="00270602">
              <w:rPr>
                <w:rFonts w:ascii="Times New Roman" w:hAnsi="Times New Roman" w:cs="Times New Roman"/>
                <w:sz w:val="24"/>
                <w:szCs w:val="24"/>
              </w:rPr>
              <w:t>LR Ranganath</w:t>
            </w:r>
          </w:p>
        </w:tc>
      </w:tr>
      <w:tr w:rsidR="00270602" w:rsidTr="00270602">
        <w:tc>
          <w:tcPr>
            <w:tcW w:w="3961" w:type="dxa"/>
          </w:tcPr>
          <w:p w:rsidR="00270602" w:rsidRDefault="00270602" w:rsidP="00270602">
            <w:pPr>
              <w:rPr>
                <w:rFonts w:ascii="Times New Roman" w:hAnsi="Times New Roman" w:cs="Times New Roman"/>
                <w:b/>
                <w:sz w:val="24"/>
                <w:szCs w:val="24"/>
              </w:rPr>
            </w:pPr>
            <w:r w:rsidRPr="00F14586">
              <w:rPr>
                <w:rFonts w:ascii="Times New Roman" w:hAnsi="Times New Roman" w:cs="Times New Roman"/>
                <w:b/>
                <w:sz w:val="24"/>
                <w:szCs w:val="24"/>
              </w:rPr>
              <w:t>Details of funding</w:t>
            </w:r>
          </w:p>
        </w:tc>
        <w:tc>
          <w:tcPr>
            <w:tcW w:w="5281" w:type="dxa"/>
          </w:tcPr>
          <w:p w:rsidR="00270602" w:rsidRDefault="00270602" w:rsidP="000773E3">
            <w:pPr>
              <w:rPr>
                <w:rFonts w:ascii="Times New Roman" w:hAnsi="Times New Roman" w:cs="Times New Roman"/>
                <w:b/>
                <w:sz w:val="24"/>
                <w:szCs w:val="24"/>
              </w:rPr>
            </w:pPr>
            <w:r>
              <w:rPr>
                <w:rFonts w:ascii="Times New Roman" w:hAnsi="Times New Roman" w:cs="Times New Roman"/>
                <w:b/>
                <w:sz w:val="24"/>
                <w:szCs w:val="24"/>
              </w:rPr>
              <w:t xml:space="preserve">None </w:t>
            </w:r>
          </w:p>
        </w:tc>
      </w:tr>
      <w:tr w:rsidR="00270602" w:rsidTr="00270602">
        <w:tc>
          <w:tcPr>
            <w:tcW w:w="3961" w:type="dxa"/>
          </w:tcPr>
          <w:p w:rsidR="00270602" w:rsidRPr="00F14586" w:rsidRDefault="00270602" w:rsidP="000773E3">
            <w:pPr>
              <w:rPr>
                <w:rFonts w:ascii="Times New Roman" w:hAnsi="Times New Roman" w:cs="Times New Roman"/>
                <w:b/>
                <w:sz w:val="24"/>
                <w:szCs w:val="24"/>
              </w:rPr>
            </w:pPr>
            <w:r w:rsidRPr="00F14586">
              <w:rPr>
                <w:rFonts w:ascii="Times New Roman" w:hAnsi="Times New Roman" w:cs="Times New Roman"/>
                <w:b/>
                <w:sz w:val="24"/>
                <w:szCs w:val="24"/>
              </w:rPr>
              <w:t>Details of ethics approval</w:t>
            </w:r>
          </w:p>
          <w:p w:rsidR="00270602" w:rsidRDefault="00270602" w:rsidP="000773E3">
            <w:pPr>
              <w:rPr>
                <w:rFonts w:ascii="Times New Roman" w:hAnsi="Times New Roman" w:cs="Times New Roman"/>
                <w:b/>
                <w:sz w:val="24"/>
                <w:szCs w:val="24"/>
              </w:rPr>
            </w:pPr>
          </w:p>
        </w:tc>
        <w:tc>
          <w:tcPr>
            <w:tcW w:w="5281" w:type="dxa"/>
          </w:tcPr>
          <w:p w:rsidR="00270602" w:rsidRDefault="00270602" w:rsidP="000773E3">
            <w:pPr>
              <w:autoSpaceDE w:val="0"/>
              <w:autoSpaceDN w:val="0"/>
              <w:adjustRightInd w:val="0"/>
              <w:rPr>
                <w:rFonts w:ascii="Times New Roman" w:hAnsi="Times New Roman" w:cs="Times New Roman"/>
                <w:color w:val="131413"/>
                <w:sz w:val="24"/>
                <w:szCs w:val="24"/>
              </w:rPr>
            </w:pPr>
            <w:r w:rsidRPr="00F14586">
              <w:rPr>
                <w:rFonts w:ascii="Times New Roman" w:hAnsi="Times New Roman" w:cs="Times New Roman"/>
                <w:color w:val="131413"/>
                <w:sz w:val="24"/>
                <w:szCs w:val="24"/>
              </w:rPr>
              <w:lastRenderedPageBreak/>
              <w:t xml:space="preserve">All procedures followed were in accordance with the ethical standards of the responsible committee </w:t>
            </w:r>
            <w:r w:rsidRPr="00F14586">
              <w:rPr>
                <w:rFonts w:ascii="Times New Roman" w:hAnsi="Times New Roman" w:cs="Times New Roman"/>
                <w:color w:val="131413"/>
                <w:sz w:val="24"/>
                <w:szCs w:val="24"/>
              </w:rPr>
              <w:lastRenderedPageBreak/>
              <w:t>on human experimentation (institutional and national) and with the</w:t>
            </w:r>
            <w:r w:rsidR="005037AA">
              <w:rPr>
                <w:rFonts w:ascii="Times New Roman" w:hAnsi="Times New Roman" w:cs="Times New Roman"/>
                <w:color w:val="131413"/>
                <w:sz w:val="24"/>
                <w:szCs w:val="24"/>
              </w:rPr>
              <w:t xml:space="preserve"> </w:t>
            </w:r>
            <w:r w:rsidRPr="00F14586">
              <w:rPr>
                <w:rFonts w:ascii="Times New Roman" w:hAnsi="Times New Roman" w:cs="Times New Roman"/>
                <w:color w:val="131413"/>
                <w:sz w:val="24"/>
                <w:szCs w:val="24"/>
              </w:rPr>
              <w:t>Helsinki Declaration of 1975, as revised in 2000. In addition, the institutional review body (Royal Liverpool University Hospital) explicitly approved the National Alkaptonuria Service from which this data was generated.</w:t>
            </w:r>
          </w:p>
          <w:p w:rsidR="00270602" w:rsidRPr="00F14586" w:rsidRDefault="00270602" w:rsidP="000773E3">
            <w:pPr>
              <w:autoSpaceDE w:val="0"/>
              <w:autoSpaceDN w:val="0"/>
              <w:adjustRightInd w:val="0"/>
              <w:rPr>
                <w:rFonts w:ascii="Times New Roman" w:hAnsi="Times New Roman" w:cs="Times New Roman"/>
                <w:b/>
                <w:sz w:val="24"/>
                <w:szCs w:val="24"/>
              </w:rPr>
            </w:pPr>
          </w:p>
        </w:tc>
      </w:tr>
      <w:tr w:rsidR="00270602" w:rsidTr="00270602">
        <w:tc>
          <w:tcPr>
            <w:tcW w:w="3961" w:type="dxa"/>
          </w:tcPr>
          <w:p w:rsidR="00270602" w:rsidRPr="00F14586" w:rsidRDefault="00270602" w:rsidP="000773E3">
            <w:pPr>
              <w:rPr>
                <w:rFonts w:ascii="Times New Roman" w:hAnsi="Times New Roman" w:cs="Times New Roman"/>
                <w:b/>
                <w:sz w:val="24"/>
                <w:szCs w:val="24"/>
              </w:rPr>
            </w:pPr>
            <w:r w:rsidRPr="00F14586">
              <w:rPr>
                <w:rFonts w:ascii="Times New Roman" w:hAnsi="Times New Roman" w:cs="Times New Roman"/>
                <w:b/>
                <w:sz w:val="24"/>
                <w:szCs w:val="24"/>
              </w:rPr>
              <w:lastRenderedPageBreak/>
              <w:t>A patient consent statement</w:t>
            </w:r>
          </w:p>
          <w:p w:rsidR="00270602" w:rsidRDefault="00270602" w:rsidP="000773E3">
            <w:pPr>
              <w:rPr>
                <w:rFonts w:ascii="Times New Roman" w:hAnsi="Times New Roman" w:cs="Times New Roman"/>
                <w:b/>
                <w:sz w:val="24"/>
                <w:szCs w:val="24"/>
              </w:rPr>
            </w:pPr>
          </w:p>
        </w:tc>
        <w:tc>
          <w:tcPr>
            <w:tcW w:w="5281" w:type="dxa"/>
          </w:tcPr>
          <w:p w:rsidR="00270602" w:rsidRPr="00F14586" w:rsidRDefault="00270602" w:rsidP="000773E3">
            <w:pPr>
              <w:rPr>
                <w:rFonts w:ascii="Times New Roman" w:hAnsi="Times New Roman" w:cs="Times New Roman"/>
                <w:sz w:val="24"/>
                <w:szCs w:val="24"/>
              </w:rPr>
            </w:pPr>
            <w:r w:rsidRPr="00F14586">
              <w:rPr>
                <w:rFonts w:ascii="Times New Roman" w:hAnsi="Times New Roman" w:cs="Times New Roman"/>
                <w:sz w:val="24"/>
                <w:szCs w:val="24"/>
              </w:rPr>
              <w:t>Informed consent was obtained from all patients for being included in the study. This is being published as a clinical practice article and standard research ethics process is not therefore appropriate. The data from this patient have been completely anonymised to ensure he is not recognized from the publication of this manuscript. The data obtained were following standard clinical assessments upon referral to the National Alkaptonuria Service in Liverpool. Patients are informed verbally and through being handwritten</w:t>
            </w:r>
            <w:r w:rsidR="00E77479">
              <w:rPr>
                <w:rFonts w:ascii="Times New Roman" w:hAnsi="Times New Roman" w:cs="Times New Roman"/>
                <w:sz w:val="24"/>
                <w:szCs w:val="24"/>
              </w:rPr>
              <w:t xml:space="preserve"> </w:t>
            </w:r>
            <w:r w:rsidRPr="00F14586">
              <w:rPr>
                <w:rFonts w:ascii="Times New Roman" w:hAnsi="Times New Roman" w:cs="Times New Roman"/>
                <w:sz w:val="24"/>
                <w:szCs w:val="24"/>
              </w:rPr>
              <w:t>materials about the activities of the National AKU Service. They are explicitly informed in the Patient information booklet of the National AKU Service that:</w:t>
            </w:r>
          </w:p>
          <w:p w:rsidR="00270602" w:rsidRPr="00F14586" w:rsidRDefault="00270602" w:rsidP="000773E3">
            <w:pPr>
              <w:ind w:left="720"/>
              <w:rPr>
                <w:rFonts w:ascii="Times New Roman" w:hAnsi="Times New Roman" w:cs="Times New Roman"/>
                <w:sz w:val="24"/>
                <w:szCs w:val="24"/>
              </w:rPr>
            </w:pPr>
            <w:r w:rsidRPr="00F14586">
              <w:rPr>
                <w:rFonts w:ascii="Times New Roman" w:hAnsi="Times New Roman" w:cs="Times New Roman"/>
                <w:sz w:val="24"/>
                <w:szCs w:val="24"/>
              </w:rPr>
              <w:t>We could publish results from the study but if we do, we will make sure you cannot be identified in any way. All data used for publicity or for other research purposes will ensure total anonymity. Please let us</w:t>
            </w:r>
          </w:p>
          <w:p w:rsidR="00270602" w:rsidRPr="00F14586" w:rsidRDefault="00270602" w:rsidP="000773E3">
            <w:pPr>
              <w:ind w:left="720"/>
              <w:rPr>
                <w:rFonts w:ascii="Times New Roman" w:hAnsi="Times New Roman" w:cs="Times New Roman"/>
                <w:sz w:val="24"/>
                <w:szCs w:val="24"/>
              </w:rPr>
            </w:pPr>
            <w:proofErr w:type="gramStart"/>
            <w:r w:rsidRPr="00F14586">
              <w:rPr>
                <w:rFonts w:ascii="Times New Roman" w:hAnsi="Times New Roman" w:cs="Times New Roman"/>
                <w:sz w:val="24"/>
                <w:szCs w:val="24"/>
              </w:rPr>
              <w:t>know</w:t>
            </w:r>
            <w:proofErr w:type="gramEnd"/>
            <w:r w:rsidRPr="00F14586">
              <w:rPr>
                <w:rFonts w:ascii="Times New Roman" w:hAnsi="Times New Roman" w:cs="Times New Roman"/>
                <w:sz w:val="24"/>
                <w:szCs w:val="24"/>
              </w:rPr>
              <w:t xml:space="preserve"> when you are visiting Ward 9 B (where the National AKU Service is located) that you understand this and have no objection to it.</w:t>
            </w:r>
          </w:p>
          <w:p w:rsidR="00270602" w:rsidRPr="00F14586" w:rsidRDefault="00270602" w:rsidP="000773E3">
            <w:pPr>
              <w:rPr>
                <w:rFonts w:ascii="Times New Roman" w:hAnsi="Times New Roman" w:cs="Times New Roman"/>
                <w:b/>
                <w:sz w:val="24"/>
                <w:szCs w:val="24"/>
              </w:rPr>
            </w:pPr>
            <w:r w:rsidRPr="00F14586">
              <w:rPr>
                <w:rFonts w:ascii="Times New Roman" w:hAnsi="Times New Roman" w:cs="Times New Roman"/>
                <w:sz w:val="24"/>
                <w:szCs w:val="24"/>
              </w:rPr>
              <w:t>All the ocular photos were acquired during the standard assessments during the patient visit.</w:t>
            </w:r>
          </w:p>
        </w:tc>
      </w:tr>
    </w:tbl>
    <w:p w:rsidR="0096155C" w:rsidRPr="003D087C" w:rsidRDefault="0096155C" w:rsidP="00CA4129">
      <w:pPr>
        <w:spacing w:after="160" w:line="480" w:lineRule="auto"/>
        <w:jc w:val="both"/>
        <w:rPr>
          <w:rFonts w:ascii="Times New Roman" w:hAnsi="Times New Roman" w:cs="Times New Roman"/>
          <w:b/>
          <w:sz w:val="24"/>
          <w:szCs w:val="24"/>
        </w:rPr>
      </w:pPr>
      <w:r w:rsidRPr="003D087C">
        <w:rPr>
          <w:rFonts w:ascii="Times New Roman" w:hAnsi="Times New Roman" w:cs="Times New Roman"/>
          <w:b/>
          <w:sz w:val="24"/>
          <w:szCs w:val="24"/>
        </w:rPr>
        <w:br w:type="page"/>
      </w:r>
      <w:r w:rsidR="009D233C" w:rsidRPr="003D087C">
        <w:rPr>
          <w:rStyle w:val="apple-converted-space"/>
          <w:rFonts w:ascii="Times New Roman" w:hAnsi="Times New Roman" w:cs="Times New Roman"/>
          <w:color w:val="000033"/>
          <w:sz w:val="24"/>
          <w:szCs w:val="24"/>
          <w:shd w:val="clear" w:color="auto" w:fill="F4F4F4"/>
        </w:rPr>
        <w:lastRenderedPageBreak/>
        <w:t xml:space="preserve"> </w:t>
      </w:r>
      <w:r w:rsidRPr="003D087C">
        <w:rPr>
          <w:rFonts w:ascii="Times New Roman" w:hAnsi="Times New Roman" w:cs="Times New Roman"/>
          <w:b/>
          <w:sz w:val="24"/>
          <w:szCs w:val="24"/>
        </w:rPr>
        <w:t xml:space="preserve">Introduction </w:t>
      </w:r>
    </w:p>
    <w:p w:rsidR="00C64E13" w:rsidRPr="003D087C" w:rsidRDefault="0096155C"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Alkaptonuria (</w:t>
      </w:r>
      <w:r w:rsidR="009044B0" w:rsidRPr="003D087C">
        <w:rPr>
          <w:rFonts w:ascii="Times New Roman" w:hAnsi="Times New Roman" w:cs="Times New Roman"/>
          <w:sz w:val="24"/>
          <w:szCs w:val="24"/>
        </w:rPr>
        <w:t>OMIM # 203500</w:t>
      </w:r>
      <w:r w:rsidRPr="003D087C">
        <w:rPr>
          <w:rFonts w:ascii="Times New Roman" w:hAnsi="Times New Roman" w:cs="Times New Roman"/>
          <w:sz w:val="24"/>
          <w:szCs w:val="24"/>
        </w:rPr>
        <w:t>) is a progressive severe osteo</w:t>
      </w:r>
      <w:r w:rsidR="006C0E12" w:rsidRPr="003D087C">
        <w:rPr>
          <w:rFonts w:ascii="Times New Roman" w:hAnsi="Times New Roman" w:cs="Times New Roman"/>
          <w:sz w:val="24"/>
          <w:szCs w:val="24"/>
        </w:rPr>
        <w:t>-</w:t>
      </w:r>
      <w:r w:rsidRPr="003D087C">
        <w:rPr>
          <w:rFonts w:ascii="Times New Roman" w:hAnsi="Times New Roman" w:cs="Times New Roman"/>
          <w:sz w:val="24"/>
          <w:szCs w:val="24"/>
        </w:rPr>
        <w:t xml:space="preserve">articular disease </w:t>
      </w:r>
      <w:r w:rsidR="004F7586" w:rsidRPr="003D087C">
        <w:rPr>
          <w:rFonts w:ascii="Times New Roman" w:hAnsi="Times New Roman" w:cs="Times New Roman"/>
          <w:sz w:val="24"/>
          <w:szCs w:val="24"/>
        </w:rPr>
        <w:t xml:space="preserve">with </w:t>
      </w:r>
      <w:r w:rsidRPr="003D087C">
        <w:rPr>
          <w:rFonts w:ascii="Times New Roman" w:hAnsi="Times New Roman" w:cs="Times New Roman"/>
          <w:sz w:val="24"/>
          <w:szCs w:val="24"/>
        </w:rPr>
        <w:t>no approved disease modifying therapy to date</w:t>
      </w:r>
      <w:r w:rsidR="008405DA" w:rsidRPr="003D087C">
        <w:rPr>
          <w:rFonts w:ascii="Times New Roman" w:hAnsi="Times New Roman" w:cs="Times New Roman"/>
          <w:sz w:val="24"/>
          <w:szCs w:val="24"/>
        </w:rPr>
        <w:t xml:space="preserve"> (Ranganath et al 2015). </w:t>
      </w:r>
      <w:r w:rsidRPr="003D087C">
        <w:rPr>
          <w:rFonts w:ascii="Times New Roman" w:hAnsi="Times New Roman" w:cs="Times New Roman"/>
          <w:sz w:val="24"/>
          <w:szCs w:val="24"/>
        </w:rPr>
        <w:t xml:space="preserve">Approaches to management are currently symptomatic and palliative and </w:t>
      </w:r>
      <w:r w:rsidR="009F7F5F" w:rsidRPr="003D087C">
        <w:rPr>
          <w:rFonts w:ascii="Times New Roman" w:hAnsi="Times New Roman" w:cs="Times New Roman"/>
          <w:sz w:val="24"/>
          <w:szCs w:val="24"/>
        </w:rPr>
        <w:t xml:space="preserve">employ </w:t>
      </w:r>
      <w:r w:rsidRPr="003D087C">
        <w:rPr>
          <w:rFonts w:ascii="Times New Roman" w:hAnsi="Times New Roman" w:cs="Times New Roman"/>
          <w:sz w:val="24"/>
          <w:szCs w:val="24"/>
        </w:rPr>
        <w:t>ineffective analgesia and surgery</w:t>
      </w:r>
      <w:r w:rsidR="006B7508" w:rsidRPr="003D087C">
        <w:rPr>
          <w:rFonts w:ascii="Times New Roman" w:hAnsi="Times New Roman" w:cs="Times New Roman"/>
          <w:sz w:val="24"/>
          <w:szCs w:val="24"/>
        </w:rPr>
        <w:t>,</w:t>
      </w:r>
      <w:r w:rsidRPr="003D087C">
        <w:rPr>
          <w:rFonts w:ascii="Times New Roman" w:hAnsi="Times New Roman" w:cs="Times New Roman"/>
          <w:sz w:val="24"/>
          <w:szCs w:val="24"/>
        </w:rPr>
        <w:t xml:space="preserve"> including spinal surgery and joint replacements. The only current hope in terms of disease modification is a drug called nitisinone </w:t>
      </w:r>
      <w:r w:rsidR="008405DA" w:rsidRPr="003D087C">
        <w:rPr>
          <w:rFonts w:ascii="Times New Roman" w:hAnsi="Times New Roman" w:cs="Times New Roman"/>
          <w:noProof/>
          <w:sz w:val="24"/>
          <w:szCs w:val="24"/>
        </w:rPr>
        <w:t>(Ranganath et al 2013)</w:t>
      </w:r>
      <w:r w:rsidRPr="003D087C">
        <w:rPr>
          <w:rFonts w:ascii="Times New Roman" w:hAnsi="Times New Roman" w:cs="Times New Roman"/>
          <w:sz w:val="24"/>
          <w:szCs w:val="24"/>
        </w:rPr>
        <w:t xml:space="preserve">. </w:t>
      </w:r>
      <w:r w:rsidR="00C64E13" w:rsidRPr="003D087C">
        <w:rPr>
          <w:rFonts w:ascii="Times New Roman" w:hAnsi="Times New Roman" w:cs="Times New Roman"/>
          <w:sz w:val="24"/>
          <w:szCs w:val="24"/>
        </w:rPr>
        <w:t xml:space="preserve">Early nitisinone therapy </w:t>
      </w:r>
      <w:r w:rsidR="009F7F5F" w:rsidRPr="003D087C">
        <w:rPr>
          <w:rFonts w:ascii="Times New Roman" w:hAnsi="Times New Roman" w:cs="Times New Roman"/>
          <w:sz w:val="24"/>
          <w:szCs w:val="24"/>
        </w:rPr>
        <w:t>may</w:t>
      </w:r>
      <w:r w:rsidR="00C64E13" w:rsidRPr="003D087C">
        <w:rPr>
          <w:rFonts w:ascii="Times New Roman" w:hAnsi="Times New Roman" w:cs="Times New Roman"/>
          <w:sz w:val="24"/>
          <w:szCs w:val="24"/>
        </w:rPr>
        <w:t xml:space="preserve"> prevent morbidity</w:t>
      </w:r>
      <w:r w:rsidR="002543A0" w:rsidRPr="003D087C">
        <w:rPr>
          <w:rFonts w:ascii="Times New Roman" w:hAnsi="Times New Roman" w:cs="Times New Roman"/>
          <w:sz w:val="24"/>
          <w:szCs w:val="24"/>
        </w:rPr>
        <w:t>;</w:t>
      </w:r>
      <w:r w:rsidR="00C64E13" w:rsidRPr="003D087C">
        <w:rPr>
          <w:rFonts w:ascii="Times New Roman" w:hAnsi="Times New Roman" w:cs="Times New Roman"/>
          <w:sz w:val="24"/>
          <w:szCs w:val="24"/>
        </w:rPr>
        <w:t xml:space="preserve"> and</w:t>
      </w:r>
      <w:r w:rsidR="009F7F5F" w:rsidRPr="003D087C">
        <w:rPr>
          <w:rFonts w:ascii="Times New Roman" w:hAnsi="Times New Roman" w:cs="Times New Roman"/>
          <w:sz w:val="24"/>
          <w:szCs w:val="24"/>
        </w:rPr>
        <w:t xml:space="preserve"> if started later it has the potential to </w:t>
      </w:r>
      <w:r w:rsidR="00C64E13" w:rsidRPr="003D087C">
        <w:rPr>
          <w:rFonts w:ascii="Times New Roman" w:hAnsi="Times New Roman" w:cs="Times New Roman"/>
          <w:sz w:val="24"/>
          <w:szCs w:val="24"/>
        </w:rPr>
        <w:t>slow or arrest disease progression. Nitisinone is not yet licensed for AKU</w:t>
      </w:r>
      <w:r w:rsidR="008E3E11" w:rsidRPr="003D087C">
        <w:rPr>
          <w:rFonts w:ascii="Times New Roman" w:hAnsi="Times New Roman" w:cs="Times New Roman"/>
          <w:sz w:val="24"/>
          <w:szCs w:val="24"/>
        </w:rPr>
        <w:t xml:space="preserve"> and despite considerable morbidity, AKU is characterised by a relatively normal lifespan. T</w:t>
      </w:r>
      <w:r w:rsidR="00C64E13" w:rsidRPr="003D087C">
        <w:rPr>
          <w:rFonts w:ascii="Times New Roman" w:hAnsi="Times New Roman" w:cs="Times New Roman"/>
          <w:sz w:val="24"/>
          <w:szCs w:val="24"/>
        </w:rPr>
        <w:t>herefore, safety is an important issue and potential adverse effects are of interest to those involved in the management of metabolic disorders.</w:t>
      </w:r>
    </w:p>
    <w:p w:rsidR="00C64E13" w:rsidRPr="003D087C" w:rsidRDefault="00C64E13" w:rsidP="003D087C">
      <w:pPr>
        <w:autoSpaceDE w:val="0"/>
        <w:autoSpaceDN w:val="0"/>
        <w:adjustRightInd w:val="0"/>
        <w:spacing w:after="0" w:line="480" w:lineRule="auto"/>
        <w:jc w:val="both"/>
        <w:rPr>
          <w:rFonts w:ascii="Times New Roman" w:hAnsi="Times New Roman" w:cs="Times New Roman"/>
          <w:sz w:val="24"/>
          <w:szCs w:val="24"/>
        </w:rPr>
      </w:pPr>
    </w:p>
    <w:p w:rsidR="00D5234B" w:rsidRPr="003D087C" w:rsidRDefault="009F7F5F"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AKU </w:t>
      </w:r>
      <w:r w:rsidR="00C64E13" w:rsidRPr="003D087C">
        <w:rPr>
          <w:rFonts w:ascii="Times New Roman" w:hAnsi="Times New Roman" w:cs="Times New Roman"/>
          <w:sz w:val="24"/>
          <w:szCs w:val="24"/>
        </w:rPr>
        <w:t xml:space="preserve">is </w:t>
      </w:r>
      <w:r w:rsidR="00D42A1E" w:rsidRPr="003D087C">
        <w:rPr>
          <w:rFonts w:ascii="Times New Roman" w:hAnsi="Times New Roman" w:cs="Times New Roman"/>
          <w:sz w:val="24"/>
          <w:szCs w:val="24"/>
        </w:rPr>
        <w:t>inherited in a</w:t>
      </w:r>
      <w:r w:rsidR="00B93F73" w:rsidRPr="003D087C">
        <w:rPr>
          <w:rFonts w:ascii="Times New Roman" w:hAnsi="Times New Roman" w:cs="Times New Roman"/>
          <w:sz w:val="24"/>
          <w:szCs w:val="24"/>
        </w:rPr>
        <w:t xml:space="preserve">n autosomal </w:t>
      </w:r>
      <w:r w:rsidR="00C64E13" w:rsidRPr="003D087C">
        <w:rPr>
          <w:rFonts w:ascii="Times New Roman" w:hAnsi="Times New Roman" w:cs="Times New Roman"/>
          <w:sz w:val="24"/>
          <w:szCs w:val="24"/>
        </w:rPr>
        <w:t xml:space="preserve">recessive </w:t>
      </w:r>
      <w:r w:rsidR="00B93F73" w:rsidRPr="003D087C">
        <w:rPr>
          <w:rFonts w:ascii="Times New Roman" w:hAnsi="Times New Roman" w:cs="Times New Roman"/>
          <w:sz w:val="24"/>
          <w:szCs w:val="24"/>
        </w:rPr>
        <w:t xml:space="preserve">fashion. It is </w:t>
      </w:r>
      <w:r w:rsidR="00C64E13" w:rsidRPr="003D087C">
        <w:rPr>
          <w:rFonts w:ascii="Times New Roman" w:hAnsi="Times New Roman" w:cs="Times New Roman"/>
          <w:sz w:val="24"/>
          <w:szCs w:val="24"/>
        </w:rPr>
        <w:t>characterized by high circulating homogentisic acid (HGA) due to a genetic defect in the enzyme homogentisate dioxygenase</w:t>
      </w:r>
      <w:r w:rsidR="00B93F73" w:rsidRPr="003D087C">
        <w:rPr>
          <w:rFonts w:ascii="Times New Roman" w:hAnsi="Times New Roman" w:cs="Times New Roman"/>
          <w:sz w:val="24"/>
          <w:szCs w:val="24"/>
        </w:rPr>
        <w:t xml:space="preserve"> </w:t>
      </w:r>
      <w:r w:rsidR="00C64E13" w:rsidRPr="003D087C">
        <w:rPr>
          <w:rFonts w:ascii="Times New Roman" w:hAnsi="Times New Roman" w:cs="Times New Roman"/>
          <w:sz w:val="24"/>
          <w:szCs w:val="24"/>
        </w:rPr>
        <w:t>(HGD</w:t>
      </w:r>
      <w:r w:rsidR="009044B0" w:rsidRPr="003D087C">
        <w:rPr>
          <w:rFonts w:ascii="Times New Roman" w:hAnsi="Times New Roman" w:cs="Times New Roman"/>
          <w:sz w:val="24"/>
          <w:szCs w:val="24"/>
        </w:rPr>
        <w:t>, EC 1.13.11.5</w:t>
      </w:r>
      <w:r w:rsidR="00C64E13" w:rsidRPr="003D087C">
        <w:rPr>
          <w:rFonts w:ascii="Times New Roman" w:hAnsi="Times New Roman" w:cs="Times New Roman"/>
          <w:sz w:val="24"/>
          <w:szCs w:val="24"/>
        </w:rPr>
        <w:t xml:space="preserve">) </w:t>
      </w:r>
      <w:r w:rsidR="00217EF9" w:rsidRPr="003D087C">
        <w:rPr>
          <w:rFonts w:ascii="Times New Roman" w:hAnsi="Times New Roman" w:cs="Times New Roman"/>
          <w:noProof/>
          <w:sz w:val="24"/>
          <w:szCs w:val="24"/>
        </w:rPr>
        <w:t>(Phornphutkul et al 2002)</w:t>
      </w:r>
      <w:r w:rsidR="00C64E13" w:rsidRPr="003D087C">
        <w:rPr>
          <w:rFonts w:ascii="Times New Roman" w:hAnsi="Times New Roman" w:cs="Times New Roman"/>
          <w:sz w:val="24"/>
          <w:szCs w:val="24"/>
        </w:rPr>
        <w:t>.</w:t>
      </w:r>
      <w:r w:rsidR="003C06B5" w:rsidRPr="003D087C">
        <w:rPr>
          <w:rFonts w:ascii="Times New Roman" w:hAnsi="Times New Roman" w:cs="Times New Roman"/>
          <w:sz w:val="24"/>
          <w:szCs w:val="24"/>
        </w:rPr>
        <w:t xml:space="preserve"> Ochronosis is the main pathogenetic event in AKU</w:t>
      </w:r>
      <w:r w:rsidR="00A25D4E" w:rsidRPr="003D087C">
        <w:rPr>
          <w:rFonts w:ascii="Times New Roman" w:hAnsi="Times New Roman" w:cs="Times New Roman"/>
          <w:sz w:val="24"/>
          <w:szCs w:val="24"/>
        </w:rPr>
        <w:t xml:space="preserve"> and i</w:t>
      </w:r>
      <w:r w:rsidR="003C06B5" w:rsidRPr="003D087C">
        <w:rPr>
          <w:rFonts w:ascii="Times New Roman" w:hAnsi="Times New Roman" w:cs="Times New Roman"/>
          <w:sz w:val="24"/>
          <w:szCs w:val="24"/>
        </w:rPr>
        <w:t xml:space="preserve">t results from the conversion of HGA </w:t>
      </w:r>
      <w:r w:rsidR="00C64E13" w:rsidRPr="003D087C">
        <w:rPr>
          <w:rFonts w:ascii="Times New Roman" w:hAnsi="Times New Roman" w:cs="Times New Roman"/>
          <w:sz w:val="24"/>
          <w:szCs w:val="24"/>
        </w:rPr>
        <w:t>to a polymeric melanin-li</w:t>
      </w:r>
      <w:r w:rsidR="003C06B5" w:rsidRPr="003D087C">
        <w:rPr>
          <w:rFonts w:ascii="Times New Roman" w:hAnsi="Times New Roman" w:cs="Times New Roman"/>
          <w:sz w:val="24"/>
          <w:szCs w:val="24"/>
        </w:rPr>
        <w:t xml:space="preserve">ke pigment that has affinity to </w:t>
      </w:r>
      <w:r w:rsidR="00C64E13" w:rsidRPr="003D087C">
        <w:rPr>
          <w:rFonts w:ascii="Times New Roman" w:hAnsi="Times New Roman" w:cs="Times New Roman"/>
          <w:sz w:val="24"/>
          <w:szCs w:val="24"/>
        </w:rPr>
        <w:t>connective tissue, especially cartilage</w:t>
      </w:r>
      <w:r w:rsidR="008E3BFC" w:rsidRPr="003D087C">
        <w:rPr>
          <w:rFonts w:ascii="Times New Roman" w:hAnsi="Times New Roman" w:cs="Times New Roman"/>
          <w:sz w:val="24"/>
          <w:szCs w:val="24"/>
        </w:rPr>
        <w:t xml:space="preserve"> (Zannoni et al 1969)</w:t>
      </w:r>
      <w:r w:rsidR="00C64E13" w:rsidRPr="003D087C">
        <w:rPr>
          <w:rFonts w:ascii="Times New Roman" w:hAnsi="Times New Roman" w:cs="Times New Roman"/>
          <w:sz w:val="24"/>
          <w:szCs w:val="24"/>
        </w:rPr>
        <w:t xml:space="preserve">. Ochronosis </w:t>
      </w:r>
      <w:r w:rsidR="00C71A39" w:rsidRPr="003D087C">
        <w:rPr>
          <w:rFonts w:ascii="Times New Roman" w:hAnsi="Times New Roman" w:cs="Times New Roman"/>
          <w:sz w:val="24"/>
          <w:szCs w:val="24"/>
        </w:rPr>
        <w:t xml:space="preserve">leads to arthritis, </w:t>
      </w:r>
      <w:r w:rsidR="003C06B5" w:rsidRPr="003D087C">
        <w:rPr>
          <w:rFonts w:ascii="Times New Roman" w:hAnsi="Times New Roman" w:cs="Times New Roman"/>
          <w:sz w:val="24"/>
          <w:szCs w:val="24"/>
        </w:rPr>
        <w:t xml:space="preserve">valvular heart </w:t>
      </w:r>
      <w:r w:rsidR="000044DF" w:rsidRPr="003D087C">
        <w:rPr>
          <w:rFonts w:ascii="Times New Roman" w:hAnsi="Times New Roman" w:cs="Times New Roman"/>
          <w:sz w:val="24"/>
          <w:szCs w:val="24"/>
        </w:rPr>
        <w:t>disease, nephrolithiasis</w:t>
      </w:r>
      <w:r w:rsidR="00D5234B" w:rsidRPr="003D087C">
        <w:rPr>
          <w:rFonts w:ascii="Times New Roman" w:hAnsi="Times New Roman" w:cs="Times New Roman"/>
          <w:sz w:val="24"/>
          <w:szCs w:val="24"/>
        </w:rPr>
        <w:t xml:space="preserve"> and tendon ruptures</w:t>
      </w:r>
      <w:r w:rsidRPr="003D087C">
        <w:rPr>
          <w:rFonts w:ascii="Times New Roman" w:hAnsi="Times New Roman" w:cs="Times New Roman"/>
          <w:sz w:val="24"/>
          <w:szCs w:val="24"/>
        </w:rPr>
        <w:t xml:space="preserve"> </w:t>
      </w:r>
      <w:r w:rsidR="006100CF" w:rsidRPr="003D087C">
        <w:rPr>
          <w:rFonts w:ascii="Times New Roman" w:hAnsi="Times New Roman" w:cs="Times New Roman"/>
          <w:sz w:val="24"/>
          <w:szCs w:val="24"/>
        </w:rPr>
        <w:fldChar w:fldCharType="begin"/>
      </w:r>
      <w:r w:rsidR="00D5234B" w:rsidRPr="003D087C">
        <w:rPr>
          <w:rFonts w:ascii="Times New Roman" w:hAnsi="Times New Roman" w:cs="Times New Roman"/>
          <w:sz w:val="24"/>
          <w:szCs w:val="24"/>
        </w:rPr>
        <w:instrText xml:space="preserve"> ADDIN ZOTERO_ITEM CSL_CITATION {"citationID":"a3l03tu0gp","properties":{"formattedCitation":"{\\rtf (O\\uc0\\u8217{}brien et al., 1963)}","plainCitation":"(O’brien et al., 1963)"},"citationItems":[{"id":23,"uris":["http://zotero.org/users/local/1tY47COA/items/3P79QRUZ"],"uri":["http://zotero.org/users/local/1tY47COA/items/3P79QRUZ"],"itemData":{"id":23,"type":"article-journal","title":"Biochemical, pathologic and clinical aspects of alcaptonuria, ochronosis and ochronotic arthropathy","container-title":"The American Journal of Medicine","page":"813-838","volume":"34","issue":"6","source":"www.amjmed.com","DOI":"10.1016/0002-9343(63)90089-5","ISSN":"0002-9343, 1555-7162","journalAbbreviation":"The American Journal of Medicine","language":"English","author":[{"family":"O'brien","given":"William M."},{"family":"Du","given":"Bert N. La"},{"family":"Bunim","given":"Joseph J."}],"issued":{"date-parts":[["1963",6,1]]}}}],"schema":"https://github.com/citation-style-language/schema/raw/master/csl-citation.json"} </w:instrText>
      </w:r>
      <w:r w:rsidR="006100CF" w:rsidRPr="003D087C">
        <w:rPr>
          <w:rFonts w:ascii="Times New Roman" w:hAnsi="Times New Roman" w:cs="Times New Roman"/>
          <w:sz w:val="24"/>
          <w:szCs w:val="24"/>
        </w:rPr>
        <w:fldChar w:fldCharType="separate"/>
      </w:r>
      <w:r w:rsidR="00D5234B" w:rsidRPr="003D087C">
        <w:rPr>
          <w:rFonts w:ascii="Times New Roman" w:hAnsi="Times New Roman" w:cs="Times New Roman"/>
          <w:sz w:val="24"/>
          <w:szCs w:val="24"/>
        </w:rPr>
        <w:t>(</w:t>
      </w:r>
      <w:r w:rsidR="000044DF" w:rsidRPr="003D087C">
        <w:rPr>
          <w:rFonts w:ascii="Times New Roman" w:hAnsi="Times New Roman" w:cs="Times New Roman"/>
          <w:sz w:val="24"/>
          <w:szCs w:val="24"/>
        </w:rPr>
        <w:t>O’Brien</w:t>
      </w:r>
      <w:r w:rsidR="00D5234B" w:rsidRPr="003D087C">
        <w:rPr>
          <w:rFonts w:ascii="Times New Roman" w:hAnsi="Times New Roman" w:cs="Times New Roman"/>
          <w:sz w:val="24"/>
          <w:szCs w:val="24"/>
        </w:rPr>
        <w:t xml:space="preserve"> et al 1963)</w:t>
      </w:r>
      <w:r w:rsidR="006100CF" w:rsidRPr="003D087C">
        <w:rPr>
          <w:rFonts w:ascii="Times New Roman" w:hAnsi="Times New Roman" w:cs="Times New Roman"/>
          <w:sz w:val="24"/>
          <w:szCs w:val="24"/>
        </w:rPr>
        <w:fldChar w:fldCharType="end"/>
      </w:r>
      <w:r w:rsidR="00D5234B" w:rsidRPr="003D087C">
        <w:rPr>
          <w:rFonts w:ascii="Times New Roman" w:hAnsi="Times New Roman" w:cs="Times New Roman"/>
          <w:sz w:val="24"/>
          <w:szCs w:val="24"/>
        </w:rPr>
        <w:t>.</w:t>
      </w:r>
    </w:p>
    <w:p w:rsidR="00D5234B" w:rsidRPr="003D087C" w:rsidRDefault="00D5234B" w:rsidP="003D087C">
      <w:pPr>
        <w:autoSpaceDE w:val="0"/>
        <w:autoSpaceDN w:val="0"/>
        <w:adjustRightInd w:val="0"/>
        <w:spacing w:after="0" w:line="480" w:lineRule="auto"/>
        <w:jc w:val="both"/>
        <w:rPr>
          <w:rFonts w:ascii="Times New Roman" w:hAnsi="Times New Roman" w:cs="Times New Roman"/>
          <w:sz w:val="24"/>
          <w:szCs w:val="24"/>
        </w:rPr>
      </w:pPr>
    </w:p>
    <w:p w:rsidR="00642DDD" w:rsidRPr="003D087C" w:rsidRDefault="00C64E13"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Nitisinone inhibits p-hydroxyphenyl pyruvate dioxyge</w:t>
      </w:r>
      <w:r w:rsidR="003C06B5" w:rsidRPr="003D087C">
        <w:rPr>
          <w:rFonts w:ascii="Times New Roman" w:hAnsi="Times New Roman" w:cs="Times New Roman"/>
          <w:sz w:val="24"/>
          <w:szCs w:val="24"/>
        </w:rPr>
        <w:t>nase</w:t>
      </w:r>
      <w:r w:rsidRPr="003D087C">
        <w:rPr>
          <w:rFonts w:ascii="Times New Roman" w:hAnsi="Times New Roman" w:cs="Times New Roman"/>
          <w:sz w:val="24"/>
          <w:szCs w:val="24"/>
        </w:rPr>
        <w:t xml:space="preserve"> </w:t>
      </w:r>
      <w:r w:rsidR="003C06B5" w:rsidRPr="003D087C">
        <w:rPr>
          <w:rFonts w:ascii="Times New Roman" w:hAnsi="Times New Roman" w:cs="Times New Roman"/>
          <w:sz w:val="24"/>
          <w:szCs w:val="24"/>
        </w:rPr>
        <w:t xml:space="preserve">and </w:t>
      </w:r>
      <w:r w:rsidRPr="003D087C">
        <w:rPr>
          <w:rFonts w:ascii="Times New Roman" w:hAnsi="Times New Roman" w:cs="Times New Roman"/>
          <w:sz w:val="24"/>
          <w:szCs w:val="24"/>
        </w:rPr>
        <w:t xml:space="preserve">decreases HGA </w:t>
      </w:r>
      <w:r w:rsidR="00605DFC" w:rsidRPr="003D087C">
        <w:rPr>
          <w:rFonts w:ascii="Times New Roman" w:hAnsi="Times New Roman" w:cs="Times New Roman"/>
          <w:noProof/>
          <w:sz w:val="24"/>
          <w:szCs w:val="24"/>
        </w:rPr>
        <w:t>(Lock et al 1998)</w:t>
      </w:r>
      <w:r w:rsidRPr="003D087C">
        <w:rPr>
          <w:rFonts w:ascii="Times New Roman" w:hAnsi="Times New Roman" w:cs="Times New Roman"/>
          <w:sz w:val="24"/>
          <w:szCs w:val="24"/>
        </w:rPr>
        <w:t>. In keeping with the mode of action of nitisinone, circulating tyrosine increases. The tyrosinaemia that occurs during nitisinone treatment resembles hereditary tyrosinaemia type 3. Adverse effects known to be associated with tyrosinaemia include corneal and dermal toxicity</w:t>
      </w:r>
      <w:r w:rsidR="00210B67" w:rsidRPr="003D087C">
        <w:rPr>
          <w:rFonts w:ascii="Times New Roman" w:hAnsi="Times New Roman" w:cs="Times New Roman"/>
          <w:sz w:val="24"/>
          <w:szCs w:val="24"/>
        </w:rPr>
        <w:t xml:space="preserve"> </w:t>
      </w:r>
      <w:r w:rsidR="00605DFC" w:rsidRPr="003D087C">
        <w:rPr>
          <w:rFonts w:ascii="Times New Roman" w:hAnsi="Times New Roman" w:cs="Times New Roman"/>
          <w:noProof/>
          <w:sz w:val="24"/>
          <w:szCs w:val="24"/>
        </w:rPr>
        <w:t>(Meissner et al 2008)</w:t>
      </w:r>
      <w:r w:rsidR="00210B67" w:rsidRPr="003D087C">
        <w:rPr>
          <w:rFonts w:ascii="Times New Roman" w:hAnsi="Times New Roman" w:cs="Times New Roman"/>
          <w:sz w:val="24"/>
          <w:szCs w:val="24"/>
        </w:rPr>
        <w:t>.</w:t>
      </w:r>
    </w:p>
    <w:p w:rsidR="00642DDD" w:rsidRPr="003D087C" w:rsidRDefault="00642DDD" w:rsidP="003D087C">
      <w:pPr>
        <w:autoSpaceDE w:val="0"/>
        <w:autoSpaceDN w:val="0"/>
        <w:adjustRightInd w:val="0"/>
        <w:spacing w:after="0" w:line="480" w:lineRule="auto"/>
        <w:jc w:val="both"/>
        <w:rPr>
          <w:rFonts w:ascii="Times New Roman" w:hAnsi="Times New Roman" w:cs="Times New Roman"/>
          <w:sz w:val="24"/>
          <w:szCs w:val="24"/>
        </w:rPr>
      </w:pPr>
    </w:p>
    <w:p w:rsidR="00791343" w:rsidRPr="003D087C" w:rsidRDefault="00653643"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lastRenderedPageBreak/>
        <w:t>T</w:t>
      </w:r>
      <w:r w:rsidR="00BE7FA0" w:rsidRPr="003D087C">
        <w:rPr>
          <w:rFonts w:ascii="Times New Roman" w:hAnsi="Times New Roman" w:cs="Times New Roman"/>
          <w:sz w:val="24"/>
          <w:szCs w:val="24"/>
        </w:rPr>
        <w:t xml:space="preserve">yrosinaemia related corneal lesions </w:t>
      </w:r>
      <w:r w:rsidR="008E3E11" w:rsidRPr="003D087C">
        <w:rPr>
          <w:rFonts w:ascii="Times New Roman" w:hAnsi="Times New Roman" w:cs="Times New Roman"/>
          <w:sz w:val="24"/>
          <w:szCs w:val="24"/>
        </w:rPr>
        <w:t>are</w:t>
      </w:r>
      <w:r w:rsidRPr="003D087C">
        <w:rPr>
          <w:rFonts w:ascii="Times New Roman" w:hAnsi="Times New Roman" w:cs="Times New Roman"/>
          <w:sz w:val="24"/>
          <w:szCs w:val="24"/>
        </w:rPr>
        <w:t xml:space="preserve"> </w:t>
      </w:r>
      <w:r w:rsidR="00BE7FA0" w:rsidRPr="003D087C">
        <w:rPr>
          <w:rFonts w:ascii="Times New Roman" w:hAnsi="Times New Roman" w:cs="Times New Roman"/>
          <w:sz w:val="24"/>
          <w:szCs w:val="24"/>
        </w:rPr>
        <w:t xml:space="preserve">reported to be less </w:t>
      </w:r>
      <w:r w:rsidR="00EE31FC" w:rsidRPr="003D087C">
        <w:rPr>
          <w:rFonts w:ascii="Times New Roman" w:hAnsi="Times New Roman" w:cs="Times New Roman"/>
          <w:sz w:val="24"/>
          <w:szCs w:val="24"/>
        </w:rPr>
        <w:t>than</w:t>
      </w:r>
      <w:r w:rsidR="00BE7FA0" w:rsidRPr="003D087C">
        <w:rPr>
          <w:rFonts w:ascii="Times New Roman" w:hAnsi="Times New Roman" w:cs="Times New Roman"/>
          <w:sz w:val="24"/>
          <w:szCs w:val="24"/>
        </w:rPr>
        <w:t xml:space="preserve"> 9% in children with </w:t>
      </w:r>
      <w:r w:rsidR="0092726B" w:rsidRPr="0092726B">
        <w:rPr>
          <w:rFonts w:ascii="Times New Roman" w:hAnsi="Times New Roman" w:cs="Times New Roman"/>
          <w:sz w:val="24"/>
          <w:szCs w:val="24"/>
        </w:rPr>
        <w:t>hereditary tyrosinaemia type 1 (HT-1)</w:t>
      </w:r>
      <w:r w:rsidR="00BE7FA0" w:rsidRPr="003D087C">
        <w:rPr>
          <w:rFonts w:ascii="Times New Roman" w:hAnsi="Times New Roman" w:cs="Times New Roman"/>
          <w:sz w:val="24"/>
          <w:szCs w:val="24"/>
        </w:rPr>
        <w:t xml:space="preserve"> who </w:t>
      </w:r>
      <w:proofErr w:type="gramStart"/>
      <w:r w:rsidR="00BE7FA0" w:rsidRPr="003D087C">
        <w:rPr>
          <w:rFonts w:ascii="Times New Roman" w:hAnsi="Times New Roman" w:cs="Times New Roman"/>
          <w:sz w:val="24"/>
          <w:szCs w:val="24"/>
        </w:rPr>
        <w:t>are</w:t>
      </w:r>
      <w:proofErr w:type="gramEnd"/>
      <w:r w:rsidR="00BE7FA0" w:rsidRPr="003D087C">
        <w:rPr>
          <w:rFonts w:ascii="Times New Roman" w:hAnsi="Times New Roman" w:cs="Times New Roman"/>
          <w:sz w:val="24"/>
          <w:szCs w:val="24"/>
        </w:rPr>
        <w:t xml:space="preserve"> </w:t>
      </w:r>
      <w:r w:rsidR="003E7DCC" w:rsidRPr="003D087C">
        <w:rPr>
          <w:rFonts w:ascii="Times New Roman" w:hAnsi="Times New Roman" w:cs="Times New Roman"/>
          <w:sz w:val="24"/>
          <w:szCs w:val="24"/>
        </w:rPr>
        <w:t>treated with</w:t>
      </w:r>
      <w:r w:rsidR="00BE7FA0" w:rsidRPr="003D087C">
        <w:rPr>
          <w:rFonts w:ascii="Times New Roman" w:hAnsi="Times New Roman" w:cs="Times New Roman"/>
          <w:sz w:val="24"/>
          <w:szCs w:val="24"/>
        </w:rPr>
        <w:t xml:space="preserve"> nitisinone</w:t>
      </w:r>
      <w:r w:rsidR="003E7DCC" w:rsidRPr="003D087C">
        <w:rPr>
          <w:rFonts w:ascii="Times New Roman" w:hAnsi="Times New Roman" w:cs="Times New Roman"/>
          <w:sz w:val="24"/>
          <w:szCs w:val="24"/>
        </w:rPr>
        <w:t xml:space="preserve"> </w:t>
      </w:r>
      <w:r w:rsidR="00605DFC" w:rsidRPr="003D087C">
        <w:rPr>
          <w:rFonts w:ascii="Times New Roman" w:hAnsi="Times New Roman" w:cs="Times New Roman"/>
          <w:noProof/>
          <w:sz w:val="24"/>
          <w:szCs w:val="24"/>
        </w:rPr>
        <w:t xml:space="preserve">(Holme </w:t>
      </w:r>
      <w:r w:rsidR="00B52373" w:rsidRPr="003D087C">
        <w:rPr>
          <w:rFonts w:ascii="Times New Roman" w:hAnsi="Times New Roman" w:cs="Times New Roman"/>
          <w:noProof/>
          <w:sz w:val="24"/>
          <w:szCs w:val="24"/>
        </w:rPr>
        <w:t>and</w:t>
      </w:r>
      <w:r w:rsidR="00605DFC" w:rsidRPr="003D087C">
        <w:rPr>
          <w:rFonts w:ascii="Times New Roman" w:hAnsi="Times New Roman" w:cs="Times New Roman"/>
          <w:noProof/>
          <w:sz w:val="24"/>
          <w:szCs w:val="24"/>
        </w:rPr>
        <w:t xml:space="preserve"> Lindstedt 1998; Gissen et al 2003)</w:t>
      </w:r>
      <w:r w:rsidR="003E7DCC" w:rsidRPr="003D087C">
        <w:rPr>
          <w:rFonts w:ascii="Times New Roman" w:hAnsi="Times New Roman" w:cs="Times New Roman"/>
          <w:sz w:val="24"/>
          <w:szCs w:val="24"/>
        </w:rPr>
        <w:t>.</w:t>
      </w:r>
      <w:r w:rsidR="001022A3" w:rsidRPr="001022A3">
        <w:t xml:space="preserve"> </w:t>
      </w:r>
      <w:r w:rsidR="001022A3" w:rsidRPr="001022A3">
        <w:rPr>
          <w:rFonts w:ascii="Times New Roman" w:hAnsi="Times New Roman" w:cs="Times New Roman"/>
          <w:sz w:val="24"/>
          <w:szCs w:val="24"/>
        </w:rPr>
        <w:t>Schauwvlieghe et al (2013) have</w:t>
      </w:r>
      <w:r w:rsidR="007C3BF4">
        <w:rPr>
          <w:rFonts w:ascii="Times New Roman" w:hAnsi="Times New Roman" w:cs="Times New Roman"/>
          <w:sz w:val="24"/>
          <w:szCs w:val="24"/>
        </w:rPr>
        <w:t xml:space="preserve"> reported tyrosine keratopathy in </w:t>
      </w:r>
      <w:r w:rsidR="007C3BF4" w:rsidRPr="001022A3">
        <w:rPr>
          <w:rFonts w:ascii="Times New Roman" w:hAnsi="Times New Roman" w:cs="Times New Roman"/>
          <w:sz w:val="24"/>
          <w:szCs w:val="24"/>
        </w:rPr>
        <w:t>a 16 year old male who received nitisinone for HT</w:t>
      </w:r>
      <w:r w:rsidR="009D6888">
        <w:rPr>
          <w:rFonts w:ascii="Times New Roman" w:hAnsi="Times New Roman" w:cs="Times New Roman"/>
          <w:sz w:val="24"/>
          <w:szCs w:val="24"/>
        </w:rPr>
        <w:t>-</w:t>
      </w:r>
      <w:r w:rsidR="007C3BF4" w:rsidRPr="001022A3">
        <w:rPr>
          <w:rFonts w:ascii="Times New Roman" w:hAnsi="Times New Roman" w:cs="Times New Roman"/>
          <w:sz w:val="24"/>
          <w:szCs w:val="24"/>
        </w:rPr>
        <w:t>1.</w:t>
      </w:r>
      <w:r w:rsidR="007C3BF4">
        <w:rPr>
          <w:rFonts w:ascii="Times New Roman" w:hAnsi="Times New Roman" w:cs="Times New Roman"/>
          <w:sz w:val="24"/>
          <w:szCs w:val="24"/>
        </w:rPr>
        <w:t xml:space="preserve"> Although corneal symptoms resolved after stopping nitisinone, </w:t>
      </w:r>
      <w:r w:rsidR="007C3BF4" w:rsidRPr="001022A3">
        <w:rPr>
          <w:rFonts w:ascii="Times New Roman" w:hAnsi="Times New Roman" w:cs="Times New Roman"/>
          <w:sz w:val="24"/>
          <w:szCs w:val="24"/>
        </w:rPr>
        <w:t xml:space="preserve">tyrosine crystals </w:t>
      </w:r>
      <w:r w:rsidR="007C3BF4">
        <w:rPr>
          <w:rFonts w:ascii="Times New Roman" w:hAnsi="Times New Roman" w:cs="Times New Roman"/>
          <w:sz w:val="24"/>
          <w:szCs w:val="24"/>
        </w:rPr>
        <w:t>were still detectable in the</w:t>
      </w:r>
      <w:r w:rsidR="001022A3" w:rsidRPr="001022A3">
        <w:rPr>
          <w:rFonts w:ascii="Times New Roman" w:hAnsi="Times New Roman" w:cs="Times New Roman"/>
          <w:sz w:val="24"/>
          <w:szCs w:val="24"/>
        </w:rPr>
        <w:t xml:space="preserve"> cornea</w:t>
      </w:r>
      <w:r w:rsidR="001022A3">
        <w:rPr>
          <w:rFonts w:ascii="Times New Roman" w:hAnsi="Times New Roman" w:cs="Times New Roman"/>
          <w:sz w:val="24"/>
          <w:szCs w:val="24"/>
        </w:rPr>
        <w:t>l epithelium</w:t>
      </w:r>
      <w:r w:rsidR="001022A3" w:rsidRPr="001022A3">
        <w:rPr>
          <w:rFonts w:ascii="Times New Roman" w:hAnsi="Times New Roman" w:cs="Times New Roman"/>
          <w:sz w:val="24"/>
          <w:szCs w:val="24"/>
        </w:rPr>
        <w:t xml:space="preserve"> </w:t>
      </w:r>
      <w:r w:rsidR="007C3BF4">
        <w:rPr>
          <w:rFonts w:ascii="Times New Roman" w:hAnsi="Times New Roman" w:cs="Times New Roman"/>
          <w:sz w:val="24"/>
          <w:szCs w:val="24"/>
        </w:rPr>
        <w:t>using confocal microscopy and slit lamp examination</w:t>
      </w:r>
      <w:r w:rsidR="00FB6478">
        <w:rPr>
          <w:rFonts w:ascii="Times New Roman" w:hAnsi="Times New Roman" w:cs="Times New Roman"/>
          <w:sz w:val="24"/>
          <w:szCs w:val="24"/>
        </w:rPr>
        <w:t>.</w:t>
      </w:r>
      <w:r w:rsidR="001022A3" w:rsidRPr="001022A3">
        <w:rPr>
          <w:rFonts w:ascii="Times New Roman" w:hAnsi="Times New Roman" w:cs="Times New Roman"/>
          <w:sz w:val="24"/>
          <w:szCs w:val="24"/>
        </w:rPr>
        <w:t xml:space="preserve"> </w:t>
      </w:r>
    </w:p>
    <w:p w:rsidR="00791343" w:rsidRPr="003D087C" w:rsidRDefault="00791343" w:rsidP="003D087C">
      <w:pPr>
        <w:autoSpaceDE w:val="0"/>
        <w:autoSpaceDN w:val="0"/>
        <w:adjustRightInd w:val="0"/>
        <w:spacing w:after="0" w:line="480" w:lineRule="auto"/>
        <w:jc w:val="both"/>
        <w:rPr>
          <w:rFonts w:ascii="Times New Roman" w:hAnsi="Times New Roman" w:cs="Times New Roman"/>
          <w:sz w:val="24"/>
          <w:szCs w:val="24"/>
        </w:rPr>
      </w:pPr>
    </w:p>
    <w:p w:rsidR="0096155C" w:rsidRPr="003D087C" w:rsidRDefault="002543A0" w:rsidP="003D087C">
      <w:pPr>
        <w:autoSpaceDE w:val="0"/>
        <w:autoSpaceDN w:val="0"/>
        <w:adjustRightInd w:val="0"/>
        <w:spacing w:after="0" w:line="480" w:lineRule="auto"/>
        <w:jc w:val="both"/>
        <w:rPr>
          <w:rFonts w:ascii="Times New Roman" w:hAnsi="Times New Roman" w:cs="Times New Roman"/>
          <w:color w:val="000000" w:themeColor="text1"/>
          <w:sz w:val="24"/>
          <w:szCs w:val="24"/>
        </w:rPr>
      </w:pPr>
      <w:r w:rsidRPr="003D087C">
        <w:rPr>
          <w:rFonts w:ascii="Times New Roman" w:hAnsi="Times New Roman" w:cs="Times New Roman"/>
          <w:sz w:val="24"/>
          <w:szCs w:val="24"/>
        </w:rPr>
        <w:t xml:space="preserve">Nitisinone has been shown to reduce plasma HGA levels and decrease </w:t>
      </w:r>
      <w:r w:rsidR="00CA4010" w:rsidRPr="00CA4010">
        <w:rPr>
          <w:rFonts w:ascii="Times New Roman" w:hAnsi="Times New Roman" w:cs="Times New Roman"/>
          <w:sz w:val="24"/>
          <w:szCs w:val="24"/>
        </w:rPr>
        <w:t xml:space="preserve">urinary HGA excretion by greater than 95% </w:t>
      </w:r>
      <w:r w:rsidRPr="003D087C">
        <w:rPr>
          <w:rFonts w:ascii="Times New Roman" w:hAnsi="Times New Roman" w:cs="Times New Roman"/>
          <w:sz w:val="24"/>
          <w:szCs w:val="24"/>
        </w:rPr>
        <w:t xml:space="preserve">in humans </w:t>
      </w:r>
      <w:r w:rsidR="006100CF" w:rsidRPr="003D087C">
        <w:rPr>
          <w:rFonts w:ascii="Times New Roman" w:hAnsi="Times New Roman" w:cs="Times New Roman"/>
          <w:noProof/>
          <w:sz w:val="24"/>
          <w:szCs w:val="24"/>
        </w:rPr>
        <w:fldChar w:fldCharType="begin"/>
      </w:r>
      <w:r w:rsidRPr="003D087C">
        <w:rPr>
          <w:rFonts w:ascii="Times New Roman" w:hAnsi="Times New Roman" w:cs="Times New Roman"/>
          <w:noProof/>
          <w:sz w:val="24"/>
          <w:szCs w:val="24"/>
        </w:rPr>
        <w:instrText xml:space="preserve"> ADDIN ZOTERO_TEMP </w:instrText>
      </w:r>
      <w:r w:rsidR="006100CF" w:rsidRPr="003D087C">
        <w:rPr>
          <w:rFonts w:ascii="Times New Roman" w:hAnsi="Times New Roman" w:cs="Times New Roman"/>
          <w:noProof/>
          <w:sz w:val="24"/>
          <w:szCs w:val="24"/>
        </w:rPr>
        <w:fldChar w:fldCharType="end"/>
      </w:r>
      <w:r w:rsidR="006100CF" w:rsidRPr="003D087C">
        <w:rPr>
          <w:rFonts w:ascii="Times New Roman" w:hAnsi="Times New Roman" w:cs="Times New Roman"/>
          <w:noProof/>
          <w:sz w:val="24"/>
          <w:szCs w:val="24"/>
        </w:rPr>
        <w:fldChar w:fldCharType="begin"/>
      </w:r>
      <w:r w:rsidR="002E3713" w:rsidRPr="003D087C">
        <w:rPr>
          <w:rFonts w:ascii="Times New Roman" w:hAnsi="Times New Roman" w:cs="Times New Roman"/>
          <w:noProof/>
          <w:sz w:val="24"/>
          <w:szCs w:val="24"/>
        </w:rPr>
        <w:instrText xml:space="preserve"> ADDIN ZOTERO_ITEM CSL_CITATION {"citationID":"tx97KbUE","properties":{"unsorted":true,"formattedCitation":"(Introne et al., 2011; Ranganath et al., 2016; Milan et al., 2017)","plainCitation":"(Introne et al., 2011; Ranganath et al., 2016; Milan et al., 2017)"},"citationItems":[{"id":15,"uris":["http://zotero.org/users/local/G6SDC1gb/items/UUU4HNJ7"],"uri":["http://zotero.org/users/local/G6SDC1gb/items/UUU4HNJ7"],"itemData":{"id":15,"type":"article-journal","title":"A 3-year randomized therapeutic trial of nitisinone in alkaptonuria","container-title":"Molecular Genetics and Metabolism","page":"307-314","volume":"103","issue":"4","source":"PubMed","abstract":"Alkaptonuria is a rare, autosomal recessive disorder of tyrosine degradation due to deficiency of the third enzyme in the catabolic pathway. As a result, homogentisic acid (HGA) accumulates and is excreted in gram quantities in the urine, which turns dark upon alkalization. The first symptoms, occurring in early adulthood, involve a painful, progressively debilitating arthritis of the spine and large joints. Cardiac valvular disease and renal and prostate stones occur later. Previously suggested therapies have failed to show benefit, and management remains symptomatic. Nitisinone, a potent inhibitor of the second enzyme in the tyrosine catabolic pathway, is considered a potential therapy; proof-of-principle studies showed 95% reduction in urinary HGA. Based on those findings, a prospective, randomized clinical trial was initiated in 2005 to evaluate 40 patients over a 36-month period. The primary outcome parameter was hip total range of motion with measures of musculoskeletal function serving as secondary parameters. Biochemically, this study consistently demonstrated 95% reduction of HGA in urine and plasma over the course of 3 years. Clinically, primary and secondary parameters did not prove benefit from the medication. Side effects were infrequent. This trial illustrates the remarkable tolerability of nitisinone, its biochemical efficacy, and the need to investigate its use in younger individuals prior to development of debilitating arthritis.","DOI":"10.1016/j.ymgme.2011.04.016","ISSN":"1096-7206","note":"PMID: 21620748\nPMCID: PMC3148330","journalAbbreviation":"Mol. Genet. Metab.","language":"eng","author":[{"family":"Introne","given":"Wendy J."},{"family":"Perry","given":"Monique B."},{"family":"Troendle","given":"James"},{"family":"Tsilou","given":"Ekaterini"},{"family":"Kayser","given":"Michael A."},{"family":"Suwannarat","given":"Pim"},{"family":"O'Brien","given":"Kevin E."},{"family":"Bryant","given":"Joy"},{"family":"Sachdev","given":"Vandana"},{"family":"Reynolds","given":"James C."},{"family":"Moylan","given":"Elizabeth"},{"family":"Bernardini","given":"Isa"},{"family":"Gahl","given":"William A."}],"issued":{"date-parts":[["2011",8]]}}},{"id":17,"uris":["http://zotero.org/users/local/G6SDC1gb/items/J9ICIKSI"],"uri":["http://zotero.org/users/local/G6SDC1gb/items/J9ICIKSI"],"itemData":{"id":17,"type":"article-journal","title":"Suitability Of Nitisinone In Alkaptonuria 1 (SONIA 1): an international, multicentre, randomised, open-label, no-treatment controlled, parallel-group, dose-response study to investigate the effect of once daily nitisinone on 24-h urinary homogentisic acid excretion in patients with alkaptonuria after 4 weeks of treatment","container-title":"Annals of the Rheumatic Diseases","page":"362-367","volume":"75","issue":"2","source":"PubMed","abstract":"BACKGROUND: Alkaptonuria (AKU) is a serious genetic disease characterised by premature spondyloarthropathy. Homogentisate-lowering therapy is being investigated for AKU. Nitisinone decreases homogentisic acid (HGA) in AKU but the dose-response relationship has not been previously studied.\nMETHODS: Suitability Of Nitisinone In Alkaptonuria 1 (SONIA 1) was an international, multicentre, randomised, open-label, no-treatment controlled, parallel-group, dose-response study. The primary objective was to investigate the effect of different doses of nitisinone once daily on 24-h urinary HGA excretion (u-HGA24) in patients with AKU after 4 weeks of treatment. Forty patients were randomised into five groups of eight patients each, with groups receiving no treatment or 1 mg, 2 mg, 4 mg and 8 mg of nitisinone.\nFINDINGS: A clear dose-response relationship was observed between nitisinone and the urinary excretion of HGA. At 4 weeks, the adjusted geometric mean u-HGA24 was 31.53 mmol, 3.26 mmol, 1.44 mmol, 0.57 mmol and 0.15 mmol for the no treatment or 1 mg, 2 mg, 4 mg and 8 mg doses, respectively. For the most efficacious dose, 8 mg daily, this corresponds to a mean reduction of u-HGA24 of 98.8% compared with baseline. An increase in tyrosine levels was seen at all doses but the dose-response relationship was less clear than the effect on HGA. Despite tyrosinaemia, there were no safety concerns and no serious adverse events were reported over the 4 weeks of nitisinone therapy.\nCONCLUSIONS: In this study in patients with AKU, nitisinone therapy decreased urinary HGA excretion to low levels in a dose-dependent manner and was well tolerated within the studied dose range.\nTRIAL REGISTRATION NUMBER: EudraCT number: 2012-005340-24. Registered at ClinicalTrials.gov: NCTO1828463.","DOI":"10.1136/annrheumdis-2014-206033","ISSN":"1468-2060","note":"PMID: 25475116","shortTitle":"Suitability Of Nitisinone In Alkaptonuria 1 (SONIA 1)","journalAbbreviation":"Ann. Rheum. Dis.","language":"eng","author":[{"family":"Ranganath","given":"Lakshminarayan R."},{"family":"Milan","given":"Anna M."},{"family":"Hughes","given":"Andrew T."},{"family":"Dutton","given":"John J."},{"family":"Fitzgerald","given":"Richard"},{"family":"Briggs","given":"Michael C."},{"family":"Bygott","given":"Helen"},{"family":"Psarelli","given":"Eftychia E."},{"family":"Cox","given":"Trevor F."},{"family":"Gallagher","given":"James A."},{"family":"Jarvis","given":"Jonathan C."},{"family":"Kan","given":"Christa","non-dropping-particle":"van"},{"family":"Hall","given":"Anthony K."},{"family":"Laan","given":"Dinny"},{"family":"Olsson","given":"Birgitta"},{"family":"Szamosi","given":"Johan"},{"family":"Rudebeck","given":"Mattias"},{"family":"Kullenberg","given":"Torbjörn"},{"family":"Cronlund","given":"Arvid"},{"family":"Svensson","given":"Lennart"},{"family":"Junestrand","given":"Carin"},{"family":"Ayoob","given":"Hana"},{"family":"Timmis","given":"Oliver G."},{"family":"Sireau","given":"Nicolas"},{"family":"Le Quan Sang","given":"Kim-Hanh"},{"family":"Genovese","given":"Federica"},{"family":"Braconi","given":"Daniela"},{"family":"Santucci","given":"Annalisa"},{"family":"Nemethova","given":"Martina"},{"family":"Zatkova","given":"Andrea"},{"family":"McCaffrey","given":"Judith"},{"family":"Christensen","given":"Peter"},{"family":"Ross","given":"Gordon"},{"family":"Imrich","given":"Richard"},{"family":"Rovensky","given":"Jozef"}],"issued":{"date-parts":[["2016",2]]}}},{"id":13,"uris":["http://zotero.org/users/local/G6SDC1gb/items/RFUWSDI2"],"uri":["http://zotero.org/users/local/G6SDC1gb/items/RFUWSDI2"],"itemData":{"id":13,"type":"article-journal","title":"The effect of nitisinone on homogentisic acid and tyrosine: a two-year survey of patients attending the National Alkaptonuria Centre, Liverpool","container-title":"Annals of Clinical Biochemistry","page":"323-330","volume":"54","issue":"3","source":"SAGE Journals","abstract":"BackgroundAlkaptonuria is a rare, debilitating autosomal recessive disorder affecting tyrosine metabolism. Deficiency of homogentisate 1,2-dioxygenase leads to increased homogentisic acid which is deposited as ochronotic pigment. Clinical sequelae include severe early onset osteoarthritis, increased renal and prostate stone formation and cardiac complications. Treatment has been largely based on analgaesia and arthroplasty. The National Alkaptonuria Centre in Liverpool has been using 2?mg nitisinone (NTBC) off-license for all patients in the United Kingdom with alkaptonuria and monitoring the tyrosine metabolite profiles.MethodsPatients with confirmed alkaptonuria are commenced on 2?mg dose (alternative days) of NTBC for three months with daily dose thereafter. Metabolite measurement by LC-MS/MS is performed at baseline, day 4, three-months, six-months and one-year post-commencing NTBC. Thereafter, monitoring and clinical assessments are performed annually.ResultsUrine homogentisic acid concentration decreased from a mean baseline 20,557?µmol/24?h (95th percentile confidence interval 18,446?22,669?µmol/24?h) by on average 95.4% by six months, 94.8% at one year and 94.1% at two year monitoring. A concurrent reduction in serum homogentisic acid concentration of 83.2% compared to baseline was also measured. Serum tyrosine increased from normal adult reference interval to a mean?±?SD of 594?±?184?µmol /L at year-two monitoring with an increased urinary excretion from 103?±?81?µmol /24?h at baseline to 1071?±?726?µmol /24?h two years from therapy.ConclusionsThe data presented represent the first longitudinal survey of NTBC use in an NHS service setting and demonstrate the sustained effect of NTBC on the tyrosine metabolite profile.","DOI":"10.1177/0004563217691065","ISSN":"0004-5632","shortTitle":"The effect of nitisinone on homogentisic acid and tyrosine","journalAbbreviation":"Ann Clin Biochem","language":"en","author":[{"family":"Milan","given":"Anna M"},{"family":"Hughes","given":"Andrew T"},{"family":"Davison","given":"Andrew S"},{"family":"Devine","given":"Jean"},{"family":"Usher","given":"Jeannette"},{"family":"Curtis","given":"Sarah"},{"family":"Khedr","given":"Milad"},{"family":"Gallagher","given":"James A"},{"family":"Ranganath","given":"Lakshminarayan R"}],"issued":{"date-parts":[["2017",5,1]]}}}],"schema":"https://github.com/citation-style-language/schema/raw/master/csl-citation.json"} </w:instrText>
      </w:r>
      <w:r w:rsidR="006100CF" w:rsidRPr="003D087C">
        <w:rPr>
          <w:rFonts w:ascii="Times New Roman" w:hAnsi="Times New Roman" w:cs="Times New Roman"/>
          <w:noProof/>
          <w:sz w:val="24"/>
          <w:szCs w:val="24"/>
        </w:rPr>
        <w:fldChar w:fldCharType="separate"/>
      </w:r>
      <w:r w:rsidR="00605DFC" w:rsidRPr="003D087C">
        <w:rPr>
          <w:rFonts w:ascii="Times New Roman" w:hAnsi="Times New Roman" w:cs="Times New Roman"/>
          <w:sz w:val="24"/>
          <w:szCs w:val="24"/>
        </w:rPr>
        <w:t>(Introne et al</w:t>
      </w:r>
      <w:r w:rsidR="002E3713" w:rsidRPr="003D087C">
        <w:rPr>
          <w:rFonts w:ascii="Times New Roman" w:hAnsi="Times New Roman" w:cs="Times New Roman"/>
          <w:sz w:val="24"/>
          <w:szCs w:val="24"/>
        </w:rPr>
        <w:t xml:space="preserve"> 2011; Ranganath et al 2016; Milan et al 2017)</w:t>
      </w:r>
      <w:r w:rsidR="006100CF" w:rsidRPr="003D087C">
        <w:rPr>
          <w:rFonts w:ascii="Times New Roman" w:hAnsi="Times New Roman" w:cs="Times New Roman"/>
          <w:noProof/>
          <w:sz w:val="24"/>
          <w:szCs w:val="24"/>
        </w:rPr>
        <w:fldChar w:fldCharType="end"/>
      </w:r>
      <w:r w:rsidRPr="003D087C">
        <w:rPr>
          <w:rFonts w:ascii="Times New Roman" w:hAnsi="Times New Roman" w:cs="Times New Roman"/>
          <w:sz w:val="24"/>
          <w:szCs w:val="24"/>
        </w:rPr>
        <w:t xml:space="preserve"> and to completely prevent ochronosis in a mouse model of </w:t>
      </w:r>
      <w:r w:rsidRPr="002C1A35">
        <w:rPr>
          <w:rFonts w:ascii="Times New Roman" w:hAnsi="Times New Roman" w:cs="Times New Roman"/>
          <w:sz w:val="24"/>
          <w:szCs w:val="24"/>
        </w:rPr>
        <w:t>AKU (Preston et al 2014</w:t>
      </w:r>
      <w:r w:rsidR="00C85AAC" w:rsidRPr="002C1A35">
        <w:rPr>
          <w:rFonts w:ascii="Times New Roman" w:hAnsi="Times New Roman" w:cs="Times New Roman"/>
          <w:sz w:val="24"/>
          <w:szCs w:val="24"/>
        </w:rPr>
        <w:t>,</w:t>
      </w:r>
      <w:r w:rsidRPr="002C1A35">
        <w:rPr>
          <w:rFonts w:ascii="Times New Roman" w:hAnsi="Times New Roman" w:cs="Times New Roman"/>
          <w:sz w:val="24"/>
          <w:szCs w:val="24"/>
        </w:rPr>
        <w:t xml:space="preserve"> Keenan et al 2015). </w:t>
      </w:r>
      <w:r w:rsidR="0096155C" w:rsidRPr="002C1A35">
        <w:rPr>
          <w:rFonts w:ascii="Times New Roman" w:hAnsi="Times New Roman" w:cs="Times New Roman"/>
          <w:sz w:val="24"/>
          <w:szCs w:val="24"/>
        </w:rPr>
        <w:t xml:space="preserve">Since 2012, </w:t>
      </w:r>
      <w:r w:rsidR="00E76BD2" w:rsidRPr="002C1A35">
        <w:rPr>
          <w:rFonts w:ascii="Times New Roman" w:hAnsi="Times New Roman" w:cs="Times New Roman"/>
          <w:sz w:val="24"/>
          <w:szCs w:val="24"/>
        </w:rPr>
        <w:t xml:space="preserve">low dose </w:t>
      </w:r>
      <w:r w:rsidR="0096155C" w:rsidRPr="002C1A35">
        <w:rPr>
          <w:rFonts w:ascii="Times New Roman" w:hAnsi="Times New Roman" w:cs="Times New Roman"/>
          <w:sz w:val="24"/>
          <w:szCs w:val="24"/>
        </w:rPr>
        <w:t xml:space="preserve">nitisinone </w:t>
      </w:r>
      <w:r w:rsidR="00577D19" w:rsidRPr="002C1A35">
        <w:rPr>
          <w:rFonts w:ascii="Times New Roman" w:hAnsi="Times New Roman" w:cs="Times New Roman"/>
          <w:sz w:val="24"/>
          <w:szCs w:val="24"/>
        </w:rPr>
        <w:t>has</w:t>
      </w:r>
      <w:r w:rsidR="0096155C" w:rsidRPr="002C1A35">
        <w:rPr>
          <w:rFonts w:ascii="Times New Roman" w:hAnsi="Times New Roman" w:cs="Times New Roman"/>
          <w:sz w:val="24"/>
          <w:szCs w:val="24"/>
        </w:rPr>
        <w:t xml:space="preserve"> being use</w:t>
      </w:r>
      <w:r w:rsidR="0096155C" w:rsidRPr="003D087C">
        <w:rPr>
          <w:rFonts w:ascii="Times New Roman" w:hAnsi="Times New Roman" w:cs="Times New Roman"/>
          <w:sz w:val="24"/>
          <w:szCs w:val="24"/>
        </w:rPr>
        <w:t>d off-label in the NHS England designated National Alkaptonuria Centre (NAC), at the Royal Liverpool University Hospital.</w:t>
      </w:r>
      <w:r w:rsidR="00DC7E8F" w:rsidRPr="00DC7E8F">
        <w:rPr>
          <w:rFonts w:ascii="Times New Roman" w:hAnsi="Times New Roman" w:cs="Times New Roman"/>
          <w:sz w:val="24"/>
          <w:szCs w:val="24"/>
        </w:rPr>
        <w:t xml:space="preserve"> </w:t>
      </w:r>
      <w:r w:rsidR="00DC7E8F" w:rsidRPr="003D087C">
        <w:rPr>
          <w:rFonts w:ascii="Times New Roman" w:hAnsi="Times New Roman" w:cs="Times New Roman"/>
          <w:sz w:val="24"/>
          <w:szCs w:val="24"/>
        </w:rPr>
        <w:t xml:space="preserve">Safety monitoring, including annual elective slit lamp examination, is part of </w:t>
      </w:r>
      <w:r w:rsidR="006C3FBB">
        <w:rPr>
          <w:rFonts w:ascii="Times New Roman" w:hAnsi="Times New Roman" w:cs="Times New Roman"/>
          <w:sz w:val="24"/>
          <w:szCs w:val="24"/>
        </w:rPr>
        <w:t xml:space="preserve">the </w:t>
      </w:r>
      <w:r w:rsidR="00DC7E8F" w:rsidRPr="003D087C">
        <w:rPr>
          <w:rFonts w:ascii="Times New Roman" w:hAnsi="Times New Roman" w:cs="Times New Roman"/>
          <w:sz w:val="24"/>
          <w:szCs w:val="24"/>
        </w:rPr>
        <w:t xml:space="preserve">standardised care. </w:t>
      </w:r>
      <w:r w:rsidR="0096155C" w:rsidRPr="003D087C">
        <w:rPr>
          <w:rFonts w:ascii="Times New Roman" w:hAnsi="Times New Roman" w:cs="Times New Roman"/>
          <w:sz w:val="24"/>
          <w:szCs w:val="24"/>
        </w:rPr>
        <w:t xml:space="preserve"> </w:t>
      </w:r>
    </w:p>
    <w:p w:rsidR="00ED5211" w:rsidRPr="003D087C" w:rsidRDefault="00ED5211" w:rsidP="003D087C">
      <w:pPr>
        <w:spacing w:after="160" w:line="480" w:lineRule="auto"/>
        <w:jc w:val="both"/>
        <w:rPr>
          <w:rFonts w:ascii="Times New Roman" w:hAnsi="Times New Roman" w:cs="Times New Roman"/>
          <w:b/>
          <w:sz w:val="24"/>
          <w:szCs w:val="24"/>
        </w:rPr>
      </w:pPr>
    </w:p>
    <w:p w:rsidR="00642DDD" w:rsidRPr="003D087C" w:rsidRDefault="00642DDD" w:rsidP="003D087C">
      <w:pPr>
        <w:spacing w:after="160" w:line="480" w:lineRule="auto"/>
        <w:jc w:val="both"/>
        <w:rPr>
          <w:rFonts w:ascii="Times New Roman" w:hAnsi="Times New Roman" w:cs="Times New Roman"/>
          <w:sz w:val="24"/>
          <w:szCs w:val="24"/>
        </w:rPr>
      </w:pPr>
      <w:r w:rsidRPr="003D087C">
        <w:rPr>
          <w:rFonts w:ascii="Times New Roman" w:hAnsi="Times New Roman" w:cs="Times New Roman"/>
          <w:b/>
          <w:sz w:val="24"/>
          <w:szCs w:val="24"/>
        </w:rPr>
        <w:t>Case Report</w:t>
      </w:r>
    </w:p>
    <w:p w:rsidR="00D8234C" w:rsidRPr="003D087C" w:rsidRDefault="00642DDD"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A 22 year old man </w:t>
      </w:r>
      <w:r w:rsidR="00324002" w:rsidRPr="003D087C">
        <w:rPr>
          <w:rFonts w:ascii="Times New Roman" w:hAnsi="Times New Roman" w:cs="Times New Roman"/>
          <w:sz w:val="24"/>
          <w:szCs w:val="24"/>
        </w:rPr>
        <w:t xml:space="preserve">presented to the NAC in 2012. He had </w:t>
      </w:r>
      <w:r w:rsidRPr="003D087C">
        <w:rPr>
          <w:rFonts w:ascii="Times New Roman" w:hAnsi="Times New Roman" w:cs="Times New Roman"/>
          <w:sz w:val="24"/>
          <w:szCs w:val="24"/>
        </w:rPr>
        <w:t xml:space="preserve">increased circulating and urinary </w:t>
      </w:r>
      <w:r w:rsidR="00ED5211" w:rsidRPr="003D087C">
        <w:rPr>
          <w:rFonts w:ascii="Times New Roman" w:hAnsi="Times New Roman" w:cs="Times New Roman"/>
          <w:sz w:val="24"/>
          <w:szCs w:val="24"/>
        </w:rPr>
        <w:t>HGA</w:t>
      </w:r>
      <w:r w:rsidR="002E3713" w:rsidRPr="003D087C">
        <w:rPr>
          <w:rFonts w:ascii="Times New Roman" w:hAnsi="Times New Roman" w:cs="Times New Roman"/>
          <w:sz w:val="24"/>
          <w:szCs w:val="24"/>
        </w:rPr>
        <w:t xml:space="preserve"> (16.3 µmol/L and 8416</w:t>
      </w:r>
      <w:r w:rsidR="00324002" w:rsidRPr="003D087C">
        <w:rPr>
          <w:rFonts w:ascii="Times New Roman" w:hAnsi="Times New Roman" w:cs="Times New Roman"/>
          <w:sz w:val="24"/>
          <w:szCs w:val="24"/>
        </w:rPr>
        <w:t xml:space="preserve"> </w:t>
      </w:r>
      <w:r w:rsidR="002E3713" w:rsidRPr="003D087C">
        <w:rPr>
          <w:rFonts w:ascii="Times New Roman" w:hAnsi="Times New Roman" w:cs="Times New Roman"/>
          <w:sz w:val="24"/>
          <w:szCs w:val="24"/>
        </w:rPr>
        <w:t>umol/L, respectively);</w:t>
      </w:r>
      <w:r w:rsidRPr="003D087C">
        <w:rPr>
          <w:rFonts w:ascii="Times New Roman" w:hAnsi="Times New Roman" w:cs="Times New Roman"/>
          <w:sz w:val="24"/>
          <w:szCs w:val="24"/>
        </w:rPr>
        <w:t xml:space="preserve"> as well as </w:t>
      </w:r>
      <w:r w:rsidR="00F3527C">
        <w:rPr>
          <w:rFonts w:ascii="Times New Roman" w:hAnsi="Times New Roman" w:cs="Times New Roman"/>
          <w:sz w:val="24"/>
          <w:szCs w:val="24"/>
        </w:rPr>
        <w:t>two</w:t>
      </w:r>
      <w:r w:rsidR="00F3527C" w:rsidRPr="003D087C">
        <w:rPr>
          <w:rFonts w:ascii="Times New Roman" w:hAnsi="Times New Roman" w:cs="Times New Roman"/>
          <w:sz w:val="24"/>
          <w:szCs w:val="24"/>
        </w:rPr>
        <w:t xml:space="preserve"> </w:t>
      </w:r>
      <w:r w:rsidRPr="003D087C">
        <w:rPr>
          <w:rFonts w:ascii="Times New Roman" w:hAnsi="Times New Roman" w:cs="Times New Roman"/>
          <w:sz w:val="24"/>
          <w:szCs w:val="24"/>
        </w:rPr>
        <w:t xml:space="preserve">genetic </w:t>
      </w:r>
      <w:r w:rsidR="00B07375" w:rsidRPr="003D087C">
        <w:rPr>
          <w:rFonts w:ascii="Times New Roman" w:hAnsi="Times New Roman" w:cs="Times New Roman"/>
          <w:sz w:val="24"/>
          <w:szCs w:val="24"/>
        </w:rPr>
        <w:t>mutation</w:t>
      </w:r>
      <w:r w:rsidR="00F3527C">
        <w:rPr>
          <w:rFonts w:ascii="Times New Roman" w:hAnsi="Times New Roman" w:cs="Times New Roman"/>
          <w:sz w:val="24"/>
          <w:szCs w:val="24"/>
        </w:rPr>
        <w:t>s</w:t>
      </w:r>
      <w:r w:rsidR="006B7508" w:rsidRPr="003D087C">
        <w:rPr>
          <w:rFonts w:ascii="Times New Roman" w:hAnsi="Times New Roman" w:cs="Times New Roman"/>
          <w:sz w:val="24"/>
          <w:szCs w:val="24"/>
        </w:rPr>
        <w:t xml:space="preserve"> in the HGD loci, consistent with the diagnosis of AKU</w:t>
      </w:r>
      <w:r w:rsidRPr="003D087C">
        <w:rPr>
          <w:rFonts w:ascii="Times New Roman" w:hAnsi="Times New Roman" w:cs="Times New Roman"/>
          <w:sz w:val="24"/>
          <w:szCs w:val="24"/>
        </w:rPr>
        <w:t xml:space="preserve">. Apart from asymptomatic arthropathy of his ankles and feet, he had no other clinical features of AKU. He was also known to have unexplained </w:t>
      </w:r>
      <w:r w:rsidR="00562488" w:rsidRPr="003D087C">
        <w:rPr>
          <w:rFonts w:ascii="Times New Roman" w:hAnsi="Times New Roman" w:cs="Times New Roman"/>
          <w:sz w:val="24"/>
          <w:szCs w:val="24"/>
        </w:rPr>
        <w:t xml:space="preserve">mild </w:t>
      </w:r>
      <w:r w:rsidRPr="003D087C">
        <w:rPr>
          <w:rFonts w:ascii="Times New Roman" w:hAnsi="Times New Roman" w:cs="Times New Roman"/>
          <w:sz w:val="24"/>
          <w:szCs w:val="24"/>
        </w:rPr>
        <w:t xml:space="preserve">splenomegaly and stable persistent thrombocytopenia. </w:t>
      </w:r>
      <w:r w:rsidR="004205FE" w:rsidRPr="003D087C">
        <w:rPr>
          <w:rFonts w:ascii="Times New Roman" w:hAnsi="Times New Roman" w:cs="Times New Roman"/>
          <w:sz w:val="24"/>
          <w:szCs w:val="24"/>
        </w:rPr>
        <w:t>At baseline</w:t>
      </w:r>
      <w:r w:rsidR="00F72031" w:rsidRPr="003D087C">
        <w:rPr>
          <w:rFonts w:ascii="Times New Roman" w:hAnsi="Times New Roman" w:cs="Times New Roman"/>
          <w:sz w:val="24"/>
          <w:szCs w:val="24"/>
        </w:rPr>
        <w:t xml:space="preserve"> (V1)</w:t>
      </w:r>
      <w:r w:rsidR="00562488" w:rsidRPr="003D087C">
        <w:rPr>
          <w:rFonts w:ascii="Times New Roman" w:hAnsi="Times New Roman" w:cs="Times New Roman"/>
          <w:sz w:val="24"/>
          <w:szCs w:val="24"/>
        </w:rPr>
        <w:t>,</w:t>
      </w:r>
      <w:r w:rsidR="004205FE" w:rsidRPr="003D087C">
        <w:rPr>
          <w:rFonts w:ascii="Times New Roman" w:hAnsi="Times New Roman" w:cs="Times New Roman"/>
          <w:sz w:val="24"/>
          <w:szCs w:val="24"/>
        </w:rPr>
        <w:t xml:space="preserve"> a slit lamp examination of the eye including the cornea was carried out and found to be normal.</w:t>
      </w:r>
      <w:r w:rsidR="005909B5" w:rsidRPr="005909B5">
        <w:t xml:space="preserve"> </w:t>
      </w:r>
      <w:r w:rsidR="005909B5">
        <w:t xml:space="preserve">The </w:t>
      </w:r>
      <w:r w:rsidR="005909B5" w:rsidRPr="005909B5">
        <w:rPr>
          <w:rFonts w:ascii="Times New Roman" w:hAnsi="Times New Roman" w:cs="Times New Roman"/>
          <w:sz w:val="24"/>
          <w:szCs w:val="24"/>
        </w:rPr>
        <w:t>visual acuity was 6/4.8 in both eyes</w:t>
      </w:r>
      <w:r w:rsidR="00BB26C2">
        <w:rPr>
          <w:rFonts w:ascii="Times New Roman" w:hAnsi="Times New Roman" w:cs="Times New Roman"/>
          <w:sz w:val="24"/>
          <w:szCs w:val="24"/>
        </w:rPr>
        <w:t>.</w:t>
      </w:r>
      <w:r w:rsidR="004205FE" w:rsidRPr="003D087C">
        <w:rPr>
          <w:rFonts w:ascii="Times New Roman" w:hAnsi="Times New Roman" w:cs="Times New Roman"/>
          <w:sz w:val="24"/>
          <w:szCs w:val="24"/>
        </w:rPr>
        <w:t xml:space="preserve"> </w:t>
      </w:r>
      <w:r w:rsidR="00D619C6" w:rsidRPr="003D087C">
        <w:rPr>
          <w:rFonts w:ascii="Times New Roman" w:hAnsi="Times New Roman" w:cs="Times New Roman"/>
          <w:sz w:val="24"/>
          <w:szCs w:val="24"/>
        </w:rPr>
        <w:t xml:space="preserve">The rest of the physical examination was normal. </w:t>
      </w:r>
      <w:r w:rsidR="004205FE" w:rsidRPr="003D087C">
        <w:rPr>
          <w:rFonts w:ascii="Times New Roman" w:hAnsi="Times New Roman" w:cs="Times New Roman"/>
          <w:sz w:val="24"/>
          <w:szCs w:val="24"/>
        </w:rPr>
        <w:t>He was then commenced on nitisinone 2mg alternate days for 3 months, and then increased to 2mg daily from month 3 onwards.</w:t>
      </w:r>
      <w:r w:rsidR="00680588">
        <w:rPr>
          <w:rFonts w:ascii="Times New Roman" w:hAnsi="Times New Roman" w:cs="Times New Roman"/>
          <w:sz w:val="24"/>
          <w:szCs w:val="24"/>
        </w:rPr>
        <w:t xml:space="preserve"> </w:t>
      </w:r>
      <w:r w:rsidR="00680588" w:rsidRPr="00680588">
        <w:rPr>
          <w:rFonts w:ascii="Times New Roman" w:hAnsi="Times New Roman" w:cs="Times New Roman"/>
          <w:sz w:val="24"/>
          <w:szCs w:val="24"/>
        </w:rPr>
        <w:t xml:space="preserve">He was counselled on how to control dietary protein to </w:t>
      </w:r>
      <w:r w:rsidR="00680588" w:rsidRPr="00680588">
        <w:rPr>
          <w:rFonts w:ascii="Times New Roman" w:hAnsi="Times New Roman" w:cs="Times New Roman"/>
          <w:sz w:val="24"/>
          <w:szCs w:val="24"/>
        </w:rPr>
        <w:lastRenderedPageBreak/>
        <w:t>minimise the rise in serum tyrosine associated with nitisinone treatment. He was advised on an initial 1.0g/Kg protein daily intake to maintain his weight and prevent catabolism.</w:t>
      </w:r>
      <w:r w:rsidR="004205FE" w:rsidRPr="003D087C">
        <w:rPr>
          <w:rFonts w:ascii="Times New Roman" w:hAnsi="Times New Roman" w:cs="Times New Roman"/>
          <w:sz w:val="24"/>
          <w:szCs w:val="24"/>
        </w:rPr>
        <w:t xml:space="preserve"> </w:t>
      </w:r>
      <w:r w:rsidR="004205FE" w:rsidRPr="003D087C">
        <w:rPr>
          <w:rFonts w:ascii="Times New Roman" w:hAnsi="Times New Roman" w:cs="Times New Roman"/>
          <w:color w:val="000000" w:themeColor="text1"/>
          <w:sz w:val="24"/>
          <w:szCs w:val="24"/>
        </w:rPr>
        <w:t xml:space="preserve">At his visit to the </w:t>
      </w:r>
      <w:r w:rsidR="006B7508" w:rsidRPr="003D087C">
        <w:rPr>
          <w:rFonts w:ascii="Times New Roman" w:hAnsi="Times New Roman" w:cs="Times New Roman"/>
          <w:color w:val="000000" w:themeColor="text1"/>
          <w:sz w:val="24"/>
          <w:szCs w:val="24"/>
        </w:rPr>
        <w:t>NAC</w:t>
      </w:r>
      <w:r w:rsidR="004205FE" w:rsidRPr="003D087C">
        <w:rPr>
          <w:rFonts w:ascii="Times New Roman" w:hAnsi="Times New Roman" w:cs="Times New Roman"/>
          <w:color w:val="000000" w:themeColor="text1"/>
          <w:sz w:val="24"/>
          <w:szCs w:val="24"/>
        </w:rPr>
        <w:t xml:space="preserve"> one </w:t>
      </w:r>
      <w:r w:rsidR="00F72031" w:rsidRPr="003D087C">
        <w:rPr>
          <w:rFonts w:ascii="Times New Roman" w:hAnsi="Times New Roman" w:cs="Times New Roman"/>
          <w:color w:val="000000" w:themeColor="text1"/>
          <w:sz w:val="24"/>
          <w:szCs w:val="24"/>
        </w:rPr>
        <w:t xml:space="preserve">(V2) </w:t>
      </w:r>
      <w:r w:rsidR="004205FE" w:rsidRPr="003D087C">
        <w:rPr>
          <w:rFonts w:ascii="Times New Roman" w:hAnsi="Times New Roman" w:cs="Times New Roman"/>
          <w:color w:val="000000" w:themeColor="text1"/>
          <w:sz w:val="24"/>
          <w:szCs w:val="24"/>
        </w:rPr>
        <w:t>and two years</w:t>
      </w:r>
      <w:r w:rsidR="00F72031" w:rsidRPr="003D087C">
        <w:rPr>
          <w:rFonts w:ascii="Times New Roman" w:hAnsi="Times New Roman" w:cs="Times New Roman"/>
          <w:color w:val="000000" w:themeColor="text1"/>
          <w:sz w:val="24"/>
          <w:szCs w:val="24"/>
        </w:rPr>
        <w:t xml:space="preserve"> (V3)</w:t>
      </w:r>
      <w:r w:rsidR="004205FE" w:rsidRPr="003D087C">
        <w:rPr>
          <w:rFonts w:ascii="Times New Roman" w:hAnsi="Times New Roman" w:cs="Times New Roman"/>
          <w:color w:val="000000" w:themeColor="text1"/>
          <w:sz w:val="24"/>
          <w:szCs w:val="24"/>
        </w:rPr>
        <w:t xml:space="preserve"> after</w:t>
      </w:r>
      <w:r w:rsidR="006B7508" w:rsidRPr="003D087C">
        <w:rPr>
          <w:rFonts w:ascii="Times New Roman" w:hAnsi="Times New Roman" w:cs="Times New Roman"/>
          <w:color w:val="000000" w:themeColor="text1"/>
          <w:sz w:val="24"/>
          <w:szCs w:val="24"/>
        </w:rPr>
        <w:t xml:space="preserve"> beginning nitisinone 2 </w:t>
      </w:r>
      <w:r w:rsidR="004205FE" w:rsidRPr="003D087C">
        <w:rPr>
          <w:rFonts w:ascii="Times New Roman" w:hAnsi="Times New Roman" w:cs="Times New Roman"/>
          <w:color w:val="000000" w:themeColor="text1"/>
          <w:sz w:val="24"/>
          <w:szCs w:val="24"/>
        </w:rPr>
        <w:t>m</w:t>
      </w:r>
      <w:r w:rsidR="006B7508" w:rsidRPr="003D087C">
        <w:rPr>
          <w:rFonts w:ascii="Times New Roman" w:hAnsi="Times New Roman" w:cs="Times New Roman"/>
          <w:color w:val="000000" w:themeColor="text1"/>
          <w:sz w:val="24"/>
          <w:szCs w:val="24"/>
        </w:rPr>
        <w:t>g</w:t>
      </w:r>
      <w:r w:rsidR="004205FE" w:rsidRPr="003D087C">
        <w:rPr>
          <w:rFonts w:ascii="Times New Roman" w:hAnsi="Times New Roman" w:cs="Times New Roman"/>
          <w:color w:val="000000" w:themeColor="text1"/>
          <w:sz w:val="24"/>
          <w:szCs w:val="24"/>
        </w:rPr>
        <w:t xml:space="preserve"> daily,</w:t>
      </w:r>
      <w:r w:rsidR="002C20C4" w:rsidRPr="003D087C">
        <w:rPr>
          <w:rFonts w:ascii="Times New Roman" w:hAnsi="Times New Roman" w:cs="Times New Roman"/>
          <w:color w:val="000000" w:themeColor="text1"/>
          <w:sz w:val="24"/>
          <w:szCs w:val="24"/>
        </w:rPr>
        <w:t xml:space="preserve"> visual acuity was 6/4.8 in both eyes. S</w:t>
      </w:r>
      <w:r w:rsidR="004205FE" w:rsidRPr="003D087C">
        <w:rPr>
          <w:rFonts w:ascii="Times New Roman" w:hAnsi="Times New Roman" w:cs="Times New Roman"/>
          <w:color w:val="000000" w:themeColor="text1"/>
          <w:sz w:val="24"/>
          <w:szCs w:val="24"/>
        </w:rPr>
        <w:t xml:space="preserve">lit lamp examinations were carried out electively and there was no corneal keratopathy. At his </w:t>
      </w:r>
      <w:r w:rsidR="00ED5211" w:rsidRPr="003D087C">
        <w:rPr>
          <w:rFonts w:ascii="Times New Roman" w:hAnsi="Times New Roman" w:cs="Times New Roman"/>
          <w:color w:val="000000" w:themeColor="text1"/>
          <w:sz w:val="24"/>
          <w:szCs w:val="24"/>
        </w:rPr>
        <w:t xml:space="preserve">third </w:t>
      </w:r>
      <w:r w:rsidR="004205FE" w:rsidRPr="003D087C">
        <w:rPr>
          <w:rFonts w:ascii="Times New Roman" w:hAnsi="Times New Roman" w:cs="Times New Roman"/>
          <w:color w:val="000000" w:themeColor="text1"/>
          <w:sz w:val="24"/>
          <w:szCs w:val="24"/>
        </w:rPr>
        <w:t>annual visit to the NAC</w:t>
      </w:r>
      <w:r w:rsidR="00F72031" w:rsidRPr="003D087C">
        <w:rPr>
          <w:rFonts w:ascii="Times New Roman" w:hAnsi="Times New Roman" w:cs="Times New Roman"/>
          <w:color w:val="000000" w:themeColor="text1"/>
          <w:sz w:val="24"/>
          <w:szCs w:val="24"/>
        </w:rPr>
        <w:t xml:space="preserve"> (V4)</w:t>
      </w:r>
      <w:r w:rsidR="004205FE" w:rsidRPr="003D087C">
        <w:rPr>
          <w:rFonts w:ascii="Times New Roman" w:hAnsi="Times New Roman" w:cs="Times New Roman"/>
          <w:color w:val="000000" w:themeColor="text1"/>
          <w:sz w:val="24"/>
          <w:szCs w:val="24"/>
        </w:rPr>
        <w:t xml:space="preserve">, slit lamp </w:t>
      </w:r>
      <w:r w:rsidR="004205FE" w:rsidRPr="003D087C">
        <w:rPr>
          <w:rFonts w:ascii="Times New Roman" w:hAnsi="Times New Roman" w:cs="Times New Roman"/>
          <w:sz w:val="24"/>
          <w:szCs w:val="24"/>
        </w:rPr>
        <w:t xml:space="preserve">ocular examination revealed typical dendritiform corneal keratopathy in both eyes which was asymptomatic. Visual acuity was 6/5 in the right eye and </w:t>
      </w:r>
      <w:r w:rsidR="00324002" w:rsidRPr="003D087C">
        <w:rPr>
          <w:rFonts w:ascii="Times New Roman" w:hAnsi="Times New Roman" w:cs="Times New Roman"/>
          <w:sz w:val="24"/>
          <w:szCs w:val="24"/>
        </w:rPr>
        <w:t>6</w:t>
      </w:r>
      <w:r w:rsidR="004205FE" w:rsidRPr="003D087C">
        <w:rPr>
          <w:rFonts w:ascii="Times New Roman" w:hAnsi="Times New Roman" w:cs="Times New Roman"/>
          <w:sz w:val="24"/>
          <w:szCs w:val="24"/>
        </w:rPr>
        <w:t xml:space="preserve">/6 in the left eye. The anterior chamber, iris and lens were all normal. </w:t>
      </w:r>
      <w:r w:rsidR="00562488" w:rsidRPr="003D087C">
        <w:rPr>
          <w:rFonts w:ascii="Times New Roman" w:hAnsi="Times New Roman" w:cs="Times New Roman"/>
          <w:sz w:val="24"/>
          <w:szCs w:val="24"/>
        </w:rPr>
        <w:t xml:space="preserve">On </w:t>
      </w:r>
      <w:r w:rsidR="00DA0671" w:rsidRPr="003D087C">
        <w:rPr>
          <w:rFonts w:ascii="Times New Roman" w:hAnsi="Times New Roman" w:cs="Times New Roman"/>
          <w:sz w:val="24"/>
          <w:szCs w:val="24"/>
        </w:rPr>
        <w:t xml:space="preserve">further </w:t>
      </w:r>
      <w:r w:rsidR="004205FE" w:rsidRPr="003D087C">
        <w:rPr>
          <w:rFonts w:ascii="Times New Roman" w:hAnsi="Times New Roman" w:cs="Times New Roman"/>
          <w:sz w:val="24"/>
          <w:szCs w:val="24"/>
        </w:rPr>
        <w:t>questioning</w:t>
      </w:r>
      <w:r w:rsidR="00562488" w:rsidRPr="003D087C">
        <w:rPr>
          <w:rFonts w:ascii="Times New Roman" w:hAnsi="Times New Roman" w:cs="Times New Roman"/>
          <w:sz w:val="24"/>
          <w:szCs w:val="24"/>
        </w:rPr>
        <w:t>, he</w:t>
      </w:r>
      <w:r w:rsidR="004205FE" w:rsidRPr="003D087C">
        <w:rPr>
          <w:rFonts w:ascii="Times New Roman" w:hAnsi="Times New Roman" w:cs="Times New Roman"/>
          <w:sz w:val="24"/>
          <w:szCs w:val="24"/>
        </w:rPr>
        <w:t xml:space="preserve"> reported no eye symptoms</w:t>
      </w:r>
      <w:r w:rsidR="00DA0671" w:rsidRPr="003D087C">
        <w:rPr>
          <w:rFonts w:ascii="Times New Roman" w:hAnsi="Times New Roman" w:cs="Times New Roman"/>
          <w:sz w:val="24"/>
          <w:szCs w:val="24"/>
        </w:rPr>
        <w:t>.</w:t>
      </w:r>
      <w:r w:rsidR="00FC7843" w:rsidRPr="003D087C">
        <w:rPr>
          <w:rFonts w:ascii="Times New Roman" w:hAnsi="Times New Roman" w:cs="Times New Roman"/>
          <w:sz w:val="24"/>
          <w:szCs w:val="24"/>
        </w:rPr>
        <w:t xml:space="preserve"> </w:t>
      </w:r>
      <w:r w:rsidR="00033B42" w:rsidRPr="003D087C">
        <w:rPr>
          <w:rFonts w:ascii="Times New Roman" w:hAnsi="Times New Roman" w:cs="Times New Roman"/>
          <w:sz w:val="24"/>
          <w:szCs w:val="24"/>
        </w:rPr>
        <w:t xml:space="preserve">Dietary assessment </w:t>
      </w:r>
      <w:r w:rsidR="00DA0671" w:rsidRPr="003D087C">
        <w:rPr>
          <w:rFonts w:ascii="Times New Roman" w:hAnsi="Times New Roman" w:cs="Times New Roman"/>
          <w:sz w:val="24"/>
          <w:szCs w:val="24"/>
        </w:rPr>
        <w:t xml:space="preserve">revealed that his dietary protein intake had increased as a result of moving from a predominantly vegetarian diet to relying on take away meals. </w:t>
      </w:r>
      <w:r w:rsidR="00E06018" w:rsidRPr="003D087C">
        <w:rPr>
          <w:rFonts w:ascii="Times New Roman" w:hAnsi="Times New Roman" w:cs="Times New Roman"/>
          <w:sz w:val="24"/>
          <w:szCs w:val="24"/>
        </w:rPr>
        <w:t>Nitisinone was stopped and h</w:t>
      </w:r>
      <w:r w:rsidR="00033B42" w:rsidRPr="003D087C">
        <w:rPr>
          <w:rFonts w:ascii="Times New Roman" w:hAnsi="Times New Roman" w:cs="Times New Roman"/>
          <w:sz w:val="24"/>
          <w:szCs w:val="24"/>
        </w:rPr>
        <w:t xml:space="preserve">e was given dietary counselling to reduce his protein intake. After two weeks, resolution of the dendritic lesion was confirmed on slit lamp examination and nitisinone was restarted at 2 mg daily. </w:t>
      </w:r>
    </w:p>
    <w:p w:rsidR="004205FE" w:rsidRPr="003D087C" w:rsidRDefault="004205FE" w:rsidP="003D087C">
      <w:pPr>
        <w:autoSpaceDE w:val="0"/>
        <w:autoSpaceDN w:val="0"/>
        <w:adjustRightInd w:val="0"/>
        <w:spacing w:after="0" w:line="480" w:lineRule="auto"/>
        <w:jc w:val="both"/>
        <w:rPr>
          <w:rFonts w:ascii="Times New Roman" w:hAnsi="Times New Roman" w:cs="Times New Roman"/>
          <w:iCs/>
          <w:sz w:val="24"/>
          <w:szCs w:val="24"/>
        </w:rPr>
      </w:pPr>
      <w:r w:rsidRPr="003D087C">
        <w:rPr>
          <w:rFonts w:ascii="Times New Roman" w:hAnsi="Times New Roman" w:cs="Times New Roman"/>
          <w:sz w:val="24"/>
          <w:szCs w:val="24"/>
        </w:rPr>
        <w:t>A</w:t>
      </w:r>
      <w:r w:rsidR="00D62538" w:rsidRPr="003D087C">
        <w:rPr>
          <w:rFonts w:ascii="Times New Roman" w:hAnsi="Times New Roman" w:cs="Times New Roman"/>
          <w:sz w:val="24"/>
          <w:szCs w:val="24"/>
        </w:rPr>
        <w:t>t the annual follow up visit a</w:t>
      </w:r>
      <w:r w:rsidRPr="003D087C">
        <w:rPr>
          <w:rFonts w:ascii="Times New Roman" w:hAnsi="Times New Roman" w:cs="Times New Roman"/>
          <w:sz w:val="24"/>
          <w:szCs w:val="24"/>
        </w:rPr>
        <w:t xml:space="preserve"> year later, </w:t>
      </w:r>
      <w:r w:rsidR="006B7508" w:rsidRPr="003D087C">
        <w:rPr>
          <w:rFonts w:ascii="Times New Roman" w:hAnsi="Times New Roman" w:cs="Times New Roman"/>
          <w:sz w:val="24"/>
          <w:szCs w:val="24"/>
        </w:rPr>
        <w:t xml:space="preserve">namely </w:t>
      </w:r>
      <w:r w:rsidRPr="003D087C">
        <w:rPr>
          <w:rFonts w:ascii="Times New Roman" w:hAnsi="Times New Roman" w:cs="Times New Roman"/>
          <w:sz w:val="24"/>
          <w:szCs w:val="24"/>
        </w:rPr>
        <w:t>four years after commencing nitisinone</w:t>
      </w:r>
      <w:r w:rsidR="00F72031" w:rsidRPr="003D087C">
        <w:rPr>
          <w:rFonts w:ascii="Times New Roman" w:hAnsi="Times New Roman" w:cs="Times New Roman"/>
          <w:sz w:val="24"/>
          <w:szCs w:val="24"/>
        </w:rPr>
        <w:t xml:space="preserve"> (V5)</w:t>
      </w:r>
      <w:r w:rsidRPr="003D087C">
        <w:rPr>
          <w:rFonts w:ascii="Times New Roman" w:hAnsi="Times New Roman" w:cs="Times New Roman"/>
          <w:sz w:val="24"/>
          <w:szCs w:val="24"/>
        </w:rPr>
        <w:t xml:space="preserve">, </w:t>
      </w:r>
      <w:r w:rsidR="00D62538" w:rsidRPr="003D087C">
        <w:rPr>
          <w:rFonts w:ascii="Times New Roman" w:hAnsi="Times New Roman" w:cs="Times New Roman"/>
          <w:sz w:val="24"/>
          <w:szCs w:val="24"/>
        </w:rPr>
        <w:t>the</w:t>
      </w:r>
      <w:r w:rsidRPr="003D087C">
        <w:rPr>
          <w:rFonts w:ascii="Times New Roman" w:hAnsi="Times New Roman" w:cs="Times New Roman"/>
          <w:sz w:val="24"/>
          <w:szCs w:val="24"/>
        </w:rPr>
        <w:t xml:space="preserve"> slit lamp examination showed </w:t>
      </w:r>
      <w:r w:rsidRPr="003D087C">
        <w:rPr>
          <w:rFonts w:ascii="Times New Roman" w:hAnsi="Times New Roman" w:cs="Times New Roman"/>
          <w:iCs/>
          <w:sz w:val="24"/>
          <w:szCs w:val="24"/>
        </w:rPr>
        <w:t xml:space="preserve">mild corneal keratopathy in the left eye. </w:t>
      </w:r>
      <w:r w:rsidR="00033B42" w:rsidRPr="003D087C">
        <w:rPr>
          <w:rFonts w:ascii="Times New Roman" w:hAnsi="Times New Roman" w:cs="Times New Roman"/>
          <w:sz w:val="24"/>
          <w:szCs w:val="24"/>
        </w:rPr>
        <w:t xml:space="preserve">Visual acuity </w:t>
      </w:r>
      <w:r w:rsidR="00D35AC8">
        <w:rPr>
          <w:rFonts w:ascii="Times New Roman" w:hAnsi="Times New Roman" w:cs="Times New Roman"/>
          <w:sz w:val="24"/>
          <w:szCs w:val="24"/>
        </w:rPr>
        <w:t xml:space="preserve">was </w:t>
      </w:r>
      <w:r w:rsidR="00033B42" w:rsidRPr="003D087C">
        <w:rPr>
          <w:rFonts w:ascii="Times New Roman" w:hAnsi="Times New Roman" w:cs="Times New Roman"/>
          <w:sz w:val="24"/>
          <w:szCs w:val="24"/>
        </w:rPr>
        <w:t xml:space="preserve">6/4.8 in </w:t>
      </w:r>
      <w:r w:rsidR="00D35AC8">
        <w:rPr>
          <w:rFonts w:ascii="Times New Roman" w:hAnsi="Times New Roman" w:cs="Times New Roman"/>
          <w:sz w:val="24"/>
          <w:szCs w:val="24"/>
        </w:rPr>
        <w:t>each eye</w:t>
      </w:r>
      <w:r w:rsidR="00ED5211" w:rsidRPr="003D087C">
        <w:rPr>
          <w:rFonts w:ascii="Times New Roman" w:hAnsi="Times New Roman" w:cs="Times New Roman"/>
          <w:sz w:val="24"/>
          <w:szCs w:val="24"/>
        </w:rPr>
        <w:t xml:space="preserve">; </w:t>
      </w:r>
      <w:r w:rsidR="00033B42" w:rsidRPr="003D087C">
        <w:rPr>
          <w:rFonts w:ascii="Times New Roman" w:hAnsi="Times New Roman" w:cs="Times New Roman"/>
          <w:sz w:val="24"/>
          <w:szCs w:val="24"/>
        </w:rPr>
        <w:t>the iris</w:t>
      </w:r>
      <w:r w:rsidR="00ED5211" w:rsidRPr="003D087C">
        <w:rPr>
          <w:rFonts w:ascii="Times New Roman" w:hAnsi="Times New Roman" w:cs="Times New Roman"/>
          <w:sz w:val="24"/>
          <w:szCs w:val="24"/>
        </w:rPr>
        <w:t>,</w:t>
      </w:r>
      <w:r w:rsidR="004F760E" w:rsidRPr="003D087C">
        <w:rPr>
          <w:rFonts w:ascii="Times New Roman" w:hAnsi="Times New Roman" w:cs="Times New Roman"/>
          <w:sz w:val="24"/>
          <w:szCs w:val="24"/>
        </w:rPr>
        <w:t xml:space="preserve"> </w:t>
      </w:r>
      <w:r w:rsidR="00033B42" w:rsidRPr="003D087C">
        <w:rPr>
          <w:rFonts w:ascii="Times New Roman" w:hAnsi="Times New Roman" w:cs="Times New Roman"/>
          <w:sz w:val="24"/>
          <w:szCs w:val="24"/>
        </w:rPr>
        <w:t xml:space="preserve">lens and anterior chamber were all normal. Subjectively, he reported some eye dryness but no eye pain, redness, tearing or visual impairment. </w:t>
      </w:r>
      <w:r w:rsidR="004F760E" w:rsidRPr="003D087C">
        <w:rPr>
          <w:rFonts w:ascii="Times New Roman" w:hAnsi="Times New Roman" w:cs="Times New Roman"/>
          <w:sz w:val="24"/>
          <w:szCs w:val="24"/>
        </w:rPr>
        <w:t>The p</w:t>
      </w:r>
      <w:r w:rsidR="00033B42" w:rsidRPr="003D087C">
        <w:rPr>
          <w:rFonts w:ascii="Times New Roman" w:hAnsi="Times New Roman" w:cs="Times New Roman"/>
          <w:sz w:val="24"/>
          <w:szCs w:val="24"/>
        </w:rPr>
        <w:t>atient also admitted to relapsing in term</w:t>
      </w:r>
      <w:r w:rsidR="00ED5211" w:rsidRPr="003D087C">
        <w:rPr>
          <w:rFonts w:ascii="Times New Roman" w:hAnsi="Times New Roman" w:cs="Times New Roman"/>
          <w:sz w:val="24"/>
          <w:szCs w:val="24"/>
        </w:rPr>
        <w:t>s</w:t>
      </w:r>
      <w:r w:rsidR="00033B42" w:rsidRPr="003D087C">
        <w:rPr>
          <w:rFonts w:ascii="Times New Roman" w:hAnsi="Times New Roman" w:cs="Times New Roman"/>
          <w:sz w:val="24"/>
          <w:szCs w:val="24"/>
        </w:rPr>
        <w:t xml:space="preserve"> of his diet. He was </w:t>
      </w:r>
      <w:r w:rsidR="00D619C6" w:rsidRPr="003D087C">
        <w:rPr>
          <w:rFonts w:ascii="Times New Roman" w:hAnsi="Times New Roman" w:cs="Times New Roman"/>
          <w:sz w:val="24"/>
          <w:szCs w:val="24"/>
        </w:rPr>
        <w:t xml:space="preserve">again </w:t>
      </w:r>
      <w:r w:rsidR="00033B42" w:rsidRPr="003D087C">
        <w:rPr>
          <w:rFonts w:ascii="Times New Roman" w:hAnsi="Times New Roman" w:cs="Times New Roman"/>
          <w:sz w:val="24"/>
          <w:szCs w:val="24"/>
        </w:rPr>
        <w:t xml:space="preserve">advised to </w:t>
      </w:r>
      <w:r w:rsidR="004F760E" w:rsidRPr="003D087C">
        <w:rPr>
          <w:rFonts w:ascii="Times New Roman" w:hAnsi="Times New Roman" w:cs="Times New Roman"/>
          <w:sz w:val="24"/>
          <w:szCs w:val="24"/>
        </w:rPr>
        <w:t>stop taking</w:t>
      </w:r>
      <w:r w:rsidR="00033B42" w:rsidRPr="003D087C">
        <w:rPr>
          <w:rFonts w:ascii="Times New Roman" w:hAnsi="Times New Roman" w:cs="Times New Roman"/>
          <w:sz w:val="24"/>
          <w:szCs w:val="24"/>
        </w:rPr>
        <w:t xml:space="preserve"> nitisinone for 2 months and slit lamp examination was arranged. </w:t>
      </w:r>
      <w:r w:rsidRPr="003D087C">
        <w:rPr>
          <w:rFonts w:ascii="Times New Roman" w:hAnsi="Times New Roman" w:cs="Times New Roman"/>
          <w:iCs/>
          <w:sz w:val="24"/>
          <w:szCs w:val="24"/>
        </w:rPr>
        <w:t>Table</w:t>
      </w:r>
      <w:r w:rsidR="00B07375" w:rsidRPr="003D087C">
        <w:rPr>
          <w:rFonts w:ascii="Times New Roman" w:hAnsi="Times New Roman" w:cs="Times New Roman"/>
          <w:iCs/>
          <w:sz w:val="24"/>
          <w:szCs w:val="24"/>
        </w:rPr>
        <w:t xml:space="preserve"> 1</w:t>
      </w:r>
      <w:r w:rsidRPr="003D087C">
        <w:rPr>
          <w:rFonts w:ascii="Times New Roman" w:hAnsi="Times New Roman" w:cs="Times New Roman"/>
          <w:iCs/>
          <w:sz w:val="24"/>
          <w:szCs w:val="24"/>
        </w:rPr>
        <w:t xml:space="preserve"> </w:t>
      </w:r>
      <w:r w:rsidR="00B07375" w:rsidRPr="003D087C">
        <w:rPr>
          <w:rFonts w:ascii="Times New Roman" w:hAnsi="Times New Roman" w:cs="Times New Roman"/>
          <w:iCs/>
          <w:sz w:val="24"/>
          <w:szCs w:val="24"/>
        </w:rPr>
        <w:t>summarises the results of serum tyrosine (</w:t>
      </w:r>
      <w:proofErr w:type="gramStart"/>
      <w:r w:rsidR="00B07375" w:rsidRPr="003D087C">
        <w:rPr>
          <w:rFonts w:ascii="Times New Roman" w:hAnsi="Times New Roman" w:cs="Times New Roman"/>
          <w:iCs/>
          <w:sz w:val="24"/>
          <w:szCs w:val="24"/>
        </w:rPr>
        <w:t>sTYR</w:t>
      </w:r>
      <w:proofErr w:type="gramEnd"/>
      <w:r w:rsidR="00B07375" w:rsidRPr="003D087C">
        <w:rPr>
          <w:rFonts w:ascii="Times New Roman" w:hAnsi="Times New Roman" w:cs="Times New Roman"/>
          <w:iCs/>
          <w:sz w:val="24"/>
          <w:szCs w:val="24"/>
        </w:rPr>
        <w:t xml:space="preserve">) serum </w:t>
      </w:r>
      <w:r w:rsidR="00ED5211" w:rsidRPr="003D087C">
        <w:rPr>
          <w:rFonts w:ascii="Times New Roman" w:hAnsi="Times New Roman" w:cs="Times New Roman"/>
          <w:iCs/>
          <w:sz w:val="24"/>
          <w:szCs w:val="24"/>
        </w:rPr>
        <w:t>HGA</w:t>
      </w:r>
      <w:r w:rsidR="00B07375" w:rsidRPr="003D087C">
        <w:rPr>
          <w:rFonts w:ascii="Times New Roman" w:hAnsi="Times New Roman" w:cs="Times New Roman"/>
          <w:iCs/>
          <w:sz w:val="24"/>
          <w:szCs w:val="24"/>
        </w:rPr>
        <w:t xml:space="preserve"> (sHGA), 24 hour urinary </w:t>
      </w:r>
      <w:r w:rsidR="00ED5211" w:rsidRPr="003D087C">
        <w:rPr>
          <w:rFonts w:ascii="Times New Roman" w:hAnsi="Times New Roman" w:cs="Times New Roman"/>
          <w:iCs/>
          <w:sz w:val="24"/>
          <w:szCs w:val="24"/>
        </w:rPr>
        <w:t>HGA</w:t>
      </w:r>
      <w:r w:rsidR="00B07375" w:rsidRPr="003D087C">
        <w:rPr>
          <w:rFonts w:ascii="Times New Roman" w:hAnsi="Times New Roman" w:cs="Times New Roman"/>
          <w:iCs/>
          <w:sz w:val="24"/>
          <w:szCs w:val="24"/>
        </w:rPr>
        <w:t xml:space="preserve"> excretion (uHGA24), w</w:t>
      </w:r>
      <w:r w:rsidRPr="003D087C">
        <w:rPr>
          <w:rFonts w:ascii="Times New Roman" w:hAnsi="Times New Roman" w:cs="Times New Roman"/>
          <w:iCs/>
          <w:sz w:val="24"/>
          <w:szCs w:val="24"/>
        </w:rPr>
        <w:t>eight</w:t>
      </w:r>
      <w:r w:rsidR="00B07375" w:rsidRPr="003D087C">
        <w:rPr>
          <w:rFonts w:ascii="Times New Roman" w:hAnsi="Times New Roman" w:cs="Times New Roman"/>
          <w:iCs/>
          <w:sz w:val="24"/>
          <w:szCs w:val="24"/>
        </w:rPr>
        <w:t xml:space="preserve"> and</w:t>
      </w:r>
      <w:r w:rsidR="00033B42" w:rsidRPr="003D087C">
        <w:rPr>
          <w:rFonts w:ascii="Times New Roman" w:hAnsi="Times New Roman" w:cs="Times New Roman"/>
          <w:iCs/>
          <w:sz w:val="24"/>
          <w:szCs w:val="24"/>
        </w:rPr>
        <w:t xml:space="preserve"> diet</w:t>
      </w:r>
      <w:r w:rsidR="00775779" w:rsidRPr="003D087C">
        <w:rPr>
          <w:rFonts w:ascii="Times New Roman" w:hAnsi="Times New Roman" w:cs="Times New Roman"/>
          <w:iCs/>
          <w:sz w:val="24"/>
          <w:szCs w:val="24"/>
        </w:rPr>
        <w:t>ary</w:t>
      </w:r>
      <w:r w:rsidR="00033B42" w:rsidRPr="003D087C">
        <w:rPr>
          <w:rFonts w:ascii="Times New Roman" w:hAnsi="Times New Roman" w:cs="Times New Roman"/>
          <w:iCs/>
          <w:sz w:val="24"/>
          <w:szCs w:val="24"/>
        </w:rPr>
        <w:t xml:space="preserve"> protein intake</w:t>
      </w:r>
      <w:r w:rsidRPr="003D087C">
        <w:rPr>
          <w:rFonts w:ascii="Times New Roman" w:hAnsi="Times New Roman" w:cs="Times New Roman"/>
          <w:iCs/>
          <w:sz w:val="24"/>
          <w:szCs w:val="24"/>
        </w:rPr>
        <w:t>. Fig</w:t>
      </w:r>
      <w:r w:rsidR="00B07375" w:rsidRPr="003D087C">
        <w:rPr>
          <w:rFonts w:ascii="Times New Roman" w:hAnsi="Times New Roman" w:cs="Times New Roman"/>
          <w:iCs/>
          <w:sz w:val="24"/>
          <w:szCs w:val="24"/>
        </w:rPr>
        <w:t>ure 1 shows eye photos taken during visits 2 to 5.</w:t>
      </w:r>
      <w:r w:rsidRPr="003D087C">
        <w:rPr>
          <w:rFonts w:ascii="Times New Roman" w:hAnsi="Times New Roman" w:cs="Times New Roman"/>
          <w:iCs/>
          <w:sz w:val="24"/>
          <w:szCs w:val="24"/>
        </w:rPr>
        <w:t xml:space="preserve"> </w:t>
      </w:r>
    </w:p>
    <w:p w:rsidR="00204D91" w:rsidRPr="003D087C" w:rsidRDefault="00204D91" w:rsidP="003D087C">
      <w:pPr>
        <w:spacing w:after="160" w:line="480" w:lineRule="auto"/>
        <w:jc w:val="both"/>
        <w:rPr>
          <w:rFonts w:ascii="Times New Roman" w:hAnsi="Times New Roman" w:cs="Times New Roman"/>
          <w:sz w:val="24"/>
          <w:szCs w:val="24"/>
        </w:rPr>
      </w:pPr>
      <w:r w:rsidRPr="003D087C">
        <w:rPr>
          <w:rFonts w:ascii="Times New Roman" w:hAnsi="Times New Roman" w:cs="Times New Roman"/>
          <w:b/>
          <w:sz w:val="24"/>
          <w:szCs w:val="24"/>
        </w:rPr>
        <w:t>Discussion:</w:t>
      </w:r>
    </w:p>
    <w:p w:rsidR="0088453A" w:rsidRPr="003D087C" w:rsidRDefault="00204D9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To our knowledge, this is the first case describing asymptomatic and in particular painless tyrosine keratopathy in a patient receiving just 2 mg of nitisinone daily. This is expected to influence the monitoring of patients on nitisinone. Incidence of tyrosine keratopathy in AKU </w:t>
      </w:r>
      <w:r w:rsidRPr="003D087C">
        <w:rPr>
          <w:rFonts w:ascii="Times New Roman" w:hAnsi="Times New Roman" w:cs="Times New Roman"/>
          <w:sz w:val="24"/>
          <w:szCs w:val="24"/>
        </w:rPr>
        <w:lastRenderedPageBreak/>
        <w:t xml:space="preserve">patients receiving 2mg daily dose of nitisinone is estimated </w:t>
      </w:r>
      <w:r w:rsidR="00ED5211" w:rsidRPr="003D087C">
        <w:rPr>
          <w:rFonts w:ascii="Times New Roman" w:hAnsi="Times New Roman" w:cs="Times New Roman"/>
          <w:sz w:val="24"/>
          <w:szCs w:val="24"/>
        </w:rPr>
        <w:t xml:space="preserve">at </w:t>
      </w:r>
      <w:r w:rsidRPr="003D087C">
        <w:rPr>
          <w:rFonts w:ascii="Times New Roman" w:hAnsi="Times New Roman" w:cs="Times New Roman"/>
          <w:sz w:val="24"/>
          <w:szCs w:val="24"/>
        </w:rPr>
        <w:t xml:space="preserve">5% </w:t>
      </w:r>
      <w:r w:rsidR="00C85AAC" w:rsidRPr="003D087C">
        <w:rPr>
          <w:rFonts w:ascii="Times New Roman" w:hAnsi="Times New Roman" w:cs="Times New Roman"/>
          <w:noProof/>
          <w:sz w:val="24"/>
          <w:szCs w:val="24"/>
        </w:rPr>
        <w:t>(Introne et al 2011)</w:t>
      </w:r>
      <w:r w:rsidRPr="003D087C">
        <w:rPr>
          <w:rFonts w:ascii="Times New Roman" w:hAnsi="Times New Roman" w:cs="Times New Roman"/>
          <w:sz w:val="24"/>
          <w:szCs w:val="24"/>
        </w:rPr>
        <w:t xml:space="preserve">. In our centre we have over 50 patients on </w:t>
      </w:r>
      <w:r w:rsidR="004F760E" w:rsidRPr="003D087C">
        <w:rPr>
          <w:rFonts w:ascii="Times New Roman" w:hAnsi="Times New Roman" w:cs="Times New Roman"/>
          <w:sz w:val="24"/>
          <w:szCs w:val="24"/>
        </w:rPr>
        <w:t>low dose nitisinone and we have</w:t>
      </w:r>
      <w:r w:rsidRPr="003D087C">
        <w:rPr>
          <w:rFonts w:ascii="Times New Roman" w:hAnsi="Times New Roman" w:cs="Times New Roman"/>
          <w:sz w:val="24"/>
          <w:szCs w:val="24"/>
        </w:rPr>
        <w:t xml:space="preserve"> reported a case of symptomatic tyrosine keratopathy </w:t>
      </w:r>
      <w:r w:rsidR="00C85AAC" w:rsidRPr="003D087C">
        <w:rPr>
          <w:rFonts w:ascii="Times New Roman" w:hAnsi="Times New Roman" w:cs="Times New Roman"/>
          <w:noProof/>
          <w:sz w:val="24"/>
          <w:szCs w:val="24"/>
        </w:rPr>
        <w:t>(Stewart et al 2014)</w:t>
      </w:r>
      <w:r w:rsidRPr="003D087C">
        <w:rPr>
          <w:rFonts w:ascii="Times New Roman" w:hAnsi="Times New Roman" w:cs="Times New Roman"/>
          <w:sz w:val="24"/>
          <w:szCs w:val="24"/>
        </w:rPr>
        <w:t xml:space="preserve">. </w:t>
      </w:r>
    </w:p>
    <w:p w:rsidR="00D619C6" w:rsidRPr="003D087C" w:rsidRDefault="0088453A"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In the literature, there are only two cases describing symptomatic tyrosine keratopathy in AKU patients receiving nitisinone (table 2). The first case was from a three year randomised trial that assessed the safety and efficacy of nitisinone in AKU patients. The affected subject was a 48 year-old male who had symptomatic tyrosine keratopathy after 6 weeks of daily 2mg nitisinone treatment </w:t>
      </w:r>
      <w:r w:rsidR="00C85AAC" w:rsidRPr="003D087C">
        <w:rPr>
          <w:rFonts w:ascii="Times New Roman" w:hAnsi="Times New Roman" w:cs="Times New Roman"/>
          <w:noProof/>
          <w:sz w:val="24"/>
          <w:szCs w:val="24"/>
        </w:rPr>
        <w:t>(Introne et al 2011)</w:t>
      </w:r>
      <w:r w:rsidRPr="003D087C">
        <w:rPr>
          <w:rFonts w:ascii="Times New Roman" w:hAnsi="Times New Roman" w:cs="Times New Roman"/>
          <w:sz w:val="24"/>
          <w:szCs w:val="24"/>
        </w:rPr>
        <w:t>. The second case was described by Stewart et al</w:t>
      </w:r>
      <w:sdt>
        <w:sdtPr>
          <w:rPr>
            <w:rFonts w:ascii="Times New Roman" w:hAnsi="Times New Roman" w:cs="Times New Roman"/>
            <w:sz w:val="24"/>
            <w:szCs w:val="24"/>
          </w:rPr>
          <w:id w:val="-450010912"/>
          <w:citation/>
        </w:sdtPr>
        <w:sdtEndPr/>
        <w:sdtContent>
          <w:r w:rsidR="006100CF" w:rsidRPr="003D087C">
            <w:rPr>
              <w:rFonts w:ascii="Times New Roman" w:hAnsi="Times New Roman" w:cs="Times New Roman"/>
              <w:sz w:val="24"/>
              <w:szCs w:val="24"/>
            </w:rPr>
            <w:fldChar w:fldCharType="begin"/>
          </w:r>
          <w:r w:rsidRPr="003D087C">
            <w:rPr>
              <w:rFonts w:ascii="Times New Roman" w:hAnsi="Times New Roman" w:cs="Times New Roman"/>
              <w:sz w:val="24"/>
              <w:szCs w:val="24"/>
            </w:rPr>
            <w:instrText xml:space="preserve">CITATION Ste14 \n  \l 2057 </w:instrText>
          </w:r>
          <w:r w:rsidR="006100CF" w:rsidRPr="003D087C">
            <w:rPr>
              <w:rFonts w:ascii="Times New Roman" w:hAnsi="Times New Roman" w:cs="Times New Roman"/>
              <w:sz w:val="24"/>
              <w:szCs w:val="24"/>
            </w:rPr>
            <w:fldChar w:fldCharType="separate"/>
          </w:r>
          <w:r w:rsidR="004873E1" w:rsidRPr="003D087C">
            <w:rPr>
              <w:rFonts w:ascii="Times New Roman" w:hAnsi="Times New Roman" w:cs="Times New Roman"/>
              <w:noProof/>
              <w:sz w:val="24"/>
              <w:szCs w:val="24"/>
            </w:rPr>
            <w:t xml:space="preserve"> (2014)</w:t>
          </w:r>
          <w:r w:rsidR="006100CF" w:rsidRPr="003D087C">
            <w:rPr>
              <w:rFonts w:ascii="Times New Roman" w:hAnsi="Times New Roman" w:cs="Times New Roman"/>
              <w:sz w:val="24"/>
              <w:szCs w:val="24"/>
            </w:rPr>
            <w:fldChar w:fldCharType="end"/>
          </w:r>
        </w:sdtContent>
      </w:sdt>
      <w:r w:rsidRPr="003D087C">
        <w:rPr>
          <w:rFonts w:ascii="Times New Roman" w:hAnsi="Times New Roman" w:cs="Times New Roman"/>
          <w:sz w:val="24"/>
          <w:szCs w:val="24"/>
        </w:rPr>
        <w:t xml:space="preserve">. The patient was 25 year old male who experienced </w:t>
      </w:r>
      <w:r w:rsidR="00D619C6" w:rsidRPr="003D087C">
        <w:rPr>
          <w:rFonts w:ascii="Times New Roman" w:hAnsi="Times New Roman" w:cs="Times New Roman"/>
          <w:sz w:val="24"/>
          <w:szCs w:val="24"/>
        </w:rPr>
        <w:t xml:space="preserve">typical ocular symptoms of blurred vision, </w:t>
      </w:r>
      <w:r w:rsidR="00D612B9" w:rsidRPr="003D087C">
        <w:rPr>
          <w:rFonts w:ascii="Times New Roman" w:hAnsi="Times New Roman" w:cs="Times New Roman"/>
          <w:sz w:val="24"/>
          <w:szCs w:val="24"/>
        </w:rPr>
        <w:t>ocular pain, red eyes and epiph</w:t>
      </w:r>
      <w:r w:rsidR="00D619C6" w:rsidRPr="003D087C">
        <w:rPr>
          <w:rFonts w:ascii="Times New Roman" w:hAnsi="Times New Roman" w:cs="Times New Roman"/>
          <w:sz w:val="24"/>
          <w:szCs w:val="24"/>
        </w:rPr>
        <w:t>ora as well as a</w:t>
      </w:r>
      <w:r w:rsidRPr="003D087C">
        <w:rPr>
          <w:rFonts w:ascii="Times New Roman" w:hAnsi="Times New Roman" w:cs="Times New Roman"/>
          <w:sz w:val="24"/>
          <w:szCs w:val="24"/>
        </w:rPr>
        <w:t xml:space="preserve"> concomitant urticarial skin rash. He was taking 2 mg nitisinone on alternate days</w:t>
      </w:r>
      <w:r w:rsidR="00ED5211" w:rsidRPr="003D087C">
        <w:rPr>
          <w:rFonts w:ascii="Times New Roman" w:hAnsi="Times New Roman" w:cs="Times New Roman"/>
          <w:sz w:val="24"/>
          <w:szCs w:val="24"/>
        </w:rPr>
        <w:t xml:space="preserve"> and </w:t>
      </w:r>
      <w:r w:rsidR="00D619C6" w:rsidRPr="003D087C">
        <w:rPr>
          <w:rFonts w:ascii="Times New Roman" w:hAnsi="Times New Roman" w:cs="Times New Roman"/>
          <w:sz w:val="24"/>
          <w:szCs w:val="24"/>
        </w:rPr>
        <w:t xml:space="preserve">was not compliant with a low protein diet. </w:t>
      </w:r>
    </w:p>
    <w:p w:rsidR="00204D91" w:rsidRPr="003D087C" w:rsidRDefault="0088453A"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In both</w:t>
      </w:r>
      <w:r w:rsidR="00D619C6" w:rsidRPr="003D087C">
        <w:rPr>
          <w:rFonts w:ascii="Times New Roman" w:hAnsi="Times New Roman" w:cs="Times New Roman"/>
          <w:sz w:val="24"/>
          <w:szCs w:val="24"/>
        </w:rPr>
        <w:t xml:space="preserve"> published</w:t>
      </w:r>
      <w:r w:rsidRPr="003D087C">
        <w:rPr>
          <w:rFonts w:ascii="Times New Roman" w:hAnsi="Times New Roman" w:cs="Times New Roman"/>
          <w:sz w:val="24"/>
          <w:szCs w:val="24"/>
        </w:rPr>
        <w:t xml:space="preserve"> cases</w:t>
      </w:r>
      <w:r w:rsidR="00D619C6" w:rsidRPr="003D087C">
        <w:rPr>
          <w:rFonts w:ascii="Times New Roman" w:hAnsi="Times New Roman" w:cs="Times New Roman"/>
          <w:sz w:val="24"/>
          <w:szCs w:val="24"/>
        </w:rPr>
        <w:t xml:space="preserve"> of tyrosine corneal keratopathy in AKU</w:t>
      </w:r>
      <w:r w:rsidRPr="003D087C">
        <w:rPr>
          <w:rFonts w:ascii="Times New Roman" w:hAnsi="Times New Roman" w:cs="Times New Roman"/>
          <w:sz w:val="24"/>
          <w:szCs w:val="24"/>
        </w:rPr>
        <w:t xml:space="preserve">, eye symptoms resolved on discontinuation of nitisinone. In the first case, eye symptoms recurred and led to permanent withdrawal of nitisinone; while in the second case, the patient was able to tolerate a once weekly dose of 2 mg. </w:t>
      </w:r>
      <w:r w:rsidR="00204D91" w:rsidRPr="003D087C">
        <w:rPr>
          <w:rFonts w:ascii="Times New Roman" w:hAnsi="Times New Roman" w:cs="Times New Roman"/>
          <w:sz w:val="24"/>
          <w:szCs w:val="24"/>
        </w:rPr>
        <w:t xml:space="preserve">In addition </w:t>
      </w:r>
      <w:r w:rsidR="00D619C6" w:rsidRPr="003D087C">
        <w:rPr>
          <w:rFonts w:ascii="Times New Roman" w:hAnsi="Times New Roman" w:cs="Times New Roman"/>
          <w:sz w:val="24"/>
          <w:szCs w:val="24"/>
        </w:rPr>
        <w:t xml:space="preserve">to the two published AKU corneal keratopathy reports, </w:t>
      </w:r>
      <w:r w:rsidR="00204D91" w:rsidRPr="003D087C">
        <w:rPr>
          <w:rFonts w:ascii="Times New Roman" w:hAnsi="Times New Roman" w:cs="Times New Roman"/>
          <w:sz w:val="24"/>
          <w:szCs w:val="24"/>
        </w:rPr>
        <w:t>a</w:t>
      </w:r>
      <w:r w:rsidR="00D619C6" w:rsidRPr="003D087C">
        <w:rPr>
          <w:rFonts w:ascii="Times New Roman" w:hAnsi="Times New Roman" w:cs="Times New Roman"/>
          <w:sz w:val="24"/>
          <w:szCs w:val="24"/>
        </w:rPr>
        <w:t>nother</w:t>
      </w:r>
      <w:r w:rsidR="00204D91" w:rsidRPr="003D087C">
        <w:rPr>
          <w:rFonts w:ascii="Times New Roman" w:hAnsi="Times New Roman" w:cs="Times New Roman"/>
          <w:sz w:val="24"/>
          <w:szCs w:val="24"/>
        </w:rPr>
        <w:t xml:space="preserve"> patient who was commenced on nitisinone 2</w:t>
      </w:r>
      <w:r w:rsidR="00D62538" w:rsidRPr="003D087C">
        <w:rPr>
          <w:rFonts w:ascii="Times New Roman" w:hAnsi="Times New Roman" w:cs="Times New Roman"/>
          <w:sz w:val="24"/>
          <w:szCs w:val="24"/>
        </w:rPr>
        <w:t xml:space="preserve"> </w:t>
      </w:r>
      <w:r w:rsidR="00204D91" w:rsidRPr="003D087C">
        <w:rPr>
          <w:rFonts w:ascii="Times New Roman" w:hAnsi="Times New Roman" w:cs="Times New Roman"/>
          <w:sz w:val="24"/>
          <w:szCs w:val="24"/>
        </w:rPr>
        <w:t xml:space="preserve">mg daily at the NAC, subsequently reported severe symptoms of photophobia, red eye, ocular pain, tearing and visual impairment consistent with tyrosine keratopathy post-nitisinone but was then no longer </w:t>
      </w:r>
      <w:r w:rsidR="00D619C6" w:rsidRPr="003D087C">
        <w:rPr>
          <w:rFonts w:ascii="Times New Roman" w:hAnsi="Times New Roman" w:cs="Times New Roman"/>
          <w:sz w:val="24"/>
          <w:szCs w:val="24"/>
        </w:rPr>
        <w:t xml:space="preserve">able to be </w:t>
      </w:r>
      <w:r w:rsidR="00204D91" w:rsidRPr="003D087C">
        <w:rPr>
          <w:rFonts w:ascii="Times New Roman" w:hAnsi="Times New Roman" w:cs="Times New Roman"/>
          <w:sz w:val="24"/>
          <w:szCs w:val="24"/>
        </w:rPr>
        <w:t>followed up in the NAC (Table</w:t>
      </w:r>
      <w:r w:rsidR="00775779" w:rsidRPr="003D087C">
        <w:rPr>
          <w:rFonts w:ascii="Times New Roman" w:hAnsi="Times New Roman" w:cs="Times New Roman"/>
          <w:sz w:val="24"/>
          <w:szCs w:val="24"/>
        </w:rPr>
        <w:t xml:space="preserve"> 2</w:t>
      </w:r>
      <w:r w:rsidR="00204D91" w:rsidRPr="003D087C">
        <w:rPr>
          <w:rFonts w:ascii="Times New Roman" w:hAnsi="Times New Roman" w:cs="Times New Roman"/>
          <w:sz w:val="24"/>
          <w:szCs w:val="24"/>
        </w:rPr>
        <w:t xml:space="preserve"> </w:t>
      </w:r>
      <w:r w:rsidR="000A72CB" w:rsidRPr="003D087C">
        <w:rPr>
          <w:rFonts w:ascii="Times New Roman" w:hAnsi="Times New Roman" w:cs="Times New Roman"/>
          <w:sz w:val="24"/>
          <w:szCs w:val="24"/>
        </w:rPr>
        <w:t>summarises the</w:t>
      </w:r>
      <w:r w:rsidR="00204D91" w:rsidRPr="003D087C">
        <w:rPr>
          <w:rFonts w:ascii="Times New Roman" w:hAnsi="Times New Roman" w:cs="Times New Roman"/>
          <w:sz w:val="24"/>
          <w:szCs w:val="24"/>
        </w:rPr>
        <w:t xml:space="preserve"> </w:t>
      </w:r>
      <w:r w:rsidR="000A72CB" w:rsidRPr="003D087C">
        <w:rPr>
          <w:rFonts w:ascii="Times New Roman" w:hAnsi="Times New Roman" w:cs="Times New Roman"/>
          <w:sz w:val="24"/>
          <w:szCs w:val="24"/>
        </w:rPr>
        <w:t xml:space="preserve">demographics and </w:t>
      </w:r>
      <w:r w:rsidR="00204D91" w:rsidRPr="003D087C">
        <w:rPr>
          <w:rFonts w:ascii="Times New Roman" w:hAnsi="Times New Roman" w:cs="Times New Roman"/>
          <w:sz w:val="24"/>
          <w:szCs w:val="24"/>
        </w:rPr>
        <w:t xml:space="preserve">the </w:t>
      </w:r>
      <w:r w:rsidR="000A72CB" w:rsidRPr="003D087C">
        <w:rPr>
          <w:rFonts w:ascii="Times New Roman" w:hAnsi="Times New Roman" w:cs="Times New Roman"/>
          <w:sz w:val="24"/>
          <w:szCs w:val="24"/>
        </w:rPr>
        <w:t>clinical features of the four</w:t>
      </w:r>
      <w:r w:rsidR="00204D91" w:rsidRPr="003D087C">
        <w:rPr>
          <w:rFonts w:ascii="Times New Roman" w:hAnsi="Times New Roman" w:cs="Times New Roman"/>
          <w:sz w:val="24"/>
          <w:szCs w:val="24"/>
        </w:rPr>
        <w:t xml:space="preserve"> patients).   </w:t>
      </w:r>
    </w:p>
    <w:p w:rsidR="0041787F" w:rsidRPr="003D087C" w:rsidRDefault="0041787F"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The lack of pain despite clear corneal involvement in the patient described here is difficult to explain. </w:t>
      </w:r>
      <w:r w:rsidR="00204D91" w:rsidRPr="003D087C">
        <w:rPr>
          <w:rFonts w:ascii="Times New Roman" w:hAnsi="Times New Roman" w:cs="Times New Roman"/>
          <w:sz w:val="24"/>
          <w:szCs w:val="24"/>
        </w:rPr>
        <w:t xml:space="preserve">The cornea is very well innervated and has a rich supply of sensory and autonomic fibres </w:t>
      </w:r>
      <w:r w:rsidR="00C85AAC" w:rsidRPr="003D087C">
        <w:rPr>
          <w:rFonts w:ascii="Times New Roman" w:hAnsi="Times New Roman" w:cs="Times New Roman"/>
          <w:noProof/>
          <w:sz w:val="24"/>
          <w:szCs w:val="24"/>
        </w:rPr>
        <w:t>(Muller et al 2003)</w:t>
      </w:r>
      <w:r w:rsidR="00204D91" w:rsidRPr="003D087C">
        <w:rPr>
          <w:rFonts w:ascii="Times New Roman" w:hAnsi="Times New Roman" w:cs="Times New Roman"/>
          <w:sz w:val="24"/>
          <w:szCs w:val="24"/>
        </w:rPr>
        <w:t xml:space="preserve">. Corneal </w:t>
      </w:r>
      <w:r w:rsidR="00D612B9" w:rsidRPr="003D087C">
        <w:rPr>
          <w:rFonts w:ascii="Times New Roman" w:hAnsi="Times New Roman" w:cs="Times New Roman"/>
          <w:sz w:val="24"/>
          <w:szCs w:val="24"/>
        </w:rPr>
        <w:t>hypoesthesia</w:t>
      </w:r>
      <w:r w:rsidR="00204D91" w:rsidRPr="003D087C">
        <w:rPr>
          <w:rFonts w:ascii="Times New Roman" w:hAnsi="Times New Roman" w:cs="Times New Roman"/>
          <w:sz w:val="24"/>
          <w:szCs w:val="24"/>
        </w:rPr>
        <w:t xml:space="preserve"> </w:t>
      </w:r>
      <w:r w:rsidR="006E6625" w:rsidRPr="003D087C">
        <w:rPr>
          <w:rFonts w:ascii="Times New Roman" w:hAnsi="Times New Roman" w:cs="Times New Roman"/>
          <w:sz w:val="24"/>
          <w:szCs w:val="24"/>
        </w:rPr>
        <w:t xml:space="preserve">is well documented in many circumstances </w:t>
      </w:r>
      <w:r w:rsidR="006E6625" w:rsidRPr="003D087C">
        <w:rPr>
          <w:rFonts w:ascii="Times New Roman" w:hAnsi="Times New Roman" w:cs="Times New Roman"/>
          <w:sz w:val="24"/>
          <w:szCs w:val="24"/>
        </w:rPr>
        <w:lastRenderedPageBreak/>
        <w:t xml:space="preserve">including post herpetic infection, corneal surgery, damage to </w:t>
      </w:r>
      <w:r w:rsidR="00CA2931" w:rsidRPr="003D087C">
        <w:rPr>
          <w:rFonts w:ascii="Times New Roman" w:hAnsi="Times New Roman" w:cs="Times New Roman"/>
          <w:sz w:val="24"/>
          <w:szCs w:val="24"/>
        </w:rPr>
        <w:t>the trigeminal</w:t>
      </w:r>
      <w:r w:rsidR="006E6625" w:rsidRPr="003D087C">
        <w:rPr>
          <w:rFonts w:ascii="Times New Roman" w:hAnsi="Times New Roman" w:cs="Times New Roman"/>
          <w:sz w:val="24"/>
          <w:szCs w:val="24"/>
        </w:rPr>
        <w:t xml:space="preserve"> cranial nerve, and systemic conditions such as diabetes</w:t>
      </w:r>
      <w:r w:rsidR="005A6C51" w:rsidRPr="003D087C">
        <w:rPr>
          <w:rFonts w:ascii="Times New Roman" w:hAnsi="Times New Roman" w:cs="Times New Roman"/>
          <w:sz w:val="24"/>
          <w:szCs w:val="24"/>
        </w:rPr>
        <w:t xml:space="preserve"> (</w:t>
      </w:r>
      <w:proofErr w:type="spellStart"/>
      <w:r w:rsidR="005A6C51" w:rsidRPr="003D087C">
        <w:rPr>
          <w:rFonts w:ascii="Times New Roman" w:hAnsi="Times New Roman" w:cs="Times New Roman"/>
          <w:sz w:val="24"/>
          <w:szCs w:val="24"/>
        </w:rPr>
        <w:t>Sacchetti</w:t>
      </w:r>
      <w:proofErr w:type="spellEnd"/>
      <w:r w:rsidR="005A6C51" w:rsidRPr="003D087C">
        <w:rPr>
          <w:rFonts w:ascii="Times New Roman" w:hAnsi="Times New Roman" w:cs="Times New Roman"/>
          <w:sz w:val="24"/>
          <w:szCs w:val="24"/>
        </w:rPr>
        <w:t xml:space="preserve"> and </w:t>
      </w:r>
      <w:proofErr w:type="spellStart"/>
      <w:r w:rsidR="005A6C51" w:rsidRPr="003D087C">
        <w:rPr>
          <w:rFonts w:ascii="Times New Roman" w:hAnsi="Times New Roman" w:cs="Times New Roman"/>
          <w:sz w:val="24"/>
          <w:szCs w:val="24"/>
        </w:rPr>
        <w:t>Lambiase</w:t>
      </w:r>
      <w:proofErr w:type="spellEnd"/>
      <w:r w:rsidR="005A6C51" w:rsidRPr="003D087C">
        <w:rPr>
          <w:rFonts w:ascii="Times New Roman" w:hAnsi="Times New Roman" w:cs="Times New Roman"/>
          <w:sz w:val="24"/>
          <w:szCs w:val="24"/>
        </w:rPr>
        <w:t xml:space="preserve"> 2014</w:t>
      </w:r>
      <w:r w:rsidR="006E6625" w:rsidRPr="003D087C">
        <w:rPr>
          <w:rFonts w:ascii="Times New Roman" w:hAnsi="Times New Roman" w:cs="Times New Roman"/>
          <w:noProof/>
          <w:sz w:val="24"/>
          <w:szCs w:val="24"/>
        </w:rPr>
        <w:t>)</w:t>
      </w:r>
      <w:r w:rsidR="00204D91" w:rsidRPr="003D087C">
        <w:rPr>
          <w:rFonts w:ascii="Times New Roman" w:hAnsi="Times New Roman" w:cs="Times New Roman"/>
          <w:sz w:val="24"/>
          <w:szCs w:val="24"/>
        </w:rPr>
        <w:t xml:space="preserve">. However, this patient had </w:t>
      </w:r>
      <w:r w:rsidR="006E6625" w:rsidRPr="003D087C">
        <w:rPr>
          <w:rFonts w:ascii="Times New Roman" w:hAnsi="Times New Roman" w:cs="Times New Roman"/>
          <w:sz w:val="24"/>
          <w:szCs w:val="24"/>
        </w:rPr>
        <w:t>no such history</w:t>
      </w:r>
      <w:r w:rsidR="00204D91" w:rsidRPr="003D087C">
        <w:rPr>
          <w:rFonts w:ascii="Times New Roman" w:hAnsi="Times New Roman" w:cs="Times New Roman"/>
          <w:sz w:val="24"/>
          <w:szCs w:val="24"/>
        </w:rPr>
        <w:t xml:space="preserve">. The lack of symptoms could be explained by the fact that while </w:t>
      </w:r>
      <w:r w:rsidR="00D35AC8">
        <w:rPr>
          <w:rFonts w:ascii="Times New Roman" w:hAnsi="Times New Roman" w:cs="Times New Roman"/>
          <w:sz w:val="24"/>
          <w:szCs w:val="24"/>
        </w:rPr>
        <w:t xml:space="preserve">the </w:t>
      </w:r>
      <w:r w:rsidR="00204D91" w:rsidRPr="003D087C">
        <w:rPr>
          <w:rFonts w:ascii="Times New Roman" w:hAnsi="Times New Roman" w:cs="Times New Roman"/>
          <w:sz w:val="24"/>
          <w:szCs w:val="24"/>
        </w:rPr>
        <w:t>corneal epithelium is well supplied with nerve endings</w:t>
      </w:r>
      <w:r w:rsidRPr="003D087C">
        <w:rPr>
          <w:rFonts w:ascii="Times New Roman" w:hAnsi="Times New Roman" w:cs="Times New Roman"/>
          <w:sz w:val="24"/>
          <w:szCs w:val="24"/>
        </w:rPr>
        <w:t xml:space="preserve">, the underlying stroma </w:t>
      </w:r>
      <w:r w:rsidRPr="002C1A35">
        <w:rPr>
          <w:rFonts w:ascii="Times New Roman" w:hAnsi="Times New Roman" w:cs="Times New Roman"/>
          <w:sz w:val="24"/>
          <w:szCs w:val="24"/>
        </w:rPr>
        <w:t>is not</w:t>
      </w:r>
      <w:r w:rsidR="00204D91" w:rsidRPr="002C1A35">
        <w:rPr>
          <w:rFonts w:ascii="Times New Roman" w:hAnsi="Times New Roman" w:cs="Times New Roman"/>
          <w:sz w:val="24"/>
          <w:szCs w:val="24"/>
        </w:rPr>
        <w:t xml:space="preserve"> </w:t>
      </w:r>
      <w:r w:rsidR="00766FD8" w:rsidRPr="002C1A35">
        <w:rPr>
          <w:rFonts w:ascii="Times New Roman" w:hAnsi="Times New Roman" w:cs="Times New Roman"/>
          <w:noProof/>
          <w:sz w:val="24"/>
          <w:szCs w:val="24"/>
        </w:rPr>
        <w:t>(Shaheen</w:t>
      </w:r>
      <w:r w:rsidR="00CA2931" w:rsidRPr="002C1A35">
        <w:rPr>
          <w:rFonts w:ascii="Times New Roman" w:hAnsi="Times New Roman" w:cs="Times New Roman"/>
          <w:noProof/>
          <w:sz w:val="24"/>
          <w:szCs w:val="24"/>
        </w:rPr>
        <w:t xml:space="preserve"> et al 2014)</w:t>
      </w:r>
      <w:r w:rsidR="00204D91" w:rsidRPr="002C1A35">
        <w:rPr>
          <w:rFonts w:ascii="Times New Roman" w:hAnsi="Times New Roman" w:cs="Times New Roman"/>
          <w:sz w:val="24"/>
          <w:szCs w:val="24"/>
        </w:rPr>
        <w:t>,</w:t>
      </w:r>
      <w:r w:rsidR="00204D91" w:rsidRPr="003D087C">
        <w:rPr>
          <w:rFonts w:ascii="Times New Roman" w:hAnsi="Times New Roman" w:cs="Times New Roman"/>
          <w:sz w:val="24"/>
          <w:szCs w:val="24"/>
        </w:rPr>
        <w:t xml:space="preserve"> </w:t>
      </w:r>
      <w:r w:rsidRPr="003D087C">
        <w:rPr>
          <w:rFonts w:ascii="Times New Roman" w:hAnsi="Times New Roman" w:cs="Times New Roman"/>
          <w:sz w:val="24"/>
          <w:szCs w:val="24"/>
        </w:rPr>
        <w:t xml:space="preserve">and </w:t>
      </w:r>
      <w:r w:rsidR="00204D91" w:rsidRPr="003D087C">
        <w:rPr>
          <w:rFonts w:ascii="Times New Roman" w:hAnsi="Times New Roman" w:cs="Times New Roman"/>
          <w:sz w:val="24"/>
          <w:szCs w:val="24"/>
        </w:rPr>
        <w:t xml:space="preserve">it is </w:t>
      </w:r>
      <w:r w:rsidRPr="003D087C">
        <w:rPr>
          <w:rFonts w:ascii="Times New Roman" w:hAnsi="Times New Roman" w:cs="Times New Roman"/>
          <w:sz w:val="24"/>
          <w:szCs w:val="24"/>
        </w:rPr>
        <w:t xml:space="preserve">tempting to speculate that </w:t>
      </w:r>
      <w:r w:rsidR="00204D91" w:rsidRPr="003D087C">
        <w:rPr>
          <w:rFonts w:ascii="Times New Roman" w:hAnsi="Times New Roman" w:cs="Times New Roman"/>
          <w:sz w:val="24"/>
          <w:szCs w:val="24"/>
        </w:rPr>
        <w:t xml:space="preserve">in this case, </w:t>
      </w:r>
      <w:r w:rsidRPr="003D087C">
        <w:rPr>
          <w:rFonts w:ascii="Times New Roman" w:hAnsi="Times New Roman" w:cs="Times New Roman"/>
          <w:sz w:val="24"/>
          <w:szCs w:val="24"/>
        </w:rPr>
        <w:t xml:space="preserve">if </w:t>
      </w:r>
      <w:r w:rsidR="00204D91" w:rsidRPr="003D087C">
        <w:rPr>
          <w:rFonts w:ascii="Times New Roman" w:hAnsi="Times New Roman" w:cs="Times New Roman"/>
          <w:sz w:val="24"/>
          <w:szCs w:val="24"/>
        </w:rPr>
        <w:t xml:space="preserve">tyrosine deposits were </w:t>
      </w:r>
      <w:r w:rsidRPr="003D087C">
        <w:rPr>
          <w:rFonts w:ascii="Times New Roman" w:hAnsi="Times New Roman" w:cs="Times New Roman"/>
          <w:sz w:val="24"/>
          <w:szCs w:val="24"/>
        </w:rPr>
        <w:t xml:space="preserve">mostly </w:t>
      </w:r>
      <w:r w:rsidR="00204D91" w:rsidRPr="003D087C">
        <w:rPr>
          <w:rFonts w:ascii="Times New Roman" w:hAnsi="Times New Roman" w:cs="Times New Roman"/>
          <w:sz w:val="24"/>
          <w:szCs w:val="24"/>
        </w:rPr>
        <w:t xml:space="preserve">confined to the </w:t>
      </w:r>
      <w:r w:rsidR="00D612B9" w:rsidRPr="003D087C">
        <w:rPr>
          <w:rFonts w:ascii="Times New Roman" w:hAnsi="Times New Roman" w:cs="Times New Roman"/>
          <w:sz w:val="24"/>
          <w:szCs w:val="24"/>
        </w:rPr>
        <w:t>sub-epithelial</w:t>
      </w:r>
      <w:r w:rsidR="00204D91" w:rsidRPr="003D087C">
        <w:rPr>
          <w:rFonts w:ascii="Times New Roman" w:hAnsi="Times New Roman" w:cs="Times New Roman"/>
          <w:sz w:val="24"/>
          <w:szCs w:val="24"/>
        </w:rPr>
        <w:t xml:space="preserve"> stroma</w:t>
      </w:r>
      <w:r w:rsidRPr="003D087C">
        <w:rPr>
          <w:rFonts w:ascii="Times New Roman" w:hAnsi="Times New Roman" w:cs="Times New Roman"/>
          <w:sz w:val="24"/>
          <w:szCs w:val="24"/>
        </w:rPr>
        <w:t>, pain would not be a feature</w:t>
      </w:r>
      <w:r w:rsidR="00204D91" w:rsidRPr="003D087C">
        <w:rPr>
          <w:rFonts w:ascii="Times New Roman" w:hAnsi="Times New Roman" w:cs="Times New Roman"/>
          <w:sz w:val="24"/>
          <w:szCs w:val="24"/>
        </w:rPr>
        <w:t xml:space="preserve">. </w:t>
      </w:r>
      <w:r w:rsidR="001B1743" w:rsidRPr="003D087C">
        <w:rPr>
          <w:rFonts w:ascii="Times New Roman" w:hAnsi="Times New Roman" w:cs="Times New Roman"/>
          <w:sz w:val="24"/>
          <w:szCs w:val="24"/>
        </w:rPr>
        <w:t>This is supported by</w:t>
      </w:r>
      <w:r w:rsidRPr="003D087C">
        <w:rPr>
          <w:rFonts w:ascii="Times New Roman" w:hAnsi="Times New Roman" w:cs="Times New Roman"/>
          <w:sz w:val="24"/>
          <w:szCs w:val="24"/>
        </w:rPr>
        <w:t xml:space="preserve"> descriptions of other stromal lesions of the cornea without the presence of pain </w:t>
      </w:r>
      <w:r w:rsidR="006100CF" w:rsidRPr="003D087C">
        <w:rPr>
          <w:rFonts w:ascii="Times New Roman" w:hAnsi="Times New Roman" w:cs="Times New Roman"/>
          <w:sz w:val="24"/>
          <w:szCs w:val="24"/>
        </w:rPr>
        <w:fldChar w:fldCharType="begin"/>
      </w:r>
      <w:r w:rsidR="001B1743" w:rsidRPr="003D087C">
        <w:rPr>
          <w:rFonts w:ascii="Times New Roman" w:hAnsi="Times New Roman" w:cs="Times New Roman"/>
          <w:sz w:val="24"/>
          <w:szCs w:val="24"/>
        </w:rPr>
        <w:instrText xml:space="preserve"> ADDIN ZOTERO_ITEM CSL_CITATION {"citationID":"a27o9r431as","properties":{"formattedCitation":"(Sacchetti et al., 2016)","plainCitation":"(Sacchetti et al., 2016)"},"citationItems":[{"id":21,"uris":["http://zotero.org/users/local/1tY47COA/items/9Q4KGHHV"],"uri":["http://zotero.org/users/local/1tY47COA/items/9Q4KGHHV"],"itemData":{"id":21,"type":"article-journal","title":"Pathophysiology of Corneal Dystrophies: From Cellular Genetic Alteration to Clinical Findings","container-title":"Journal of Cellular Physiology","page":"261-269","volume":"231","issue":"2","source":"PubMed","abstract":"Corneal dystrophies are a heterogeneous group of bilateral, inherited, rare diseases characterized by slowly progressive corneal opacities, that lead to visual impairment. Most of them have an autosomal dominant pattern of inheritance with variable expressivity, but new mutations have been described. Many corneal dystrophies have been genetically characterized and the specific gene mutations identified, such as for the epithelial-stromal TGFBI dystrophies. Current classification systems identified four main groups of corneal dystrophies based on clinical, histologic, and genetic information. Diagnosis is performed during a routine ophthalmic examination that shows typical cellular abnormalities of the corneal epithelium, stroma, or endothelium. Disease progression should be carefully monitored to decide the proper clinical management. The treatment of corneal dystrophies is variable, depending on symptoms, clinical course, severity, and type of dystrophy. Management aimed to reduce symptoms and to improve vision, includes different surgical approaches. Novel cellular and genetic therapeutic approaches are under evaluation. J. Cell. Physiol. 231: 261-269, 2016. © 2015 Wiley Periodicals, Inc.","DOI":"10.1002/jcp.25082","ISSN":"1097-4652","note":"PMID: 26104822","shortTitle":"Pathophysiology of Corneal Dystrophies","journalAbbreviation":"J. Cell. Physiol.","language":"eng","author":[{"family":"Sacchetti","given":"Marta"},{"family":"Macchi","given":"Ilaria"},{"family":"Tiezzi","given":"Alessandro"},{"family":"La Cava","given":"Maurizio"},{"family":"Massaro-Giordano","given":"Giacomina"},{"family":"Lambiase","given":"Alessandro"}],"issued":{"date-parts":[["2016",2]]}}}],"schema":"https://github.com/citation-style-language/schema/raw/master/csl-citation.json"} </w:instrText>
      </w:r>
      <w:r w:rsidR="006100CF" w:rsidRPr="003D087C">
        <w:rPr>
          <w:rFonts w:ascii="Times New Roman" w:hAnsi="Times New Roman" w:cs="Times New Roman"/>
          <w:sz w:val="24"/>
          <w:szCs w:val="24"/>
        </w:rPr>
        <w:fldChar w:fldCharType="separate"/>
      </w:r>
      <w:r w:rsidR="005A6C51" w:rsidRPr="003D087C">
        <w:rPr>
          <w:rFonts w:ascii="Times New Roman" w:hAnsi="Times New Roman" w:cs="Times New Roman"/>
          <w:sz w:val="24"/>
          <w:szCs w:val="24"/>
        </w:rPr>
        <w:t>(Sacchetti et al</w:t>
      </w:r>
      <w:r w:rsidR="001B1743" w:rsidRPr="003D087C">
        <w:rPr>
          <w:rFonts w:ascii="Times New Roman" w:hAnsi="Times New Roman" w:cs="Times New Roman"/>
          <w:sz w:val="24"/>
          <w:szCs w:val="24"/>
        </w:rPr>
        <w:t xml:space="preserve"> 2016)</w:t>
      </w:r>
      <w:r w:rsidR="006100CF" w:rsidRPr="003D087C">
        <w:rPr>
          <w:rFonts w:ascii="Times New Roman" w:hAnsi="Times New Roman" w:cs="Times New Roman"/>
          <w:sz w:val="24"/>
          <w:szCs w:val="24"/>
        </w:rPr>
        <w:fldChar w:fldCharType="end"/>
      </w:r>
      <w:r w:rsidR="001B1743" w:rsidRPr="003D087C">
        <w:rPr>
          <w:rFonts w:ascii="Times New Roman" w:hAnsi="Times New Roman" w:cs="Times New Roman"/>
          <w:sz w:val="24"/>
          <w:szCs w:val="24"/>
        </w:rPr>
        <w:t>.</w:t>
      </w:r>
      <w:r w:rsidR="00A24745">
        <w:rPr>
          <w:rFonts w:ascii="Times New Roman" w:hAnsi="Times New Roman" w:cs="Times New Roman"/>
          <w:sz w:val="24"/>
          <w:szCs w:val="24"/>
        </w:rPr>
        <w:t xml:space="preserve"> However, </w:t>
      </w:r>
      <w:r w:rsidR="000773E3">
        <w:rPr>
          <w:rFonts w:ascii="Times New Roman" w:hAnsi="Times New Roman" w:cs="Times New Roman"/>
          <w:sz w:val="24"/>
          <w:szCs w:val="24"/>
        </w:rPr>
        <w:t xml:space="preserve">confocal corneal microscopy in </w:t>
      </w:r>
      <w:r w:rsidR="00FB6478">
        <w:rPr>
          <w:rFonts w:ascii="Times New Roman" w:hAnsi="Times New Roman" w:cs="Times New Roman"/>
          <w:sz w:val="24"/>
          <w:szCs w:val="24"/>
        </w:rPr>
        <w:t>a</w:t>
      </w:r>
      <w:r w:rsidR="009D6888" w:rsidRPr="009D6888">
        <w:t xml:space="preserve"> </w:t>
      </w:r>
      <w:r w:rsidR="009D6888" w:rsidRPr="009D6888">
        <w:rPr>
          <w:rFonts w:ascii="Times New Roman" w:hAnsi="Times New Roman" w:cs="Times New Roman"/>
          <w:sz w:val="24"/>
          <w:szCs w:val="24"/>
        </w:rPr>
        <w:t xml:space="preserve">hereditary tyrosinaemia type </w:t>
      </w:r>
      <w:r w:rsidR="009D6888">
        <w:rPr>
          <w:rFonts w:ascii="Times New Roman" w:hAnsi="Times New Roman" w:cs="Times New Roman"/>
          <w:sz w:val="24"/>
          <w:szCs w:val="24"/>
        </w:rPr>
        <w:t>2 (</w:t>
      </w:r>
      <w:r w:rsidR="000773E3">
        <w:rPr>
          <w:rFonts w:ascii="Times New Roman" w:hAnsi="Times New Roman" w:cs="Times New Roman"/>
          <w:sz w:val="24"/>
          <w:szCs w:val="24"/>
        </w:rPr>
        <w:t>HT</w:t>
      </w:r>
      <w:r w:rsidR="009D6888">
        <w:rPr>
          <w:rFonts w:ascii="Times New Roman" w:hAnsi="Times New Roman" w:cs="Times New Roman"/>
          <w:sz w:val="24"/>
          <w:szCs w:val="24"/>
        </w:rPr>
        <w:t>-</w:t>
      </w:r>
      <w:r w:rsidR="000773E3">
        <w:rPr>
          <w:rFonts w:ascii="Times New Roman" w:hAnsi="Times New Roman" w:cs="Times New Roman"/>
          <w:sz w:val="24"/>
          <w:szCs w:val="24"/>
        </w:rPr>
        <w:t>2</w:t>
      </w:r>
      <w:r w:rsidR="009D6888">
        <w:rPr>
          <w:rFonts w:ascii="Times New Roman" w:hAnsi="Times New Roman" w:cs="Times New Roman"/>
          <w:sz w:val="24"/>
          <w:szCs w:val="24"/>
        </w:rPr>
        <w:t>)</w:t>
      </w:r>
      <w:r w:rsidR="00FB6478">
        <w:rPr>
          <w:rFonts w:ascii="Times New Roman" w:hAnsi="Times New Roman" w:cs="Times New Roman"/>
          <w:sz w:val="24"/>
          <w:szCs w:val="24"/>
        </w:rPr>
        <w:t xml:space="preserve"> </w:t>
      </w:r>
      <w:proofErr w:type="gramStart"/>
      <w:r w:rsidR="00FB6478">
        <w:rPr>
          <w:rFonts w:ascii="Times New Roman" w:hAnsi="Times New Roman" w:cs="Times New Roman"/>
          <w:sz w:val="24"/>
          <w:szCs w:val="24"/>
        </w:rPr>
        <w:t>case</w:t>
      </w:r>
      <w:proofErr w:type="gramEnd"/>
      <w:r w:rsidR="000773E3">
        <w:rPr>
          <w:rFonts w:ascii="Times New Roman" w:hAnsi="Times New Roman" w:cs="Times New Roman"/>
          <w:sz w:val="24"/>
          <w:szCs w:val="24"/>
        </w:rPr>
        <w:t xml:space="preserve"> has demonstrated the presence of </w:t>
      </w:r>
      <w:r w:rsidR="00FB6478">
        <w:rPr>
          <w:rFonts w:ascii="Times New Roman" w:hAnsi="Times New Roman" w:cs="Times New Roman"/>
          <w:sz w:val="24"/>
          <w:szCs w:val="24"/>
        </w:rPr>
        <w:t>tyrosine</w:t>
      </w:r>
      <w:r w:rsidR="000773E3">
        <w:rPr>
          <w:rFonts w:ascii="Times New Roman" w:hAnsi="Times New Roman" w:cs="Times New Roman"/>
          <w:sz w:val="24"/>
          <w:szCs w:val="24"/>
        </w:rPr>
        <w:t xml:space="preserve"> crystal in the corneal </w:t>
      </w:r>
      <w:r w:rsidR="00FB6478">
        <w:rPr>
          <w:rFonts w:ascii="Times New Roman" w:hAnsi="Times New Roman" w:cs="Times New Roman"/>
          <w:sz w:val="24"/>
          <w:szCs w:val="24"/>
        </w:rPr>
        <w:t>epithelium</w:t>
      </w:r>
      <w:r w:rsidR="000773E3">
        <w:rPr>
          <w:rFonts w:ascii="Times New Roman" w:hAnsi="Times New Roman" w:cs="Times New Roman"/>
          <w:sz w:val="24"/>
          <w:szCs w:val="24"/>
        </w:rPr>
        <w:t xml:space="preserve"> even after the resolution of eye </w:t>
      </w:r>
      <w:r w:rsidR="00FB6478">
        <w:rPr>
          <w:rFonts w:ascii="Times New Roman" w:hAnsi="Times New Roman" w:cs="Times New Roman"/>
          <w:sz w:val="24"/>
          <w:szCs w:val="24"/>
        </w:rPr>
        <w:t>symptoms (</w:t>
      </w:r>
      <w:proofErr w:type="spellStart"/>
      <w:r w:rsidR="00FB6478" w:rsidRPr="00FB6478">
        <w:rPr>
          <w:rFonts w:ascii="Times New Roman" w:hAnsi="Times New Roman" w:cs="Times New Roman"/>
          <w:sz w:val="24"/>
          <w:szCs w:val="24"/>
        </w:rPr>
        <w:t>Kocabeyoglu</w:t>
      </w:r>
      <w:proofErr w:type="spellEnd"/>
      <w:r w:rsidR="00FB6478" w:rsidRPr="00FB6478">
        <w:rPr>
          <w:rFonts w:ascii="Times New Roman" w:hAnsi="Times New Roman" w:cs="Times New Roman"/>
          <w:sz w:val="24"/>
          <w:szCs w:val="24"/>
        </w:rPr>
        <w:t xml:space="preserve"> et al 2014</w:t>
      </w:r>
      <w:r w:rsidR="00FB6478">
        <w:rPr>
          <w:rFonts w:ascii="Times New Roman" w:hAnsi="Times New Roman" w:cs="Times New Roman"/>
          <w:sz w:val="24"/>
          <w:szCs w:val="24"/>
        </w:rPr>
        <w:t>)</w:t>
      </w:r>
      <w:r w:rsidR="000773E3">
        <w:rPr>
          <w:rFonts w:ascii="Times New Roman" w:hAnsi="Times New Roman" w:cs="Times New Roman"/>
          <w:sz w:val="24"/>
          <w:szCs w:val="24"/>
        </w:rPr>
        <w:t>. Similarly</w:t>
      </w:r>
      <w:r w:rsidR="00FB6478">
        <w:rPr>
          <w:rFonts w:ascii="Times New Roman" w:hAnsi="Times New Roman" w:cs="Times New Roman"/>
          <w:sz w:val="24"/>
          <w:szCs w:val="24"/>
        </w:rPr>
        <w:t>,</w:t>
      </w:r>
      <w:r w:rsidR="000773E3">
        <w:rPr>
          <w:rFonts w:ascii="Times New Roman" w:hAnsi="Times New Roman" w:cs="Times New Roman"/>
          <w:sz w:val="24"/>
          <w:szCs w:val="24"/>
        </w:rPr>
        <w:t xml:space="preserve"> </w:t>
      </w:r>
      <w:r w:rsidR="00FB6478" w:rsidRPr="00FB6478">
        <w:rPr>
          <w:rFonts w:ascii="Times New Roman" w:hAnsi="Times New Roman" w:cs="Times New Roman"/>
          <w:sz w:val="24"/>
          <w:szCs w:val="24"/>
        </w:rPr>
        <w:t>Schauwvlieghe et al</w:t>
      </w:r>
      <w:r w:rsidR="009D6888">
        <w:rPr>
          <w:rFonts w:ascii="Times New Roman" w:hAnsi="Times New Roman" w:cs="Times New Roman"/>
          <w:sz w:val="24"/>
          <w:szCs w:val="24"/>
        </w:rPr>
        <w:t xml:space="preserve"> </w:t>
      </w:r>
      <w:r w:rsidR="00FB6478">
        <w:rPr>
          <w:rFonts w:ascii="Times New Roman" w:hAnsi="Times New Roman" w:cs="Times New Roman"/>
          <w:sz w:val="24"/>
          <w:szCs w:val="24"/>
        </w:rPr>
        <w:t>(</w:t>
      </w:r>
      <w:r w:rsidR="00FB6478" w:rsidRPr="00FB6478">
        <w:rPr>
          <w:rFonts w:ascii="Times New Roman" w:hAnsi="Times New Roman" w:cs="Times New Roman"/>
          <w:sz w:val="24"/>
          <w:szCs w:val="24"/>
        </w:rPr>
        <w:t>2013</w:t>
      </w:r>
      <w:r w:rsidR="00FB6478">
        <w:rPr>
          <w:rFonts w:ascii="Times New Roman" w:hAnsi="Times New Roman" w:cs="Times New Roman"/>
          <w:sz w:val="24"/>
          <w:szCs w:val="24"/>
        </w:rPr>
        <w:t>)</w:t>
      </w:r>
      <w:r w:rsidR="00A24745">
        <w:rPr>
          <w:rFonts w:ascii="Times New Roman" w:hAnsi="Times New Roman" w:cs="Times New Roman"/>
          <w:sz w:val="24"/>
          <w:szCs w:val="24"/>
        </w:rPr>
        <w:t xml:space="preserve"> described asymptomatic tyrosine corneal </w:t>
      </w:r>
      <w:r w:rsidR="000773E3">
        <w:rPr>
          <w:rFonts w:ascii="Times New Roman" w:hAnsi="Times New Roman" w:cs="Times New Roman"/>
          <w:sz w:val="24"/>
          <w:szCs w:val="24"/>
        </w:rPr>
        <w:t>deposits</w:t>
      </w:r>
      <w:r w:rsidR="00A24745">
        <w:rPr>
          <w:rFonts w:ascii="Times New Roman" w:hAnsi="Times New Roman" w:cs="Times New Roman"/>
          <w:sz w:val="24"/>
          <w:szCs w:val="24"/>
        </w:rPr>
        <w:t xml:space="preserve"> in</w:t>
      </w:r>
      <w:r w:rsidR="00FB6478">
        <w:rPr>
          <w:rFonts w:ascii="Times New Roman" w:hAnsi="Times New Roman" w:cs="Times New Roman"/>
          <w:sz w:val="24"/>
          <w:szCs w:val="24"/>
        </w:rPr>
        <w:t xml:space="preserve"> a</w:t>
      </w:r>
      <w:r w:rsidR="00A24745">
        <w:rPr>
          <w:rFonts w:ascii="Times New Roman" w:hAnsi="Times New Roman" w:cs="Times New Roman"/>
          <w:sz w:val="24"/>
          <w:szCs w:val="24"/>
        </w:rPr>
        <w:t xml:space="preserve"> nitisinone treated HT</w:t>
      </w:r>
      <w:r w:rsidR="00CB649B">
        <w:rPr>
          <w:rFonts w:ascii="Times New Roman" w:hAnsi="Times New Roman" w:cs="Times New Roman"/>
          <w:sz w:val="24"/>
          <w:szCs w:val="24"/>
        </w:rPr>
        <w:t>-</w:t>
      </w:r>
      <w:bookmarkStart w:id="0" w:name="_GoBack"/>
      <w:bookmarkEnd w:id="0"/>
      <w:r w:rsidR="00A24745">
        <w:rPr>
          <w:rFonts w:ascii="Times New Roman" w:hAnsi="Times New Roman" w:cs="Times New Roman"/>
          <w:sz w:val="24"/>
          <w:szCs w:val="24"/>
        </w:rPr>
        <w:t>1 patient</w:t>
      </w:r>
      <w:r w:rsidR="00FB6478">
        <w:rPr>
          <w:rFonts w:ascii="Times New Roman" w:hAnsi="Times New Roman" w:cs="Times New Roman"/>
          <w:sz w:val="24"/>
          <w:szCs w:val="24"/>
        </w:rPr>
        <w:t xml:space="preserve">. In both cases the stroma was spared. </w:t>
      </w:r>
      <w:r w:rsidR="001D1EE2" w:rsidRPr="001D1EE2">
        <w:rPr>
          <w:rFonts w:ascii="Times New Roman" w:hAnsi="Times New Roman" w:cs="Times New Roman"/>
          <w:sz w:val="24"/>
          <w:szCs w:val="24"/>
        </w:rPr>
        <w:t>However, there was no mechanism offered in either report to explain the lack of pain.</w:t>
      </w:r>
    </w:p>
    <w:p w:rsidR="0041787F" w:rsidRPr="003D087C" w:rsidRDefault="0088453A"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Experiments in rats support </w:t>
      </w:r>
      <w:r w:rsidR="0041787F" w:rsidRPr="003D087C">
        <w:rPr>
          <w:rFonts w:ascii="Times New Roman" w:hAnsi="Times New Roman" w:cs="Times New Roman"/>
          <w:sz w:val="24"/>
          <w:szCs w:val="24"/>
        </w:rPr>
        <w:t xml:space="preserve">our speculation </w:t>
      </w:r>
      <w:r w:rsidRPr="003D087C">
        <w:rPr>
          <w:rFonts w:ascii="Times New Roman" w:hAnsi="Times New Roman" w:cs="Times New Roman"/>
          <w:sz w:val="24"/>
          <w:szCs w:val="24"/>
        </w:rPr>
        <w:t>to some extent. I</w:t>
      </w:r>
      <w:r w:rsidR="0041787F" w:rsidRPr="003D087C">
        <w:rPr>
          <w:rFonts w:ascii="Times New Roman" w:hAnsi="Times New Roman" w:cs="Times New Roman"/>
          <w:sz w:val="24"/>
          <w:szCs w:val="24"/>
        </w:rPr>
        <w:t xml:space="preserve">t is important to remember that </w:t>
      </w:r>
      <w:r w:rsidR="002B609A" w:rsidRPr="003D087C">
        <w:rPr>
          <w:rFonts w:ascii="Times New Roman" w:hAnsi="Times New Roman" w:cs="Times New Roman"/>
          <w:sz w:val="24"/>
          <w:szCs w:val="24"/>
        </w:rPr>
        <w:t>the tyrosine concentration in the aqueous humor of the anterior chamber of the eye is much higher than in circulating plasma</w:t>
      </w:r>
      <w:r w:rsidRPr="003D087C">
        <w:rPr>
          <w:rFonts w:ascii="Times New Roman" w:hAnsi="Times New Roman" w:cs="Times New Roman"/>
          <w:sz w:val="24"/>
          <w:szCs w:val="24"/>
        </w:rPr>
        <w:t xml:space="preserve"> </w:t>
      </w:r>
      <w:r w:rsidR="00766FD8" w:rsidRPr="003D087C">
        <w:rPr>
          <w:rFonts w:ascii="Times New Roman" w:hAnsi="Times New Roman" w:cs="Times New Roman"/>
          <w:noProof/>
          <w:sz w:val="24"/>
          <w:szCs w:val="24"/>
        </w:rPr>
        <w:t>(Lock et al 1996)</w:t>
      </w:r>
      <w:r w:rsidR="002B609A" w:rsidRPr="003D087C">
        <w:rPr>
          <w:rFonts w:ascii="Times New Roman" w:hAnsi="Times New Roman" w:cs="Times New Roman"/>
          <w:sz w:val="24"/>
          <w:szCs w:val="24"/>
        </w:rPr>
        <w:t xml:space="preserve">. </w:t>
      </w:r>
      <w:r w:rsidR="00D619C6" w:rsidRPr="001D1EE2">
        <w:rPr>
          <w:rFonts w:ascii="Times New Roman" w:hAnsi="Times New Roman" w:cs="Times New Roman"/>
          <w:sz w:val="24"/>
          <w:szCs w:val="24"/>
        </w:rPr>
        <w:t>Aqueous humor diffuses</w:t>
      </w:r>
      <w:r w:rsidRPr="001D1EE2">
        <w:rPr>
          <w:rFonts w:ascii="Times New Roman" w:hAnsi="Times New Roman" w:cs="Times New Roman"/>
          <w:sz w:val="24"/>
          <w:szCs w:val="24"/>
        </w:rPr>
        <w:t xml:space="preserve"> into the </w:t>
      </w:r>
      <w:r w:rsidR="00D619C6" w:rsidRPr="001D1EE2">
        <w:rPr>
          <w:rFonts w:ascii="Times New Roman" w:hAnsi="Times New Roman" w:cs="Times New Roman"/>
          <w:sz w:val="24"/>
          <w:szCs w:val="24"/>
        </w:rPr>
        <w:t>avascular cornea providing</w:t>
      </w:r>
      <w:r w:rsidRPr="001D1EE2">
        <w:rPr>
          <w:rFonts w:ascii="Times New Roman" w:hAnsi="Times New Roman" w:cs="Times New Roman"/>
          <w:sz w:val="24"/>
          <w:szCs w:val="24"/>
        </w:rPr>
        <w:t xml:space="preserve"> crucial nour</w:t>
      </w:r>
      <w:r w:rsidR="00D619C6" w:rsidRPr="001D1EE2">
        <w:rPr>
          <w:rFonts w:ascii="Times New Roman" w:hAnsi="Times New Roman" w:cs="Times New Roman"/>
          <w:sz w:val="24"/>
          <w:szCs w:val="24"/>
        </w:rPr>
        <w:t>ishment</w:t>
      </w:r>
      <w:r w:rsidR="006E6625" w:rsidRPr="001D1EE2">
        <w:rPr>
          <w:rFonts w:ascii="Times New Roman" w:hAnsi="Times New Roman" w:cs="Times New Roman"/>
          <w:sz w:val="24"/>
          <w:szCs w:val="24"/>
        </w:rPr>
        <w:t xml:space="preserve"> to the endothelium and stroma</w:t>
      </w:r>
      <w:r w:rsidRPr="001D1EE2">
        <w:rPr>
          <w:rFonts w:ascii="Times New Roman" w:hAnsi="Times New Roman" w:cs="Times New Roman"/>
          <w:sz w:val="24"/>
          <w:szCs w:val="24"/>
        </w:rPr>
        <w:t xml:space="preserve">. </w:t>
      </w:r>
      <w:r w:rsidR="002B609A" w:rsidRPr="001D1EE2">
        <w:rPr>
          <w:rFonts w:ascii="Times New Roman" w:hAnsi="Times New Roman" w:cs="Times New Roman"/>
          <w:sz w:val="24"/>
          <w:szCs w:val="24"/>
        </w:rPr>
        <w:t>Moreover</w:t>
      </w:r>
      <w:r w:rsidR="001C1D36" w:rsidRPr="001D1EE2">
        <w:rPr>
          <w:rFonts w:ascii="Times New Roman" w:hAnsi="Times New Roman" w:cs="Times New Roman"/>
          <w:sz w:val="24"/>
          <w:szCs w:val="24"/>
        </w:rPr>
        <w:t>,</w:t>
      </w:r>
      <w:r w:rsidR="002B609A" w:rsidRPr="001D1EE2">
        <w:rPr>
          <w:rFonts w:ascii="Times New Roman" w:hAnsi="Times New Roman" w:cs="Times New Roman"/>
          <w:sz w:val="24"/>
          <w:szCs w:val="24"/>
        </w:rPr>
        <w:t xml:space="preserve"> </w:t>
      </w:r>
      <w:r w:rsidR="00D619C6" w:rsidRPr="001D1EE2">
        <w:rPr>
          <w:rFonts w:ascii="Times New Roman" w:hAnsi="Times New Roman" w:cs="Times New Roman"/>
          <w:sz w:val="24"/>
          <w:szCs w:val="24"/>
        </w:rPr>
        <w:t xml:space="preserve">due to the unique needs of the eye, concentration of tyrosine is much higher than in plasma. </w:t>
      </w:r>
      <w:r w:rsidR="00202925" w:rsidRPr="001D1EE2">
        <w:rPr>
          <w:rFonts w:ascii="Times New Roman" w:hAnsi="Times New Roman" w:cs="Times New Roman"/>
          <w:sz w:val="24"/>
          <w:szCs w:val="24"/>
        </w:rPr>
        <w:t>The endothelium on the posterior surface of the cornea is leaky compared to the tight epithelium of the anterior corneal surface, allowing the aqueous humor containing the tyrosine to permeate through the cornea</w:t>
      </w:r>
      <w:r w:rsidR="006E6625" w:rsidRPr="001D1EE2">
        <w:rPr>
          <w:rFonts w:ascii="Times New Roman" w:hAnsi="Times New Roman" w:cs="Times New Roman"/>
          <w:sz w:val="24"/>
          <w:szCs w:val="24"/>
        </w:rPr>
        <w:t xml:space="preserve"> stroma</w:t>
      </w:r>
      <w:r w:rsidR="00202925" w:rsidRPr="001D1EE2">
        <w:rPr>
          <w:rFonts w:ascii="Times New Roman" w:hAnsi="Times New Roman" w:cs="Times New Roman"/>
          <w:sz w:val="24"/>
          <w:szCs w:val="24"/>
        </w:rPr>
        <w:t xml:space="preserve">. Tyrosine is normally soluble in aqueous humor and precipitates out of solution when </w:t>
      </w:r>
      <w:r w:rsidR="009E4E47" w:rsidRPr="001D1EE2">
        <w:rPr>
          <w:rFonts w:ascii="Times New Roman" w:hAnsi="Times New Roman" w:cs="Times New Roman"/>
          <w:sz w:val="24"/>
          <w:szCs w:val="24"/>
        </w:rPr>
        <w:t xml:space="preserve">its </w:t>
      </w:r>
      <w:r w:rsidR="00202925" w:rsidRPr="001D1EE2">
        <w:rPr>
          <w:rFonts w:ascii="Times New Roman" w:hAnsi="Times New Roman" w:cs="Times New Roman"/>
          <w:sz w:val="24"/>
          <w:szCs w:val="24"/>
        </w:rPr>
        <w:t xml:space="preserve">concentrations </w:t>
      </w:r>
      <w:r w:rsidR="009E4E47" w:rsidRPr="001D1EE2">
        <w:rPr>
          <w:rFonts w:ascii="Times New Roman" w:hAnsi="Times New Roman" w:cs="Times New Roman"/>
          <w:sz w:val="24"/>
          <w:szCs w:val="24"/>
        </w:rPr>
        <w:t xml:space="preserve">exceed </w:t>
      </w:r>
      <w:r w:rsidR="00436BE4" w:rsidRPr="001D1EE2">
        <w:rPr>
          <w:rFonts w:ascii="Times New Roman" w:hAnsi="Times New Roman" w:cs="Times New Roman"/>
          <w:sz w:val="24"/>
          <w:szCs w:val="24"/>
        </w:rPr>
        <w:t>its</w:t>
      </w:r>
      <w:r w:rsidR="009E4E47" w:rsidRPr="001D1EE2">
        <w:rPr>
          <w:rFonts w:ascii="Times New Roman" w:hAnsi="Times New Roman" w:cs="Times New Roman"/>
          <w:sz w:val="24"/>
          <w:szCs w:val="24"/>
        </w:rPr>
        <w:t xml:space="preserve"> solubility in water</w:t>
      </w:r>
      <w:r w:rsidR="00832E50" w:rsidRPr="001D1EE2">
        <w:rPr>
          <w:rFonts w:ascii="Times New Roman" w:hAnsi="Times New Roman" w:cs="Times New Roman"/>
          <w:sz w:val="24"/>
          <w:szCs w:val="24"/>
        </w:rPr>
        <w:t xml:space="preserve"> </w:t>
      </w:r>
      <w:r w:rsidR="006100CF" w:rsidRPr="001D1EE2">
        <w:rPr>
          <w:rFonts w:ascii="Times New Roman" w:hAnsi="Times New Roman" w:cs="Times New Roman"/>
          <w:sz w:val="24"/>
          <w:szCs w:val="24"/>
        </w:rPr>
        <w:fldChar w:fldCharType="begin"/>
      </w:r>
      <w:r w:rsidR="00832E50" w:rsidRPr="001D1EE2">
        <w:rPr>
          <w:rFonts w:ascii="Times New Roman" w:hAnsi="Times New Roman" w:cs="Times New Roman"/>
          <w:sz w:val="24"/>
          <w:szCs w:val="24"/>
        </w:rPr>
        <w:instrText xml:space="preserve"> ADDIN ZOTERO_ITEM CSL_CITATION {"citationID":"bN7curGR","properties":{"formattedCitation":"(Dunn et al., 1933; Lock et al., 1996)","plainCitation":"(Dunn et al., 1933; Lock et al., 1996)"},"citationItems":[{"id":14,"uris":["http://zotero.org/users/local/1tY47COA/items/NF9XB27M"],"uri":["http://zotero.org/users/local/1tY47COA/items/NF9XB27M"],"itemData":{"id":14,"type":"article-journal","title":"The Solubility of the Amino Acids in Water","container-title":"Journal of Biological Chemistry","page":"579-595","volume":"103","issue":"2","source":"www.jbc.org","ISSN":"0021-9258, 1083-351X","journalAbbreviation":"J. Biol. Chem.","language":"en","author":[{"family":"Dunn","given":"Max S."},{"family":"Ross","given":"Frank J."},{"family":"Read","given":"Lee S."}],"issued":{"date-parts":[["1933",12,1]]}}},{"id":19,"uris":["http://zotero.org/users/local/1tY47COA/items/9M8AKDT6"],"uri":["http://zotero.org/users/local/1tY47COA/items/9M8AKDT6"],"itemData":{"id":19,"type":"article-journal","title":"Tissue distribution of 2-(2-nitro-4-trifluoromethylbenzoyl)cyclohexane-1-3-dione (NTBC): effect on enzymes involved in tyrosine catabolism and relevance to ocular toxicity in the rat","container-title":"Toxicology and Applied Pharmacology","page":"439-447","volume":"141","issue":"2","source":"PubMed","abstract":"Administration of a single oral dose of 2-(2-nitro-4-trifluoromethylbenzoyl)cyclohexane-1,3-dione (NTBC) to rats produced a marked tyrosinemia in the plasma and aqueous humor. The tyrosinemia was both time- and dose-dependent with the duration being more marked at the higher doses. The dose-response curve was very steep with a single dose of 1.5 micromol NTBC/kg (0.5 mg/kg) and above producing maximal concentrations of tyrosine in plasma of about 2500 nmol/ml and in aqueous humor of about 3500-4000 nmol/ml at 24 hr after dosing. Analysis of the key hepatic enzymes involved in tyrosine catabolism showed that 4-hydroxyphenylpyruvate dioxygenase (HPPD) was markedly inhibited soon after dosing at either 0.3 or 30 micromol/kg (0.1 or 10 mg/kg) NTBC and that the activity recovered very slowly. In response to the tyrosinemia, the activity of tyrosine aminotransferase (TAT) in the liver was induced about twofold, while the activity of homogentisic acid oxidase (HGO) was not affected. Daily oral administration of NTBC for 6 weeks induced lesions to the cornea of the eye, with a dose of 0.3 micromol/kg/day producing about a 38% incidence and a higher dose of 30 micromol/kg/day a 75% incidence. Administration of a single oral dose of [14C]NTBC at either 0.3 or 30 micromol/kg led to selective retention of radiolabel in the liver and to a lesser extent in the kidneys and the Harderian gland. Concentrations of radioactivity in the liver and kidneys remained constant over 4 days and after the lower NTBC dose were about 2 nmol/g wet wt and 0.9 nmol/g wet wt, respectively. Subcellular fractionation of the liver showed that the majority of the radiolabel, &gt;90%, was associated reversibly with the cytosol fraction. No retention of radiolabel was detected in the cornea, the site of toxicity. Our studies indicate that NTBC binds to protein in rat liver cytosol, inhibits the hepatic cytosolic enzyme HPPD, and causes a marked and sustained tyrosinemia. We suggest that this marked and sustained ocular tyrosinemia produced by NTBC in the rat is responsible for the corneal lesions since similar corneal lesions are produced by feeding rats a high tyrosine diet.","DOI":"10.1006/taap.1996.0310","ISSN":"0041-008X","note":"PMID: 8975769","shortTitle":"Tissue distribution of 2-(2-nitro-4-trifluoromethylbenzoyl)cyclohexane-1-3-dione (NTBC)","journalAbbreviation":"Toxicol. Appl. Pharmacol.","language":"eng","author":[{"family":"Lock","given":"E. A."},{"family":"Gaskin","given":"P."},{"family":"Ellis","given":"M. K."},{"family":"Provan","given":"W. M."},{"family":"Robinson","given":"M."},{"family":"Smith","given":"L. L."},{"family":"Prisbylla","given":"M. P."},{"family":"Mutter","given":"L. C."}],"issued":{"date-parts":[["1996",12]]}}}],"schema":"https://github.com/citation-style-language/schema/raw/master/csl-citation.json"} </w:instrText>
      </w:r>
      <w:r w:rsidR="006100CF" w:rsidRPr="001D1EE2">
        <w:rPr>
          <w:rFonts w:ascii="Times New Roman" w:hAnsi="Times New Roman" w:cs="Times New Roman"/>
          <w:sz w:val="24"/>
          <w:szCs w:val="24"/>
        </w:rPr>
        <w:fldChar w:fldCharType="separate"/>
      </w:r>
      <w:r w:rsidR="007D2362" w:rsidRPr="001D1EE2">
        <w:rPr>
          <w:rFonts w:ascii="Times New Roman" w:hAnsi="Times New Roman" w:cs="Times New Roman"/>
          <w:sz w:val="24"/>
          <w:szCs w:val="24"/>
        </w:rPr>
        <w:t>(</w:t>
      </w:r>
      <w:r w:rsidR="00832E50" w:rsidRPr="001D1EE2">
        <w:rPr>
          <w:rFonts w:ascii="Times New Roman" w:hAnsi="Times New Roman" w:cs="Times New Roman"/>
          <w:sz w:val="24"/>
          <w:szCs w:val="24"/>
        </w:rPr>
        <w:t xml:space="preserve">Lock et al </w:t>
      </w:r>
      <w:r w:rsidR="00A75333" w:rsidRPr="001D1EE2">
        <w:rPr>
          <w:rFonts w:ascii="Times New Roman" w:hAnsi="Times New Roman" w:cs="Times New Roman"/>
          <w:sz w:val="24"/>
          <w:szCs w:val="24"/>
        </w:rPr>
        <w:t>200</w:t>
      </w:r>
      <w:r w:rsidR="00832E50" w:rsidRPr="001D1EE2">
        <w:rPr>
          <w:rFonts w:ascii="Times New Roman" w:hAnsi="Times New Roman" w:cs="Times New Roman"/>
          <w:sz w:val="24"/>
          <w:szCs w:val="24"/>
        </w:rPr>
        <w:t>6)</w:t>
      </w:r>
      <w:r w:rsidR="006100CF" w:rsidRPr="001D1EE2">
        <w:rPr>
          <w:rFonts w:ascii="Times New Roman" w:hAnsi="Times New Roman" w:cs="Times New Roman"/>
          <w:sz w:val="24"/>
          <w:szCs w:val="24"/>
        </w:rPr>
        <w:fldChar w:fldCharType="end"/>
      </w:r>
      <w:r w:rsidR="00832E50" w:rsidRPr="001D1EE2">
        <w:rPr>
          <w:rFonts w:ascii="Times New Roman" w:hAnsi="Times New Roman" w:cs="Times New Roman"/>
          <w:sz w:val="24"/>
          <w:szCs w:val="24"/>
        </w:rPr>
        <w:t xml:space="preserve">. </w:t>
      </w:r>
      <w:r w:rsidR="00202925" w:rsidRPr="001D1EE2">
        <w:rPr>
          <w:rFonts w:ascii="Times New Roman" w:hAnsi="Times New Roman" w:cs="Times New Roman"/>
          <w:sz w:val="24"/>
          <w:szCs w:val="24"/>
        </w:rPr>
        <w:t>Precipitation of tyrosine in the cornea leads to tyrosine keratopathy</w:t>
      </w:r>
      <w:r w:rsidR="002B609A" w:rsidRPr="001D1EE2">
        <w:rPr>
          <w:rFonts w:ascii="Times New Roman" w:hAnsi="Times New Roman" w:cs="Times New Roman"/>
          <w:sz w:val="24"/>
          <w:szCs w:val="24"/>
        </w:rPr>
        <w:t xml:space="preserve">. It is </w:t>
      </w:r>
      <w:r w:rsidR="009E4E47" w:rsidRPr="001D1EE2">
        <w:rPr>
          <w:rFonts w:ascii="Times New Roman" w:hAnsi="Times New Roman" w:cs="Times New Roman"/>
          <w:sz w:val="24"/>
          <w:szCs w:val="24"/>
        </w:rPr>
        <w:t>likely</w:t>
      </w:r>
      <w:r w:rsidR="002B609A" w:rsidRPr="001D1EE2">
        <w:rPr>
          <w:rFonts w:ascii="Times New Roman" w:hAnsi="Times New Roman" w:cs="Times New Roman"/>
          <w:sz w:val="24"/>
          <w:szCs w:val="24"/>
        </w:rPr>
        <w:t xml:space="preserve"> that the posterior stromal parts of the cornea are exposed to higher tyrosine first </w:t>
      </w:r>
      <w:r w:rsidR="00202925" w:rsidRPr="001D1EE2">
        <w:rPr>
          <w:rFonts w:ascii="Times New Roman" w:hAnsi="Times New Roman" w:cs="Times New Roman"/>
          <w:sz w:val="24"/>
          <w:szCs w:val="24"/>
        </w:rPr>
        <w:t xml:space="preserve">and/or affected to a greater extent with a relative </w:t>
      </w:r>
      <w:r w:rsidR="002B609A" w:rsidRPr="001D1EE2">
        <w:rPr>
          <w:rFonts w:ascii="Times New Roman" w:hAnsi="Times New Roman" w:cs="Times New Roman"/>
          <w:sz w:val="24"/>
          <w:szCs w:val="24"/>
        </w:rPr>
        <w:t xml:space="preserve">sparing the corneal epithelium. </w:t>
      </w:r>
      <w:r w:rsidR="009E4E47" w:rsidRPr="001D1EE2">
        <w:rPr>
          <w:rFonts w:ascii="Times New Roman" w:hAnsi="Times New Roman" w:cs="Times New Roman"/>
          <w:sz w:val="24"/>
          <w:szCs w:val="24"/>
        </w:rPr>
        <w:t xml:space="preserve">This might explain </w:t>
      </w:r>
      <w:r w:rsidR="009E4E47" w:rsidRPr="001D1EE2">
        <w:rPr>
          <w:rFonts w:ascii="Times New Roman" w:hAnsi="Times New Roman" w:cs="Times New Roman"/>
          <w:sz w:val="24"/>
          <w:szCs w:val="24"/>
        </w:rPr>
        <w:lastRenderedPageBreak/>
        <w:t>why</w:t>
      </w:r>
      <w:r w:rsidR="002B609A" w:rsidRPr="001D1EE2">
        <w:rPr>
          <w:rFonts w:ascii="Times New Roman" w:hAnsi="Times New Roman" w:cs="Times New Roman"/>
          <w:sz w:val="24"/>
          <w:szCs w:val="24"/>
        </w:rPr>
        <w:t xml:space="preserve"> the richly innervated corneal epithelium is minimally involved</w:t>
      </w:r>
      <w:r w:rsidR="009E4E47" w:rsidRPr="001D1EE2">
        <w:rPr>
          <w:rFonts w:ascii="Times New Roman" w:hAnsi="Times New Roman" w:cs="Times New Roman"/>
          <w:sz w:val="24"/>
          <w:szCs w:val="24"/>
        </w:rPr>
        <w:t>, if any</w:t>
      </w:r>
      <w:r w:rsidR="002B609A" w:rsidRPr="001D1EE2">
        <w:rPr>
          <w:rFonts w:ascii="Times New Roman" w:hAnsi="Times New Roman" w:cs="Times New Roman"/>
          <w:sz w:val="24"/>
          <w:szCs w:val="24"/>
        </w:rPr>
        <w:t>,</w:t>
      </w:r>
      <w:r w:rsidR="009E4E47" w:rsidRPr="001D1EE2">
        <w:rPr>
          <w:rFonts w:ascii="Times New Roman" w:hAnsi="Times New Roman" w:cs="Times New Roman"/>
          <w:sz w:val="24"/>
          <w:szCs w:val="24"/>
        </w:rPr>
        <w:t xml:space="preserve"> and why</w:t>
      </w:r>
      <w:r w:rsidR="002B609A" w:rsidRPr="001D1EE2">
        <w:rPr>
          <w:rFonts w:ascii="Times New Roman" w:hAnsi="Times New Roman" w:cs="Times New Roman"/>
          <w:sz w:val="24"/>
          <w:szCs w:val="24"/>
        </w:rPr>
        <w:t xml:space="preserve"> symptoms may be lacking.</w:t>
      </w:r>
      <w:r w:rsidR="002B609A" w:rsidRPr="003D087C">
        <w:rPr>
          <w:rFonts w:ascii="Times New Roman" w:hAnsi="Times New Roman" w:cs="Times New Roman"/>
          <w:sz w:val="24"/>
          <w:szCs w:val="24"/>
        </w:rPr>
        <w:t xml:space="preserve"> </w:t>
      </w:r>
    </w:p>
    <w:p w:rsidR="00204D91" w:rsidRPr="003D087C" w:rsidRDefault="00852AA0" w:rsidP="003D087C">
      <w:pPr>
        <w:spacing w:line="480" w:lineRule="auto"/>
        <w:jc w:val="both"/>
        <w:rPr>
          <w:rFonts w:ascii="Times New Roman" w:hAnsi="Times New Roman" w:cs="Times New Roman"/>
          <w:sz w:val="24"/>
          <w:szCs w:val="24"/>
        </w:rPr>
      </w:pPr>
      <w:r w:rsidRPr="00852AA0">
        <w:rPr>
          <w:rFonts w:ascii="Times New Roman" w:hAnsi="Times New Roman" w:cs="Times New Roman"/>
          <w:sz w:val="24"/>
          <w:szCs w:val="24"/>
        </w:rPr>
        <w:t>Serum tyrosine monitoring is important in the context of nitisinone therapy although it may not be very helpful in identifying keratopathy per se</w:t>
      </w:r>
      <w:r>
        <w:rPr>
          <w:rFonts w:ascii="Times New Roman" w:hAnsi="Times New Roman" w:cs="Times New Roman"/>
          <w:sz w:val="24"/>
          <w:szCs w:val="24"/>
        </w:rPr>
        <w:t>.</w:t>
      </w:r>
      <w:r w:rsidRPr="00852AA0">
        <w:rPr>
          <w:rFonts w:ascii="Times New Roman" w:hAnsi="Times New Roman" w:cs="Times New Roman"/>
          <w:sz w:val="24"/>
          <w:szCs w:val="24"/>
        </w:rPr>
        <w:t xml:space="preserve"> </w:t>
      </w:r>
      <w:r w:rsidR="00D33FE8" w:rsidRPr="00D33FE8">
        <w:rPr>
          <w:rFonts w:ascii="Times New Roman" w:hAnsi="Times New Roman" w:cs="Times New Roman"/>
          <w:sz w:val="24"/>
          <w:szCs w:val="24"/>
        </w:rPr>
        <w:t xml:space="preserve">The apparent lack of correlation between </w:t>
      </w:r>
      <w:r w:rsidR="00D33FE8">
        <w:rPr>
          <w:rFonts w:ascii="Times New Roman" w:hAnsi="Times New Roman" w:cs="Times New Roman"/>
          <w:sz w:val="24"/>
          <w:szCs w:val="24"/>
        </w:rPr>
        <w:t>s</w:t>
      </w:r>
      <w:r w:rsidR="00D33FE8" w:rsidRPr="00D33FE8">
        <w:rPr>
          <w:rFonts w:ascii="Times New Roman" w:hAnsi="Times New Roman" w:cs="Times New Roman"/>
          <w:sz w:val="24"/>
          <w:szCs w:val="24"/>
        </w:rPr>
        <w:t xml:space="preserve">erum tyrosine concentrations and eye </w:t>
      </w:r>
      <w:r w:rsidR="00D33FE8">
        <w:rPr>
          <w:rFonts w:ascii="Times New Roman" w:hAnsi="Times New Roman" w:cs="Times New Roman"/>
          <w:sz w:val="24"/>
          <w:szCs w:val="24"/>
        </w:rPr>
        <w:t>symptoms have been noted before</w:t>
      </w:r>
      <w:r w:rsidR="00BB3727">
        <w:rPr>
          <w:rFonts w:ascii="Times New Roman" w:hAnsi="Times New Roman" w:cs="Times New Roman"/>
          <w:sz w:val="24"/>
          <w:szCs w:val="24"/>
        </w:rPr>
        <w:t xml:space="preserve"> </w:t>
      </w:r>
      <w:r w:rsidR="00BB3727">
        <w:rPr>
          <w:rFonts w:ascii="Times New Roman" w:hAnsi="Times New Roman" w:cs="Times New Roman"/>
          <w:noProof/>
          <w:sz w:val="24"/>
          <w:szCs w:val="24"/>
        </w:rPr>
        <w:t>(Holme and Lindstedt</w:t>
      </w:r>
      <w:r w:rsidR="00BB3727" w:rsidRPr="003D087C">
        <w:rPr>
          <w:rFonts w:ascii="Times New Roman" w:hAnsi="Times New Roman" w:cs="Times New Roman"/>
          <w:noProof/>
          <w:sz w:val="24"/>
          <w:szCs w:val="24"/>
        </w:rPr>
        <w:t xml:space="preserve"> 1998)</w:t>
      </w:r>
      <w:r w:rsidR="00D33FE8">
        <w:rPr>
          <w:rFonts w:ascii="Times New Roman" w:hAnsi="Times New Roman" w:cs="Times New Roman"/>
          <w:sz w:val="24"/>
          <w:szCs w:val="24"/>
        </w:rPr>
        <w:t xml:space="preserve">. </w:t>
      </w:r>
      <w:r w:rsidR="00204D91" w:rsidRPr="003D087C">
        <w:rPr>
          <w:rFonts w:ascii="Times New Roman" w:hAnsi="Times New Roman" w:cs="Times New Roman"/>
          <w:sz w:val="24"/>
          <w:szCs w:val="24"/>
        </w:rPr>
        <w:t>In a small cohort of nitisinone treated HT</w:t>
      </w:r>
      <w:r w:rsidR="00983F4A">
        <w:rPr>
          <w:rFonts w:ascii="Times New Roman" w:hAnsi="Times New Roman" w:cs="Times New Roman"/>
          <w:sz w:val="24"/>
          <w:szCs w:val="24"/>
        </w:rPr>
        <w:t>-</w:t>
      </w:r>
      <w:r w:rsidR="00204D91" w:rsidRPr="003D087C">
        <w:rPr>
          <w:rFonts w:ascii="Times New Roman" w:hAnsi="Times New Roman" w:cs="Times New Roman"/>
          <w:sz w:val="24"/>
          <w:szCs w:val="24"/>
        </w:rPr>
        <w:t xml:space="preserve">1 children, there were no ocular symptoms despite non-compliance with low tyrosine diet in </w:t>
      </w:r>
      <w:r w:rsidR="00F72031" w:rsidRPr="003D087C">
        <w:rPr>
          <w:rFonts w:ascii="Times New Roman" w:hAnsi="Times New Roman" w:cs="Times New Roman"/>
          <w:sz w:val="24"/>
          <w:szCs w:val="24"/>
        </w:rPr>
        <w:t xml:space="preserve">four </w:t>
      </w:r>
      <w:r w:rsidR="00204D91" w:rsidRPr="003D087C">
        <w:rPr>
          <w:rFonts w:ascii="Times New Roman" w:hAnsi="Times New Roman" w:cs="Times New Roman"/>
          <w:sz w:val="24"/>
          <w:szCs w:val="24"/>
        </w:rPr>
        <w:t xml:space="preserve">patients and serum tyrosine concentrations were as high as 1240 and 1410 µmol/L </w:t>
      </w:r>
      <w:r w:rsidR="00CA2931" w:rsidRPr="003D087C">
        <w:rPr>
          <w:rFonts w:ascii="Times New Roman" w:hAnsi="Times New Roman" w:cs="Times New Roman"/>
          <w:noProof/>
          <w:sz w:val="24"/>
          <w:szCs w:val="24"/>
        </w:rPr>
        <w:t>(Gissen et al 2003)</w:t>
      </w:r>
      <w:r w:rsidR="00204D91" w:rsidRPr="003D087C">
        <w:rPr>
          <w:rFonts w:ascii="Times New Roman" w:hAnsi="Times New Roman" w:cs="Times New Roman"/>
          <w:sz w:val="24"/>
          <w:szCs w:val="24"/>
        </w:rPr>
        <w:t>.</w:t>
      </w:r>
      <w:r w:rsidR="00BB3727">
        <w:rPr>
          <w:rFonts w:ascii="Times New Roman" w:hAnsi="Times New Roman" w:cs="Times New Roman"/>
          <w:sz w:val="24"/>
          <w:szCs w:val="24"/>
        </w:rPr>
        <w:t xml:space="preserve"> </w:t>
      </w:r>
      <w:r w:rsidR="0088453A" w:rsidRPr="001D1EE2">
        <w:rPr>
          <w:rFonts w:ascii="Times New Roman" w:hAnsi="Times New Roman" w:cs="Times New Roman"/>
          <w:sz w:val="24"/>
          <w:szCs w:val="24"/>
        </w:rPr>
        <w:t xml:space="preserve">It can be conjectured that the aqueous humor tyrosine is more meaningful than </w:t>
      </w:r>
      <w:r w:rsidR="00F72031" w:rsidRPr="001D1EE2">
        <w:rPr>
          <w:rFonts w:ascii="Times New Roman" w:hAnsi="Times New Roman" w:cs="Times New Roman"/>
          <w:sz w:val="24"/>
          <w:szCs w:val="24"/>
        </w:rPr>
        <w:t xml:space="preserve">the </w:t>
      </w:r>
      <w:r w:rsidR="0088453A" w:rsidRPr="001D1EE2">
        <w:rPr>
          <w:rFonts w:ascii="Times New Roman" w:hAnsi="Times New Roman" w:cs="Times New Roman"/>
          <w:sz w:val="24"/>
          <w:szCs w:val="24"/>
        </w:rPr>
        <w:t>circulating tyrosine</w:t>
      </w:r>
      <w:r w:rsidR="00F72031" w:rsidRPr="001D1EE2">
        <w:rPr>
          <w:rFonts w:ascii="Times New Roman" w:hAnsi="Times New Roman" w:cs="Times New Roman"/>
          <w:sz w:val="24"/>
          <w:szCs w:val="24"/>
        </w:rPr>
        <w:t xml:space="preserve"> concentrations.</w:t>
      </w:r>
    </w:p>
    <w:p w:rsidR="00204D91" w:rsidRPr="003D087C" w:rsidRDefault="00204D9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In this </w:t>
      </w:r>
      <w:r w:rsidR="00202925" w:rsidRPr="003D087C">
        <w:rPr>
          <w:rFonts w:ascii="Times New Roman" w:hAnsi="Times New Roman" w:cs="Times New Roman"/>
          <w:sz w:val="24"/>
          <w:szCs w:val="24"/>
        </w:rPr>
        <w:t xml:space="preserve">present </w:t>
      </w:r>
      <w:r w:rsidRPr="003D087C">
        <w:rPr>
          <w:rFonts w:ascii="Times New Roman" w:hAnsi="Times New Roman" w:cs="Times New Roman"/>
          <w:sz w:val="24"/>
          <w:szCs w:val="24"/>
        </w:rPr>
        <w:t>case, the serum tyrosine concentrations were the highest on the fourth</w:t>
      </w:r>
      <w:r w:rsidR="00F3527C">
        <w:rPr>
          <w:rFonts w:ascii="Times New Roman" w:hAnsi="Times New Roman" w:cs="Times New Roman"/>
          <w:sz w:val="24"/>
          <w:szCs w:val="24"/>
        </w:rPr>
        <w:t xml:space="preserve">        (964 µmol/L)</w:t>
      </w:r>
      <w:r w:rsidRPr="003D087C">
        <w:rPr>
          <w:rFonts w:ascii="Times New Roman" w:hAnsi="Times New Roman" w:cs="Times New Roman"/>
          <w:sz w:val="24"/>
          <w:szCs w:val="24"/>
        </w:rPr>
        <w:t xml:space="preserve"> and the fifth visit</w:t>
      </w:r>
      <w:r w:rsidR="00F3527C">
        <w:rPr>
          <w:rFonts w:ascii="Times New Roman" w:hAnsi="Times New Roman" w:cs="Times New Roman"/>
          <w:sz w:val="24"/>
          <w:szCs w:val="24"/>
        </w:rPr>
        <w:t xml:space="preserve"> (841 µmol/L</w:t>
      </w:r>
      <w:r w:rsidR="008A4300">
        <w:rPr>
          <w:rFonts w:ascii="Times New Roman" w:hAnsi="Times New Roman" w:cs="Times New Roman"/>
          <w:sz w:val="24"/>
          <w:szCs w:val="24"/>
        </w:rPr>
        <w:t>). His dietary</w:t>
      </w:r>
      <w:r w:rsidR="00B409FC">
        <w:rPr>
          <w:rFonts w:ascii="Times New Roman" w:hAnsi="Times New Roman" w:cs="Times New Roman"/>
          <w:sz w:val="24"/>
          <w:szCs w:val="24"/>
        </w:rPr>
        <w:t xml:space="preserve"> protein </w:t>
      </w:r>
      <w:r w:rsidR="008A4300">
        <w:rPr>
          <w:rFonts w:ascii="Times New Roman" w:hAnsi="Times New Roman" w:cs="Times New Roman"/>
          <w:sz w:val="24"/>
          <w:szCs w:val="24"/>
        </w:rPr>
        <w:t xml:space="preserve"> intake was estimated to be 0.98 g/Kg on his fourth visit and 1.1 g/Kg on his fifth visit; both</w:t>
      </w:r>
      <w:r w:rsidR="008A4300" w:rsidRPr="003D087C">
        <w:rPr>
          <w:rFonts w:ascii="Times New Roman" w:hAnsi="Times New Roman" w:cs="Times New Roman"/>
          <w:sz w:val="24"/>
          <w:szCs w:val="24"/>
        </w:rPr>
        <w:t xml:space="preserve"> </w:t>
      </w:r>
      <w:r w:rsidR="00302977" w:rsidRPr="003D087C">
        <w:rPr>
          <w:rFonts w:ascii="Times New Roman" w:hAnsi="Times New Roman" w:cs="Times New Roman"/>
          <w:sz w:val="24"/>
          <w:szCs w:val="24"/>
        </w:rPr>
        <w:t>consistent with lapses in dietary protein restriction</w:t>
      </w:r>
      <w:r w:rsidRPr="003D087C">
        <w:rPr>
          <w:rFonts w:ascii="Times New Roman" w:hAnsi="Times New Roman" w:cs="Times New Roman"/>
          <w:sz w:val="24"/>
          <w:szCs w:val="24"/>
        </w:rPr>
        <w:t>.</w:t>
      </w:r>
      <w:r w:rsidR="008A4300">
        <w:rPr>
          <w:rFonts w:ascii="Times New Roman" w:hAnsi="Times New Roman" w:cs="Times New Roman"/>
          <w:sz w:val="24"/>
          <w:szCs w:val="24"/>
        </w:rPr>
        <w:t xml:space="preserve"> </w:t>
      </w:r>
      <w:r w:rsidR="00F72031" w:rsidRPr="001D1EE2">
        <w:rPr>
          <w:rFonts w:ascii="Times New Roman" w:hAnsi="Times New Roman" w:cs="Times New Roman"/>
          <w:sz w:val="24"/>
          <w:szCs w:val="24"/>
        </w:rPr>
        <w:t xml:space="preserve">One could speculate that there may be a correlation </w:t>
      </w:r>
      <w:r w:rsidR="00302977" w:rsidRPr="001D1EE2">
        <w:rPr>
          <w:rFonts w:ascii="Times New Roman" w:hAnsi="Times New Roman" w:cs="Times New Roman"/>
          <w:sz w:val="24"/>
          <w:szCs w:val="24"/>
        </w:rPr>
        <w:t>between circulating and aqueous humor tyrosine concentrations,</w:t>
      </w:r>
      <w:r w:rsidR="00202925" w:rsidRPr="001D1EE2">
        <w:rPr>
          <w:rFonts w:ascii="Times New Roman" w:hAnsi="Times New Roman" w:cs="Times New Roman"/>
          <w:sz w:val="24"/>
          <w:szCs w:val="24"/>
        </w:rPr>
        <w:t xml:space="preserve"> in the present case,</w:t>
      </w:r>
      <w:r w:rsidR="00302977" w:rsidRPr="001D1EE2">
        <w:rPr>
          <w:rFonts w:ascii="Times New Roman" w:hAnsi="Times New Roman" w:cs="Times New Roman"/>
          <w:sz w:val="24"/>
          <w:szCs w:val="24"/>
        </w:rPr>
        <w:t xml:space="preserve"> even though the aqueous humor concentrations were not measured for obvious impractical reasons.</w:t>
      </w:r>
      <w:r w:rsidRPr="003D087C">
        <w:rPr>
          <w:rFonts w:ascii="Times New Roman" w:hAnsi="Times New Roman" w:cs="Times New Roman"/>
          <w:sz w:val="24"/>
          <w:szCs w:val="24"/>
        </w:rPr>
        <w:t xml:space="preserve"> </w:t>
      </w:r>
    </w:p>
    <w:p w:rsidR="00E10AF2" w:rsidRPr="003D087C" w:rsidRDefault="00204D9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Tyrosine keratopathy can be potentially sight threatening. While there are no reliable predictors of tyrosine keratopathy in AKU patient</w:t>
      </w:r>
      <w:r w:rsidR="00F72031" w:rsidRPr="003D087C">
        <w:rPr>
          <w:rFonts w:ascii="Times New Roman" w:hAnsi="Times New Roman" w:cs="Times New Roman"/>
          <w:sz w:val="24"/>
          <w:szCs w:val="24"/>
        </w:rPr>
        <w:t>s</w:t>
      </w:r>
      <w:r w:rsidRPr="003D087C">
        <w:rPr>
          <w:rFonts w:ascii="Times New Roman" w:hAnsi="Times New Roman" w:cs="Times New Roman"/>
          <w:sz w:val="24"/>
          <w:szCs w:val="24"/>
        </w:rPr>
        <w:t xml:space="preserve"> receiving nitisinone, there are measures that can be taken to ensure the safe use of nitisinone. Locally, we have a robust protocol for initiating nitisinone and monitoring serum tyrosine concentrations during treatment. Patients are commenced on 2 mg alternate day for 3 months which are then increased to 2 mg daily. Serum tyrosine concentrations are monitored 3 and 6 months after nitisinone initiation</w:t>
      </w:r>
      <w:r w:rsidR="007C0BD3" w:rsidRPr="003D087C">
        <w:rPr>
          <w:rFonts w:ascii="Times New Roman" w:hAnsi="Times New Roman" w:cs="Times New Roman"/>
          <w:sz w:val="24"/>
          <w:szCs w:val="24"/>
        </w:rPr>
        <w:t xml:space="preserve"> and at all annual visits</w:t>
      </w:r>
      <w:r w:rsidRPr="003D087C">
        <w:rPr>
          <w:rFonts w:ascii="Times New Roman" w:hAnsi="Times New Roman" w:cs="Times New Roman"/>
          <w:sz w:val="24"/>
          <w:szCs w:val="24"/>
        </w:rPr>
        <w:t xml:space="preserve">. Patients are counselled regarding low diet tyrosine as well as the potential eye symptoms resulting from hypertyrosinaemia. They are given an alert card and also </w:t>
      </w:r>
      <w:r w:rsidRPr="003D087C">
        <w:rPr>
          <w:rFonts w:ascii="Times New Roman" w:hAnsi="Times New Roman" w:cs="Times New Roman"/>
          <w:sz w:val="24"/>
          <w:szCs w:val="24"/>
        </w:rPr>
        <w:lastRenderedPageBreak/>
        <w:t xml:space="preserve">advised to report eye symptoms promptly and to stop nitisinone. Additionally, ophthalmological assessments are done before starting nitisinone and annually thereafter using slit lamp examination. </w:t>
      </w:r>
      <w:r w:rsidR="00E06892" w:rsidRPr="003D087C">
        <w:rPr>
          <w:rFonts w:ascii="Times New Roman" w:hAnsi="Times New Roman" w:cs="Times New Roman"/>
          <w:sz w:val="24"/>
          <w:szCs w:val="24"/>
        </w:rPr>
        <w:t xml:space="preserve">The present case does not clarify a rationale for frequency of slit lamp examinations </w:t>
      </w:r>
      <w:r w:rsidR="00202925" w:rsidRPr="003D087C">
        <w:rPr>
          <w:rFonts w:ascii="Times New Roman" w:hAnsi="Times New Roman" w:cs="Times New Roman"/>
          <w:sz w:val="24"/>
          <w:szCs w:val="24"/>
        </w:rPr>
        <w:t xml:space="preserve">required </w:t>
      </w:r>
      <w:r w:rsidR="00E06892" w:rsidRPr="003D087C">
        <w:rPr>
          <w:rFonts w:ascii="Times New Roman" w:hAnsi="Times New Roman" w:cs="Times New Roman"/>
          <w:sz w:val="24"/>
          <w:szCs w:val="24"/>
        </w:rPr>
        <w:t>post-nitisinone. It may be necessary to have a higher index of suspicion for potential keratopathy by identifying</w:t>
      </w:r>
      <w:r w:rsidR="00D612B9" w:rsidRPr="003D087C">
        <w:rPr>
          <w:rFonts w:ascii="Times New Roman" w:hAnsi="Times New Roman" w:cs="Times New Roman"/>
          <w:sz w:val="24"/>
          <w:szCs w:val="24"/>
        </w:rPr>
        <w:t xml:space="preserve"> any atypical or mild ocular </w:t>
      </w:r>
      <w:r w:rsidR="002B0E73" w:rsidRPr="003D087C">
        <w:rPr>
          <w:rFonts w:ascii="Times New Roman" w:hAnsi="Times New Roman" w:cs="Times New Roman"/>
          <w:sz w:val="24"/>
          <w:szCs w:val="24"/>
        </w:rPr>
        <w:t>symptoms and screening by slit lamp examination.</w:t>
      </w:r>
      <w:r w:rsidR="00E10AF2" w:rsidRPr="003D087C">
        <w:rPr>
          <w:rFonts w:ascii="Times New Roman" w:hAnsi="Times New Roman" w:cs="Times New Roman"/>
          <w:sz w:val="24"/>
          <w:szCs w:val="24"/>
        </w:rPr>
        <w:t xml:space="preserve"> It may also be better to carry out a biannual slit lamp examination. These findings highlight the necessity for further research on managing serum tyrosine concentrations in AKU by dietary or other therapeutic interventions</w:t>
      </w:r>
      <w:r w:rsidR="005A4B23">
        <w:rPr>
          <w:rFonts w:ascii="Times New Roman" w:hAnsi="Times New Roman" w:cs="Times New Roman"/>
          <w:sz w:val="24"/>
          <w:szCs w:val="24"/>
        </w:rPr>
        <w:t>. Further work is also required</w:t>
      </w:r>
      <w:r w:rsidR="00680588">
        <w:rPr>
          <w:rFonts w:ascii="Times New Roman" w:hAnsi="Times New Roman" w:cs="Times New Roman"/>
          <w:sz w:val="24"/>
          <w:szCs w:val="24"/>
        </w:rPr>
        <w:t xml:space="preserve"> to elucidate the clinical and prognostic implications of asymptomatic corneal deposition</w:t>
      </w:r>
      <w:r w:rsidR="00BB3727">
        <w:rPr>
          <w:rFonts w:ascii="Times New Roman" w:hAnsi="Times New Roman" w:cs="Times New Roman"/>
          <w:sz w:val="24"/>
          <w:szCs w:val="24"/>
        </w:rPr>
        <w:t>s</w:t>
      </w:r>
      <w:r w:rsidR="00680588">
        <w:rPr>
          <w:rFonts w:ascii="Times New Roman" w:hAnsi="Times New Roman" w:cs="Times New Roman"/>
          <w:sz w:val="24"/>
          <w:szCs w:val="24"/>
        </w:rPr>
        <w:t xml:space="preserve"> in nitisinone treated patients</w:t>
      </w:r>
    </w:p>
    <w:p w:rsidR="00204D91" w:rsidRPr="003D087C" w:rsidRDefault="00204D91" w:rsidP="003D087C">
      <w:pPr>
        <w:spacing w:line="480" w:lineRule="auto"/>
        <w:jc w:val="both"/>
        <w:rPr>
          <w:rFonts w:ascii="Times New Roman" w:hAnsi="Times New Roman" w:cs="Times New Roman"/>
          <w:sz w:val="24"/>
          <w:szCs w:val="24"/>
        </w:rPr>
      </w:pPr>
    </w:p>
    <w:p w:rsidR="00E10AF2" w:rsidRPr="003D087C" w:rsidRDefault="00204D91"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In summary, this is the first case of asymptomatic tyrosine keratopathy in an </w:t>
      </w:r>
      <w:r w:rsidR="007C0BD3" w:rsidRPr="003D087C">
        <w:rPr>
          <w:rFonts w:ascii="Times New Roman" w:hAnsi="Times New Roman" w:cs="Times New Roman"/>
          <w:sz w:val="24"/>
          <w:szCs w:val="24"/>
        </w:rPr>
        <w:t xml:space="preserve">AKU </w:t>
      </w:r>
      <w:r w:rsidRPr="003D087C">
        <w:rPr>
          <w:rFonts w:ascii="Times New Roman" w:hAnsi="Times New Roman" w:cs="Times New Roman"/>
          <w:sz w:val="24"/>
          <w:szCs w:val="24"/>
        </w:rPr>
        <w:t xml:space="preserve">patient receiving </w:t>
      </w:r>
      <w:r w:rsidR="007C0BD3" w:rsidRPr="003D087C">
        <w:rPr>
          <w:rFonts w:ascii="Times New Roman" w:hAnsi="Times New Roman" w:cs="Times New Roman"/>
          <w:sz w:val="24"/>
          <w:szCs w:val="24"/>
        </w:rPr>
        <w:t xml:space="preserve">2 mg daily dose of </w:t>
      </w:r>
      <w:r w:rsidRPr="003D087C">
        <w:rPr>
          <w:rFonts w:ascii="Times New Roman" w:hAnsi="Times New Roman" w:cs="Times New Roman"/>
          <w:sz w:val="24"/>
          <w:szCs w:val="24"/>
        </w:rPr>
        <w:t xml:space="preserve">nitisinone. </w:t>
      </w:r>
      <w:r w:rsidR="00202925" w:rsidRPr="003D087C">
        <w:rPr>
          <w:rFonts w:ascii="Times New Roman" w:hAnsi="Times New Roman" w:cs="Times New Roman"/>
          <w:sz w:val="24"/>
          <w:szCs w:val="24"/>
        </w:rPr>
        <w:t>Elective and symptom</w:t>
      </w:r>
      <w:r w:rsidR="002B0E73" w:rsidRPr="003D087C">
        <w:rPr>
          <w:rFonts w:ascii="Times New Roman" w:hAnsi="Times New Roman" w:cs="Times New Roman"/>
          <w:sz w:val="24"/>
          <w:szCs w:val="24"/>
        </w:rPr>
        <w:t xml:space="preserve">-based slit lamp examination may be needed to detect corneal tyrosine keratopathy. </w:t>
      </w:r>
      <w:r w:rsidRPr="003D087C">
        <w:rPr>
          <w:rFonts w:ascii="Times New Roman" w:hAnsi="Times New Roman" w:cs="Times New Roman"/>
          <w:sz w:val="24"/>
          <w:szCs w:val="24"/>
        </w:rPr>
        <w:t xml:space="preserve">Discontinuation of nitisinone, low tyrosine diet and frequent serum tyrosine monitoring remain </w:t>
      </w:r>
      <w:r w:rsidR="00AC17CB" w:rsidRPr="003D087C">
        <w:rPr>
          <w:rFonts w:ascii="Times New Roman" w:hAnsi="Times New Roman" w:cs="Times New Roman"/>
          <w:sz w:val="24"/>
          <w:szCs w:val="24"/>
        </w:rPr>
        <w:t xml:space="preserve">a </w:t>
      </w:r>
      <w:r w:rsidRPr="003D087C">
        <w:rPr>
          <w:rFonts w:ascii="Times New Roman" w:hAnsi="Times New Roman" w:cs="Times New Roman"/>
          <w:sz w:val="24"/>
          <w:szCs w:val="24"/>
        </w:rPr>
        <w:t>key in managing tyrosine keratopathy.</w:t>
      </w:r>
      <w:r w:rsidR="00202925" w:rsidRPr="003D087C">
        <w:rPr>
          <w:rFonts w:ascii="Times New Roman" w:hAnsi="Times New Roman" w:cs="Times New Roman"/>
          <w:sz w:val="24"/>
          <w:szCs w:val="24"/>
        </w:rPr>
        <w:t xml:space="preserve"> </w:t>
      </w:r>
      <w:r w:rsidR="00F26D65">
        <w:rPr>
          <w:rFonts w:ascii="Times New Roman" w:hAnsi="Times New Roman" w:cs="Times New Roman"/>
          <w:sz w:val="24"/>
          <w:szCs w:val="24"/>
        </w:rPr>
        <w:t xml:space="preserve">The oversight of a metabolic physician and specialised dietary support </w:t>
      </w:r>
      <w:r w:rsidR="00BB3727">
        <w:rPr>
          <w:rFonts w:ascii="Times New Roman" w:hAnsi="Times New Roman" w:cs="Times New Roman"/>
          <w:sz w:val="24"/>
          <w:szCs w:val="24"/>
        </w:rPr>
        <w:t>are</w:t>
      </w:r>
      <w:r w:rsidR="00F26D65">
        <w:rPr>
          <w:rFonts w:ascii="Times New Roman" w:hAnsi="Times New Roman" w:cs="Times New Roman"/>
          <w:sz w:val="24"/>
          <w:szCs w:val="24"/>
        </w:rPr>
        <w:t xml:space="preserve"> paramount.</w:t>
      </w:r>
    </w:p>
    <w:p w:rsidR="00E10AF2" w:rsidRPr="003D087C" w:rsidRDefault="00E10AF2" w:rsidP="003D087C">
      <w:pPr>
        <w:spacing w:line="480" w:lineRule="auto"/>
        <w:jc w:val="both"/>
        <w:rPr>
          <w:rFonts w:ascii="Times New Roman" w:hAnsi="Times New Roman" w:cs="Times New Roman"/>
          <w:sz w:val="24"/>
          <w:szCs w:val="24"/>
        </w:rPr>
      </w:pPr>
    </w:p>
    <w:p w:rsidR="00E10AF2" w:rsidRPr="003D087C" w:rsidRDefault="00E10AF2" w:rsidP="003D087C">
      <w:pPr>
        <w:spacing w:line="480" w:lineRule="auto"/>
        <w:jc w:val="both"/>
        <w:rPr>
          <w:rFonts w:ascii="Times New Roman" w:hAnsi="Times New Roman" w:cs="Times New Roman"/>
          <w:b/>
          <w:sz w:val="24"/>
          <w:szCs w:val="24"/>
        </w:rPr>
      </w:pPr>
      <w:r w:rsidRPr="00261111">
        <w:rPr>
          <w:rFonts w:ascii="Times New Roman" w:hAnsi="Times New Roman" w:cs="Times New Roman"/>
          <w:b/>
          <w:sz w:val="24"/>
          <w:szCs w:val="24"/>
        </w:rPr>
        <w:t>References:</w:t>
      </w:r>
    </w:p>
    <w:p w:rsidR="004873E1" w:rsidRPr="003D087C"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Gissen P, Preece M, Willshaw H</w:t>
      </w:r>
      <w:r w:rsidR="00E67008"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McKiernan P</w:t>
      </w:r>
      <w:r w:rsidR="00E67008" w:rsidRPr="003D087C">
        <w:rPr>
          <w:rFonts w:ascii="Times New Roman" w:hAnsi="Times New Roman" w:cs="Times New Roman"/>
          <w:noProof/>
          <w:sz w:val="24"/>
          <w:szCs w:val="24"/>
        </w:rPr>
        <w:t>J (</w:t>
      </w:r>
      <w:r w:rsidRPr="003D087C">
        <w:rPr>
          <w:rFonts w:ascii="Times New Roman" w:hAnsi="Times New Roman" w:cs="Times New Roman"/>
          <w:noProof/>
          <w:sz w:val="24"/>
          <w:szCs w:val="24"/>
        </w:rPr>
        <w:t>2003</w:t>
      </w:r>
      <w:r w:rsidR="00E67008"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Ophthalmic follow-up of patients with tyrosinaemia type I on NTBC. </w:t>
      </w:r>
      <w:r w:rsidR="00E67008" w:rsidRPr="003D087C">
        <w:rPr>
          <w:rFonts w:ascii="Times New Roman" w:hAnsi="Times New Roman" w:cs="Times New Roman"/>
          <w:iCs/>
          <w:noProof/>
          <w:sz w:val="24"/>
          <w:szCs w:val="24"/>
        </w:rPr>
        <w:t xml:space="preserve">J Inherit Metab Dis </w:t>
      </w:r>
      <w:r w:rsidRPr="003D087C">
        <w:rPr>
          <w:rFonts w:ascii="Times New Roman" w:hAnsi="Times New Roman" w:cs="Times New Roman"/>
          <w:noProof/>
          <w:sz w:val="24"/>
          <w:szCs w:val="24"/>
        </w:rPr>
        <w:t>26</w:t>
      </w:r>
      <w:r w:rsidR="00E67008"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13-16</w:t>
      </w:r>
    </w:p>
    <w:p w:rsidR="004873E1" w:rsidRPr="003D087C" w:rsidRDefault="00F54810"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 xml:space="preserve">Holme E, </w:t>
      </w:r>
      <w:r w:rsidR="004873E1" w:rsidRPr="003D087C">
        <w:rPr>
          <w:rFonts w:ascii="Times New Roman" w:hAnsi="Times New Roman" w:cs="Times New Roman"/>
          <w:noProof/>
          <w:sz w:val="24"/>
          <w:szCs w:val="24"/>
        </w:rPr>
        <w:t>Lindstedt S</w:t>
      </w:r>
      <w:r w:rsidRPr="003D087C">
        <w:rPr>
          <w:rFonts w:ascii="Times New Roman" w:hAnsi="Times New Roman" w:cs="Times New Roman"/>
          <w:noProof/>
          <w:sz w:val="24"/>
          <w:szCs w:val="24"/>
        </w:rPr>
        <w:t xml:space="preserve"> (</w:t>
      </w:r>
      <w:r w:rsidR="004873E1" w:rsidRPr="003D087C">
        <w:rPr>
          <w:rFonts w:ascii="Times New Roman" w:hAnsi="Times New Roman" w:cs="Times New Roman"/>
          <w:noProof/>
          <w:sz w:val="24"/>
          <w:szCs w:val="24"/>
        </w:rPr>
        <w:t>1998</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Tyrosinaemia type I and NTBC (2-(2-nitro-4-trifluoromethylbenzoyl)- 1,3-cyclohexanedione). </w:t>
      </w:r>
      <w:r w:rsidRPr="003D087C">
        <w:rPr>
          <w:rFonts w:ascii="Times New Roman" w:hAnsi="Times New Roman" w:cs="Times New Roman"/>
          <w:iCs/>
          <w:noProof/>
          <w:sz w:val="24"/>
          <w:szCs w:val="24"/>
        </w:rPr>
        <w:t xml:space="preserve">J Inherit Metab Dis </w:t>
      </w:r>
      <w:r w:rsidR="004873E1" w:rsidRPr="003D087C">
        <w:rPr>
          <w:rFonts w:ascii="Times New Roman" w:hAnsi="Times New Roman" w:cs="Times New Roman"/>
          <w:noProof/>
          <w:sz w:val="24"/>
          <w:szCs w:val="24"/>
        </w:rPr>
        <w:t>21(5)</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507–517</w:t>
      </w:r>
    </w:p>
    <w:p w:rsidR="004873E1" w:rsidRPr="003D087C" w:rsidRDefault="0079738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lastRenderedPageBreak/>
        <w:t>Introne</w:t>
      </w:r>
      <w:r w:rsidR="004873E1" w:rsidRPr="003D087C">
        <w:rPr>
          <w:rFonts w:ascii="Times New Roman" w:hAnsi="Times New Roman" w:cs="Times New Roman"/>
          <w:noProof/>
          <w:sz w:val="24"/>
          <w:szCs w:val="24"/>
        </w:rPr>
        <w:t xml:space="preserve"> WJ</w:t>
      </w:r>
      <w:r w:rsidR="00005BE2"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w:t>
      </w:r>
      <w:r w:rsidR="00005BE2" w:rsidRPr="003D087C">
        <w:rPr>
          <w:rFonts w:ascii="Times New Roman" w:hAnsi="Times New Roman" w:cs="Times New Roman"/>
          <w:noProof/>
          <w:sz w:val="24"/>
          <w:szCs w:val="24"/>
        </w:rPr>
        <w:t xml:space="preserve">Perry MB, Troendle J </w:t>
      </w:r>
      <w:r w:rsidR="004873E1" w:rsidRPr="003D087C">
        <w:rPr>
          <w:rFonts w:ascii="Times New Roman" w:hAnsi="Times New Roman" w:cs="Times New Roman"/>
          <w:noProof/>
          <w:sz w:val="24"/>
          <w:szCs w:val="24"/>
        </w:rPr>
        <w:t xml:space="preserve">et al </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2011</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A 3-year randomized therapeutic trial of nitisinone in alkaptonuria. </w:t>
      </w:r>
      <w:r w:rsidR="00F54810" w:rsidRPr="003D087C">
        <w:rPr>
          <w:rFonts w:ascii="Times New Roman" w:hAnsi="Times New Roman" w:cs="Times New Roman"/>
          <w:iCs/>
          <w:noProof/>
          <w:sz w:val="24"/>
          <w:szCs w:val="24"/>
        </w:rPr>
        <w:t>Mol Genet Metab 103(4): 307–314</w:t>
      </w:r>
    </w:p>
    <w:p w:rsidR="007C7A61" w:rsidRDefault="007C7A61" w:rsidP="0078656D">
      <w:pPr>
        <w:spacing w:line="480" w:lineRule="auto"/>
        <w:ind w:left="360"/>
        <w:rPr>
          <w:rFonts w:ascii="Times New Roman" w:hAnsi="Times New Roman" w:cs="Times New Roman"/>
          <w:sz w:val="24"/>
          <w:szCs w:val="24"/>
        </w:rPr>
      </w:pPr>
      <w:r w:rsidRPr="0078656D">
        <w:rPr>
          <w:rFonts w:ascii="Times New Roman" w:hAnsi="Times New Roman" w:cs="Times New Roman"/>
          <w:sz w:val="24"/>
          <w:szCs w:val="24"/>
        </w:rPr>
        <w:t>Keenan CM</w:t>
      </w:r>
      <w:r w:rsidR="00831C1D" w:rsidRPr="0078656D">
        <w:rPr>
          <w:rFonts w:ascii="Times New Roman" w:hAnsi="Times New Roman" w:cs="Times New Roman"/>
          <w:sz w:val="24"/>
          <w:szCs w:val="24"/>
        </w:rPr>
        <w:t>,</w:t>
      </w:r>
      <w:r w:rsidRPr="0078656D">
        <w:rPr>
          <w:rFonts w:ascii="Times New Roman" w:hAnsi="Times New Roman" w:cs="Times New Roman"/>
          <w:sz w:val="24"/>
          <w:szCs w:val="24"/>
        </w:rPr>
        <w:t xml:space="preserve"> </w:t>
      </w:r>
      <w:r w:rsidR="00831C1D" w:rsidRPr="0078656D">
        <w:rPr>
          <w:rFonts w:ascii="Times New Roman" w:hAnsi="Times New Roman" w:cs="Times New Roman"/>
          <w:sz w:val="24"/>
          <w:szCs w:val="24"/>
        </w:rPr>
        <w:t>Preston</w:t>
      </w:r>
      <w:r w:rsidR="00C73E0E" w:rsidRPr="0078656D">
        <w:rPr>
          <w:rFonts w:ascii="Times New Roman" w:hAnsi="Times New Roman" w:cs="Times New Roman"/>
          <w:sz w:val="24"/>
          <w:szCs w:val="24"/>
        </w:rPr>
        <w:t xml:space="preserve"> AJ</w:t>
      </w:r>
      <w:r w:rsidR="00831C1D" w:rsidRPr="0078656D">
        <w:rPr>
          <w:rFonts w:ascii="Times New Roman" w:hAnsi="Times New Roman" w:cs="Times New Roman"/>
          <w:sz w:val="24"/>
          <w:szCs w:val="24"/>
        </w:rPr>
        <w:t xml:space="preserve">, Sutherland H </w:t>
      </w:r>
      <w:r w:rsidRPr="0078656D">
        <w:rPr>
          <w:rFonts w:ascii="Times New Roman" w:hAnsi="Times New Roman" w:cs="Times New Roman"/>
          <w:sz w:val="24"/>
          <w:szCs w:val="24"/>
        </w:rPr>
        <w:t xml:space="preserve">et al </w:t>
      </w:r>
      <w:r w:rsidR="005A6C51" w:rsidRPr="0078656D">
        <w:rPr>
          <w:rFonts w:ascii="Times New Roman" w:hAnsi="Times New Roman" w:cs="Times New Roman"/>
          <w:sz w:val="24"/>
          <w:szCs w:val="24"/>
        </w:rPr>
        <w:t>(</w:t>
      </w:r>
      <w:r w:rsidRPr="0078656D">
        <w:rPr>
          <w:rFonts w:ascii="Times New Roman" w:hAnsi="Times New Roman" w:cs="Times New Roman"/>
          <w:sz w:val="24"/>
          <w:szCs w:val="24"/>
        </w:rPr>
        <w:t>2015</w:t>
      </w:r>
      <w:r w:rsidR="005A6C51" w:rsidRPr="0078656D">
        <w:rPr>
          <w:rFonts w:ascii="Times New Roman" w:hAnsi="Times New Roman" w:cs="Times New Roman"/>
          <w:sz w:val="24"/>
          <w:szCs w:val="24"/>
        </w:rPr>
        <w:t>)</w:t>
      </w:r>
      <w:r w:rsidRPr="0078656D">
        <w:rPr>
          <w:rFonts w:ascii="Times New Roman" w:hAnsi="Times New Roman" w:cs="Times New Roman"/>
          <w:sz w:val="24"/>
          <w:szCs w:val="24"/>
        </w:rPr>
        <w:t xml:space="preserve"> Nitisinone Arrests but Does Not Reverse Ochronosis in </w:t>
      </w:r>
      <w:proofErr w:type="spellStart"/>
      <w:r w:rsidRPr="0078656D">
        <w:rPr>
          <w:rFonts w:ascii="Times New Roman" w:hAnsi="Times New Roman" w:cs="Times New Roman"/>
          <w:sz w:val="24"/>
          <w:szCs w:val="24"/>
        </w:rPr>
        <w:t>Alkaptonuric</w:t>
      </w:r>
      <w:proofErr w:type="spellEnd"/>
      <w:r w:rsidRPr="0078656D">
        <w:rPr>
          <w:rFonts w:ascii="Times New Roman" w:hAnsi="Times New Roman" w:cs="Times New Roman"/>
          <w:sz w:val="24"/>
          <w:szCs w:val="24"/>
        </w:rPr>
        <w:t xml:space="preserve"> Mice. JIMD Rep</w:t>
      </w:r>
      <w:r w:rsidR="00831C1D" w:rsidRPr="0078656D">
        <w:rPr>
          <w:rFonts w:ascii="Times New Roman" w:hAnsi="Times New Roman" w:cs="Times New Roman"/>
          <w:sz w:val="24"/>
          <w:szCs w:val="24"/>
        </w:rPr>
        <w:t xml:space="preserve">orts </w:t>
      </w:r>
      <w:r w:rsidRPr="0078656D">
        <w:rPr>
          <w:rFonts w:ascii="Times New Roman" w:hAnsi="Times New Roman" w:cs="Times New Roman"/>
          <w:sz w:val="24"/>
          <w:szCs w:val="24"/>
        </w:rPr>
        <w:t>24:45-5</w:t>
      </w:r>
    </w:p>
    <w:p w:rsidR="00CF3445" w:rsidRPr="00567665" w:rsidRDefault="00CF3445" w:rsidP="00CF3445">
      <w:pPr>
        <w:spacing w:line="480" w:lineRule="auto"/>
        <w:ind w:left="360"/>
        <w:rPr>
          <w:rFonts w:ascii="Times New Roman" w:hAnsi="Times New Roman" w:cs="Times New Roman"/>
          <w:sz w:val="24"/>
          <w:szCs w:val="24"/>
        </w:rPr>
      </w:pPr>
      <w:proofErr w:type="spellStart"/>
      <w:r w:rsidRPr="00567665">
        <w:rPr>
          <w:rFonts w:ascii="Times New Roman" w:hAnsi="Times New Roman" w:cs="Times New Roman"/>
          <w:sz w:val="24"/>
          <w:szCs w:val="24"/>
        </w:rPr>
        <w:t>Kocabeyoglu</w:t>
      </w:r>
      <w:proofErr w:type="spellEnd"/>
      <w:r>
        <w:rPr>
          <w:rFonts w:ascii="Times New Roman" w:hAnsi="Times New Roman" w:cs="Times New Roman"/>
          <w:sz w:val="24"/>
          <w:szCs w:val="24"/>
        </w:rPr>
        <w:t xml:space="preserve"> S</w:t>
      </w:r>
      <w:r w:rsidRPr="00567665">
        <w:rPr>
          <w:rFonts w:ascii="Times New Roman" w:hAnsi="Times New Roman" w:cs="Times New Roman"/>
          <w:sz w:val="24"/>
          <w:szCs w:val="24"/>
        </w:rPr>
        <w:t xml:space="preserve">, </w:t>
      </w:r>
      <w:proofErr w:type="spellStart"/>
      <w:r w:rsidRPr="00567665">
        <w:rPr>
          <w:rFonts w:ascii="Times New Roman" w:hAnsi="Times New Roman" w:cs="Times New Roman"/>
          <w:sz w:val="24"/>
          <w:szCs w:val="24"/>
        </w:rPr>
        <w:t>Mocan</w:t>
      </w:r>
      <w:proofErr w:type="spellEnd"/>
      <w:r>
        <w:rPr>
          <w:rFonts w:ascii="Times New Roman" w:hAnsi="Times New Roman" w:cs="Times New Roman"/>
          <w:sz w:val="24"/>
          <w:szCs w:val="24"/>
        </w:rPr>
        <w:t xml:space="preserve"> MC</w:t>
      </w:r>
      <w:r w:rsidRPr="00567665">
        <w:rPr>
          <w:rFonts w:ascii="Times New Roman" w:hAnsi="Times New Roman" w:cs="Times New Roman"/>
          <w:sz w:val="24"/>
          <w:szCs w:val="24"/>
        </w:rPr>
        <w:t xml:space="preserve">, </w:t>
      </w:r>
      <w:proofErr w:type="spellStart"/>
      <w:r w:rsidRPr="00567665">
        <w:rPr>
          <w:rFonts w:ascii="Times New Roman" w:hAnsi="Times New Roman" w:cs="Times New Roman"/>
          <w:sz w:val="24"/>
          <w:szCs w:val="24"/>
        </w:rPr>
        <w:t>Irkec</w:t>
      </w:r>
      <w:proofErr w:type="spellEnd"/>
      <w:r>
        <w:rPr>
          <w:rFonts w:ascii="Times New Roman" w:hAnsi="Times New Roman" w:cs="Times New Roman"/>
          <w:sz w:val="24"/>
          <w:szCs w:val="24"/>
        </w:rPr>
        <w:t xml:space="preserve"> M (2014)</w:t>
      </w:r>
      <w:r w:rsidRPr="00567665">
        <w:rPr>
          <w:rFonts w:ascii="Times New Roman" w:hAnsi="Times New Roman" w:cs="Times New Roman"/>
          <w:sz w:val="24"/>
          <w:szCs w:val="24"/>
        </w:rPr>
        <w:t xml:space="preserve">In Vivo Confocal Microscopic Features of Corneal </w:t>
      </w:r>
      <w:proofErr w:type="spellStart"/>
      <w:r w:rsidRPr="00567665">
        <w:rPr>
          <w:rFonts w:ascii="Times New Roman" w:hAnsi="Times New Roman" w:cs="Times New Roman"/>
          <w:sz w:val="24"/>
          <w:szCs w:val="24"/>
        </w:rPr>
        <w:t>Pseudodendritic</w:t>
      </w:r>
      <w:proofErr w:type="spellEnd"/>
      <w:r w:rsidRPr="00567665">
        <w:rPr>
          <w:rFonts w:ascii="Times New Roman" w:hAnsi="Times New Roman" w:cs="Times New Roman"/>
          <w:sz w:val="24"/>
          <w:szCs w:val="24"/>
        </w:rPr>
        <w:t xml:space="preserve"> Lesions in Tyrosinaemia Type II.</w:t>
      </w:r>
      <w:r>
        <w:rPr>
          <w:rFonts w:ascii="Times New Roman" w:hAnsi="Times New Roman" w:cs="Times New Roman"/>
          <w:sz w:val="24"/>
          <w:szCs w:val="24"/>
        </w:rPr>
        <w:t xml:space="preserve"> </w:t>
      </w:r>
      <w:r w:rsidRPr="00567665">
        <w:rPr>
          <w:rFonts w:ascii="Times New Roman" w:hAnsi="Times New Roman" w:cs="Times New Roman"/>
          <w:sz w:val="24"/>
          <w:szCs w:val="24"/>
        </w:rPr>
        <w:t>Cornea</w:t>
      </w:r>
      <w:r>
        <w:rPr>
          <w:rFonts w:ascii="Times New Roman" w:hAnsi="Times New Roman" w:cs="Times New Roman"/>
          <w:sz w:val="24"/>
          <w:szCs w:val="24"/>
        </w:rPr>
        <w:t xml:space="preserve"> 33(10):1106-1108.</w:t>
      </w:r>
    </w:p>
    <w:p w:rsidR="002F1F85" w:rsidRPr="0078656D" w:rsidRDefault="002F1F85" w:rsidP="0078656D">
      <w:pPr>
        <w:spacing w:line="480" w:lineRule="auto"/>
        <w:ind w:left="360"/>
        <w:rPr>
          <w:rFonts w:ascii="Times New Roman" w:hAnsi="Times New Roman" w:cs="Times New Roman"/>
          <w:sz w:val="24"/>
          <w:szCs w:val="24"/>
        </w:rPr>
      </w:pPr>
    </w:p>
    <w:p w:rsidR="004873E1" w:rsidRPr="003D087C" w:rsidRDefault="00D366C3"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Lock E</w:t>
      </w:r>
      <w:r w:rsidR="004873E1" w:rsidRPr="003D087C">
        <w:rPr>
          <w:rFonts w:ascii="Times New Roman" w:hAnsi="Times New Roman" w:cs="Times New Roman"/>
          <w:noProof/>
          <w:sz w:val="24"/>
          <w:szCs w:val="24"/>
        </w:rPr>
        <w:t>A, Gaskin P, Ellis MK</w:t>
      </w:r>
      <w:r w:rsidRPr="003D087C">
        <w:rPr>
          <w:rFonts w:ascii="Times New Roman" w:hAnsi="Times New Roman" w:cs="Times New Roman"/>
          <w:noProof/>
          <w:sz w:val="24"/>
          <w:szCs w:val="24"/>
        </w:rPr>
        <w:t xml:space="preserve"> et al </w:t>
      </w:r>
      <w:r w:rsidR="00645705"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1996</w:t>
      </w:r>
      <w:r w:rsidR="00645705"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Tissue Distribution of 2-(2-Nitro-4-trifluoromethylbenzoyl)cyclohexane- 1,3-dione (NTBC): Effect on Enzymes Involved in Tyrosine Catabolism and Relevance to Ocular Toxicity in the Rat. </w:t>
      </w:r>
      <w:r w:rsidR="00345695" w:rsidRPr="003D087C">
        <w:rPr>
          <w:rFonts w:ascii="Times New Roman" w:hAnsi="Times New Roman" w:cs="Times New Roman"/>
          <w:noProof/>
          <w:sz w:val="24"/>
          <w:szCs w:val="24"/>
        </w:rPr>
        <w:t>Toxicol Appl Pharmacol 141: 439–447</w:t>
      </w:r>
    </w:p>
    <w:p w:rsidR="004873E1" w:rsidRDefault="00345695"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Lock</w:t>
      </w:r>
      <w:r w:rsidR="004873E1" w:rsidRPr="003D087C">
        <w:rPr>
          <w:rFonts w:ascii="Times New Roman" w:hAnsi="Times New Roman" w:cs="Times New Roman"/>
          <w:noProof/>
          <w:sz w:val="24"/>
          <w:szCs w:val="24"/>
        </w:rPr>
        <w:t xml:space="preserve"> EA</w:t>
      </w:r>
      <w:r w:rsidRPr="003D087C">
        <w:rPr>
          <w:rFonts w:ascii="Times New Roman" w:hAnsi="Times New Roman" w:cs="Times New Roman"/>
          <w:noProof/>
          <w:sz w:val="24"/>
          <w:szCs w:val="24"/>
        </w:rPr>
        <w:t xml:space="preserve">, Ellis MK, </w:t>
      </w:r>
      <w:r w:rsidR="00445C20" w:rsidRPr="003D087C">
        <w:rPr>
          <w:rFonts w:ascii="Times New Roman" w:hAnsi="Times New Roman" w:cs="Times New Roman"/>
          <w:noProof/>
          <w:sz w:val="24"/>
          <w:szCs w:val="24"/>
        </w:rPr>
        <w:t xml:space="preserve">Gaskin </w:t>
      </w:r>
      <w:r w:rsidRPr="003D087C">
        <w:rPr>
          <w:rFonts w:ascii="Times New Roman" w:hAnsi="Times New Roman" w:cs="Times New Roman"/>
          <w:noProof/>
          <w:sz w:val="24"/>
          <w:szCs w:val="24"/>
        </w:rPr>
        <w:t>P</w:t>
      </w:r>
      <w:r w:rsidR="004873E1" w:rsidRPr="003D087C">
        <w:rPr>
          <w:rFonts w:ascii="Times New Roman" w:hAnsi="Times New Roman" w:cs="Times New Roman"/>
          <w:noProof/>
          <w:sz w:val="24"/>
          <w:szCs w:val="24"/>
        </w:rPr>
        <w:t xml:space="preserve"> et al</w:t>
      </w:r>
      <w:r w:rsidR="00445C20" w:rsidRPr="003D087C">
        <w:rPr>
          <w:rFonts w:ascii="Times New Roman" w:hAnsi="Times New Roman" w:cs="Times New Roman"/>
          <w:noProof/>
          <w:sz w:val="24"/>
          <w:szCs w:val="24"/>
        </w:rPr>
        <w:t xml:space="preserve"> (</w:t>
      </w:r>
      <w:r w:rsidR="004873E1" w:rsidRPr="003D087C">
        <w:rPr>
          <w:rFonts w:ascii="Times New Roman" w:hAnsi="Times New Roman" w:cs="Times New Roman"/>
          <w:noProof/>
          <w:sz w:val="24"/>
          <w:szCs w:val="24"/>
        </w:rPr>
        <w:t>1998</w:t>
      </w:r>
      <w:r w:rsidR="00445C20"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From toxicological problem to therapeutic use</w:t>
      </w:r>
      <w:r w:rsidR="00445C20"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The discovery of the mode of action of 2-(2-nitro-4-trifluoromethylbenzoyl)- 1,3-cyclohexanedione (NTBC), its toxicology and development as a drug. </w:t>
      </w:r>
      <w:r w:rsidR="00645705" w:rsidRPr="003D087C">
        <w:rPr>
          <w:rFonts w:ascii="Times New Roman" w:hAnsi="Times New Roman" w:cs="Times New Roman"/>
          <w:iCs/>
          <w:noProof/>
          <w:sz w:val="24"/>
          <w:szCs w:val="24"/>
        </w:rPr>
        <w:t>J Inherit Metab Dis</w:t>
      </w:r>
      <w:r w:rsidR="004873E1" w:rsidRPr="003D087C">
        <w:rPr>
          <w:rFonts w:ascii="Times New Roman" w:hAnsi="Times New Roman" w:cs="Times New Roman"/>
          <w:noProof/>
          <w:sz w:val="24"/>
          <w:szCs w:val="24"/>
        </w:rPr>
        <w:t xml:space="preserve"> 21</w:t>
      </w:r>
      <w:r w:rsidR="00645705" w:rsidRPr="003D087C">
        <w:rPr>
          <w:rFonts w:ascii="Times New Roman" w:hAnsi="Times New Roman" w:cs="Times New Roman"/>
          <w:noProof/>
          <w:sz w:val="24"/>
          <w:szCs w:val="24"/>
        </w:rPr>
        <w:t>: 498-506</w:t>
      </w:r>
    </w:p>
    <w:p w:rsidR="00455E23" w:rsidRPr="0078656D" w:rsidRDefault="00580BE3" w:rsidP="0078656D">
      <w:pPr>
        <w:spacing w:line="480" w:lineRule="auto"/>
        <w:ind w:left="360"/>
        <w:rPr>
          <w:rFonts w:ascii="Times New Roman" w:hAnsi="Times New Roman" w:cs="Times New Roman"/>
          <w:sz w:val="24"/>
          <w:szCs w:val="24"/>
        </w:rPr>
      </w:pPr>
      <w:r w:rsidRPr="0078656D">
        <w:rPr>
          <w:rFonts w:ascii="Times New Roman" w:hAnsi="Times New Roman" w:cs="Times New Roman"/>
          <w:sz w:val="24"/>
          <w:szCs w:val="24"/>
        </w:rPr>
        <w:t>Lock E</w:t>
      </w:r>
      <w:r w:rsidR="00455E23" w:rsidRPr="0078656D">
        <w:rPr>
          <w:rFonts w:ascii="Times New Roman" w:hAnsi="Times New Roman" w:cs="Times New Roman"/>
          <w:sz w:val="24"/>
          <w:szCs w:val="24"/>
        </w:rPr>
        <w:t>A</w:t>
      </w:r>
      <w:r w:rsidRPr="0078656D">
        <w:rPr>
          <w:rFonts w:ascii="Times New Roman" w:hAnsi="Times New Roman" w:cs="Times New Roman"/>
          <w:sz w:val="24"/>
          <w:szCs w:val="24"/>
        </w:rPr>
        <w:t>, Gaskin P, Ellis M</w:t>
      </w:r>
      <w:r w:rsidR="00455E23" w:rsidRPr="0078656D">
        <w:rPr>
          <w:rFonts w:ascii="Times New Roman" w:hAnsi="Times New Roman" w:cs="Times New Roman"/>
          <w:sz w:val="24"/>
          <w:szCs w:val="24"/>
        </w:rPr>
        <w:t xml:space="preserve">, </w:t>
      </w:r>
      <w:proofErr w:type="spellStart"/>
      <w:r w:rsidR="00455E23" w:rsidRPr="0078656D">
        <w:rPr>
          <w:rFonts w:ascii="Times New Roman" w:hAnsi="Times New Roman" w:cs="Times New Roman"/>
          <w:sz w:val="24"/>
          <w:szCs w:val="24"/>
        </w:rPr>
        <w:t>Provan</w:t>
      </w:r>
      <w:proofErr w:type="spellEnd"/>
      <w:r w:rsidR="00455E23" w:rsidRPr="0078656D">
        <w:rPr>
          <w:rFonts w:ascii="Times New Roman" w:hAnsi="Times New Roman" w:cs="Times New Roman"/>
          <w:sz w:val="24"/>
          <w:szCs w:val="24"/>
        </w:rPr>
        <w:t xml:space="preserve"> WM, Smith LL</w:t>
      </w:r>
      <w:r w:rsidRPr="0078656D">
        <w:rPr>
          <w:rFonts w:ascii="Times New Roman" w:hAnsi="Times New Roman" w:cs="Times New Roman"/>
          <w:sz w:val="24"/>
          <w:szCs w:val="24"/>
        </w:rPr>
        <w:t xml:space="preserve"> (</w:t>
      </w:r>
      <w:r w:rsidR="00455E23" w:rsidRPr="0078656D">
        <w:rPr>
          <w:rFonts w:ascii="Times New Roman" w:hAnsi="Times New Roman" w:cs="Times New Roman"/>
          <w:sz w:val="24"/>
          <w:szCs w:val="24"/>
        </w:rPr>
        <w:t>2006</w:t>
      </w:r>
      <w:r w:rsidRPr="0078656D">
        <w:rPr>
          <w:rFonts w:ascii="Times New Roman" w:hAnsi="Times New Roman" w:cs="Times New Roman"/>
          <w:sz w:val="24"/>
          <w:szCs w:val="24"/>
        </w:rPr>
        <w:t>)</w:t>
      </w:r>
      <w:r w:rsidR="00455E23" w:rsidRPr="0078656D">
        <w:rPr>
          <w:rFonts w:ascii="Times New Roman" w:hAnsi="Times New Roman" w:cs="Times New Roman"/>
          <w:sz w:val="24"/>
          <w:szCs w:val="24"/>
        </w:rPr>
        <w:t xml:space="preserve"> Tyrosin</w:t>
      </w:r>
      <w:r w:rsidRPr="0078656D">
        <w:rPr>
          <w:rFonts w:ascii="Times New Roman" w:hAnsi="Times New Roman" w:cs="Times New Roman"/>
          <w:sz w:val="24"/>
          <w:szCs w:val="24"/>
        </w:rPr>
        <w:t>a</w:t>
      </w:r>
      <w:r w:rsidR="00455E23" w:rsidRPr="0078656D">
        <w:rPr>
          <w:rFonts w:ascii="Times New Roman" w:hAnsi="Times New Roman" w:cs="Times New Roman"/>
          <w:sz w:val="24"/>
          <w:szCs w:val="24"/>
        </w:rPr>
        <w:t xml:space="preserve">emia produced by 2-(2-nitro-4-trifluoromethylbenzoyl)-cyclohexane-1,3-dione (NTBC) in experimental animals and its relationship to corneal injury. </w:t>
      </w:r>
      <w:proofErr w:type="spellStart"/>
      <w:r w:rsidRPr="0078656D">
        <w:rPr>
          <w:rFonts w:ascii="Open Sans" w:hAnsi="Open Sans"/>
          <w:color w:val="333333"/>
          <w:sz w:val="23"/>
          <w:szCs w:val="23"/>
          <w:shd w:val="clear" w:color="auto" w:fill="FFFFFF"/>
        </w:rPr>
        <w:t>Toxicol</w:t>
      </w:r>
      <w:proofErr w:type="spellEnd"/>
      <w:r w:rsidRPr="0078656D">
        <w:rPr>
          <w:rFonts w:ascii="Open Sans" w:hAnsi="Open Sans"/>
          <w:color w:val="333333"/>
          <w:sz w:val="23"/>
          <w:szCs w:val="23"/>
          <w:shd w:val="clear" w:color="auto" w:fill="FFFFFF"/>
        </w:rPr>
        <w:t xml:space="preserve"> </w:t>
      </w:r>
      <w:proofErr w:type="spellStart"/>
      <w:r w:rsidRPr="0078656D">
        <w:rPr>
          <w:rFonts w:ascii="Open Sans" w:hAnsi="Open Sans"/>
          <w:color w:val="333333"/>
          <w:sz w:val="23"/>
          <w:szCs w:val="23"/>
          <w:shd w:val="clear" w:color="auto" w:fill="FFFFFF"/>
        </w:rPr>
        <w:t>Appl</w:t>
      </w:r>
      <w:proofErr w:type="spellEnd"/>
      <w:r w:rsidRPr="0078656D">
        <w:rPr>
          <w:rFonts w:ascii="Open Sans" w:hAnsi="Open Sans"/>
          <w:color w:val="333333"/>
          <w:sz w:val="23"/>
          <w:szCs w:val="23"/>
          <w:shd w:val="clear" w:color="auto" w:fill="FFFFFF"/>
        </w:rPr>
        <w:t xml:space="preserve"> </w:t>
      </w:r>
      <w:proofErr w:type="spellStart"/>
      <w:r w:rsidRPr="0078656D">
        <w:rPr>
          <w:rFonts w:ascii="Open Sans" w:hAnsi="Open Sans"/>
          <w:color w:val="333333"/>
          <w:sz w:val="23"/>
          <w:szCs w:val="23"/>
          <w:shd w:val="clear" w:color="auto" w:fill="FFFFFF"/>
        </w:rPr>
        <w:t>Pharmacol</w:t>
      </w:r>
      <w:proofErr w:type="spellEnd"/>
      <w:r w:rsidR="00455E23" w:rsidRPr="0078656D">
        <w:rPr>
          <w:rFonts w:ascii="Times New Roman" w:hAnsi="Times New Roman" w:cs="Times New Roman"/>
          <w:sz w:val="24"/>
          <w:szCs w:val="24"/>
        </w:rPr>
        <w:t xml:space="preserve"> 215</w:t>
      </w:r>
      <w:r w:rsidRPr="0078656D">
        <w:rPr>
          <w:rFonts w:ascii="Times New Roman" w:hAnsi="Times New Roman" w:cs="Times New Roman"/>
          <w:sz w:val="24"/>
          <w:szCs w:val="24"/>
        </w:rPr>
        <w:t>:</w:t>
      </w:r>
      <w:r w:rsidR="00455E23" w:rsidRPr="0078656D">
        <w:rPr>
          <w:rFonts w:ascii="Times New Roman" w:hAnsi="Times New Roman" w:cs="Times New Roman"/>
          <w:sz w:val="24"/>
          <w:szCs w:val="24"/>
        </w:rPr>
        <w:t xml:space="preserve"> 9–16</w:t>
      </w:r>
    </w:p>
    <w:p w:rsidR="00741A81" w:rsidRPr="0078656D" w:rsidRDefault="00741A81" w:rsidP="0078656D">
      <w:pPr>
        <w:spacing w:line="480" w:lineRule="auto"/>
        <w:ind w:left="360"/>
        <w:rPr>
          <w:rFonts w:ascii="Times New Roman" w:hAnsi="Times New Roman" w:cs="Times New Roman"/>
          <w:sz w:val="24"/>
          <w:szCs w:val="24"/>
        </w:rPr>
      </w:pPr>
      <w:r w:rsidRPr="0078656D">
        <w:rPr>
          <w:rFonts w:ascii="Times New Roman" w:hAnsi="Times New Roman" w:cs="Times New Roman"/>
          <w:sz w:val="24"/>
          <w:szCs w:val="24"/>
        </w:rPr>
        <w:t xml:space="preserve">Milan AM, Hughes AT, Davison AS et al (2017) </w:t>
      </w:r>
      <w:proofErr w:type="gramStart"/>
      <w:r w:rsidRPr="0078656D">
        <w:rPr>
          <w:rFonts w:ascii="Times New Roman" w:hAnsi="Times New Roman" w:cs="Times New Roman"/>
          <w:sz w:val="24"/>
          <w:szCs w:val="24"/>
        </w:rPr>
        <w:t>The</w:t>
      </w:r>
      <w:proofErr w:type="gramEnd"/>
      <w:r w:rsidRPr="0078656D">
        <w:rPr>
          <w:rFonts w:ascii="Times New Roman" w:hAnsi="Times New Roman" w:cs="Times New Roman"/>
          <w:sz w:val="24"/>
          <w:szCs w:val="24"/>
        </w:rPr>
        <w:t xml:space="preserve"> effect of nitisinone on homogentisic acid and tyrosine: a two-year survey of patients attending the National Alkaptonuria Centre, Liverpool. Ann </w:t>
      </w:r>
      <w:proofErr w:type="spellStart"/>
      <w:r w:rsidRPr="0078656D">
        <w:rPr>
          <w:rFonts w:ascii="Times New Roman" w:hAnsi="Times New Roman" w:cs="Times New Roman"/>
          <w:sz w:val="24"/>
          <w:szCs w:val="24"/>
        </w:rPr>
        <w:t>Clin</w:t>
      </w:r>
      <w:proofErr w:type="spellEnd"/>
      <w:r w:rsidRPr="0078656D">
        <w:rPr>
          <w:rFonts w:ascii="Times New Roman" w:hAnsi="Times New Roman" w:cs="Times New Roman"/>
          <w:sz w:val="24"/>
          <w:szCs w:val="24"/>
        </w:rPr>
        <w:t xml:space="preserve"> </w:t>
      </w:r>
      <w:proofErr w:type="spellStart"/>
      <w:r w:rsidRPr="0078656D">
        <w:rPr>
          <w:rFonts w:ascii="Times New Roman" w:hAnsi="Times New Roman" w:cs="Times New Roman"/>
          <w:sz w:val="24"/>
          <w:szCs w:val="24"/>
        </w:rPr>
        <w:t>Biochem</w:t>
      </w:r>
      <w:proofErr w:type="spellEnd"/>
      <w:r w:rsidRPr="0078656D">
        <w:rPr>
          <w:rFonts w:ascii="Times New Roman" w:hAnsi="Times New Roman" w:cs="Times New Roman"/>
          <w:sz w:val="24"/>
          <w:szCs w:val="24"/>
        </w:rPr>
        <w:t xml:space="preserve"> 54</w:t>
      </w:r>
      <w:r w:rsidR="00CF55F7" w:rsidRPr="0078656D">
        <w:rPr>
          <w:rFonts w:ascii="Times New Roman" w:hAnsi="Times New Roman" w:cs="Times New Roman"/>
          <w:sz w:val="24"/>
          <w:szCs w:val="24"/>
        </w:rPr>
        <w:t>:</w:t>
      </w:r>
      <w:r w:rsidRPr="0078656D">
        <w:rPr>
          <w:rFonts w:ascii="Times New Roman" w:hAnsi="Times New Roman" w:cs="Times New Roman"/>
          <w:sz w:val="24"/>
          <w:szCs w:val="24"/>
        </w:rPr>
        <w:t xml:space="preserve"> 323–330 </w:t>
      </w:r>
    </w:p>
    <w:p w:rsidR="00445C20" w:rsidRPr="003D087C" w:rsidRDefault="00445C20"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lastRenderedPageBreak/>
        <w:t xml:space="preserve">Meissner T, Betz RC, Pasternak SM et al (2008) Richner-Hanhart syndrome detected by expanded newborn screening. Paediatr Dermatol 25:378–380 </w:t>
      </w:r>
    </w:p>
    <w:p w:rsidR="004873E1" w:rsidRPr="003D087C" w:rsidRDefault="00445C20"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 xml:space="preserve">Muller </w:t>
      </w:r>
      <w:r w:rsidR="004873E1" w:rsidRPr="003D087C">
        <w:rPr>
          <w:rFonts w:ascii="Times New Roman" w:hAnsi="Times New Roman" w:cs="Times New Roman"/>
          <w:noProof/>
          <w:sz w:val="24"/>
          <w:szCs w:val="24"/>
        </w:rPr>
        <w:t>LJ, Marfurtb CF, Krusec F</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Tervod TM</w:t>
      </w:r>
      <w:r w:rsidRPr="003D087C">
        <w:rPr>
          <w:rFonts w:ascii="Times New Roman" w:hAnsi="Times New Roman" w:cs="Times New Roman"/>
          <w:noProof/>
          <w:sz w:val="24"/>
          <w:szCs w:val="24"/>
        </w:rPr>
        <w:t xml:space="preserve"> (</w:t>
      </w:r>
      <w:r w:rsidR="004873E1" w:rsidRPr="003D087C">
        <w:rPr>
          <w:rFonts w:ascii="Times New Roman" w:hAnsi="Times New Roman" w:cs="Times New Roman"/>
          <w:noProof/>
          <w:sz w:val="24"/>
          <w:szCs w:val="24"/>
        </w:rPr>
        <w:t xml:space="preserve"> 2003</w:t>
      </w:r>
      <w:r w:rsidRPr="003D087C">
        <w:rPr>
          <w:rFonts w:ascii="Times New Roman" w:hAnsi="Times New Roman" w:cs="Times New Roman"/>
          <w:noProof/>
          <w:sz w:val="24"/>
          <w:szCs w:val="24"/>
        </w:rPr>
        <w:t>)</w:t>
      </w:r>
      <w:r w:rsidR="004873E1" w:rsidRPr="003D087C">
        <w:rPr>
          <w:rFonts w:ascii="Times New Roman" w:hAnsi="Times New Roman" w:cs="Times New Roman"/>
          <w:noProof/>
          <w:sz w:val="24"/>
          <w:szCs w:val="24"/>
        </w:rPr>
        <w:t xml:space="preserve"> Corneal nerves: structure, contents and function. </w:t>
      </w:r>
      <w:r w:rsidR="004873E1" w:rsidRPr="003D087C">
        <w:rPr>
          <w:rFonts w:ascii="Times New Roman" w:hAnsi="Times New Roman" w:cs="Times New Roman"/>
          <w:iCs/>
          <w:noProof/>
          <w:sz w:val="24"/>
          <w:szCs w:val="24"/>
        </w:rPr>
        <w:t xml:space="preserve">Experimental Eye Research </w:t>
      </w:r>
      <w:r w:rsidR="004873E1" w:rsidRPr="003D087C">
        <w:rPr>
          <w:rFonts w:ascii="Times New Roman" w:hAnsi="Times New Roman" w:cs="Times New Roman"/>
          <w:noProof/>
          <w:sz w:val="24"/>
          <w:szCs w:val="24"/>
        </w:rPr>
        <w:t>76</w:t>
      </w:r>
      <w:r w:rsidRPr="003D087C">
        <w:rPr>
          <w:rFonts w:ascii="Times New Roman" w:hAnsi="Times New Roman" w:cs="Times New Roman"/>
          <w:noProof/>
          <w:sz w:val="24"/>
          <w:szCs w:val="24"/>
        </w:rPr>
        <w:t>: 521–542</w:t>
      </w:r>
    </w:p>
    <w:p w:rsidR="004873E1" w:rsidRPr="0078656D" w:rsidRDefault="004873E1" w:rsidP="0078656D">
      <w:pPr>
        <w:spacing w:line="480" w:lineRule="auto"/>
        <w:ind w:left="360"/>
        <w:jc w:val="both"/>
        <w:rPr>
          <w:rFonts w:ascii="Times New Roman" w:hAnsi="Times New Roman" w:cs="Times New Roman"/>
          <w:sz w:val="24"/>
          <w:szCs w:val="24"/>
        </w:rPr>
      </w:pPr>
      <w:proofErr w:type="gramStart"/>
      <w:r w:rsidRPr="0078656D">
        <w:rPr>
          <w:rFonts w:ascii="Times New Roman" w:hAnsi="Times New Roman" w:cs="Times New Roman"/>
          <w:sz w:val="24"/>
          <w:szCs w:val="24"/>
        </w:rPr>
        <w:t>O’Brien WM, Du B</w:t>
      </w:r>
      <w:r w:rsidR="00037CA0" w:rsidRPr="0078656D">
        <w:rPr>
          <w:rFonts w:ascii="Times New Roman" w:hAnsi="Times New Roman" w:cs="Times New Roman"/>
          <w:sz w:val="24"/>
          <w:szCs w:val="24"/>
        </w:rPr>
        <w:t>N</w:t>
      </w:r>
      <w:r w:rsidRPr="0078656D">
        <w:rPr>
          <w:rFonts w:ascii="Times New Roman" w:hAnsi="Times New Roman" w:cs="Times New Roman"/>
          <w:sz w:val="24"/>
          <w:szCs w:val="24"/>
        </w:rPr>
        <w:t>L</w:t>
      </w:r>
      <w:r w:rsidR="00037CA0" w:rsidRPr="0078656D">
        <w:rPr>
          <w:rFonts w:ascii="Times New Roman" w:hAnsi="Times New Roman" w:cs="Times New Roman"/>
          <w:sz w:val="24"/>
          <w:szCs w:val="24"/>
        </w:rPr>
        <w:t xml:space="preserve">, </w:t>
      </w:r>
      <w:proofErr w:type="spellStart"/>
      <w:r w:rsidR="00037CA0" w:rsidRPr="0078656D">
        <w:rPr>
          <w:rFonts w:ascii="Times New Roman" w:hAnsi="Times New Roman" w:cs="Times New Roman"/>
          <w:sz w:val="24"/>
          <w:szCs w:val="24"/>
        </w:rPr>
        <w:t>Bunim</w:t>
      </w:r>
      <w:proofErr w:type="spellEnd"/>
      <w:r w:rsidRPr="0078656D">
        <w:rPr>
          <w:rFonts w:ascii="Times New Roman" w:hAnsi="Times New Roman" w:cs="Times New Roman"/>
          <w:sz w:val="24"/>
          <w:szCs w:val="24"/>
        </w:rPr>
        <w:t xml:space="preserve"> JJ </w:t>
      </w:r>
      <w:r w:rsidR="00037CA0" w:rsidRPr="0078656D">
        <w:rPr>
          <w:rFonts w:ascii="Times New Roman" w:hAnsi="Times New Roman" w:cs="Times New Roman"/>
          <w:sz w:val="24"/>
          <w:szCs w:val="24"/>
        </w:rPr>
        <w:t>(</w:t>
      </w:r>
      <w:r w:rsidRPr="0078656D">
        <w:rPr>
          <w:rFonts w:ascii="Times New Roman" w:hAnsi="Times New Roman" w:cs="Times New Roman"/>
          <w:sz w:val="24"/>
          <w:szCs w:val="24"/>
        </w:rPr>
        <w:t>1963</w:t>
      </w:r>
      <w:r w:rsidR="00037CA0" w:rsidRPr="0078656D">
        <w:rPr>
          <w:rFonts w:ascii="Times New Roman" w:hAnsi="Times New Roman" w:cs="Times New Roman"/>
          <w:sz w:val="24"/>
          <w:szCs w:val="24"/>
        </w:rPr>
        <w:t>)</w:t>
      </w:r>
      <w:r w:rsidRPr="0078656D">
        <w:rPr>
          <w:rFonts w:ascii="Times New Roman" w:hAnsi="Times New Roman" w:cs="Times New Roman"/>
          <w:sz w:val="24"/>
          <w:szCs w:val="24"/>
        </w:rPr>
        <w:t xml:space="preserve"> Biochemical, pathologic and clinical aspects of </w:t>
      </w:r>
      <w:proofErr w:type="spellStart"/>
      <w:r w:rsidRPr="0078656D">
        <w:rPr>
          <w:rFonts w:ascii="Times New Roman" w:hAnsi="Times New Roman" w:cs="Times New Roman"/>
          <w:sz w:val="24"/>
          <w:szCs w:val="24"/>
        </w:rPr>
        <w:t>alcaptonuria</w:t>
      </w:r>
      <w:proofErr w:type="spellEnd"/>
      <w:r w:rsidRPr="0078656D">
        <w:rPr>
          <w:rFonts w:ascii="Times New Roman" w:hAnsi="Times New Roman" w:cs="Times New Roman"/>
          <w:sz w:val="24"/>
          <w:szCs w:val="24"/>
        </w:rPr>
        <w:t xml:space="preserve">, ochronosis and </w:t>
      </w:r>
      <w:proofErr w:type="spellStart"/>
      <w:r w:rsidRPr="0078656D">
        <w:rPr>
          <w:rFonts w:ascii="Times New Roman" w:hAnsi="Times New Roman" w:cs="Times New Roman"/>
          <w:sz w:val="24"/>
          <w:szCs w:val="24"/>
        </w:rPr>
        <w:t>ochronotic</w:t>
      </w:r>
      <w:proofErr w:type="spellEnd"/>
      <w:r w:rsidRPr="0078656D">
        <w:rPr>
          <w:rFonts w:ascii="Times New Roman" w:hAnsi="Times New Roman" w:cs="Times New Roman"/>
          <w:sz w:val="24"/>
          <w:szCs w:val="24"/>
        </w:rPr>
        <w:t xml:space="preserve"> arthropathy.</w:t>
      </w:r>
      <w:proofErr w:type="gramEnd"/>
      <w:r w:rsidRPr="0078656D">
        <w:rPr>
          <w:rFonts w:ascii="Times New Roman" w:hAnsi="Times New Roman" w:cs="Times New Roman"/>
          <w:sz w:val="24"/>
          <w:szCs w:val="24"/>
        </w:rPr>
        <w:t xml:space="preserve"> </w:t>
      </w:r>
      <w:proofErr w:type="gramStart"/>
      <w:r w:rsidRPr="0078656D">
        <w:rPr>
          <w:rFonts w:ascii="Times New Roman" w:hAnsi="Times New Roman" w:cs="Times New Roman"/>
          <w:sz w:val="24"/>
          <w:szCs w:val="24"/>
        </w:rPr>
        <w:t>Am</w:t>
      </w:r>
      <w:proofErr w:type="gramEnd"/>
      <w:r w:rsidRPr="0078656D">
        <w:rPr>
          <w:rFonts w:ascii="Times New Roman" w:hAnsi="Times New Roman" w:cs="Times New Roman"/>
          <w:sz w:val="24"/>
          <w:szCs w:val="24"/>
        </w:rPr>
        <w:t xml:space="preserve"> J Med 34, 813–838</w:t>
      </w:r>
      <w:r w:rsidR="00C77C60" w:rsidRPr="0078656D">
        <w:rPr>
          <w:rFonts w:ascii="Times New Roman" w:hAnsi="Times New Roman" w:cs="Times New Roman"/>
          <w:sz w:val="24"/>
          <w:szCs w:val="24"/>
        </w:rPr>
        <w:t>.</w:t>
      </w:r>
    </w:p>
    <w:p w:rsidR="007C4B2F" w:rsidRPr="0078656D" w:rsidRDefault="007C4B2F" w:rsidP="0078656D">
      <w:pPr>
        <w:spacing w:line="480" w:lineRule="auto"/>
        <w:ind w:left="360"/>
        <w:rPr>
          <w:rFonts w:ascii="Times New Roman" w:hAnsi="Times New Roman" w:cs="Times New Roman"/>
          <w:noProof/>
          <w:sz w:val="24"/>
          <w:szCs w:val="24"/>
        </w:rPr>
      </w:pPr>
      <w:r w:rsidRPr="0078656D">
        <w:rPr>
          <w:rFonts w:ascii="Times New Roman" w:hAnsi="Times New Roman" w:cs="Times New Roman"/>
          <w:noProof/>
          <w:sz w:val="24"/>
          <w:szCs w:val="24"/>
        </w:rPr>
        <w:t>Phornphutkul C, Introne WJ, Perry MB et al (2002) Natural history of Alkaptonuria. N Engl J</w:t>
      </w:r>
      <w:r w:rsidR="00AA3E09" w:rsidRPr="0078656D">
        <w:rPr>
          <w:rFonts w:ascii="Times New Roman" w:hAnsi="Times New Roman" w:cs="Times New Roman"/>
          <w:noProof/>
          <w:sz w:val="24"/>
          <w:szCs w:val="24"/>
        </w:rPr>
        <w:t xml:space="preserve"> </w:t>
      </w:r>
      <w:r w:rsidRPr="0078656D">
        <w:rPr>
          <w:rFonts w:ascii="Times New Roman" w:hAnsi="Times New Roman" w:cs="Times New Roman"/>
          <w:noProof/>
          <w:sz w:val="24"/>
          <w:szCs w:val="24"/>
        </w:rPr>
        <w:t>Med 347:2111–2121</w:t>
      </w:r>
    </w:p>
    <w:p w:rsidR="00C77C60" w:rsidRPr="003D087C" w:rsidRDefault="00831C1D"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Preston AJ, Keenan CM, Sutherland H et al (2014) Ochronotic osteoarthropathy in a mouse model of alkaptonuria, and its inhibition by nitisinone. Ann Rheum Dis 73(1):284–289</w:t>
      </w:r>
    </w:p>
    <w:p w:rsidR="00C77C60" w:rsidRPr="003D087C" w:rsidRDefault="00C77C60"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 xml:space="preserve">Ranganath LR, Timmis OG, Gallagher JA </w:t>
      </w:r>
      <w:r w:rsidR="00DC562D" w:rsidRPr="003D087C">
        <w:rPr>
          <w:rFonts w:ascii="Times New Roman" w:hAnsi="Times New Roman" w:cs="Times New Roman"/>
          <w:noProof/>
          <w:sz w:val="24"/>
          <w:szCs w:val="24"/>
        </w:rPr>
        <w:t>(</w:t>
      </w:r>
      <w:r w:rsidRPr="003D087C">
        <w:rPr>
          <w:rFonts w:ascii="Times New Roman" w:hAnsi="Times New Roman" w:cs="Times New Roman"/>
          <w:noProof/>
          <w:sz w:val="24"/>
          <w:szCs w:val="24"/>
        </w:rPr>
        <w:t>2015</w:t>
      </w:r>
      <w:r w:rsidR="00DC562D" w:rsidRPr="003D087C">
        <w:rPr>
          <w:rFonts w:ascii="Times New Roman" w:hAnsi="Times New Roman" w:cs="Times New Roman"/>
          <w:noProof/>
          <w:sz w:val="24"/>
          <w:szCs w:val="24"/>
        </w:rPr>
        <w:t>)</w:t>
      </w:r>
      <w:r w:rsidR="007C4B2F" w:rsidRPr="003D087C">
        <w:rPr>
          <w:rFonts w:ascii="Times New Roman" w:hAnsi="Times New Roman" w:cs="Times New Roman"/>
          <w:noProof/>
          <w:sz w:val="24"/>
          <w:szCs w:val="24"/>
        </w:rPr>
        <w:t xml:space="preserve"> Progress in Alkaptonuria</w:t>
      </w:r>
      <w:r w:rsidRPr="003D087C">
        <w:rPr>
          <w:rFonts w:ascii="Times New Roman" w:hAnsi="Times New Roman" w:cs="Times New Roman"/>
          <w:noProof/>
          <w:sz w:val="24"/>
          <w:szCs w:val="24"/>
        </w:rPr>
        <w:t>-are we near to an effective therapy? J Inherit Metab Dis 38</w:t>
      </w:r>
      <w:r w:rsidR="007C4B2F"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787–789. </w:t>
      </w:r>
    </w:p>
    <w:p w:rsidR="004873E1" w:rsidRPr="003D087C" w:rsidRDefault="00831C1D"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Ranganath LR, Milan AM, Hughes AT et al (</w:t>
      </w:r>
      <w:r w:rsidR="00F26D65">
        <w:rPr>
          <w:rFonts w:ascii="Times New Roman" w:hAnsi="Times New Roman" w:cs="Times New Roman"/>
          <w:noProof/>
          <w:sz w:val="24"/>
          <w:szCs w:val="24"/>
        </w:rPr>
        <w:t>2016</w:t>
      </w:r>
      <w:r w:rsidRPr="003D087C">
        <w:rPr>
          <w:rFonts w:ascii="Times New Roman" w:hAnsi="Times New Roman" w:cs="Times New Roman"/>
          <w:noProof/>
          <w:sz w:val="24"/>
          <w:szCs w:val="24"/>
        </w:rPr>
        <w:t>) Suitability of nitisinone in alkaptonuria 1 (SONIA 1): an international, multicentre, randomised, open-label, no-treatment controlled, parallelgroup, dose–response study to investigate the effect of once daily nitisinone on 24-h urinary homogentisic acid excretion in patients with alkaptonuria after 4 weeks of treatment. Ann Rheum Dis</w:t>
      </w:r>
      <w:r w:rsidR="004873E1" w:rsidRPr="003D087C">
        <w:rPr>
          <w:rFonts w:ascii="Times New Roman" w:hAnsi="Times New Roman" w:cs="Times New Roman"/>
          <w:iCs/>
          <w:noProof/>
          <w:sz w:val="24"/>
          <w:szCs w:val="24"/>
        </w:rPr>
        <w:t xml:space="preserve"> </w:t>
      </w:r>
      <w:r w:rsidRPr="003D087C">
        <w:rPr>
          <w:rFonts w:ascii="Times New Roman" w:hAnsi="Times New Roman" w:cs="Times New Roman"/>
          <w:noProof/>
          <w:sz w:val="24"/>
          <w:szCs w:val="24"/>
        </w:rPr>
        <w:t>75(2</w:t>
      </w:r>
      <w:r w:rsidR="00E92DE5"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362-367</w:t>
      </w:r>
    </w:p>
    <w:p w:rsidR="004873E1" w:rsidRPr="003D087C"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Ranganath LR, Jarvis</w:t>
      </w:r>
      <w:r w:rsidR="00FD7C8A"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JC</w:t>
      </w:r>
      <w:r w:rsidR="00FD7C8A"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Gallagher</w:t>
      </w:r>
      <w:r w:rsidR="00FD7C8A"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JA</w:t>
      </w:r>
      <w:r w:rsidR="00FD7C8A"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2013</w:t>
      </w:r>
      <w:r w:rsidR="00FD7C8A"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Recent advances in management of alkaptonuria (invited review; best practice article). </w:t>
      </w:r>
      <w:r w:rsidRPr="00EC2D7F">
        <w:rPr>
          <w:rFonts w:ascii="Times New Roman" w:hAnsi="Times New Roman" w:cs="Times New Roman"/>
          <w:iCs/>
          <w:noProof/>
          <w:sz w:val="24"/>
          <w:szCs w:val="24"/>
        </w:rPr>
        <w:t>J Clin Pathol</w:t>
      </w:r>
      <w:r w:rsidRPr="00EC2D7F">
        <w:rPr>
          <w:rFonts w:ascii="Times New Roman" w:hAnsi="Times New Roman" w:cs="Times New Roman"/>
          <w:noProof/>
          <w:sz w:val="24"/>
          <w:szCs w:val="24"/>
        </w:rPr>
        <w:t xml:space="preserve"> 66</w:t>
      </w:r>
      <w:r w:rsidR="00E92DE5" w:rsidRPr="00EC2D7F">
        <w:rPr>
          <w:rFonts w:ascii="Times New Roman" w:hAnsi="Times New Roman" w:cs="Times New Roman"/>
          <w:noProof/>
          <w:sz w:val="24"/>
          <w:szCs w:val="24"/>
        </w:rPr>
        <w:t>:</w:t>
      </w:r>
      <w:r w:rsidRPr="003D087C">
        <w:rPr>
          <w:rFonts w:ascii="Times New Roman" w:hAnsi="Times New Roman" w:cs="Times New Roman"/>
          <w:noProof/>
          <w:sz w:val="24"/>
          <w:szCs w:val="24"/>
        </w:rPr>
        <w:t xml:space="preserve"> 3</w:t>
      </w:r>
      <w:r w:rsidR="00E92DE5" w:rsidRPr="003D087C">
        <w:rPr>
          <w:rFonts w:ascii="Times New Roman" w:hAnsi="Times New Roman" w:cs="Times New Roman"/>
          <w:noProof/>
          <w:sz w:val="24"/>
          <w:szCs w:val="24"/>
        </w:rPr>
        <w:t>67–373</w:t>
      </w:r>
    </w:p>
    <w:p w:rsidR="00C151CB" w:rsidRPr="0078656D" w:rsidRDefault="00AA0D65" w:rsidP="0078656D">
      <w:pPr>
        <w:spacing w:line="480" w:lineRule="auto"/>
        <w:ind w:left="360"/>
        <w:rPr>
          <w:rFonts w:ascii="Times New Roman" w:hAnsi="Times New Roman" w:cs="Times New Roman"/>
          <w:sz w:val="24"/>
          <w:szCs w:val="24"/>
        </w:rPr>
      </w:pPr>
      <w:proofErr w:type="spellStart"/>
      <w:r w:rsidRPr="0078656D">
        <w:rPr>
          <w:rFonts w:ascii="Times New Roman" w:hAnsi="Times New Roman" w:cs="Times New Roman"/>
          <w:sz w:val="24"/>
          <w:szCs w:val="24"/>
        </w:rPr>
        <w:t>Sacchetti</w:t>
      </w:r>
      <w:proofErr w:type="spellEnd"/>
      <w:r w:rsidRPr="0078656D">
        <w:rPr>
          <w:rFonts w:ascii="Times New Roman" w:hAnsi="Times New Roman" w:cs="Times New Roman"/>
          <w:sz w:val="24"/>
          <w:szCs w:val="24"/>
        </w:rPr>
        <w:t xml:space="preserve"> </w:t>
      </w:r>
      <w:r w:rsidR="00C151CB" w:rsidRPr="0078656D">
        <w:rPr>
          <w:rFonts w:ascii="Times New Roman" w:hAnsi="Times New Roman" w:cs="Times New Roman"/>
          <w:sz w:val="24"/>
          <w:szCs w:val="24"/>
        </w:rPr>
        <w:t xml:space="preserve">M, </w:t>
      </w:r>
      <w:proofErr w:type="spellStart"/>
      <w:r w:rsidR="00C151CB" w:rsidRPr="0078656D">
        <w:rPr>
          <w:rFonts w:ascii="Times New Roman" w:hAnsi="Times New Roman" w:cs="Times New Roman"/>
          <w:sz w:val="24"/>
          <w:szCs w:val="24"/>
        </w:rPr>
        <w:t>Lambiase</w:t>
      </w:r>
      <w:proofErr w:type="spellEnd"/>
      <w:r w:rsidR="00C151CB" w:rsidRPr="0078656D">
        <w:rPr>
          <w:rFonts w:ascii="Times New Roman" w:hAnsi="Times New Roman" w:cs="Times New Roman"/>
          <w:sz w:val="24"/>
          <w:szCs w:val="24"/>
        </w:rPr>
        <w:t xml:space="preserve"> A </w:t>
      </w:r>
      <w:r w:rsidRPr="0078656D">
        <w:rPr>
          <w:rFonts w:ascii="Times New Roman" w:hAnsi="Times New Roman" w:cs="Times New Roman"/>
          <w:sz w:val="24"/>
          <w:szCs w:val="24"/>
        </w:rPr>
        <w:t>(</w:t>
      </w:r>
      <w:r w:rsidR="00C151CB" w:rsidRPr="0078656D">
        <w:rPr>
          <w:rFonts w:ascii="Times New Roman" w:hAnsi="Times New Roman" w:cs="Times New Roman"/>
          <w:sz w:val="24"/>
          <w:szCs w:val="24"/>
        </w:rPr>
        <w:t>2014</w:t>
      </w:r>
      <w:r w:rsidRPr="0078656D">
        <w:rPr>
          <w:rFonts w:ascii="Times New Roman" w:hAnsi="Times New Roman" w:cs="Times New Roman"/>
          <w:sz w:val="24"/>
          <w:szCs w:val="24"/>
        </w:rPr>
        <w:t>)</w:t>
      </w:r>
      <w:r w:rsidR="00C151CB" w:rsidRPr="0078656D">
        <w:rPr>
          <w:rFonts w:ascii="Times New Roman" w:hAnsi="Times New Roman" w:cs="Times New Roman"/>
          <w:sz w:val="24"/>
          <w:szCs w:val="24"/>
        </w:rPr>
        <w:t xml:space="preserve"> Diagnosis and management of </w:t>
      </w:r>
      <w:proofErr w:type="spellStart"/>
      <w:r w:rsidR="00C151CB" w:rsidRPr="0078656D">
        <w:rPr>
          <w:rFonts w:ascii="Times New Roman" w:hAnsi="Times New Roman" w:cs="Times New Roman"/>
          <w:sz w:val="24"/>
          <w:szCs w:val="24"/>
        </w:rPr>
        <w:t>neurotrophic</w:t>
      </w:r>
      <w:proofErr w:type="spellEnd"/>
      <w:r w:rsidR="00C151CB" w:rsidRPr="0078656D">
        <w:rPr>
          <w:rFonts w:ascii="Times New Roman" w:hAnsi="Times New Roman" w:cs="Times New Roman"/>
          <w:sz w:val="24"/>
          <w:szCs w:val="24"/>
        </w:rPr>
        <w:t xml:space="preserve"> keratitis. </w:t>
      </w:r>
      <w:proofErr w:type="spellStart"/>
      <w:r w:rsidR="00C151CB" w:rsidRPr="0078656D">
        <w:rPr>
          <w:rFonts w:ascii="Times New Roman" w:hAnsi="Times New Roman" w:cs="Times New Roman"/>
          <w:sz w:val="24"/>
          <w:szCs w:val="24"/>
        </w:rPr>
        <w:t>Clin</w:t>
      </w:r>
      <w:proofErr w:type="spellEnd"/>
      <w:r w:rsidR="00C151CB" w:rsidRPr="0078656D">
        <w:rPr>
          <w:rFonts w:ascii="Times New Roman" w:hAnsi="Times New Roman" w:cs="Times New Roman"/>
          <w:sz w:val="24"/>
          <w:szCs w:val="24"/>
        </w:rPr>
        <w:t xml:space="preserve"> </w:t>
      </w:r>
      <w:proofErr w:type="spellStart"/>
      <w:r w:rsidR="00C151CB" w:rsidRPr="0078656D">
        <w:rPr>
          <w:rFonts w:ascii="Times New Roman" w:hAnsi="Times New Roman" w:cs="Times New Roman"/>
          <w:sz w:val="24"/>
          <w:szCs w:val="24"/>
        </w:rPr>
        <w:t>Ophthalmol</w:t>
      </w:r>
      <w:proofErr w:type="spellEnd"/>
      <w:r w:rsidR="00C151CB" w:rsidRPr="0078656D">
        <w:rPr>
          <w:rFonts w:ascii="Times New Roman" w:hAnsi="Times New Roman" w:cs="Times New Roman"/>
          <w:sz w:val="24"/>
          <w:szCs w:val="24"/>
        </w:rPr>
        <w:t xml:space="preserve"> 8</w:t>
      </w:r>
      <w:r w:rsidRPr="0078656D">
        <w:rPr>
          <w:rFonts w:ascii="Times New Roman" w:hAnsi="Times New Roman" w:cs="Times New Roman"/>
          <w:sz w:val="24"/>
          <w:szCs w:val="24"/>
        </w:rPr>
        <w:t>:</w:t>
      </w:r>
      <w:r w:rsidR="00C151CB" w:rsidRPr="0078656D">
        <w:rPr>
          <w:rFonts w:ascii="Times New Roman" w:hAnsi="Times New Roman" w:cs="Times New Roman"/>
          <w:sz w:val="24"/>
          <w:szCs w:val="24"/>
        </w:rPr>
        <w:t xml:space="preserve"> 571–579</w:t>
      </w:r>
    </w:p>
    <w:p w:rsidR="004873E1" w:rsidRPr="0078656D" w:rsidRDefault="006B61C9" w:rsidP="0078656D">
      <w:pPr>
        <w:spacing w:line="480" w:lineRule="auto"/>
        <w:ind w:left="360"/>
        <w:jc w:val="both"/>
        <w:rPr>
          <w:rFonts w:ascii="Times New Roman" w:hAnsi="Times New Roman" w:cs="Times New Roman"/>
          <w:sz w:val="24"/>
          <w:szCs w:val="24"/>
        </w:rPr>
      </w:pPr>
      <w:proofErr w:type="spellStart"/>
      <w:r w:rsidRPr="0078656D">
        <w:rPr>
          <w:rFonts w:ascii="Times New Roman" w:hAnsi="Times New Roman" w:cs="Times New Roman"/>
          <w:sz w:val="24"/>
          <w:szCs w:val="24"/>
        </w:rPr>
        <w:lastRenderedPageBreak/>
        <w:t>Sacchetti</w:t>
      </w:r>
      <w:proofErr w:type="spellEnd"/>
      <w:r w:rsidR="004873E1" w:rsidRPr="0078656D">
        <w:rPr>
          <w:rFonts w:ascii="Times New Roman" w:hAnsi="Times New Roman" w:cs="Times New Roman"/>
          <w:sz w:val="24"/>
          <w:szCs w:val="24"/>
        </w:rPr>
        <w:t xml:space="preserve"> M, </w:t>
      </w:r>
      <w:proofErr w:type="spellStart"/>
      <w:r w:rsidR="004873E1" w:rsidRPr="0078656D">
        <w:rPr>
          <w:rFonts w:ascii="Times New Roman" w:hAnsi="Times New Roman" w:cs="Times New Roman"/>
          <w:sz w:val="24"/>
          <w:szCs w:val="24"/>
        </w:rPr>
        <w:t>Macchi</w:t>
      </w:r>
      <w:proofErr w:type="spellEnd"/>
      <w:r w:rsidR="004873E1" w:rsidRPr="0078656D">
        <w:rPr>
          <w:rFonts w:ascii="Times New Roman" w:hAnsi="Times New Roman" w:cs="Times New Roman"/>
          <w:sz w:val="24"/>
          <w:szCs w:val="24"/>
        </w:rPr>
        <w:t xml:space="preserve"> I, </w:t>
      </w:r>
      <w:proofErr w:type="spellStart"/>
      <w:r w:rsidR="004873E1" w:rsidRPr="0078656D">
        <w:rPr>
          <w:rFonts w:ascii="Times New Roman" w:hAnsi="Times New Roman" w:cs="Times New Roman"/>
          <w:sz w:val="24"/>
          <w:szCs w:val="24"/>
        </w:rPr>
        <w:t>Tiezzi</w:t>
      </w:r>
      <w:proofErr w:type="spellEnd"/>
      <w:r w:rsidR="004873E1" w:rsidRPr="0078656D">
        <w:rPr>
          <w:rFonts w:ascii="Times New Roman" w:hAnsi="Times New Roman" w:cs="Times New Roman"/>
          <w:sz w:val="24"/>
          <w:szCs w:val="24"/>
        </w:rPr>
        <w:t xml:space="preserve"> A, La Cava M, </w:t>
      </w:r>
      <w:proofErr w:type="spellStart"/>
      <w:r w:rsidR="004873E1" w:rsidRPr="0078656D">
        <w:rPr>
          <w:rFonts w:ascii="Times New Roman" w:hAnsi="Times New Roman" w:cs="Times New Roman"/>
          <w:sz w:val="24"/>
          <w:szCs w:val="24"/>
        </w:rPr>
        <w:t>Massaro</w:t>
      </w:r>
      <w:proofErr w:type="spellEnd"/>
      <w:r w:rsidR="004873E1" w:rsidRPr="0078656D">
        <w:rPr>
          <w:rFonts w:ascii="Times New Roman" w:hAnsi="Times New Roman" w:cs="Times New Roman"/>
          <w:sz w:val="24"/>
          <w:szCs w:val="24"/>
        </w:rPr>
        <w:t xml:space="preserve">-Giordano G, </w:t>
      </w:r>
      <w:proofErr w:type="spellStart"/>
      <w:r w:rsidR="004873E1" w:rsidRPr="0078656D">
        <w:rPr>
          <w:rFonts w:ascii="Times New Roman" w:hAnsi="Times New Roman" w:cs="Times New Roman"/>
          <w:sz w:val="24"/>
          <w:szCs w:val="24"/>
        </w:rPr>
        <w:t>Lambiase</w:t>
      </w:r>
      <w:proofErr w:type="spellEnd"/>
      <w:r w:rsidR="004873E1" w:rsidRPr="0078656D">
        <w:rPr>
          <w:rFonts w:ascii="Times New Roman" w:hAnsi="Times New Roman" w:cs="Times New Roman"/>
          <w:sz w:val="24"/>
          <w:szCs w:val="24"/>
        </w:rPr>
        <w:t xml:space="preserve"> A </w:t>
      </w:r>
      <w:r w:rsidRPr="0078656D">
        <w:rPr>
          <w:rFonts w:ascii="Times New Roman" w:hAnsi="Times New Roman" w:cs="Times New Roman"/>
          <w:sz w:val="24"/>
          <w:szCs w:val="24"/>
        </w:rPr>
        <w:t>(</w:t>
      </w:r>
      <w:r w:rsidR="004873E1" w:rsidRPr="0078656D">
        <w:rPr>
          <w:rFonts w:ascii="Times New Roman" w:hAnsi="Times New Roman" w:cs="Times New Roman"/>
          <w:sz w:val="24"/>
          <w:szCs w:val="24"/>
        </w:rPr>
        <w:t>2016</w:t>
      </w:r>
      <w:r w:rsidRPr="0078656D">
        <w:rPr>
          <w:rFonts w:ascii="Times New Roman" w:hAnsi="Times New Roman" w:cs="Times New Roman"/>
          <w:sz w:val="24"/>
          <w:szCs w:val="24"/>
        </w:rPr>
        <w:t>)</w:t>
      </w:r>
      <w:r w:rsidR="004873E1" w:rsidRPr="0078656D">
        <w:rPr>
          <w:rFonts w:ascii="Times New Roman" w:hAnsi="Times New Roman" w:cs="Times New Roman"/>
          <w:sz w:val="24"/>
          <w:szCs w:val="24"/>
        </w:rPr>
        <w:t xml:space="preserve"> Pathophysiology of Corneal Dystrophies: From Cellular Genetic Alteration to Clinical Findings. J Cell </w:t>
      </w:r>
      <w:proofErr w:type="spellStart"/>
      <w:r w:rsidR="004873E1" w:rsidRPr="0078656D">
        <w:rPr>
          <w:rFonts w:ascii="Times New Roman" w:hAnsi="Times New Roman" w:cs="Times New Roman"/>
          <w:sz w:val="24"/>
          <w:szCs w:val="24"/>
        </w:rPr>
        <w:t>Phy</w:t>
      </w:r>
      <w:r w:rsidRPr="0078656D">
        <w:rPr>
          <w:rFonts w:ascii="Times New Roman" w:hAnsi="Times New Roman" w:cs="Times New Roman"/>
          <w:sz w:val="24"/>
          <w:szCs w:val="24"/>
        </w:rPr>
        <w:t>siol</w:t>
      </w:r>
      <w:proofErr w:type="spellEnd"/>
      <w:r w:rsidRPr="0078656D">
        <w:rPr>
          <w:rFonts w:ascii="Times New Roman" w:hAnsi="Times New Roman" w:cs="Times New Roman"/>
          <w:sz w:val="24"/>
          <w:szCs w:val="24"/>
        </w:rPr>
        <w:t xml:space="preserve"> 231</w:t>
      </w:r>
      <w:r w:rsidR="001C5C87" w:rsidRPr="0078656D">
        <w:rPr>
          <w:rFonts w:ascii="Times New Roman" w:hAnsi="Times New Roman" w:cs="Times New Roman"/>
          <w:sz w:val="24"/>
          <w:szCs w:val="24"/>
        </w:rPr>
        <w:t>:</w:t>
      </w:r>
      <w:r w:rsidRPr="0078656D">
        <w:rPr>
          <w:rFonts w:ascii="Times New Roman" w:hAnsi="Times New Roman" w:cs="Times New Roman"/>
          <w:sz w:val="24"/>
          <w:szCs w:val="24"/>
        </w:rPr>
        <w:t xml:space="preserve"> 261–269</w:t>
      </w:r>
    </w:p>
    <w:p w:rsidR="004873E1" w:rsidRPr="003D087C"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Schauwvlieghe P-P, Jaeken J, Kestelyn P</w:t>
      </w:r>
      <w:r w:rsidR="004B5FCA"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Claerhout I</w:t>
      </w:r>
      <w:r w:rsidR="004B5FCA"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2013</w:t>
      </w:r>
      <w:r w:rsidR="004B5FCA" w:rsidRPr="003D087C">
        <w:rPr>
          <w:rFonts w:ascii="Times New Roman" w:hAnsi="Times New Roman" w:cs="Times New Roman"/>
          <w:noProof/>
          <w:sz w:val="24"/>
          <w:szCs w:val="24"/>
        </w:rPr>
        <w:t>) C</w:t>
      </w:r>
      <w:r w:rsidRPr="003D087C">
        <w:rPr>
          <w:rFonts w:ascii="Times New Roman" w:hAnsi="Times New Roman" w:cs="Times New Roman"/>
          <w:noProof/>
          <w:sz w:val="24"/>
          <w:szCs w:val="24"/>
        </w:rPr>
        <w:t xml:space="preserve">onfocal microscopy of corneal crystals in a patient with Hereditary Tyrosinaemia Type I, treated With NTBC. </w:t>
      </w:r>
      <w:r w:rsidRPr="003D087C">
        <w:rPr>
          <w:rFonts w:ascii="Times New Roman" w:hAnsi="Times New Roman" w:cs="Times New Roman"/>
          <w:iCs/>
          <w:noProof/>
          <w:sz w:val="24"/>
          <w:szCs w:val="24"/>
        </w:rPr>
        <w:t>Cornea</w:t>
      </w:r>
      <w:r w:rsidR="004B5FCA" w:rsidRPr="003D087C">
        <w:rPr>
          <w:rFonts w:ascii="Times New Roman" w:hAnsi="Times New Roman" w:cs="Times New Roman"/>
          <w:iCs/>
          <w:noProof/>
          <w:sz w:val="24"/>
          <w:szCs w:val="24"/>
        </w:rPr>
        <w:t>:</w:t>
      </w:r>
      <w:r w:rsidRPr="003D087C">
        <w:rPr>
          <w:rFonts w:ascii="Times New Roman" w:hAnsi="Times New Roman" w:cs="Times New Roman"/>
          <w:iCs/>
          <w:noProof/>
          <w:sz w:val="24"/>
          <w:szCs w:val="24"/>
        </w:rPr>
        <w:t xml:space="preserve"> </w:t>
      </w:r>
      <w:r w:rsidRPr="003D087C">
        <w:rPr>
          <w:rFonts w:ascii="Times New Roman" w:hAnsi="Times New Roman" w:cs="Times New Roman"/>
          <w:noProof/>
          <w:sz w:val="24"/>
          <w:szCs w:val="24"/>
        </w:rPr>
        <w:t>32(1)</w:t>
      </w:r>
      <w:r w:rsidR="004B5FCA" w:rsidRPr="003D087C">
        <w:rPr>
          <w:rFonts w:ascii="Times New Roman" w:hAnsi="Times New Roman" w:cs="Times New Roman"/>
          <w:noProof/>
          <w:sz w:val="24"/>
          <w:szCs w:val="24"/>
        </w:rPr>
        <w:t>: 91–94</w:t>
      </w:r>
    </w:p>
    <w:p w:rsidR="004873E1" w:rsidRPr="001948A5"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Shaheen B, Bakir M</w:t>
      </w:r>
      <w:r w:rsidR="000930C9"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Jain S</w:t>
      </w:r>
      <w:r w:rsidR="000930C9"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2014</w:t>
      </w:r>
      <w:r w:rsidR="000930C9"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Corneal nerves in health and disease. </w:t>
      </w:r>
      <w:r w:rsidRPr="001948A5">
        <w:rPr>
          <w:rFonts w:ascii="Times New Roman" w:hAnsi="Times New Roman" w:cs="Times New Roman"/>
          <w:iCs/>
          <w:noProof/>
          <w:sz w:val="24"/>
          <w:szCs w:val="24"/>
        </w:rPr>
        <w:t xml:space="preserve">Surv ophthalmol </w:t>
      </w:r>
      <w:r w:rsidRPr="001948A5">
        <w:rPr>
          <w:rFonts w:ascii="Times New Roman" w:hAnsi="Times New Roman" w:cs="Times New Roman"/>
          <w:noProof/>
          <w:sz w:val="24"/>
          <w:szCs w:val="24"/>
        </w:rPr>
        <w:t>59(3)</w:t>
      </w:r>
      <w:r w:rsidR="00D25BA2" w:rsidRPr="001948A5">
        <w:rPr>
          <w:rFonts w:ascii="Times New Roman" w:hAnsi="Times New Roman" w:cs="Times New Roman"/>
          <w:noProof/>
          <w:sz w:val="24"/>
          <w:szCs w:val="24"/>
        </w:rPr>
        <w:t>:</w:t>
      </w:r>
      <w:r w:rsidRPr="001948A5">
        <w:rPr>
          <w:rFonts w:ascii="Times New Roman" w:hAnsi="Times New Roman" w:cs="Times New Roman"/>
          <w:noProof/>
          <w:sz w:val="24"/>
          <w:szCs w:val="24"/>
        </w:rPr>
        <w:t xml:space="preserve"> 263–85</w:t>
      </w:r>
    </w:p>
    <w:p w:rsidR="004873E1" w:rsidRPr="003D087C"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Stewart R</w:t>
      </w:r>
      <w:r w:rsidR="00E92DE5" w:rsidRPr="003D087C">
        <w:rPr>
          <w:rFonts w:ascii="Times New Roman" w:hAnsi="Times New Roman" w:cs="Times New Roman"/>
          <w:noProof/>
          <w:sz w:val="24"/>
          <w:szCs w:val="24"/>
        </w:rPr>
        <w:t>, Briggs MC, Jarvis</w:t>
      </w:r>
      <w:r w:rsidRPr="003D087C">
        <w:rPr>
          <w:rFonts w:ascii="Times New Roman" w:hAnsi="Times New Roman" w:cs="Times New Roman"/>
          <w:noProof/>
          <w:sz w:val="24"/>
          <w:szCs w:val="24"/>
        </w:rPr>
        <w:t xml:space="preserve"> </w:t>
      </w:r>
      <w:r w:rsidR="00E92DE5" w:rsidRPr="003D087C">
        <w:rPr>
          <w:rFonts w:ascii="Times New Roman" w:hAnsi="Times New Roman" w:cs="Times New Roman"/>
          <w:noProof/>
          <w:sz w:val="24"/>
          <w:szCs w:val="24"/>
        </w:rPr>
        <w:t xml:space="preserve">JC </w:t>
      </w:r>
      <w:r w:rsidRPr="003D087C">
        <w:rPr>
          <w:rFonts w:ascii="Times New Roman" w:hAnsi="Times New Roman" w:cs="Times New Roman"/>
          <w:noProof/>
          <w:sz w:val="24"/>
          <w:szCs w:val="24"/>
        </w:rPr>
        <w:t>et al</w:t>
      </w:r>
      <w:r w:rsidR="00E92DE5" w:rsidRPr="003D087C">
        <w:rPr>
          <w:rFonts w:ascii="Times New Roman" w:hAnsi="Times New Roman" w:cs="Times New Roman"/>
          <w:noProof/>
          <w:sz w:val="24"/>
          <w:szCs w:val="24"/>
        </w:rPr>
        <w:t xml:space="preserve"> (</w:t>
      </w:r>
      <w:r w:rsidRPr="003D087C">
        <w:rPr>
          <w:rFonts w:ascii="Times New Roman" w:hAnsi="Times New Roman" w:cs="Times New Roman"/>
          <w:noProof/>
          <w:sz w:val="24"/>
          <w:szCs w:val="24"/>
        </w:rPr>
        <w:t>2014</w:t>
      </w:r>
      <w:r w:rsidR="00E92DE5"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Reversible keratopathy due to hypertyrosinaemia following intermittent low-dose nitisinone in alkaptonuria: a case report. </w:t>
      </w:r>
      <w:r w:rsidR="00E92DE5" w:rsidRPr="003D087C">
        <w:rPr>
          <w:rFonts w:ascii="Times New Roman" w:hAnsi="Times New Roman" w:cs="Times New Roman"/>
          <w:noProof/>
          <w:sz w:val="24"/>
          <w:szCs w:val="24"/>
        </w:rPr>
        <w:t xml:space="preserve">JIMD Reports </w:t>
      </w:r>
      <w:r w:rsidRPr="003D087C">
        <w:rPr>
          <w:rFonts w:ascii="Times New Roman" w:hAnsi="Times New Roman" w:cs="Times New Roman"/>
          <w:noProof/>
          <w:sz w:val="24"/>
          <w:szCs w:val="24"/>
        </w:rPr>
        <w:t>17</w:t>
      </w:r>
      <w:r w:rsidR="00E92DE5"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1–6</w:t>
      </w:r>
    </w:p>
    <w:p w:rsidR="004873E1" w:rsidRPr="003D087C" w:rsidRDefault="004873E1" w:rsidP="0078656D">
      <w:pPr>
        <w:pStyle w:val="Bibliography"/>
        <w:spacing w:line="480" w:lineRule="auto"/>
        <w:ind w:left="360"/>
        <w:jc w:val="both"/>
        <w:rPr>
          <w:rFonts w:ascii="Times New Roman" w:hAnsi="Times New Roman" w:cs="Times New Roman"/>
          <w:noProof/>
          <w:sz w:val="24"/>
          <w:szCs w:val="24"/>
        </w:rPr>
      </w:pPr>
      <w:r w:rsidRPr="003D087C">
        <w:rPr>
          <w:rFonts w:ascii="Times New Roman" w:hAnsi="Times New Roman" w:cs="Times New Roman"/>
          <w:noProof/>
          <w:sz w:val="24"/>
          <w:szCs w:val="24"/>
        </w:rPr>
        <w:t>Zannoni VG, Lomtevas N</w:t>
      </w:r>
      <w:r w:rsidR="00D25BA2"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Goldfinger S </w:t>
      </w:r>
      <w:r w:rsidR="00D25BA2" w:rsidRPr="003D087C">
        <w:rPr>
          <w:rFonts w:ascii="Times New Roman" w:hAnsi="Times New Roman" w:cs="Times New Roman"/>
          <w:noProof/>
          <w:sz w:val="24"/>
          <w:szCs w:val="24"/>
        </w:rPr>
        <w:t>(</w:t>
      </w:r>
      <w:r w:rsidRPr="003D087C">
        <w:rPr>
          <w:rFonts w:ascii="Times New Roman" w:hAnsi="Times New Roman" w:cs="Times New Roman"/>
          <w:noProof/>
          <w:sz w:val="24"/>
          <w:szCs w:val="24"/>
        </w:rPr>
        <w:t>1969</w:t>
      </w:r>
      <w:r w:rsidR="00D25BA2"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Oxidation of homogentisic acid to ochronotic pigment in Connective tissue. </w:t>
      </w:r>
      <w:r w:rsidRPr="00DE211B">
        <w:rPr>
          <w:rFonts w:ascii="Times New Roman" w:hAnsi="Times New Roman" w:cs="Times New Roman"/>
          <w:iCs/>
          <w:noProof/>
          <w:sz w:val="24"/>
          <w:szCs w:val="24"/>
        </w:rPr>
        <w:t>Biochim Biophys Acta</w:t>
      </w:r>
      <w:r w:rsidRPr="00DE211B">
        <w:rPr>
          <w:rFonts w:ascii="Times New Roman" w:hAnsi="Times New Roman" w:cs="Times New Roman"/>
          <w:noProof/>
          <w:sz w:val="24"/>
          <w:szCs w:val="24"/>
        </w:rPr>
        <w:t xml:space="preserve"> 177</w:t>
      </w:r>
      <w:r w:rsidR="00D25BA2" w:rsidRPr="003D087C">
        <w:rPr>
          <w:rFonts w:ascii="Times New Roman" w:hAnsi="Times New Roman" w:cs="Times New Roman"/>
          <w:noProof/>
          <w:sz w:val="24"/>
          <w:szCs w:val="24"/>
        </w:rPr>
        <w:t>:</w:t>
      </w:r>
      <w:r w:rsidRPr="003D087C">
        <w:rPr>
          <w:rFonts w:ascii="Times New Roman" w:hAnsi="Times New Roman" w:cs="Times New Roman"/>
          <w:noProof/>
          <w:sz w:val="24"/>
          <w:szCs w:val="24"/>
        </w:rPr>
        <w:t xml:space="preserve"> 94-105</w:t>
      </w:r>
    </w:p>
    <w:p w:rsidR="00040441" w:rsidRPr="003D087C" w:rsidRDefault="00040441" w:rsidP="003D087C">
      <w:pPr>
        <w:spacing w:line="480" w:lineRule="auto"/>
        <w:jc w:val="both"/>
        <w:rPr>
          <w:rFonts w:ascii="Times New Roman" w:hAnsi="Times New Roman" w:cs="Times New Roman"/>
          <w:sz w:val="24"/>
          <w:szCs w:val="24"/>
        </w:rPr>
      </w:pPr>
    </w:p>
    <w:p w:rsidR="00040441" w:rsidRPr="003D087C" w:rsidRDefault="00040441" w:rsidP="003D087C">
      <w:pPr>
        <w:spacing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Figure Legends:</w:t>
      </w:r>
    </w:p>
    <w:p w:rsidR="006E2809" w:rsidRPr="003D087C" w:rsidRDefault="00040441" w:rsidP="003D087C">
      <w:pPr>
        <w:spacing w:line="480" w:lineRule="auto"/>
        <w:jc w:val="both"/>
        <w:rPr>
          <w:rFonts w:ascii="Times New Roman" w:hAnsi="Times New Roman" w:cs="Times New Roman"/>
          <w:sz w:val="24"/>
          <w:szCs w:val="24"/>
        </w:rPr>
      </w:pPr>
      <w:r w:rsidRPr="003D087C">
        <w:rPr>
          <w:rFonts w:ascii="Times New Roman" w:hAnsi="Times New Roman" w:cs="Times New Roman"/>
          <w:b/>
          <w:sz w:val="24"/>
          <w:szCs w:val="24"/>
        </w:rPr>
        <w:t xml:space="preserve">Figure 1: </w:t>
      </w:r>
      <w:r w:rsidR="00BE49AE" w:rsidRPr="00BE49AE">
        <w:rPr>
          <w:rFonts w:ascii="Times New Roman" w:hAnsi="Times New Roman" w:cs="Times New Roman"/>
          <w:sz w:val="24"/>
          <w:szCs w:val="24"/>
        </w:rPr>
        <w:t xml:space="preserve">No evidence of keratopathy in </w:t>
      </w:r>
      <w:r w:rsidR="0032148A" w:rsidRPr="00BE49AE">
        <w:rPr>
          <w:rFonts w:ascii="Times New Roman" w:hAnsi="Times New Roman" w:cs="Times New Roman"/>
          <w:sz w:val="24"/>
          <w:szCs w:val="24"/>
        </w:rPr>
        <w:t>on</w:t>
      </w:r>
      <w:r w:rsidR="0032148A" w:rsidRPr="003D087C">
        <w:rPr>
          <w:rFonts w:ascii="Times New Roman" w:hAnsi="Times New Roman" w:cs="Times New Roman"/>
          <w:sz w:val="24"/>
          <w:szCs w:val="24"/>
        </w:rPr>
        <w:t xml:space="preserve"> the</w:t>
      </w:r>
      <w:r w:rsidR="00BE49AE">
        <w:rPr>
          <w:rFonts w:ascii="Times New Roman" w:hAnsi="Times New Roman" w:cs="Times New Roman"/>
          <w:sz w:val="24"/>
          <w:szCs w:val="24"/>
        </w:rPr>
        <w:t xml:space="preserve"> first </w:t>
      </w:r>
      <w:r w:rsidR="00BE49AE" w:rsidRPr="003D087C">
        <w:rPr>
          <w:rFonts w:ascii="Times New Roman" w:hAnsi="Times New Roman" w:cs="Times New Roman"/>
          <w:sz w:val="24"/>
          <w:szCs w:val="24"/>
        </w:rPr>
        <w:t>(not shown here)</w:t>
      </w:r>
      <w:r w:rsidR="00BE49AE">
        <w:rPr>
          <w:rFonts w:ascii="Times New Roman" w:hAnsi="Times New Roman" w:cs="Times New Roman"/>
          <w:sz w:val="24"/>
          <w:szCs w:val="24"/>
        </w:rPr>
        <w:t>,</w:t>
      </w:r>
      <w:r w:rsidR="00972432" w:rsidRPr="003D087C">
        <w:rPr>
          <w:rFonts w:ascii="Times New Roman" w:hAnsi="Times New Roman" w:cs="Times New Roman"/>
          <w:sz w:val="24"/>
          <w:szCs w:val="24"/>
        </w:rPr>
        <w:t xml:space="preserve"> second</w:t>
      </w:r>
      <w:r w:rsidR="00BE49AE">
        <w:rPr>
          <w:rFonts w:ascii="Times New Roman" w:hAnsi="Times New Roman" w:cs="Times New Roman"/>
          <w:sz w:val="24"/>
          <w:szCs w:val="24"/>
        </w:rPr>
        <w:t xml:space="preserve"> (1a and 1b)</w:t>
      </w:r>
      <w:r w:rsidR="00972432" w:rsidRPr="003D087C">
        <w:rPr>
          <w:rFonts w:ascii="Times New Roman" w:hAnsi="Times New Roman" w:cs="Times New Roman"/>
          <w:sz w:val="24"/>
          <w:szCs w:val="24"/>
        </w:rPr>
        <w:t xml:space="preserve"> and third visit</w:t>
      </w:r>
      <w:r w:rsidR="00BB26C2">
        <w:rPr>
          <w:rFonts w:ascii="Times New Roman" w:hAnsi="Times New Roman" w:cs="Times New Roman"/>
          <w:sz w:val="24"/>
          <w:szCs w:val="24"/>
        </w:rPr>
        <w:t xml:space="preserve"> (1c and 1d)</w:t>
      </w:r>
      <w:r w:rsidR="00972432" w:rsidRPr="003D087C">
        <w:rPr>
          <w:rFonts w:ascii="Times New Roman" w:hAnsi="Times New Roman" w:cs="Times New Roman"/>
          <w:sz w:val="24"/>
          <w:szCs w:val="24"/>
        </w:rPr>
        <w:t xml:space="preserve">. </w:t>
      </w:r>
      <w:r w:rsidR="00BE49AE">
        <w:rPr>
          <w:rFonts w:ascii="Times New Roman" w:hAnsi="Times New Roman" w:cs="Times New Roman"/>
          <w:sz w:val="24"/>
          <w:szCs w:val="24"/>
        </w:rPr>
        <w:t>On the fourth visit, t</w:t>
      </w:r>
      <w:r w:rsidR="0032148A" w:rsidRPr="003D087C">
        <w:rPr>
          <w:rFonts w:ascii="Times New Roman" w:hAnsi="Times New Roman" w:cs="Times New Roman"/>
          <w:sz w:val="24"/>
          <w:szCs w:val="24"/>
        </w:rPr>
        <w:t>yrosine</w:t>
      </w:r>
      <w:r w:rsidR="00BB26C2">
        <w:rPr>
          <w:rFonts w:ascii="Times New Roman" w:hAnsi="Times New Roman" w:cs="Times New Roman"/>
          <w:sz w:val="24"/>
          <w:szCs w:val="24"/>
        </w:rPr>
        <w:t xml:space="preserve"> keratopathy </w:t>
      </w:r>
      <w:r w:rsidR="00BB26C2" w:rsidRPr="003D087C">
        <w:rPr>
          <w:rFonts w:ascii="Times New Roman" w:hAnsi="Times New Roman" w:cs="Times New Roman"/>
          <w:sz w:val="24"/>
          <w:szCs w:val="24"/>
        </w:rPr>
        <w:t>lesions</w:t>
      </w:r>
      <w:r w:rsidR="0032148A" w:rsidRPr="003D087C">
        <w:rPr>
          <w:rFonts w:ascii="Times New Roman" w:hAnsi="Times New Roman" w:cs="Times New Roman"/>
          <w:sz w:val="24"/>
          <w:szCs w:val="24"/>
        </w:rPr>
        <w:t xml:space="preserve"> are seen in both eyes</w:t>
      </w:r>
      <w:r w:rsidR="00DF3887" w:rsidRPr="003D087C">
        <w:rPr>
          <w:rFonts w:ascii="Times New Roman" w:hAnsi="Times New Roman" w:cs="Times New Roman"/>
          <w:sz w:val="24"/>
          <w:szCs w:val="24"/>
        </w:rPr>
        <w:t xml:space="preserve"> </w:t>
      </w:r>
      <w:r w:rsidR="0032148A" w:rsidRPr="003D087C">
        <w:rPr>
          <w:rFonts w:ascii="Times New Roman" w:hAnsi="Times New Roman" w:cs="Times New Roman"/>
          <w:sz w:val="24"/>
          <w:szCs w:val="24"/>
        </w:rPr>
        <w:t>(</w:t>
      </w:r>
      <w:r w:rsidR="006E2809" w:rsidRPr="003D087C">
        <w:rPr>
          <w:rFonts w:ascii="Times New Roman" w:hAnsi="Times New Roman" w:cs="Times New Roman"/>
          <w:sz w:val="24"/>
          <w:szCs w:val="24"/>
        </w:rPr>
        <w:t>red arrows</w:t>
      </w:r>
      <w:r w:rsidR="00BB26C2">
        <w:rPr>
          <w:rFonts w:ascii="Times New Roman" w:hAnsi="Times New Roman" w:cs="Times New Roman"/>
          <w:sz w:val="24"/>
          <w:szCs w:val="24"/>
        </w:rPr>
        <w:t xml:space="preserve"> in 1e and 1f</w:t>
      </w:r>
      <w:r w:rsidR="0032148A" w:rsidRPr="003D087C">
        <w:rPr>
          <w:rFonts w:ascii="Times New Roman" w:hAnsi="Times New Roman" w:cs="Times New Roman"/>
          <w:sz w:val="24"/>
          <w:szCs w:val="24"/>
        </w:rPr>
        <w:t>)</w:t>
      </w:r>
      <w:r w:rsidR="00972432" w:rsidRPr="003D087C">
        <w:rPr>
          <w:rFonts w:ascii="Times New Roman" w:hAnsi="Times New Roman" w:cs="Times New Roman"/>
          <w:sz w:val="24"/>
          <w:szCs w:val="24"/>
        </w:rPr>
        <w:t>.</w:t>
      </w:r>
      <w:r w:rsidR="0032148A" w:rsidRPr="003D087C">
        <w:rPr>
          <w:rFonts w:ascii="Times New Roman" w:hAnsi="Times New Roman" w:cs="Times New Roman"/>
          <w:sz w:val="24"/>
          <w:szCs w:val="24"/>
        </w:rPr>
        <w:t xml:space="preserve"> </w:t>
      </w:r>
    </w:p>
    <w:p w:rsidR="00040441" w:rsidRPr="003D087C" w:rsidRDefault="006E2809" w:rsidP="003D087C">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Fifth visit: Minimal corneal </w:t>
      </w:r>
      <w:r w:rsidR="00972432" w:rsidRPr="003D087C">
        <w:rPr>
          <w:rFonts w:ascii="Times New Roman" w:hAnsi="Times New Roman" w:cs="Times New Roman"/>
          <w:sz w:val="24"/>
          <w:szCs w:val="24"/>
        </w:rPr>
        <w:t xml:space="preserve">epithelial </w:t>
      </w:r>
      <w:r w:rsidRPr="003D087C">
        <w:rPr>
          <w:rFonts w:ascii="Times New Roman" w:hAnsi="Times New Roman" w:cs="Times New Roman"/>
          <w:sz w:val="24"/>
          <w:szCs w:val="24"/>
        </w:rPr>
        <w:t xml:space="preserve">disturbance with minimal </w:t>
      </w:r>
      <w:r w:rsidR="00972432" w:rsidRPr="003D087C">
        <w:rPr>
          <w:rFonts w:ascii="Times New Roman" w:hAnsi="Times New Roman" w:cs="Times New Roman"/>
          <w:sz w:val="24"/>
          <w:szCs w:val="24"/>
        </w:rPr>
        <w:t>fluorescein</w:t>
      </w:r>
      <w:r w:rsidRPr="003D087C">
        <w:rPr>
          <w:rFonts w:ascii="Times New Roman" w:hAnsi="Times New Roman" w:cs="Times New Roman"/>
          <w:sz w:val="24"/>
          <w:szCs w:val="24"/>
        </w:rPr>
        <w:t xml:space="preserve"> uptake</w:t>
      </w:r>
      <w:r w:rsidR="00972432" w:rsidRPr="003D087C">
        <w:rPr>
          <w:rFonts w:ascii="Times New Roman" w:hAnsi="Times New Roman" w:cs="Times New Roman"/>
          <w:sz w:val="24"/>
          <w:szCs w:val="24"/>
        </w:rPr>
        <w:t xml:space="preserve"> </w:t>
      </w:r>
      <w:r w:rsidR="0032148A" w:rsidRPr="003D087C">
        <w:rPr>
          <w:rFonts w:ascii="Times New Roman" w:hAnsi="Times New Roman" w:cs="Times New Roman"/>
          <w:sz w:val="24"/>
          <w:szCs w:val="24"/>
        </w:rPr>
        <w:t>in the left eye (</w:t>
      </w:r>
      <w:r w:rsidRPr="003D087C">
        <w:rPr>
          <w:rFonts w:ascii="Times New Roman" w:hAnsi="Times New Roman" w:cs="Times New Roman"/>
          <w:sz w:val="24"/>
          <w:szCs w:val="24"/>
        </w:rPr>
        <w:t>red arrow</w:t>
      </w:r>
      <w:r w:rsidR="00BB26C2">
        <w:rPr>
          <w:rFonts w:ascii="Times New Roman" w:hAnsi="Times New Roman" w:cs="Times New Roman"/>
          <w:sz w:val="24"/>
          <w:szCs w:val="24"/>
        </w:rPr>
        <w:t>, 1h</w:t>
      </w:r>
      <w:r w:rsidR="0032148A" w:rsidRPr="003D087C">
        <w:rPr>
          <w:rFonts w:ascii="Times New Roman" w:hAnsi="Times New Roman" w:cs="Times New Roman"/>
          <w:sz w:val="24"/>
          <w:szCs w:val="24"/>
        </w:rPr>
        <w:t>)</w:t>
      </w:r>
      <w:r w:rsidRPr="003D087C">
        <w:rPr>
          <w:rFonts w:ascii="Times New Roman" w:hAnsi="Times New Roman" w:cs="Times New Roman"/>
          <w:sz w:val="24"/>
          <w:szCs w:val="24"/>
        </w:rPr>
        <w:t xml:space="preserve"> and normal right eye</w:t>
      </w:r>
      <w:r w:rsidR="00BB26C2">
        <w:rPr>
          <w:rFonts w:ascii="Times New Roman" w:hAnsi="Times New Roman" w:cs="Times New Roman"/>
          <w:sz w:val="24"/>
          <w:szCs w:val="24"/>
        </w:rPr>
        <w:t xml:space="preserve"> (1g)</w:t>
      </w:r>
    </w:p>
    <w:p w:rsidR="00040441" w:rsidRPr="003D087C" w:rsidRDefault="00040441" w:rsidP="003D087C">
      <w:pPr>
        <w:spacing w:line="480" w:lineRule="auto"/>
        <w:jc w:val="both"/>
        <w:rPr>
          <w:rFonts w:ascii="Times New Roman" w:hAnsi="Times New Roman" w:cs="Times New Roman"/>
          <w:noProof/>
          <w:sz w:val="24"/>
          <w:szCs w:val="24"/>
          <w:lang w:eastAsia="en-GB"/>
        </w:rPr>
      </w:pPr>
    </w:p>
    <w:p w:rsidR="00307098" w:rsidRPr="003D087C" w:rsidRDefault="00040441" w:rsidP="003D087C">
      <w:pPr>
        <w:autoSpaceDE w:val="0"/>
        <w:autoSpaceDN w:val="0"/>
        <w:adjustRightInd w:val="0"/>
        <w:spacing w:line="480" w:lineRule="auto"/>
        <w:jc w:val="both"/>
        <w:rPr>
          <w:rFonts w:ascii="Times New Roman" w:hAnsi="Times New Roman" w:cs="Times New Roman"/>
          <w:b/>
          <w:sz w:val="24"/>
          <w:szCs w:val="24"/>
        </w:rPr>
      </w:pPr>
      <w:r w:rsidRPr="003D087C">
        <w:rPr>
          <w:rFonts w:ascii="Times New Roman" w:hAnsi="Times New Roman" w:cs="Times New Roman"/>
          <w:b/>
          <w:sz w:val="24"/>
          <w:szCs w:val="24"/>
        </w:rPr>
        <w:t>Legend to Tables:</w:t>
      </w:r>
      <w:r w:rsidR="00AC138C" w:rsidRPr="003D087C">
        <w:rPr>
          <w:rFonts w:ascii="Times New Roman" w:hAnsi="Times New Roman" w:cs="Times New Roman"/>
          <w:b/>
          <w:sz w:val="24"/>
          <w:szCs w:val="24"/>
        </w:rPr>
        <w:t xml:space="preserve"> </w:t>
      </w:r>
    </w:p>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lastRenderedPageBreak/>
        <w:t xml:space="preserve">Table 1: Summary of the metabolic data </w:t>
      </w:r>
      <w:r w:rsidR="00DF3887" w:rsidRPr="003D087C">
        <w:rPr>
          <w:rFonts w:ascii="Times New Roman" w:hAnsi="Times New Roman" w:cs="Times New Roman"/>
          <w:sz w:val="24"/>
          <w:szCs w:val="24"/>
        </w:rPr>
        <w:t>for</w:t>
      </w:r>
      <w:r w:rsidRPr="003D087C">
        <w:rPr>
          <w:rFonts w:ascii="Times New Roman" w:hAnsi="Times New Roman" w:cs="Times New Roman"/>
          <w:sz w:val="24"/>
          <w:szCs w:val="24"/>
        </w:rPr>
        <w:t xml:space="preserve"> case</w:t>
      </w:r>
      <w:r w:rsidR="00DF3887" w:rsidRPr="003D087C">
        <w:rPr>
          <w:rFonts w:ascii="Times New Roman" w:hAnsi="Times New Roman" w:cs="Times New Roman"/>
          <w:sz w:val="24"/>
          <w:szCs w:val="24"/>
        </w:rPr>
        <w:t xml:space="preserve"> subject</w:t>
      </w:r>
    </w:p>
    <w:p w:rsidR="00040441"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Table 2: Summary of nitisinone induced tyrosine keratopathy cases in AKU</w:t>
      </w: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Default="00261111" w:rsidP="003D087C">
      <w:pPr>
        <w:autoSpaceDE w:val="0"/>
        <w:autoSpaceDN w:val="0"/>
        <w:adjustRightInd w:val="0"/>
        <w:spacing w:line="480" w:lineRule="auto"/>
        <w:jc w:val="both"/>
        <w:rPr>
          <w:rFonts w:ascii="Times New Roman" w:hAnsi="Times New Roman" w:cs="Times New Roman"/>
          <w:sz w:val="24"/>
          <w:szCs w:val="24"/>
        </w:rPr>
      </w:pPr>
    </w:p>
    <w:p w:rsidR="00261111" w:rsidRPr="003D087C" w:rsidRDefault="00261111" w:rsidP="003D087C">
      <w:pPr>
        <w:autoSpaceDE w:val="0"/>
        <w:autoSpaceDN w:val="0"/>
        <w:adjustRightInd w:val="0"/>
        <w:spacing w:line="480" w:lineRule="auto"/>
        <w:jc w:val="both"/>
        <w:rPr>
          <w:rFonts w:ascii="Times New Roman" w:hAnsi="Times New Roman" w:cs="Times New Roman"/>
          <w:sz w:val="24"/>
          <w:szCs w:val="24"/>
        </w:rPr>
      </w:pPr>
    </w:p>
    <w:p w:rsidR="00DF19E6" w:rsidRDefault="00DF19E6" w:rsidP="00261111">
      <w:pPr>
        <w:spacing w:after="0" w:line="240" w:lineRule="auto"/>
        <w:jc w:val="both"/>
        <w:rPr>
          <w:rFonts w:ascii="Times New Roman" w:hAnsi="Times New Roman" w:cs="Times New Roman"/>
          <w:b/>
          <w:sz w:val="24"/>
          <w:szCs w:val="24"/>
        </w:rPr>
        <w:sectPr w:rsidR="00DF19E6" w:rsidSect="00307098">
          <w:headerReference w:type="default" r:id="rId9"/>
          <w:pgSz w:w="11906" w:h="16838"/>
          <w:pgMar w:top="1440" w:right="1440" w:bottom="1440" w:left="1440" w:header="709" w:footer="709" w:gutter="0"/>
          <w:cols w:space="708"/>
          <w:docGrid w:linePitch="360"/>
        </w:sectPr>
      </w:pPr>
    </w:p>
    <w:tbl>
      <w:tblPr>
        <w:tblStyle w:val="TableGrid"/>
        <w:tblpPr w:leftFromText="180" w:rightFromText="180" w:horzAnchor="margin" w:tblpXSpec="right" w:tblpY="683"/>
        <w:tblW w:w="14317" w:type="dxa"/>
        <w:tblLayout w:type="fixed"/>
        <w:tblLook w:val="04A0" w:firstRow="1" w:lastRow="0" w:firstColumn="1" w:lastColumn="0" w:noHBand="0" w:noVBand="1"/>
      </w:tblPr>
      <w:tblGrid>
        <w:gridCol w:w="2108"/>
        <w:gridCol w:w="727"/>
        <w:gridCol w:w="247"/>
        <w:gridCol w:w="853"/>
        <w:gridCol w:w="974"/>
        <w:gridCol w:w="977"/>
        <w:gridCol w:w="438"/>
        <w:gridCol w:w="1626"/>
        <w:gridCol w:w="1626"/>
        <w:gridCol w:w="893"/>
        <w:gridCol w:w="412"/>
        <w:gridCol w:w="1877"/>
        <w:gridCol w:w="762"/>
        <w:gridCol w:w="797"/>
      </w:tblGrid>
      <w:tr w:rsidR="00FF57FE" w:rsidRPr="003D087C" w:rsidTr="00D6620B">
        <w:trPr>
          <w:gridAfter w:val="8"/>
          <w:wAfter w:w="8431" w:type="dxa"/>
        </w:trPr>
        <w:tc>
          <w:tcPr>
            <w:tcW w:w="2835" w:type="dxa"/>
            <w:gridSpan w:val="2"/>
            <w:tcBorders>
              <w:top w:val="nil"/>
              <w:left w:val="nil"/>
              <w:bottom w:val="single" w:sz="4" w:space="0" w:color="auto"/>
              <w:right w:val="nil"/>
            </w:tcBorders>
          </w:tcPr>
          <w:p w:rsidR="00FF57FE" w:rsidRPr="003D087C" w:rsidRDefault="00FF57FE" w:rsidP="00D6620B">
            <w:pPr>
              <w:spacing w:after="0" w:line="240" w:lineRule="auto"/>
              <w:jc w:val="both"/>
              <w:rPr>
                <w:rFonts w:ascii="Times New Roman" w:hAnsi="Times New Roman" w:cs="Times New Roman"/>
                <w:b/>
                <w:sz w:val="24"/>
                <w:szCs w:val="24"/>
              </w:rPr>
            </w:pPr>
            <w:r w:rsidRPr="003D087C">
              <w:rPr>
                <w:rFonts w:ascii="Times New Roman" w:hAnsi="Times New Roman" w:cs="Times New Roman"/>
                <w:b/>
                <w:sz w:val="24"/>
                <w:szCs w:val="24"/>
              </w:rPr>
              <w:lastRenderedPageBreak/>
              <w:t>Table 1</w:t>
            </w:r>
          </w:p>
        </w:tc>
        <w:tc>
          <w:tcPr>
            <w:tcW w:w="3051" w:type="dxa"/>
            <w:gridSpan w:val="4"/>
            <w:tcBorders>
              <w:top w:val="nil"/>
              <w:left w:val="nil"/>
              <w:bottom w:val="single" w:sz="4" w:space="0" w:color="auto"/>
              <w:right w:val="nil"/>
            </w:tcBorders>
          </w:tcPr>
          <w:p w:rsidR="00FF57FE" w:rsidRPr="003D087C" w:rsidRDefault="00FF57FE" w:rsidP="00D6620B">
            <w:pPr>
              <w:spacing w:after="0" w:line="240" w:lineRule="auto"/>
              <w:jc w:val="both"/>
              <w:rPr>
                <w:rFonts w:ascii="Times New Roman" w:hAnsi="Times New Roman" w:cs="Times New Roman"/>
                <w:b/>
                <w:sz w:val="24"/>
                <w:szCs w:val="24"/>
              </w:rPr>
            </w:pPr>
          </w:p>
        </w:tc>
      </w:tr>
      <w:tr w:rsidR="00FF57FE" w:rsidRPr="003D087C" w:rsidTr="00D6620B">
        <w:trPr>
          <w:trHeight w:val="1324"/>
        </w:trPr>
        <w:tc>
          <w:tcPr>
            <w:tcW w:w="2108" w:type="dxa"/>
            <w:vMerge w:val="restart"/>
            <w:tcBorders>
              <w:top w:val="single" w:sz="4" w:space="0" w:color="auto"/>
            </w:tcBorders>
          </w:tcPr>
          <w:p w:rsidR="00FF57FE" w:rsidRPr="003D087C" w:rsidRDefault="00FF57FE" w:rsidP="00D6620B">
            <w:pPr>
              <w:spacing w:line="240" w:lineRule="auto"/>
              <w:jc w:val="both"/>
              <w:rPr>
                <w:rFonts w:ascii="Times New Roman" w:hAnsi="Times New Roman" w:cs="Times New Roman"/>
                <w:b/>
                <w:sz w:val="24"/>
                <w:szCs w:val="24"/>
              </w:rPr>
            </w:pPr>
          </w:p>
        </w:tc>
        <w:tc>
          <w:tcPr>
            <w:tcW w:w="974" w:type="dxa"/>
            <w:gridSpan w:val="2"/>
            <w:vMerge w:val="restart"/>
            <w:tcBorders>
              <w:top w:val="single" w:sz="4" w:space="0" w:color="auto"/>
            </w:tcBorders>
          </w:tcPr>
          <w:p w:rsidR="00FF57FE" w:rsidRPr="003D087C" w:rsidRDefault="00FF57FE" w:rsidP="00D6620B">
            <w:pPr>
              <w:spacing w:line="240" w:lineRule="auto"/>
              <w:jc w:val="both"/>
              <w:rPr>
                <w:rFonts w:ascii="Times New Roman" w:hAnsi="Times New Roman" w:cs="Times New Roman"/>
                <w:b/>
                <w:sz w:val="24"/>
                <w:szCs w:val="24"/>
              </w:rPr>
            </w:pPr>
            <w:r w:rsidRPr="003D087C">
              <w:rPr>
                <w:rFonts w:ascii="Times New Roman" w:hAnsi="Times New Roman" w:cs="Times New Roman"/>
                <w:b/>
                <w:sz w:val="24"/>
                <w:szCs w:val="24"/>
              </w:rPr>
              <w:t>Weight</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(kg)</w:t>
            </w:r>
          </w:p>
        </w:tc>
        <w:tc>
          <w:tcPr>
            <w:tcW w:w="853" w:type="dxa"/>
            <w:vMerge w:val="restart"/>
            <w:tcBorders>
              <w:top w:val="single" w:sz="4" w:space="0" w:color="auto"/>
            </w:tcBorders>
          </w:tcPr>
          <w:p w:rsidR="00FF57FE" w:rsidRPr="003D087C" w:rsidRDefault="00FF57FE" w:rsidP="00D6620B">
            <w:pPr>
              <w:spacing w:line="240" w:lineRule="auto"/>
              <w:jc w:val="both"/>
              <w:rPr>
                <w:rFonts w:ascii="Times New Roman" w:hAnsi="Times New Roman" w:cs="Times New Roman"/>
                <w:b/>
                <w:sz w:val="24"/>
                <w:szCs w:val="24"/>
              </w:rPr>
            </w:pPr>
            <w:r w:rsidRPr="003D087C">
              <w:rPr>
                <w:rFonts w:ascii="Times New Roman" w:hAnsi="Times New Roman" w:cs="Times New Roman"/>
                <w:b/>
                <w:sz w:val="24"/>
                <w:szCs w:val="24"/>
              </w:rPr>
              <w:t>BMI</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Kg/m</w:t>
            </w:r>
            <w:r w:rsidRPr="003D087C">
              <w:rPr>
                <w:rFonts w:ascii="Times New Roman" w:hAnsi="Times New Roman" w:cs="Times New Roman"/>
                <w:sz w:val="24"/>
                <w:szCs w:val="24"/>
                <w:vertAlign w:val="superscript"/>
              </w:rPr>
              <w:t>2</w:t>
            </w:r>
          </w:p>
        </w:tc>
        <w:tc>
          <w:tcPr>
            <w:tcW w:w="2389" w:type="dxa"/>
            <w:gridSpan w:val="3"/>
            <w:tcBorders>
              <w:top w:val="single" w:sz="4" w:space="0" w:color="auto"/>
            </w:tcBorders>
          </w:tcPr>
          <w:p w:rsidR="00FF57FE" w:rsidRPr="003D087C" w:rsidRDefault="00FF57FE" w:rsidP="00D6620B">
            <w:pPr>
              <w:spacing w:line="240" w:lineRule="auto"/>
              <w:jc w:val="both"/>
              <w:rPr>
                <w:rFonts w:ascii="Times New Roman" w:hAnsi="Times New Roman" w:cs="Times New Roman"/>
                <w:b/>
                <w:sz w:val="24"/>
                <w:szCs w:val="24"/>
              </w:rPr>
            </w:pPr>
            <w:r w:rsidRPr="003D087C">
              <w:rPr>
                <w:rFonts w:ascii="Times New Roman" w:hAnsi="Times New Roman" w:cs="Times New Roman"/>
                <w:b/>
                <w:sz w:val="24"/>
                <w:szCs w:val="24"/>
              </w:rPr>
              <w:t xml:space="preserve">Serum measurements </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(µmol/L)</w:t>
            </w:r>
          </w:p>
        </w:tc>
        <w:tc>
          <w:tcPr>
            <w:tcW w:w="4557" w:type="dxa"/>
            <w:gridSpan w:val="4"/>
            <w:tcBorders>
              <w:top w:val="single" w:sz="4" w:space="0" w:color="auto"/>
            </w:tcBorders>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b/>
                <w:sz w:val="24"/>
                <w:szCs w:val="24"/>
              </w:rPr>
              <w:t xml:space="preserve">24-Hour Urine measurements </w:t>
            </w:r>
          </w:p>
        </w:tc>
        <w:tc>
          <w:tcPr>
            <w:tcW w:w="1877" w:type="dxa"/>
            <w:vMerge w:val="restart"/>
            <w:tcBorders>
              <w:top w:val="single" w:sz="4" w:space="0" w:color="auto"/>
            </w:tcBorders>
          </w:tcPr>
          <w:p w:rsidR="00FF57FE" w:rsidRPr="003D087C" w:rsidRDefault="00FF57FE" w:rsidP="00D6620B">
            <w:pPr>
              <w:spacing w:line="240" w:lineRule="auto"/>
              <w:jc w:val="both"/>
              <w:rPr>
                <w:rFonts w:ascii="Times New Roman" w:hAnsi="Times New Roman" w:cs="Times New Roman"/>
                <w:b/>
                <w:sz w:val="24"/>
                <w:szCs w:val="24"/>
              </w:rPr>
            </w:pPr>
            <w:r>
              <w:rPr>
                <w:rFonts w:ascii="Times New Roman" w:hAnsi="Times New Roman" w:cs="Times New Roman"/>
                <w:b/>
                <w:sz w:val="24"/>
                <w:szCs w:val="24"/>
              </w:rPr>
              <w:t>Recommended d</w:t>
            </w:r>
            <w:r w:rsidRPr="003D087C">
              <w:rPr>
                <w:rFonts w:ascii="Times New Roman" w:hAnsi="Times New Roman" w:cs="Times New Roman"/>
                <w:b/>
                <w:sz w:val="24"/>
                <w:szCs w:val="24"/>
              </w:rPr>
              <w:t xml:space="preserve">ietary Protein intake </w:t>
            </w:r>
            <w:r w:rsidRPr="003D087C">
              <w:rPr>
                <w:rFonts w:ascii="Times New Roman" w:hAnsi="Times New Roman" w:cs="Times New Roman"/>
                <w:sz w:val="24"/>
                <w:szCs w:val="24"/>
              </w:rPr>
              <w:t>(g/Kg)†</w:t>
            </w:r>
          </w:p>
        </w:tc>
        <w:tc>
          <w:tcPr>
            <w:tcW w:w="1559" w:type="dxa"/>
            <w:gridSpan w:val="2"/>
            <w:vMerge w:val="restart"/>
            <w:tcBorders>
              <w:top w:val="single" w:sz="4" w:space="0" w:color="auto"/>
            </w:tcBorders>
          </w:tcPr>
          <w:p w:rsidR="00FF57FE" w:rsidRDefault="00FF57FE" w:rsidP="00D6620B">
            <w:pPr>
              <w:spacing w:line="240" w:lineRule="auto"/>
              <w:jc w:val="both"/>
              <w:rPr>
                <w:rFonts w:ascii="Times New Roman" w:hAnsi="Times New Roman" w:cs="Times New Roman"/>
                <w:b/>
                <w:sz w:val="24"/>
                <w:szCs w:val="24"/>
              </w:rPr>
            </w:pPr>
            <w:r>
              <w:rPr>
                <w:rFonts w:ascii="Times New Roman" w:hAnsi="Times New Roman" w:cs="Times New Roman"/>
                <w:b/>
                <w:sz w:val="24"/>
                <w:szCs w:val="24"/>
              </w:rPr>
              <w:t>Estimated</w:t>
            </w:r>
          </w:p>
          <w:p w:rsidR="00FF57FE" w:rsidRPr="003D087C" w:rsidRDefault="00FF57FE" w:rsidP="00D6620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Dietary protein intake g/Kg) </w:t>
            </w:r>
            <w:r w:rsidRPr="003D087C">
              <w:rPr>
                <w:rFonts w:ascii="Times New Roman" w:hAnsi="Times New Roman" w:cs="Times New Roman"/>
                <w:sz w:val="24"/>
                <w:szCs w:val="24"/>
                <w:vertAlign w:val="superscript"/>
              </w:rPr>
              <w:t>†††</w:t>
            </w:r>
          </w:p>
        </w:tc>
      </w:tr>
      <w:tr w:rsidR="00FF57FE" w:rsidRPr="003D087C" w:rsidTr="00D6620B">
        <w:tc>
          <w:tcPr>
            <w:tcW w:w="2108" w:type="dxa"/>
            <w:vMerge/>
          </w:tcPr>
          <w:p w:rsidR="00FF57FE" w:rsidRPr="003D087C" w:rsidRDefault="00FF57FE" w:rsidP="00D6620B">
            <w:pPr>
              <w:spacing w:line="240" w:lineRule="auto"/>
              <w:jc w:val="both"/>
              <w:rPr>
                <w:rFonts w:ascii="Times New Roman" w:hAnsi="Times New Roman" w:cs="Times New Roman"/>
                <w:b/>
                <w:sz w:val="24"/>
                <w:szCs w:val="24"/>
              </w:rPr>
            </w:pPr>
          </w:p>
        </w:tc>
        <w:tc>
          <w:tcPr>
            <w:tcW w:w="974" w:type="dxa"/>
            <w:gridSpan w:val="2"/>
            <w:vMerge/>
          </w:tcPr>
          <w:p w:rsidR="00FF57FE" w:rsidRPr="003D087C" w:rsidRDefault="00FF57FE" w:rsidP="00D6620B">
            <w:pPr>
              <w:spacing w:line="240" w:lineRule="auto"/>
              <w:jc w:val="both"/>
              <w:rPr>
                <w:rFonts w:ascii="Times New Roman" w:hAnsi="Times New Roman" w:cs="Times New Roman"/>
                <w:sz w:val="24"/>
                <w:szCs w:val="24"/>
              </w:rPr>
            </w:pPr>
          </w:p>
        </w:tc>
        <w:tc>
          <w:tcPr>
            <w:tcW w:w="853" w:type="dxa"/>
            <w:vMerge/>
          </w:tcPr>
          <w:p w:rsidR="00FF57FE" w:rsidRPr="003D087C" w:rsidRDefault="00FF57FE" w:rsidP="00D6620B">
            <w:pPr>
              <w:spacing w:line="240" w:lineRule="auto"/>
              <w:jc w:val="both"/>
              <w:rPr>
                <w:rFonts w:ascii="Times New Roman" w:hAnsi="Times New Roman" w:cs="Times New Roman"/>
                <w:sz w:val="24"/>
                <w:szCs w:val="24"/>
              </w:rPr>
            </w:pPr>
          </w:p>
        </w:tc>
        <w:tc>
          <w:tcPr>
            <w:tcW w:w="974"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HGA</w:t>
            </w:r>
          </w:p>
        </w:tc>
        <w:tc>
          <w:tcPr>
            <w:tcW w:w="1415" w:type="dxa"/>
            <w:gridSpan w:val="2"/>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Tyrosine</w:t>
            </w:r>
          </w:p>
        </w:tc>
        <w:tc>
          <w:tcPr>
            <w:tcW w:w="1626" w:type="dxa"/>
          </w:tcPr>
          <w:p w:rsidR="00FF57FE" w:rsidRPr="003D087C" w:rsidRDefault="00FF57FE" w:rsidP="00D6620B">
            <w:pPr>
              <w:spacing w:after="0" w:line="240" w:lineRule="auto"/>
              <w:jc w:val="both"/>
              <w:rPr>
                <w:rFonts w:ascii="Times New Roman" w:hAnsi="Times New Roman" w:cs="Times New Roman"/>
                <w:sz w:val="24"/>
                <w:szCs w:val="24"/>
              </w:rPr>
            </w:pPr>
            <w:r w:rsidRPr="003D087C">
              <w:rPr>
                <w:rFonts w:ascii="Times New Roman" w:hAnsi="Times New Roman" w:cs="Times New Roman"/>
                <w:sz w:val="24"/>
                <w:szCs w:val="24"/>
              </w:rPr>
              <w:t>HGA</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(µmol/24hr)</w:t>
            </w:r>
          </w:p>
        </w:tc>
        <w:tc>
          <w:tcPr>
            <w:tcW w:w="1626"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Tyrosine</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(µmol/24hr)</w:t>
            </w:r>
          </w:p>
        </w:tc>
        <w:tc>
          <w:tcPr>
            <w:tcW w:w="1305" w:type="dxa"/>
            <w:gridSpan w:val="2"/>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Urine Nitrogen</w:t>
            </w:r>
            <w:r w:rsidRPr="003D087C">
              <w:rPr>
                <w:rFonts w:ascii="Times New Roman" w:hAnsi="Times New Roman" w:cs="Times New Roman"/>
                <w:sz w:val="24"/>
                <w:szCs w:val="24"/>
                <w:vertAlign w:val="superscript"/>
              </w:rPr>
              <w:t>††</w:t>
            </w:r>
          </w:p>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g/kg</w:t>
            </w:r>
          </w:p>
        </w:tc>
        <w:tc>
          <w:tcPr>
            <w:tcW w:w="1877" w:type="dxa"/>
            <w:vMerge/>
          </w:tcPr>
          <w:p w:rsidR="00FF57FE" w:rsidRPr="003D087C" w:rsidRDefault="00FF57FE" w:rsidP="00D6620B">
            <w:pPr>
              <w:spacing w:line="480" w:lineRule="auto"/>
              <w:jc w:val="both"/>
              <w:rPr>
                <w:rFonts w:ascii="Times New Roman" w:hAnsi="Times New Roman" w:cs="Times New Roman"/>
                <w:sz w:val="24"/>
                <w:szCs w:val="24"/>
              </w:rPr>
            </w:pPr>
          </w:p>
        </w:tc>
        <w:tc>
          <w:tcPr>
            <w:tcW w:w="1559" w:type="dxa"/>
            <w:gridSpan w:val="2"/>
            <w:vMerge/>
          </w:tcPr>
          <w:p w:rsidR="00FF57FE" w:rsidRPr="003D087C" w:rsidRDefault="00FF57FE" w:rsidP="00D6620B">
            <w:pPr>
              <w:spacing w:line="480" w:lineRule="auto"/>
              <w:jc w:val="both"/>
              <w:rPr>
                <w:rFonts w:ascii="Times New Roman" w:hAnsi="Times New Roman" w:cs="Times New Roman"/>
                <w:sz w:val="24"/>
                <w:szCs w:val="24"/>
              </w:rPr>
            </w:pPr>
          </w:p>
        </w:tc>
      </w:tr>
      <w:tr w:rsidR="00FF57FE" w:rsidRPr="003D087C" w:rsidTr="00D6620B">
        <w:tc>
          <w:tcPr>
            <w:tcW w:w="2108"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Baseline (visit 1)</w:t>
            </w:r>
          </w:p>
        </w:tc>
        <w:tc>
          <w:tcPr>
            <w:tcW w:w="974"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78.2</w:t>
            </w:r>
          </w:p>
        </w:tc>
        <w:tc>
          <w:tcPr>
            <w:tcW w:w="853"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25.8</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16.3</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38</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17,337</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163</w:t>
            </w:r>
          </w:p>
        </w:tc>
        <w:tc>
          <w:tcPr>
            <w:tcW w:w="130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w:t>
            </w:r>
            <w:r>
              <w:rPr>
                <w:rFonts w:ascii="Times New Roman" w:hAnsi="Times New Roman" w:cs="Times New Roman"/>
                <w:sz w:val="24"/>
                <w:szCs w:val="24"/>
              </w:rPr>
              <w:t>0</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FF57FE" w:rsidRPr="003D087C" w:rsidTr="00D6620B">
        <w:tc>
          <w:tcPr>
            <w:tcW w:w="2108"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12 Months (visit 2)</w:t>
            </w:r>
          </w:p>
        </w:tc>
        <w:tc>
          <w:tcPr>
            <w:tcW w:w="974"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69.9</w:t>
            </w:r>
          </w:p>
        </w:tc>
        <w:tc>
          <w:tcPr>
            <w:tcW w:w="853"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22.8</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4.6</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815</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1,487</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1,797</w:t>
            </w:r>
          </w:p>
        </w:tc>
        <w:tc>
          <w:tcPr>
            <w:tcW w:w="130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0.95</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0.77</w:t>
            </w:r>
          </w:p>
        </w:tc>
      </w:tr>
      <w:tr w:rsidR="00FF57FE" w:rsidRPr="003D087C" w:rsidTr="009D6888">
        <w:tc>
          <w:tcPr>
            <w:tcW w:w="2108" w:type="dxa"/>
            <w:shd w:val="clear" w:color="auto" w:fill="auto"/>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24 Months (visit 3)</w:t>
            </w:r>
          </w:p>
        </w:tc>
        <w:tc>
          <w:tcPr>
            <w:tcW w:w="974" w:type="dxa"/>
            <w:gridSpan w:val="2"/>
            <w:shd w:val="clear" w:color="auto" w:fill="auto"/>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74.3</w:t>
            </w:r>
          </w:p>
        </w:tc>
        <w:tc>
          <w:tcPr>
            <w:tcW w:w="853" w:type="dxa"/>
            <w:shd w:val="clear" w:color="auto" w:fill="auto"/>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24.</w:t>
            </w:r>
            <w:r w:rsidR="00D6620B">
              <w:rPr>
                <w:rFonts w:ascii="Times New Roman" w:hAnsi="Times New Roman" w:cs="Times New Roman"/>
                <w:sz w:val="24"/>
                <w:szCs w:val="24"/>
              </w:rPr>
              <w:t>5</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10.2</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vertAlign w:val="superscript"/>
              </w:rPr>
            </w:pPr>
            <w:r w:rsidRPr="003D087C">
              <w:rPr>
                <w:rFonts w:ascii="Times New Roman" w:hAnsi="Times New Roman" w:cs="Times New Roman"/>
                <w:sz w:val="24"/>
                <w:szCs w:val="24"/>
              </w:rPr>
              <w:t>113</w:t>
            </w:r>
            <w:r w:rsidRPr="003D087C">
              <w:rPr>
                <w:rFonts w:ascii="Times New Roman" w:hAnsi="Times New Roman" w:cs="Times New Roman"/>
                <w:sz w:val="24"/>
                <w:szCs w:val="24"/>
                <w:vertAlign w:val="superscript"/>
              </w:rPr>
              <w:t>**</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1,785</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1,357</w:t>
            </w:r>
          </w:p>
        </w:tc>
        <w:tc>
          <w:tcPr>
            <w:tcW w:w="1305" w:type="dxa"/>
            <w:gridSpan w:val="2"/>
          </w:tcPr>
          <w:p w:rsidR="00FF57FE" w:rsidRPr="003D087C" w:rsidRDefault="00FF57FE" w:rsidP="00D6620B">
            <w:pPr>
              <w:pStyle w:val="Default"/>
              <w:spacing w:line="480" w:lineRule="auto"/>
              <w:jc w:val="both"/>
            </w:pPr>
            <w:r w:rsidRPr="003D087C">
              <w:t xml:space="preserve">0.74 </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0.8</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0.78</w:t>
            </w:r>
          </w:p>
        </w:tc>
      </w:tr>
      <w:tr w:rsidR="00FF57FE" w:rsidRPr="003D087C" w:rsidTr="00D6620B">
        <w:trPr>
          <w:trHeight w:val="676"/>
        </w:trPr>
        <w:tc>
          <w:tcPr>
            <w:tcW w:w="2108"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36 Months (visit 4)</w:t>
            </w:r>
          </w:p>
        </w:tc>
        <w:tc>
          <w:tcPr>
            <w:tcW w:w="974" w:type="dxa"/>
            <w:gridSpan w:val="2"/>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74.3</w:t>
            </w:r>
          </w:p>
        </w:tc>
        <w:tc>
          <w:tcPr>
            <w:tcW w:w="853"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24.5</w:t>
            </w:r>
          </w:p>
        </w:tc>
        <w:tc>
          <w:tcPr>
            <w:tcW w:w="974"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&lt;3.1</w:t>
            </w:r>
          </w:p>
        </w:tc>
        <w:tc>
          <w:tcPr>
            <w:tcW w:w="1415" w:type="dxa"/>
            <w:gridSpan w:val="2"/>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964</w:t>
            </w:r>
          </w:p>
        </w:tc>
        <w:tc>
          <w:tcPr>
            <w:tcW w:w="1626" w:type="dxa"/>
          </w:tcPr>
          <w:p w:rsidR="00FF57FE" w:rsidRPr="003D087C" w:rsidRDefault="00FF57FE" w:rsidP="00D6620B">
            <w:pPr>
              <w:spacing w:after="0" w:line="240" w:lineRule="auto"/>
              <w:jc w:val="both"/>
              <w:rPr>
                <w:rFonts w:ascii="Times New Roman" w:hAnsi="Times New Roman" w:cs="Times New Roman"/>
                <w:sz w:val="24"/>
                <w:szCs w:val="24"/>
              </w:rPr>
            </w:pPr>
            <w:r w:rsidRPr="003D087C">
              <w:rPr>
                <w:rFonts w:ascii="Times New Roman" w:hAnsi="Times New Roman" w:cs="Times New Roman"/>
                <w:sz w:val="24"/>
                <w:szCs w:val="24"/>
              </w:rPr>
              <w:t>1,107</w:t>
            </w:r>
          </w:p>
        </w:tc>
        <w:tc>
          <w:tcPr>
            <w:tcW w:w="1626" w:type="dxa"/>
          </w:tcPr>
          <w:p w:rsidR="00FF57FE" w:rsidRPr="003D087C" w:rsidRDefault="00FF57FE" w:rsidP="00D6620B">
            <w:pPr>
              <w:spacing w:line="240" w:lineRule="auto"/>
              <w:jc w:val="both"/>
              <w:rPr>
                <w:rFonts w:ascii="Times New Roman" w:hAnsi="Times New Roman" w:cs="Times New Roman"/>
                <w:sz w:val="24"/>
                <w:szCs w:val="24"/>
              </w:rPr>
            </w:pPr>
            <w:r w:rsidRPr="003D087C">
              <w:rPr>
                <w:rFonts w:ascii="Times New Roman" w:hAnsi="Times New Roman" w:cs="Times New Roman"/>
                <w:sz w:val="24"/>
                <w:szCs w:val="24"/>
              </w:rPr>
              <w:t>1,912</w:t>
            </w:r>
          </w:p>
        </w:tc>
        <w:tc>
          <w:tcPr>
            <w:tcW w:w="1305" w:type="dxa"/>
            <w:gridSpan w:val="2"/>
          </w:tcPr>
          <w:p w:rsidR="00FF57FE" w:rsidRPr="003D087C" w:rsidRDefault="00FF57FE" w:rsidP="00D6620B">
            <w:pPr>
              <w:pStyle w:val="Default"/>
              <w:jc w:val="both"/>
            </w:pPr>
            <w:r w:rsidRPr="003D087C">
              <w:t xml:space="preserve">0.80 </w:t>
            </w:r>
          </w:p>
          <w:p w:rsidR="00FF57FE" w:rsidRPr="003D087C" w:rsidRDefault="00FF57FE" w:rsidP="00D6620B">
            <w:pPr>
              <w:pStyle w:val="Default"/>
              <w:jc w:val="both"/>
            </w:pPr>
          </w:p>
        </w:tc>
        <w:tc>
          <w:tcPr>
            <w:tcW w:w="1877" w:type="dxa"/>
          </w:tcPr>
          <w:p w:rsidR="00FF57FE" w:rsidRPr="003D087C" w:rsidRDefault="00FF57FE" w:rsidP="00D6620B">
            <w:pPr>
              <w:spacing w:line="240" w:lineRule="auto"/>
              <w:jc w:val="both"/>
              <w:rPr>
                <w:rFonts w:ascii="Times New Roman" w:hAnsi="Times New Roman" w:cs="Times New Roman"/>
                <w:sz w:val="24"/>
                <w:szCs w:val="24"/>
              </w:rPr>
            </w:pPr>
            <w:r>
              <w:rPr>
                <w:rFonts w:ascii="Times New Roman" w:hAnsi="Times New Roman" w:cs="Times New Roman"/>
                <w:sz w:val="24"/>
                <w:szCs w:val="24"/>
              </w:rPr>
              <w:t>0.75</w:t>
            </w:r>
          </w:p>
        </w:tc>
        <w:tc>
          <w:tcPr>
            <w:tcW w:w="1559" w:type="dxa"/>
            <w:gridSpan w:val="2"/>
          </w:tcPr>
          <w:p w:rsidR="00FF57FE" w:rsidRPr="003D087C" w:rsidRDefault="00FF57FE" w:rsidP="00D6620B">
            <w:pPr>
              <w:spacing w:line="240" w:lineRule="auto"/>
              <w:jc w:val="both"/>
              <w:rPr>
                <w:rFonts w:ascii="Times New Roman" w:hAnsi="Times New Roman" w:cs="Times New Roman"/>
                <w:sz w:val="24"/>
                <w:szCs w:val="24"/>
              </w:rPr>
            </w:pPr>
            <w:r>
              <w:rPr>
                <w:rFonts w:ascii="Times New Roman" w:hAnsi="Times New Roman" w:cs="Times New Roman"/>
                <w:sz w:val="24"/>
                <w:szCs w:val="24"/>
              </w:rPr>
              <w:t>0.98</w:t>
            </w:r>
          </w:p>
        </w:tc>
      </w:tr>
      <w:tr w:rsidR="00FF57FE" w:rsidRPr="003D087C" w:rsidTr="00D6620B">
        <w:tc>
          <w:tcPr>
            <w:tcW w:w="2108"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40 months</w:t>
            </w:r>
          </w:p>
        </w:tc>
        <w:tc>
          <w:tcPr>
            <w:tcW w:w="974"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853"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b/>
                <w:sz w:val="24"/>
                <w:szCs w:val="24"/>
              </w:rPr>
              <w:t>745</w:t>
            </w:r>
            <w:r w:rsidRPr="003D087C">
              <w:rPr>
                <w:rFonts w:ascii="Times New Roman" w:hAnsi="Times New Roman" w:cs="Times New Roman"/>
                <w:sz w:val="24"/>
                <w:szCs w:val="24"/>
              </w:rPr>
              <w:t>*</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30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p>
        </w:tc>
      </w:tr>
      <w:tr w:rsidR="00FF57FE" w:rsidRPr="003D087C" w:rsidTr="00D6620B">
        <w:tc>
          <w:tcPr>
            <w:tcW w:w="2108"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41 months</w:t>
            </w:r>
          </w:p>
        </w:tc>
        <w:tc>
          <w:tcPr>
            <w:tcW w:w="974"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853"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b/>
                <w:sz w:val="24"/>
                <w:szCs w:val="24"/>
              </w:rPr>
              <w:t>578</w:t>
            </w:r>
            <w:r w:rsidRPr="003D087C">
              <w:rPr>
                <w:rFonts w:ascii="Times New Roman" w:hAnsi="Times New Roman" w:cs="Times New Roman"/>
                <w:sz w:val="24"/>
                <w:szCs w:val="24"/>
              </w:rPr>
              <w:t>*</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30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p>
        </w:tc>
      </w:tr>
      <w:tr w:rsidR="00FF57FE" w:rsidRPr="003D087C" w:rsidTr="00D6620B">
        <w:tc>
          <w:tcPr>
            <w:tcW w:w="2108"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43 months</w:t>
            </w:r>
          </w:p>
        </w:tc>
        <w:tc>
          <w:tcPr>
            <w:tcW w:w="974"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853"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974"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41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b/>
                <w:sz w:val="24"/>
                <w:szCs w:val="24"/>
              </w:rPr>
              <w:t>518</w:t>
            </w:r>
            <w:r w:rsidRPr="003D087C">
              <w:rPr>
                <w:rFonts w:ascii="Times New Roman" w:hAnsi="Times New Roman" w:cs="Times New Roman"/>
                <w:sz w:val="24"/>
                <w:szCs w:val="24"/>
              </w:rPr>
              <w:t>*</w:t>
            </w:r>
          </w:p>
        </w:tc>
        <w:tc>
          <w:tcPr>
            <w:tcW w:w="1626" w:type="dxa"/>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626"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305" w:type="dxa"/>
            <w:gridSpan w:val="2"/>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877" w:type="dxa"/>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t>
            </w:r>
          </w:p>
        </w:tc>
        <w:tc>
          <w:tcPr>
            <w:tcW w:w="1559" w:type="dxa"/>
            <w:gridSpan w:val="2"/>
          </w:tcPr>
          <w:p w:rsidR="00FF57FE" w:rsidRPr="003D087C" w:rsidRDefault="00FF57FE" w:rsidP="00D6620B">
            <w:pPr>
              <w:spacing w:line="480" w:lineRule="auto"/>
              <w:jc w:val="both"/>
              <w:rPr>
                <w:rFonts w:ascii="Times New Roman" w:hAnsi="Times New Roman" w:cs="Times New Roman"/>
                <w:sz w:val="24"/>
                <w:szCs w:val="24"/>
              </w:rPr>
            </w:pPr>
          </w:p>
        </w:tc>
      </w:tr>
      <w:tr w:rsidR="00FF57FE" w:rsidRPr="003D087C" w:rsidTr="00D6620B">
        <w:tc>
          <w:tcPr>
            <w:tcW w:w="2108" w:type="dxa"/>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48 Months (visit 5)</w:t>
            </w:r>
          </w:p>
        </w:tc>
        <w:tc>
          <w:tcPr>
            <w:tcW w:w="974" w:type="dxa"/>
            <w:gridSpan w:val="2"/>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79.4</w:t>
            </w:r>
          </w:p>
        </w:tc>
        <w:tc>
          <w:tcPr>
            <w:tcW w:w="853" w:type="dxa"/>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26.2</w:t>
            </w:r>
          </w:p>
        </w:tc>
        <w:tc>
          <w:tcPr>
            <w:tcW w:w="974" w:type="dxa"/>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2.5</w:t>
            </w:r>
          </w:p>
        </w:tc>
        <w:tc>
          <w:tcPr>
            <w:tcW w:w="1415" w:type="dxa"/>
            <w:gridSpan w:val="2"/>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841</w:t>
            </w:r>
          </w:p>
        </w:tc>
        <w:tc>
          <w:tcPr>
            <w:tcW w:w="1626" w:type="dxa"/>
            <w:tcBorders>
              <w:bottom w:val="single" w:sz="4" w:space="0" w:color="auto"/>
            </w:tcBorders>
          </w:tcPr>
          <w:p w:rsidR="00FF57FE" w:rsidRPr="003D087C" w:rsidRDefault="00FF57FE" w:rsidP="00D6620B">
            <w:pPr>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t>920</w:t>
            </w:r>
          </w:p>
        </w:tc>
        <w:tc>
          <w:tcPr>
            <w:tcW w:w="1626" w:type="dxa"/>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1,354</w:t>
            </w:r>
          </w:p>
        </w:tc>
        <w:tc>
          <w:tcPr>
            <w:tcW w:w="1305" w:type="dxa"/>
            <w:gridSpan w:val="2"/>
            <w:tcBorders>
              <w:bottom w:val="single" w:sz="4" w:space="0" w:color="auto"/>
            </w:tcBorders>
          </w:tcPr>
          <w:p w:rsidR="00FF57FE" w:rsidRPr="003D087C" w:rsidRDefault="00FF57FE" w:rsidP="00D6620B">
            <w:pPr>
              <w:pStyle w:val="Default"/>
              <w:spacing w:line="480" w:lineRule="auto"/>
              <w:jc w:val="both"/>
            </w:pPr>
            <w:r w:rsidRPr="003D087C">
              <w:t xml:space="preserve">0.63 </w:t>
            </w:r>
          </w:p>
        </w:tc>
        <w:tc>
          <w:tcPr>
            <w:tcW w:w="1877" w:type="dxa"/>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0.83</w:t>
            </w:r>
          </w:p>
        </w:tc>
        <w:tc>
          <w:tcPr>
            <w:tcW w:w="1559" w:type="dxa"/>
            <w:gridSpan w:val="2"/>
            <w:tcBorders>
              <w:bottom w:val="single" w:sz="4" w:space="0" w:color="auto"/>
            </w:tcBorders>
          </w:tcPr>
          <w:p w:rsidR="00FF57FE" w:rsidRPr="003D087C" w:rsidRDefault="00FF57FE" w:rsidP="00D6620B">
            <w:pPr>
              <w:spacing w:line="480" w:lineRule="auto"/>
              <w:jc w:val="both"/>
              <w:rPr>
                <w:rFonts w:ascii="Times New Roman" w:hAnsi="Times New Roman" w:cs="Times New Roman"/>
                <w:sz w:val="24"/>
                <w:szCs w:val="24"/>
              </w:rPr>
            </w:pPr>
            <w:r>
              <w:rPr>
                <w:rFonts w:ascii="Times New Roman" w:hAnsi="Times New Roman" w:cs="Times New Roman"/>
                <w:sz w:val="24"/>
                <w:szCs w:val="24"/>
              </w:rPr>
              <w:t>1.1</w:t>
            </w:r>
          </w:p>
        </w:tc>
      </w:tr>
      <w:tr w:rsidR="00FF57FE" w:rsidRPr="003D087C" w:rsidTr="0044089E">
        <w:trPr>
          <w:gridAfter w:val="1"/>
          <w:wAfter w:w="797" w:type="dxa"/>
        </w:trPr>
        <w:tc>
          <w:tcPr>
            <w:tcW w:w="10469" w:type="dxa"/>
            <w:gridSpan w:val="10"/>
            <w:tcBorders>
              <w:top w:val="nil"/>
              <w:left w:val="nil"/>
              <w:bottom w:val="nil"/>
              <w:right w:val="nil"/>
            </w:tcBorders>
          </w:tcPr>
          <w:p w:rsidR="00FF57FE" w:rsidRPr="00FF57FE" w:rsidRDefault="00FF57FE" w:rsidP="00D6620B">
            <w:pPr>
              <w:pStyle w:val="ListParagraph"/>
              <w:autoSpaceDE w:val="0"/>
              <w:autoSpaceDN w:val="0"/>
              <w:adjustRightInd w:val="0"/>
              <w:spacing w:line="240" w:lineRule="auto"/>
              <w:ind w:left="0"/>
              <w:jc w:val="both"/>
              <w:rPr>
                <w:rFonts w:ascii="Times New Roman" w:hAnsi="Times New Roman" w:cs="Times New Roman"/>
                <w:sz w:val="24"/>
                <w:szCs w:val="24"/>
              </w:rPr>
            </w:pPr>
            <w:r w:rsidRPr="003D087C">
              <w:rPr>
                <w:rFonts w:ascii="Times New Roman" w:hAnsi="Times New Roman" w:cs="Times New Roman"/>
                <w:sz w:val="24"/>
                <w:szCs w:val="24"/>
              </w:rPr>
              <w:lastRenderedPageBreak/>
              <w:t>*These were done using blood spot samples;</w:t>
            </w:r>
            <w:r w:rsidRPr="003D087C">
              <w:rPr>
                <w:rFonts w:ascii="Times New Roman" w:hAnsi="Times New Roman" w:cs="Times New Roman"/>
                <w:sz w:val="24"/>
                <w:szCs w:val="24"/>
                <w:vertAlign w:val="superscript"/>
              </w:rPr>
              <w:t xml:space="preserve">** </w:t>
            </w:r>
            <w:r w:rsidRPr="003D087C">
              <w:rPr>
                <w:rFonts w:ascii="Times New Roman" w:hAnsi="Times New Roman" w:cs="Times New Roman"/>
                <w:sz w:val="24"/>
                <w:szCs w:val="24"/>
              </w:rPr>
              <w:t>Nitisinone was not detected in</w:t>
            </w:r>
            <w:r w:rsidRPr="003D087C">
              <w:rPr>
                <w:rFonts w:ascii="Times New Roman" w:hAnsi="Times New Roman" w:cs="Times New Roman"/>
                <w:sz w:val="24"/>
                <w:szCs w:val="24"/>
                <w:vertAlign w:val="superscript"/>
              </w:rPr>
              <w:t xml:space="preserve"> </w:t>
            </w:r>
            <w:r w:rsidRPr="003D087C">
              <w:rPr>
                <w:rFonts w:ascii="Times New Roman" w:hAnsi="Times New Roman" w:cs="Times New Roman"/>
                <w:sz w:val="24"/>
                <w:szCs w:val="24"/>
              </w:rPr>
              <w:t xml:space="preserve">this sample; </w:t>
            </w:r>
            <w:r w:rsidRPr="003D087C">
              <w:rPr>
                <w:rFonts w:ascii="Times New Roman" w:hAnsi="Times New Roman" w:cs="Times New Roman"/>
                <w:sz w:val="24"/>
                <w:szCs w:val="24"/>
                <w:vertAlign w:val="superscript"/>
              </w:rPr>
              <w:t>†</w:t>
            </w:r>
            <w:r w:rsidRPr="003D087C">
              <w:rPr>
                <w:rFonts w:ascii="Times New Roman" w:hAnsi="Times New Roman" w:cs="Times New Roman"/>
                <w:sz w:val="24"/>
                <w:szCs w:val="24"/>
              </w:rPr>
              <w:t xml:space="preserve"> represents recommended dietary protein intake; </w:t>
            </w:r>
            <w:r w:rsidRPr="003D087C">
              <w:rPr>
                <w:rFonts w:ascii="Times New Roman" w:hAnsi="Times New Roman" w:cs="Times New Roman"/>
                <w:sz w:val="24"/>
                <w:szCs w:val="24"/>
                <w:vertAlign w:val="superscript"/>
              </w:rPr>
              <w:t xml:space="preserve">†† </w:t>
            </w:r>
            <w:r w:rsidRPr="003D087C">
              <w:rPr>
                <w:rFonts w:ascii="Times New Roman" w:hAnsi="Times New Roman" w:cs="Times New Roman"/>
                <w:sz w:val="24"/>
                <w:szCs w:val="24"/>
              </w:rPr>
              <w:t>estimated from urinary</w:t>
            </w:r>
            <w:r w:rsidRPr="003D087C">
              <w:rPr>
                <w:rFonts w:ascii="Times New Roman" w:hAnsi="Times New Roman" w:cs="Times New Roman"/>
                <w:sz w:val="24"/>
                <w:szCs w:val="24"/>
                <w:vertAlign w:val="superscript"/>
              </w:rPr>
              <w:t xml:space="preserve"> </w:t>
            </w:r>
            <w:r w:rsidRPr="003D087C">
              <w:rPr>
                <w:rFonts w:ascii="Times New Roman" w:hAnsi="Times New Roman" w:cs="Times New Roman"/>
                <w:sz w:val="24"/>
                <w:szCs w:val="24"/>
              </w:rPr>
              <w:t>urea excretion</w:t>
            </w:r>
            <w:r>
              <w:rPr>
                <w:rFonts w:ascii="Times New Roman" w:hAnsi="Times New Roman" w:cs="Times New Roman"/>
                <w:sz w:val="24"/>
                <w:szCs w:val="24"/>
              </w:rPr>
              <w:t xml:space="preserve">; </w:t>
            </w:r>
            <w:r w:rsidRPr="003D087C">
              <w:rPr>
                <w:rFonts w:ascii="Times New Roman" w:hAnsi="Times New Roman" w:cs="Times New Roman"/>
                <w:sz w:val="24"/>
                <w:szCs w:val="24"/>
                <w:vertAlign w:val="superscript"/>
              </w:rPr>
              <w:t>†††</w:t>
            </w:r>
            <w:r>
              <w:rPr>
                <w:rFonts w:ascii="Times New Roman" w:hAnsi="Times New Roman" w:cs="Times New Roman"/>
                <w:sz w:val="24"/>
                <w:szCs w:val="24"/>
              </w:rPr>
              <w:t xml:space="preserve"> Protein intake was estimated from the patient food diary</w:t>
            </w:r>
          </w:p>
        </w:tc>
        <w:tc>
          <w:tcPr>
            <w:tcW w:w="3051" w:type="dxa"/>
            <w:gridSpan w:val="3"/>
            <w:tcBorders>
              <w:top w:val="nil"/>
              <w:left w:val="nil"/>
              <w:bottom w:val="nil"/>
              <w:right w:val="nil"/>
            </w:tcBorders>
          </w:tcPr>
          <w:p w:rsidR="00FF57FE" w:rsidRPr="003D087C" w:rsidRDefault="00FF57FE" w:rsidP="00D6620B">
            <w:pPr>
              <w:pStyle w:val="ListParagraph"/>
              <w:autoSpaceDE w:val="0"/>
              <w:autoSpaceDN w:val="0"/>
              <w:adjustRightInd w:val="0"/>
              <w:spacing w:line="240" w:lineRule="auto"/>
              <w:ind w:left="0"/>
              <w:jc w:val="both"/>
              <w:rPr>
                <w:rFonts w:ascii="Times New Roman" w:hAnsi="Times New Roman" w:cs="Times New Roman"/>
                <w:sz w:val="24"/>
                <w:szCs w:val="24"/>
              </w:rPr>
            </w:pPr>
          </w:p>
        </w:tc>
      </w:tr>
    </w:tbl>
    <w:p w:rsidR="00DF19E6" w:rsidRDefault="00DF19E6" w:rsidP="003D087C">
      <w:pPr>
        <w:autoSpaceDE w:val="0"/>
        <w:autoSpaceDN w:val="0"/>
        <w:adjustRightInd w:val="0"/>
        <w:spacing w:line="480" w:lineRule="auto"/>
        <w:jc w:val="both"/>
        <w:rPr>
          <w:rFonts w:ascii="Times New Roman" w:hAnsi="Times New Roman" w:cs="Times New Roman"/>
          <w:sz w:val="24"/>
          <w:szCs w:val="24"/>
        </w:rPr>
        <w:sectPr w:rsidR="00DF19E6" w:rsidSect="00DF19E6">
          <w:pgSz w:w="16838" w:h="11906" w:orient="landscape"/>
          <w:pgMar w:top="1440" w:right="1440" w:bottom="1440" w:left="1440" w:header="709" w:footer="709" w:gutter="0"/>
          <w:cols w:space="708"/>
          <w:docGrid w:linePitch="360"/>
        </w:sectPr>
      </w:pPr>
    </w:p>
    <w:tbl>
      <w:tblPr>
        <w:tblStyle w:val="TableGrid"/>
        <w:tblW w:w="14175" w:type="dxa"/>
        <w:tblInd w:w="-459" w:type="dxa"/>
        <w:tblLayout w:type="fixed"/>
        <w:tblLook w:val="04A0" w:firstRow="1" w:lastRow="0" w:firstColumn="1" w:lastColumn="0" w:noHBand="0" w:noVBand="1"/>
      </w:tblPr>
      <w:tblGrid>
        <w:gridCol w:w="32"/>
        <w:gridCol w:w="2236"/>
        <w:gridCol w:w="567"/>
        <w:gridCol w:w="1276"/>
        <w:gridCol w:w="1559"/>
        <w:gridCol w:w="1418"/>
        <w:gridCol w:w="2977"/>
        <w:gridCol w:w="2126"/>
        <w:gridCol w:w="1984"/>
      </w:tblGrid>
      <w:tr w:rsidR="00040441" w:rsidRPr="003D087C" w:rsidTr="009A214F">
        <w:trPr>
          <w:trHeight w:val="542"/>
        </w:trPr>
        <w:tc>
          <w:tcPr>
            <w:tcW w:w="14175" w:type="dxa"/>
            <w:gridSpan w:val="9"/>
            <w:tcBorders>
              <w:top w:val="nil"/>
              <w:left w:val="nil"/>
              <w:bottom w:val="nil"/>
              <w:right w:val="nil"/>
            </w:tcBorders>
            <w:shd w:val="clear" w:color="auto" w:fill="FFFFFF" w:themeFill="background1"/>
          </w:tcPr>
          <w:p w:rsidR="00040441" w:rsidRPr="003D087C" w:rsidRDefault="00040441" w:rsidP="003D087C">
            <w:pPr>
              <w:autoSpaceDE w:val="0"/>
              <w:autoSpaceDN w:val="0"/>
              <w:adjustRightInd w:val="0"/>
              <w:spacing w:after="0" w:line="480" w:lineRule="auto"/>
              <w:jc w:val="both"/>
              <w:rPr>
                <w:rFonts w:ascii="Times New Roman" w:hAnsi="Times New Roman" w:cs="Times New Roman"/>
                <w:sz w:val="24"/>
                <w:szCs w:val="24"/>
              </w:rPr>
            </w:pPr>
            <w:r w:rsidRPr="003D087C">
              <w:rPr>
                <w:rFonts w:ascii="Times New Roman" w:hAnsi="Times New Roman" w:cs="Times New Roman"/>
                <w:sz w:val="24"/>
                <w:szCs w:val="24"/>
              </w:rPr>
              <w:lastRenderedPageBreak/>
              <w:t xml:space="preserve">Table 2 </w:t>
            </w:r>
          </w:p>
        </w:tc>
      </w:tr>
      <w:tr w:rsidR="00040441" w:rsidRPr="003D087C" w:rsidTr="009A214F">
        <w:trPr>
          <w:gridBefore w:val="1"/>
          <w:wBefore w:w="32" w:type="dxa"/>
          <w:trHeight w:val="1346"/>
        </w:trPr>
        <w:tc>
          <w:tcPr>
            <w:tcW w:w="2236"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Case</w:t>
            </w:r>
          </w:p>
        </w:tc>
        <w:tc>
          <w:tcPr>
            <w:tcW w:w="567"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Age</w:t>
            </w:r>
          </w:p>
        </w:tc>
        <w:tc>
          <w:tcPr>
            <w:tcW w:w="1276"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Gender</w:t>
            </w:r>
          </w:p>
        </w:tc>
        <w:tc>
          <w:tcPr>
            <w:tcW w:w="1559"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Serum Tyrosine </w:t>
            </w:r>
            <w:r w:rsidR="002647C8" w:rsidRPr="003D087C">
              <w:rPr>
                <w:rFonts w:ascii="Times New Roman" w:hAnsi="Times New Roman" w:cs="Times New Roman"/>
                <w:sz w:val="24"/>
                <w:szCs w:val="24"/>
              </w:rPr>
              <w:t>(</w:t>
            </w:r>
            <w:r w:rsidRPr="003D087C">
              <w:rPr>
                <w:rFonts w:ascii="Times New Roman" w:hAnsi="Times New Roman" w:cs="Times New Roman"/>
                <w:sz w:val="24"/>
                <w:szCs w:val="24"/>
              </w:rPr>
              <w:t>µmol/L</w:t>
            </w:r>
            <w:r w:rsidR="002647C8" w:rsidRPr="003D087C">
              <w:rPr>
                <w:rFonts w:ascii="Times New Roman" w:hAnsi="Times New Roman" w:cs="Times New Roman"/>
                <w:sz w:val="24"/>
                <w:szCs w:val="24"/>
              </w:rPr>
              <w:t>)</w:t>
            </w:r>
          </w:p>
        </w:tc>
        <w:tc>
          <w:tcPr>
            <w:tcW w:w="1418"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Nitisinone dose</w:t>
            </w:r>
          </w:p>
        </w:tc>
        <w:tc>
          <w:tcPr>
            <w:tcW w:w="2977"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Onset of eye symptoms in relation to starting nitisinone</w:t>
            </w:r>
          </w:p>
        </w:tc>
        <w:tc>
          <w:tcPr>
            <w:tcW w:w="2126"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outcome</w:t>
            </w:r>
          </w:p>
        </w:tc>
        <w:tc>
          <w:tcPr>
            <w:tcW w:w="1984" w:type="dxa"/>
            <w:tcBorders>
              <w:top w:val="single" w:sz="4" w:space="0" w:color="auto"/>
            </w:tcBorders>
            <w:shd w:val="clear" w:color="auto" w:fill="BFBFBF" w:themeFill="background1" w:themeFillShade="BF"/>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Symptoms </w:t>
            </w:r>
          </w:p>
        </w:tc>
      </w:tr>
      <w:tr w:rsidR="00040441" w:rsidRPr="003D087C" w:rsidTr="009A214F">
        <w:trPr>
          <w:gridBefore w:val="1"/>
          <w:wBefore w:w="32" w:type="dxa"/>
          <w:trHeight w:val="2485"/>
        </w:trPr>
        <w:tc>
          <w:tcPr>
            <w:tcW w:w="2236" w:type="dxa"/>
          </w:tcPr>
          <w:p w:rsidR="00040441" w:rsidRPr="003D087C" w:rsidRDefault="00CB649B" w:rsidP="003D087C">
            <w:pPr>
              <w:autoSpaceDE w:val="0"/>
              <w:autoSpaceDN w:val="0"/>
              <w:adjustRightInd w:val="0"/>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575273673"/>
                <w:citation/>
              </w:sdtPr>
              <w:sdtEndPr/>
              <w:sdtContent>
                <w:r w:rsidR="006100CF" w:rsidRPr="003D087C">
                  <w:rPr>
                    <w:rFonts w:ascii="Times New Roman" w:hAnsi="Times New Roman" w:cs="Times New Roman"/>
                    <w:sz w:val="24"/>
                    <w:szCs w:val="24"/>
                  </w:rPr>
                  <w:fldChar w:fldCharType="begin"/>
                </w:r>
                <w:r w:rsidR="00040441" w:rsidRPr="003D087C">
                  <w:rPr>
                    <w:rFonts w:ascii="Times New Roman" w:hAnsi="Times New Roman" w:cs="Times New Roman"/>
                    <w:sz w:val="24"/>
                    <w:szCs w:val="24"/>
                  </w:rPr>
                  <w:instrText xml:space="preserve"> CITATION Ste14 \l 2057 </w:instrText>
                </w:r>
                <w:r w:rsidR="006100CF" w:rsidRPr="003D087C">
                  <w:rPr>
                    <w:rFonts w:ascii="Times New Roman" w:hAnsi="Times New Roman" w:cs="Times New Roman"/>
                    <w:sz w:val="24"/>
                    <w:szCs w:val="24"/>
                  </w:rPr>
                  <w:fldChar w:fldCharType="separate"/>
                </w:r>
                <w:r w:rsidR="004873E1" w:rsidRPr="003D087C">
                  <w:rPr>
                    <w:rFonts w:ascii="Times New Roman" w:hAnsi="Times New Roman" w:cs="Times New Roman"/>
                    <w:noProof/>
                    <w:sz w:val="24"/>
                    <w:szCs w:val="24"/>
                  </w:rPr>
                  <w:t>(Stewart, et al., 2014)</w:t>
                </w:r>
                <w:r w:rsidR="006100CF" w:rsidRPr="003D087C">
                  <w:rPr>
                    <w:rFonts w:ascii="Times New Roman" w:hAnsi="Times New Roman" w:cs="Times New Roman"/>
                    <w:sz w:val="24"/>
                    <w:szCs w:val="24"/>
                  </w:rPr>
                  <w:fldChar w:fldCharType="end"/>
                </w:r>
              </w:sdtContent>
            </w:sdt>
          </w:p>
        </w:tc>
        <w:tc>
          <w:tcPr>
            <w:tcW w:w="56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21</w:t>
            </w:r>
          </w:p>
        </w:tc>
        <w:tc>
          <w:tcPr>
            <w:tcW w:w="127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male</w:t>
            </w:r>
          </w:p>
        </w:tc>
        <w:tc>
          <w:tcPr>
            <w:tcW w:w="1559"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941</w:t>
            </w:r>
          </w:p>
        </w:tc>
        <w:tc>
          <w:tcPr>
            <w:tcW w:w="1418"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 mg alternate days</w:t>
            </w:r>
          </w:p>
        </w:tc>
        <w:tc>
          <w:tcPr>
            <w:tcW w:w="297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7 weeks post nitisinone</w:t>
            </w:r>
          </w:p>
        </w:tc>
        <w:tc>
          <w:tcPr>
            <w:tcW w:w="212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Restarted nitisinone 2 mg once weekly</w:t>
            </w:r>
          </w:p>
        </w:tc>
        <w:tc>
          <w:tcPr>
            <w:tcW w:w="1984" w:type="dxa"/>
          </w:tcPr>
          <w:p w:rsidR="00040441" w:rsidRPr="003D087C" w:rsidRDefault="00DF3887"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Epiphora </w:t>
            </w:r>
            <w:r w:rsidR="00040441" w:rsidRPr="003D087C">
              <w:rPr>
                <w:rFonts w:ascii="Times New Roman" w:hAnsi="Times New Roman" w:cs="Times New Roman"/>
                <w:sz w:val="24"/>
                <w:szCs w:val="24"/>
              </w:rPr>
              <w:t>on alternate evenings</w:t>
            </w:r>
          </w:p>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while watching television</w:t>
            </w:r>
          </w:p>
        </w:tc>
      </w:tr>
      <w:tr w:rsidR="00040441" w:rsidRPr="003D087C" w:rsidTr="009A214F">
        <w:trPr>
          <w:gridBefore w:val="1"/>
          <w:wBefore w:w="32" w:type="dxa"/>
          <w:trHeight w:val="2621"/>
        </w:trPr>
        <w:tc>
          <w:tcPr>
            <w:tcW w:w="2236" w:type="dxa"/>
          </w:tcPr>
          <w:p w:rsidR="00040441" w:rsidRPr="003D087C" w:rsidRDefault="00CB649B" w:rsidP="003D087C">
            <w:pPr>
              <w:autoSpaceDE w:val="0"/>
              <w:autoSpaceDN w:val="0"/>
              <w:adjustRightInd w:val="0"/>
              <w:spacing w:line="480" w:lineRule="auto"/>
              <w:jc w:val="both"/>
              <w:rPr>
                <w:rFonts w:ascii="Times New Roman" w:hAnsi="Times New Roman" w:cs="Times New Roman"/>
                <w:sz w:val="24"/>
                <w:szCs w:val="24"/>
              </w:rPr>
            </w:pPr>
            <w:sdt>
              <w:sdtPr>
                <w:rPr>
                  <w:rFonts w:ascii="Times New Roman" w:hAnsi="Times New Roman" w:cs="Times New Roman"/>
                  <w:sz w:val="24"/>
                  <w:szCs w:val="24"/>
                </w:rPr>
                <w:id w:val="-1817099680"/>
                <w:citation/>
              </w:sdtPr>
              <w:sdtEndPr/>
              <w:sdtContent>
                <w:r w:rsidR="006100CF" w:rsidRPr="003D087C">
                  <w:rPr>
                    <w:rFonts w:ascii="Times New Roman" w:hAnsi="Times New Roman" w:cs="Times New Roman"/>
                    <w:sz w:val="24"/>
                    <w:szCs w:val="24"/>
                  </w:rPr>
                  <w:fldChar w:fldCharType="begin"/>
                </w:r>
                <w:r w:rsidR="00040441" w:rsidRPr="003D087C">
                  <w:rPr>
                    <w:rFonts w:ascii="Times New Roman" w:hAnsi="Times New Roman" w:cs="Times New Roman"/>
                    <w:sz w:val="24"/>
                    <w:szCs w:val="24"/>
                  </w:rPr>
                  <w:instrText xml:space="preserve"> CITATION Int11 \l 2057 </w:instrText>
                </w:r>
                <w:r w:rsidR="006100CF" w:rsidRPr="003D087C">
                  <w:rPr>
                    <w:rFonts w:ascii="Times New Roman" w:hAnsi="Times New Roman" w:cs="Times New Roman"/>
                    <w:sz w:val="24"/>
                    <w:szCs w:val="24"/>
                  </w:rPr>
                  <w:fldChar w:fldCharType="separate"/>
                </w:r>
                <w:r w:rsidR="004873E1" w:rsidRPr="003D087C">
                  <w:rPr>
                    <w:rFonts w:ascii="Times New Roman" w:hAnsi="Times New Roman" w:cs="Times New Roman"/>
                    <w:noProof/>
                    <w:sz w:val="24"/>
                    <w:szCs w:val="24"/>
                  </w:rPr>
                  <w:t>(Introne, et al., 2011)</w:t>
                </w:r>
                <w:r w:rsidR="006100CF" w:rsidRPr="003D087C">
                  <w:rPr>
                    <w:rFonts w:ascii="Times New Roman" w:hAnsi="Times New Roman" w:cs="Times New Roman"/>
                    <w:sz w:val="24"/>
                    <w:szCs w:val="24"/>
                  </w:rPr>
                  <w:fldChar w:fldCharType="end"/>
                </w:r>
              </w:sdtContent>
            </w:sdt>
          </w:p>
        </w:tc>
        <w:tc>
          <w:tcPr>
            <w:tcW w:w="56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48</w:t>
            </w:r>
          </w:p>
        </w:tc>
        <w:tc>
          <w:tcPr>
            <w:tcW w:w="127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male</w:t>
            </w:r>
          </w:p>
        </w:tc>
        <w:tc>
          <w:tcPr>
            <w:tcW w:w="1559"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600</w:t>
            </w:r>
          </w:p>
        </w:tc>
        <w:tc>
          <w:tcPr>
            <w:tcW w:w="1418"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 mg daily</w:t>
            </w:r>
          </w:p>
        </w:tc>
        <w:tc>
          <w:tcPr>
            <w:tcW w:w="297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6 weeks post nitisinone</w:t>
            </w:r>
          </w:p>
        </w:tc>
        <w:tc>
          <w:tcPr>
            <w:tcW w:w="212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Restarting nitisinone attempted twice but eye symptoms recurred</w:t>
            </w:r>
          </w:p>
        </w:tc>
        <w:tc>
          <w:tcPr>
            <w:tcW w:w="1984" w:type="dxa"/>
          </w:tcPr>
          <w:p w:rsidR="00040441" w:rsidRPr="003D087C" w:rsidRDefault="00DF3887"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 xml:space="preserve">Corneal </w:t>
            </w:r>
            <w:r w:rsidR="00040441" w:rsidRPr="003D087C">
              <w:rPr>
                <w:rFonts w:ascii="Times New Roman" w:hAnsi="Times New Roman" w:cs="Times New Roman"/>
                <w:sz w:val="24"/>
                <w:szCs w:val="24"/>
              </w:rPr>
              <w:t>irritation</w:t>
            </w:r>
          </w:p>
        </w:tc>
      </w:tr>
      <w:tr w:rsidR="00040441" w:rsidRPr="003D087C" w:rsidTr="009A214F">
        <w:trPr>
          <w:gridBefore w:val="1"/>
          <w:wBefore w:w="32" w:type="dxa"/>
          <w:trHeight w:val="2621"/>
        </w:trPr>
        <w:tc>
          <w:tcPr>
            <w:tcW w:w="223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lastRenderedPageBreak/>
              <w:t>Present case</w:t>
            </w:r>
          </w:p>
        </w:tc>
        <w:tc>
          <w:tcPr>
            <w:tcW w:w="56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25</w:t>
            </w:r>
          </w:p>
        </w:tc>
        <w:tc>
          <w:tcPr>
            <w:tcW w:w="127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male</w:t>
            </w:r>
          </w:p>
        </w:tc>
        <w:tc>
          <w:tcPr>
            <w:tcW w:w="1559"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964</w:t>
            </w:r>
            <w:r w:rsidR="00B00857" w:rsidRPr="003D087C">
              <w:rPr>
                <w:rFonts w:ascii="Times New Roman" w:hAnsi="Times New Roman" w:cs="Times New Roman"/>
                <w:sz w:val="24"/>
                <w:szCs w:val="24"/>
                <w:vertAlign w:val="superscript"/>
              </w:rPr>
              <w:t>a</w:t>
            </w:r>
          </w:p>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841</w:t>
            </w:r>
            <w:r w:rsidR="00B00857" w:rsidRPr="003D087C">
              <w:rPr>
                <w:rFonts w:ascii="Times New Roman" w:hAnsi="Times New Roman" w:cs="Times New Roman"/>
                <w:sz w:val="24"/>
                <w:szCs w:val="24"/>
                <w:vertAlign w:val="superscript"/>
              </w:rPr>
              <w:t>b</w:t>
            </w:r>
          </w:p>
        </w:tc>
        <w:tc>
          <w:tcPr>
            <w:tcW w:w="1418"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 mg daily</w:t>
            </w:r>
          </w:p>
        </w:tc>
        <w:tc>
          <w:tcPr>
            <w:tcW w:w="2977"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36 months post nitisinone</w:t>
            </w:r>
          </w:p>
        </w:tc>
        <w:tc>
          <w:tcPr>
            <w:tcW w:w="2126"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Nitisinone 2mg daily restarted after resolution of keratopathy</w:t>
            </w:r>
          </w:p>
        </w:tc>
        <w:tc>
          <w:tcPr>
            <w:tcW w:w="1984" w:type="dxa"/>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No symptoms on visit 4</w:t>
            </w:r>
          </w:p>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Dry eyes on visit 5</w:t>
            </w:r>
          </w:p>
        </w:tc>
      </w:tr>
      <w:tr w:rsidR="00040441" w:rsidRPr="003D087C" w:rsidTr="009A214F">
        <w:trPr>
          <w:gridBefore w:val="1"/>
          <w:wBefore w:w="32" w:type="dxa"/>
          <w:trHeight w:val="2621"/>
        </w:trPr>
        <w:tc>
          <w:tcPr>
            <w:tcW w:w="2236"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NAC case (unpublished)</w:t>
            </w:r>
          </w:p>
        </w:tc>
        <w:tc>
          <w:tcPr>
            <w:tcW w:w="567"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55</w:t>
            </w:r>
          </w:p>
        </w:tc>
        <w:tc>
          <w:tcPr>
            <w:tcW w:w="1276"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male</w:t>
            </w:r>
          </w:p>
        </w:tc>
        <w:tc>
          <w:tcPr>
            <w:tcW w:w="1559"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1214</w:t>
            </w:r>
          </w:p>
        </w:tc>
        <w:tc>
          <w:tcPr>
            <w:tcW w:w="1418"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2 mg alternate days</w:t>
            </w:r>
          </w:p>
        </w:tc>
        <w:tc>
          <w:tcPr>
            <w:tcW w:w="2977"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3 months post Rx (normal slit lamp examination)</w:t>
            </w:r>
          </w:p>
        </w:tc>
        <w:tc>
          <w:tcPr>
            <w:tcW w:w="2126"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Nitisinone stopped</w:t>
            </w:r>
          </w:p>
        </w:tc>
        <w:tc>
          <w:tcPr>
            <w:tcW w:w="1984" w:type="dxa"/>
            <w:tcBorders>
              <w:bottom w:val="single" w:sz="4" w:space="0" w:color="auto"/>
            </w:tcBorders>
          </w:tcPr>
          <w:p w:rsidR="00040441" w:rsidRPr="003D087C" w:rsidRDefault="00040441" w:rsidP="003D087C">
            <w:pPr>
              <w:autoSpaceDE w:val="0"/>
              <w:autoSpaceDN w:val="0"/>
              <w:adjustRightInd w:val="0"/>
              <w:spacing w:line="480" w:lineRule="auto"/>
              <w:jc w:val="both"/>
              <w:rPr>
                <w:rFonts w:ascii="Times New Roman" w:hAnsi="Times New Roman" w:cs="Times New Roman"/>
                <w:sz w:val="24"/>
                <w:szCs w:val="24"/>
              </w:rPr>
            </w:pPr>
            <w:r w:rsidRPr="003D087C">
              <w:rPr>
                <w:rFonts w:ascii="Times New Roman" w:hAnsi="Times New Roman" w:cs="Times New Roman"/>
                <w:sz w:val="24"/>
                <w:szCs w:val="24"/>
              </w:rPr>
              <w:t>Experienced right eye discomfort towards the end of the day every other day</w:t>
            </w:r>
          </w:p>
        </w:tc>
      </w:tr>
      <w:tr w:rsidR="00040441" w:rsidRPr="003D087C" w:rsidTr="009A214F">
        <w:trPr>
          <w:gridBefore w:val="1"/>
          <w:wBefore w:w="32" w:type="dxa"/>
          <w:trHeight w:val="283"/>
        </w:trPr>
        <w:tc>
          <w:tcPr>
            <w:tcW w:w="14143" w:type="dxa"/>
            <w:gridSpan w:val="8"/>
            <w:tcBorders>
              <w:top w:val="single" w:sz="4" w:space="0" w:color="auto"/>
              <w:left w:val="nil"/>
              <w:bottom w:val="nil"/>
              <w:right w:val="nil"/>
            </w:tcBorders>
          </w:tcPr>
          <w:p w:rsidR="00040441" w:rsidRPr="003D087C" w:rsidRDefault="00B00857" w:rsidP="003D087C">
            <w:pPr>
              <w:autoSpaceDE w:val="0"/>
              <w:autoSpaceDN w:val="0"/>
              <w:adjustRightInd w:val="0"/>
              <w:spacing w:after="0" w:line="480" w:lineRule="auto"/>
              <w:jc w:val="both"/>
              <w:rPr>
                <w:rFonts w:ascii="Times New Roman" w:hAnsi="Times New Roman" w:cs="Times New Roman"/>
                <w:sz w:val="24"/>
                <w:szCs w:val="24"/>
              </w:rPr>
            </w:pPr>
            <w:proofErr w:type="spellStart"/>
            <w:r w:rsidRPr="003D087C">
              <w:rPr>
                <w:rFonts w:ascii="Times New Roman" w:hAnsi="Times New Roman" w:cs="Times New Roman"/>
                <w:sz w:val="24"/>
                <w:szCs w:val="24"/>
                <w:vertAlign w:val="superscript"/>
              </w:rPr>
              <w:t>a</w:t>
            </w:r>
            <w:proofErr w:type="spellEnd"/>
            <w:r w:rsidR="00040441" w:rsidRPr="003D087C">
              <w:rPr>
                <w:rFonts w:ascii="Times New Roman" w:hAnsi="Times New Roman" w:cs="Times New Roman"/>
                <w:sz w:val="24"/>
                <w:szCs w:val="24"/>
              </w:rPr>
              <w:t xml:space="preserve"> Annual visit 4</w:t>
            </w:r>
            <w:r w:rsidR="00DF3887" w:rsidRPr="003D087C">
              <w:rPr>
                <w:rFonts w:ascii="Times New Roman" w:hAnsi="Times New Roman" w:cs="Times New Roman"/>
                <w:sz w:val="24"/>
                <w:szCs w:val="24"/>
              </w:rPr>
              <w:t xml:space="preserve"> (V4)</w:t>
            </w:r>
            <w:r w:rsidR="00EF02BE" w:rsidRPr="003D087C">
              <w:rPr>
                <w:rFonts w:ascii="Times New Roman" w:hAnsi="Times New Roman" w:cs="Times New Roman"/>
                <w:sz w:val="24"/>
                <w:szCs w:val="24"/>
              </w:rPr>
              <w:t xml:space="preserve">; </w:t>
            </w:r>
            <w:r w:rsidR="00B75E78" w:rsidRPr="003D087C">
              <w:rPr>
                <w:rFonts w:ascii="Times New Roman" w:hAnsi="Times New Roman" w:cs="Times New Roman"/>
                <w:sz w:val="24"/>
                <w:szCs w:val="24"/>
                <w:vertAlign w:val="superscript"/>
              </w:rPr>
              <w:t>b</w:t>
            </w:r>
            <w:r w:rsidR="00B75E78" w:rsidRPr="003D087C">
              <w:rPr>
                <w:rFonts w:ascii="Times New Roman" w:hAnsi="Times New Roman" w:cs="Times New Roman"/>
                <w:sz w:val="24"/>
                <w:szCs w:val="24"/>
              </w:rPr>
              <w:t xml:space="preserve"> </w:t>
            </w:r>
            <w:r w:rsidR="00040441" w:rsidRPr="003D087C">
              <w:rPr>
                <w:rFonts w:ascii="Times New Roman" w:hAnsi="Times New Roman" w:cs="Times New Roman"/>
                <w:sz w:val="24"/>
                <w:szCs w:val="24"/>
              </w:rPr>
              <w:t>Annual visit 5</w:t>
            </w:r>
            <w:r w:rsidR="00DF3887" w:rsidRPr="003D087C">
              <w:rPr>
                <w:rFonts w:ascii="Times New Roman" w:hAnsi="Times New Roman" w:cs="Times New Roman"/>
                <w:sz w:val="24"/>
                <w:szCs w:val="24"/>
              </w:rPr>
              <w:t xml:space="preserve"> (V5)</w:t>
            </w:r>
          </w:p>
        </w:tc>
      </w:tr>
    </w:tbl>
    <w:p w:rsidR="000A086F" w:rsidRPr="003D087C" w:rsidRDefault="000A086F" w:rsidP="003D087C">
      <w:pPr>
        <w:spacing w:line="480" w:lineRule="auto"/>
        <w:jc w:val="both"/>
        <w:rPr>
          <w:rFonts w:ascii="Times New Roman" w:hAnsi="Times New Roman" w:cs="Times New Roman"/>
          <w:sz w:val="24"/>
          <w:szCs w:val="24"/>
        </w:rPr>
      </w:pPr>
    </w:p>
    <w:sectPr w:rsidR="000A086F" w:rsidRPr="003D087C" w:rsidSect="009A214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854" w:rsidRDefault="00F31854">
      <w:pPr>
        <w:spacing w:after="0" w:line="240" w:lineRule="auto"/>
      </w:pPr>
      <w:r>
        <w:separator/>
      </w:r>
    </w:p>
  </w:endnote>
  <w:endnote w:type="continuationSeparator" w:id="0">
    <w:p w:rsidR="00F31854" w:rsidRDefault="00F31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854" w:rsidRDefault="00F31854">
      <w:pPr>
        <w:spacing w:after="0" w:line="240" w:lineRule="auto"/>
      </w:pPr>
      <w:r>
        <w:separator/>
      </w:r>
    </w:p>
  </w:footnote>
  <w:footnote w:type="continuationSeparator" w:id="0">
    <w:p w:rsidR="00F31854" w:rsidRDefault="00F318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54" w:rsidRPr="007B77C9" w:rsidRDefault="00F31854" w:rsidP="00972432">
    <w:pPr>
      <w:pStyle w:val="Header"/>
      <w:jc w:val="center"/>
      <w:rPr>
        <w:rFonts w:ascii="Times New Roman" w:hAnsi="Times New Roman" w:cs="Times New Roman"/>
        <w:b/>
        <w:sz w:val="24"/>
        <w:szCs w:val="24"/>
      </w:rPr>
    </w:pPr>
    <w:r w:rsidRPr="007B77C9">
      <w:rPr>
        <w:rFonts w:ascii="Times New Roman" w:hAnsi="Times New Roman" w:cs="Times New Roman"/>
        <w:b/>
        <w:sz w:val="24"/>
        <w:szCs w:val="24"/>
      </w:rPr>
      <w:t xml:space="preserve">Low dose nitisinone can cause asymptomatic tyrosine keratopathy </w:t>
    </w:r>
  </w:p>
  <w:p w:rsidR="00F31854" w:rsidRPr="007B77C9" w:rsidRDefault="00F31854" w:rsidP="00972432">
    <w:pPr>
      <w:pStyle w:val="Header"/>
      <w:jc w:val="center"/>
      <w:rPr>
        <w:rFonts w:ascii="Times New Roman" w:hAnsi="Times New Roman" w:cs="Times New Roman"/>
        <w:sz w:val="24"/>
        <w:szCs w:val="24"/>
      </w:rPr>
    </w:pPr>
    <w:r w:rsidRPr="007B77C9">
      <w:rPr>
        <w:rFonts w:ascii="Times New Roman" w:hAnsi="Times New Roman" w:cs="Times New Roman"/>
        <w:sz w:val="24"/>
        <w:szCs w:val="24"/>
      </w:rPr>
      <w:t>Page</w:t>
    </w:r>
    <w:r w:rsidRPr="007B77C9">
      <w:rPr>
        <w:rFonts w:ascii="Times New Roman" w:hAnsi="Times New Roman" w:cs="Times New Roman"/>
        <w:sz w:val="24"/>
        <w:szCs w:val="24"/>
      </w:rPr>
      <w:fldChar w:fldCharType="begin"/>
    </w:r>
    <w:r w:rsidRPr="007B77C9">
      <w:rPr>
        <w:rFonts w:ascii="Times New Roman" w:hAnsi="Times New Roman" w:cs="Times New Roman"/>
        <w:sz w:val="24"/>
        <w:szCs w:val="24"/>
      </w:rPr>
      <w:instrText xml:space="preserve"> PAGE   \* MERGEFORMAT </w:instrText>
    </w:r>
    <w:r w:rsidRPr="007B77C9">
      <w:rPr>
        <w:rFonts w:ascii="Times New Roman" w:hAnsi="Times New Roman" w:cs="Times New Roman"/>
        <w:sz w:val="24"/>
        <w:szCs w:val="24"/>
      </w:rPr>
      <w:fldChar w:fldCharType="separate"/>
    </w:r>
    <w:r w:rsidR="00CB649B">
      <w:rPr>
        <w:rFonts w:ascii="Times New Roman" w:hAnsi="Times New Roman" w:cs="Times New Roman"/>
        <w:noProof/>
        <w:sz w:val="24"/>
        <w:szCs w:val="24"/>
      </w:rPr>
      <w:t>9</w:t>
    </w:r>
    <w:r w:rsidRPr="007B77C9">
      <w:rPr>
        <w:rFonts w:ascii="Times New Roman" w:hAnsi="Times New Roman" w:cs="Times New Roman"/>
        <w:noProof/>
        <w:sz w:val="24"/>
        <w:szCs w:val="24"/>
      </w:rPr>
      <w:fldChar w:fldCharType="end"/>
    </w:r>
    <w:r w:rsidRPr="007B77C9">
      <w:rPr>
        <w:rFonts w:ascii="Times New Roman" w:hAnsi="Times New Roman" w:cs="Times New Roman"/>
        <w:sz w:val="24"/>
        <w:szCs w:val="24"/>
      </w:rPr>
      <w:t xml:space="preserve"> of 1</w:t>
    </w:r>
    <w:r>
      <w:rPr>
        <w:rFonts w:ascii="Times New Roman" w:hAnsi="Times New Roman" w:cs="Times New Roman"/>
        <w:sz w:val="24"/>
        <w:szCs w:val="24"/>
      </w:rPr>
      <w:t>9</w:t>
    </w:r>
  </w:p>
  <w:p w:rsidR="00F31854" w:rsidRDefault="00F318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421B02"/>
    <w:multiLevelType w:val="hybridMultilevel"/>
    <w:tmpl w:val="13D8BD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D300E57"/>
    <w:multiLevelType w:val="hybridMultilevel"/>
    <w:tmpl w:val="879C0A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55C"/>
    <w:rsid w:val="000044DF"/>
    <w:rsid w:val="00005BE2"/>
    <w:rsid w:val="00007E1A"/>
    <w:rsid w:val="00010948"/>
    <w:rsid w:val="00020E9E"/>
    <w:rsid w:val="00033820"/>
    <w:rsid w:val="00033B42"/>
    <w:rsid w:val="00036CF9"/>
    <w:rsid w:val="00037CA0"/>
    <w:rsid w:val="00040441"/>
    <w:rsid w:val="00047214"/>
    <w:rsid w:val="0005040E"/>
    <w:rsid w:val="00055ABA"/>
    <w:rsid w:val="0006096F"/>
    <w:rsid w:val="000773E3"/>
    <w:rsid w:val="00077C65"/>
    <w:rsid w:val="000930C9"/>
    <w:rsid w:val="000A086F"/>
    <w:rsid w:val="000A1DA0"/>
    <w:rsid w:val="000A72CB"/>
    <w:rsid w:val="000C02C1"/>
    <w:rsid w:val="000C6FA4"/>
    <w:rsid w:val="001022A3"/>
    <w:rsid w:val="001079B1"/>
    <w:rsid w:val="00135CFA"/>
    <w:rsid w:val="00140167"/>
    <w:rsid w:val="001568D7"/>
    <w:rsid w:val="0017527D"/>
    <w:rsid w:val="001823AA"/>
    <w:rsid w:val="001948A5"/>
    <w:rsid w:val="001B1743"/>
    <w:rsid w:val="001B5A5F"/>
    <w:rsid w:val="001C1D36"/>
    <w:rsid w:val="001C5C87"/>
    <w:rsid w:val="001D1EE2"/>
    <w:rsid w:val="00202925"/>
    <w:rsid w:val="00204D91"/>
    <w:rsid w:val="00210B67"/>
    <w:rsid w:val="00217EF9"/>
    <w:rsid w:val="00220028"/>
    <w:rsid w:val="002226D2"/>
    <w:rsid w:val="00234657"/>
    <w:rsid w:val="0024068A"/>
    <w:rsid w:val="002543A0"/>
    <w:rsid w:val="00261111"/>
    <w:rsid w:val="002647C8"/>
    <w:rsid w:val="00265531"/>
    <w:rsid w:val="00270602"/>
    <w:rsid w:val="00286CCE"/>
    <w:rsid w:val="002A1E71"/>
    <w:rsid w:val="002B0E73"/>
    <w:rsid w:val="002B5612"/>
    <w:rsid w:val="002B609A"/>
    <w:rsid w:val="002B6E95"/>
    <w:rsid w:val="002C0CEE"/>
    <w:rsid w:val="002C1224"/>
    <w:rsid w:val="002C1A35"/>
    <w:rsid w:val="002C20C4"/>
    <w:rsid w:val="002E2DEF"/>
    <w:rsid w:val="002E33E2"/>
    <w:rsid w:val="002E3713"/>
    <w:rsid w:val="002F1F85"/>
    <w:rsid w:val="002F2394"/>
    <w:rsid w:val="00302977"/>
    <w:rsid w:val="00306096"/>
    <w:rsid w:val="00307098"/>
    <w:rsid w:val="0032148A"/>
    <w:rsid w:val="00324002"/>
    <w:rsid w:val="003247FC"/>
    <w:rsid w:val="00344ADB"/>
    <w:rsid w:val="00345695"/>
    <w:rsid w:val="00361444"/>
    <w:rsid w:val="00373CCA"/>
    <w:rsid w:val="00384E20"/>
    <w:rsid w:val="003C06B5"/>
    <w:rsid w:val="003D087C"/>
    <w:rsid w:val="003D2649"/>
    <w:rsid w:val="003E7DCC"/>
    <w:rsid w:val="00410380"/>
    <w:rsid w:val="004167AD"/>
    <w:rsid w:val="0041787F"/>
    <w:rsid w:val="004205FE"/>
    <w:rsid w:val="00436BE4"/>
    <w:rsid w:val="0044089E"/>
    <w:rsid w:val="00445C20"/>
    <w:rsid w:val="00455E23"/>
    <w:rsid w:val="0048557E"/>
    <w:rsid w:val="004873E1"/>
    <w:rsid w:val="004A00D3"/>
    <w:rsid w:val="004A561C"/>
    <w:rsid w:val="004A5AAA"/>
    <w:rsid w:val="004B5FCA"/>
    <w:rsid w:val="004D601E"/>
    <w:rsid w:val="004F4E8A"/>
    <w:rsid w:val="004F7586"/>
    <w:rsid w:val="004F760E"/>
    <w:rsid w:val="00502A31"/>
    <w:rsid w:val="00503329"/>
    <w:rsid w:val="005037AA"/>
    <w:rsid w:val="005360FA"/>
    <w:rsid w:val="00556DA4"/>
    <w:rsid w:val="00561415"/>
    <w:rsid w:val="00562488"/>
    <w:rsid w:val="005717B9"/>
    <w:rsid w:val="00577D19"/>
    <w:rsid w:val="00580BE3"/>
    <w:rsid w:val="005909B5"/>
    <w:rsid w:val="005958A2"/>
    <w:rsid w:val="005A4B23"/>
    <w:rsid w:val="005A6C51"/>
    <w:rsid w:val="005B5570"/>
    <w:rsid w:val="005D11A6"/>
    <w:rsid w:val="005F0B45"/>
    <w:rsid w:val="00605DFC"/>
    <w:rsid w:val="006100CF"/>
    <w:rsid w:val="00635AEF"/>
    <w:rsid w:val="006371BC"/>
    <w:rsid w:val="00642DDD"/>
    <w:rsid w:val="00645705"/>
    <w:rsid w:val="00653643"/>
    <w:rsid w:val="00680588"/>
    <w:rsid w:val="00682024"/>
    <w:rsid w:val="006956BE"/>
    <w:rsid w:val="006B3DA1"/>
    <w:rsid w:val="006B61C9"/>
    <w:rsid w:val="006B7508"/>
    <w:rsid w:val="006C0E12"/>
    <w:rsid w:val="006C3FBB"/>
    <w:rsid w:val="006D0B0C"/>
    <w:rsid w:val="006D7F37"/>
    <w:rsid w:val="006E2809"/>
    <w:rsid w:val="006E6625"/>
    <w:rsid w:val="006F2CFC"/>
    <w:rsid w:val="00725F21"/>
    <w:rsid w:val="00741A81"/>
    <w:rsid w:val="00760798"/>
    <w:rsid w:val="00766FD8"/>
    <w:rsid w:val="00771F88"/>
    <w:rsid w:val="00774ECC"/>
    <w:rsid w:val="00775779"/>
    <w:rsid w:val="0078656D"/>
    <w:rsid w:val="00791343"/>
    <w:rsid w:val="00797381"/>
    <w:rsid w:val="00797B5D"/>
    <w:rsid w:val="007A656E"/>
    <w:rsid w:val="007B1438"/>
    <w:rsid w:val="007B77C9"/>
    <w:rsid w:val="007C0BD3"/>
    <w:rsid w:val="007C1327"/>
    <w:rsid w:val="007C3BF4"/>
    <w:rsid w:val="007C4B2F"/>
    <w:rsid w:val="007C7A61"/>
    <w:rsid w:val="007D2362"/>
    <w:rsid w:val="007D6C6A"/>
    <w:rsid w:val="007E4715"/>
    <w:rsid w:val="007F0E0C"/>
    <w:rsid w:val="00813EBC"/>
    <w:rsid w:val="008239EA"/>
    <w:rsid w:val="00827F06"/>
    <w:rsid w:val="00831C1D"/>
    <w:rsid w:val="00832E50"/>
    <w:rsid w:val="008405DA"/>
    <w:rsid w:val="00852AA0"/>
    <w:rsid w:val="008573AD"/>
    <w:rsid w:val="00862B53"/>
    <w:rsid w:val="00870D38"/>
    <w:rsid w:val="00876978"/>
    <w:rsid w:val="0088453A"/>
    <w:rsid w:val="008A4300"/>
    <w:rsid w:val="008B38F0"/>
    <w:rsid w:val="008D7B65"/>
    <w:rsid w:val="008E3BFC"/>
    <w:rsid w:val="008E3E11"/>
    <w:rsid w:val="008F373D"/>
    <w:rsid w:val="009017C4"/>
    <w:rsid w:val="009044B0"/>
    <w:rsid w:val="009219B2"/>
    <w:rsid w:val="00924A5B"/>
    <w:rsid w:val="0092726B"/>
    <w:rsid w:val="00947323"/>
    <w:rsid w:val="0096155C"/>
    <w:rsid w:val="00972432"/>
    <w:rsid w:val="00974260"/>
    <w:rsid w:val="00975C17"/>
    <w:rsid w:val="009768ED"/>
    <w:rsid w:val="00983F4A"/>
    <w:rsid w:val="00987771"/>
    <w:rsid w:val="009A214F"/>
    <w:rsid w:val="009C518E"/>
    <w:rsid w:val="009C7A09"/>
    <w:rsid w:val="009D233C"/>
    <w:rsid w:val="009D6888"/>
    <w:rsid w:val="009E4E47"/>
    <w:rsid w:val="009F67EA"/>
    <w:rsid w:val="009F74B4"/>
    <w:rsid w:val="009F7AC5"/>
    <w:rsid w:val="009F7F5F"/>
    <w:rsid w:val="00A101EC"/>
    <w:rsid w:val="00A11AF1"/>
    <w:rsid w:val="00A14EDF"/>
    <w:rsid w:val="00A24745"/>
    <w:rsid w:val="00A25D4E"/>
    <w:rsid w:val="00A3311E"/>
    <w:rsid w:val="00A35854"/>
    <w:rsid w:val="00A379AE"/>
    <w:rsid w:val="00A4648E"/>
    <w:rsid w:val="00A60EB1"/>
    <w:rsid w:val="00A646E7"/>
    <w:rsid w:val="00A75333"/>
    <w:rsid w:val="00A82AEB"/>
    <w:rsid w:val="00A870B1"/>
    <w:rsid w:val="00A9205B"/>
    <w:rsid w:val="00A96C58"/>
    <w:rsid w:val="00AA089B"/>
    <w:rsid w:val="00AA0D65"/>
    <w:rsid w:val="00AA31DD"/>
    <w:rsid w:val="00AA3E09"/>
    <w:rsid w:val="00AB47CF"/>
    <w:rsid w:val="00AC138C"/>
    <w:rsid w:val="00AC17C7"/>
    <w:rsid w:val="00AC17CB"/>
    <w:rsid w:val="00AF26B1"/>
    <w:rsid w:val="00B00857"/>
    <w:rsid w:val="00B07375"/>
    <w:rsid w:val="00B15C73"/>
    <w:rsid w:val="00B16A38"/>
    <w:rsid w:val="00B2280F"/>
    <w:rsid w:val="00B32C75"/>
    <w:rsid w:val="00B409FC"/>
    <w:rsid w:val="00B52373"/>
    <w:rsid w:val="00B75E78"/>
    <w:rsid w:val="00B93F73"/>
    <w:rsid w:val="00BA7468"/>
    <w:rsid w:val="00BB26C2"/>
    <w:rsid w:val="00BB3727"/>
    <w:rsid w:val="00BE2A16"/>
    <w:rsid w:val="00BE3908"/>
    <w:rsid w:val="00BE49AE"/>
    <w:rsid w:val="00BE7FA0"/>
    <w:rsid w:val="00C07027"/>
    <w:rsid w:val="00C14C20"/>
    <w:rsid w:val="00C151CB"/>
    <w:rsid w:val="00C263EC"/>
    <w:rsid w:val="00C33ED2"/>
    <w:rsid w:val="00C378D1"/>
    <w:rsid w:val="00C53A23"/>
    <w:rsid w:val="00C64E13"/>
    <w:rsid w:val="00C71A39"/>
    <w:rsid w:val="00C73E0E"/>
    <w:rsid w:val="00C777EF"/>
    <w:rsid w:val="00C77C60"/>
    <w:rsid w:val="00C847F3"/>
    <w:rsid w:val="00C85AAC"/>
    <w:rsid w:val="00C97BBC"/>
    <w:rsid w:val="00CA2931"/>
    <w:rsid w:val="00CA4010"/>
    <w:rsid w:val="00CA4129"/>
    <w:rsid w:val="00CB649B"/>
    <w:rsid w:val="00CC2688"/>
    <w:rsid w:val="00CC3724"/>
    <w:rsid w:val="00CF3445"/>
    <w:rsid w:val="00CF55F7"/>
    <w:rsid w:val="00D05267"/>
    <w:rsid w:val="00D25BA2"/>
    <w:rsid w:val="00D33FE8"/>
    <w:rsid w:val="00D35AC8"/>
    <w:rsid w:val="00D366C3"/>
    <w:rsid w:val="00D419EA"/>
    <w:rsid w:val="00D42A1E"/>
    <w:rsid w:val="00D5234B"/>
    <w:rsid w:val="00D57C71"/>
    <w:rsid w:val="00D612B9"/>
    <w:rsid w:val="00D619C6"/>
    <w:rsid w:val="00D61CB7"/>
    <w:rsid w:val="00D62538"/>
    <w:rsid w:val="00D6620B"/>
    <w:rsid w:val="00D70134"/>
    <w:rsid w:val="00D73808"/>
    <w:rsid w:val="00D8234C"/>
    <w:rsid w:val="00DA062A"/>
    <w:rsid w:val="00DA0671"/>
    <w:rsid w:val="00DB7988"/>
    <w:rsid w:val="00DC562D"/>
    <w:rsid w:val="00DC7E8F"/>
    <w:rsid w:val="00DE211B"/>
    <w:rsid w:val="00DF19E6"/>
    <w:rsid w:val="00DF3887"/>
    <w:rsid w:val="00E06018"/>
    <w:rsid w:val="00E06892"/>
    <w:rsid w:val="00E10AF2"/>
    <w:rsid w:val="00E330C7"/>
    <w:rsid w:val="00E35243"/>
    <w:rsid w:val="00E4780B"/>
    <w:rsid w:val="00E67008"/>
    <w:rsid w:val="00E76BD2"/>
    <w:rsid w:val="00E77479"/>
    <w:rsid w:val="00E92DE5"/>
    <w:rsid w:val="00EB5508"/>
    <w:rsid w:val="00EC2D7F"/>
    <w:rsid w:val="00ED5211"/>
    <w:rsid w:val="00EE31FC"/>
    <w:rsid w:val="00EF02BE"/>
    <w:rsid w:val="00F00C17"/>
    <w:rsid w:val="00F03D8E"/>
    <w:rsid w:val="00F21264"/>
    <w:rsid w:val="00F26D65"/>
    <w:rsid w:val="00F31854"/>
    <w:rsid w:val="00F3527C"/>
    <w:rsid w:val="00F473B4"/>
    <w:rsid w:val="00F54810"/>
    <w:rsid w:val="00F72031"/>
    <w:rsid w:val="00F74FA2"/>
    <w:rsid w:val="00FB6478"/>
    <w:rsid w:val="00FC7843"/>
    <w:rsid w:val="00FD7C8A"/>
    <w:rsid w:val="00FF5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5C"/>
    <w:pPr>
      <w:spacing w:after="200" w:line="276" w:lineRule="auto"/>
    </w:pPr>
  </w:style>
  <w:style w:type="paragraph" w:styleId="Heading1">
    <w:name w:val="heading 1"/>
    <w:basedOn w:val="Normal"/>
    <w:next w:val="Normal"/>
    <w:link w:val="Heading1Char"/>
    <w:uiPriority w:val="9"/>
    <w:qFormat/>
    <w:rsid w:val="000404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41"/>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04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441"/>
    <w:pPr>
      <w:ind w:left="720"/>
      <w:contextualSpacing/>
    </w:pPr>
  </w:style>
  <w:style w:type="paragraph" w:styleId="Header">
    <w:name w:val="header"/>
    <w:basedOn w:val="Normal"/>
    <w:link w:val="HeaderChar"/>
    <w:uiPriority w:val="99"/>
    <w:unhideWhenUsed/>
    <w:rsid w:val="00040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441"/>
  </w:style>
  <w:style w:type="paragraph" w:styleId="Bibliography">
    <w:name w:val="Bibliography"/>
    <w:basedOn w:val="Normal"/>
    <w:next w:val="Normal"/>
    <w:uiPriority w:val="37"/>
    <w:unhideWhenUsed/>
    <w:rsid w:val="00040441"/>
  </w:style>
  <w:style w:type="paragraph" w:styleId="Footer">
    <w:name w:val="footer"/>
    <w:basedOn w:val="Normal"/>
    <w:link w:val="FooterChar"/>
    <w:uiPriority w:val="99"/>
    <w:unhideWhenUsed/>
    <w:rsid w:val="007B7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7C9"/>
  </w:style>
  <w:style w:type="paragraph" w:styleId="BalloonText">
    <w:name w:val="Balloon Text"/>
    <w:basedOn w:val="Normal"/>
    <w:link w:val="BalloonTextChar"/>
    <w:uiPriority w:val="99"/>
    <w:semiHidden/>
    <w:unhideWhenUsed/>
    <w:rsid w:val="000C6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A4"/>
    <w:rPr>
      <w:rFonts w:ascii="Tahoma" w:hAnsi="Tahoma" w:cs="Tahoma"/>
      <w:sz w:val="16"/>
      <w:szCs w:val="16"/>
    </w:rPr>
  </w:style>
  <w:style w:type="paragraph" w:customStyle="1" w:styleId="Default">
    <w:name w:val="Default"/>
    <w:rsid w:val="0030709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15C73"/>
    <w:rPr>
      <w:sz w:val="16"/>
      <w:szCs w:val="16"/>
    </w:rPr>
  </w:style>
  <w:style w:type="paragraph" w:styleId="CommentText">
    <w:name w:val="annotation text"/>
    <w:basedOn w:val="Normal"/>
    <w:link w:val="CommentTextChar"/>
    <w:uiPriority w:val="99"/>
    <w:semiHidden/>
    <w:unhideWhenUsed/>
    <w:rsid w:val="00B15C73"/>
    <w:pPr>
      <w:spacing w:line="240" w:lineRule="auto"/>
    </w:pPr>
    <w:rPr>
      <w:sz w:val="20"/>
      <w:szCs w:val="20"/>
    </w:rPr>
  </w:style>
  <w:style w:type="character" w:customStyle="1" w:styleId="CommentTextChar">
    <w:name w:val="Comment Text Char"/>
    <w:basedOn w:val="DefaultParagraphFont"/>
    <w:link w:val="CommentText"/>
    <w:uiPriority w:val="99"/>
    <w:semiHidden/>
    <w:rsid w:val="00B15C73"/>
    <w:rPr>
      <w:sz w:val="20"/>
      <w:szCs w:val="20"/>
    </w:rPr>
  </w:style>
  <w:style w:type="paragraph" w:styleId="CommentSubject">
    <w:name w:val="annotation subject"/>
    <w:basedOn w:val="CommentText"/>
    <w:next w:val="CommentText"/>
    <w:link w:val="CommentSubjectChar"/>
    <w:uiPriority w:val="99"/>
    <w:semiHidden/>
    <w:unhideWhenUsed/>
    <w:rsid w:val="00B15C73"/>
    <w:rPr>
      <w:b/>
      <w:bCs/>
    </w:rPr>
  </w:style>
  <w:style w:type="character" w:customStyle="1" w:styleId="CommentSubjectChar">
    <w:name w:val="Comment Subject Char"/>
    <w:basedOn w:val="CommentTextChar"/>
    <w:link w:val="CommentSubject"/>
    <w:uiPriority w:val="99"/>
    <w:semiHidden/>
    <w:rsid w:val="00B15C73"/>
    <w:rPr>
      <w:b/>
      <w:bCs/>
      <w:sz w:val="20"/>
      <w:szCs w:val="20"/>
    </w:rPr>
  </w:style>
  <w:style w:type="character" w:customStyle="1" w:styleId="apple-converted-space">
    <w:name w:val="apple-converted-space"/>
    <w:basedOn w:val="DefaultParagraphFont"/>
    <w:rsid w:val="00813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55C"/>
    <w:pPr>
      <w:spacing w:after="200" w:line="276" w:lineRule="auto"/>
    </w:pPr>
  </w:style>
  <w:style w:type="paragraph" w:styleId="Heading1">
    <w:name w:val="heading 1"/>
    <w:basedOn w:val="Normal"/>
    <w:next w:val="Normal"/>
    <w:link w:val="Heading1Char"/>
    <w:uiPriority w:val="9"/>
    <w:qFormat/>
    <w:rsid w:val="000404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441"/>
    <w:rPr>
      <w:rFonts w:asciiTheme="majorHAnsi" w:eastAsiaTheme="majorEastAsia" w:hAnsiTheme="majorHAnsi" w:cstheme="majorBidi"/>
      <w:b/>
      <w:bCs/>
      <w:color w:val="2E74B5" w:themeColor="accent1" w:themeShade="BF"/>
      <w:sz w:val="28"/>
      <w:szCs w:val="28"/>
    </w:rPr>
  </w:style>
  <w:style w:type="table" w:styleId="TableGrid">
    <w:name w:val="Table Grid"/>
    <w:basedOn w:val="TableNormal"/>
    <w:uiPriority w:val="59"/>
    <w:rsid w:val="0004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441"/>
    <w:pPr>
      <w:ind w:left="720"/>
      <w:contextualSpacing/>
    </w:pPr>
  </w:style>
  <w:style w:type="paragraph" w:styleId="Header">
    <w:name w:val="header"/>
    <w:basedOn w:val="Normal"/>
    <w:link w:val="HeaderChar"/>
    <w:uiPriority w:val="99"/>
    <w:unhideWhenUsed/>
    <w:rsid w:val="00040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441"/>
  </w:style>
  <w:style w:type="paragraph" w:styleId="Bibliography">
    <w:name w:val="Bibliography"/>
    <w:basedOn w:val="Normal"/>
    <w:next w:val="Normal"/>
    <w:uiPriority w:val="37"/>
    <w:unhideWhenUsed/>
    <w:rsid w:val="00040441"/>
  </w:style>
  <w:style w:type="paragraph" w:styleId="Footer">
    <w:name w:val="footer"/>
    <w:basedOn w:val="Normal"/>
    <w:link w:val="FooterChar"/>
    <w:uiPriority w:val="99"/>
    <w:unhideWhenUsed/>
    <w:rsid w:val="007B7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7C9"/>
  </w:style>
  <w:style w:type="paragraph" w:styleId="BalloonText">
    <w:name w:val="Balloon Text"/>
    <w:basedOn w:val="Normal"/>
    <w:link w:val="BalloonTextChar"/>
    <w:uiPriority w:val="99"/>
    <w:semiHidden/>
    <w:unhideWhenUsed/>
    <w:rsid w:val="000C6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FA4"/>
    <w:rPr>
      <w:rFonts w:ascii="Tahoma" w:hAnsi="Tahoma" w:cs="Tahoma"/>
      <w:sz w:val="16"/>
      <w:szCs w:val="16"/>
    </w:rPr>
  </w:style>
  <w:style w:type="paragraph" w:customStyle="1" w:styleId="Default">
    <w:name w:val="Default"/>
    <w:rsid w:val="0030709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15C73"/>
    <w:rPr>
      <w:sz w:val="16"/>
      <w:szCs w:val="16"/>
    </w:rPr>
  </w:style>
  <w:style w:type="paragraph" w:styleId="CommentText">
    <w:name w:val="annotation text"/>
    <w:basedOn w:val="Normal"/>
    <w:link w:val="CommentTextChar"/>
    <w:uiPriority w:val="99"/>
    <w:semiHidden/>
    <w:unhideWhenUsed/>
    <w:rsid w:val="00B15C73"/>
    <w:pPr>
      <w:spacing w:line="240" w:lineRule="auto"/>
    </w:pPr>
    <w:rPr>
      <w:sz w:val="20"/>
      <w:szCs w:val="20"/>
    </w:rPr>
  </w:style>
  <w:style w:type="character" w:customStyle="1" w:styleId="CommentTextChar">
    <w:name w:val="Comment Text Char"/>
    <w:basedOn w:val="DefaultParagraphFont"/>
    <w:link w:val="CommentText"/>
    <w:uiPriority w:val="99"/>
    <w:semiHidden/>
    <w:rsid w:val="00B15C73"/>
    <w:rPr>
      <w:sz w:val="20"/>
      <w:szCs w:val="20"/>
    </w:rPr>
  </w:style>
  <w:style w:type="paragraph" w:styleId="CommentSubject">
    <w:name w:val="annotation subject"/>
    <w:basedOn w:val="CommentText"/>
    <w:next w:val="CommentText"/>
    <w:link w:val="CommentSubjectChar"/>
    <w:uiPriority w:val="99"/>
    <w:semiHidden/>
    <w:unhideWhenUsed/>
    <w:rsid w:val="00B15C73"/>
    <w:rPr>
      <w:b/>
      <w:bCs/>
    </w:rPr>
  </w:style>
  <w:style w:type="character" w:customStyle="1" w:styleId="CommentSubjectChar">
    <w:name w:val="Comment Subject Char"/>
    <w:basedOn w:val="CommentTextChar"/>
    <w:link w:val="CommentSubject"/>
    <w:uiPriority w:val="99"/>
    <w:semiHidden/>
    <w:rsid w:val="00B15C73"/>
    <w:rPr>
      <w:b/>
      <w:bCs/>
      <w:sz w:val="20"/>
      <w:szCs w:val="20"/>
    </w:rPr>
  </w:style>
  <w:style w:type="character" w:customStyle="1" w:styleId="apple-converted-space">
    <w:name w:val="apple-converted-space"/>
    <w:basedOn w:val="DefaultParagraphFont"/>
    <w:rsid w:val="00813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3390">
      <w:bodyDiv w:val="1"/>
      <w:marLeft w:val="0"/>
      <w:marRight w:val="0"/>
      <w:marTop w:val="0"/>
      <w:marBottom w:val="0"/>
      <w:divBdr>
        <w:top w:val="none" w:sz="0" w:space="0" w:color="auto"/>
        <w:left w:val="none" w:sz="0" w:space="0" w:color="auto"/>
        <w:bottom w:val="none" w:sz="0" w:space="0" w:color="auto"/>
        <w:right w:val="none" w:sz="0" w:space="0" w:color="auto"/>
      </w:divBdr>
      <w:divsChild>
        <w:div w:id="1635210770">
          <w:marLeft w:val="0"/>
          <w:marRight w:val="0"/>
          <w:marTop w:val="0"/>
          <w:marBottom w:val="0"/>
          <w:divBdr>
            <w:top w:val="none" w:sz="0" w:space="0" w:color="auto"/>
            <w:left w:val="none" w:sz="0" w:space="0" w:color="auto"/>
            <w:bottom w:val="none" w:sz="0" w:space="0" w:color="auto"/>
            <w:right w:val="none" w:sz="0" w:space="0" w:color="auto"/>
          </w:divBdr>
          <w:divsChild>
            <w:div w:id="19442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2254">
      <w:bodyDiv w:val="1"/>
      <w:marLeft w:val="0"/>
      <w:marRight w:val="0"/>
      <w:marTop w:val="0"/>
      <w:marBottom w:val="0"/>
      <w:divBdr>
        <w:top w:val="none" w:sz="0" w:space="0" w:color="auto"/>
        <w:left w:val="none" w:sz="0" w:space="0" w:color="auto"/>
        <w:bottom w:val="none" w:sz="0" w:space="0" w:color="auto"/>
        <w:right w:val="none" w:sz="0" w:space="0" w:color="auto"/>
      </w:divBdr>
      <w:divsChild>
        <w:div w:id="1922643906">
          <w:marLeft w:val="0"/>
          <w:marRight w:val="0"/>
          <w:marTop w:val="0"/>
          <w:marBottom w:val="0"/>
          <w:divBdr>
            <w:top w:val="none" w:sz="0" w:space="0" w:color="auto"/>
            <w:left w:val="none" w:sz="0" w:space="0" w:color="auto"/>
            <w:bottom w:val="none" w:sz="0" w:space="0" w:color="auto"/>
            <w:right w:val="none" w:sz="0" w:space="0" w:color="auto"/>
          </w:divBdr>
          <w:divsChild>
            <w:div w:id="16398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68822">
      <w:bodyDiv w:val="1"/>
      <w:marLeft w:val="0"/>
      <w:marRight w:val="0"/>
      <w:marTop w:val="0"/>
      <w:marBottom w:val="0"/>
      <w:divBdr>
        <w:top w:val="none" w:sz="0" w:space="0" w:color="auto"/>
        <w:left w:val="none" w:sz="0" w:space="0" w:color="auto"/>
        <w:bottom w:val="none" w:sz="0" w:space="0" w:color="auto"/>
        <w:right w:val="none" w:sz="0" w:space="0" w:color="auto"/>
      </w:divBdr>
      <w:divsChild>
        <w:div w:id="1760176642">
          <w:marLeft w:val="0"/>
          <w:marRight w:val="0"/>
          <w:marTop w:val="0"/>
          <w:marBottom w:val="0"/>
          <w:divBdr>
            <w:top w:val="none" w:sz="0" w:space="0" w:color="auto"/>
            <w:left w:val="none" w:sz="0" w:space="0" w:color="auto"/>
            <w:bottom w:val="none" w:sz="0" w:space="0" w:color="auto"/>
            <w:right w:val="none" w:sz="0" w:space="0" w:color="auto"/>
          </w:divBdr>
          <w:divsChild>
            <w:div w:id="3193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2521">
      <w:bodyDiv w:val="1"/>
      <w:marLeft w:val="0"/>
      <w:marRight w:val="0"/>
      <w:marTop w:val="0"/>
      <w:marBottom w:val="0"/>
      <w:divBdr>
        <w:top w:val="none" w:sz="0" w:space="0" w:color="auto"/>
        <w:left w:val="none" w:sz="0" w:space="0" w:color="auto"/>
        <w:bottom w:val="none" w:sz="0" w:space="0" w:color="auto"/>
        <w:right w:val="none" w:sz="0" w:space="0" w:color="auto"/>
      </w:divBdr>
      <w:divsChild>
        <w:div w:id="821235694">
          <w:marLeft w:val="0"/>
          <w:marRight w:val="0"/>
          <w:marTop w:val="0"/>
          <w:marBottom w:val="0"/>
          <w:divBdr>
            <w:top w:val="none" w:sz="0" w:space="0" w:color="auto"/>
            <w:left w:val="none" w:sz="0" w:space="0" w:color="auto"/>
            <w:bottom w:val="none" w:sz="0" w:space="0" w:color="auto"/>
            <w:right w:val="none" w:sz="0" w:space="0" w:color="auto"/>
          </w:divBdr>
          <w:divsChild>
            <w:div w:id="113956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02854">
      <w:bodyDiv w:val="1"/>
      <w:marLeft w:val="0"/>
      <w:marRight w:val="0"/>
      <w:marTop w:val="0"/>
      <w:marBottom w:val="0"/>
      <w:divBdr>
        <w:top w:val="none" w:sz="0" w:space="0" w:color="auto"/>
        <w:left w:val="none" w:sz="0" w:space="0" w:color="auto"/>
        <w:bottom w:val="none" w:sz="0" w:space="0" w:color="auto"/>
        <w:right w:val="none" w:sz="0" w:space="0" w:color="auto"/>
      </w:divBdr>
      <w:divsChild>
        <w:div w:id="322271529">
          <w:marLeft w:val="0"/>
          <w:marRight w:val="0"/>
          <w:marTop w:val="0"/>
          <w:marBottom w:val="0"/>
          <w:divBdr>
            <w:top w:val="none" w:sz="0" w:space="0" w:color="auto"/>
            <w:left w:val="none" w:sz="0" w:space="0" w:color="auto"/>
            <w:bottom w:val="none" w:sz="0" w:space="0" w:color="auto"/>
            <w:right w:val="none" w:sz="0" w:space="0" w:color="auto"/>
          </w:divBdr>
          <w:divsChild>
            <w:div w:id="4326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09193">
      <w:bodyDiv w:val="1"/>
      <w:marLeft w:val="0"/>
      <w:marRight w:val="0"/>
      <w:marTop w:val="0"/>
      <w:marBottom w:val="0"/>
      <w:divBdr>
        <w:top w:val="none" w:sz="0" w:space="0" w:color="auto"/>
        <w:left w:val="none" w:sz="0" w:space="0" w:color="auto"/>
        <w:bottom w:val="none" w:sz="0" w:space="0" w:color="auto"/>
        <w:right w:val="none" w:sz="0" w:space="0" w:color="auto"/>
      </w:divBdr>
      <w:divsChild>
        <w:div w:id="1660159456">
          <w:marLeft w:val="0"/>
          <w:marRight w:val="0"/>
          <w:marTop w:val="0"/>
          <w:marBottom w:val="0"/>
          <w:divBdr>
            <w:top w:val="none" w:sz="0" w:space="0" w:color="auto"/>
            <w:left w:val="none" w:sz="0" w:space="0" w:color="auto"/>
            <w:bottom w:val="none" w:sz="0" w:space="0" w:color="auto"/>
            <w:right w:val="none" w:sz="0" w:space="0" w:color="auto"/>
          </w:divBdr>
          <w:divsChild>
            <w:div w:id="32193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3721">
      <w:bodyDiv w:val="1"/>
      <w:marLeft w:val="0"/>
      <w:marRight w:val="0"/>
      <w:marTop w:val="0"/>
      <w:marBottom w:val="0"/>
      <w:divBdr>
        <w:top w:val="none" w:sz="0" w:space="0" w:color="auto"/>
        <w:left w:val="none" w:sz="0" w:space="0" w:color="auto"/>
        <w:bottom w:val="none" w:sz="0" w:space="0" w:color="auto"/>
        <w:right w:val="none" w:sz="0" w:space="0" w:color="auto"/>
      </w:divBdr>
      <w:divsChild>
        <w:div w:id="2135633242">
          <w:marLeft w:val="0"/>
          <w:marRight w:val="0"/>
          <w:marTop w:val="0"/>
          <w:marBottom w:val="0"/>
          <w:divBdr>
            <w:top w:val="none" w:sz="0" w:space="0" w:color="auto"/>
            <w:left w:val="none" w:sz="0" w:space="0" w:color="auto"/>
            <w:bottom w:val="none" w:sz="0" w:space="0" w:color="auto"/>
            <w:right w:val="none" w:sz="0" w:space="0" w:color="auto"/>
          </w:divBdr>
          <w:divsChild>
            <w:div w:id="14757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12213">
      <w:bodyDiv w:val="1"/>
      <w:marLeft w:val="0"/>
      <w:marRight w:val="0"/>
      <w:marTop w:val="0"/>
      <w:marBottom w:val="0"/>
      <w:divBdr>
        <w:top w:val="none" w:sz="0" w:space="0" w:color="auto"/>
        <w:left w:val="none" w:sz="0" w:space="0" w:color="auto"/>
        <w:bottom w:val="none" w:sz="0" w:space="0" w:color="auto"/>
        <w:right w:val="none" w:sz="0" w:space="0" w:color="auto"/>
      </w:divBdr>
      <w:divsChild>
        <w:div w:id="1563638504">
          <w:marLeft w:val="0"/>
          <w:marRight w:val="0"/>
          <w:marTop w:val="0"/>
          <w:marBottom w:val="0"/>
          <w:divBdr>
            <w:top w:val="none" w:sz="0" w:space="0" w:color="auto"/>
            <w:left w:val="none" w:sz="0" w:space="0" w:color="auto"/>
            <w:bottom w:val="none" w:sz="0" w:space="0" w:color="auto"/>
            <w:right w:val="none" w:sz="0" w:space="0" w:color="auto"/>
          </w:divBdr>
          <w:divsChild>
            <w:div w:id="163027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Version="">
  <b:Source>
    <b:Tag>Ran13</b:Tag>
    <b:SourceType>JournalArticle</b:SourceType>
    <b:Guid>{BF8E7D73-05F9-4DFE-A92C-7E4D1B0B7E35}</b:Guid>
    <b:Author>
      <b:Author>
        <b:NameList>
          <b:Person>
            <b:Last>Ranganath</b:Last>
            <b:First>L.</b:First>
            <b:Middle>R.</b:Middle>
          </b:Person>
          <b:Person>
            <b:Last>Jarvis</b:Last>
            <b:First>Jonathan</b:First>
            <b:Middle>C.</b:Middle>
          </b:Person>
          <b:Person>
            <b:Last>Gallagher</b:Last>
            <b:First>James</b:First>
            <b:Middle>A.</b:Middle>
          </b:Person>
        </b:NameList>
      </b:Author>
    </b:Author>
    <b:Title>Recent advances in management of alkaptonuria (invited review; best practice article)</b:Title>
    <b:JournalName>Journal of Clinical Pathology</b:JournalName>
    <b:Year>2013</b:Year>
    <b:Pages>367–373</b:Pages>
    <b:Volume>66</b:Volume>
    <b:RefOrder>1</b:RefOrder>
  </b:Source>
  <b:Source>
    <b:Tag>Loc</b:Tag>
    <b:SourceType>JournalArticle</b:SourceType>
    <b:Guid>{F791AD1B-6D36-463B-86DC-EAC27A34A81F}</b:Guid>
    <b:Author>
      <b:Author>
        <b:NameList>
          <b:Person>
            <b:Last>Lock</b:Last>
            <b:First>E.</b:First>
            <b:Middle>A.</b:Middle>
          </b:Person>
          <b:Person>
            <b:Last>Ellis</b:Last>
            <b:First>M.</b:First>
            <b:Middle>K.</b:Middle>
          </b:Person>
          <b:Person>
            <b:Last>Gaskin</b:Last>
            <b:First>P.</b:First>
          </b:Person>
          <b:Person>
            <b:Last>Robinson</b:Last>
            <b:First>M.</b:First>
          </b:Person>
          <b:Person>
            <b:Last>Auton</b:Last>
            <b:First>T.</b:First>
            <b:Middle>R.</b:Middle>
          </b:Person>
        </b:NameList>
      </b:Author>
    </b:Author>
    <b:Title>From toxicological problem to therapeutic use : The discovery of the mode of action of 2-(2-nitro-4-trifluoromethylbenzoyl)- 1,3-cyclohexanedione (NTBC), its toxicology and development as a drug</b:Title>
    <b:JournalName>Journal Of Inherited Metabolic Disease</b:JournalName>
    <b:Year>1998</b:Year>
    <b:Pages>498-506</b:Pages>
    <b:Volume>21</b:Volume>
    <b:RefOrder>3</b:RefOrder>
  </b:Source>
  <b:Source>
    <b:Tag>Suw05</b:Tag>
    <b:SourceType>JournalArticle</b:SourceType>
    <b:Guid>{94BA5F69-3585-44B1-9E14-EBB24B782486}</b:Guid>
    <b:Author>
      <b:Author>
        <b:NameList>
          <b:Person>
            <b:Last>Suwannarat</b:Last>
            <b:First>Pim</b:First>
          </b:Person>
          <b:Person>
            <b:Last>O’Brien</b:Last>
            <b:First>Kevin</b:First>
          </b:Person>
          <b:Person>
            <b:Last>Perry</b:Last>
            <b:First>Monique</b:First>
            <b:Middle>B.</b:Middle>
          </b:Person>
          <b:Person>
            <b:Last>Sebring</b:Last>
            <b:First>Nancy</b:First>
          </b:Person>
          <b:Person>
            <b:Last>Bernardini</b:Last>
            <b:First>Isa</b:First>
          </b:Person>
        </b:NameList>
      </b:Author>
    </b:Author>
    <b:Title>Use of nitisinone in patients with alkaptonuria</b:Title>
    <b:JournalName>Metabolism Clinical and Experimental </b:JournalName>
    <b:Year>2005</b:Year>
    <b:Pages>719– 728</b:Pages>
    <b:Volume>54</b:Volume>
    <b:RefOrder>15</b:RefOrder>
  </b:Source>
  <b:Source>
    <b:Tag>Int11</b:Tag>
    <b:SourceType>JournalArticle</b:SourceType>
    <b:Guid>{FF4773A0-541E-41EF-AFA3-00EDF3AC8685}</b:Guid>
    <b:Author>
      <b:Author>
        <b:NameList>
          <b:Person>
            <b:Last>Introne</b:Last>
            <b:First>Wendy</b:First>
            <b:Middle>J.</b:Middle>
          </b:Person>
          <b:Person>
            <b:Last>Perry</b:Last>
            <b:First>Monique</b:First>
            <b:Middle>B.</b:Middle>
          </b:Person>
          <b:Person>
            <b:Last>Troendle</b:Last>
            <b:First>James</b:First>
          </b:Person>
          <b:Person>
            <b:Last>Tsilou</b:Last>
            <b:First>Ekaterini</b:First>
          </b:Person>
          <b:Person>
            <b:Last>Kayser</b:Last>
            <b:First>Michael</b:First>
            <b:Middle>A.</b:Middle>
          </b:Person>
        </b:NameList>
      </b:Author>
    </b:Author>
    <b:Title>A 3-year randomized therapeutic trial of nitisinone in alkaptonuria</b:Title>
    <b:JournalName>Molecular Genetics and Metabolism</b:JournalName>
    <b:Year>2011</b:Year>
    <b:Pages>307–314</b:Pages>
    <b:Volume>103</b:Volume>
    <b:RefOrder>8</b:RefOrder>
  </b:Source>
  <b:Source>
    <b:Tag>WHO07</b:Tag>
    <b:SourceType>Report</b:SourceType>
    <b:Guid>{6706658D-B259-431D-B89C-FEEDF0AF264A}</b:Guid>
    <b:Title>Protein and amino acid requirements in human nutrition-Report of a joint FAO/WHO/UNU expert consultation (WHO Technical Report Series 935)</b:Title>
    <b:Year>2007</b:Year>
    <b:Author>
      <b:Author>
        <b:Corporate>World Health Organization,Food and Agriculture Organization of the United Nations, United Nations University</b:Corporate>
      </b:Author>
    </b:Author>
    <b:Publisher>World Health Organization</b:Publisher>
    <b:City>Geneva</b:City>
    <b:ThesisType>WHO Technical Report Series</b:ThesisType>
    <b:RefOrder>16</b:RefOrder>
  </b:Source>
  <b:Source>
    <b:Tag>Ste14</b:Tag>
    <b:SourceType>JournalArticle</b:SourceType>
    <b:Guid>{6DB19CD7-30FB-4C94-A150-B2ED6F401B69}</b:Guid>
    <b:Author>
      <b:Author>
        <b:NameList>
          <b:Person>
            <b:Last>Stewart</b:Last>
            <b:First>R.M.K.</b:First>
          </b:Person>
          <b:Person>
            <b:Last>Briggs</b:Last>
            <b:First>M.C.</b:First>
          </b:Person>
          <b:Person>
            <b:Last>Jarvis</b:Last>
            <b:First>Jonathan</b:First>
            <b:Middle>C.</b:Middle>
          </b:Person>
          <b:Person>
            <b:Last>Gallagher</b:Last>
            <b:First>James</b:First>
            <b:Middle>A.</b:Middle>
          </b:Person>
          <b:Person>
            <b:Last>Ranganath</b:Last>
            <b:First>L.</b:First>
          </b:Person>
        </b:NameList>
      </b:Author>
    </b:Author>
    <b:Title>Reversible keratopathy due to hypertyrosinaemia following intermittent low-dose nitisinone in alkaptonuria: a case report</b:Title>
    <b:JournalName>Journal of Inherited Metabolic Disease Reports</b:JournalName>
    <b:Year>2014</b:Year>
    <b:Pages>1–6</b:Pages>
    <b:Volume>17</b:Volume>
    <b:RefOrder>9</b:RefOrder>
  </b:Source>
  <b:Source>
    <b:Tag>Mul03</b:Tag>
    <b:SourceType>JournalArticle</b:SourceType>
    <b:Guid>{AF4E1DCA-6655-4793-A1CB-43BD4CE9DC1B}</b:Guid>
    <b:Author>
      <b:Author>
        <b:NameList>
          <b:Person>
            <b:Last>Muller</b:Last>
            <b:First>Linda</b:First>
            <b:Middle>J.</b:Middle>
          </b:Person>
          <b:Person>
            <b:Last>Marfurtb</b:Last>
            <b:First>Carl</b:First>
            <b:Middle>F.</b:Middle>
          </b:Person>
          <b:Person>
            <b:Last>Krusec</b:Last>
            <b:First>Friedrich</b:First>
          </b:Person>
          <b:Person>
            <b:Last>Tervod</b:Last>
            <b:First>Timo</b:First>
            <b:Middle>M.T.</b:Middle>
          </b:Person>
        </b:NameList>
      </b:Author>
    </b:Author>
    <b:Title>Corneal nerves: structure, contents and function</b:Title>
    <b:JournalName>Experimental Eye Research </b:JournalName>
    <b:Year>2003</b:Year>
    <b:Pages>521–542</b:Pages>
    <b:Volume>76</b:Volume>
    <b:RefOrder>10</b:RefOrder>
  </b:Source>
  <b:Source>
    <b:Tag>Kre86</b:Tag>
    <b:SourceType>JournalArticle</b:SourceType>
    <b:Guid>{80C8AB32-4513-4C12-84A0-076993B9D17D}</b:Guid>
    <b:Author>
      <b:Author>
        <b:NameList>
          <b:Person>
            <b:Last>Kremer</b:Last>
            <b:First>I.</b:First>
          </b:Person>
          <b:Person>
            <b:Last>Weinberger</b:Last>
            <b:First>D.</b:First>
          </b:Person>
          <b:Person>
            <b:Last>Cohen</b:Last>
            <b:First>S.</b:First>
          </b:Person>
          <b:Person>
            <b:Last>Sira</b:Last>
            <b:First>B.</b:First>
          </b:Person>
        </b:NameList>
      </b:Author>
    </b:Author>
    <b:Title>‘Corneal hypoaesthesia in asymptomatic familial distichiasis</b:Title>
    <b:JournalName>The British journal of ophthalmology</b:JournalName>
    <b:Year>1986</b:Year>
    <b:Pages>132–4</b:Pages>
    <b:Volume>70</b:Volume>
    <b:Issue>2</b:Issue>
    <b:RefOrder>11</b:RefOrder>
  </b:Source>
  <b:Source>
    <b:Tag>Bel04</b:Tag>
    <b:SourceType>JournalArticle</b:SourceType>
    <b:Guid>{8A24A67E-0690-4777-A51B-8C627BE8F3EA}</b:Guid>
    <b:Author>
      <b:Author>
        <b:NameList>
          <b:Person>
            <b:Last>Belmonte</b:Last>
            <b:First>C.</b:First>
          </b:Person>
          <b:Person>
            <b:Last>Acosta</b:Last>
            <b:First>C.M.</b:First>
          </b:Person>
          <b:Person>
            <b:Last>Gallar</b:Last>
            <b:First>J.</b:First>
          </b:Person>
        </b:NameList>
      </b:Author>
    </b:Author>
    <b:Title>Neural basis of sensation in intact and injured corneas</b:Title>
    <b:JournalName>Experimental Eye Research</b:JournalName>
    <b:Year>2004</b:Year>
    <b:Pages>513–525</b:Pages>
    <b:Volume>78</b:Volume>
    <b:Issue>3</b:Issue>
    <b:RefOrder>12</b:RefOrder>
  </b:Source>
  <b:Source>
    <b:Tag>Sha14</b:Tag>
    <b:SourceType>JournalArticle</b:SourceType>
    <b:Guid>{1C36EA98-319A-4754-9450-68C3B23B98D2}</b:Guid>
    <b:Author>
      <b:Author>
        <b:NameList>
          <b:Person>
            <b:Last>Shaheen</b:Last>
            <b:First>B.</b:First>
          </b:Person>
          <b:Person>
            <b:Last>Bakir</b:Last>
            <b:First>M.</b:First>
          </b:Person>
          <b:Person>
            <b:Last>Jain</b:Last>
            <b:First>S.</b:First>
          </b:Person>
        </b:NameList>
      </b:Author>
    </b:Author>
    <b:Title>Corneal nerves in health and disease</b:Title>
    <b:JournalName> Survey of ophthalmology</b:JournalName>
    <b:Year>2014</b:Year>
    <b:Pages>263–85</b:Pages>
    <b:Volume>59</b:Volume>
    <b:Issue>3</b:Issue>
    <b:RefOrder>13</b:RefOrder>
  </b:Source>
  <b:Source>
    <b:Tag>Loc96</b:Tag>
    <b:SourceType>JournalArticle</b:SourceType>
    <b:Guid>{7AFC5558-FE69-43D1-A990-A2895D8C0F22}</b:Guid>
    <b:Author>
      <b:Author>
        <b:NameList>
          <b:Person>
            <b:Last>Lock</b:Last>
            <b:First>Edward</b:First>
            <b:Middle>A.</b:Middle>
          </b:Person>
          <b:Person>
            <b:Last>Gaskin</b:Last>
            <b:First>Peter</b:First>
          </b:Person>
          <b:Person>
            <b:Last>Ellis</b:Last>
            <b:First>Martin</b:First>
            <b:Middle>K.</b:Middle>
          </b:Person>
          <b:Person>
            <b:Last>Provan</b:Last>
            <b:First>W.</b:First>
            <b:Middle>Mclean</b:Middle>
          </b:Person>
        </b:NameList>
      </b:Author>
    </b:Author>
    <b:Title>Tissue Distribution of 2-(2-Nitro-4-trifluoromethylbenzoyl)cyclohexane- 1,3-dione (NTBC): Effect on Enzymes Involved in Tyrosine Catabolism and Relevance to Ocular Toxicity in the Rat </b:Title>
    <b:JournalName>Toxicology and Applied Pharmacology </b:JournalName>
    <b:Year>1996</b:Year>
    <b:Pages>439–447 </b:Pages>
    <b:Volume>141</b:Volume>
    <b:RefOrder>14</b:RefOrder>
  </b:Source>
  <b:Source>
    <b:Tag>Gis03</b:Tag>
    <b:SourceType>JournalArticle</b:SourceType>
    <b:Guid>{9D1FEBB3-C450-4DE3-AA39-902230504A33}</b:Guid>
    <b:Author>
      <b:Author>
        <b:NameList>
          <b:Person>
            <b:Last>Gissen</b:Last>
            <b:First>P.</b:First>
          </b:Person>
          <b:Person>
            <b:Last>Preece</b:Last>
            <b:First>M.A.</b:First>
          </b:Person>
          <b:Person>
            <b:Last>Willshaw</b:Last>
            <b:First>H.A.</b:First>
          </b:Person>
          <b:Person>
            <b:Last>McKiernan</b:Last>
            <b:First>P.J.</b:First>
          </b:Person>
        </b:NameList>
      </b:Author>
    </b:Author>
    <b:Title>Ophthalmic follow-up of patients with tyrosinaemia type I on NTBC</b:Title>
    <b:Year>2003</b:Year>
    <b:Pages>13-16</b:Pages>
    <b:JournalName>Journal of Inherited Metabolic Disease</b:JournalName>
    <b:Volume>26</b:Volume>
    <b:RefOrder>7</b:RefOrder>
  </b:Source>
  <b:Source>
    <b:Tag>Hol98</b:Tag>
    <b:SourceType>JournalArticle</b:SourceType>
    <b:Guid>{CEC145AB-BB73-45B6-81D3-1DCD13792982}</b:Guid>
    <b:Author>
      <b:Author>
        <b:NameList>
          <b:Person>
            <b:Last>Holme</b:Last>
            <b:First>E.</b:First>
          </b:Person>
          <b:Person>
            <b:Last>Lindstedt</b:Last>
            <b:First>S.</b:First>
          </b:Person>
        </b:NameList>
      </b:Author>
    </b:Author>
    <b:Title>Tyrosinaemia type I and NTBC (2-(2-nitro-4-trifluoromethylbenzoyl)- 1,3-cyclohexanedione)</b:Title>
    <b:JournalName>Journal of Inherited Metabolic Disease  </b:JournalName>
    <b:Year>1998</b:Year>
    <b:Pages>507–517</b:Pages>
    <b:Volume>21</b:Volume>
    <b:Issue>5</b:Issue>
    <b:RefOrder>6</b:RefOrder>
  </b:Source>
  <b:Source>
    <b:Tag>Pho02</b:Tag>
    <b:SourceType>JournalArticle</b:SourceType>
    <b:Guid>{E03B0C08-87C4-41BE-9937-266561DFE7EA}</b:Guid>
    <b:Author>
      <b:Author>
        <b:NameList>
          <b:Person>
            <b:Last>Phornphutkul</b:Last>
            <b:First>Chanika</b:First>
          </b:Person>
          <b:Person>
            <b:Last>Introne</b:Last>
            <b:Middle>J</b:Middle>
            <b:First>Wendy</b:First>
          </b:Person>
          <b:Person>
            <b:Last>Perry</b:Last>
            <b:Middle>B</b:Middle>
            <b:First>Monique</b:First>
          </b:Person>
          <b:Person>
            <b:Last>Bernadini</b:Last>
            <b:First>Isa</b:First>
          </b:Person>
          <b:Person>
            <b:Last>Murphey</b:Last>
            <b:Middle>D</b:Middle>
            <b:First>Mark</b:First>
          </b:Person>
        </b:NameList>
      </b:Author>
    </b:Author>
    <b:Title>Natural history of alkaptonuria</b:Title>
    <b:JournalName>The New England Journal of Medicine</b:JournalName>
    <b:Year>2002</b:Year>
    <b:Pages>2111-2121</b:Pages>
    <b:Volume>347</b:Volume>
    <b:Issue>26</b:Issue>
    <b:RefOrder>2</b:RefOrder>
  </b:Source>
  <b:Source>
    <b:Tag>58Th</b:Tag>
    <b:SourceType>JournalArticle</b:SourceType>
    <b:Guid>{4991D280-9180-4A37-8481-FBC52B7E1139}</b:Guid>
    <b:JournalName>The Journal of Biological Chemistry</b:JournalName>
    <b:Year>1958</b:Year>
    <b:Pages>251-260</b:Pages>
    <b:Volume>230</b:Volume>
    <b:Title>The nature of the defect in tyrosine metabolism in alcaptonuria</b:Title>
    <b:Author>
      <b:Author>
        <b:NameList>
          <b:Person>
            <b:Last>La Du</b:Last>
            <b:First>Bert</b:First>
            <b:Middle>N.</b:Middle>
          </b:Person>
          <b:Person>
            <b:Last>Zannoni</b:Last>
            <b:First>Vincent</b:First>
            <b:Middle>G.</b:Middle>
          </b:Person>
          <b:Person>
            <b:Last>Laster</b:Last>
            <b:First>Leonard</b:First>
          </b:Person>
          <b:Person>
            <b:Last>Seegmiller</b:Last>
            <b:First>J.</b:First>
            <b:Middle>E.</b:Middle>
          </b:Person>
        </b:NameList>
      </b:Author>
    </b:Author>
    <b:RefOrder>17</b:RefOrder>
  </b:Source>
  <b:Source>
    <b:Tag>Nem</b:Tag>
    <b:SourceType>JournalArticle</b:SourceType>
    <b:Guid>{44B17A77-EF1B-4033-946D-8E55EE5D0F63}</b:Guid>
    <b:Author>
      <b:Author>
        <b:NameList>
          <b:Person>
            <b:Last>Nemethova</b:Last>
            <b:First>Martina</b:First>
          </b:Person>
          <b:Person>
            <b:Last>Radvanszky</b:Last>
            <b:First>Jan</b:First>
          </b:Person>
          <b:Person>
            <b:Last>Ludevit</b:Last>
            <b:First>Kadasi</b:First>
          </b:Person>
          <b:Person>
            <b:Last>Ascher</b:Last>
            <b:First>David</b:First>
            <b:Middle>B.</b:Middle>
          </b:Person>
          <b:Person>
            <b:Last>Pires</b:Last>
            <b:First>Douglas</b:First>
            <b:Middle>E. V.</b:Middle>
          </b:Person>
        </b:NameList>
      </b:Author>
    </b:Author>
    <b:Title>Twelve novel HGD gene variants identified in 99 alkaptonuria patients: focus on ‘black bone disease’ in Italy</b:Title>
    <b:JournalName>European Journal of Human Genetics</b:JournalName>
    <b:Year>2016</b:Year>
    <b:Pages>66–72</b:Pages>
    <b:Volume>24</b:Volume>
    <b:RefOrder>18</b:RefOrder>
  </b:Source>
  <b:Source>
    <b:Tag>Zan69</b:Tag>
    <b:SourceType>JournalArticle</b:SourceType>
    <b:Guid>{3391EAD1-23C5-496C-BEB9-224D7EAEB212}</b:Guid>
    <b:Author>
      <b:Author>
        <b:NameList>
          <b:Person>
            <b:Last>Zannoni</b:Last>
            <b:First>V.</b:First>
            <b:Middle>G.</b:Middle>
          </b:Person>
          <b:Person>
            <b:Last>Lomtevas</b:Last>
            <b:First>N.</b:First>
          </b:Person>
          <b:Person>
            <b:Last>Goldfinger</b:Last>
            <b:First>S.</b:First>
          </b:Person>
        </b:NameList>
      </b:Author>
    </b:Author>
    <b:Title>Oxidation of homogentisic acid to ochronotic pigment in Connective tissue</b:Title>
    <b:JournalName>Biochimica Biophysica Acta</b:JournalName>
    <b:Year>1969</b:Year>
    <b:Pages>94-105</b:Pages>
    <b:Volume>177</b:Volume>
    <b:RefOrder>19</b:RefOrder>
  </b:Source>
  <b:Source>
    <b:Tag>Hel08</b:Tag>
    <b:SourceType>JournalArticle</b:SourceType>
    <b:Guid>{C94FDD16-F2DE-492A-9BB3-6C29B46979F0}</b:Guid>
    <b:Author>
      <b:Author>
        <b:NameList>
          <b:Person>
            <b:Last>Helliwell</b:Last>
            <b:First>T.R.</b:First>
          </b:Person>
          <b:Person>
            <b:Last>Gallagher</b:Last>
            <b:First>J.</b:First>
            <b:Middle>A.</b:Middle>
          </b:Person>
          <b:Person>
            <b:Last>Ranganath</b:Last>
            <b:First>L.</b:First>
          </b:Person>
        </b:NameList>
      </b:Author>
    </b:Author>
    <b:Title>Alkaptonuria— a review of surgical and autopsy pathology</b:Title>
    <b:JournalName>Histopathology</b:JournalName>
    <b:Year>2008</b:Year>
    <b:Pages>503–12</b:Pages>
    <b:Volume>53</b:Volume>
    <b:RefOrder>20</b:RefOrder>
  </b:Source>
  <b:Source>
    <b:Tag>McK06</b:Tag>
    <b:SourceType>JournalArticle</b:SourceType>
    <b:Guid>{D1380AC6-1475-46B6-AC56-ED15D7B14BF8}</b:Guid>
    <b:Author>
      <b:Author>
        <b:NameList>
          <b:Person>
            <b:Last>McKiernan</b:Last>
            <b:First>P.J.</b:First>
          </b:Person>
        </b:NameList>
      </b:Author>
    </b:Author>
    <b:Title>Nitisinone in the treatment of hereditary tyrosinaemia type I</b:Title>
    <b:JournalName>Drugs</b:JournalName>
    <b:Year>2006</b:Year>
    <b:Pages>743–50</b:Pages>
    <b:Volume>66</b:Volume>
    <b:RefOrder>5</b:RefOrder>
  </b:Source>
  <b:Source>
    <b:Tag>Ran16</b:Tag>
    <b:SourceType>JournalArticle</b:SourceType>
    <b:Guid>{7E82162D-D6FF-463F-82AD-D01F3F23AFD1}</b:Guid>
    <b:Author>
      <b:Author>
        <b:NameList>
          <b:Person>
            <b:Last>Ranganath</b:Last>
            <b:First>L.R.</b:First>
          </b:Person>
          <b:Person>
            <b:Last>Milan</b:Last>
            <b:First>,</b:First>
            <b:Middle>Anna M.</b:Middle>
          </b:Person>
          <b:Person>
            <b:Last>Hughes</b:Last>
            <b:First>Andrew</b:First>
            <b:Middle>T.</b:Middle>
          </b:Person>
          <b:Person>
            <b:Last>Dutton</b:Last>
            <b:First>John</b:First>
            <b:Middle>J.</b:Middle>
          </b:Person>
          <b:Person>
            <b:Last>Fitzgerald</b:Last>
            <b:First>Richard</b:First>
          </b:Person>
        </b:NameList>
      </b:Author>
    </b:Author>
    <b:Title>Suitability Of Nitisinone In Alkaptonuria 1 (SONIA 1): an international, multicentre, randomised, open-label, no-treatment controlled, parallel-group, dose-response study to investigate the effect of once daily nitisinone on 24-h urinary homogentisic acid</b:Title>
    <b:JournalName>Annals of Rheumatic Diseases</b:JournalName>
    <b:Year>2016</b:Year>
    <b:Pages>362-367</b:Pages>
    <b:Volume>75</b:Volume>
    <b:Issue>2</b:Issue>
    <b:RefOrder>21</b:RefOrder>
  </b:Source>
  <b:Source>
    <b:Tag>Sch13</b:Tag>
    <b:SourceType>JournalArticle</b:SourceType>
    <b:Guid>{1CFC1F47-9BE5-4288-BCF0-57B1360E11C8}</b:Guid>
    <b:Author>
      <b:Author>
        <b:NameList>
          <b:Person>
            <b:Last>Schauwvlieghe</b:Last>
            <b:First>Pieter-Paul</b:First>
          </b:Person>
          <b:Person>
            <b:Last>Jaeken</b:Last>
            <b:First>Jaak</b:First>
          </b:Person>
          <b:Person>
            <b:Last>Kestelyn</b:Last>
            <b:First>Philippe</b:First>
          </b:Person>
          <b:Person>
            <b:Last>Claerhout</b:Last>
            <b:First>Ilse</b:First>
          </b:Person>
        </b:NameList>
      </b:Author>
    </b:Author>
    <b:JournalName>Cornea</b:JournalName>
    <b:Year>2013</b:Year>
    <b:Volume>32</b:Volume>
    <b:Issue>1</b:Issue>
    <b:Title>confocal microscopy of corneal crystals in a patient with Hereditary Tyrosinaemia Type I, treated With NTBC</b:Title>
    <b:RefOrder>22</b:RefOrder>
  </b:Source>
  <b:Source>
    <b:Tag>Tav08</b:Tag>
    <b:SourceType>JournalArticle</b:SourceType>
    <b:Guid>{2BA6AABD-516F-4B23-AAA0-00B6908D9499}</b:Guid>
    <b:Author>
      <b:Author>
        <b:NameList>
          <b:Person>
            <b:Last>Tavakoli</b:Last>
            <b:First>Mitra</b:First>
          </b:Person>
          <b:Person>
            <b:Last>Hossain</b:Last>
            <b:First>Parwez</b:First>
          </b:Person>
          <b:Person>
            <b:Last>Malik</b:Last>
            <b:First>Rayaz</b:First>
            <b:Middle>A.</b:Middle>
          </b:Person>
        </b:NameList>
      </b:Author>
    </b:Author>
    <b:Title>Clinical applications of corneal confocal microscopy</b:Title>
    <b:JournalName>Clinical Ophthalmology</b:JournalName>
    <b:Year>2008</b:Year>
    <b:Pages>435–445</b:Pages>
    <b:Volume>2</b:Volume>
    <b:Issue>2</b:Issue>
    <b:RefOrder>23</b:RefOrder>
  </b:Source>
  <b:Source>
    <b:Tag>Mei08</b:Tag>
    <b:SourceType>JournalArticle</b:SourceType>
    <b:Guid>{9615F0E8-51F6-47F0-B6FA-F6372A431ABD}</b:Guid>
    <b:Title>Richner-Hanhart syndrome detected by expanded newborn screening</b:Title>
    <b:Year>2008</b:Year>
    <b:Author>
      <b:Author>
        <b:NameList>
          <b:Person>
            <b:Last>Meissner</b:Last>
            <b:First>Thomas</b:First>
          </b:Person>
          <b:Person>
            <b:Last>Betz</b:Last>
            <b:First>Regina</b:First>
            <b:Middle>Christine</b:Middle>
          </b:Person>
          <b:Person>
            <b:Last>Pasternack</b:Last>
            <b:First>Sandra</b:First>
            <b:Middle>M</b:Middle>
          </b:Person>
          <b:Person>
            <b:Last>Eigelshoven</b:Last>
            <b:First>Sibylle</b:First>
          </b:Person>
          <b:Person>
            <b:Last>Ruzicka</b:Last>
            <b:First>Thomas</b:First>
          </b:Person>
          <b:Person>
            <b:Last>Kruse</b:Last>
            <b:First>Roland</b:First>
          </b:Person>
          <b:Person>
            <b:Last>Laitenberger</b:Last>
            <b:First>Gitta</b:First>
          </b:Person>
          <b:Person>
            <b:Last>Mayatepek</b:Last>
            <b:First>Ertan</b:First>
          </b:Person>
        </b:NameList>
      </b:Author>
    </b:Author>
    <b:JournalName>Pediatric Dermatology</b:JournalName>
    <b:Pages>378-380</b:Pages>
    <b:RefOrder>4</b:RefOrder>
  </b:Source>
</b:Sources>
</file>

<file path=customXml/itemProps1.xml><?xml version="1.0" encoding="utf-8"?>
<ds:datastoreItem xmlns:ds="http://schemas.openxmlformats.org/officeDocument/2006/customXml" ds:itemID="{BD8BD7B8-12E9-46BC-BB62-EE77DF586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43075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Ranganath, Lakshminarayan</dc:creator>
  <cp:lastModifiedBy>Khedr Milad (RQ6) RLBUHT</cp:lastModifiedBy>
  <cp:revision>5</cp:revision>
  <cp:lastPrinted>2017-08-17T06:59:00Z</cp:lastPrinted>
  <dcterms:created xsi:type="dcterms:W3CDTF">2017-09-29T10:11:00Z</dcterms:created>
  <dcterms:modified xsi:type="dcterms:W3CDTF">2017-09-29T10:14:00Z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id="zShiMbUk"/&gt;&lt;style id="http://www.zotero.org/styles/elsevier-harvard" hasBibliography="1" bibliographyStyleHasBeenSet="0"/&gt;&lt;prefs&gt;&lt;pref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ies>
</file>