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F736B" w14:textId="0B9C6B26" w:rsidR="001C78B2" w:rsidRPr="00886C9E" w:rsidRDefault="00826A15" w:rsidP="00B92EF8">
      <w:pPr>
        <w:spacing w:line="480" w:lineRule="auto"/>
        <w:jc w:val="both"/>
        <w:rPr>
          <w:rFonts w:ascii="Times" w:hAnsi="Times" w:cs="Times New Roman"/>
          <w:b/>
        </w:rPr>
      </w:pPr>
      <w:r w:rsidRPr="00886C9E">
        <w:rPr>
          <w:rFonts w:ascii="Times" w:hAnsi="Times" w:cs="Times New Roman"/>
          <w:b/>
        </w:rPr>
        <w:t xml:space="preserve">Pharmacodynamics of </w:t>
      </w:r>
      <w:proofErr w:type="spellStart"/>
      <w:r w:rsidR="005A1B0C" w:rsidRPr="00886C9E">
        <w:rPr>
          <w:rFonts w:ascii="Times" w:hAnsi="Times" w:cs="Times New Roman"/>
          <w:b/>
        </w:rPr>
        <w:t>Teicoplanin</w:t>
      </w:r>
      <w:proofErr w:type="spellEnd"/>
      <w:r w:rsidR="005A1B0C" w:rsidRPr="00886C9E">
        <w:rPr>
          <w:rFonts w:ascii="Times" w:hAnsi="Times" w:cs="Times New Roman"/>
          <w:b/>
        </w:rPr>
        <w:t xml:space="preserve"> Against Methicillin-</w:t>
      </w:r>
      <w:r w:rsidR="005707B3" w:rsidRPr="00886C9E">
        <w:rPr>
          <w:rFonts w:ascii="Times" w:hAnsi="Times" w:cs="Times New Roman"/>
          <w:b/>
        </w:rPr>
        <w:t>Resistant Staphylococcus aureus</w:t>
      </w:r>
    </w:p>
    <w:p w14:paraId="5BB3182B" w14:textId="77777777" w:rsidR="00282FDD" w:rsidRPr="00886C9E" w:rsidRDefault="00282FDD" w:rsidP="001C79B2">
      <w:pPr>
        <w:spacing w:line="480" w:lineRule="auto"/>
        <w:jc w:val="both"/>
        <w:rPr>
          <w:rFonts w:ascii="Times" w:hAnsi="Times" w:cs="Times New Roman"/>
        </w:rPr>
      </w:pPr>
    </w:p>
    <w:p w14:paraId="4F8DFA25" w14:textId="48826C11" w:rsidR="002A30CB" w:rsidRPr="00886C9E" w:rsidRDefault="002A30CB" w:rsidP="004554E5">
      <w:pPr>
        <w:spacing w:line="480" w:lineRule="auto"/>
        <w:jc w:val="both"/>
        <w:rPr>
          <w:rFonts w:ascii="Times" w:hAnsi="Times" w:cs="Times New Roman"/>
          <w:b/>
        </w:rPr>
      </w:pPr>
      <w:r w:rsidRPr="00886C9E">
        <w:rPr>
          <w:rFonts w:ascii="Times" w:hAnsi="Times" w:cs="Times New Roman"/>
          <w:b/>
        </w:rPr>
        <w:t xml:space="preserve">Running title: Pharmacodynamics of </w:t>
      </w:r>
      <w:proofErr w:type="spellStart"/>
      <w:r w:rsidRPr="00886C9E">
        <w:rPr>
          <w:rFonts w:ascii="Times" w:hAnsi="Times" w:cs="Times New Roman"/>
          <w:b/>
        </w:rPr>
        <w:t>teicoplanin</w:t>
      </w:r>
      <w:proofErr w:type="spellEnd"/>
      <w:r w:rsidRPr="00886C9E">
        <w:rPr>
          <w:rFonts w:ascii="Times" w:hAnsi="Times" w:cs="Times New Roman"/>
          <w:b/>
        </w:rPr>
        <w:t xml:space="preserve"> against MRSA</w:t>
      </w:r>
    </w:p>
    <w:p w14:paraId="14C24598" w14:textId="65D76FC4" w:rsidR="002A30CB" w:rsidRPr="00886C9E" w:rsidRDefault="002A30CB" w:rsidP="004554E5">
      <w:pPr>
        <w:spacing w:line="480" w:lineRule="auto"/>
        <w:jc w:val="both"/>
        <w:rPr>
          <w:rFonts w:ascii="Times" w:hAnsi="Times" w:cs="Times New Roman"/>
        </w:rPr>
      </w:pPr>
      <w:r w:rsidRPr="00886C9E">
        <w:rPr>
          <w:rFonts w:ascii="Times" w:hAnsi="Times" w:cs="Times New Roman"/>
        </w:rPr>
        <w:t>V. Ramos-Martín</w:t>
      </w:r>
      <w:r w:rsidRPr="00886C9E">
        <w:rPr>
          <w:rFonts w:ascii="Times" w:hAnsi="Times" w:cs="Times New Roman"/>
          <w:vertAlign w:val="superscript"/>
        </w:rPr>
        <w:t>1,2</w:t>
      </w:r>
      <w:r w:rsidRPr="00886C9E">
        <w:rPr>
          <w:rFonts w:ascii="Times" w:hAnsi="Times" w:cs="Times New Roman"/>
        </w:rPr>
        <w:t>, A. Johnson</w:t>
      </w:r>
      <w:r w:rsidRPr="00886C9E">
        <w:rPr>
          <w:rFonts w:ascii="Times" w:hAnsi="Times" w:cs="Times New Roman"/>
          <w:vertAlign w:val="superscript"/>
        </w:rPr>
        <w:t>1</w:t>
      </w:r>
      <w:r w:rsidRPr="00886C9E">
        <w:rPr>
          <w:rFonts w:ascii="Times" w:hAnsi="Times" w:cs="Times New Roman"/>
        </w:rPr>
        <w:t xml:space="preserve">, </w:t>
      </w:r>
      <w:proofErr w:type="gramStart"/>
      <w:r w:rsidR="005929BD" w:rsidRPr="00886C9E">
        <w:rPr>
          <w:rFonts w:ascii="Times" w:hAnsi="Times" w:cs="Times New Roman"/>
        </w:rPr>
        <w:t>L.McEntee</w:t>
      </w:r>
      <w:proofErr w:type="gramEnd"/>
      <w:r w:rsidR="005929BD" w:rsidRPr="00886C9E">
        <w:rPr>
          <w:rFonts w:ascii="Times" w:hAnsi="Times" w:cs="Times New Roman"/>
          <w:vertAlign w:val="superscript"/>
        </w:rPr>
        <w:t>1</w:t>
      </w:r>
      <w:r w:rsidR="005929BD" w:rsidRPr="00886C9E">
        <w:rPr>
          <w:rFonts w:ascii="Times" w:hAnsi="Times" w:cs="Times New Roman"/>
        </w:rPr>
        <w:t xml:space="preserve">, </w:t>
      </w:r>
      <w:r w:rsidR="00411065" w:rsidRPr="00886C9E">
        <w:rPr>
          <w:rFonts w:ascii="Times" w:hAnsi="Times" w:cs="Times New Roman"/>
        </w:rPr>
        <w:t>N. Farrington</w:t>
      </w:r>
      <w:r w:rsidR="00411065" w:rsidRPr="00886C9E">
        <w:rPr>
          <w:rFonts w:ascii="Times" w:hAnsi="Times" w:cs="Times New Roman"/>
          <w:vertAlign w:val="superscript"/>
        </w:rPr>
        <w:t>1</w:t>
      </w:r>
      <w:r w:rsidR="00411065" w:rsidRPr="00886C9E">
        <w:rPr>
          <w:rFonts w:ascii="Times" w:hAnsi="Times" w:cs="Times New Roman"/>
        </w:rPr>
        <w:t xml:space="preserve">, </w:t>
      </w:r>
      <w:r w:rsidRPr="00886C9E">
        <w:rPr>
          <w:rFonts w:ascii="Times" w:hAnsi="Times" w:cs="Times New Roman"/>
        </w:rPr>
        <w:t>K. Padmore</w:t>
      </w:r>
      <w:r w:rsidRPr="00886C9E">
        <w:rPr>
          <w:rFonts w:ascii="Times" w:hAnsi="Times" w:cs="Times New Roman"/>
          <w:vertAlign w:val="superscript"/>
        </w:rPr>
        <w:t>2</w:t>
      </w:r>
      <w:r w:rsidRPr="00886C9E">
        <w:rPr>
          <w:rFonts w:ascii="Times" w:hAnsi="Times" w:cs="Times New Roman"/>
        </w:rPr>
        <w:t xml:space="preserve">, </w:t>
      </w:r>
      <w:r w:rsidR="00411065" w:rsidRPr="00886C9E">
        <w:rPr>
          <w:rFonts w:ascii="Times" w:hAnsi="Times" w:cs="Times New Roman"/>
        </w:rPr>
        <w:t>P. Cojutti</w:t>
      </w:r>
      <w:r w:rsidR="00411065" w:rsidRPr="00886C9E">
        <w:rPr>
          <w:rFonts w:ascii="Times" w:hAnsi="Times" w:cs="Times New Roman"/>
          <w:vertAlign w:val="superscript"/>
        </w:rPr>
        <w:t>3</w:t>
      </w:r>
      <w:r w:rsidR="0020409A" w:rsidRPr="00886C9E">
        <w:rPr>
          <w:rFonts w:ascii="Times" w:hAnsi="Times" w:cs="Times New Roman"/>
          <w:vertAlign w:val="superscript"/>
        </w:rPr>
        <w:t>,4</w:t>
      </w:r>
      <w:r w:rsidR="00411065" w:rsidRPr="00886C9E">
        <w:rPr>
          <w:rFonts w:ascii="Times" w:hAnsi="Times" w:cs="Times New Roman"/>
        </w:rPr>
        <w:t xml:space="preserve">, </w:t>
      </w:r>
      <w:r w:rsidR="00B23E1C" w:rsidRPr="00886C9E">
        <w:rPr>
          <w:rFonts w:ascii="Times" w:hAnsi="Times" w:cs="Times New Roman"/>
        </w:rPr>
        <w:t>F. Pea</w:t>
      </w:r>
      <w:r w:rsidR="00B23E1C" w:rsidRPr="00886C9E">
        <w:rPr>
          <w:rFonts w:ascii="Times" w:hAnsi="Times" w:cs="Times New Roman"/>
          <w:vertAlign w:val="superscript"/>
        </w:rPr>
        <w:t>3</w:t>
      </w:r>
      <w:r w:rsidR="0020409A" w:rsidRPr="00886C9E">
        <w:rPr>
          <w:rFonts w:ascii="Times" w:hAnsi="Times" w:cs="Times New Roman"/>
          <w:vertAlign w:val="superscript"/>
        </w:rPr>
        <w:t>,4</w:t>
      </w:r>
      <w:r w:rsidR="00411065" w:rsidRPr="00886C9E">
        <w:rPr>
          <w:rFonts w:ascii="Times" w:hAnsi="Times" w:cs="Times New Roman"/>
        </w:rPr>
        <w:t xml:space="preserve">, </w:t>
      </w:r>
      <w:r w:rsidRPr="00886C9E">
        <w:rPr>
          <w:rFonts w:ascii="Times" w:hAnsi="Times" w:cs="Times New Roman"/>
        </w:rPr>
        <w:t>MN. Neely</w:t>
      </w:r>
      <w:r w:rsidR="0020409A" w:rsidRPr="00886C9E">
        <w:rPr>
          <w:rFonts w:ascii="Times" w:hAnsi="Times" w:cs="Times New Roman"/>
          <w:vertAlign w:val="superscript"/>
        </w:rPr>
        <w:t>5</w:t>
      </w:r>
      <w:r w:rsidRPr="00886C9E">
        <w:rPr>
          <w:rFonts w:ascii="Times" w:hAnsi="Times" w:cs="Times New Roman"/>
        </w:rPr>
        <w:t>, W.W. Hope</w:t>
      </w:r>
      <w:r w:rsidRPr="00886C9E">
        <w:rPr>
          <w:rFonts w:ascii="Times" w:hAnsi="Times" w:cs="Times New Roman"/>
          <w:vertAlign w:val="superscript"/>
        </w:rPr>
        <w:t>1</w:t>
      </w:r>
      <w:r w:rsidRPr="00886C9E">
        <w:rPr>
          <w:rFonts w:ascii="Times" w:hAnsi="Times" w:cs="Times New Roman"/>
        </w:rPr>
        <w:t>.</w:t>
      </w:r>
    </w:p>
    <w:p w14:paraId="32106539" w14:textId="77777777" w:rsidR="00A11EE8" w:rsidRPr="00886C9E" w:rsidRDefault="00A11EE8">
      <w:pPr>
        <w:spacing w:line="480" w:lineRule="auto"/>
        <w:jc w:val="both"/>
        <w:rPr>
          <w:rFonts w:ascii="Times" w:eastAsia="Times New Roman" w:hAnsi="Times" w:cs="Times New Roman"/>
          <w:color w:val="000000"/>
          <w:vertAlign w:val="superscript"/>
          <w:lang w:eastAsia="en-GB"/>
        </w:rPr>
      </w:pPr>
    </w:p>
    <w:p w14:paraId="7BF49E20" w14:textId="77777777" w:rsidR="002A30CB" w:rsidRPr="00886C9E" w:rsidRDefault="002A30CB">
      <w:pPr>
        <w:spacing w:line="480" w:lineRule="auto"/>
        <w:jc w:val="both"/>
        <w:rPr>
          <w:rFonts w:ascii="Times" w:eastAsia="Times New Roman" w:hAnsi="Times" w:cs="Times New Roman"/>
          <w:color w:val="000000"/>
          <w:lang w:eastAsia="en-GB"/>
        </w:rPr>
      </w:pPr>
      <w:r w:rsidRPr="00886C9E">
        <w:rPr>
          <w:rFonts w:ascii="Times" w:eastAsia="Times New Roman" w:hAnsi="Times" w:cs="Times New Roman"/>
          <w:color w:val="000000"/>
          <w:vertAlign w:val="superscript"/>
          <w:lang w:eastAsia="en-GB"/>
        </w:rPr>
        <w:t xml:space="preserve">1 </w:t>
      </w:r>
      <w:r w:rsidRPr="00886C9E">
        <w:rPr>
          <w:rFonts w:ascii="Times" w:eastAsia="Times New Roman" w:hAnsi="Times" w:cs="Times New Roman"/>
          <w:color w:val="000000"/>
          <w:lang w:eastAsia="en-GB"/>
        </w:rPr>
        <w:t xml:space="preserve">Molecular and Clinical Pharmacology Department, Institute of Translational Medicine, University of Liverpool, United Kingdom. </w:t>
      </w:r>
    </w:p>
    <w:p w14:paraId="72631D85" w14:textId="42E53855" w:rsidR="002A30CB" w:rsidRPr="00886C9E" w:rsidRDefault="002A30CB">
      <w:pPr>
        <w:spacing w:line="480" w:lineRule="auto"/>
        <w:jc w:val="both"/>
        <w:rPr>
          <w:rFonts w:ascii="Times" w:eastAsia="Times New Roman" w:hAnsi="Times" w:cs="Times New Roman"/>
          <w:color w:val="000000"/>
          <w:lang w:eastAsia="en-GB"/>
        </w:rPr>
      </w:pPr>
      <w:r w:rsidRPr="00886C9E">
        <w:rPr>
          <w:rFonts w:ascii="Times" w:eastAsia="Times New Roman" w:hAnsi="Times" w:cs="Times New Roman"/>
          <w:color w:val="000000"/>
          <w:vertAlign w:val="superscript"/>
          <w:lang w:eastAsia="en-GB"/>
        </w:rPr>
        <w:t>2</w:t>
      </w:r>
      <w:r w:rsidR="0020409A" w:rsidRPr="00886C9E">
        <w:rPr>
          <w:rFonts w:ascii="Times" w:eastAsia="Times New Roman" w:hAnsi="Times" w:cs="Times New Roman"/>
          <w:color w:val="000000"/>
          <w:vertAlign w:val="superscript"/>
          <w:lang w:eastAsia="en-GB"/>
        </w:rPr>
        <w:t xml:space="preserve"> </w:t>
      </w:r>
      <w:r w:rsidRPr="00886C9E">
        <w:rPr>
          <w:rFonts w:ascii="Times" w:eastAsia="Times New Roman" w:hAnsi="Times" w:cs="Times New Roman"/>
          <w:color w:val="000000"/>
          <w:lang w:eastAsia="en-GB"/>
        </w:rPr>
        <w:t>Alder Hey Children’s NHS Foundation Trust, Liverpool, United Kingdom.</w:t>
      </w:r>
    </w:p>
    <w:p w14:paraId="5E7C3F16" w14:textId="77777777" w:rsidR="0020409A" w:rsidRPr="00886C9E" w:rsidRDefault="0020409A" w:rsidP="0020409A">
      <w:pPr>
        <w:spacing w:line="480" w:lineRule="auto"/>
        <w:jc w:val="both"/>
        <w:rPr>
          <w:rFonts w:ascii="Times" w:eastAsia="Times New Roman" w:hAnsi="Times" w:cs="Times New Roman"/>
          <w:lang w:eastAsia="en-GB"/>
        </w:rPr>
      </w:pPr>
      <w:r w:rsidRPr="00886C9E">
        <w:rPr>
          <w:rFonts w:ascii="Times" w:eastAsia="Times New Roman" w:hAnsi="Times" w:cs="Times New Roman"/>
          <w:color w:val="000000"/>
          <w:vertAlign w:val="superscript"/>
          <w:lang w:eastAsia="en-GB"/>
        </w:rPr>
        <w:t xml:space="preserve">3 </w:t>
      </w:r>
      <w:r w:rsidRPr="00886C9E">
        <w:rPr>
          <w:rFonts w:ascii="Times" w:eastAsia="Times New Roman" w:hAnsi="Times" w:cs="Times New Roman"/>
          <w:lang w:eastAsia="en-GB"/>
        </w:rPr>
        <w:t xml:space="preserve">Institute of Clinical Pharmacology, Santa Maria </w:t>
      </w:r>
      <w:proofErr w:type="spellStart"/>
      <w:r w:rsidRPr="00886C9E">
        <w:rPr>
          <w:rFonts w:ascii="Times" w:eastAsia="Times New Roman" w:hAnsi="Times" w:cs="Times New Roman"/>
          <w:lang w:eastAsia="en-GB"/>
        </w:rPr>
        <w:t>della</w:t>
      </w:r>
      <w:proofErr w:type="spellEnd"/>
      <w:r w:rsidRPr="00886C9E">
        <w:rPr>
          <w:rFonts w:ascii="Times" w:eastAsia="Times New Roman" w:hAnsi="Times" w:cs="Times New Roman"/>
          <w:lang w:eastAsia="en-GB"/>
        </w:rPr>
        <w:t xml:space="preserve"> Misericordia University Hospital, ASUIUD, Udine, Italy </w:t>
      </w:r>
    </w:p>
    <w:p w14:paraId="5F8D16FE" w14:textId="6EAEF383" w:rsidR="0020409A" w:rsidRPr="00886C9E" w:rsidRDefault="0020409A" w:rsidP="0020409A">
      <w:pPr>
        <w:spacing w:line="480" w:lineRule="auto"/>
        <w:jc w:val="both"/>
        <w:rPr>
          <w:rFonts w:ascii="Times" w:eastAsia="Times New Roman" w:hAnsi="Times" w:cs="Times New Roman"/>
          <w:lang w:eastAsia="en-GB"/>
        </w:rPr>
      </w:pPr>
      <w:r w:rsidRPr="00886C9E">
        <w:rPr>
          <w:rFonts w:ascii="Times" w:eastAsia="Times New Roman" w:hAnsi="Times" w:cs="Times New Roman"/>
          <w:vertAlign w:val="superscript"/>
          <w:lang w:eastAsia="en-GB"/>
        </w:rPr>
        <w:t xml:space="preserve">4 </w:t>
      </w:r>
      <w:r w:rsidRPr="00886C9E">
        <w:rPr>
          <w:rFonts w:ascii="Times" w:eastAsia="Times New Roman" w:hAnsi="Times" w:cs="Times New Roman"/>
          <w:lang w:eastAsia="en-GB"/>
        </w:rPr>
        <w:t>Department of Medicine, University of Udine, Udine, Italy</w:t>
      </w:r>
    </w:p>
    <w:p w14:paraId="1500CDAA" w14:textId="48C0D23D" w:rsidR="002A30CB" w:rsidRPr="00886C9E" w:rsidRDefault="0020409A">
      <w:pPr>
        <w:spacing w:line="480" w:lineRule="auto"/>
        <w:jc w:val="both"/>
        <w:rPr>
          <w:rFonts w:ascii="Times" w:eastAsia="Times New Roman" w:hAnsi="Times" w:cs="Times New Roman"/>
          <w:color w:val="000000"/>
          <w:lang w:eastAsia="en-GB"/>
        </w:rPr>
      </w:pPr>
      <w:r w:rsidRPr="00886C9E">
        <w:rPr>
          <w:rFonts w:ascii="Times" w:eastAsia="Times New Roman" w:hAnsi="Times" w:cs="Times New Roman"/>
          <w:color w:val="000000"/>
          <w:vertAlign w:val="superscript"/>
          <w:lang w:eastAsia="en-GB"/>
        </w:rPr>
        <w:t xml:space="preserve">5 </w:t>
      </w:r>
      <w:r w:rsidR="002A30CB" w:rsidRPr="00886C9E">
        <w:rPr>
          <w:rFonts w:ascii="Times" w:eastAsia="Times New Roman" w:hAnsi="Times" w:cs="Times New Roman"/>
          <w:color w:val="000000"/>
          <w:lang w:eastAsia="en-GB"/>
        </w:rPr>
        <w:t xml:space="preserve">Laboratory of Applied Pharmacokinetics and Bioinformatics, The </w:t>
      </w:r>
      <w:proofErr w:type="spellStart"/>
      <w:r w:rsidR="002A30CB" w:rsidRPr="00886C9E">
        <w:rPr>
          <w:rFonts w:ascii="Times" w:eastAsia="Times New Roman" w:hAnsi="Times" w:cs="Times New Roman"/>
          <w:color w:val="000000"/>
          <w:lang w:eastAsia="en-GB"/>
        </w:rPr>
        <w:t>Saban</w:t>
      </w:r>
      <w:proofErr w:type="spellEnd"/>
      <w:r w:rsidR="002A30CB" w:rsidRPr="00886C9E">
        <w:rPr>
          <w:rFonts w:ascii="Times" w:eastAsia="Times New Roman" w:hAnsi="Times" w:cs="Times New Roman"/>
          <w:color w:val="000000"/>
          <w:lang w:eastAsia="en-GB"/>
        </w:rPr>
        <w:t xml:space="preserve"> Research Institute and The Division of P</w:t>
      </w:r>
      <w:r w:rsidR="00B23E1C" w:rsidRPr="00886C9E">
        <w:rPr>
          <w:rFonts w:ascii="Times" w:eastAsia="Times New Roman" w:hAnsi="Times" w:cs="Times New Roman"/>
          <w:color w:val="000000"/>
          <w:lang w:eastAsia="en-GB"/>
        </w:rPr>
        <w:t>a</w:t>
      </w:r>
      <w:r w:rsidR="002A30CB" w:rsidRPr="00886C9E">
        <w:rPr>
          <w:rFonts w:ascii="Times" w:eastAsia="Times New Roman" w:hAnsi="Times" w:cs="Times New Roman"/>
          <w:color w:val="000000"/>
          <w:lang w:eastAsia="en-GB"/>
        </w:rPr>
        <w:t>ediatric Infectious Diseases, Children´s Hospital Los Angeles, University of Southern California, Los Angeles, California.</w:t>
      </w:r>
    </w:p>
    <w:p w14:paraId="3A080FB4" w14:textId="77777777" w:rsidR="00A11EE8" w:rsidRPr="00886C9E" w:rsidRDefault="00A11EE8">
      <w:pPr>
        <w:spacing w:line="480" w:lineRule="auto"/>
        <w:jc w:val="both"/>
        <w:rPr>
          <w:rFonts w:ascii="Times" w:hAnsi="Times" w:cs="Times New Roman"/>
        </w:rPr>
      </w:pPr>
    </w:p>
    <w:p w14:paraId="5ADEB5D1" w14:textId="77777777" w:rsidR="002A30CB" w:rsidRPr="00886C9E" w:rsidRDefault="002A30CB">
      <w:pPr>
        <w:spacing w:line="480" w:lineRule="auto"/>
        <w:jc w:val="both"/>
        <w:rPr>
          <w:rFonts w:ascii="Times" w:hAnsi="Times" w:cs="Times New Roman"/>
        </w:rPr>
      </w:pPr>
      <w:r w:rsidRPr="00886C9E">
        <w:rPr>
          <w:rFonts w:ascii="Times" w:hAnsi="Times" w:cs="Times New Roman"/>
        </w:rPr>
        <w:t xml:space="preserve"># Antimicrobial Pharmacodynamics and Therapeutics, Department of Molecular and Clinical Pharmacology, University of Liverpool, 1.09 Sherrington Building, Liverpool L69 3GE, United Kingdom. T: +44 (0) 151 794 5941 E: </w:t>
      </w:r>
      <w:hyperlink r:id="rId7" w:history="1">
        <w:r w:rsidRPr="00886C9E">
          <w:rPr>
            <w:rStyle w:val="Hyperlink"/>
            <w:rFonts w:ascii="Times" w:hAnsi="Times" w:cs="Times New Roman"/>
          </w:rPr>
          <w:t>william.hope@liverpool.ac.uk</w:t>
        </w:r>
      </w:hyperlink>
    </w:p>
    <w:p w14:paraId="5B59673D" w14:textId="77777777" w:rsidR="002A30CB" w:rsidRPr="00886C9E" w:rsidRDefault="002A30CB">
      <w:pPr>
        <w:spacing w:line="480" w:lineRule="auto"/>
        <w:jc w:val="both"/>
        <w:rPr>
          <w:rFonts w:ascii="Times" w:hAnsi="Times" w:cs="Times New Roman"/>
        </w:rPr>
      </w:pPr>
      <w:r w:rsidRPr="00886C9E">
        <w:rPr>
          <w:rFonts w:ascii="Times" w:hAnsi="Times" w:cs="Times New Roman"/>
        </w:rPr>
        <w:t>Corresponding author: Professor William Hope, University of Liverpool.</w:t>
      </w:r>
    </w:p>
    <w:p w14:paraId="4D2B266F" w14:textId="5C4BFAF1" w:rsidR="005A0A63" w:rsidRPr="00886C9E" w:rsidRDefault="00357B18">
      <w:pPr>
        <w:spacing w:line="480" w:lineRule="auto"/>
        <w:jc w:val="both"/>
        <w:rPr>
          <w:rFonts w:ascii="Times New Roman" w:hAnsi="Times New Roman" w:cs="Times New Roman"/>
        </w:rPr>
      </w:pPr>
      <w:r w:rsidRPr="00886C9E">
        <w:rPr>
          <w:rFonts w:ascii="Times New Roman" w:hAnsi="Times New Roman" w:cs="Times New Roman"/>
        </w:rPr>
        <w:t>Word Count (abstract): 248</w:t>
      </w:r>
      <w:r w:rsidR="00C5163A" w:rsidRPr="00886C9E">
        <w:rPr>
          <w:rFonts w:ascii="Times New Roman" w:hAnsi="Times New Roman" w:cs="Times New Roman"/>
        </w:rPr>
        <w:t>;</w:t>
      </w:r>
      <w:r w:rsidR="002A30CB" w:rsidRPr="00886C9E">
        <w:rPr>
          <w:rFonts w:ascii="Times New Roman" w:hAnsi="Times New Roman" w:cs="Times New Roman"/>
        </w:rPr>
        <w:t xml:space="preserve"> Word count (text): </w:t>
      </w:r>
      <w:r w:rsidR="00E67C79" w:rsidRPr="00886C9E">
        <w:rPr>
          <w:rFonts w:ascii="Times New Roman" w:hAnsi="Times New Roman" w:cs="Times New Roman"/>
        </w:rPr>
        <w:t>3205</w:t>
      </w:r>
    </w:p>
    <w:p w14:paraId="0B6E4718" w14:textId="77777777" w:rsidR="002A30CB" w:rsidRPr="00886C9E" w:rsidRDefault="002A30CB">
      <w:pPr>
        <w:spacing w:line="480" w:lineRule="auto"/>
        <w:jc w:val="both"/>
        <w:rPr>
          <w:rFonts w:ascii="Times New Roman" w:hAnsi="Times New Roman" w:cs="Times New Roman"/>
          <w:b/>
        </w:rPr>
      </w:pPr>
    </w:p>
    <w:p w14:paraId="20AA243C" w14:textId="77777777" w:rsidR="00AE1F4B" w:rsidRPr="00886C9E" w:rsidRDefault="00AE1F4B">
      <w:pPr>
        <w:spacing w:line="480" w:lineRule="auto"/>
        <w:jc w:val="both"/>
        <w:rPr>
          <w:rFonts w:ascii="Times New Roman" w:hAnsi="Times New Roman" w:cs="Times New Roman"/>
          <w:b/>
        </w:rPr>
        <w:sectPr w:rsidR="00AE1F4B" w:rsidRPr="00886C9E" w:rsidSect="001105B2">
          <w:footerReference w:type="even" r:id="rId8"/>
          <w:footerReference w:type="default" r:id="rId9"/>
          <w:pgSz w:w="11900" w:h="16840"/>
          <w:pgMar w:top="1418" w:right="1701" w:bottom="1418" w:left="1701" w:header="709" w:footer="709" w:gutter="0"/>
          <w:lnNumType w:countBy="1" w:restart="continuous"/>
          <w:cols w:space="708"/>
          <w:docGrid w:linePitch="360"/>
        </w:sectPr>
      </w:pPr>
    </w:p>
    <w:p w14:paraId="3A3CD455" w14:textId="77777777" w:rsidR="005A0A63" w:rsidRPr="00886C9E" w:rsidRDefault="005A0A63" w:rsidP="00516D42">
      <w:pPr>
        <w:spacing w:line="480" w:lineRule="auto"/>
        <w:jc w:val="both"/>
        <w:rPr>
          <w:rFonts w:ascii="Times" w:hAnsi="Times" w:cs="Times New Roman"/>
        </w:rPr>
      </w:pPr>
      <w:r w:rsidRPr="00886C9E">
        <w:rPr>
          <w:rFonts w:ascii="Times" w:hAnsi="Times" w:cs="Times New Roman"/>
        </w:rPr>
        <w:lastRenderedPageBreak/>
        <w:t>ABSTRACT</w:t>
      </w:r>
    </w:p>
    <w:p w14:paraId="0FB342DD" w14:textId="1BDBECC2" w:rsidR="005A0A63" w:rsidRPr="00886C9E" w:rsidRDefault="003674A7" w:rsidP="00516D42">
      <w:pPr>
        <w:spacing w:line="480" w:lineRule="auto"/>
        <w:jc w:val="both"/>
        <w:rPr>
          <w:rFonts w:ascii="Times" w:hAnsi="Times" w:cs="Times New Roman"/>
        </w:rPr>
      </w:pPr>
      <w:r w:rsidRPr="00886C9E">
        <w:rPr>
          <w:rFonts w:ascii="Times" w:hAnsi="Times" w:cs="Times New Roman"/>
        </w:rPr>
        <w:t>Objectives: The</w:t>
      </w:r>
      <w:r w:rsidR="008B2CA5" w:rsidRPr="00886C9E">
        <w:rPr>
          <w:rFonts w:ascii="Times" w:hAnsi="Times" w:cs="Times New Roman"/>
        </w:rPr>
        <w:t xml:space="preserve"> overall </w:t>
      </w:r>
      <w:r w:rsidR="00D50402" w:rsidRPr="00886C9E">
        <w:rPr>
          <w:rFonts w:ascii="Times" w:hAnsi="Times" w:cs="Times New Roman"/>
        </w:rPr>
        <w:t>study</w:t>
      </w:r>
      <w:r w:rsidR="008B2CA5" w:rsidRPr="00886C9E">
        <w:rPr>
          <w:rFonts w:ascii="Times" w:hAnsi="Times" w:cs="Times New Roman"/>
        </w:rPr>
        <w:t xml:space="preserve"> aim</w:t>
      </w:r>
      <w:r w:rsidR="00D50402" w:rsidRPr="00886C9E">
        <w:rPr>
          <w:rFonts w:ascii="Times" w:hAnsi="Times" w:cs="Times New Roman"/>
        </w:rPr>
        <w:t xml:space="preserve"> was to </w:t>
      </w:r>
      <w:r w:rsidRPr="00886C9E">
        <w:rPr>
          <w:rFonts w:ascii="Times" w:hAnsi="Times" w:cs="Times New Roman"/>
        </w:rPr>
        <w:t xml:space="preserve">identify the relevant </w:t>
      </w:r>
      <w:r w:rsidR="00D50402" w:rsidRPr="00886C9E">
        <w:rPr>
          <w:rFonts w:ascii="Times" w:hAnsi="Times" w:cs="Times New Roman"/>
        </w:rPr>
        <w:t xml:space="preserve">pre-clinical </w:t>
      </w:r>
      <w:proofErr w:type="spellStart"/>
      <w:r w:rsidR="00CE43EC" w:rsidRPr="00886C9E">
        <w:rPr>
          <w:rFonts w:ascii="Times" w:hAnsi="Times" w:cs="Times New Roman"/>
        </w:rPr>
        <w:t>teicoplanin</w:t>
      </w:r>
      <w:proofErr w:type="spellEnd"/>
      <w:r w:rsidR="00CE43EC" w:rsidRPr="00886C9E">
        <w:rPr>
          <w:rFonts w:ascii="Times" w:hAnsi="Times" w:cs="Times New Roman"/>
        </w:rPr>
        <w:t xml:space="preserve"> </w:t>
      </w:r>
      <w:r w:rsidRPr="00886C9E">
        <w:rPr>
          <w:rFonts w:ascii="Times" w:hAnsi="Times" w:cs="Times New Roman"/>
        </w:rPr>
        <w:t>PK-PD indices</w:t>
      </w:r>
      <w:r w:rsidR="00D50402" w:rsidRPr="00886C9E">
        <w:rPr>
          <w:rFonts w:ascii="Times" w:hAnsi="Times" w:cs="Times New Roman"/>
        </w:rPr>
        <w:t xml:space="preserve"> to predict efficacy</w:t>
      </w:r>
      <w:r w:rsidR="006B0E4D" w:rsidRPr="00886C9E">
        <w:rPr>
          <w:rFonts w:ascii="Times" w:hAnsi="Times" w:cs="Times New Roman"/>
        </w:rPr>
        <w:t xml:space="preserve"> </w:t>
      </w:r>
      <w:r w:rsidR="006D58B3" w:rsidRPr="00886C9E">
        <w:rPr>
          <w:rFonts w:ascii="Times" w:hAnsi="Times" w:cs="Times New Roman"/>
        </w:rPr>
        <w:t>and suppression of resistance</w:t>
      </w:r>
      <w:r w:rsidR="006B0E4D" w:rsidRPr="00886C9E">
        <w:rPr>
          <w:rFonts w:ascii="Times" w:hAnsi="Times" w:cs="Times New Roman"/>
        </w:rPr>
        <w:t xml:space="preserve"> in </w:t>
      </w:r>
      <w:r w:rsidR="00D50402" w:rsidRPr="00886C9E">
        <w:rPr>
          <w:rFonts w:ascii="Times" w:hAnsi="Times" w:cs="Times New Roman"/>
        </w:rPr>
        <w:t>MRSA infection</w:t>
      </w:r>
      <w:r w:rsidR="006B0E4D" w:rsidRPr="00886C9E">
        <w:rPr>
          <w:rFonts w:ascii="Times" w:hAnsi="Times" w:cs="Times New Roman"/>
        </w:rPr>
        <w:t xml:space="preserve">. </w:t>
      </w:r>
    </w:p>
    <w:p w14:paraId="03EE8798" w14:textId="26A3224A" w:rsidR="003674A7" w:rsidRPr="00886C9E" w:rsidRDefault="003674A7" w:rsidP="00516D42">
      <w:pPr>
        <w:spacing w:line="480" w:lineRule="auto"/>
        <w:jc w:val="both"/>
        <w:rPr>
          <w:rFonts w:ascii="Times" w:hAnsi="Times" w:cs="Times New Roman"/>
        </w:rPr>
      </w:pPr>
      <w:r w:rsidRPr="00886C9E">
        <w:rPr>
          <w:rFonts w:ascii="Times" w:hAnsi="Times" w:cs="Times New Roman"/>
        </w:rPr>
        <w:t xml:space="preserve">Methods: </w:t>
      </w:r>
      <w:r w:rsidR="00221B8C" w:rsidRPr="00886C9E">
        <w:rPr>
          <w:rFonts w:ascii="Times" w:hAnsi="Times" w:cs="Times New Roman"/>
        </w:rPr>
        <w:t xml:space="preserve">A </w:t>
      </w:r>
      <w:r w:rsidR="005A1B0C" w:rsidRPr="00886C9E">
        <w:rPr>
          <w:rFonts w:ascii="Times" w:hAnsi="Times" w:cs="Times New Roman"/>
        </w:rPr>
        <w:t xml:space="preserve">hollow </w:t>
      </w:r>
      <w:r w:rsidR="00D50402" w:rsidRPr="00886C9E">
        <w:rPr>
          <w:rFonts w:ascii="Times" w:hAnsi="Times" w:cs="Times New Roman"/>
        </w:rPr>
        <w:t>fibre infection model</w:t>
      </w:r>
      <w:r w:rsidRPr="00886C9E">
        <w:rPr>
          <w:rFonts w:ascii="Times" w:hAnsi="Times" w:cs="Times New Roman"/>
        </w:rPr>
        <w:t xml:space="preserve"> and a neutropenic murine thigh infection model were developed. The PK-PD data generated was modelled using a non-parametric population modelling approach</w:t>
      </w:r>
      <w:r w:rsidR="00CD7AA0" w:rsidRPr="00886C9E">
        <w:rPr>
          <w:rFonts w:ascii="Times" w:hAnsi="Times" w:cs="Times New Roman"/>
        </w:rPr>
        <w:t xml:space="preserve"> with </w:t>
      </w:r>
      <w:proofErr w:type="spellStart"/>
      <w:r w:rsidR="00CD7AA0" w:rsidRPr="00886C9E">
        <w:rPr>
          <w:rFonts w:ascii="Times" w:hAnsi="Times" w:cs="Times New Roman"/>
        </w:rPr>
        <w:t>Pmetrics</w:t>
      </w:r>
      <w:proofErr w:type="spellEnd"/>
      <w:r w:rsidRPr="00886C9E">
        <w:rPr>
          <w:rFonts w:ascii="Times" w:hAnsi="Times" w:cs="Times New Roman"/>
        </w:rPr>
        <w:t>. The posterio</w:t>
      </w:r>
      <w:r w:rsidR="000A1647" w:rsidRPr="00886C9E">
        <w:rPr>
          <w:rFonts w:ascii="Times" w:hAnsi="Times" w:cs="Times New Roman"/>
        </w:rPr>
        <w:t xml:space="preserve">r Bayesian estimates </w:t>
      </w:r>
      <w:proofErr w:type="gramStart"/>
      <w:r w:rsidR="000A1647" w:rsidRPr="00886C9E">
        <w:rPr>
          <w:rFonts w:ascii="Times" w:hAnsi="Times" w:cs="Times New Roman"/>
        </w:rPr>
        <w:t xml:space="preserve">derived </w:t>
      </w:r>
      <w:r w:rsidR="00D50402" w:rsidRPr="00886C9E">
        <w:rPr>
          <w:rFonts w:ascii="Times" w:hAnsi="Times" w:cs="Times New Roman"/>
        </w:rPr>
        <w:t xml:space="preserve"> were</w:t>
      </w:r>
      <w:proofErr w:type="gramEnd"/>
      <w:r w:rsidR="00D50402" w:rsidRPr="00886C9E">
        <w:rPr>
          <w:rFonts w:ascii="Times" w:hAnsi="Times" w:cs="Times New Roman"/>
        </w:rPr>
        <w:t xml:space="preserve"> used to study</w:t>
      </w:r>
      <w:r w:rsidRPr="00886C9E">
        <w:rPr>
          <w:rFonts w:ascii="Times" w:hAnsi="Times" w:cs="Times New Roman"/>
        </w:rPr>
        <w:t xml:space="preserve"> the exposure-effect relationships. </w:t>
      </w:r>
      <w:r w:rsidR="00D50402" w:rsidRPr="00886C9E">
        <w:rPr>
          <w:rFonts w:ascii="Times" w:hAnsi="Times" w:cs="Times New Roman"/>
        </w:rPr>
        <w:t>Monte Carlo Simulations from previous</w:t>
      </w:r>
      <w:r w:rsidR="000A1647" w:rsidRPr="00886C9E">
        <w:rPr>
          <w:rFonts w:ascii="Times" w:hAnsi="Times" w:cs="Times New Roman"/>
        </w:rPr>
        <w:t>ly</w:t>
      </w:r>
      <w:r w:rsidR="00D50402" w:rsidRPr="00886C9E">
        <w:rPr>
          <w:rFonts w:ascii="Times" w:hAnsi="Times" w:cs="Times New Roman"/>
        </w:rPr>
        <w:t xml:space="preserve"> developed population PK models in adult</w:t>
      </w:r>
      <w:r w:rsidR="007B7E99" w:rsidRPr="00886C9E">
        <w:rPr>
          <w:rFonts w:ascii="Times" w:hAnsi="Times" w:cs="Times New Roman"/>
        </w:rPr>
        <w:t>s</w:t>
      </w:r>
      <w:r w:rsidR="00D50402" w:rsidRPr="00886C9E">
        <w:rPr>
          <w:rFonts w:ascii="Times" w:hAnsi="Times" w:cs="Times New Roman"/>
        </w:rPr>
        <w:t xml:space="preserve"> and children were </w:t>
      </w:r>
      <w:r w:rsidR="00CE43EC" w:rsidRPr="00886C9E">
        <w:rPr>
          <w:rFonts w:ascii="Times" w:hAnsi="Times" w:cs="Times New Roman"/>
        </w:rPr>
        <w:t>conducted</w:t>
      </w:r>
      <w:r w:rsidR="00D50402" w:rsidRPr="00886C9E">
        <w:rPr>
          <w:rFonts w:ascii="Times" w:hAnsi="Times" w:cs="Times New Roman"/>
        </w:rPr>
        <w:t xml:space="preserve"> to explore the</w:t>
      </w:r>
      <w:r w:rsidR="00CD7AA0" w:rsidRPr="00886C9E">
        <w:rPr>
          <w:rFonts w:ascii="Times" w:hAnsi="Times" w:cs="Times New Roman"/>
        </w:rPr>
        <w:t xml:space="preserve"> PTA for</w:t>
      </w:r>
      <w:r w:rsidR="00D50402" w:rsidRPr="00886C9E">
        <w:rPr>
          <w:rFonts w:ascii="Times" w:hAnsi="Times" w:cs="Times New Roman"/>
        </w:rPr>
        <w:t xml:space="preserve"> </w:t>
      </w:r>
      <w:proofErr w:type="spellStart"/>
      <w:r w:rsidR="00D50402" w:rsidRPr="00886C9E">
        <w:rPr>
          <w:rFonts w:ascii="Times" w:hAnsi="Times" w:cs="Times New Roman"/>
        </w:rPr>
        <w:t>teicoplanin</w:t>
      </w:r>
      <w:proofErr w:type="spellEnd"/>
      <w:r w:rsidR="00D50402" w:rsidRPr="00886C9E">
        <w:rPr>
          <w:rFonts w:ascii="Times" w:hAnsi="Times" w:cs="Times New Roman"/>
        </w:rPr>
        <w:t xml:space="preserve"> dosage regimens</w:t>
      </w:r>
      <w:r w:rsidR="00A0562B" w:rsidRPr="00886C9E">
        <w:rPr>
          <w:rFonts w:ascii="Times" w:hAnsi="Times" w:cs="Times New Roman"/>
        </w:rPr>
        <w:t xml:space="preserve"> against current EUCAST wild-type</w:t>
      </w:r>
      <w:r w:rsidR="00A0562B" w:rsidRPr="00886C9E">
        <w:rPr>
          <w:rFonts w:ascii="Times" w:hAnsi="Times" w:cs="Times New Roman"/>
          <w:i/>
        </w:rPr>
        <w:t xml:space="preserve"> </w:t>
      </w:r>
      <w:r w:rsidR="00A0562B" w:rsidRPr="00886C9E">
        <w:rPr>
          <w:rFonts w:ascii="Times" w:hAnsi="Times" w:cs="Times New Roman"/>
        </w:rPr>
        <w:t>susceptibility range.</w:t>
      </w:r>
      <w:r w:rsidR="00D50402" w:rsidRPr="00886C9E">
        <w:rPr>
          <w:rFonts w:ascii="Times" w:hAnsi="Times" w:cs="Times New Roman"/>
        </w:rPr>
        <w:t xml:space="preserve"> </w:t>
      </w:r>
    </w:p>
    <w:p w14:paraId="23285A34" w14:textId="6F593633" w:rsidR="003674A7" w:rsidRPr="00886C9E" w:rsidRDefault="003674A7" w:rsidP="00516D42">
      <w:pPr>
        <w:spacing w:line="480" w:lineRule="auto"/>
        <w:jc w:val="both"/>
        <w:rPr>
          <w:rFonts w:ascii="Times" w:hAnsi="Times" w:cs="Times New Roman"/>
        </w:rPr>
      </w:pPr>
      <w:r w:rsidRPr="00886C9E">
        <w:rPr>
          <w:rFonts w:ascii="Times" w:hAnsi="Times" w:cs="Times New Roman"/>
        </w:rPr>
        <w:t>Results:</w:t>
      </w:r>
      <w:r w:rsidR="00C16DF2" w:rsidRPr="00886C9E">
        <w:rPr>
          <w:rFonts w:ascii="Times" w:hAnsi="Times" w:cs="Times New Roman"/>
        </w:rPr>
        <w:t xml:space="preserve"> There was a concentration</w:t>
      </w:r>
      <w:r w:rsidR="00CD7AA0" w:rsidRPr="00886C9E">
        <w:rPr>
          <w:rFonts w:ascii="Times" w:hAnsi="Times" w:cs="Times New Roman"/>
        </w:rPr>
        <w:t>-dependent</w:t>
      </w:r>
      <w:r w:rsidR="00C16DF2" w:rsidRPr="00886C9E">
        <w:rPr>
          <w:rFonts w:ascii="Times" w:hAnsi="Times" w:cs="Times New Roman"/>
        </w:rPr>
        <w:t xml:space="preserve"> activity of </w:t>
      </w:r>
      <w:proofErr w:type="spellStart"/>
      <w:r w:rsidR="00C16DF2" w:rsidRPr="00886C9E">
        <w:rPr>
          <w:rFonts w:ascii="Times" w:hAnsi="Times" w:cs="Times New Roman"/>
        </w:rPr>
        <w:t>teicoplanin</w:t>
      </w:r>
      <w:proofErr w:type="spellEnd"/>
      <w:r w:rsidR="00C16DF2" w:rsidRPr="00886C9E">
        <w:rPr>
          <w:rFonts w:ascii="Times" w:hAnsi="Times" w:cs="Times New Roman"/>
        </w:rPr>
        <w:t xml:space="preserve"> in both</w:t>
      </w:r>
      <w:r w:rsidR="00D50402" w:rsidRPr="00886C9E">
        <w:rPr>
          <w:rFonts w:ascii="Times" w:hAnsi="Times" w:cs="Times New Roman"/>
        </w:rPr>
        <w:t>,</w:t>
      </w:r>
      <w:r w:rsidR="00C16DF2" w:rsidRPr="00886C9E">
        <w:rPr>
          <w:rFonts w:ascii="Times" w:hAnsi="Times" w:cs="Times New Roman"/>
        </w:rPr>
        <w:t xml:space="preserve"> </w:t>
      </w:r>
      <w:r w:rsidR="00D50402" w:rsidRPr="00886C9E">
        <w:rPr>
          <w:rFonts w:ascii="Times" w:hAnsi="Times" w:cs="Times New Roman"/>
        </w:rPr>
        <w:t xml:space="preserve">the </w:t>
      </w:r>
      <w:r w:rsidR="00C16DF2" w:rsidRPr="00886C9E">
        <w:rPr>
          <w:rFonts w:ascii="Times" w:hAnsi="Times" w:cs="Times New Roman"/>
        </w:rPr>
        <w:t xml:space="preserve">in </w:t>
      </w:r>
      <w:r w:rsidR="00C16DF2" w:rsidRPr="00886C9E">
        <w:rPr>
          <w:rFonts w:ascii="Times" w:hAnsi="Times" w:cs="Times New Roman"/>
          <w:i/>
        </w:rPr>
        <w:t>vitro</w:t>
      </w:r>
      <w:r w:rsidR="00C16DF2" w:rsidRPr="00886C9E">
        <w:rPr>
          <w:rFonts w:ascii="Times" w:hAnsi="Times" w:cs="Times New Roman"/>
        </w:rPr>
        <w:t xml:space="preserve"> and </w:t>
      </w:r>
      <w:r w:rsidR="00C16DF2" w:rsidRPr="00886C9E">
        <w:rPr>
          <w:rFonts w:ascii="Times" w:hAnsi="Times" w:cs="Times New Roman"/>
          <w:i/>
        </w:rPr>
        <w:t>in vivo</w:t>
      </w:r>
      <w:r w:rsidR="00C16DF2" w:rsidRPr="00886C9E">
        <w:rPr>
          <w:rFonts w:ascii="Times" w:hAnsi="Times" w:cs="Times New Roman"/>
        </w:rPr>
        <w:t xml:space="preserve"> models. A total</w:t>
      </w:r>
      <w:r w:rsidR="005D3D19" w:rsidRPr="00886C9E">
        <w:rPr>
          <w:rFonts w:ascii="Times" w:hAnsi="Times" w:cs="Times New Roman"/>
        </w:rPr>
        <w:t xml:space="preserve"> </w:t>
      </w:r>
      <w:r w:rsidR="005D3D19" w:rsidRPr="00886C9E">
        <w:rPr>
          <w:rFonts w:ascii="Times" w:hAnsi="Times" w:cs="Times New Roman"/>
          <w:i/>
        </w:rPr>
        <w:t>in vivo</w:t>
      </w:r>
      <w:r w:rsidR="00C16DF2" w:rsidRPr="00886C9E">
        <w:rPr>
          <w:rFonts w:ascii="Times" w:hAnsi="Times" w:cs="Times New Roman"/>
        </w:rPr>
        <w:t xml:space="preserve"> AUC/MIC </w:t>
      </w:r>
      <w:r w:rsidR="00527770" w:rsidRPr="00886C9E">
        <w:rPr>
          <w:rFonts w:ascii="Times" w:hAnsi="Times" w:cs="Times New Roman"/>
        </w:rPr>
        <w:t>of</w:t>
      </w:r>
      <w:r w:rsidR="00C16DF2" w:rsidRPr="00886C9E">
        <w:rPr>
          <w:rFonts w:ascii="Times" w:hAnsi="Times" w:cs="Times New Roman"/>
        </w:rPr>
        <w:t xml:space="preserve"> </w:t>
      </w:r>
      <w:r w:rsidR="00527770" w:rsidRPr="00886C9E">
        <w:rPr>
          <w:rFonts w:ascii="Times" w:hAnsi="Times" w:cs="Times New Roman"/>
        </w:rPr>
        <w:t>610.4</w:t>
      </w:r>
      <w:r w:rsidR="00C16DF2" w:rsidRPr="00886C9E">
        <w:rPr>
          <w:rFonts w:ascii="Times" w:hAnsi="Times" w:cs="Times New Roman"/>
        </w:rPr>
        <w:t xml:space="preserve"> </w:t>
      </w:r>
      <w:r w:rsidR="00527770" w:rsidRPr="00886C9E">
        <w:rPr>
          <w:rFonts w:ascii="Times" w:hAnsi="Times" w:cs="Times New Roman"/>
        </w:rPr>
        <w:t xml:space="preserve">(total exposure </w:t>
      </w:r>
      <w:r w:rsidR="00CD7AA0" w:rsidRPr="00886C9E">
        <w:rPr>
          <w:rFonts w:ascii="Times" w:hAnsi="Times" w:cs="Times New Roman"/>
        </w:rPr>
        <w:t>o</w:t>
      </w:r>
      <w:r w:rsidR="00527770" w:rsidRPr="00886C9E">
        <w:rPr>
          <w:rFonts w:ascii="Times" w:hAnsi="Times" w:cs="Times New Roman"/>
        </w:rPr>
        <w:t xml:space="preserve">f 305.2 </w:t>
      </w:r>
      <w:r w:rsidR="00C16DF2" w:rsidRPr="00886C9E">
        <w:rPr>
          <w:rFonts w:ascii="Times" w:hAnsi="Times" w:cs="Times New Roman"/>
        </w:rPr>
        <w:t>mg*h/L</w:t>
      </w:r>
      <w:r w:rsidR="00527770" w:rsidRPr="00886C9E">
        <w:rPr>
          <w:rFonts w:ascii="Times" w:hAnsi="Times" w:cs="Times New Roman"/>
        </w:rPr>
        <w:t>)</w:t>
      </w:r>
      <w:r w:rsidR="00C16DF2" w:rsidRPr="00886C9E">
        <w:rPr>
          <w:rFonts w:ascii="Times" w:hAnsi="Times" w:cs="Times New Roman"/>
        </w:rPr>
        <w:t xml:space="preserve"> for a</w:t>
      </w:r>
      <w:r w:rsidR="000A1647" w:rsidRPr="00886C9E">
        <w:rPr>
          <w:rFonts w:ascii="Times" w:hAnsi="Times" w:cs="Times New Roman"/>
        </w:rPr>
        <w:t>n MRSA strain with an</w:t>
      </w:r>
      <w:r w:rsidR="00C16DF2" w:rsidRPr="00886C9E">
        <w:rPr>
          <w:rFonts w:ascii="Times" w:hAnsi="Times" w:cs="Times New Roman"/>
        </w:rPr>
        <w:t xml:space="preserve"> MIC of </w:t>
      </w:r>
      <w:r w:rsidR="00527770" w:rsidRPr="00886C9E">
        <w:rPr>
          <w:rFonts w:ascii="Times" w:hAnsi="Times" w:cs="Times New Roman"/>
        </w:rPr>
        <w:t>0.5</w:t>
      </w:r>
      <w:r w:rsidR="00C16DF2" w:rsidRPr="00886C9E">
        <w:rPr>
          <w:rFonts w:ascii="Times" w:hAnsi="Times" w:cs="Times New Roman"/>
        </w:rPr>
        <w:t xml:space="preserve"> mg/L</w:t>
      </w:r>
      <w:r w:rsidR="008B2CA5" w:rsidRPr="00886C9E">
        <w:rPr>
          <w:rFonts w:ascii="Times" w:hAnsi="Times" w:cs="Times New Roman"/>
        </w:rPr>
        <w:t xml:space="preserve"> </w:t>
      </w:r>
      <w:r w:rsidR="007B7E99" w:rsidRPr="00886C9E">
        <w:rPr>
          <w:rFonts w:ascii="Times" w:hAnsi="Times" w:cs="Times New Roman"/>
        </w:rPr>
        <w:t xml:space="preserve">was needed for </w:t>
      </w:r>
      <w:r w:rsidR="00C16DF2" w:rsidRPr="00886C9E">
        <w:rPr>
          <w:rFonts w:ascii="Times" w:hAnsi="Times" w:cs="Times New Roman"/>
        </w:rPr>
        <w:t>efficacy</w:t>
      </w:r>
      <w:r w:rsidR="00527770" w:rsidRPr="00886C9E">
        <w:rPr>
          <w:rFonts w:ascii="Times" w:hAnsi="Times" w:cs="Times New Roman"/>
        </w:rPr>
        <w:t xml:space="preserve"> (2 log</w:t>
      </w:r>
      <w:r w:rsidR="00527770" w:rsidRPr="00886C9E">
        <w:rPr>
          <w:rFonts w:ascii="Times" w:hAnsi="Times" w:cs="Times New Roman"/>
          <w:vertAlign w:val="subscript"/>
        </w:rPr>
        <w:t xml:space="preserve">10 </w:t>
      </w:r>
      <w:r w:rsidR="00527770" w:rsidRPr="00886C9E">
        <w:rPr>
          <w:rFonts w:ascii="Times" w:hAnsi="Times" w:cs="Times New Roman"/>
        </w:rPr>
        <w:t>cell kill)</w:t>
      </w:r>
      <w:r w:rsidR="00C16DF2" w:rsidRPr="00886C9E">
        <w:rPr>
          <w:rFonts w:ascii="Times" w:hAnsi="Times" w:cs="Times New Roman"/>
        </w:rPr>
        <w:t xml:space="preserve"> against a total bacterial population. </w:t>
      </w:r>
      <w:r w:rsidR="00CD7AA0" w:rsidRPr="00886C9E">
        <w:rPr>
          <w:rFonts w:ascii="Times" w:hAnsi="Times" w:cs="Times New Roman"/>
        </w:rPr>
        <w:t xml:space="preserve">A total </w:t>
      </w:r>
      <w:r w:rsidR="00527770" w:rsidRPr="00886C9E">
        <w:rPr>
          <w:rFonts w:ascii="Times" w:hAnsi="Times" w:cs="Times New Roman"/>
        </w:rPr>
        <w:t>AUC/MIC</w:t>
      </w:r>
      <w:r w:rsidR="00CD7AA0" w:rsidRPr="00886C9E">
        <w:rPr>
          <w:rFonts w:ascii="Times" w:hAnsi="Times" w:cs="Times New Roman"/>
        </w:rPr>
        <w:t xml:space="preserve"> ratio</w:t>
      </w:r>
      <w:r w:rsidR="00527770" w:rsidRPr="00886C9E">
        <w:rPr>
          <w:rFonts w:ascii="Times" w:hAnsi="Times" w:cs="Times New Roman"/>
        </w:rPr>
        <w:t xml:space="preserve"> of </w:t>
      </w:r>
      <w:r w:rsidR="00527770" w:rsidRPr="00886C9E">
        <w:rPr>
          <w:rFonts w:ascii="Times" w:hAnsi="Times" w:cs="Times New Roman"/>
        </w:rPr>
        <w:sym w:font="Symbol" w:char="F07E"/>
      </w:r>
      <w:r w:rsidR="00527770" w:rsidRPr="00886C9E">
        <w:rPr>
          <w:rFonts w:ascii="Times" w:hAnsi="Times" w:cs="Times New Roman"/>
        </w:rPr>
        <w:t xml:space="preserve"> 1500 (total exposure of </w:t>
      </w:r>
      <w:r w:rsidR="00527770" w:rsidRPr="00886C9E">
        <w:rPr>
          <w:rFonts w:ascii="Times" w:hAnsi="Times" w:cs="Times New Roman"/>
        </w:rPr>
        <w:sym w:font="Symbol" w:char="F07E"/>
      </w:r>
      <w:r w:rsidR="00527770" w:rsidRPr="00886C9E">
        <w:rPr>
          <w:rFonts w:ascii="Times" w:hAnsi="Times" w:cs="Times New Roman"/>
        </w:rPr>
        <w:t xml:space="preserve"> 750 mg*h/L)</w:t>
      </w:r>
      <w:r w:rsidR="005D3D19" w:rsidRPr="00886C9E">
        <w:rPr>
          <w:rFonts w:ascii="Times" w:hAnsi="Times" w:cs="Times New Roman"/>
        </w:rPr>
        <w:t xml:space="preserve"> w</w:t>
      </w:r>
      <w:r w:rsidR="00CD7AA0" w:rsidRPr="00886C9E">
        <w:rPr>
          <w:rFonts w:ascii="Times" w:hAnsi="Times" w:cs="Times New Roman"/>
        </w:rPr>
        <w:t>as</w:t>
      </w:r>
      <w:r w:rsidR="005D3D19" w:rsidRPr="00886C9E">
        <w:rPr>
          <w:rFonts w:ascii="Times" w:hAnsi="Times" w:cs="Times New Roman"/>
        </w:rPr>
        <w:t xml:space="preserve"> needed to suppress</w:t>
      </w:r>
      <w:r w:rsidR="00CD7AA0" w:rsidRPr="00886C9E">
        <w:rPr>
          <w:rFonts w:ascii="Times" w:hAnsi="Times" w:cs="Times New Roman"/>
        </w:rPr>
        <w:t xml:space="preserve"> the</w:t>
      </w:r>
      <w:r w:rsidR="005D3D19" w:rsidRPr="00886C9E">
        <w:rPr>
          <w:rFonts w:ascii="Times" w:hAnsi="Times" w:cs="Times New Roman"/>
        </w:rPr>
        <w:t xml:space="preserve"> emergence of resistance.</w:t>
      </w:r>
      <w:r w:rsidR="00CE43EC" w:rsidRPr="00886C9E">
        <w:rPr>
          <w:rFonts w:ascii="Times" w:hAnsi="Times" w:cs="Times New Roman"/>
        </w:rPr>
        <w:t xml:space="preserve"> The PTA analyses showed that adult and paediatric patients receiving a standard regimen were only successfully treated for the </w:t>
      </w:r>
      <w:r w:rsidR="00CE43EC" w:rsidRPr="00886C9E">
        <w:rPr>
          <w:rFonts w:ascii="Times" w:hAnsi="Times" w:cs="Times New Roman"/>
          <w:i/>
        </w:rPr>
        <w:t>in vivo</w:t>
      </w:r>
      <w:r w:rsidR="00CE43EC" w:rsidRPr="00886C9E">
        <w:rPr>
          <w:rFonts w:ascii="Times" w:hAnsi="Times" w:cs="Times New Roman"/>
        </w:rPr>
        <w:t xml:space="preserve"> bactericidal target if the MIC of the strain was </w:t>
      </w:r>
      <w:r w:rsidR="00CE43EC" w:rsidRPr="00886C9E">
        <w:rPr>
          <w:rFonts w:ascii="Times" w:hAnsi="Times" w:cs="Times New Roman"/>
        </w:rPr>
        <w:sym w:font="Symbol" w:char="F0A3"/>
      </w:r>
      <w:r w:rsidR="00CE43EC" w:rsidRPr="00886C9E">
        <w:rPr>
          <w:rFonts w:ascii="Times" w:hAnsi="Times" w:cs="Times New Roman"/>
        </w:rPr>
        <w:t xml:space="preserve"> 0.125 mg/L in adults and </w:t>
      </w:r>
      <w:r w:rsidR="00CE43EC" w:rsidRPr="00886C9E">
        <w:rPr>
          <w:rFonts w:ascii="Times" w:hAnsi="Times" w:cs="Times New Roman"/>
        </w:rPr>
        <w:sym w:font="Symbol" w:char="F0A3"/>
      </w:r>
      <w:r w:rsidR="00CE43EC" w:rsidRPr="00886C9E">
        <w:rPr>
          <w:rFonts w:ascii="Times" w:hAnsi="Times" w:cs="Times New Roman"/>
        </w:rPr>
        <w:t xml:space="preserve"> 0.064 in children.</w:t>
      </w:r>
      <w:r w:rsidR="005D3D19" w:rsidRPr="00886C9E">
        <w:rPr>
          <w:rFonts w:ascii="Times" w:hAnsi="Times" w:cs="Times New Roman"/>
        </w:rPr>
        <w:t xml:space="preserve"> </w:t>
      </w:r>
    </w:p>
    <w:p w14:paraId="6B18BEB9" w14:textId="4B3C1A74" w:rsidR="005A0A63" w:rsidRPr="00886C9E" w:rsidRDefault="003674A7" w:rsidP="00516D42">
      <w:pPr>
        <w:spacing w:line="480" w:lineRule="auto"/>
        <w:jc w:val="both"/>
        <w:rPr>
          <w:rFonts w:ascii="Times" w:hAnsi="Times" w:cs="Times New Roman"/>
        </w:rPr>
      </w:pPr>
      <w:r w:rsidRPr="00886C9E">
        <w:rPr>
          <w:rFonts w:ascii="Times" w:hAnsi="Times" w:cs="Times New Roman"/>
        </w:rPr>
        <w:t>Conclusions:</w:t>
      </w:r>
      <w:r w:rsidR="00C16DF2" w:rsidRPr="00886C9E">
        <w:rPr>
          <w:rFonts w:ascii="Times" w:hAnsi="Times" w:cs="Times New Roman"/>
        </w:rPr>
        <w:t xml:space="preserve"> This study improves our understanding on </w:t>
      </w:r>
      <w:proofErr w:type="spellStart"/>
      <w:r w:rsidR="00C16DF2" w:rsidRPr="00886C9E">
        <w:rPr>
          <w:rFonts w:ascii="Times" w:hAnsi="Times" w:cs="Times New Roman"/>
        </w:rPr>
        <w:t>teicoplanin</w:t>
      </w:r>
      <w:proofErr w:type="spellEnd"/>
      <w:r w:rsidR="00C16DF2" w:rsidRPr="00886C9E">
        <w:rPr>
          <w:rFonts w:ascii="Times" w:hAnsi="Times" w:cs="Times New Roman"/>
        </w:rPr>
        <w:t xml:space="preserve"> pharmacodynamics against MRSA and defines an</w:t>
      </w:r>
      <w:r w:rsidR="006B0E4D" w:rsidRPr="00886C9E">
        <w:rPr>
          <w:rFonts w:ascii="Times" w:hAnsi="Times" w:cs="Times New Roman"/>
        </w:rPr>
        <w:t xml:space="preserve"> </w:t>
      </w:r>
      <w:r w:rsidR="006B0E4D" w:rsidRPr="00886C9E">
        <w:rPr>
          <w:rFonts w:ascii="Times" w:hAnsi="Times" w:cs="Times New Roman"/>
          <w:i/>
        </w:rPr>
        <w:t>in vivo</w:t>
      </w:r>
      <w:r w:rsidR="00C16DF2" w:rsidRPr="00886C9E">
        <w:rPr>
          <w:rFonts w:ascii="Times" w:hAnsi="Times" w:cs="Times New Roman"/>
        </w:rPr>
        <w:t xml:space="preserve"> AUC/MIC target for efficacy and suppression of resistance. Additional studies are needed to</w:t>
      </w:r>
      <w:r w:rsidR="00221B8C" w:rsidRPr="00886C9E">
        <w:rPr>
          <w:rFonts w:ascii="Times" w:hAnsi="Times" w:cs="Times New Roman"/>
        </w:rPr>
        <w:t xml:space="preserve"> further corroborate the </w:t>
      </w:r>
      <w:r w:rsidR="00C16DF2" w:rsidRPr="00886C9E">
        <w:rPr>
          <w:rFonts w:ascii="Times" w:hAnsi="Times" w:cs="Times New Roman"/>
        </w:rPr>
        <w:t>PK-PD index in a variety of i</w:t>
      </w:r>
      <w:r w:rsidR="00221B8C" w:rsidRPr="00886C9E">
        <w:rPr>
          <w:rFonts w:ascii="Times" w:hAnsi="Times" w:cs="Times New Roman"/>
        </w:rPr>
        <w:t>nfection models and in patients.</w:t>
      </w:r>
    </w:p>
    <w:p w14:paraId="78DAB787" w14:textId="77777777" w:rsidR="00023ED4" w:rsidRPr="00886C9E" w:rsidRDefault="00023ED4">
      <w:pPr>
        <w:spacing w:line="480" w:lineRule="auto"/>
        <w:jc w:val="both"/>
        <w:rPr>
          <w:rFonts w:ascii="Times" w:hAnsi="Times" w:cs="Times New Roman"/>
        </w:rPr>
        <w:sectPr w:rsidR="00023ED4" w:rsidRPr="00886C9E" w:rsidSect="001105B2">
          <w:pgSz w:w="11900" w:h="16840"/>
          <w:pgMar w:top="1417" w:right="1701" w:bottom="1417" w:left="1701" w:header="708" w:footer="708" w:gutter="0"/>
          <w:lnNumType w:countBy="1" w:restart="continuous"/>
          <w:cols w:space="708"/>
          <w:docGrid w:linePitch="360"/>
        </w:sectPr>
      </w:pPr>
    </w:p>
    <w:p w14:paraId="24B40B21" w14:textId="77777777" w:rsidR="005A0A63" w:rsidRPr="00886C9E" w:rsidRDefault="005A0A63" w:rsidP="004554E5">
      <w:pPr>
        <w:spacing w:line="480" w:lineRule="auto"/>
        <w:jc w:val="both"/>
        <w:rPr>
          <w:rFonts w:ascii="Times" w:hAnsi="Times" w:cs="Times New Roman"/>
        </w:rPr>
      </w:pPr>
      <w:r w:rsidRPr="00886C9E">
        <w:rPr>
          <w:rFonts w:ascii="Times" w:hAnsi="Times" w:cs="Times New Roman"/>
        </w:rPr>
        <w:lastRenderedPageBreak/>
        <w:t>INTRODUCTION</w:t>
      </w:r>
    </w:p>
    <w:p w14:paraId="316273CE" w14:textId="05F083E8" w:rsidR="00CC2937" w:rsidRPr="00886C9E" w:rsidRDefault="00913BB9" w:rsidP="004554E5">
      <w:pPr>
        <w:spacing w:line="480" w:lineRule="auto"/>
        <w:ind w:firstLine="708"/>
        <w:jc w:val="both"/>
        <w:rPr>
          <w:rFonts w:ascii="Times" w:hAnsi="Times" w:cs="Times New Roman"/>
        </w:rPr>
      </w:pPr>
      <w:proofErr w:type="spellStart"/>
      <w:r w:rsidRPr="00886C9E">
        <w:rPr>
          <w:rFonts w:ascii="Times" w:hAnsi="Times" w:cs="Times New Roman"/>
        </w:rPr>
        <w:t>Teicoplanin</w:t>
      </w:r>
      <w:proofErr w:type="spellEnd"/>
      <w:r w:rsidRPr="00886C9E">
        <w:rPr>
          <w:rFonts w:ascii="Times" w:hAnsi="Times" w:cs="Times New Roman"/>
        </w:rPr>
        <w:t xml:space="preserve"> is a </w:t>
      </w:r>
      <w:proofErr w:type="spellStart"/>
      <w:r w:rsidRPr="00886C9E">
        <w:rPr>
          <w:rFonts w:ascii="Times" w:hAnsi="Times" w:cs="Times New Roman"/>
        </w:rPr>
        <w:t>glycopeptide</w:t>
      </w:r>
      <w:proofErr w:type="spellEnd"/>
      <w:r w:rsidRPr="00886C9E">
        <w:rPr>
          <w:rFonts w:ascii="Times" w:hAnsi="Times" w:cs="Times New Roman"/>
        </w:rPr>
        <w:t xml:space="preserve"> </w:t>
      </w:r>
      <w:r w:rsidR="009439BE" w:rsidRPr="00886C9E">
        <w:rPr>
          <w:rFonts w:ascii="Times" w:hAnsi="Times" w:cs="Times New Roman"/>
        </w:rPr>
        <w:t xml:space="preserve">with a similar spectrum of </w:t>
      </w:r>
      <w:r w:rsidR="005707B3" w:rsidRPr="00886C9E">
        <w:rPr>
          <w:rFonts w:ascii="Times" w:hAnsi="Times" w:cs="Times New Roman"/>
        </w:rPr>
        <w:t xml:space="preserve">antibacterial </w:t>
      </w:r>
      <w:r w:rsidR="009439BE" w:rsidRPr="00886C9E">
        <w:rPr>
          <w:rFonts w:ascii="Times" w:hAnsi="Times" w:cs="Times New Roman"/>
        </w:rPr>
        <w:t>activity to vancomycin</w:t>
      </w:r>
      <w:r w:rsidR="00D94B57" w:rsidRPr="00886C9E">
        <w:rPr>
          <w:rFonts w:ascii="Times" w:hAnsi="Times" w:cs="Times New Roman"/>
        </w:rPr>
        <w:t>.</w:t>
      </w:r>
      <w:r w:rsidR="005D3D19" w:rsidRPr="00886C9E">
        <w:rPr>
          <w:rFonts w:ascii="Times" w:hAnsi="Times" w:cs="Times New Roman"/>
        </w:rPr>
        <w:fldChar w:fldCharType="begin" w:fldLock="1"/>
      </w:r>
      <w:r w:rsidR="00912D14" w:rsidRPr="00886C9E">
        <w:rPr>
          <w:rFonts w:ascii="Times" w:hAnsi="Times" w:cs="Times New Roman"/>
        </w:rPr>
        <w:instrText>ADDIN CSL_CITATION { "citationItems" : [ { "id" : "ITEM-1", "itemData" : { "URL" : "http://www.medicines.org.uk/emc/medicine/27319/SPC", "accessed" : { "date-parts" : [ [ "2016", "1", "19" ] ] }, "author" : [ { "dropping-particle" : "", "family" : "The Electronic Medicines Compendium", "given" : "", "non-dropping-particle" : "", "parse-names" : false, "suffix" : "" } ], "id" : "ITEM-1", "issued" : { "date-parts" : [ [ "2014" ] ] }, "title" : "Targocid 200mg - Summary of Product Characteristics (SPC) - (eMC)", "type" : "webpage" }, "uris" : [ "http://www.mendeley.com/documents/?uuid=c87de902-3ab2-487e-b975-f602ec9b9712" ] }, { "id" : "ITEM-2", "itemData" : { "DOI" : "10.1002/14651858.CD007022", "ISBN" : "1469-493X (Electronic)\\n1361-6137 (Linking)", "ISSN" : "1469493X", "PMID" : "20556772", "abstract" : "Vancomycin and teicoplanin are commonly used to treat gram-positive infections, particularly those caused by methicillin-resistant Staphylococcus aureus (MRSA). There is uncertainty regarding the effects of teicoplanin compared to vancomycin on kidney function with some previous studies suggesting teicoplanin is less nephrotoxic than vancomycin.", "author" : [ { "dropping-particle" : "", "family" : "Cavalcanti", "given" : "Alexandre B.", "non-dropping-particle" : "", "parse-names" : false, "suffix" : "" }, { "dropping-particle" : "", "family" : "Goncalves", "given" : "a. R.", "non-dropping-particle" : "", "parse-names" : false, "suffix" : "" }, { "dropping-particle" : "", "family" : "Almeida", "given" : "C. S.", "non-dropping-particle" : "", "parse-names" : false, "suffix" : "" }, { "dropping-particle" : "", "family" : "Gomes", "given" : "D. B.", "non-dropping-particle" : "", "parse-names" : false, "suffix" : "" }, { "dropping-particle" : "", "family" : "Silva", "given" : "E.", "non-dropping-particle" : "", "parse-names" : false, "suffix" : "" } ], "container-title" : "Cochrane Database of Systematic Reviews", "id" : "ITEM-2", "issue" : "6", "issued" : { "date-parts" : [ [ "2010" ] ] }, "note" : "NULL", "title" : "Teicoplanin versus vancomycin for proven or suspected infection", "type" : "article-journal" }, "uris" : [ "http://www.mendeley.com/documents/?uuid=b355dce7-ea36-4f72-982c-172b05ab3e55" ] } ], "mendeley" : { "formattedCitation" : "&lt;sup&gt;1,2&lt;/sup&gt;", "plainTextFormattedCitation" : "1,2", "previouslyFormattedCitation" : "&lt;sup&gt;1,2&lt;/sup&gt;" }, "properties" : { "noteIndex" : 0 }, "schema" : "https://github.com/citation-style-language/schema/raw/master/csl-citation.json" }</w:instrText>
      </w:r>
      <w:r w:rsidR="005D3D19" w:rsidRPr="00886C9E">
        <w:rPr>
          <w:rFonts w:ascii="Times" w:hAnsi="Times" w:cs="Times New Roman"/>
        </w:rPr>
        <w:fldChar w:fldCharType="separate"/>
      </w:r>
      <w:r w:rsidR="005D3D19" w:rsidRPr="00886C9E">
        <w:rPr>
          <w:rFonts w:ascii="Times" w:hAnsi="Times" w:cs="Times New Roman"/>
          <w:noProof/>
          <w:vertAlign w:val="superscript"/>
        </w:rPr>
        <w:t>1,2</w:t>
      </w:r>
      <w:r w:rsidR="005D3D19" w:rsidRPr="00886C9E">
        <w:rPr>
          <w:rFonts w:ascii="Times" w:hAnsi="Times" w:cs="Times New Roman"/>
        </w:rPr>
        <w:fldChar w:fldCharType="end"/>
      </w:r>
      <w:r w:rsidR="009439BE" w:rsidRPr="00886C9E">
        <w:rPr>
          <w:rFonts w:ascii="Times" w:hAnsi="Times" w:cs="Times New Roman"/>
        </w:rPr>
        <w:t xml:space="preserve"> </w:t>
      </w:r>
      <w:proofErr w:type="spellStart"/>
      <w:r w:rsidR="00645CFB" w:rsidRPr="00886C9E">
        <w:rPr>
          <w:rFonts w:ascii="Times" w:hAnsi="Times" w:cs="Times New Roman"/>
        </w:rPr>
        <w:t>Teicoplanin</w:t>
      </w:r>
      <w:proofErr w:type="spellEnd"/>
      <w:r w:rsidR="00645CFB" w:rsidRPr="00886C9E">
        <w:rPr>
          <w:rFonts w:ascii="Times" w:hAnsi="Times" w:cs="Times New Roman"/>
        </w:rPr>
        <w:t xml:space="preserve"> is licensed in the EU and other countries for the treatment</w:t>
      </w:r>
      <w:r w:rsidR="009439BE" w:rsidRPr="00886C9E">
        <w:rPr>
          <w:rFonts w:ascii="Times" w:hAnsi="Times" w:cs="Times New Roman"/>
          <w:lang w:val="en-US"/>
        </w:rPr>
        <w:t xml:space="preserve"> of moderate</w:t>
      </w:r>
      <w:r w:rsidR="00645CFB" w:rsidRPr="00886C9E">
        <w:rPr>
          <w:rFonts w:ascii="Times" w:hAnsi="Times" w:cs="Times New Roman"/>
          <w:lang w:val="en-US"/>
        </w:rPr>
        <w:t>-</w:t>
      </w:r>
      <w:r w:rsidR="009439BE" w:rsidRPr="00886C9E">
        <w:rPr>
          <w:rFonts w:ascii="Times" w:hAnsi="Times" w:cs="Times New Roman"/>
          <w:lang w:val="en-US"/>
        </w:rPr>
        <w:t>to</w:t>
      </w:r>
      <w:r w:rsidR="00645CFB" w:rsidRPr="00886C9E">
        <w:rPr>
          <w:rFonts w:ascii="Times" w:hAnsi="Times" w:cs="Times New Roman"/>
          <w:lang w:val="en-US"/>
        </w:rPr>
        <w:t>-</w:t>
      </w:r>
      <w:r w:rsidR="009439BE" w:rsidRPr="00886C9E">
        <w:rPr>
          <w:rFonts w:ascii="Times" w:hAnsi="Times" w:cs="Times New Roman"/>
          <w:lang w:val="en-US"/>
        </w:rPr>
        <w:t>severe</w:t>
      </w:r>
      <w:r w:rsidR="00897399" w:rsidRPr="00886C9E">
        <w:rPr>
          <w:rFonts w:ascii="Times" w:hAnsi="Times" w:cs="Times New Roman"/>
          <w:lang w:val="en-US"/>
        </w:rPr>
        <w:t xml:space="preserve"> methicillin-resistant</w:t>
      </w:r>
      <w:r w:rsidR="009439BE" w:rsidRPr="00886C9E">
        <w:rPr>
          <w:rFonts w:ascii="Times" w:hAnsi="Times" w:cs="Times New Roman"/>
          <w:lang w:val="en-US"/>
        </w:rPr>
        <w:t xml:space="preserve"> Gram-positive infections</w:t>
      </w:r>
      <w:r w:rsidR="00676FA4" w:rsidRPr="00886C9E">
        <w:rPr>
          <w:rFonts w:ascii="Times" w:hAnsi="Times" w:cs="Times New Roman"/>
        </w:rPr>
        <w:t xml:space="preserve"> </w:t>
      </w:r>
      <w:r w:rsidR="007035B5" w:rsidRPr="00886C9E">
        <w:rPr>
          <w:rFonts w:ascii="Times" w:hAnsi="Times" w:cs="Times New Roman"/>
        </w:rPr>
        <w:t>in children and adults</w:t>
      </w:r>
      <w:r w:rsidR="00B55522" w:rsidRPr="00886C9E">
        <w:rPr>
          <w:rFonts w:ascii="Times" w:hAnsi="Times" w:cs="Times New Roman"/>
        </w:rPr>
        <w:t>.</w:t>
      </w:r>
      <w:r w:rsidR="00D85CCF" w:rsidRPr="00886C9E">
        <w:rPr>
          <w:rFonts w:ascii="Times" w:hAnsi="Times" w:cs="Times New Roman"/>
        </w:rPr>
        <w:fldChar w:fldCharType="begin" w:fldLock="1"/>
      </w:r>
      <w:r w:rsidR="00912D14" w:rsidRPr="00886C9E">
        <w:rPr>
          <w:rFonts w:ascii="Times" w:hAnsi="Times" w:cs="Times New Roman"/>
        </w:rPr>
        <w:instrText>ADDIN CSL_CITATION { "citationItems" : [ { "id" : "ITEM-1", "itemData" : { "URL" : "http://www.medicines.org.uk/emc/medicine/27319/SPC", "accessed" : { "date-parts" : [ [ "2016", "1", "19" ] ] }, "author" : [ { "dropping-particle" : "", "family" : "The Electronic Medicines Compendium", "given" : "", "non-dropping-particle" : "", "parse-names" : false, "suffix" : "" } ], "id" : "ITEM-1", "issued" : { "date-parts" : [ [ "2014" ] ] }, "title" : "Targocid 200mg - Summary of Product Characteristics (SPC) - (eMC)", "type" : "webpage" }, "uris" : [ "http://www.mendeley.com/documents/?uuid=c87de902-3ab2-487e-b975-f602ec9b9712" ] } ], "mendeley" : { "formattedCitation" : "&lt;sup&gt;1&lt;/sup&gt;", "plainTextFormattedCitation" : "1", "previouslyFormattedCitation" : "&lt;sup&gt;1&lt;/sup&gt;" }, "properties" : { "noteIndex" : 0 }, "schema" : "https://github.com/citation-style-language/schema/raw/master/csl-citation.json" }</w:instrText>
      </w:r>
      <w:r w:rsidR="00D85CCF" w:rsidRPr="00886C9E">
        <w:rPr>
          <w:rFonts w:ascii="Times" w:hAnsi="Times" w:cs="Times New Roman"/>
        </w:rPr>
        <w:fldChar w:fldCharType="separate"/>
      </w:r>
      <w:r w:rsidR="00D85CCF" w:rsidRPr="00886C9E">
        <w:rPr>
          <w:rFonts w:ascii="Times" w:hAnsi="Times" w:cs="Times New Roman"/>
          <w:noProof/>
          <w:vertAlign w:val="superscript"/>
        </w:rPr>
        <w:t>1</w:t>
      </w:r>
      <w:r w:rsidR="00D85CCF" w:rsidRPr="00886C9E">
        <w:rPr>
          <w:rFonts w:ascii="Times" w:hAnsi="Times" w:cs="Times New Roman"/>
        </w:rPr>
        <w:fldChar w:fldCharType="end"/>
      </w:r>
      <w:r w:rsidRPr="00886C9E">
        <w:rPr>
          <w:rFonts w:ascii="Times" w:hAnsi="Times" w:cs="Times New Roman"/>
        </w:rPr>
        <w:t xml:space="preserve"> </w:t>
      </w:r>
      <w:proofErr w:type="spellStart"/>
      <w:r w:rsidR="00645CFB" w:rsidRPr="00886C9E">
        <w:rPr>
          <w:rFonts w:ascii="Times" w:hAnsi="Times" w:cs="Times New Roman"/>
        </w:rPr>
        <w:t>Teicoplanin</w:t>
      </w:r>
      <w:proofErr w:type="spellEnd"/>
      <w:r w:rsidR="00645CFB" w:rsidRPr="00886C9E">
        <w:rPr>
          <w:rFonts w:ascii="Times" w:hAnsi="Times" w:cs="Times New Roman"/>
        </w:rPr>
        <w:t xml:space="preserve"> was developed</w:t>
      </w:r>
      <w:r w:rsidR="003D5541" w:rsidRPr="00886C9E">
        <w:rPr>
          <w:rFonts w:ascii="Times" w:hAnsi="Times" w:cs="Times New Roman"/>
        </w:rPr>
        <w:t xml:space="preserve"> before contemporary PK-PD </w:t>
      </w:r>
      <w:r w:rsidR="002753FD" w:rsidRPr="00886C9E">
        <w:rPr>
          <w:rFonts w:ascii="Times" w:hAnsi="Times" w:cs="Times New Roman"/>
        </w:rPr>
        <w:t xml:space="preserve">techniques </w:t>
      </w:r>
      <w:r w:rsidR="00645CFB" w:rsidRPr="00886C9E">
        <w:rPr>
          <w:rFonts w:ascii="Times" w:hAnsi="Times" w:cs="Times New Roman"/>
        </w:rPr>
        <w:t xml:space="preserve">and </w:t>
      </w:r>
      <w:r w:rsidR="003D5541" w:rsidRPr="00886C9E">
        <w:rPr>
          <w:rFonts w:ascii="Times" w:hAnsi="Times" w:cs="Times New Roman"/>
          <w:lang w:val="en-US"/>
        </w:rPr>
        <w:t xml:space="preserve">there is </w:t>
      </w:r>
      <w:r w:rsidR="00645CFB" w:rsidRPr="00886C9E">
        <w:rPr>
          <w:rFonts w:ascii="Times" w:hAnsi="Times" w:cs="Times New Roman"/>
          <w:lang w:val="en-US"/>
        </w:rPr>
        <w:t>little</w:t>
      </w:r>
      <w:r w:rsidR="003D5541" w:rsidRPr="00886C9E">
        <w:rPr>
          <w:rFonts w:ascii="Times" w:hAnsi="Times" w:cs="Times New Roman"/>
          <w:lang w:val="en-US"/>
        </w:rPr>
        <w:t xml:space="preserve"> pharmacodynamic information</w:t>
      </w:r>
      <w:r w:rsidR="002753FD" w:rsidRPr="00886C9E">
        <w:rPr>
          <w:rFonts w:ascii="Times" w:hAnsi="Times" w:cs="Times New Roman"/>
          <w:lang w:val="en-US"/>
        </w:rPr>
        <w:t xml:space="preserve"> that provides a rationale for the optimal use of this agent</w:t>
      </w:r>
      <w:r w:rsidR="00CC2937" w:rsidRPr="00886C9E">
        <w:rPr>
          <w:rFonts w:ascii="Times" w:hAnsi="Times" w:cs="Times New Roman"/>
          <w:lang w:val="en-US"/>
        </w:rPr>
        <w:t>.</w:t>
      </w:r>
      <w:r w:rsidR="00CC2937" w:rsidRPr="00886C9E">
        <w:rPr>
          <w:rFonts w:ascii="Times" w:hAnsi="Times" w:cs="Times New Roman"/>
        </w:rPr>
        <w:t xml:space="preserve"> </w:t>
      </w:r>
    </w:p>
    <w:p w14:paraId="4BB49413" w14:textId="11CBE84C" w:rsidR="00676FA4" w:rsidRPr="00886C9E" w:rsidRDefault="002753FD" w:rsidP="004554E5">
      <w:pPr>
        <w:spacing w:line="480" w:lineRule="auto"/>
        <w:ind w:firstLine="708"/>
        <w:jc w:val="both"/>
        <w:rPr>
          <w:rFonts w:ascii="Times" w:hAnsi="Times" w:cs="Times New Roman"/>
        </w:rPr>
      </w:pPr>
      <w:r w:rsidRPr="00886C9E">
        <w:rPr>
          <w:rFonts w:ascii="Times" w:hAnsi="Times" w:cs="Times New Roman"/>
          <w:lang w:val="en-US"/>
        </w:rPr>
        <w:t>Drug exposure targets that are associated with a high proba</w:t>
      </w:r>
      <w:r w:rsidR="00B92EF8" w:rsidRPr="00886C9E">
        <w:rPr>
          <w:rFonts w:ascii="Times" w:hAnsi="Times" w:cs="Times New Roman"/>
          <w:lang w:val="en-US"/>
        </w:rPr>
        <w:t>b</w:t>
      </w:r>
      <w:r w:rsidRPr="00886C9E">
        <w:rPr>
          <w:rFonts w:ascii="Times" w:hAnsi="Times" w:cs="Times New Roman"/>
          <w:lang w:val="en-US"/>
        </w:rPr>
        <w:t xml:space="preserve">ility of a successful clinical outcome are </w:t>
      </w:r>
      <w:r w:rsidR="00040034" w:rsidRPr="00886C9E">
        <w:rPr>
          <w:rFonts w:ascii="Times" w:hAnsi="Times" w:cs="Times New Roman"/>
          <w:lang w:val="en-US"/>
        </w:rPr>
        <w:t xml:space="preserve">relatively </w:t>
      </w:r>
      <w:r w:rsidRPr="00886C9E">
        <w:rPr>
          <w:rFonts w:ascii="Times" w:hAnsi="Times" w:cs="Times New Roman"/>
          <w:lang w:val="en-US"/>
        </w:rPr>
        <w:t xml:space="preserve">poorly defined. Initial regimens were designed to achieve </w:t>
      </w:r>
      <w:r w:rsidR="00040034" w:rsidRPr="00886C9E">
        <w:rPr>
          <w:rFonts w:ascii="Times" w:hAnsi="Times" w:cs="Times New Roman"/>
          <w:lang w:val="en-US"/>
        </w:rPr>
        <w:t xml:space="preserve">a </w:t>
      </w:r>
      <w:proofErr w:type="spellStart"/>
      <w:r w:rsidRPr="00886C9E">
        <w:rPr>
          <w:rFonts w:ascii="Times" w:hAnsi="Times" w:cs="Times New Roman"/>
          <w:lang w:val="en-US"/>
        </w:rPr>
        <w:t>C</w:t>
      </w:r>
      <w:r w:rsidRPr="00886C9E">
        <w:rPr>
          <w:rFonts w:ascii="Times" w:hAnsi="Times" w:cs="Times New Roman"/>
          <w:vertAlign w:val="subscript"/>
          <w:lang w:val="en-US"/>
        </w:rPr>
        <w:t>min</w:t>
      </w:r>
      <w:proofErr w:type="spellEnd"/>
      <w:r w:rsidRPr="00886C9E">
        <w:rPr>
          <w:rFonts w:ascii="Times" w:hAnsi="Times" w:cs="Times New Roman"/>
          <w:lang w:val="en-US"/>
        </w:rPr>
        <w:t xml:space="preserve"> of 10 mg/L</w:t>
      </w:r>
      <w:r w:rsidR="004554E5" w:rsidRPr="00886C9E">
        <w:rPr>
          <w:rFonts w:ascii="Times" w:hAnsi="Times" w:cs="Times New Roman"/>
          <w:lang w:val="en-US"/>
        </w:rPr>
        <w:t>.</w:t>
      </w:r>
      <w:r w:rsidR="004554E5" w:rsidRPr="00886C9E">
        <w:rPr>
          <w:rFonts w:ascii="Times" w:hAnsi="Times" w:cs="Times New Roman"/>
          <w:lang w:val="en-US"/>
        </w:rPr>
        <w:fldChar w:fldCharType="begin" w:fldLock="1"/>
      </w:r>
      <w:r w:rsidR="00912D14" w:rsidRPr="00886C9E">
        <w:rPr>
          <w:rFonts w:ascii="Times" w:hAnsi="Times" w:cs="Times New Roman"/>
          <w:lang w:val="en-US"/>
        </w:rPr>
        <w:instrText>ADDIN CSL_CITATION { "citationItems" : [ { "id" : "ITEM-1", "itemData" : { "author" : [ { "dropping-particle" : "", "family" : "Wilson", "given" : "A Peter R", "non-dropping-particle" : "", "parse-names" : false, "suffix" : "" } ], "container-title" : "Clinical Pharmacokinetics", "id" : "ITEM-1", "issue" : "3", "issued" : { "date-parts" : [ [ "2000" ] ] }, "page" : "167-183", "title" : "Clinical Pharmacokinetics of Teicoplanin", "type" : "article-journal", "volume" : "39" }, "uris" : [ "http://www.mendeley.com/documents/?uuid=5d90c991-5ad5-4aa3-9920-f6c66c6368c2" ] } ], "mendeley" : { "formattedCitation" : "&lt;sup&gt;3&lt;/sup&gt;", "plainTextFormattedCitation" : "3", "previouslyFormattedCitation" : "&lt;sup&gt;3&lt;/sup&gt;" }, "properties" : { "noteIndex" : 0 }, "schema" : "https://github.com/citation-style-language/schema/raw/master/csl-citation.json" }</w:instrText>
      </w:r>
      <w:r w:rsidR="004554E5" w:rsidRPr="00886C9E">
        <w:rPr>
          <w:rFonts w:ascii="Times" w:hAnsi="Times" w:cs="Times New Roman"/>
          <w:lang w:val="en-US"/>
        </w:rPr>
        <w:fldChar w:fldCharType="separate"/>
      </w:r>
      <w:r w:rsidR="00D85CCF" w:rsidRPr="00886C9E">
        <w:rPr>
          <w:rFonts w:ascii="Times" w:hAnsi="Times" w:cs="Times New Roman"/>
          <w:noProof/>
          <w:vertAlign w:val="superscript"/>
          <w:lang w:val="en-US"/>
        </w:rPr>
        <w:t>3</w:t>
      </w:r>
      <w:r w:rsidR="004554E5" w:rsidRPr="00886C9E">
        <w:rPr>
          <w:rFonts w:ascii="Times" w:hAnsi="Times" w:cs="Times New Roman"/>
          <w:lang w:val="en-US"/>
        </w:rPr>
        <w:fldChar w:fldCharType="end"/>
      </w:r>
      <w:r w:rsidR="004554E5" w:rsidRPr="00886C9E">
        <w:rPr>
          <w:rFonts w:ascii="Times" w:hAnsi="Times" w:cs="Times New Roman"/>
          <w:lang w:val="en-US"/>
        </w:rPr>
        <w:t xml:space="preserve"> </w:t>
      </w:r>
      <w:r w:rsidR="00B92EF8" w:rsidRPr="00886C9E">
        <w:rPr>
          <w:rFonts w:ascii="Times" w:hAnsi="Times" w:cs="Times New Roman"/>
          <w:lang w:val="en-US"/>
        </w:rPr>
        <w:t>More recently, this</w:t>
      </w:r>
      <w:r w:rsidR="003D5541" w:rsidRPr="00886C9E">
        <w:rPr>
          <w:rFonts w:ascii="Times" w:hAnsi="Times" w:cs="Times New Roman"/>
          <w:lang w:val="en-US"/>
        </w:rPr>
        <w:t xml:space="preserve"> </w:t>
      </w:r>
      <w:r w:rsidR="00040034" w:rsidRPr="00886C9E">
        <w:rPr>
          <w:rFonts w:ascii="Times" w:hAnsi="Times" w:cs="Times New Roman"/>
          <w:lang w:val="en-US"/>
        </w:rPr>
        <w:t>drug ex</w:t>
      </w:r>
      <w:r w:rsidR="00B92EF8" w:rsidRPr="00886C9E">
        <w:rPr>
          <w:rFonts w:ascii="Times" w:hAnsi="Times" w:cs="Times New Roman"/>
          <w:lang w:val="en-US"/>
        </w:rPr>
        <w:t>po</w:t>
      </w:r>
      <w:r w:rsidR="00040034" w:rsidRPr="00886C9E">
        <w:rPr>
          <w:rFonts w:ascii="Times" w:hAnsi="Times" w:cs="Times New Roman"/>
          <w:lang w:val="en-US"/>
        </w:rPr>
        <w:t xml:space="preserve">sure </w:t>
      </w:r>
      <w:r w:rsidR="00B92EF8" w:rsidRPr="00886C9E">
        <w:rPr>
          <w:rFonts w:ascii="Times" w:hAnsi="Times" w:cs="Times New Roman"/>
          <w:lang w:val="en-US"/>
        </w:rPr>
        <w:t>target has</w:t>
      </w:r>
      <w:r w:rsidR="003D5541" w:rsidRPr="00886C9E">
        <w:rPr>
          <w:rFonts w:ascii="Times" w:hAnsi="Times" w:cs="Times New Roman"/>
          <w:lang w:val="en-US"/>
        </w:rPr>
        <w:t xml:space="preserve"> been increased to &gt; 15 </w:t>
      </w:r>
      <w:r w:rsidR="00A70074" w:rsidRPr="00886C9E">
        <w:rPr>
          <w:rFonts w:ascii="Times" w:hAnsi="Times" w:cs="Times New Roman"/>
          <w:lang w:val="en-US"/>
        </w:rPr>
        <w:t xml:space="preserve">mg/L for the majority of </w:t>
      </w:r>
      <w:r w:rsidRPr="00886C9E">
        <w:rPr>
          <w:rFonts w:ascii="Times" w:hAnsi="Times" w:cs="Times New Roman"/>
          <w:lang w:val="en-US"/>
        </w:rPr>
        <w:t xml:space="preserve">clinical </w:t>
      </w:r>
      <w:r w:rsidR="00A70074" w:rsidRPr="00886C9E">
        <w:rPr>
          <w:rFonts w:ascii="Times" w:hAnsi="Times" w:cs="Times New Roman"/>
          <w:lang w:val="en-US"/>
        </w:rPr>
        <w:t>indications (</w:t>
      </w:r>
      <w:r w:rsidRPr="00886C9E">
        <w:rPr>
          <w:rFonts w:ascii="Times" w:hAnsi="Times" w:cs="Times New Roman"/>
          <w:lang w:val="en-US"/>
        </w:rPr>
        <w:t xml:space="preserve">e.g. </w:t>
      </w:r>
      <w:proofErr w:type="spellStart"/>
      <w:r w:rsidR="00A70074" w:rsidRPr="00886C9E">
        <w:rPr>
          <w:rFonts w:ascii="Times" w:hAnsi="Times" w:cs="Times New Roman"/>
          <w:lang w:val="en-US"/>
        </w:rPr>
        <w:t>bacter</w:t>
      </w:r>
      <w:r w:rsidR="00D4683F" w:rsidRPr="00886C9E">
        <w:rPr>
          <w:rFonts w:ascii="Times" w:hAnsi="Times" w:cs="Times New Roman"/>
          <w:lang w:val="en-US"/>
        </w:rPr>
        <w:t>a</w:t>
      </w:r>
      <w:r w:rsidR="00A70074" w:rsidRPr="00886C9E">
        <w:rPr>
          <w:rFonts w:ascii="Times" w:hAnsi="Times" w:cs="Times New Roman"/>
          <w:lang w:val="en-US"/>
        </w:rPr>
        <w:t>emia</w:t>
      </w:r>
      <w:proofErr w:type="spellEnd"/>
      <w:r w:rsidR="00A70074" w:rsidRPr="00886C9E">
        <w:rPr>
          <w:rFonts w:ascii="Times" w:hAnsi="Times" w:cs="Times New Roman"/>
          <w:lang w:val="en-US"/>
        </w:rPr>
        <w:t xml:space="preserve">, </w:t>
      </w:r>
      <w:r w:rsidR="00A70074" w:rsidRPr="00886C9E">
        <w:rPr>
          <w:rFonts w:ascii="Times" w:hAnsi="Times" w:cs="Times New Roman"/>
        </w:rPr>
        <w:t>pneumonia</w:t>
      </w:r>
      <w:r w:rsidR="00A70074" w:rsidRPr="00886C9E">
        <w:rPr>
          <w:rFonts w:ascii="Times" w:hAnsi="Times" w:cs="Times New Roman"/>
          <w:lang w:val="en-US"/>
        </w:rPr>
        <w:t>, complicated skin and soft-tissue infections)</w:t>
      </w:r>
      <w:r w:rsidR="00516D42" w:rsidRPr="00886C9E">
        <w:rPr>
          <w:rFonts w:ascii="Times" w:hAnsi="Times" w:cs="Times New Roman"/>
          <w:lang w:val="en-US"/>
        </w:rPr>
        <w:t xml:space="preserve">. </w:t>
      </w:r>
      <w:r w:rsidRPr="00886C9E">
        <w:rPr>
          <w:rFonts w:ascii="Times" w:hAnsi="Times" w:cs="Times New Roman"/>
          <w:lang w:val="en-US"/>
        </w:rPr>
        <w:t>Higher targets of</w:t>
      </w:r>
      <w:r w:rsidR="00B05F37" w:rsidRPr="00886C9E">
        <w:rPr>
          <w:rFonts w:ascii="Times" w:hAnsi="Times" w:cs="Times New Roman"/>
          <w:lang w:val="en-US"/>
        </w:rPr>
        <w:t xml:space="preserve"> 20</w:t>
      </w:r>
      <w:r w:rsidR="003D5541" w:rsidRPr="00886C9E">
        <w:rPr>
          <w:rFonts w:ascii="Times" w:hAnsi="Times" w:cs="Times New Roman"/>
          <w:lang w:val="en-US"/>
        </w:rPr>
        <w:t xml:space="preserve"> and </w:t>
      </w:r>
      <w:r w:rsidR="00B05F37" w:rsidRPr="00886C9E">
        <w:rPr>
          <w:rFonts w:ascii="Times" w:hAnsi="Times" w:cs="Times New Roman"/>
          <w:lang w:val="en-US"/>
        </w:rPr>
        <w:t>30-</w:t>
      </w:r>
      <w:r w:rsidR="003D5541" w:rsidRPr="00886C9E">
        <w:rPr>
          <w:rFonts w:ascii="Times" w:hAnsi="Times" w:cs="Times New Roman"/>
          <w:lang w:val="en-US"/>
        </w:rPr>
        <w:t xml:space="preserve">40 mg/L </w:t>
      </w:r>
      <w:r w:rsidRPr="00886C9E">
        <w:rPr>
          <w:rFonts w:ascii="Times" w:hAnsi="Times" w:cs="Times New Roman"/>
          <w:lang w:val="en-US"/>
        </w:rPr>
        <w:t xml:space="preserve">are now advocated </w:t>
      </w:r>
      <w:r w:rsidR="003D5541" w:rsidRPr="00886C9E">
        <w:rPr>
          <w:rFonts w:ascii="Times" w:hAnsi="Times" w:cs="Times New Roman"/>
          <w:lang w:val="en-US"/>
        </w:rPr>
        <w:t>fo</w:t>
      </w:r>
      <w:r w:rsidR="00A70074" w:rsidRPr="00886C9E">
        <w:rPr>
          <w:rFonts w:ascii="Times" w:hAnsi="Times" w:cs="Times New Roman"/>
          <w:lang w:val="en-US"/>
        </w:rPr>
        <w:t>r the treatment of bone/joint infections,</w:t>
      </w:r>
      <w:r w:rsidR="003D5541" w:rsidRPr="00886C9E">
        <w:rPr>
          <w:rFonts w:ascii="Times" w:hAnsi="Times" w:cs="Times New Roman"/>
          <w:lang w:val="en-US"/>
        </w:rPr>
        <w:t xml:space="preserve"> and infe</w:t>
      </w:r>
      <w:r w:rsidR="00A70074" w:rsidRPr="00886C9E">
        <w:rPr>
          <w:rFonts w:ascii="Times" w:hAnsi="Times" w:cs="Times New Roman"/>
          <w:lang w:val="en-US"/>
        </w:rPr>
        <w:t>ctive endocarditis</w:t>
      </w:r>
      <w:r w:rsidR="004C44BA" w:rsidRPr="00886C9E">
        <w:rPr>
          <w:rFonts w:ascii="Times" w:hAnsi="Times" w:cs="Times New Roman"/>
          <w:lang w:val="en-US"/>
        </w:rPr>
        <w:t xml:space="preserve">, </w:t>
      </w:r>
      <w:r w:rsidR="002070B6" w:rsidRPr="00886C9E">
        <w:rPr>
          <w:rFonts w:ascii="Times" w:hAnsi="Times" w:cs="Times New Roman"/>
          <w:lang w:val="en-US"/>
        </w:rPr>
        <w:t>respectively.</w:t>
      </w:r>
      <w:r w:rsidR="005B2782" w:rsidRPr="00886C9E">
        <w:rPr>
          <w:rFonts w:ascii="Times" w:hAnsi="Times" w:cs="Times New Roman"/>
          <w:lang w:val="en-US"/>
        </w:rPr>
        <w:fldChar w:fldCharType="begin" w:fldLock="1"/>
      </w:r>
      <w:r w:rsidR="00D86CBC" w:rsidRPr="00886C9E">
        <w:rPr>
          <w:rFonts w:ascii="Times" w:hAnsi="Times" w:cs="Times New Roman"/>
          <w:lang w:val="en-US"/>
        </w:rPr>
        <w:instrText>ADDIN CSL_CITATION { "citationItems" : [ { "id" : "ITEM-1", "itemData" : { "URL" : "http://www.medicines.org.uk/emc/medicine/27319/SPC", "accessed" : { "date-parts" : [ [ "2016", "1", "19" ] ] }, "author" : [ { "dropping-particle" : "", "family" : "The Electronic Medicines Compendium", "given" : "", "non-dropping-particle" : "", "parse-names" : false, "suffix" : "" } ], "id" : "ITEM-1", "issued" : { "date-parts" : [ [ "2014" ] ] }, "title" : "Targocid 200mg - Summary of Product Characteristics (SPC) - (eMC)", "type" : "webpage" }, "uris" : [ "http://www.mendeley.com/documents/?uuid=c87de902-3ab2-487e-b975-f602ec9b9712" ] } ], "mendeley" : { "formattedCitation" : "&lt;sup&gt;1&lt;/sup&gt;", "plainTextFormattedCitation" : "1", "previouslyFormattedCitation" : "&lt;sup&gt;1&lt;/sup&gt;" }, "properties" : { "noteIndex" : 0 }, "schema" : "https://github.com/citation-style-language/schema/raw/master/csl-citation.json" }</w:instrText>
      </w:r>
      <w:r w:rsidR="005B2782" w:rsidRPr="00886C9E">
        <w:rPr>
          <w:rFonts w:ascii="Times" w:hAnsi="Times" w:cs="Times New Roman"/>
          <w:lang w:val="en-US"/>
        </w:rPr>
        <w:fldChar w:fldCharType="separate"/>
      </w:r>
      <w:r w:rsidR="005D3D19" w:rsidRPr="00886C9E">
        <w:rPr>
          <w:rFonts w:ascii="Times" w:hAnsi="Times" w:cs="Times New Roman"/>
          <w:noProof/>
          <w:vertAlign w:val="superscript"/>
          <w:lang w:val="en-US"/>
        </w:rPr>
        <w:t>1</w:t>
      </w:r>
      <w:r w:rsidR="005B2782" w:rsidRPr="00886C9E">
        <w:rPr>
          <w:rFonts w:ascii="Times" w:hAnsi="Times" w:cs="Times New Roman"/>
          <w:lang w:val="en-US"/>
        </w:rPr>
        <w:fldChar w:fldCharType="end"/>
      </w:r>
      <w:r w:rsidR="003D5541" w:rsidRPr="00886C9E">
        <w:rPr>
          <w:rFonts w:ascii="Times" w:hAnsi="Times" w:cs="Times New Roman"/>
          <w:lang w:val="en-US"/>
        </w:rPr>
        <w:t xml:space="preserve"> </w:t>
      </w:r>
      <w:r w:rsidR="00D86CBC" w:rsidRPr="00886C9E">
        <w:rPr>
          <w:rFonts w:ascii="Times" w:hAnsi="Times" w:cs="Times New Roman"/>
          <w:lang w:val="en-US"/>
        </w:rPr>
        <w:t>These</w:t>
      </w:r>
      <w:r w:rsidR="00CD7AA0" w:rsidRPr="00886C9E">
        <w:rPr>
          <w:rFonts w:ascii="Times" w:hAnsi="Times" w:cs="Times New Roman"/>
          <w:lang w:val="en-US"/>
        </w:rPr>
        <w:t xml:space="preserve"> updated</w:t>
      </w:r>
      <w:r w:rsidR="00D86CBC" w:rsidRPr="00886C9E">
        <w:rPr>
          <w:rFonts w:ascii="Times" w:hAnsi="Times" w:cs="Times New Roman"/>
          <w:lang w:val="en-US"/>
        </w:rPr>
        <w:t xml:space="preserve"> targets </w:t>
      </w:r>
      <w:r w:rsidR="00CD7AA0" w:rsidRPr="00886C9E">
        <w:rPr>
          <w:rFonts w:ascii="Times" w:hAnsi="Times" w:cs="Times New Roman"/>
          <w:lang w:val="en-US"/>
        </w:rPr>
        <w:t>are</w:t>
      </w:r>
      <w:r w:rsidR="00D86CBC" w:rsidRPr="00886C9E">
        <w:rPr>
          <w:rFonts w:ascii="Times" w:hAnsi="Times" w:cs="Times New Roman"/>
          <w:lang w:val="en-US"/>
        </w:rPr>
        <w:t xml:space="preserve"> based on small retrospective studies in adults</w:t>
      </w:r>
      <w:r w:rsidR="004C44BA" w:rsidRPr="00886C9E">
        <w:rPr>
          <w:rFonts w:ascii="Times" w:hAnsi="Times" w:cs="Times New Roman"/>
          <w:lang w:val="en-US"/>
        </w:rPr>
        <w:t>.</w:t>
      </w:r>
      <w:r w:rsidR="00D86CBC" w:rsidRPr="00886C9E">
        <w:rPr>
          <w:rFonts w:ascii="Times" w:hAnsi="Times" w:cs="Times New Roman"/>
          <w:lang w:val="en-US"/>
        </w:rPr>
        <w:fldChar w:fldCharType="begin" w:fldLock="1"/>
      </w:r>
      <w:r w:rsidR="00912D14" w:rsidRPr="00886C9E">
        <w:rPr>
          <w:rFonts w:ascii="Times" w:hAnsi="Times" w:cs="Times New Roman"/>
          <w:lang w:val="en-US"/>
        </w:rPr>
        <w:instrText>ADDIN CSL_CITATION { "citationItems" : [ { "id" : "ITEM-1", "itemData" : { "ISSN" : "0305-7453", "PMID" : "10837438", "abstract" : "Logistic regression analysis was performed on data drawn from a clinical trials database for Staphylococcus aureus septicaemia treated with teicoplanin. Variables analysed were age, body weight, mean pre-dose and post-dose serum teicoplanin concentrations, mean dose (mg or mg/kg body weight) and combination versus monotherapy. Only two variables correlated with clinical outcome at a significance level better than 0.05: age (P = 0.012) and mean pre-dose serum concentration (P = 0.010). The probability of successful treatment declined with age and increased with mean pre-dose serum concentration.", "author" : [ { "dropping-particle" : "", "family" : "Harding", "given" : "I", "non-dropping-particle" : "", "parse-names" : false, "suffix" : "" }, { "dropping-particle" : "", "family" : "MacGowan", "given" : "a P", "non-dropping-particle" : "", "parse-names" : false, "suffix" : "" }, { "dropping-particle" : "", "family" : "White", "given" : "L O", "non-dropping-particle" : "", "parse-names" : false, "suffix" : "" }, { "dropping-particle" : "", "family" : "Darley", "given" : "E S", "non-dropping-particle" : "", "parse-names" : false, "suffix" : "" }, { "dropping-particle" : "", "family" : "Reed", "given" : "V", "non-dropping-particle" : "", "parse-names" : false, "suffix" : "" } ], "container-title" : "The Journal of antimicrobial chemotherapy", "id" : "ITEM-1", "issue" : "6", "issued" : { "date-parts" : [ [ "2000" ] ] }, "page" : "835-41", "title" : "Teicoplanin therapy for Staphylococcus aureus septicaemia: relationship between pre-dose serum concentrations and outcome.", "type" : "article-journal", "volume" : "45" }, "uris" : [ "http://www.mendeley.com/documents/?uuid=1c681da2-85d8-4151-9a36-1fc423879991" ] }, { "id" : "ITEM-2", "itemData" : { "DOI" : "10.1007/s10156-011-0325-z", "ISSN" : "1437-7780", "PMID" : "22065089", "abstract" : "Minimum inhibitory concentration (MIC) creep in vancomycin has prompted guidelines that recommend a target trough concentration (C (min)) of 15-20\u00a0mg/L, and it is also considered necessary to set a C (min) of &gt;15\u00a0mg/L for teicoplanin (TEIC), especially in patients with complicated methicillin-resistant Staphylococcus aureus (MRSA) infections. The aim of this study was to investigate the appropriate TEIC regimen for reaching the revised target C (min) (15-30\u00a0mg/L) in patients with normal renal function and those with renal dysfunction. We analyzed patients with MRSA infections who were treated with TEIC between July 2006 and December 2009. Two-day loading regimen was studied in patients with non-renal-dysfunction (group 1). The 1-day loading regimen was studied in patients with non-renal-dysfunction (group 2, control) and in patients with renal dysfunction (group 3). The 178 patients in the study consisted of 76, 28, and 74 patients in groups 1, 2, and 3, respectively. C (min) on day 4 was 14.6\u00a0\u00b1\u00a05.6, 11.9\u00a0\u00b1\u00a04.1, and 13.5\u00a0\u00b1\u00a04.2\u00a0mg/L, and the proportion of patients achieving the revised target range was 34.2%, 17.9%, and 20.3%, respectively. Only one patient in group 1 revealed C (min) of &gt;30\u00a0mg/L. Treatment success rates, nephrotoxicity, and hepatotoxicity were similar among the three groups. It was difficult to achieve the revised target C (min) with the 2-day loading regimen in patients without renal dysfunction and with the standard TEIC regimen, even in patients with renal dysfunction. Further investigation of an even higher TEIC dosing regimen is considered necessary.", "author" : [ { "dropping-particle" : "", "family" : "Ueda", "given" : "Takashi", "non-dropping-particle" : "", "parse-names" : false, "suffix" : "" }, { "dropping-particle" : "", "family" : "Takesue", "given" : "Yoshio", "non-dropping-particle" : "", "parse-names" : false, "suffix" : "" }, { "dropping-particle" : "", "family" : "Nakajima", "given" : "Kazuhiko", "non-dropping-particle" : "", "parse-names" : false, "suffix" : "" }, { "dropping-particle" : "", "family" : "Ichki", "given" : "Kaoru", "non-dropping-particle" : "", "parse-names" : false, "suffix" : "" }, { "dropping-particle" : "", "family" : "Wada", "given" : "Yasunao", "non-dropping-particle" : "", "parse-names" : false, "suffix" : "" }, { "dropping-particle" : "", "family" : "Tsuchida", "given" : "Toshie", "non-dropping-particle" : "", "parse-names" : false, "suffix" : "" }, { "dropping-particle" : "", "family" : "Takahashi", "given" : "Yoshiko", "non-dropping-particle" : "", "parse-names" : false, "suffix" : "" }, { "dropping-particle" : "", "family" : "Ishihara", "given" : "Mika", "non-dropping-particle" : "", "parse-names" : false, "suffix" : "" }, { "dropping-particle" : "", "family" : "Tatsumi", "given" : "Sumiyo", "non-dropping-particle" : "", "parse-names" : false, "suffix" : "" }, { "dropping-particle" : "", "family" : "Kimura", "given" : "Takeshi", "non-dropping-particle" : "", "parse-names" : false, "suffix" : "" }, { "dropping-particle" : "", "family" : "Ikeuchi", "given" : "Hiroki", "non-dropping-particle" : "", "parse-names" : false, "suffix" : "" }, { "dropping-particle" : "", "family" : "Uchino", "given" : "Motoi", "non-dropping-particle" : "", "parse-names" : false, "suffix" : "" } ], "container-title" : "Journal of infection and chemotherapy : official journal of the Japan Society of Chemotherapy", "id" : "ITEM-2", "issue" : "3", "issued" : { "date-parts" : [ [ "2012", "6" ] ] }, "page" : "296-302", "title" : "Evaluation of teicoplanin dosing designs to achieve a new target trough concentration.", "type" : "article-journal", "volume" : "18" }, "uris" : [ "http://www.mendeley.com/documents/?uuid=1c0bb471-8061-409e-8f44-5322e52e42fd" ] } ], "mendeley" : { "formattedCitation" : "&lt;sup&gt;4,5&lt;/sup&gt;", "plainTextFormattedCitation" : "4,5", "previouslyFormattedCitation" : "&lt;sup&gt;4,5&lt;/sup&gt;" }, "properties" : { "noteIndex" : 0 }, "schema" : "https://github.com/citation-style-language/schema/raw/master/csl-citation.json" }</w:instrText>
      </w:r>
      <w:r w:rsidR="00D86CBC" w:rsidRPr="00886C9E">
        <w:rPr>
          <w:rFonts w:ascii="Times" w:hAnsi="Times" w:cs="Times New Roman"/>
          <w:lang w:val="en-US"/>
        </w:rPr>
        <w:fldChar w:fldCharType="separate"/>
      </w:r>
      <w:r w:rsidR="00D85CCF" w:rsidRPr="00886C9E">
        <w:rPr>
          <w:rFonts w:ascii="Times" w:hAnsi="Times" w:cs="Times New Roman"/>
          <w:noProof/>
          <w:vertAlign w:val="superscript"/>
          <w:lang w:val="en-US"/>
        </w:rPr>
        <w:t>4,5</w:t>
      </w:r>
      <w:r w:rsidR="00D86CBC" w:rsidRPr="00886C9E">
        <w:rPr>
          <w:rFonts w:ascii="Times" w:hAnsi="Times" w:cs="Times New Roman"/>
          <w:lang w:val="en-US"/>
        </w:rPr>
        <w:fldChar w:fldCharType="end"/>
      </w:r>
      <w:r w:rsidR="00D86CBC" w:rsidRPr="00886C9E">
        <w:rPr>
          <w:rFonts w:ascii="Times" w:hAnsi="Times" w:cs="Times New Roman"/>
          <w:lang w:val="en-US"/>
        </w:rPr>
        <w:t xml:space="preserve"> </w:t>
      </w:r>
    </w:p>
    <w:p w14:paraId="74CCE42E" w14:textId="00A842BF" w:rsidR="00676D56" w:rsidRPr="00886C9E" w:rsidRDefault="009C4CFF" w:rsidP="004554E5">
      <w:pPr>
        <w:spacing w:line="480" w:lineRule="auto"/>
        <w:ind w:firstLine="708"/>
        <w:jc w:val="both"/>
        <w:rPr>
          <w:rFonts w:ascii="Times" w:hAnsi="Times" w:cs="Times New Roman"/>
        </w:rPr>
      </w:pPr>
      <w:r w:rsidRPr="00886C9E">
        <w:rPr>
          <w:rFonts w:ascii="Times" w:hAnsi="Times" w:cs="Times New Roman"/>
        </w:rPr>
        <w:t>Here</w:t>
      </w:r>
      <w:r w:rsidR="002753FD" w:rsidRPr="00886C9E">
        <w:rPr>
          <w:rFonts w:ascii="Times" w:hAnsi="Times" w:cs="Times New Roman"/>
        </w:rPr>
        <w:t>in</w:t>
      </w:r>
      <w:r w:rsidRPr="00886C9E">
        <w:rPr>
          <w:rFonts w:ascii="Times" w:hAnsi="Times" w:cs="Times New Roman"/>
        </w:rPr>
        <w:t xml:space="preserve">, we </w:t>
      </w:r>
      <w:r w:rsidR="002753FD" w:rsidRPr="00886C9E">
        <w:rPr>
          <w:rFonts w:ascii="Times" w:hAnsi="Times" w:cs="Times New Roman"/>
        </w:rPr>
        <w:t xml:space="preserve">describe </w:t>
      </w:r>
      <w:r w:rsidR="00676D56" w:rsidRPr="00886C9E">
        <w:rPr>
          <w:rFonts w:ascii="Times" w:hAnsi="Times" w:cs="Times New Roman"/>
        </w:rPr>
        <w:t xml:space="preserve">the </w:t>
      </w:r>
      <w:r w:rsidR="008A2625" w:rsidRPr="00886C9E">
        <w:rPr>
          <w:rFonts w:ascii="Times" w:hAnsi="Times" w:cs="Times New Roman"/>
        </w:rPr>
        <w:t>pharmacodynamics</w:t>
      </w:r>
      <w:r w:rsidR="00676D56" w:rsidRPr="00886C9E">
        <w:rPr>
          <w:rFonts w:ascii="Times" w:hAnsi="Times" w:cs="Times New Roman"/>
        </w:rPr>
        <w:t xml:space="preserve"> of </w:t>
      </w:r>
      <w:proofErr w:type="spellStart"/>
      <w:r w:rsidR="00676D56" w:rsidRPr="00886C9E">
        <w:rPr>
          <w:rFonts w:ascii="Times" w:hAnsi="Times" w:cs="Times New Roman"/>
        </w:rPr>
        <w:t>teicoplanin</w:t>
      </w:r>
      <w:proofErr w:type="spellEnd"/>
      <w:r w:rsidR="00676D56" w:rsidRPr="00886C9E">
        <w:rPr>
          <w:rFonts w:ascii="Times" w:hAnsi="Times" w:cs="Times New Roman"/>
        </w:rPr>
        <w:t xml:space="preserve"> </w:t>
      </w:r>
      <w:r w:rsidR="00040034" w:rsidRPr="00886C9E">
        <w:rPr>
          <w:rFonts w:ascii="Times" w:hAnsi="Times" w:cs="Times New Roman"/>
        </w:rPr>
        <w:t>against MRSA</w:t>
      </w:r>
      <w:r w:rsidR="004554E5" w:rsidRPr="00886C9E">
        <w:rPr>
          <w:rFonts w:ascii="Times" w:hAnsi="Times" w:cs="Times New Roman"/>
        </w:rPr>
        <w:t xml:space="preserve">. </w:t>
      </w:r>
      <w:r w:rsidR="00CC6FD2" w:rsidRPr="00886C9E">
        <w:rPr>
          <w:rFonts w:ascii="Times" w:hAnsi="Times" w:cs="Times New Roman"/>
        </w:rPr>
        <w:t>We use</w:t>
      </w:r>
      <w:r w:rsidR="004554E5" w:rsidRPr="00886C9E">
        <w:rPr>
          <w:rFonts w:ascii="Times" w:hAnsi="Times" w:cs="Times New Roman"/>
        </w:rPr>
        <w:t>d</w:t>
      </w:r>
      <w:r w:rsidR="00040034" w:rsidRPr="00886C9E">
        <w:rPr>
          <w:rFonts w:ascii="Times" w:hAnsi="Times" w:cs="Times New Roman"/>
        </w:rPr>
        <w:t xml:space="preserve"> </w:t>
      </w:r>
      <w:r w:rsidR="009D6F77" w:rsidRPr="00886C9E">
        <w:rPr>
          <w:rFonts w:ascii="Times" w:hAnsi="Times" w:cs="Times New Roman"/>
        </w:rPr>
        <w:t>a</w:t>
      </w:r>
      <w:r w:rsidR="004554E5" w:rsidRPr="00886C9E">
        <w:rPr>
          <w:rFonts w:ascii="Times" w:hAnsi="Times" w:cs="Times New Roman"/>
        </w:rPr>
        <w:t xml:space="preserve"> well-</w:t>
      </w:r>
      <w:r w:rsidR="00F333D1" w:rsidRPr="00886C9E">
        <w:rPr>
          <w:rFonts w:ascii="Times" w:hAnsi="Times" w:cs="Times New Roman"/>
        </w:rPr>
        <w:t>characterised</w:t>
      </w:r>
      <w:r w:rsidR="007F00B4" w:rsidRPr="00886C9E">
        <w:rPr>
          <w:rFonts w:ascii="Times" w:hAnsi="Times" w:cs="Times New Roman"/>
        </w:rPr>
        <w:t xml:space="preserve"> hollow fibre</w:t>
      </w:r>
      <w:r w:rsidR="00676D56" w:rsidRPr="00886C9E">
        <w:rPr>
          <w:rFonts w:ascii="Times" w:hAnsi="Times" w:cs="Times New Roman"/>
        </w:rPr>
        <w:t xml:space="preserve"> infection model (HFIM)</w:t>
      </w:r>
      <w:r w:rsidR="00F95EDF" w:rsidRPr="00886C9E">
        <w:rPr>
          <w:rFonts w:ascii="Times" w:hAnsi="Times" w:cs="Times New Roman"/>
        </w:rPr>
        <w:t xml:space="preserve"> </w:t>
      </w:r>
      <w:r w:rsidR="002753FD" w:rsidRPr="00886C9E">
        <w:rPr>
          <w:rFonts w:ascii="Times" w:hAnsi="Times" w:cs="Times New Roman"/>
        </w:rPr>
        <w:t xml:space="preserve">and </w:t>
      </w:r>
      <w:r w:rsidR="00040034" w:rsidRPr="00886C9E">
        <w:rPr>
          <w:rFonts w:ascii="Times" w:hAnsi="Times" w:cs="Times New Roman"/>
        </w:rPr>
        <w:t xml:space="preserve">a </w:t>
      </w:r>
      <w:r w:rsidR="005B68F0" w:rsidRPr="00886C9E">
        <w:rPr>
          <w:rFonts w:ascii="Times" w:hAnsi="Times" w:cs="Times New Roman"/>
        </w:rPr>
        <w:t>murine</w:t>
      </w:r>
      <w:r w:rsidR="007F00B4" w:rsidRPr="00886C9E">
        <w:rPr>
          <w:rFonts w:ascii="Times" w:hAnsi="Times" w:cs="Times New Roman"/>
        </w:rPr>
        <w:t xml:space="preserve"> thigh</w:t>
      </w:r>
      <w:r w:rsidR="00D85CCF" w:rsidRPr="00886C9E">
        <w:rPr>
          <w:rFonts w:ascii="Times" w:hAnsi="Times" w:cs="Times New Roman"/>
        </w:rPr>
        <w:t xml:space="preserve"> infection</w:t>
      </w:r>
      <w:r w:rsidR="007F00B4" w:rsidRPr="00886C9E">
        <w:rPr>
          <w:rFonts w:ascii="Times" w:hAnsi="Times" w:cs="Times New Roman"/>
        </w:rPr>
        <w:t xml:space="preserve"> model</w:t>
      </w:r>
      <w:r w:rsidR="009D6F77" w:rsidRPr="00886C9E">
        <w:rPr>
          <w:rFonts w:ascii="Times" w:hAnsi="Times" w:cs="Times New Roman"/>
        </w:rPr>
        <w:t xml:space="preserve"> </w:t>
      </w:r>
      <w:r w:rsidR="00B55522" w:rsidRPr="00886C9E">
        <w:rPr>
          <w:rFonts w:ascii="Times" w:hAnsi="Times" w:cs="Times New Roman"/>
        </w:rPr>
        <w:t xml:space="preserve">of MRSA </w:t>
      </w:r>
      <w:r w:rsidR="009D6F77" w:rsidRPr="00886C9E">
        <w:rPr>
          <w:rFonts w:ascii="Times" w:hAnsi="Times" w:cs="Times New Roman"/>
        </w:rPr>
        <w:t>to establish these relationships</w:t>
      </w:r>
      <w:r w:rsidR="00BF17D6" w:rsidRPr="00886C9E">
        <w:rPr>
          <w:rFonts w:ascii="Times" w:hAnsi="Times" w:cs="Times New Roman"/>
        </w:rPr>
        <w:t xml:space="preserve">. </w:t>
      </w:r>
      <w:r w:rsidR="00676D56" w:rsidRPr="00886C9E">
        <w:rPr>
          <w:rFonts w:ascii="Times" w:hAnsi="Times" w:cs="Times New Roman"/>
        </w:rPr>
        <w:t>We consider</w:t>
      </w:r>
      <w:r w:rsidR="004554E5" w:rsidRPr="00886C9E">
        <w:rPr>
          <w:rFonts w:ascii="Times" w:hAnsi="Times" w:cs="Times New Roman"/>
        </w:rPr>
        <w:t>ed</w:t>
      </w:r>
      <w:r w:rsidR="002753FD" w:rsidRPr="00886C9E">
        <w:rPr>
          <w:rFonts w:ascii="Times" w:hAnsi="Times" w:cs="Times New Roman"/>
        </w:rPr>
        <w:t xml:space="preserve"> both</w:t>
      </w:r>
      <w:r w:rsidR="00676D56" w:rsidRPr="00886C9E">
        <w:rPr>
          <w:rFonts w:ascii="Times" w:hAnsi="Times" w:cs="Times New Roman"/>
        </w:rPr>
        <w:t xml:space="preserve"> the antibacterial effect of </w:t>
      </w:r>
      <w:proofErr w:type="spellStart"/>
      <w:r w:rsidR="00676D56" w:rsidRPr="00886C9E">
        <w:rPr>
          <w:rFonts w:ascii="Times" w:hAnsi="Times" w:cs="Times New Roman"/>
        </w:rPr>
        <w:t>teicoplanin</w:t>
      </w:r>
      <w:proofErr w:type="spellEnd"/>
      <w:r w:rsidR="00676D56" w:rsidRPr="00886C9E">
        <w:rPr>
          <w:rFonts w:ascii="Times" w:hAnsi="Times" w:cs="Times New Roman"/>
        </w:rPr>
        <w:t xml:space="preserve"> and </w:t>
      </w:r>
      <w:r w:rsidR="00F95EDF" w:rsidRPr="00886C9E">
        <w:rPr>
          <w:rFonts w:ascii="Times" w:hAnsi="Times" w:cs="Times New Roman"/>
        </w:rPr>
        <w:t xml:space="preserve">the emergence of </w:t>
      </w:r>
      <w:r w:rsidR="002753FD" w:rsidRPr="00886C9E">
        <w:rPr>
          <w:rFonts w:ascii="Times" w:hAnsi="Times" w:cs="Times New Roman"/>
        </w:rPr>
        <w:t xml:space="preserve">resistance to </w:t>
      </w:r>
      <w:proofErr w:type="spellStart"/>
      <w:r w:rsidR="002753FD" w:rsidRPr="00886C9E">
        <w:rPr>
          <w:rFonts w:ascii="Times" w:hAnsi="Times" w:cs="Times New Roman"/>
        </w:rPr>
        <w:t>teicoplanin</w:t>
      </w:r>
      <w:proofErr w:type="spellEnd"/>
      <w:r w:rsidR="00040034" w:rsidRPr="00886C9E">
        <w:rPr>
          <w:rFonts w:ascii="Times" w:hAnsi="Times" w:cs="Times New Roman"/>
        </w:rPr>
        <w:t xml:space="preserve"> as primary study endpoints</w:t>
      </w:r>
      <w:r w:rsidR="00A70074" w:rsidRPr="00886C9E">
        <w:rPr>
          <w:rFonts w:ascii="Times" w:hAnsi="Times" w:cs="Times New Roman"/>
        </w:rPr>
        <w:t xml:space="preserve">. We </w:t>
      </w:r>
      <w:r w:rsidR="004F39CC" w:rsidRPr="00886C9E">
        <w:rPr>
          <w:rFonts w:ascii="Times" w:hAnsi="Times" w:cs="Times New Roman"/>
        </w:rPr>
        <w:t>evaluate</w:t>
      </w:r>
      <w:r w:rsidR="004554E5" w:rsidRPr="00886C9E">
        <w:rPr>
          <w:rFonts w:ascii="Times" w:hAnsi="Times" w:cs="Times New Roman"/>
        </w:rPr>
        <w:t>d</w:t>
      </w:r>
      <w:r w:rsidR="00BA09E3" w:rsidRPr="00886C9E">
        <w:rPr>
          <w:rFonts w:ascii="Times" w:hAnsi="Times" w:cs="Times New Roman"/>
        </w:rPr>
        <w:t xml:space="preserve"> the relev</w:t>
      </w:r>
      <w:r w:rsidR="00A70074" w:rsidRPr="00886C9E">
        <w:rPr>
          <w:rFonts w:ascii="Times" w:hAnsi="Times" w:cs="Times New Roman"/>
        </w:rPr>
        <w:t xml:space="preserve">ant PK-PD indices </w:t>
      </w:r>
      <w:r w:rsidR="00040034" w:rsidRPr="00886C9E">
        <w:rPr>
          <w:rFonts w:ascii="Times" w:hAnsi="Times" w:cs="Times New Roman"/>
        </w:rPr>
        <w:t>that best describe</w:t>
      </w:r>
      <w:r w:rsidR="004554E5" w:rsidRPr="00886C9E">
        <w:rPr>
          <w:rFonts w:ascii="Times" w:hAnsi="Times" w:cs="Times New Roman"/>
        </w:rPr>
        <w:t>d</w:t>
      </w:r>
      <w:r w:rsidR="002753FD" w:rsidRPr="00886C9E">
        <w:rPr>
          <w:rFonts w:ascii="Times" w:hAnsi="Times" w:cs="Times New Roman"/>
        </w:rPr>
        <w:t xml:space="preserve"> </w:t>
      </w:r>
      <w:r w:rsidR="00040034" w:rsidRPr="00886C9E">
        <w:rPr>
          <w:rFonts w:ascii="Times" w:hAnsi="Times" w:cs="Times New Roman"/>
        </w:rPr>
        <w:t xml:space="preserve">the </w:t>
      </w:r>
      <w:r w:rsidR="002753FD" w:rsidRPr="00886C9E">
        <w:rPr>
          <w:rFonts w:ascii="Times" w:hAnsi="Times" w:cs="Times New Roman"/>
        </w:rPr>
        <w:t>killing of susceptible sub</w:t>
      </w:r>
      <w:r w:rsidR="00040034" w:rsidRPr="00886C9E">
        <w:rPr>
          <w:rFonts w:ascii="Times" w:hAnsi="Times" w:cs="Times New Roman"/>
        </w:rPr>
        <w:t>-</w:t>
      </w:r>
      <w:r w:rsidR="002753FD" w:rsidRPr="00886C9E">
        <w:rPr>
          <w:rFonts w:ascii="Times" w:hAnsi="Times" w:cs="Times New Roman"/>
        </w:rPr>
        <w:t xml:space="preserve">populations and </w:t>
      </w:r>
      <w:r w:rsidR="002B4AE9" w:rsidRPr="00886C9E">
        <w:rPr>
          <w:rFonts w:ascii="Times" w:hAnsi="Times" w:cs="Times New Roman"/>
        </w:rPr>
        <w:t>prevent</w:t>
      </w:r>
      <w:r w:rsidR="002753FD" w:rsidRPr="00886C9E">
        <w:rPr>
          <w:rFonts w:ascii="Times" w:hAnsi="Times" w:cs="Times New Roman"/>
        </w:rPr>
        <w:t xml:space="preserve"> emergence of resistance</w:t>
      </w:r>
      <w:r w:rsidR="00676D56" w:rsidRPr="00886C9E">
        <w:rPr>
          <w:rFonts w:ascii="Times" w:hAnsi="Times" w:cs="Times New Roman"/>
        </w:rPr>
        <w:t>.</w:t>
      </w:r>
      <w:r w:rsidR="00BA09E3" w:rsidRPr="00886C9E">
        <w:rPr>
          <w:rFonts w:ascii="Times" w:hAnsi="Times" w:cs="Times New Roman"/>
        </w:rPr>
        <w:t xml:space="preserve"> We</w:t>
      </w:r>
      <w:r w:rsidR="00A70074" w:rsidRPr="00886C9E">
        <w:rPr>
          <w:rFonts w:ascii="Times" w:hAnsi="Times" w:cs="Times New Roman"/>
        </w:rPr>
        <w:t xml:space="preserve"> finally</w:t>
      </w:r>
      <w:r w:rsidR="00BA09E3" w:rsidRPr="00886C9E">
        <w:rPr>
          <w:rFonts w:ascii="Times" w:hAnsi="Times" w:cs="Times New Roman"/>
        </w:rPr>
        <w:t xml:space="preserve"> bridged the</w:t>
      </w:r>
      <w:r w:rsidR="00676D56" w:rsidRPr="00886C9E">
        <w:rPr>
          <w:rFonts w:ascii="Times" w:hAnsi="Times" w:cs="Times New Roman"/>
        </w:rPr>
        <w:t xml:space="preserve"> experimental results to human patients to </w:t>
      </w:r>
      <w:r w:rsidR="002753FD" w:rsidRPr="00886C9E">
        <w:rPr>
          <w:rFonts w:ascii="Times" w:hAnsi="Times" w:cs="Times New Roman"/>
        </w:rPr>
        <w:t xml:space="preserve">reflect on </w:t>
      </w:r>
      <w:r w:rsidR="00B55522" w:rsidRPr="00886C9E">
        <w:rPr>
          <w:rFonts w:ascii="Times" w:hAnsi="Times" w:cs="Times New Roman"/>
        </w:rPr>
        <w:t xml:space="preserve">the adequacy of </w:t>
      </w:r>
      <w:r w:rsidR="00040034" w:rsidRPr="00886C9E">
        <w:rPr>
          <w:rFonts w:ascii="Times" w:hAnsi="Times" w:cs="Times New Roman"/>
        </w:rPr>
        <w:t xml:space="preserve">current </w:t>
      </w:r>
      <w:r w:rsidR="002753FD" w:rsidRPr="00886C9E">
        <w:rPr>
          <w:rFonts w:ascii="Times" w:hAnsi="Times" w:cs="Times New Roman"/>
        </w:rPr>
        <w:t xml:space="preserve">EUCAST </w:t>
      </w:r>
      <w:r w:rsidR="00040034" w:rsidRPr="00886C9E">
        <w:rPr>
          <w:rFonts w:ascii="Times" w:hAnsi="Times" w:cs="Times New Roman"/>
          <w:i/>
        </w:rPr>
        <w:t>in vitro</w:t>
      </w:r>
      <w:r w:rsidR="00040034" w:rsidRPr="00886C9E">
        <w:rPr>
          <w:rFonts w:ascii="Times" w:hAnsi="Times" w:cs="Times New Roman"/>
        </w:rPr>
        <w:t xml:space="preserve"> susceptibility </w:t>
      </w:r>
      <w:r w:rsidR="002753FD" w:rsidRPr="00886C9E">
        <w:rPr>
          <w:rFonts w:ascii="Times" w:hAnsi="Times" w:cs="Times New Roman"/>
        </w:rPr>
        <w:t>breakpoints</w:t>
      </w:r>
      <w:r w:rsidR="00A70074" w:rsidRPr="00886C9E">
        <w:rPr>
          <w:rFonts w:ascii="Times" w:hAnsi="Times" w:cs="Times New Roman"/>
        </w:rPr>
        <w:t>.</w:t>
      </w:r>
      <w:r w:rsidR="004911D2" w:rsidRPr="00886C9E">
        <w:rPr>
          <w:rFonts w:ascii="Times" w:hAnsi="Times" w:cs="Times New Roman"/>
        </w:rPr>
        <w:t xml:space="preserve"> </w:t>
      </w:r>
    </w:p>
    <w:p w14:paraId="0380220B" w14:textId="77777777" w:rsidR="004554E5" w:rsidRPr="00886C9E" w:rsidRDefault="004554E5" w:rsidP="004554E5">
      <w:pPr>
        <w:spacing w:line="480" w:lineRule="auto"/>
        <w:ind w:firstLine="708"/>
        <w:jc w:val="both"/>
        <w:rPr>
          <w:rFonts w:ascii="Times" w:hAnsi="Times" w:cs="Times New Roman"/>
        </w:rPr>
      </w:pPr>
    </w:p>
    <w:p w14:paraId="1F5B0FF6" w14:textId="77777777" w:rsidR="004554E5" w:rsidRPr="00886C9E" w:rsidRDefault="004554E5" w:rsidP="004554E5">
      <w:pPr>
        <w:spacing w:line="480" w:lineRule="auto"/>
        <w:jc w:val="both"/>
        <w:rPr>
          <w:rFonts w:ascii="Times" w:hAnsi="Times" w:cs="Times New Roman"/>
        </w:rPr>
        <w:sectPr w:rsidR="004554E5" w:rsidRPr="00886C9E" w:rsidSect="001105B2">
          <w:pgSz w:w="11900" w:h="16840"/>
          <w:pgMar w:top="1417" w:right="1701" w:bottom="1417" w:left="1701" w:header="708" w:footer="708" w:gutter="0"/>
          <w:lnNumType w:countBy="1" w:restart="continuous"/>
          <w:cols w:space="708"/>
          <w:docGrid w:linePitch="360"/>
        </w:sectPr>
      </w:pPr>
    </w:p>
    <w:p w14:paraId="5171A02B" w14:textId="191C7C6C" w:rsidR="002A30CB" w:rsidRPr="00886C9E" w:rsidRDefault="005A0A63" w:rsidP="004554E5">
      <w:pPr>
        <w:spacing w:line="480" w:lineRule="auto"/>
        <w:jc w:val="both"/>
        <w:rPr>
          <w:rFonts w:ascii="Times" w:hAnsi="Times" w:cs="Times New Roman"/>
        </w:rPr>
      </w:pPr>
      <w:r w:rsidRPr="00886C9E">
        <w:rPr>
          <w:rFonts w:ascii="Times" w:hAnsi="Times" w:cs="Times New Roman"/>
        </w:rPr>
        <w:lastRenderedPageBreak/>
        <w:t>MATERIAL AND METHODS</w:t>
      </w:r>
    </w:p>
    <w:p w14:paraId="0F1A77C0" w14:textId="77777777" w:rsidR="002A30CB" w:rsidRPr="00886C9E" w:rsidRDefault="002A30CB" w:rsidP="002B6B41">
      <w:pPr>
        <w:spacing w:line="480" w:lineRule="auto"/>
        <w:jc w:val="both"/>
        <w:rPr>
          <w:rFonts w:ascii="Times" w:hAnsi="Times" w:cs="Times New Roman"/>
          <w:i/>
        </w:rPr>
      </w:pPr>
      <w:r w:rsidRPr="00886C9E">
        <w:rPr>
          <w:rFonts w:ascii="Times" w:hAnsi="Times" w:cs="Times New Roman"/>
          <w:i/>
        </w:rPr>
        <w:t>Organism, Susceptibility Studies and Mutational Frequency</w:t>
      </w:r>
    </w:p>
    <w:p w14:paraId="0570CA55" w14:textId="6B3B83E0" w:rsidR="002A30CB" w:rsidRPr="00886C9E" w:rsidRDefault="006F2859" w:rsidP="002B6B41">
      <w:pPr>
        <w:spacing w:line="480" w:lineRule="auto"/>
        <w:ind w:firstLine="708"/>
        <w:jc w:val="both"/>
        <w:rPr>
          <w:rFonts w:ascii="Times" w:hAnsi="Times" w:cs="Times New Roman"/>
        </w:rPr>
      </w:pPr>
      <w:r w:rsidRPr="00886C9E">
        <w:rPr>
          <w:rFonts w:ascii="Times" w:hAnsi="Times" w:cs="Times New Roman"/>
        </w:rPr>
        <w:t>MRSA</w:t>
      </w:r>
      <w:r w:rsidR="008B67FA" w:rsidRPr="00886C9E">
        <w:rPr>
          <w:rFonts w:ascii="Times" w:hAnsi="Times" w:cs="Times New Roman"/>
        </w:rPr>
        <w:t xml:space="preserve"> ATCC</w:t>
      </w:r>
      <w:r w:rsidR="008B67FA" w:rsidRPr="00886C9E">
        <w:rPr>
          <w:rFonts w:ascii="Times" w:hAnsi="Times" w:cs="Times New Roman"/>
        </w:rPr>
        <w:sym w:font="Symbol" w:char="F0D2"/>
      </w:r>
      <w:r w:rsidR="008B67FA" w:rsidRPr="00886C9E">
        <w:rPr>
          <w:rFonts w:ascii="Times" w:hAnsi="Times" w:cs="Times New Roman"/>
        </w:rPr>
        <w:t xml:space="preserve"> 43300</w:t>
      </w:r>
      <w:r w:rsidR="008B67FA" w:rsidRPr="00886C9E">
        <w:rPr>
          <w:rFonts w:ascii="Times" w:hAnsi="Times" w:cs="Times New Roman"/>
        </w:rPr>
        <w:sym w:font="Symbol" w:char="F0D4"/>
      </w:r>
      <w:r w:rsidR="008B67FA" w:rsidRPr="00886C9E">
        <w:rPr>
          <w:rFonts w:ascii="Times" w:hAnsi="Times" w:cs="Times New Roman"/>
        </w:rPr>
        <w:t>(ATCC</w:t>
      </w:r>
      <w:r w:rsidR="008B67FA" w:rsidRPr="00886C9E">
        <w:rPr>
          <w:rFonts w:ascii="Times" w:hAnsi="Times" w:cs="Times New Roman"/>
        </w:rPr>
        <w:sym w:font="Symbol" w:char="F0D2"/>
      </w:r>
      <w:r w:rsidR="008B67FA" w:rsidRPr="00886C9E">
        <w:rPr>
          <w:rFonts w:ascii="Times" w:hAnsi="Times" w:cs="Times New Roman"/>
        </w:rPr>
        <w:t>, Middlesex, UK)</w:t>
      </w:r>
      <w:r w:rsidRPr="00886C9E">
        <w:rPr>
          <w:rFonts w:ascii="Times" w:hAnsi="Times" w:cs="Times New Roman"/>
        </w:rPr>
        <w:t xml:space="preserve"> was </w:t>
      </w:r>
      <w:r w:rsidR="002A30CB" w:rsidRPr="00886C9E">
        <w:rPr>
          <w:rFonts w:ascii="Times" w:hAnsi="Times" w:cs="Times New Roman"/>
        </w:rPr>
        <w:t xml:space="preserve">used for all experiments. </w:t>
      </w:r>
      <w:r w:rsidR="008A2625" w:rsidRPr="00886C9E">
        <w:rPr>
          <w:rFonts w:ascii="Times" w:hAnsi="Times" w:cs="Times New Roman"/>
        </w:rPr>
        <w:t xml:space="preserve">The isolate </w:t>
      </w:r>
      <w:r w:rsidR="008B67FA" w:rsidRPr="00886C9E">
        <w:rPr>
          <w:rFonts w:ascii="Times" w:hAnsi="Times" w:cs="Times New Roman"/>
        </w:rPr>
        <w:t>w</w:t>
      </w:r>
      <w:r w:rsidR="008A2625" w:rsidRPr="00886C9E">
        <w:rPr>
          <w:rFonts w:ascii="Times" w:hAnsi="Times" w:cs="Times New Roman"/>
        </w:rPr>
        <w:t>as</w:t>
      </w:r>
      <w:r w:rsidR="002A30CB" w:rsidRPr="00886C9E">
        <w:rPr>
          <w:rFonts w:ascii="Times" w:hAnsi="Times" w:cs="Times New Roman"/>
        </w:rPr>
        <w:t xml:space="preserve"> stor</w:t>
      </w:r>
      <w:r w:rsidRPr="00886C9E">
        <w:rPr>
          <w:rFonts w:ascii="Times" w:hAnsi="Times" w:cs="Times New Roman"/>
        </w:rPr>
        <w:t xml:space="preserve">ed </w:t>
      </w:r>
      <w:r w:rsidR="002753FD" w:rsidRPr="00886C9E">
        <w:rPr>
          <w:rFonts w:ascii="Times" w:hAnsi="Times" w:cs="Times New Roman"/>
        </w:rPr>
        <w:t xml:space="preserve">on beads </w:t>
      </w:r>
      <w:r w:rsidRPr="00886C9E">
        <w:rPr>
          <w:rFonts w:ascii="Times" w:hAnsi="Times" w:cs="Times New Roman"/>
        </w:rPr>
        <w:t>at -80ºC. The MIC for the strain</w:t>
      </w:r>
      <w:r w:rsidR="002A30CB" w:rsidRPr="00886C9E">
        <w:rPr>
          <w:rFonts w:ascii="Times" w:hAnsi="Times" w:cs="Times New Roman"/>
        </w:rPr>
        <w:t xml:space="preserve"> was determined </w:t>
      </w:r>
      <w:r w:rsidR="00361C17" w:rsidRPr="00886C9E">
        <w:rPr>
          <w:rFonts w:ascii="Times" w:hAnsi="Times" w:cs="Times New Roman"/>
        </w:rPr>
        <w:t xml:space="preserve">using the </w:t>
      </w:r>
      <w:r w:rsidR="002A30CB" w:rsidRPr="00886C9E">
        <w:rPr>
          <w:rFonts w:ascii="Times" w:hAnsi="Times" w:cs="Times New Roman"/>
        </w:rPr>
        <w:t>EUCAST</w:t>
      </w:r>
      <w:r w:rsidR="00B23E1C" w:rsidRPr="00886C9E">
        <w:rPr>
          <w:rFonts w:ascii="Times" w:hAnsi="Times" w:cs="Times New Roman"/>
        </w:rPr>
        <w:t xml:space="preserve"> broth microdilution</w:t>
      </w:r>
      <w:r w:rsidR="002A30CB" w:rsidRPr="00886C9E">
        <w:rPr>
          <w:rFonts w:ascii="Times" w:hAnsi="Times" w:cs="Times New Roman"/>
        </w:rPr>
        <w:t xml:space="preserve"> methodolog</w:t>
      </w:r>
      <w:r w:rsidR="003E603F" w:rsidRPr="00886C9E">
        <w:rPr>
          <w:rFonts w:ascii="Times" w:hAnsi="Times" w:cs="Times New Roman"/>
        </w:rPr>
        <w:t>y</w:t>
      </w:r>
      <w:r w:rsidR="002A30CB" w:rsidRPr="00886C9E">
        <w:rPr>
          <w:rFonts w:ascii="Times" w:hAnsi="Times" w:cs="Times New Roman"/>
        </w:rPr>
        <w:t xml:space="preserve"> on </w:t>
      </w:r>
      <w:r w:rsidR="00410B35" w:rsidRPr="00886C9E">
        <w:rPr>
          <w:rFonts w:ascii="Times" w:hAnsi="Times" w:cs="Times New Roman"/>
        </w:rPr>
        <w:t>three</w:t>
      </w:r>
      <w:r w:rsidR="002753FD" w:rsidRPr="00886C9E">
        <w:rPr>
          <w:rFonts w:ascii="Times" w:hAnsi="Times" w:cs="Times New Roman"/>
        </w:rPr>
        <w:t xml:space="preserve"> </w:t>
      </w:r>
      <w:r w:rsidR="002A30CB" w:rsidRPr="00886C9E">
        <w:rPr>
          <w:rFonts w:ascii="Times" w:hAnsi="Times" w:cs="Times New Roman"/>
        </w:rPr>
        <w:t>separate occasions</w:t>
      </w:r>
      <w:r w:rsidR="00516D42" w:rsidRPr="00886C9E">
        <w:rPr>
          <w:rFonts w:ascii="Times" w:hAnsi="Times" w:cs="Times New Roman"/>
        </w:rPr>
        <w:t>.</w:t>
      </w:r>
      <w:r w:rsidR="00361C17" w:rsidRPr="00886C9E">
        <w:rPr>
          <w:rFonts w:ascii="Times" w:hAnsi="Times" w:cs="Times New Roman"/>
        </w:rPr>
        <w:fldChar w:fldCharType="begin" w:fldLock="1"/>
      </w:r>
      <w:r w:rsidR="00912D14" w:rsidRPr="00886C9E">
        <w:rPr>
          <w:rFonts w:ascii="Times" w:hAnsi="Times" w:cs="Times New Roman"/>
        </w:rPr>
        <w:instrText>ADDIN CSL_CITATION { "citationItems" : [ { "id" : "ITEM-1", "itemData" : { "DOI" : "10.1046/j.1469-0691.2003.00790.x", "ISBN" : "1198-743X", "ISSN" : "1469-0691", "author" : [ { "dropping-particle" : "", "family" : "European Committee on Antimicrobial Susceptibility Testing", "given" : "", "non-dropping-particle" : "", "parse-names" : false, "suffix" : "" } ], "container-title" : "Clinical Microbiology and Infection", "id" : "ITEM-1", "issue" : "8", "issued" : { "date-parts" : [ [ "2003" ] ] }, "page" : "1-7", "title" : "Determination of minimum inhibitory concentrations (MICs) of antibacterial agents by broth dilution", "type" : "article-journal", "volume" : "9" }, "uris" : [ "http://www.mendeley.com/documents/?uuid=1a94d3f6-9ea4-4b09-ab88-c1e3dc29b014" ] } ], "mendeley" : { "formattedCitation" : "&lt;sup&gt;6&lt;/sup&gt;", "plainTextFormattedCitation" : "6", "previouslyFormattedCitation" : "&lt;sup&gt;6&lt;/sup&gt;" }, "properties" : { "noteIndex" : 0 }, "schema" : "https://github.com/citation-style-language/schema/raw/master/csl-citation.json" }</w:instrText>
      </w:r>
      <w:r w:rsidR="00361C17" w:rsidRPr="00886C9E">
        <w:rPr>
          <w:rFonts w:ascii="Times" w:hAnsi="Times" w:cs="Times New Roman"/>
        </w:rPr>
        <w:fldChar w:fldCharType="separate"/>
      </w:r>
      <w:r w:rsidR="00D85CCF" w:rsidRPr="00886C9E">
        <w:rPr>
          <w:rFonts w:ascii="Times" w:hAnsi="Times" w:cs="Times New Roman"/>
          <w:noProof/>
          <w:vertAlign w:val="superscript"/>
        </w:rPr>
        <w:t>6</w:t>
      </w:r>
      <w:r w:rsidR="00361C17" w:rsidRPr="00886C9E">
        <w:rPr>
          <w:rFonts w:ascii="Times" w:hAnsi="Times" w:cs="Times New Roman"/>
        </w:rPr>
        <w:fldChar w:fldCharType="end"/>
      </w:r>
      <w:r w:rsidR="00D6610A" w:rsidRPr="00886C9E">
        <w:rPr>
          <w:rFonts w:ascii="Times" w:hAnsi="Times" w:cs="Times New Roman"/>
        </w:rPr>
        <w:t xml:space="preserve"> </w:t>
      </w:r>
      <w:r w:rsidR="002A30CB" w:rsidRPr="00886C9E">
        <w:rPr>
          <w:rFonts w:ascii="Times" w:hAnsi="Times" w:cs="Times New Roman"/>
        </w:rPr>
        <w:t>The mutational frequency of a</w:t>
      </w:r>
      <w:r w:rsidR="00B34543" w:rsidRPr="00886C9E">
        <w:rPr>
          <w:rFonts w:ascii="Times" w:hAnsi="Times" w:cs="Times New Roman"/>
        </w:rPr>
        <w:t xml:space="preserve"> sub</w:t>
      </w:r>
      <w:r w:rsidR="002A30CB" w:rsidRPr="00886C9E">
        <w:rPr>
          <w:rFonts w:ascii="Times" w:hAnsi="Times" w:cs="Times New Roman"/>
        </w:rPr>
        <w:t xml:space="preserve">population </w:t>
      </w:r>
      <w:r w:rsidR="00B34543" w:rsidRPr="00886C9E">
        <w:rPr>
          <w:rFonts w:ascii="Times" w:hAnsi="Times" w:cs="Times New Roman"/>
        </w:rPr>
        <w:t>with MIC</w:t>
      </w:r>
      <w:r w:rsidR="002753FD" w:rsidRPr="00886C9E">
        <w:rPr>
          <w:rFonts w:ascii="Times" w:hAnsi="Times" w:cs="Times New Roman"/>
        </w:rPr>
        <w:t xml:space="preserve"> </w:t>
      </w:r>
      <w:r w:rsidR="00B34543" w:rsidRPr="00886C9E">
        <w:rPr>
          <w:rFonts w:ascii="Times" w:hAnsi="Times" w:cs="Times New Roman"/>
        </w:rPr>
        <w:t>&gt;=8</w:t>
      </w:r>
      <w:r w:rsidR="00361C17" w:rsidRPr="00886C9E">
        <w:rPr>
          <w:rFonts w:ascii="Times" w:hAnsi="Times" w:cs="Times New Roman"/>
        </w:rPr>
        <w:t xml:space="preserve"> mg/L</w:t>
      </w:r>
      <w:r w:rsidR="00B34543" w:rsidRPr="00886C9E">
        <w:rPr>
          <w:rFonts w:ascii="Times" w:hAnsi="Times" w:cs="Times New Roman"/>
        </w:rPr>
        <w:t xml:space="preserve"> was determined using </w:t>
      </w:r>
      <w:proofErr w:type="spellStart"/>
      <w:r w:rsidR="00361C17" w:rsidRPr="00886C9E">
        <w:rPr>
          <w:rFonts w:ascii="Times" w:hAnsi="Times" w:cs="Times New Roman"/>
        </w:rPr>
        <w:t>teicoplanin</w:t>
      </w:r>
      <w:proofErr w:type="spellEnd"/>
      <w:r w:rsidR="00361C17" w:rsidRPr="00886C9E">
        <w:rPr>
          <w:rFonts w:ascii="Times" w:hAnsi="Times" w:cs="Times New Roman"/>
        </w:rPr>
        <w:t xml:space="preserve"> </w:t>
      </w:r>
      <w:r w:rsidR="00B34543" w:rsidRPr="00886C9E">
        <w:rPr>
          <w:rFonts w:ascii="Times" w:hAnsi="Times" w:cs="Times New Roman"/>
        </w:rPr>
        <w:t>drug containing</w:t>
      </w:r>
      <w:r w:rsidRPr="00886C9E">
        <w:rPr>
          <w:rFonts w:ascii="Times" w:hAnsi="Times" w:cs="Times New Roman"/>
        </w:rPr>
        <w:t xml:space="preserve"> </w:t>
      </w:r>
      <w:r w:rsidR="002A30CB" w:rsidRPr="00886C9E">
        <w:rPr>
          <w:rFonts w:ascii="Times" w:hAnsi="Times" w:cs="Times New Roman"/>
        </w:rPr>
        <w:t xml:space="preserve">MH agar </w:t>
      </w:r>
      <w:r w:rsidR="00C83883" w:rsidRPr="00886C9E">
        <w:rPr>
          <w:rFonts w:ascii="Times" w:hAnsi="Times" w:cs="Times New Roman"/>
        </w:rPr>
        <w:t>(Sigma-Aldrich, Dorset, UK)</w:t>
      </w:r>
      <w:r w:rsidR="00CD7AA0" w:rsidRPr="00886C9E">
        <w:rPr>
          <w:rFonts w:ascii="Times" w:hAnsi="Times" w:cs="Times New Roman"/>
        </w:rPr>
        <w:t>, as previously reported</w:t>
      </w:r>
      <w:r w:rsidR="00516D42" w:rsidRPr="00886C9E">
        <w:rPr>
          <w:rFonts w:ascii="Times" w:hAnsi="Times" w:cs="Times New Roman"/>
        </w:rPr>
        <w:t>.</w:t>
      </w:r>
      <w:r w:rsidR="00CD7AA0" w:rsidRPr="00886C9E">
        <w:rPr>
          <w:rFonts w:ascii="Times" w:hAnsi="Times" w:cs="Times New Roman"/>
        </w:rPr>
        <w:fldChar w:fldCharType="begin" w:fldLock="1"/>
      </w:r>
      <w:r w:rsidR="00912D14" w:rsidRPr="00886C9E">
        <w:rPr>
          <w:rFonts w:ascii="Times" w:hAnsi="Times" w:cs="Times New Roman"/>
        </w:rPr>
        <w:instrText>ADDIN CSL_CITATION { "citationItems" : [ { "id" : "ITEM-1", "itemData" : { "DOI" : "10.1128/AAC.05664-11", "ISBN" : "1098-6596 (Electronic)\\r0066-4804 (Linking)", "ISSN" : "00664804", "PMID" : "22083484", "abstract" : "For methicillin-resistant Staphylococcus aureus (MRSA) infections, data suggest that the clinical response is significantly better if the total vancomycin area under the concentration-time curve (AUC)/MIC ratio is \u2265400. While the AUC/MIC ratio is the accepted pharmacokinetic/pharmacodynamic (PK/PD) index for vancomycin, this target has been achieved using multiple daily doses. We are unaware of a systematically designed dose fractionation study to compare the bactericidal activity of once-daily administration to that of traditional twice-daily administration. A dose fractionation study was performed with vancomycin in an in vitro hollow-fiber infection model against an MRSA USA300 strain (MIC of 0.75 \u03bcg/ml) using an inoculum of \u223c10(6) CFU/ml. The three vancomycin regimens evaluated for 168 h were 2 g every 24 h (q24h) as a 1-h infusion, 1 g q12h as a 1-h infusion, and 2 g q24h as a continuous infusion. Free steady-state concentrations (assuming 45% binding) for a total daily AUC/MIC ratio of \u2265400 were simulated for all regimens. A validated liquid chromatography-tandem mass spectrometry method was used to determine vancomycin concentrations. Although once-daily and twice-daily dosage regimens exhibited total trough concentrations of &lt;15 \u03bcg/ml, all regimens achieved similar bactericidal activities between 24 and 168 h and suppressed the amplification of nonsusceptible subpopulations. No colonies were found on agar plates with 3\u00d7 MIC for any of the treatment arms. Overall, the results suggest that once-daily vancomycin administration is feasible from a PK/PD perspective and merits further inquiry in the clinical arena.", "author" : [ { "dropping-particle" : "", "family" : "Nicasio", "given" : "Anthony M.", "non-dropping-particle" : "", "parse-names" : false, "suffix" : "" }, { "dropping-particle" : "", "family" : "Bulitta", "given" : "J\u00fcrgen B.", "non-dropping-particle" : "", "parse-names" : false, "suffix" : "" }, { "dropping-particle" : "", "family" : "Lodise", "given" : "Thomas P.", "non-dropping-particle" : "", "parse-names" : false, "suffix" : "" }, { "dropping-particle" : "", "family" : "D'Hondt", "given" : "Rebecca E.", "non-dropping-particle" : "", "parse-names" : false, "suffix" : "" }, { "dropping-particle" : "", "family" : "Kulawy", "given" : "Robert", "non-dropping-particle" : "", "parse-names" : false, "suffix" : "" }, { "dropping-particle" : "", "family" : "Louie", "given" : "Arnold", "non-dropping-particle" : "", "parse-names" : false, "suffix" : "" }, { "dropping-particle" : "", "family" : "Drusano", "given" : "George L.", "non-dropping-particle" : "", "parse-names" : false, "suffix" : "" } ], "container-title" : "Antimicrobial Agents and Chemotherapy", "id" : "ITEM-1", "issued" : { "date-parts" : [ [ "2012" ] ] }, "page" : "682-686", "title" : "Evaluation of once-daily vancomycin against methicillin-resistant staphylococcus aureus in a hollow-fiber infection model", "type" : "article-journal", "volume" : "56" }, "uris" : [ "http://www.mendeley.com/documents/?uuid=07c5d467-9a44-4001-ac94-6947364d1809" ] } ], "mendeley" : { "formattedCitation" : "&lt;sup&gt;7&lt;/sup&gt;", "plainTextFormattedCitation" : "7", "previouslyFormattedCitation" : "&lt;sup&gt;7&lt;/sup&gt;" }, "properties" : { "noteIndex" : 0 }, "schema" : "https://github.com/citation-style-language/schema/raw/master/csl-citation.json" }</w:instrText>
      </w:r>
      <w:r w:rsidR="00CD7AA0" w:rsidRPr="00886C9E">
        <w:rPr>
          <w:rFonts w:ascii="Times" w:hAnsi="Times" w:cs="Times New Roman"/>
        </w:rPr>
        <w:fldChar w:fldCharType="separate"/>
      </w:r>
      <w:r w:rsidR="00D85CCF" w:rsidRPr="00886C9E">
        <w:rPr>
          <w:rFonts w:ascii="Times" w:hAnsi="Times" w:cs="Times New Roman"/>
          <w:noProof/>
          <w:vertAlign w:val="superscript"/>
        </w:rPr>
        <w:t>7</w:t>
      </w:r>
      <w:r w:rsidR="00CD7AA0" w:rsidRPr="00886C9E">
        <w:rPr>
          <w:rFonts w:ascii="Times" w:hAnsi="Times" w:cs="Times New Roman"/>
        </w:rPr>
        <w:fldChar w:fldCharType="end"/>
      </w:r>
    </w:p>
    <w:p w14:paraId="530EE097" w14:textId="77777777" w:rsidR="002A30CB" w:rsidRPr="00886C9E" w:rsidRDefault="002A30CB">
      <w:pPr>
        <w:spacing w:line="480" w:lineRule="auto"/>
        <w:ind w:firstLine="708"/>
        <w:jc w:val="both"/>
        <w:rPr>
          <w:rFonts w:ascii="Times" w:hAnsi="Times" w:cs="Times New Roman"/>
        </w:rPr>
      </w:pPr>
    </w:p>
    <w:p w14:paraId="7CCAE628" w14:textId="77777777" w:rsidR="002A30CB" w:rsidRPr="00886C9E" w:rsidRDefault="002A30CB">
      <w:pPr>
        <w:spacing w:line="480" w:lineRule="auto"/>
        <w:jc w:val="both"/>
        <w:rPr>
          <w:rFonts w:ascii="Times" w:hAnsi="Times" w:cs="Times New Roman"/>
          <w:i/>
        </w:rPr>
      </w:pPr>
      <w:r w:rsidRPr="00886C9E">
        <w:rPr>
          <w:rFonts w:ascii="Times" w:hAnsi="Times" w:cs="Times New Roman"/>
          <w:i/>
        </w:rPr>
        <w:t>Bioanalytical Methodology</w:t>
      </w:r>
    </w:p>
    <w:p w14:paraId="210E2026" w14:textId="63639FB5" w:rsidR="008B67FA" w:rsidRPr="00886C9E" w:rsidRDefault="008A2625">
      <w:pPr>
        <w:spacing w:line="480" w:lineRule="auto"/>
        <w:ind w:firstLine="720"/>
        <w:jc w:val="both"/>
        <w:rPr>
          <w:rFonts w:ascii="Times" w:hAnsi="Times" w:cs="Times New Roman"/>
        </w:rPr>
      </w:pPr>
      <w:r w:rsidRPr="00886C9E">
        <w:rPr>
          <w:rFonts w:ascii="Times" w:hAnsi="Times" w:cs="Times New Roman"/>
        </w:rPr>
        <w:t xml:space="preserve">Concentrations of </w:t>
      </w:r>
      <w:proofErr w:type="spellStart"/>
      <w:r w:rsidRPr="00886C9E">
        <w:rPr>
          <w:rFonts w:ascii="Times" w:hAnsi="Times" w:cs="Times New Roman"/>
        </w:rPr>
        <w:t>teicoplanin</w:t>
      </w:r>
      <w:proofErr w:type="spellEnd"/>
      <w:r w:rsidRPr="00886C9E">
        <w:rPr>
          <w:rFonts w:ascii="Times" w:hAnsi="Times" w:cs="Times New Roman"/>
        </w:rPr>
        <w:t xml:space="preserve"> </w:t>
      </w:r>
      <w:r w:rsidR="008B67FA" w:rsidRPr="00886C9E">
        <w:rPr>
          <w:rFonts w:ascii="Times" w:hAnsi="Times" w:cs="Times New Roman"/>
        </w:rPr>
        <w:t>were measured using a commercially available fluorescence polarization immunoassay (FPIA; Thermo Fisher Scientific, Germany)</w:t>
      </w:r>
      <w:r w:rsidRPr="00886C9E">
        <w:rPr>
          <w:rFonts w:ascii="Times" w:hAnsi="Times" w:cs="Times New Roman"/>
        </w:rPr>
        <w:t>.</w:t>
      </w:r>
      <w:r w:rsidR="008B67FA" w:rsidRPr="00886C9E">
        <w:rPr>
          <w:rFonts w:ascii="Times" w:hAnsi="Times" w:cs="Times New Roman"/>
        </w:rPr>
        <w:t xml:space="preserve"> </w:t>
      </w:r>
      <w:r w:rsidR="00516D42" w:rsidRPr="00886C9E">
        <w:rPr>
          <w:rFonts w:ascii="Times New Roman" w:hAnsi="Times New Roman" w:cs="Times New Roman"/>
        </w:rPr>
        <w:t xml:space="preserve">This is a homogeneous particle-enhanced </w:t>
      </w:r>
      <w:proofErr w:type="spellStart"/>
      <w:r w:rsidR="00516D42" w:rsidRPr="00886C9E">
        <w:rPr>
          <w:rFonts w:ascii="Times New Roman" w:hAnsi="Times New Roman" w:cs="Times New Roman"/>
        </w:rPr>
        <w:t>turbidimetric</w:t>
      </w:r>
      <w:proofErr w:type="spellEnd"/>
      <w:r w:rsidR="00516D42" w:rsidRPr="00886C9E">
        <w:rPr>
          <w:rFonts w:ascii="Times New Roman" w:hAnsi="Times New Roman" w:cs="Times New Roman"/>
        </w:rPr>
        <w:t xml:space="preserve"> immunoassay that utilizes the Quantitative Microsp</w:t>
      </w:r>
      <w:r w:rsidR="002070B6" w:rsidRPr="00886C9E">
        <w:rPr>
          <w:rFonts w:ascii="Times New Roman" w:hAnsi="Times New Roman" w:cs="Times New Roman"/>
        </w:rPr>
        <w:t>here System (QMS) technology and</w:t>
      </w:r>
      <w:r w:rsidR="00516D42" w:rsidRPr="00886C9E">
        <w:rPr>
          <w:rFonts w:ascii="Times New Roman" w:hAnsi="Times New Roman" w:cs="Times New Roman"/>
        </w:rPr>
        <w:t xml:space="preserve"> was implemented on an automated </w:t>
      </w:r>
      <w:proofErr w:type="spellStart"/>
      <w:r w:rsidR="00516D42" w:rsidRPr="00886C9E">
        <w:rPr>
          <w:rFonts w:ascii="Times New Roman" w:hAnsi="Times New Roman" w:cs="Times New Roman"/>
        </w:rPr>
        <w:t>analyzer</w:t>
      </w:r>
      <w:proofErr w:type="spellEnd"/>
      <w:r w:rsidR="00516D42" w:rsidRPr="00886C9E">
        <w:rPr>
          <w:rFonts w:ascii="Times New Roman" w:hAnsi="Times New Roman" w:cs="Times New Roman"/>
        </w:rPr>
        <w:t xml:space="preserve"> Abbott Architect ci4100. The assay is based on competition between drug in the sample and drug coated onto a </w:t>
      </w:r>
      <w:proofErr w:type="spellStart"/>
      <w:r w:rsidR="00516D42" w:rsidRPr="00886C9E">
        <w:rPr>
          <w:rFonts w:ascii="Times New Roman" w:hAnsi="Times New Roman" w:cs="Times New Roman"/>
        </w:rPr>
        <w:t>microparticle</w:t>
      </w:r>
      <w:proofErr w:type="spellEnd"/>
      <w:r w:rsidR="00516D42" w:rsidRPr="00886C9E">
        <w:rPr>
          <w:rFonts w:ascii="Times New Roman" w:hAnsi="Times New Roman" w:cs="Times New Roman"/>
        </w:rPr>
        <w:t xml:space="preserve"> for antibody biding sites of the </w:t>
      </w:r>
      <w:proofErr w:type="spellStart"/>
      <w:r w:rsidR="00516D42" w:rsidRPr="00886C9E">
        <w:rPr>
          <w:rFonts w:ascii="Times New Roman" w:hAnsi="Times New Roman" w:cs="Times New Roman"/>
        </w:rPr>
        <w:t>teicoplanin</w:t>
      </w:r>
      <w:proofErr w:type="spellEnd"/>
      <w:r w:rsidR="00516D42" w:rsidRPr="00886C9E">
        <w:rPr>
          <w:rFonts w:ascii="Times New Roman" w:hAnsi="Times New Roman" w:cs="Times New Roman"/>
        </w:rPr>
        <w:t xml:space="preserve"> antibody reagent. A concentration-dependent agglutination inhibition curve was obtained with minimum and maximum rate of agglutination at the highest and lowest </w:t>
      </w:r>
      <w:proofErr w:type="spellStart"/>
      <w:r w:rsidR="00516D42" w:rsidRPr="00886C9E">
        <w:rPr>
          <w:rFonts w:ascii="Times New Roman" w:hAnsi="Times New Roman" w:cs="Times New Roman"/>
        </w:rPr>
        <w:t>teicoplanin</w:t>
      </w:r>
      <w:proofErr w:type="spellEnd"/>
      <w:r w:rsidR="00516D42" w:rsidRPr="00886C9E">
        <w:rPr>
          <w:rFonts w:ascii="Times New Roman" w:hAnsi="Times New Roman" w:cs="Times New Roman"/>
        </w:rPr>
        <w:t xml:space="preserve"> concentrations, respectively. </w:t>
      </w:r>
      <w:r w:rsidR="008B67FA" w:rsidRPr="00886C9E">
        <w:rPr>
          <w:rFonts w:ascii="Times" w:hAnsi="Times" w:cs="Times New Roman"/>
        </w:rPr>
        <w:t>The limit of quantification (LOQ) was &lt; 3.0 mg/L. The dynamic range was 3-100 mg/L and overall</w:t>
      </w:r>
      <w:r w:rsidR="00A70074" w:rsidRPr="00886C9E">
        <w:rPr>
          <w:rFonts w:ascii="Times" w:hAnsi="Times" w:cs="Times New Roman"/>
        </w:rPr>
        <w:t xml:space="preserve"> (intra and inter-day)</w:t>
      </w:r>
      <w:r w:rsidR="008B67FA" w:rsidRPr="00886C9E">
        <w:rPr>
          <w:rFonts w:ascii="Times" w:hAnsi="Times" w:cs="Times New Roman"/>
        </w:rPr>
        <w:t xml:space="preserve"> precision was &lt; 6%.</w:t>
      </w:r>
      <w:r w:rsidR="00B34543" w:rsidRPr="00886C9E">
        <w:rPr>
          <w:rFonts w:ascii="Times" w:hAnsi="Times" w:cs="Times New Roman"/>
        </w:rPr>
        <w:t xml:space="preserve"> </w:t>
      </w:r>
    </w:p>
    <w:p w14:paraId="0EEC7C8D" w14:textId="77777777" w:rsidR="002A30CB" w:rsidRPr="00886C9E" w:rsidRDefault="002A30CB">
      <w:pPr>
        <w:spacing w:line="480" w:lineRule="auto"/>
        <w:jc w:val="both"/>
        <w:rPr>
          <w:rFonts w:ascii="Times" w:hAnsi="Times" w:cs="Times New Roman"/>
        </w:rPr>
      </w:pPr>
    </w:p>
    <w:p w14:paraId="52153B7A" w14:textId="77777777" w:rsidR="00B55522" w:rsidRPr="00886C9E" w:rsidRDefault="00B55522">
      <w:pPr>
        <w:spacing w:line="480" w:lineRule="auto"/>
        <w:jc w:val="both"/>
        <w:rPr>
          <w:rFonts w:ascii="Times" w:hAnsi="Times" w:cs="Times New Roman"/>
        </w:rPr>
      </w:pPr>
    </w:p>
    <w:p w14:paraId="1397A9F7" w14:textId="77777777" w:rsidR="00B55522" w:rsidRPr="00886C9E" w:rsidRDefault="00B55522">
      <w:pPr>
        <w:spacing w:line="480" w:lineRule="auto"/>
        <w:jc w:val="both"/>
        <w:rPr>
          <w:rFonts w:ascii="Times" w:hAnsi="Times" w:cs="Times New Roman"/>
        </w:rPr>
      </w:pPr>
    </w:p>
    <w:p w14:paraId="11914A64" w14:textId="77777777" w:rsidR="00D4683F" w:rsidRPr="00886C9E" w:rsidRDefault="00D4683F">
      <w:pPr>
        <w:spacing w:line="480" w:lineRule="auto"/>
        <w:jc w:val="both"/>
        <w:rPr>
          <w:rFonts w:ascii="Times" w:hAnsi="Times" w:cs="Times New Roman"/>
        </w:rPr>
      </w:pPr>
    </w:p>
    <w:p w14:paraId="2172F5FB" w14:textId="655CE925" w:rsidR="002A30CB" w:rsidRPr="00886C9E" w:rsidRDefault="002A30CB">
      <w:pPr>
        <w:spacing w:line="480" w:lineRule="auto"/>
        <w:jc w:val="both"/>
        <w:rPr>
          <w:rFonts w:ascii="Times" w:hAnsi="Times" w:cs="Times New Roman"/>
          <w:i/>
        </w:rPr>
      </w:pPr>
      <w:r w:rsidRPr="00886C9E">
        <w:rPr>
          <w:rFonts w:ascii="Times" w:hAnsi="Times" w:cs="Times New Roman"/>
          <w:i/>
        </w:rPr>
        <w:lastRenderedPageBreak/>
        <w:t>In vitro</w:t>
      </w:r>
      <w:r w:rsidR="006F2859" w:rsidRPr="00886C9E">
        <w:rPr>
          <w:rFonts w:ascii="Times" w:hAnsi="Times" w:cs="Times New Roman"/>
          <w:i/>
        </w:rPr>
        <w:t xml:space="preserve"> Model of </w:t>
      </w:r>
      <w:r w:rsidR="008B67FA" w:rsidRPr="00886C9E">
        <w:rPr>
          <w:rFonts w:ascii="Times" w:hAnsi="Times" w:cs="Times New Roman"/>
          <w:i/>
        </w:rPr>
        <w:t xml:space="preserve">MRSA </w:t>
      </w:r>
      <w:r w:rsidR="009162AC" w:rsidRPr="00886C9E">
        <w:rPr>
          <w:rFonts w:ascii="Times" w:hAnsi="Times" w:cs="Times New Roman"/>
          <w:i/>
        </w:rPr>
        <w:t>Infection in a Hollow Fibre</w:t>
      </w:r>
      <w:r w:rsidRPr="00886C9E">
        <w:rPr>
          <w:rFonts w:ascii="Times" w:hAnsi="Times" w:cs="Times New Roman"/>
          <w:i/>
        </w:rPr>
        <w:t xml:space="preserve"> System</w:t>
      </w:r>
    </w:p>
    <w:p w14:paraId="52535FF8" w14:textId="25FBC762" w:rsidR="002A30CB" w:rsidRPr="00886C9E" w:rsidRDefault="008B67FA" w:rsidP="00516D42">
      <w:pPr>
        <w:spacing w:line="480" w:lineRule="auto"/>
        <w:ind w:firstLine="708"/>
        <w:jc w:val="both"/>
        <w:rPr>
          <w:rFonts w:ascii="Times" w:hAnsi="Times" w:cs="Times New Roman"/>
        </w:rPr>
      </w:pPr>
      <w:proofErr w:type="spellStart"/>
      <w:r w:rsidRPr="00886C9E">
        <w:rPr>
          <w:rFonts w:ascii="Times" w:hAnsi="Times" w:cs="Times New Roman"/>
        </w:rPr>
        <w:t>Teicoplanin</w:t>
      </w:r>
      <w:proofErr w:type="spellEnd"/>
      <w:r w:rsidR="002A30CB" w:rsidRPr="00886C9E">
        <w:rPr>
          <w:rFonts w:ascii="Times" w:hAnsi="Times" w:cs="Times New Roman"/>
        </w:rPr>
        <w:t xml:space="preserve"> fo</w:t>
      </w:r>
      <w:r w:rsidRPr="00886C9E">
        <w:rPr>
          <w:rFonts w:ascii="Times" w:hAnsi="Times" w:cs="Times New Roman"/>
        </w:rPr>
        <w:t>r intravenous infusion (</w:t>
      </w:r>
      <w:proofErr w:type="spellStart"/>
      <w:r w:rsidRPr="00886C9E">
        <w:rPr>
          <w:rFonts w:ascii="Times" w:hAnsi="Times" w:cs="Times New Roman"/>
        </w:rPr>
        <w:t>Tar</w:t>
      </w:r>
      <w:r w:rsidR="009162AC" w:rsidRPr="00886C9E">
        <w:rPr>
          <w:rFonts w:ascii="Times" w:hAnsi="Times" w:cs="Times New Roman"/>
        </w:rPr>
        <w:t>gocid</w:t>
      </w:r>
      <w:proofErr w:type="spellEnd"/>
      <w:r w:rsidR="009162AC" w:rsidRPr="00886C9E">
        <w:rPr>
          <w:rFonts w:ascii="Times" w:hAnsi="Times" w:cs="Times New Roman"/>
        </w:rPr>
        <w:t xml:space="preserve"> 400 mg, Sanofi Aventis, Surrey</w:t>
      </w:r>
      <w:r w:rsidRPr="00886C9E">
        <w:rPr>
          <w:rFonts w:ascii="Times" w:hAnsi="Times" w:cs="Times New Roman"/>
        </w:rPr>
        <w:t>, UK</w:t>
      </w:r>
      <w:r w:rsidR="002A30CB" w:rsidRPr="00886C9E">
        <w:rPr>
          <w:rFonts w:ascii="Times" w:hAnsi="Times" w:cs="Times New Roman"/>
        </w:rPr>
        <w:t>) was used</w:t>
      </w:r>
      <w:r w:rsidR="00547D49" w:rsidRPr="00886C9E">
        <w:rPr>
          <w:rFonts w:ascii="Times" w:hAnsi="Times" w:cs="Times New Roman"/>
        </w:rPr>
        <w:t xml:space="preserve"> </w:t>
      </w:r>
      <w:r w:rsidR="004C44BA" w:rsidRPr="00886C9E">
        <w:rPr>
          <w:rFonts w:ascii="Times" w:hAnsi="Times" w:cs="Times New Roman"/>
        </w:rPr>
        <w:t>for all</w:t>
      </w:r>
      <w:r w:rsidR="00CD7AA0" w:rsidRPr="00886C9E">
        <w:rPr>
          <w:rFonts w:ascii="Times" w:hAnsi="Times" w:cs="Times New Roman"/>
        </w:rPr>
        <w:t xml:space="preserve"> experiments</w:t>
      </w:r>
      <w:r w:rsidR="002A30CB" w:rsidRPr="00886C9E">
        <w:rPr>
          <w:rFonts w:ascii="Times" w:hAnsi="Times" w:cs="Times New Roman"/>
        </w:rPr>
        <w:t xml:space="preserve">. </w:t>
      </w:r>
      <w:r w:rsidR="008B2023" w:rsidRPr="00886C9E">
        <w:rPr>
          <w:rFonts w:ascii="Times" w:hAnsi="Times" w:cs="Times New Roman"/>
        </w:rPr>
        <w:t xml:space="preserve"> </w:t>
      </w:r>
      <w:r w:rsidR="004C44BA" w:rsidRPr="00886C9E">
        <w:rPr>
          <w:rFonts w:ascii="Times" w:hAnsi="Times" w:cs="Times New Roman"/>
        </w:rPr>
        <w:t>A</w:t>
      </w:r>
      <w:r w:rsidRPr="00886C9E">
        <w:rPr>
          <w:rFonts w:ascii="Times" w:hAnsi="Times" w:cs="Times New Roman"/>
        </w:rPr>
        <w:t xml:space="preserve"> p</w:t>
      </w:r>
      <w:r w:rsidR="009162AC" w:rsidRPr="00886C9E">
        <w:rPr>
          <w:rFonts w:ascii="Times" w:hAnsi="Times" w:cs="Times New Roman"/>
        </w:rPr>
        <w:t>a</w:t>
      </w:r>
      <w:r w:rsidRPr="00886C9E">
        <w:rPr>
          <w:rFonts w:ascii="Times" w:hAnsi="Times" w:cs="Times New Roman"/>
        </w:rPr>
        <w:t>ediatric</w:t>
      </w:r>
      <w:r w:rsidR="002A30CB" w:rsidRPr="00886C9E">
        <w:rPr>
          <w:rFonts w:ascii="Times" w:hAnsi="Times" w:cs="Times New Roman"/>
        </w:rPr>
        <w:t xml:space="preserve"> pharmacokinetic profile </w:t>
      </w:r>
      <w:r w:rsidR="004C44BA" w:rsidRPr="00886C9E">
        <w:rPr>
          <w:rFonts w:ascii="Times" w:hAnsi="Times" w:cs="Times New Roman"/>
        </w:rPr>
        <w:t xml:space="preserve">was simulated in </w:t>
      </w:r>
      <w:r w:rsidR="00B55522" w:rsidRPr="00886C9E">
        <w:rPr>
          <w:rFonts w:ascii="Times" w:hAnsi="Times" w:cs="Times New Roman"/>
        </w:rPr>
        <w:t xml:space="preserve">the </w:t>
      </w:r>
      <w:r w:rsidR="004C44BA" w:rsidRPr="00886C9E">
        <w:rPr>
          <w:rFonts w:ascii="Times" w:hAnsi="Times" w:cs="Times New Roman"/>
        </w:rPr>
        <w:t>HFIM</w:t>
      </w:r>
      <w:r w:rsidR="002A30CB" w:rsidRPr="00886C9E">
        <w:rPr>
          <w:rFonts w:ascii="Times" w:hAnsi="Times" w:cs="Times New Roman"/>
        </w:rPr>
        <w:t xml:space="preserve">. An </w:t>
      </w:r>
      <w:r w:rsidR="00A25720" w:rsidRPr="00886C9E">
        <w:rPr>
          <w:rFonts w:ascii="Times" w:hAnsi="Times" w:cs="Times New Roman"/>
        </w:rPr>
        <w:t>elimination half-life of 6.4</w:t>
      </w:r>
      <w:r w:rsidR="002A30CB" w:rsidRPr="00886C9E">
        <w:rPr>
          <w:rFonts w:ascii="Times" w:hAnsi="Times" w:cs="Times New Roman"/>
        </w:rPr>
        <w:t xml:space="preserve"> hours </w:t>
      </w:r>
      <w:r w:rsidRPr="00886C9E">
        <w:rPr>
          <w:rFonts w:ascii="Times" w:hAnsi="Times" w:cs="Times New Roman"/>
        </w:rPr>
        <w:t xml:space="preserve">for </w:t>
      </w:r>
      <w:proofErr w:type="spellStart"/>
      <w:r w:rsidRPr="00886C9E">
        <w:rPr>
          <w:rFonts w:ascii="Times" w:hAnsi="Times" w:cs="Times New Roman"/>
        </w:rPr>
        <w:t>teicoplanin</w:t>
      </w:r>
      <w:proofErr w:type="spellEnd"/>
      <w:r w:rsidR="002A30CB" w:rsidRPr="00886C9E">
        <w:rPr>
          <w:rFonts w:ascii="Times" w:hAnsi="Times" w:cs="Times New Roman"/>
        </w:rPr>
        <w:t xml:space="preserve"> was </w:t>
      </w:r>
      <w:r w:rsidR="000D51D1" w:rsidRPr="00886C9E">
        <w:rPr>
          <w:rFonts w:ascii="Times" w:hAnsi="Times" w:cs="Times New Roman"/>
        </w:rPr>
        <w:t>targeted</w:t>
      </w:r>
      <w:r w:rsidR="00A25720" w:rsidRPr="00886C9E">
        <w:rPr>
          <w:rFonts w:ascii="Times" w:hAnsi="Times" w:cs="Times New Roman"/>
        </w:rPr>
        <w:t xml:space="preserve"> in all the experiments</w:t>
      </w:r>
      <w:r w:rsidR="00B55522" w:rsidRPr="00886C9E">
        <w:rPr>
          <w:rFonts w:ascii="Times" w:hAnsi="Times" w:cs="Times New Roman"/>
        </w:rPr>
        <w:t>, which was</w:t>
      </w:r>
      <w:r w:rsidR="00A25720" w:rsidRPr="00886C9E">
        <w:rPr>
          <w:rFonts w:ascii="Times" w:hAnsi="Times" w:cs="Times New Roman"/>
        </w:rPr>
        <w:t xml:space="preserve"> based on</w:t>
      </w:r>
      <w:r w:rsidR="00C074FC" w:rsidRPr="00886C9E">
        <w:rPr>
          <w:rFonts w:ascii="Times" w:hAnsi="Times" w:cs="Times New Roman"/>
        </w:rPr>
        <w:t xml:space="preserve"> a median clearance estimate from</w:t>
      </w:r>
      <w:r w:rsidR="00A25720" w:rsidRPr="00886C9E">
        <w:rPr>
          <w:rFonts w:ascii="Times" w:hAnsi="Times" w:cs="Times New Roman"/>
        </w:rPr>
        <w:t xml:space="preserve"> a previous population pharmaco</w:t>
      </w:r>
      <w:r w:rsidR="00675243" w:rsidRPr="00886C9E">
        <w:rPr>
          <w:rFonts w:ascii="Times" w:hAnsi="Times" w:cs="Times New Roman"/>
        </w:rPr>
        <w:t>kinetic model in children</w:t>
      </w:r>
      <w:r w:rsidR="00516D42" w:rsidRPr="00886C9E">
        <w:rPr>
          <w:rFonts w:ascii="Times" w:hAnsi="Times" w:cs="Times New Roman"/>
        </w:rPr>
        <w:t>.</w:t>
      </w:r>
      <w:r w:rsidR="00675243" w:rsidRPr="00886C9E">
        <w:rPr>
          <w:rFonts w:ascii="Times" w:hAnsi="Times" w:cs="Times New Roman"/>
        </w:rPr>
        <w:fldChar w:fldCharType="begin" w:fldLock="1"/>
      </w:r>
      <w:r w:rsidR="00912D14" w:rsidRPr="00886C9E">
        <w:rPr>
          <w:rFonts w:ascii="Times" w:hAnsi="Times" w:cs="Times New Roman"/>
        </w:rPr>
        <w:instrText>ADDIN CSL_CITATION { "citationItems" : [ { "id" : "ITEM-1", "itemData" : { "DOI" : "10.1128/AAC.03685-14", "ISSN" : "0066-4804", "author" : [ { "dropping-particle" : "", "family" : "Ramos-Martin", "given" : "V.", "non-dropping-particle" : "", "parse-names" : false, "suffix" : "" }, { "dropping-particle" : "", "family" : "Paulus", "given" : "S.", "non-dropping-particle" : "", "parse-names" : false, "suffix" : "" }, { "dropping-particle" : "", "family" : "Siner", "given" : "S.", "non-dropping-particle" : "", "parse-names" : false, "suffix" : "" }, { "dropping-particle" : "", "family" : "Scott", "given" : "E.", "non-dropping-particle" : "", "parse-names" : false, "suffix" : "" }, { "dropping-particle" : "", "family" : "Padmore", "given" : "K.", "non-dropping-particle" : "", "parse-names" : false, "suffix" : "" }, { "dropping-particle" : "", "family" : "Newland", "given" : "P.", "non-dropping-particle" : "", "parse-names" : false, "suffix" : "" }, { "dropping-particle" : "", "family" : "Drew", "given" : "R. J.", "non-dropping-particle" : "", "parse-names" : false, "suffix" : "" }, { "dropping-particle" : "", "family" : "Felton", "given" : "T. W.", "non-dropping-particle" : "", "parse-names" : false, "suffix" : "" }, { "dropping-particle" : "", "family" : "Docobo-Perez", "given" : "F.", "non-dropping-particle" : "", "parse-names" : false, "suffix" : "" }, { "dropping-particle" : "", "family" : "Pizer", "given" : "B.", "non-dropping-particle" : "", "parse-names" : false, "suffix" : "" }, { "dropping-particle" : "", "family" : "Pea", "given" : "F.", "non-dropping-particle" : "", "parse-names" : false, "suffix" : "" }, { "dropping-particle" : "", "family" : "Peak", "given" : "M.", "non-dropping-particle" : "", "parse-names" : false, "suffix" : "" }, { "dropping-particle" : "", "family" : "Turner", "given" : "M. a.", "non-dropping-particle" : "", "parse-names" : false, "suffix" : "" }, { "dropping-particle" : "", "family" : "Beresford", "given" : "M. W.", "non-dropping-particle" : "", "parse-names" : false, "suffix" : "" }, { "dropping-particle" : "", "family" : "Hope", "given" : "W. W.", "non-dropping-particle" : "", "parse-names" : false, "suffix" : "" } ], "container-title" : "Antimicrobial Agents and Chemotherapy", "id" : "ITEM-1", "issue" : "11", "issued" : { "date-parts" : [ [ "2014" ] ] }, "page" : "6920-6927", "title" : "Population Pharmacokinetics of Teicoplanin in Children", "type" : "article-journal", "volume" : "58" }, "uris" : [ "http://www.mendeley.com/documents/?uuid=07ab5f41-6cb7-4aa1-9bf4-fe389315ad74" ] } ], "mendeley" : { "formattedCitation" : "&lt;sup&gt;8&lt;/sup&gt;", "plainTextFormattedCitation" : "8", "previouslyFormattedCitation" : "&lt;sup&gt;8&lt;/sup&gt;" }, "properties" : { "noteIndex" : 0 }, "schema" : "https://github.com/citation-style-language/schema/raw/master/csl-citation.json" }</w:instrText>
      </w:r>
      <w:r w:rsidR="00675243" w:rsidRPr="00886C9E">
        <w:rPr>
          <w:rFonts w:ascii="Times" w:hAnsi="Times" w:cs="Times New Roman"/>
        </w:rPr>
        <w:fldChar w:fldCharType="separate"/>
      </w:r>
      <w:r w:rsidR="00D85CCF" w:rsidRPr="00886C9E">
        <w:rPr>
          <w:rFonts w:ascii="Times" w:hAnsi="Times" w:cs="Times New Roman"/>
          <w:noProof/>
          <w:vertAlign w:val="superscript"/>
        </w:rPr>
        <w:t>8</w:t>
      </w:r>
      <w:r w:rsidR="00675243" w:rsidRPr="00886C9E">
        <w:rPr>
          <w:rFonts w:ascii="Times" w:hAnsi="Times" w:cs="Times New Roman"/>
        </w:rPr>
        <w:fldChar w:fldCharType="end"/>
      </w:r>
    </w:p>
    <w:p w14:paraId="6395995D" w14:textId="7134B7E4" w:rsidR="002A30CB" w:rsidRPr="00886C9E" w:rsidRDefault="002A30CB" w:rsidP="00516D42">
      <w:pPr>
        <w:spacing w:line="480" w:lineRule="auto"/>
        <w:ind w:firstLine="708"/>
        <w:jc w:val="both"/>
        <w:rPr>
          <w:rFonts w:ascii="Times" w:eastAsia="MS Gothic" w:hAnsi="Times" w:cs="Times New Roman"/>
          <w:color w:val="000000"/>
        </w:rPr>
      </w:pPr>
      <w:r w:rsidRPr="00886C9E">
        <w:rPr>
          <w:rFonts w:ascii="Times" w:hAnsi="Times" w:cs="Times New Roman"/>
        </w:rPr>
        <w:t>For each experiment, fresh bacterial isolates were grown on blo</w:t>
      </w:r>
      <w:r w:rsidR="00012D79" w:rsidRPr="00886C9E">
        <w:rPr>
          <w:rFonts w:ascii="Times" w:hAnsi="Times" w:cs="Times New Roman"/>
        </w:rPr>
        <w:t>od agar (</w:t>
      </w:r>
      <w:proofErr w:type="spellStart"/>
      <w:r w:rsidR="00012D79" w:rsidRPr="00886C9E">
        <w:rPr>
          <w:rFonts w:ascii="Times" w:hAnsi="Times" w:cs="Times New Roman"/>
        </w:rPr>
        <w:t>Oxoid</w:t>
      </w:r>
      <w:proofErr w:type="spellEnd"/>
      <w:r w:rsidR="00012D79" w:rsidRPr="00886C9E">
        <w:rPr>
          <w:rFonts w:ascii="Times" w:hAnsi="Times" w:cs="Times New Roman"/>
        </w:rPr>
        <w:t xml:space="preserve"> Lt</w:t>
      </w:r>
      <w:r w:rsidRPr="00886C9E">
        <w:rPr>
          <w:rFonts w:ascii="Times" w:hAnsi="Times" w:cs="Times New Roman"/>
        </w:rPr>
        <w:t>d</w:t>
      </w:r>
      <w:r w:rsidR="00012D79" w:rsidRPr="00886C9E">
        <w:rPr>
          <w:rFonts w:ascii="Times" w:hAnsi="Times" w:cs="Times New Roman"/>
        </w:rPr>
        <w:t>., Hants</w:t>
      </w:r>
      <w:r w:rsidRPr="00886C9E">
        <w:rPr>
          <w:rFonts w:ascii="Times" w:hAnsi="Times" w:cs="Times New Roman"/>
        </w:rPr>
        <w:t xml:space="preserve">, UK) and incubated at 37º C for 24 hours. </w:t>
      </w:r>
      <w:r w:rsidR="00697745" w:rsidRPr="00886C9E">
        <w:rPr>
          <w:rFonts w:ascii="Times" w:hAnsi="Times" w:cs="Times New Roman"/>
        </w:rPr>
        <w:t>Bacteria were then inoculated into the extra-capillary space of each hollow-fibre (HF) cartridge.</w:t>
      </w:r>
      <w:r w:rsidRPr="00886C9E">
        <w:rPr>
          <w:rFonts w:ascii="Times" w:hAnsi="Times" w:cs="Times New Roman"/>
        </w:rPr>
        <w:t xml:space="preserve"> </w:t>
      </w:r>
      <w:r w:rsidRPr="00886C9E">
        <w:rPr>
          <w:rFonts w:ascii="Times" w:eastAsia="MS Gothic" w:hAnsi="Times" w:cs="Times New Roman"/>
          <w:color w:val="000000"/>
        </w:rPr>
        <w:t xml:space="preserve">The desired </w:t>
      </w:r>
      <w:r w:rsidR="00516D42" w:rsidRPr="00886C9E">
        <w:rPr>
          <w:rFonts w:ascii="Times" w:eastAsia="MS Gothic" w:hAnsi="Times" w:cs="Times New Roman"/>
          <w:color w:val="000000"/>
        </w:rPr>
        <w:t xml:space="preserve">starting </w:t>
      </w:r>
      <w:r w:rsidRPr="00886C9E">
        <w:rPr>
          <w:rFonts w:ascii="Times" w:eastAsia="MS Gothic" w:hAnsi="Times" w:cs="Times New Roman"/>
          <w:color w:val="000000"/>
        </w:rPr>
        <w:t>inoculum</w:t>
      </w:r>
      <w:r w:rsidR="00516D42" w:rsidRPr="00886C9E">
        <w:rPr>
          <w:rFonts w:ascii="Times" w:eastAsia="MS Gothic" w:hAnsi="Times" w:cs="Times New Roman"/>
          <w:color w:val="000000"/>
        </w:rPr>
        <w:t xml:space="preserve"> (</w:t>
      </w:r>
      <w:r w:rsidR="00516D42" w:rsidRPr="00886C9E">
        <w:rPr>
          <w:rFonts w:ascii="Times" w:hAnsi="Times" w:cs="Times New Roman"/>
        </w:rPr>
        <w:sym w:font="Symbol" w:char="F07E"/>
      </w:r>
      <w:r w:rsidR="00516D42" w:rsidRPr="00886C9E">
        <w:rPr>
          <w:rFonts w:ascii="Times" w:hAnsi="Times" w:cs="Times New Roman"/>
        </w:rPr>
        <w:t>6 log</w:t>
      </w:r>
      <w:r w:rsidR="00516D42" w:rsidRPr="00886C9E">
        <w:rPr>
          <w:rFonts w:ascii="Times" w:hAnsi="Times" w:cs="Times New Roman"/>
          <w:vertAlign w:val="subscript"/>
        </w:rPr>
        <w:t>10</w:t>
      </w:r>
      <w:r w:rsidR="00516D42" w:rsidRPr="00886C9E">
        <w:rPr>
          <w:rFonts w:ascii="Times" w:hAnsi="Times" w:cs="Times New Roman"/>
        </w:rPr>
        <w:t xml:space="preserve"> CFU/mL</w:t>
      </w:r>
      <w:r w:rsidR="00516D42" w:rsidRPr="00886C9E">
        <w:rPr>
          <w:rFonts w:ascii="Times" w:eastAsia="MS Gothic" w:hAnsi="Times" w:cs="Times New Roman"/>
          <w:color w:val="000000"/>
        </w:rPr>
        <w:t xml:space="preserve">) </w:t>
      </w:r>
      <w:r w:rsidRPr="00886C9E">
        <w:rPr>
          <w:rFonts w:ascii="Times" w:eastAsia="MS Gothic" w:hAnsi="Times" w:cs="Times New Roman"/>
          <w:color w:val="000000"/>
        </w:rPr>
        <w:t xml:space="preserve">was confirmed by quantitative culture on MH agar plates </w:t>
      </w:r>
      <w:r w:rsidR="00C83883" w:rsidRPr="00886C9E">
        <w:rPr>
          <w:rFonts w:ascii="Times" w:hAnsi="Times" w:cs="Times New Roman"/>
        </w:rPr>
        <w:t xml:space="preserve">(Thermo Fisher Scientific, Runcorn, UK). </w:t>
      </w:r>
      <w:r w:rsidRPr="00886C9E">
        <w:rPr>
          <w:rFonts w:ascii="Times" w:eastAsia="MS Gothic" w:hAnsi="Times" w:cs="Times New Roman"/>
          <w:color w:val="000000"/>
        </w:rPr>
        <w:t>The HFIM was incubated at 37ºC in ambient air.</w:t>
      </w:r>
    </w:p>
    <w:p w14:paraId="7D2970AE" w14:textId="77777777" w:rsidR="002A30CB" w:rsidRPr="00886C9E" w:rsidRDefault="002A30CB">
      <w:pPr>
        <w:spacing w:line="480" w:lineRule="auto"/>
        <w:ind w:firstLine="708"/>
        <w:jc w:val="both"/>
        <w:rPr>
          <w:rFonts w:ascii="Times" w:eastAsia="MS Gothic" w:hAnsi="Times" w:cs="Times New Roman"/>
          <w:color w:val="000000"/>
        </w:rPr>
      </w:pPr>
    </w:p>
    <w:p w14:paraId="39D4B2A1" w14:textId="77777777" w:rsidR="002A30CB" w:rsidRPr="00886C9E" w:rsidRDefault="002A30CB">
      <w:pPr>
        <w:spacing w:line="480" w:lineRule="auto"/>
        <w:jc w:val="both"/>
        <w:rPr>
          <w:rFonts w:ascii="Times" w:hAnsi="Times" w:cs="Times New Roman"/>
          <w:i/>
        </w:rPr>
      </w:pPr>
      <w:r w:rsidRPr="00886C9E">
        <w:rPr>
          <w:rFonts w:ascii="Times" w:hAnsi="Times" w:cs="Times New Roman"/>
          <w:i/>
        </w:rPr>
        <w:t>In Vitro Pharmacokinetic and Pharmacodynamic Studies</w:t>
      </w:r>
    </w:p>
    <w:p w14:paraId="568DAFB1" w14:textId="5F510C7C" w:rsidR="00255646" w:rsidRPr="00886C9E" w:rsidRDefault="002A30CB" w:rsidP="00255646">
      <w:pPr>
        <w:spacing w:line="480" w:lineRule="auto"/>
        <w:ind w:firstLine="708"/>
        <w:jc w:val="both"/>
        <w:rPr>
          <w:rFonts w:ascii="Times New Roman" w:hAnsi="Times New Roman" w:cs="Times New Roman"/>
        </w:rPr>
      </w:pPr>
      <w:r w:rsidRPr="00886C9E">
        <w:rPr>
          <w:rFonts w:ascii="Times" w:hAnsi="Times" w:cs="Times New Roman"/>
        </w:rPr>
        <w:t>Initial dose-finding stud</w:t>
      </w:r>
      <w:r w:rsidR="00A25720" w:rsidRPr="00886C9E">
        <w:rPr>
          <w:rFonts w:ascii="Times" w:hAnsi="Times" w:cs="Times New Roman"/>
        </w:rPr>
        <w:t xml:space="preserve">ies were conducted </w:t>
      </w:r>
      <w:r w:rsidR="00420A4E" w:rsidRPr="00886C9E">
        <w:rPr>
          <w:rFonts w:ascii="Times" w:hAnsi="Times" w:cs="Times New Roman"/>
        </w:rPr>
        <w:t xml:space="preserve">using </w:t>
      </w:r>
      <w:r w:rsidRPr="00886C9E">
        <w:rPr>
          <w:rFonts w:ascii="Times" w:hAnsi="Times" w:cs="Times New Roman"/>
        </w:rPr>
        <w:t>concentra</w:t>
      </w:r>
      <w:r w:rsidR="00A25720" w:rsidRPr="00886C9E">
        <w:rPr>
          <w:rFonts w:ascii="Times" w:hAnsi="Times" w:cs="Times New Roman"/>
        </w:rPr>
        <w:t xml:space="preserve">tion-time profiles of </w:t>
      </w:r>
      <w:proofErr w:type="spellStart"/>
      <w:r w:rsidR="00A25720" w:rsidRPr="00886C9E">
        <w:rPr>
          <w:rFonts w:ascii="Times" w:hAnsi="Times" w:cs="Times New Roman"/>
        </w:rPr>
        <w:t>teicoplanin</w:t>
      </w:r>
      <w:proofErr w:type="spellEnd"/>
      <w:r w:rsidRPr="00886C9E">
        <w:rPr>
          <w:rFonts w:ascii="Times" w:hAnsi="Times" w:cs="Times New Roman"/>
        </w:rPr>
        <w:t xml:space="preserve"> </w:t>
      </w:r>
      <w:r w:rsidR="00420A4E" w:rsidRPr="00886C9E">
        <w:rPr>
          <w:rFonts w:ascii="Times" w:hAnsi="Times" w:cs="Times New Roman"/>
        </w:rPr>
        <w:t>corresponding to human dosages of</w:t>
      </w:r>
      <w:r w:rsidR="00A25720" w:rsidRPr="00886C9E">
        <w:rPr>
          <w:rFonts w:ascii="Times" w:hAnsi="Times" w:cs="Times New Roman"/>
        </w:rPr>
        <w:t xml:space="preserve"> 10</w:t>
      </w:r>
      <w:r w:rsidR="00420A4E" w:rsidRPr="00886C9E">
        <w:rPr>
          <w:rFonts w:ascii="Times" w:hAnsi="Times" w:cs="Times New Roman"/>
        </w:rPr>
        <w:t>-</w:t>
      </w:r>
      <w:r w:rsidR="00A25720" w:rsidRPr="00886C9E">
        <w:rPr>
          <w:rFonts w:ascii="Times" w:hAnsi="Times" w:cs="Times New Roman"/>
        </w:rPr>
        <w:t>100</w:t>
      </w:r>
      <w:r w:rsidRPr="00886C9E">
        <w:rPr>
          <w:rFonts w:ascii="Times" w:hAnsi="Times" w:cs="Times New Roman"/>
        </w:rPr>
        <w:t xml:space="preserve"> mg/kg/day. </w:t>
      </w:r>
      <w:r w:rsidR="007738F9" w:rsidRPr="00886C9E">
        <w:rPr>
          <w:rFonts w:ascii="Times" w:hAnsi="Times" w:cs="Times New Roman"/>
        </w:rPr>
        <w:t xml:space="preserve">Dosages that encompassed the exposure-response relationships </w:t>
      </w:r>
      <w:r w:rsidR="00FB7A66" w:rsidRPr="00886C9E">
        <w:rPr>
          <w:rFonts w:ascii="Times" w:hAnsi="Times" w:cs="Times New Roman"/>
        </w:rPr>
        <w:t xml:space="preserve">for bacterial killing and </w:t>
      </w:r>
      <w:r w:rsidR="007738F9" w:rsidRPr="00886C9E">
        <w:rPr>
          <w:rFonts w:ascii="Times" w:hAnsi="Times" w:cs="Times New Roman"/>
        </w:rPr>
        <w:t xml:space="preserve">the emergence </w:t>
      </w:r>
      <w:r w:rsidR="00FB7A66" w:rsidRPr="00886C9E">
        <w:rPr>
          <w:rFonts w:ascii="Times" w:hAnsi="Times" w:cs="Times New Roman"/>
        </w:rPr>
        <w:t>of resistance</w:t>
      </w:r>
      <w:r w:rsidR="007738F9" w:rsidRPr="00886C9E">
        <w:rPr>
          <w:rFonts w:ascii="Times" w:hAnsi="Times" w:cs="Times New Roman"/>
        </w:rPr>
        <w:t xml:space="preserve"> were def</w:t>
      </w:r>
      <w:r w:rsidR="00D85CCF" w:rsidRPr="00886C9E">
        <w:rPr>
          <w:rFonts w:ascii="Times" w:hAnsi="Times" w:cs="Times New Roman"/>
        </w:rPr>
        <w:t>ined in preliminary experiments.</w:t>
      </w:r>
      <w:r w:rsidR="00420A4E" w:rsidRPr="00886C9E">
        <w:rPr>
          <w:rFonts w:ascii="Times" w:hAnsi="Times" w:cs="Times New Roman"/>
        </w:rPr>
        <w:t xml:space="preserve"> </w:t>
      </w:r>
      <w:r w:rsidR="00CA3023" w:rsidRPr="00886C9E">
        <w:rPr>
          <w:rFonts w:ascii="Times New Roman" w:hAnsi="Times New Roman" w:cs="Times New Roman"/>
        </w:rPr>
        <w:t xml:space="preserve">The current standard dosing for </w:t>
      </w:r>
      <w:proofErr w:type="spellStart"/>
      <w:r w:rsidR="00CA3023" w:rsidRPr="00886C9E">
        <w:rPr>
          <w:rFonts w:ascii="Times New Roman" w:hAnsi="Times New Roman" w:cs="Times New Roman"/>
        </w:rPr>
        <w:t>teicoplanin</w:t>
      </w:r>
      <w:proofErr w:type="spellEnd"/>
      <w:r w:rsidR="00CA3023" w:rsidRPr="00886C9E">
        <w:rPr>
          <w:rFonts w:ascii="Times New Roman" w:hAnsi="Times New Roman" w:cs="Times New Roman"/>
        </w:rPr>
        <w:t xml:space="preserve"> in adults is 3 loading doses of 400 mg (</w:t>
      </w:r>
      <w:r w:rsidR="00CA3023" w:rsidRPr="00886C9E">
        <w:rPr>
          <w:rFonts w:ascii="Times New Roman" w:hAnsi="Times New Roman" w:cs="Times New Roman"/>
        </w:rPr>
        <w:sym w:font="Symbol" w:char="F07E"/>
      </w:r>
      <w:r w:rsidR="00CA3023" w:rsidRPr="00886C9E">
        <w:rPr>
          <w:rFonts w:ascii="Times New Roman" w:hAnsi="Times New Roman" w:cs="Times New Roman"/>
        </w:rPr>
        <w:t>6mg/kg) 12 hourly, followed by a maintenance dose of 400 mg/day. In contrast, children receive 3 loading doses of 10 mg/kg 12 hourly, followed by a maintenance dose of 10 mg/kg daily</w:t>
      </w:r>
      <w:r w:rsidR="00CF4F50" w:rsidRPr="00886C9E">
        <w:rPr>
          <w:rFonts w:ascii="Times New Roman" w:hAnsi="Times New Roman" w:cs="Times New Roman"/>
        </w:rPr>
        <w:t>.</w:t>
      </w:r>
      <w:r w:rsidR="00CA3023" w:rsidRPr="00886C9E">
        <w:rPr>
          <w:rFonts w:ascii="Times New Roman" w:hAnsi="Times New Roman" w:cs="Times New Roman"/>
        </w:rPr>
        <w:fldChar w:fldCharType="begin" w:fldLock="1"/>
      </w:r>
      <w:r w:rsidR="002E5D50" w:rsidRPr="00886C9E">
        <w:rPr>
          <w:rFonts w:ascii="Times New Roman" w:hAnsi="Times New Roman" w:cs="Times New Roman"/>
        </w:rPr>
        <w:instrText>ADDIN CSL_CITATION { "citationItems" : [ { "id" : "ITEM-1", "itemData" : { "URL" : "http://www.medicines.org.uk/emc/medicine/27319/SPC", "accessed" : { "date-parts" : [ [ "2016", "1", "19" ] ] }, "author" : [ { "dropping-particle" : "", "family" : "The Electronic Medicines Compendium", "given" : "", "non-dropping-particle" : "", "parse-names" : false, "suffix" : "" } ], "id" : "ITEM-1", "issued" : { "date-parts" : [ [ "2014" ] ] }, "title" : "Targocid 200mg - Summary of Product Characteristics (SPC) - (eMC)", "type" : "webpage" }, "uris" : [ "http://www.mendeley.com/documents/?uuid=c87de902-3ab2-487e-b975-f602ec9b9712" ] } ], "mendeley" : { "formattedCitation" : "&lt;sup&gt;1&lt;/sup&gt;", "plainTextFormattedCitation" : "1", "previouslyFormattedCitation" : "&lt;sup&gt;1&lt;/sup&gt;" }, "properties" : { "noteIndex" : 0 }, "schema" : "https://github.com/citation-style-language/schema/raw/master/csl-citation.json" }</w:instrText>
      </w:r>
      <w:r w:rsidR="00CA3023" w:rsidRPr="00886C9E">
        <w:rPr>
          <w:rFonts w:ascii="Times New Roman" w:hAnsi="Times New Roman" w:cs="Times New Roman"/>
        </w:rPr>
        <w:fldChar w:fldCharType="separate"/>
      </w:r>
      <w:r w:rsidR="00CA3023" w:rsidRPr="00886C9E">
        <w:rPr>
          <w:rFonts w:ascii="Times New Roman" w:hAnsi="Times New Roman" w:cs="Times New Roman"/>
          <w:noProof/>
          <w:vertAlign w:val="superscript"/>
        </w:rPr>
        <w:t>1</w:t>
      </w:r>
      <w:r w:rsidR="00CA3023" w:rsidRPr="00886C9E">
        <w:rPr>
          <w:rFonts w:ascii="Times New Roman" w:hAnsi="Times New Roman" w:cs="Times New Roman"/>
        </w:rPr>
        <w:fldChar w:fldCharType="end"/>
      </w:r>
      <w:r w:rsidR="00CA3023" w:rsidRPr="00886C9E">
        <w:rPr>
          <w:rFonts w:ascii="Times New Roman" w:hAnsi="Times New Roman" w:cs="Times New Roman"/>
        </w:rPr>
        <w:t xml:space="preserve"> </w:t>
      </w:r>
    </w:p>
    <w:p w14:paraId="003A219C" w14:textId="15E4A6B3" w:rsidR="00420A4E" w:rsidRPr="00886C9E" w:rsidRDefault="00255646" w:rsidP="00255646">
      <w:pPr>
        <w:spacing w:line="480" w:lineRule="auto"/>
        <w:jc w:val="both"/>
        <w:rPr>
          <w:rFonts w:ascii="Times" w:hAnsi="Times" w:cs="Times New Roman"/>
        </w:rPr>
      </w:pPr>
      <w:r w:rsidRPr="00886C9E">
        <w:rPr>
          <w:rFonts w:ascii="Times" w:hAnsi="Times" w:cs="Times New Roman"/>
        </w:rPr>
        <w:tab/>
      </w:r>
      <w:r w:rsidR="00420A4E" w:rsidRPr="00886C9E">
        <w:rPr>
          <w:rFonts w:ascii="Times" w:hAnsi="Times" w:cs="Times New Roman"/>
        </w:rPr>
        <w:t xml:space="preserve">A </w:t>
      </w:r>
      <w:r w:rsidR="00A25720" w:rsidRPr="00886C9E">
        <w:rPr>
          <w:rFonts w:ascii="Times" w:hAnsi="Times" w:cs="Times New Roman"/>
        </w:rPr>
        <w:t xml:space="preserve">total daily dose of </w:t>
      </w:r>
      <w:r w:rsidR="0003186C" w:rsidRPr="00886C9E">
        <w:rPr>
          <w:rFonts w:ascii="Times" w:hAnsi="Times" w:cs="Times New Roman"/>
        </w:rPr>
        <w:t xml:space="preserve">10 and 30 mg/kg/ day of </w:t>
      </w:r>
      <w:proofErr w:type="spellStart"/>
      <w:r w:rsidR="00A25720" w:rsidRPr="00886C9E">
        <w:rPr>
          <w:rFonts w:ascii="Times" w:hAnsi="Times" w:cs="Times New Roman"/>
        </w:rPr>
        <w:t>teicoplanin</w:t>
      </w:r>
      <w:proofErr w:type="spellEnd"/>
      <w:r w:rsidR="002A30CB" w:rsidRPr="00886C9E">
        <w:rPr>
          <w:rFonts w:ascii="Times" w:hAnsi="Times" w:cs="Times New Roman"/>
        </w:rPr>
        <w:t xml:space="preserve"> was administered </w:t>
      </w:r>
      <w:r w:rsidR="00843A11" w:rsidRPr="00886C9E">
        <w:rPr>
          <w:rFonts w:ascii="Times" w:hAnsi="Times" w:cs="Times New Roman"/>
        </w:rPr>
        <w:t>in the following ways</w:t>
      </w:r>
      <w:r w:rsidR="000F6992" w:rsidRPr="00886C9E">
        <w:rPr>
          <w:rFonts w:ascii="Times" w:hAnsi="Times" w:cs="Times New Roman"/>
        </w:rPr>
        <w:t>: (a) a</w:t>
      </w:r>
      <w:r w:rsidR="00E41958" w:rsidRPr="00886C9E">
        <w:rPr>
          <w:rFonts w:ascii="Times" w:hAnsi="Times" w:cs="Times New Roman"/>
        </w:rPr>
        <w:t xml:space="preserve"> bolus</w:t>
      </w:r>
      <w:r w:rsidR="000F6992" w:rsidRPr="00886C9E">
        <w:rPr>
          <w:rFonts w:ascii="Times" w:hAnsi="Times" w:cs="Times New Roman"/>
        </w:rPr>
        <w:t xml:space="preserve"> </w:t>
      </w:r>
      <w:r w:rsidR="00E41958" w:rsidRPr="00886C9E">
        <w:rPr>
          <w:rFonts w:ascii="Times" w:hAnsi="Times" w:cs="Times New Roman"/>
        </w:rPr>
        <w:t>administ</w:t>
      </w:r>
      <w:r w:rsidR="00420A4E" w:rsidRPr="00886C9E">
        <w:rPr>
          <w:rFonts w:ascii="Times" w:hAnsi="Times" w:cs="Times New Roman"/>
        </w:rPr>
        <w:t>ered</w:t>
      </w:r>
      <w:r w:rsidR="00FB7A66" w:rsidRPr="00886C9E">
        <w:rPr>
          <w:rFonts w:ascii="Times" w:hAnsi="Times" w:cs="Times New Roman"/>
        </w:rPr>
        <w:t xml:space="preserve"> every 24 hours (q</w:t>
      </w:r>
      <w:r w:rsidR="002A30CB" w:rsidRPr="00886C9E">
        <w:rPr>
          <w:rFonts w:ascii="Times" w:hAnsi="Times" w:cs="Times New Roman"/>
        </w:rPr>
        <w:t xml:space="preserve">24h); (b) </w:t>
      </w:r>
      <w:r w:rsidR="00420A4E" w:rsidRPr="00886C9E">
        <w:rPr>
          <w:rFonts w:ascii="Times" w:hAnsi="Times" w:cs="Times New Roman"/>
        </w:rPr>
        <w:t xml:space="preserve">two half dosages administered q12h; and </w:t>
      </w:r>
      <w:r w:rsidR="002A30CB" w:rsidRPr="00886C9E">
        <w:rPr>
          <w:rFonts w:ascii="Times" w:hAnsi="Times" w:cs="Times New Roman"/>
        </w:rPr>
        <w:t xml:space="preserve">(c) </w:t>
      </w:r>
      <w:r w:rsidR="009C0D59" w:rsidRPr="00886C9E">
        <w:rPr>
          <w:rFonts w:ascii="Times" w:hAnsi="Times" w:cs="Times New Roman"/>
        </w:rPr>
        <w:t xml:space="preserve">the total daily dose infused over </w:t>
      </w:r>
      <w:r w:rsidR="002A30CB" w:rsidRPr="00886C9E">
        <w:rPr>
          <w:rFonts w:ascii="Times" w:hAnsi="Times" w:cs="Times New Roman"/>
        </w:rPr>
        <w:t xml:space="preserve">a 24 h </w:t>
      </w:r>
      <w:r w:rsidR="009C0D59" w:rsidRPr="00886C9E">
        <w:rPr>
          <w:rFonts w:ascii="Times" w:hAnsi="Times" w:cs="Times New Roman"/>
        </w:rPr>
        <w:t>period</w:t>
      </w:r>
      <w:r w:rsidR="002A30CB" w:rsidRPr="00886C9E">
        <w:rPr>
          <w:rFonts w:ascii="Times" w:hAnsi="Times" w:cs="Times New Roman"/>
        </w:rPr>
        <w:t xml:space="preserve"> (CI). Treatment was initiated 24 hours post-inoculation</w:t>
      </w:r>
      <w:r w:rsidR="006C75F8" w:rsidRPr="00886C9E">
        <w:rPr>
          <w:rFonts w:ascii="Times" w:hAnsi="Times" w:cs="Times New Roman"/>
        </w:rPr>
        <w:t xml:space="preserve"> and </w:t>
      </w:r>
      <w:proofErr w:type="spellStart"/>
      <w:r w:rsidR="006C75F8" w:rsidRPr="00886C9E">
        <w:rPr>
          <w:rFonts w:ascii="Times" w:hAnsi="Times" w:cs="Times New Roman"/>
        </w:rPr>
        <w:t>the</w:t>
      </w:r>
      <w:r w:rsidR="002A30CB" w:rsidRPr="00886C9E">
        <w:rPr>
          <w:rFonts w:ascii="Times" w:hAnsi="Times" w:cs="Times New Roman"/>
        </w:rPr>
        <w:t>xperiments</w:t>
      </w:r>
      <w:proofErr w:type="spellEnd"/>
      <w:r w:rsidR="002A30CB" w:rsidRPr="00886C9E">
        <w:rPr>
          <w:rFonts w:ascii="Times" w:hAnsi="Times" w:cs="Times New Roman"/>
        </w:rPr>
        <w:t xml:space="preserve"> were conducted </w:t>
      </w:r>
      <w:r w:rsidR="002A30CB" w:rsidRPr="00886C9E">
        <w:rPr>
          <w:rFonts w:ascii="Times" w:hAnsi="Times" w:cs="Times New Roman"/>
        </w:rPr>
        <w:lastRenderedPageBreak/>
        <w:t xml:space="preserve">for </w:t>
      </w:r>
      <w:r w:rsidR="009162AC" w:rsidRPr="00886C9E">
        <w:rPr>
          <w:rFonts w:ascii="Times" w:hAnsi="Times" w:cs="Times New Roman"/>
        </w:rPr>
        <w:t>7</w:t>
      </w:r>
      <w:r w:rsidR="002A30CB" w:rsidRPr="00886C9E">
        <w:rPr>
          <w:rFonts w:ascii="Times" w:hAnsi="Times" w:cs="Times New Roman"/>
        </w:rPr>
        <w:t xml:space="preserve"> days to simulate the typical duration of clinical therapy and </w:t>
      </w:r>
      <w:r w:rsidR="009C0D59" w:rsidRPr="00886C9E">
        <w:rPr>
          <w:rFonts w:ascii="Times" w:hAnsi="Times" w:cs="Times New Roman"/>
        </w:rPr>
        <w:t xml:space="preserve">provide the opportunity to observe </w:t>
      </w:r>
      <w:r w:rsidR="002A30CB" w:rsidRPr="00886C9E">
        <w:rPr>
          <w:rFonts w:ascii="Times" w:hAnsi="Times" w:cs="Times New Roman"/>
        </w:rPr>
        <w:t xml:space="preserve">the </w:t>
      </w:r>
      <w:r w:rsidR="009D7548" w:rsidRPr="00886C9E">
        <w:rPr>
          <w:rFonts w:ascii="Times" w:hAnsi="Times" w:cs="Times New Roman"/>
        </w:rPr>
        <w:t>emer</w:t>
      </w:r>
      <w:r w:rsidR="00697745" w:rsidRPr="00886C9E">
        <w:rPr>
          <w:rFonts w:ascii="Times" w:hAnsi="Times" w:cs="Times New Roman"/>
        </w:rPr>
        <w:t>gence</w:t>
      </w:r>
      <w:r w:rsidR="009D7548" w:rsidRPr="00886C9E">
        <w:rPr>
          <w:rFonts w:ascii="Times" w:hAnsi="Times" w:cs="Times New Roman"/>
        </w:rPr>
        <w:t xml:space="preserve"> </w:t>
      </w:r>
      <w:r w:rsidR="002A30CB" w:rsidRPr="00886C9E">
        <w:rPr>
          <w:rFonts w:ascii="Times" w:hAnsi="Times" w:cs="Times New Roman"/>
        </w:rPr>
        <w:t>of antimicrobial resistance.</w:t>
      </w:r>
      <w:r w:rsidR="006C75F8" w:rsidRPr="00886C9E">
        <w:rPr>
          <w:rFonts w:ascii="Times New Roman" w:hAnsi="Times New Roman" w:cs="Times New Roman"/>
          <w:color w:val="191919"/>
        </w:rPr>
        <w:t xml:space="preserve"> </w:t>
      </w:r>
      <w:proofErr w:type="spellStart"/>
      <w:r w:rsidR="006C75F8" w:rsidRPr="00886C9E">
        <w:rPr>
          <w:rFonts w:ascii="Times New Roman" w:hAnsi="Times New Roman" w:cs="Times New Roman"/>
          <w:color w:val="191919"/>
        </w:rPr>
        <w:t>Fiveexperiments</w:t>
      </w:r>
      <w:proofErr w:type="spellEnd"/>
      <w:r w:rsidR="006C75F8" w:rsidRPr="00886C9E">
        <w:rPr>
          <w:rFonts w:ascii="Times New Roman" w:hAnsi="Times New Roman" w:cs="Times New Roman"/>
          <w:color w:val="191919"/>
        </w:rPr>
        <w:t xml:space="preserve"> were conducted, each experiment contained 6 study arms (1 control drug-free arm and 5 </w:t>
      </w:r>
      <w:proofErr w:type="spellStart"/>
      <w:r w:rsidR="006C75F8" w:rsidRPr="00886C9E">
        <w:rPr>
          <w:rFonts w:ascii="Times New Roman" w:hAnsi="Times New Roman" w:cs="Times New Roman"/>
          <w:color w:val="191919"/>
        </w:rPr>
        <w:t>teicoplanin</w:t>
      </w:r>
      <w:proofErr w:type="spellEnd"/>
      <w:r w:rsidR="006C75F8" w:rsidRPr="00886C9E">
        <w:rPr>
          <w:rFonts w:ascii="Times New Roman" w:hAnsi="Times New Roman" w:cs="Times New Roman"/>
          <w:color w:val="191919"/>
        </w:rPr>
        <w:t>-treated arms).</w:t>
      </w:r>
    </w:p>
    <w:p w14:paraId="0DC50BDA" w14:textId="77777777" w:rsidR="008B2023" w:rsidRPr="00886C9E" w:rsidRDefault="008B2023" w:rsidP="00255646">
      <w:pPr>
        <w:spacing w:line="480" w:lineRule="auto"/>
        <w:jc w:val="both"/>
        <w:rPr>
          <w:rFonts w:ascii="Times" w:hAnsi="Times" w:cs="Times New Roman"/>
        </w:rPr>
      </w:pPr>
    </w:p>
    <w:p w14:paraId="5FD13893" w14:textId="5481A32B" w:rsidR="00420A4E" w:rsidRPr="00886C9E" w:rsidRDefault="00DE013D" w:rsidP="002A74B5">
      <w:pPr>
        <w:spacing w:line="480" w:lineRule="auto"/>
        <w:jc w:val="both"/>
        <w:rPr>
          <w:rFonts w:ascii="Times" w:hAnsi="Times" w:cs="Times New Roman"/>
          <w:i/>
        </w:rPr>
      </w:pPr>
      <w:r w:rsidRPr="00886C9E">
        <w:rPr>
          <w:rFonts w:ascii="Times" w:hAnsi="Times" w:cs="Times New Roman"/>
          <w:i/>
        </w:rPr>
        <w:t xml:space="preserve">In vitro </w:t>
      </w:r>
      <w:r w:rsidR="00420A4E" w:rsidRPr="00886C9E">
        <w:rPr>
          <w:rFonts w:ascii="Times" w:hAnsi="Times" w:cs="Times New Roman"/>
          <w:i/>
        </w:rPr>
        <w:t>Pharmacokinetic Studies</w:t>
      </w:r>
    </w:p>
    <w:p w14:paraId="2FD5A83A" w14:textId="7FDBEA87" w:rsidR="002A30CB" w:rsidRPr="00886C9E" w:rsidRDefault="007C7360" w:rsidP="002A74B5">
      <w:pPr>
        <w:spacing w:line="480" w:lineRule="auto"/>
        <w:ind w:firstLine="708"/>
        <w:jc w:val="both"/>
        <w:rPr>
          <w:rFonts w:ascii="Times" w:hAnsi="Times" w:cs="Times New Roman"/>
        </w:rPr>
      </w:pPr>
      <w:r w:rsidRPr="00886C9E">
        <w:rPr>
          <w:rFonts w:ascii="Times" w:hAnsi="Times" w:cs="Times New Roman"/>
        </w:rPr>
        <w:t xml:space="preserve">PK samples (1 mL) were withdrawn from the central compartment </w:t>
      </w:r>
      <w:r w:rsidR="009C0D59" w:rsidRPr="00886C9E">
        <w:rPr>
          <w:rFonts w:ascii="Times" w:hAnsi="Times" w:cs="Times New Roman"/>
        </w:rPr>
        <w:t xml:space="preserve">of the HFIM </w:t>
      </w:r>
      <w:r w:rsidRPr="00886C9E">
        <w:rPr>
          <w:rFonts w:ascii="Times" w:hAnsi="Times" w:cs="Times New Roman"/>
        </w:rPr>
        <w:t>before</w:t>
      </w:r>
      <w:r w:rsidR="00F75AFD" w:rsidRPr="00886C9E">
        <w:rPr>
          <w:rFonts w:ascii="Times" w:hAnsi="Times" w:cs="Times New Roman"/>
        </w:rPr>
        <w:t xml:space="preserve"> </w:t>
      </w:r>
      <w:r w:rsidR="009C0D59" w:rsidRPr="00886C9E">
        <w:rPr>
          <w:rFonts w:ascii="Times" w:hAnsi="Times" w:cs="Times New Roman"/>
        </w:rPr>
        <w:t xml:space="preserve">each </w:t>
      </w:r>
      <w:r w:rsidR="00F75AFD" w:rsidRPr="00886C9E">
        <w:rPr>
          <w:rFonts w:ascii="Times" w:hAnsi="Times" w:cs="Times New Roman"/>
        </w:rPr>
        <w:t>dose</w:t>
      </w:r>
      <w:r w:rsidRPr="00886C9E">
        <w:rPr>
          <w:rFonts w:ascii="Times" w:hAnsi="Times" w:cs="Times New Roman"/>
        </w:rPr>
        <w:t xml:space="preserve"> and at 1,</w:t>
      </w:r>
      <w:r w:rsidR="009162AC" w:rsidRPr="00886C9E">
        <w:rPr>
          <w:rFonts w:ascii="Times" w:hAnsi="Times" w:cs="Times New Roman"/>
        </w:rPr>
        <w:t xml:space="preserve"> </w:t>
      </w:r>
      <w:r w:rsidRPr="00886C9E">
        <w:rPr>
          <w:rFonts w:ascii="Times" w:hAnsi="Times" w:cs="Times New Roman"/>
        </w:rPr>
        <w:t>3,</w:t>
      </w:r>
      <w:r w:rsidR="009162AC" w:rsidRPr="00886C9E">
        <w:rPr>
          <w:rFonts w:ascii="Times" w:hAnsi="Times" w:cs="Times New Roman"/>
        </w:rPr>
        <w:t xml:space="preserve"> </w:t>
      </w:r>
      <w:r w:rsidRPr="00886C9E">
        <w:rPr>
          <w:rFonts w:ascii="Times" w:hAnsi="Times" w:cs="Times New Roman"/>
        </w:rPr>
        <w:t>6,</w:t>
      </w:r>
      <w:r w:rsidR="009162AC" w:rsidRPr="00886C9E">
        <w:rPr>
          <w:rFonts w:ascii="Times" w:hAnsi="Times" w:cs="Times New Roman"/>
        </w:rPr>
        <w:t xml:space="preserve"> </w:t>
      </w:r>
      <w:r w:rsidRPr="00886C9E">
        <w:rPr>
          <w:rFonts w:ascii="Times" w:hAnsi="Times" w:cs="Times New Roman"/>
        </w:rPr>
        <w:t>12 and 24 hours</w:t>
      </w:r>
      <w:r w:rsidR="00040034" w:rsidRPr="00886C9E">
        <w:rPr>
          <w:rFonts w:ascii="Times" w:hAnsi="Times" w:cs="Times New Roman"/>
        </w:rPr>
        <w:t>. Sampling occurred</w:t>
      </w:r>
      <w:r w:rsidRPr="00886C9E">
        <w:rPr>
          <w:rFonts w:ascii="Times" w:hAnsi="Times" w:cs="Times New Roman"/>
        </w:rPr>
        <w:t xml:space="preserve"> during the first dose interval and </w:t>
      </w:r>
      <w:r w:rsidR="002A74B5" w:rsidRPr="00886C9E">
        <w:rPr>
          <w:rFonts w:ascii="Times" w:hAnsi="Times" w:cs="Times New Roman"/>
        </w:rPr>
        <w:t xml:space="preserve">at </w:t>
      </w:r>
      <w:r w:rsidRPr="00886C9E">
        <w:rPr>
          <w:rFonts w:ascii="Times" w:hAnsi="Times" w:cs="Times New Roman"/>
        </w:rPr>
        <w:t xml:space="preserve">day 6 of therapy. </w:t>
      </w:r>
      <w:r w:rsidR="002A30CB" w:rsidRPr="00886C9E">
        <w:rPr>
          <w:rFonts w:ascii="Times" w:hAnsi="Times" w:cs="Times New Roman"/>
        </w:rPr>
        <w:t xml:space="preserve">The </w:t>
      </w:r>
      <w:r w:rsidR="00855315" w:rsidRPr="00886C9E">
        <w:rPr>
          <w:rFonts w:ascii="Times" w:hAnsi="Times" w:cs="Times New Roman"/>
        </w:rPr>
        <w:t xml:space="preserve">area under the </w:t>
      </w:r>
      <w:proofErr w:type="spellStart"/>
      <w:r w:rsidR="00855315" w:rsidRPr="00886C9E">
        <w:rPr>
          <w:rFonts w:ascii="Times" w:hAnsi="Times" w:cs="Times New Roman"/>
        </w:rPr>
        <w:t>teicoplanin</w:t>
      </w:r>
      <w:proofErr w:type="spellEnd"/>
      <w:r w:rsidR="002A30CB" w:rsidRPr="00886C9E">
        <w:rPr>
          <w:rFonts w:ascii="Times" w:hAnsi="Times" w:cs="Times New Roman"/>
        </w:rPr>
        <w:t xml:space="preserve"> concentration time curve (AUC</w:t>
      </w:r>
      <w:r w:rsidR="000168E1" w:rsidRPr="00886C9E">
        <w:rPr>
          <w:rFonts w:ascii="Times" w:hAnsi="Times" w:cs="Times New Roman"/>
          <w:vertAlign w:val="subscript"/>
        </w:rPr>
        <w:t>0-24</w:t>
      </w:r>
      <w:r w:rsidR="002A30CB" w:rsidRPr="00886C9E">
        <w:rPr>
          <w:rFonts w:ascii="Times" w:hAnsi="Times" w:cs="Times New Roman"/>
        </w:rPr>
        <w:t xml:space="preserve">), maximum </w:t>
      </w:r>
      <w:r w:rsidR="009C0D59" w:rsidRPr="00886C9E">
        <w:rPr>
          <w:rFonts w:ascii="Times" w:hAnsi="Times" w:cs="Times New Roman"/>
        </w:rPr>
        <w:t xml:space="preserve">concentration </w:t>
      </w:r>
      <w:r w:rsidR="002A30CB" w:rsidRPr="00886C9E">
        <w:rPr>
          <w:rFonts w:ascii="Times" w:hAnsi="Times" w:cs="Times New Roman"/>
        </w:rPr>
        <w:t>(</w:t>
      </w:r>
      <w:proofErr w:type="spellStart"/>
      <w:r w:rsidR="002A30CB" w:rsidRPr="00886C9E">
        <w:rPr>
          <w:rFonts w:ascii="Times" w:hAnsi="Times" w:cs="Times New Roman"/>
        </w:rPr>
        <w:t>C</w:t>
      </w:r>
      <w:r w:rsidR="002A30CB" w:rsidRPr="00886C9E">
        <w:rPr>
          <w:rFonts w:ascii="Times" w:hAnsi="Times" w:cs="Times New Roman"/>
          <w:vertAlign w:val="subscript"/>
        </w:rPr>
        <w:t>max</w:t>
      </w:r>
      <w:proofErr w:type="spellEnd"/>
      <w:r w:rsidR="002A30CB" w:rsidRPr="00886C9E">
        <w:rPr>
          <w:rFonts w:ascii="Times" w:hAnsi="Times" w:cs="Times New Roman"/>
        </w:rPr>
        <w:t xml:space="preserve"> or </w:t>
      </w:r>
      <w:r w:rsidR="009D7548" w:rsidRPr="00886C9E">
        <w:rPr>
          <w:rFonts w:ascii="Times" w:hAnsi="Times" w:cs="Times New Roman"/>
        </w:rPr>
        <w:t>p</w:t>
      </w:r>
      <w:r w:rsidR="002A30CB" w:rsidRPr="00886C9E">
        <w:rPr>
          <w:rFonts w:ascii="Times" w:hAnsi="Times" w:cs="Times New Roman"/>
        </w:rPr>
        <w:t>eak) and</w:t>
      </w:r>
      <w:r w:rsidR="00855315" w:rsidRPr="00886C9E">
        <w:rPr>
          <w:rFonts w:ascii="Times" w:hAnsi="Times" w:cs="Times New Roman"/>
        </w:rPr>
        <w:t xml:space="preserve"> minimum (</w:t>
      </w:r>
      <w:proofErr w:type="spellStart"/>
      <w:r w:rsidR="00855315" w:rsidRPr="00886C9E">
        <w:rPr>
          <w:rFonts w:ascii="Times" w:hAnsi="Times" w:cs="Times New Roman"/>
        </w:rPr>
        <w:t>C</w:t>
      </w:r>
      <w:r w:rsidR="00855315" w:rsidRPr="00886C9E">
        <w:rPr>
          <w:rFonts w:ascii="Times" w:hAnsi="Times" w:cs="Times New Roman"/>
          <w:vertAlign w:val="subscript"/>
        </w:rPr>
        <w:t>min</w:t>
      </w:r>
      <w:proofErr w:type="spellEnd"/>
      <w:r w:rsidR="00855315" w:rsidRPr="00886C9E">
        <w:rPr>
          <w:rFonts w:ascii="Times" w:hAnsi="Times" w:cs="Times New Roman"/>
        </w:rPr>
        <w:t xml:space="preserve">) </w:t>
      </w:r>
      <w:proofErr w:type="spellStart"/>
      <w:r w:rsidR="00855315" w:rsidRPr="00886C9E">
        <w:rPr>
          <w:rFonts w:ascii="Times" w:hAnsi="Times" w:cs="Times New Roman"/>
        </w:rPr>
        <w:t>teicoplanin</w:t>
      </w:r>
      <w:proofErr w:type="spellEnd"/>
      <w:r w:rsidR="002A30CB" w:rsidRPr="00886C9E">
        <w:rPr>
          <w:rFonts w:ascii="Times" w:hAnsi="Times" w:cs="Times New Roman"/>
        </w:rPr>
        <w:t xml:space="preserve"> concentrations at steady state</w:t>
      </w:r>
      <w:r w:rsidR="00C2526A" w:rsidRPr="00886C9E">
        <w:rPr>
          <w:rFonts w:ascii="Times" w:hAnsi="Times" w:cs="Times New Roman"/>
        </w:rPr>
        <w:t xml:space="preserve"> (144-168 h)</w:t>
      </w:r>
      <w:r w:rsidR="000168E1" w:rsidRPr="00886C9E">
        <w:rPr>
          <w:rFonts w:ascii="Times" w:hAnsi="Times" w:cs="Times New Roman"/>
        </w:rPr>
        <w:t>,</w:t>
      </w:r>
      <w:r w:rsidR="002A30CB" w:rsidRPr="00886C9E">
        <w:rPr>
          <w:rFonts w:ascii="Times" w:hAnsi="Times" w:cs="Times New Roman"/>
        </w:rPr>
        <w:t xml:space="preserve"> </w:t>
      </w:r>
      <w:r w:rsidR="00F75AFD" w:rsidRPr="00886C9E">
        <w:rPr>
          <w:rFonts w:ascii="Times" w:hAnsi="Times" w:cs="Times New Roman"/>
        </w:rPr>
        <w:t xml:space="preserve">were </w:t>
      </w:r>
      <w:r w:rsidR="009D7548" w:rsidRPr="00886C9E">
        <w:rPr>
          <w:rFonts w:ascii="Times" w:hAnsi="Times" w:cs="Times New Roman"/>
        </w:rPr>
        <w:t xml:space="preserve">calculated </w:t>
      </w:r>
      <w:r w:rsidR="00DA4EB8" w:rsidRPr="00886C9E">
        <w:rPr>
          <w:rFonts w:ascii="Times" w:hAnsi="Times" w:cs="Times New Roman"/>
        </w:rPr>
        <w:t xml:space="preserve">from the Bayesian posterior estimates </w:t>
      </w:r>
      <w:r w:rsidR="009C0D59" w:rsidRPr="00886C9E">
        <w:rPr>
          <w:rFonts w:ascii="Times" w:hAnsi="Times" w:cs="Times New Roman"/>
        </w:rPr>
        <w:t xml:space="preserve">for the PK parameter values from </w:t>
      </w:r>
      <w:r w:rsidR="009D7548" w:rsidRPr="00886C9E">
        <w:rPr>
          <w:rFonts w:ascii="Times" w:hAnsi="Times" w:cs="Times New Roman"/>
        </w:rPr>
        <w:t>each fibre</w:t>
      </w:r>
      <w:r w:rsidR="00040034" w:rsidRPr="00886C9E">
        <w:rPr>
          <w:rFonts w:ascii="Times" w:hAnsi="Times" w:cs="Times New Roman"/>
        </w:rPr>
        <w:t xml:space="preserve"> (see below)</w:t>
      </w:r>
      <w:r w:rsidR="00F75AFD" w:rsidRPr="00886C9E">
        <w:rPr>
          <w:rFonts w:ascii="Times" w:hAnsi="Times" w:cs="Times New Roman"/>
        </w:rPr>
        <w:t>.</w:t>
      </w:r>
    </w:p>
    <w:p w14:paraId="74FD7AEF" w14:textId="77777777" w:rsidR="0018720C" w:rsidRPr="00886C9E" w:rsidRDefault="0018720C">
      <w:pPr>
        <w:spacing w:line="480" w:lineRule="auto"/>
        <w:jc w:val="both"/>
        <w:rPr>
          <w:rFonts w:ascii="Times" w:hAnsi="Times" w:cs="Times New Roman"/>
        </w:rPr>
      </w:pPr>
    </w:p>
    <w:p w14:paraId="7B42048B" w14:textId="568B115E" w:rsidR="00493241" w:rsidRPr="00886C9E" w:rsidRDefault="00DE013D">
      <w:pPr>
        <w:spacing w:line="480" w:lineRule="auto"/>
        <w:jc w:val="both"/>
        <w:rPr>
          <w:rFonts w:ascii="Times" w:hAnsi="Times" w:cs="Times New Roman"/>
          <w:i/>
        </w:rPr>
      </w:pPr>
      <w:r w:rsidRPr="00886C9E">
        <w:rPr>
          <w:rFonts w:ascii="Times" w:hAnsi="Times" w:cs="Times New Roman"/>
          <w:i/>
        </w:rPr>
        <w:t xml:space="preserve">In vitro </w:t>
      </w:r>
      <w:r w:rsidR="00493241" w:rsidRPr="00886C9E">
        <w:rPr>
          <w:rFonts w:ascii="Times" w:hAnsi="Times" w:cs="Times New Roman"/>
          <w:i/>
        </w:rPr>
        <w:t>Pharmacodynamic studies</w:t>
      </w:r>
    </w:p>
    <w:p w14:paraId="7AEAC5A9" w14:textId="010F4F0F" w:rsidR="009162AC" w:rsidRPr="00886C9E" w:rsidRDefault="002A30CB" w:rsidP="002A74B5">
      <w:pPr>
        <w:spacing w:line="480" w:lineRule="auto"/>
        <w:ind w:firstLine="708"/>
        <w:jc w:val="both"/>
        <w:rPr>
          <w:rFonts w:ascii="Times" w:hAnsi="Times" w:cs="Times New Roman"/>
        </w:rPr>
      </w:pPr>
      <w:r w:rsidRPr="00886C9E">
        <w:rPr>
          <w:rFonts w:ascii="Times" w:hAnsi="Times" w:cs="Times New Roman"/>
        </w:rPr>
        <w:t>Bacterial samples (1 mL) were withdrawn from</w:t>
      </w:r>
      <w:r w:rsidR="00C2526A" w:rsidRPr="00886C9E">
        <w:rPr>
          <w:rFonts w:ascii="Times" w:hAnsi="Times" w:cs="Times New Roman"/>
        </w:rPr>
        <w:t xml:space="preserve"> the extra-capillary space</w:t>
      </w:r>
      <w:r w:rsidR="002A74B5" w:rsidRPr="00886C9E">
        <w:rPr>
          <w:rFonts w:ascii="Times" w:hAnsi="Times" w:cs="Times New Roman"/>
        </w:rPr>
        <w:t xml:space="preserve"> of</w:t>
      </w:r>
      <w:r w:rsidR="00C2526A" w:rsidRPr="00886C9E">
        <w:rPr>
          <w:rFonts w:ascii="Times" w:hAnsi="Times" w:cs="Times New Roman"/>
        </w:rPr>
        <w:t xml:space="preserve"> each </w:t>
      </w:r>
      <w:r w:rsidRPr="00886C9E">
        <w:rPr>
          <w:rFonts w:ascii="Times" w:hAnsi="Times" w:cs="Times New Roman"/>
        </w:rPr>
        <w:t xml:space="preserve">HF cartridges and </w:t>
      </w:r>
      <w:r w:rsidR="00040034" w:rsidRPr="00886C9E">
        <w:rPr>
          <w:rFonts w:ascii="Times" w:hAnsi="Times" w:cs="Times New Roman"/>
        </w:rPr>
        <w:t xml:space="preserve">ten-fold </w:t>
      </w:r>
      <w:r w:rsidR="00C2526A" w:rsidRPr="00886C9E">
        <w:rPr>
          <w:rFonts w:ascii="Times" w:hAnsi="Times" w:cs="Times New Roman"/>
        </w:rPr>
        <w:t>serial dilutions (</w:t>
      </w:r>
      <w:r w:rsidR="000071E5" w:rsidRPr="00886C9E">
        <w:rPr>
          <w:rFonts w:ascii="Times" w:hAnsi="Times"/>
        </w:rPr>
        <w:t>100</w:t>
      </w:r>
      <w:r w:rsidR="000071E5" w:rsidRPr="00886C9E">
        <w:rPr>
          <w:rFonts w:ascii="Times" w:hAnsi="Times"/>
        </w:rPr>
        <w:sym w:font="Symbol" w:char="F06D"/>
      </w:r>
      <w:r w:rsidR="000071E5" w:rsidRPr="00886C9E">
        <w:rPr>
          <w:rFonts w:ascii="Times" w:hAnsi="Times"/>
        </w:rPr>
        <w:t>L</w:t>
      </w:r>
      <w:r w:rsidR="00C2526A" w:rsidRPr="00886C9E">
        <w:rPr>
          <w:rFonts w:ascii="Times" w:hAnsi="Times" w:cs="Times New Roman"/>
        </w:rPr>
        <w:t>)</w:t>
      </w:r>
      <w:r w:rsidRPr="00886C9E">
        <w:rPr>
          <w:rFonts w:ascii="Times" w:hAnsi="Times" w:cs="Times New Roman"/>
        </w:rPr>
        <w:t xml:space="preserve"> were plated </w:t>
      </w:r>
      <w:r w:rsidR="00040034" w:rsidRPr="00886C9E">
        <w:rPr>
          <w:rFonts w:ascii="Times" w:hAnsi="Times" w:cs="Times New Roman"/>
        </w:rPr>
        <w:t xml:space="preserve">to </w:t>
      </w:r>
      <w:r w:rsidR="00C2526A" w:rsidRPr="00886C9E">
        <w:rPr>
          <w:rFonts w:ascii="Times" w:hAnsi="Times" w:cs="Times New Roman"/>
        </w:rPr>
        <w:t>both free and drug-containing</w:t>
      </w:r>
      <w:r w:rsidRPr="00886C9E">
        <w:rPr>
          <w:rFonts w:ascii="Times" w:hAnsi="Times" w:cs="Times New Roman"/>
        </w:rPr>
        <w:t xml:space="preserve"> agar plates</w:t>
      </w:r>
      <w:r w:rsidR="00040034" w:rsidRPr="00886C9E">
        <w:rPr>
          <w:rFonts w:ascii="Times" w:hAnsi="Times" w:cs="Times New Roman"/>
        </w:rPr>
        <w:t>. Sampling occurred</w:t>
      </w:r>
      <w:r w:rsidRPr="00886C9E">
        <w:rPr>
          <w:rFonts w:ascii="Times" w:hAnsi="Times" w:cs="Times New Roman"/>
        </w:rPr>
        <w:t xml:space="preserve"> at 0, 2, 6 and 24 hours post-infection and every 24 hours thereafter </w:t>
      </w:r>
      <w:r w:rsidR="00601DE9" w:rsidRPr="00886C9E">
        <w:rPr>
          <w:rFonts w:ascii="Times" w:hAnsi="Times" w:cs="Times New Roman"/>
        </w:rPr>
        <w:t>(</w:t>
      </w:r>
      <w:r w:rsidRPr="00886C9E">
        <w:rPr>
          <w:rFonts w:ascii="Times" w:hAnsi="Times" w:cs="Times New Roman"/>
        </w:rPr>
        <w:t>immediately prior to dosing</w:t>
      </w:r>
      <w:r w:rsidR="00601DE9" w:rsidRPr="00886C9E">
        <w:rPr>
          <w:rFonts w:ascii="Times" w:hAnsi="Times" w:cs="Times New Roman"/>
        </w:rPr>
        <w:t>)</w:t>
      </w:r>
      <w:r w:rsidR="00040034" w:rsidRPr="00886C9E">
        <w:rPr>
          <w:rFonts w:ascii="Times" w:hAnsi="Times" w:cs="Times New Roman"/>
        </w:rPr>
        <w:t>. Total and resistant subpopulations were quantified</w:t>
      </w:r>
      <w:r w:rsidRPr="00886C9E">
        <w:rPr>
          <w:rFonts w:ascii="Times" w:hAnsi="Times" w:cs="Times New Roman"/>
        </w:rPr>
        <w:t xml:space="preserve">. </w:t>
      </w:r>
      <w:r w:rsidR="006C05D2" w:rsidRPr="00886C9E">
        <w:rPr>
          <w:rFonts w:ascii="Times" w:hAnsi="Times" w:cs="Times New Roman"/>
        </w:rPr>
        <w:t>The lower limit of quantification (LOQ) was 1 CFU/</w:t>
      </w:r>
      <w:proofErr w:type="spellStart"/>
      <w:r w:rsidR="006C05D2" w:rsidRPr="00886C9E">
        <w:rPr>
          <w:rFonts w:ascii="Times" w:hAnsi="Times" w:cs="Times New Roman"/>
        </w:rPr>
        <w:t>mL.</w:t>
      </w:r>
      <w:proofErr w:type="spellEnd"/>
      <w:r w:rsidR="006C05D2" w:rsidRPr="00886C9E">
        <w:rPr>
          <w:rFonts w:ascii="Times" w:hAnsi="Times" w:cs="Times New Roman"/>
        </w:rPr>
        <w:t xml:space="preserve"> </w:t>
      </w:r>
      <w:r w:rsidR="00DA4EB8" w:rsidRPr="00886C9E">
        <w:rPr>
          <w:rFonts w:ascii="Times" w:hAnsi="Times" w:cs="Times New Roman"/>
        </w:rPr>
        <w:t xml:space="preserve">To investigate whether the mutants that grew on drug-containing plates had an elevated MIC, </w:t>
      </w:r>
      <w:r w:rsidR="00040034" w:rsidRPr="00886C9E">
        <w:rPr>
          <w:rFonts w:ascii="Times" w:hAnsi="Times" w:cs="Times New Roman"/>
        </w:rPr>
        <w:t xml:space="preserve">approximately </w:t>
      </w:r>
      <w:r w:rsidR="00697745" w:rsidRPr="00886C9E">
        <w:rPr>
          <w:rFonts w:ascii="Times" w:hAnsi="Times" w:cs="Times New Roman"/>
        </w:rPr>
        <w:t xml:space="preserve">10 colonies </w:t>
      </w:r>
      <w:r w:rsidR="00DA4EB8" w:rsidRPr="00886C9E">
        <w:rPr>
          <w:rFonts w:ascii="Times" w:hAnsi="Times" w:cs="Times New Roman"/>
        </w:rPr>
        <w:t>were selected from each plate and the MIC was re-estimated as previously described.</w:t>
      </w:r>
      <w:r w:rsidR="00420A4E" w:rsidRPr="00886C9E">
        <w:rPr>
          <w:rFonts w:ascii="Times" w:hAnsi="Times" w:cs="Times New Roman"/>
        </w:rPr>
        <w:t xml:space="preserve"> </w:t>
      </w:r>
    </w:p>
    <w:p w14:paraId="3A775BC9" w14:textId="77777777" w:rsidR="002A30CB" w:rsidRPr="00886C9E" w:rsidRDefault="002A30CB" w:rsidP="002A74B5">
      <w:pPr>
        <w:spacing w:line="480" w:lineRule="auto"/>
        <w:jc w:val="both"/>
        <w:rPr>
          <w:rFonts w:ascii="Times" w:hAnsi="Times" w:cs="Times New Roman"/>
        </w:rPr>
      </w:pPr>
    </w:p>
    <w:p w14:paraId="1CD85444" w14:textId="3F6D9500" w:rsidR="007D4BCA" w:rsidRPr="00886C9E" w:rsidRDefault="007D4BCA" w:rsidP="002A74B5">
      <w:pPr>
        <w:spacing w:line="480" w:lineRule="auto"/>
        <w:jc w:val="both"/>
        <w:rPr>
          <w:rFonts w:ascii="Times" w:hAnsi="Times" w:cs="Times New Roman"/>
          <w:i/>
        </w:rPr>
      </w:pPr>
      <w:r w:rsidRPr="00886C9E">
        <w:rPr>
          <w:rFonts w:ascii="Times" w:hAnsi="Times" w:cs="Times New Roman"/>
          <w:i/>
        </w:rPr>
        <w:t>Pharmacokinetic and Pharmacodynamic Studies</w:t>
      </w:r>
      <w:r w:rsidR="005B68F0" w:rsidRPr="00886C9E">
        <w:rPr>
          <w:rFonts w:ascii="Times" w:hAnsi="Times" w:cs="Times New Roman"/>
          <w:i/>
        </w:rPr>
        <w:t xml:space="preserve"> in a murine</w:t>
      </w:r>
      <w:r w:rsidR="006A3F86" w:rsidRPr="00886C9E">
        <w:rPr>
          <w:rFonts w:ascii="Times" w:hAnsi="Times" w:cs="Times New Roman"/>
          <w:i/>
        </w:rPr>
        <w:t xml:space="preserve"> thigh </w:t>
      </w:r>
      <w:r w:rsidR="00041CA9" w:rsidRPr="00886C9E">
        <w:rPr>
          <w:rFonts w:ascii="Times" w:hAnsi="Times" w:cs="Times New Roman"/>
          <w:i/>
        </w:rPr>
        <w:t xml:space="preserve">infection </w:t>
      </w:r>
      <w:r w:rsidR="006A3F86" w:rsidRPr="00886C9E">
        <w:rPr>
          <w:rFonts w:ascii="Times" w:hAnsi="Times" w:cs="Times New Roman"/>
          <w:i/>
        </w:rPr>
        <w:t>model</w:t>
      </w:r>
    </w:p>
    <w:p w14:paraId="598AE986" w14:textId="3B6E3F04" w:rsidR="00940003" w:rsidRPr="00886C9E" w:rsidRDefault="006A3F86" w:rsidP="002A74B5">
      <w:pPr>
        <w:spacing w:line="480" w:lineRule="auto"/>
        <w:ind w:firstLine="708"/>
        <w:jc w:val="both"/>
        <w:rPr>
          <w:rFonts w:ascii="Times" w:hAnsi="Times"/>
        </w:rPr>
      </w:pPr>
      <w:r w:rsidRPr="00886C9E">
        <w:rPr>
          <w:rFonts w:ascii="Times" w:hAnsi="Times"/>
        </w:rPr>
        <w:lastRenderedPageBreak/>
        <w:t xml:space="preserve">A </w:t>
      </w:r>
      <w:r w:rsidR="002A74B5" w:rsidRPr="00886C9E">
        <w:rPr>
          <w:rFonts w:ascii="Times" w:hAnsi="Times"/>
        </w:rPr>
        <w:t>well-</w:t>
      </w:r>
      <w:r w:rsidR="00040034" w:rsidRPr="00886C9E">
        <w:rPr>
          <w:rFonts w:ascii="Times" w:hAnsi="Times"/>
        </w:rPr>
        <w:t xml:space="preserve">characterised </w:t>
      </w:r>
      <w:r w:rsidRPr="00886C9E">
        <w:rPr>
          <w:rFonts w:ascii="Times" w:hAnsi="Times"/>
        </w:rPr>
        <w:t>neutropenic m</w:t>
      </w:r>
      <w:r w:rsidR="002528AF" w:rsidRPr="00886C9E">
        <w:rPr>
          <w:rFonts w:ascii="Times" w:hAnsi="Times"/>
        </w:rPr>
        <w:t>urine</w:t>
      </w:r>
      <w:r w:rsidRPr="00886C9E">
        <w:rPr>
          <w:rFonts w:ascii="Times" w:hAnsi="Times"/>
        </w:rPr>
        <w:t xml:space="preserve"> thigh infection model was </w:t>
      </w:r>
      <w:r w:rsidR="00420A4E" w:rsidRPr="00886C9E">
        <w:rPr>
          <w:rFonts w:ascii="Times" w:hAnsi="Times"/>
        </w:rPr>
        <w:t xml:space="preserve">used </w:t>
      </w:r>
      <w:r w:rsidRPr="00886C9E">
        <w:rPr>
          <w:rFonts w:ascii="Times" w:hAnsi="Times"/>
        </w:rPr>
        <w:t xml:space="preserve">to </w:t>
      </w:r>
      <w:r w:rsidR="00040034" w:rsidRPr="00886C9E">
        <w:rPr>
          <w:rFonts w:ascii="Times" w:hAnsi="Times"/>
        </w:rPr>
        <w:t xml:space="preserve">provide a complementary perspective on the pharmacodynamics of </w:t>
      </w:r>
      <w:proofErr w:type="spellStart"/>
      <w:r w:rsidR="00040034" w:rsidRPr="00886C9E">
        <w:rPr>
          <w:rFonts w:ascii="Times" w:hAnsi="Times"/>
        </w:rPr>
        <w:t>teicoplanin</w:t>
      </w:r>
      <w:proofErr w:type="spellEnd"/>
      <w:r w:rsidR="00B55522" w:rsidRPr="00886C9E">
        <w:rPr>
          <w:rFonts w:ascii="Times" w:hAnsi="Times"/>
        </w:rPr>
        <w:t xml:space="preserve"> to that provided by the HFIM</w:t>
      </w:r>
      <w:r w:rsidR="00420A4E" w:rsidRPr="00886C9E">
        <w:rPr>
          <w:rFonts w:ascii="Times" w:hAnsi="Times"/>
        </w:rPr>
        <w:t xml:space="preserve">. All experiments were conducted under </w:t>
      </w:r>
      <w:r w:rsidR="00215D9F" w:rsidRPr="00886C9E">
        <w:rPr>
          <w:rFonts w:ascii="Times" w:hAnsi="Times"/>
        </w:rPr>
        <w:t xml:space="preserve">UK </w:t>
      </w:r>
      <w:r w:rsidR="00420A4E" w:rsidRPr="00886C9E">
        <w:rPr>
          <w:rFonts w:ascii="Times" w:hAnsi="Times"/>
        </w:rPr>
        <w:t>Home office</w:t>
      </w:r>
      <w:r w:rsidR="00C8281E" w:rsidRPr="00886C9E">
        <w:rPr>
          <w:rFonts w:ascii="Times" w:hAnsi="Times"/>
        </w:rPr>
        <w:t xml:space="preserve"> project</w:t>
      </w:r>
      <w:r w:rsidRPr="00886C9E">
        <w:rPr>
          <w:rFonts w:ascii="Times" w:hAnsi="Times"/>
        </w:rPr>
        <w:t xml:space="preserve"> </w:t>
      </w:r>
      <w:r w:rsidR="00215D9F" w:rsidRPr="00886C9E">
        <w:rPr>
          <w:rFonts w:ascii="Times" w:hAnsi="Times"/>
        </w:rPr>
        <w:t>license PPL 40/3630 and approved by the University of Liverpool</w:t>
      </w:r>
      <w:r w:rsidR="00B55522" w:rsidRPr="00886C9E">
        <w:rPr>
          <w:rFonts w:ascii="Times" w:hAnsi="Times"/>
        </w:rPr>
        <w:t>’s</w:t>
      </w:r>
      <w:r w:rsidR="00215D9F" w:rsidRPr="00886C9E">
        <w:rPr>
          <w:rFonts w:ascii="Times" w:hAnsi="Times"/>
        </w:rPr>
        <w:t xml:space="preserve"> Animal Welfare </w:t>
      </w:r>
      <w:r w:rsidR="00B55522" w:rsidRPr="00886C9E">
        <w:rPr>
          <w:rFonts w:ascii="Times" w:hAnsi="Times"/>
        </w:rPr>
        <w:t>and Ethics Review Board</w:t>
      </w:r>
      <w:r w:rsidR="00215D9F" w:rsidRPr="00886C9E">
        <w:rPr>
          <w:rFonts w:ascii="Times" w:hAnsi="Times"/>
        </w:rPr>
        <w:t xml:space="preserve">. </w:t>
      </w:r>
      <w:r w:rsidR="008A3035" w:rsidRPr="00886C9E">
        <w:rPr>
          <w:rFonts w:ascii="Times" w:hAnsi="Times"/>
        </w:rPr>
        <w:t>The mice were housed in vented HEPA-filtered cages, and food and water were provided ad libitum.</w:t>
      </w:r>
    </w:p>
    <w:p w14:paraId="6366F7C5" w14:textId="0F7445BC" w:rsidR="00041CA9" w:rsidRPr="00886C9E" w:rsidRDefault="00041CA9" w:rsidP="00756D65">
      <w:pPr>
        <w:spacing w:line="480" w:lineRule="auto"/>
        <w:ind w:firstLine="708"/>
        <w:jc w:val="both"/>
        <w:rPr>
          <w:rFonts w:ascii="Times" w:hAnsi="Times"/>
        </w:rPr>
      </w:pPr>
      <w:r w:rsidRPr="00886C9E">
        <w:rPr>
          <w:rFonts w:ascii="Times" w:hAnsi="Times"/>
        </w:rPr>
        <w:t>Male CD1 mice (16-20 g) were rendered neutropenic on day -4 and -1 with the intra-peritoneal administration of cyclophosphamide (Baxter, Liverpool, UK) (150 and 100 mg/kg, respectively)</w:t>
      </w:r>
      <w:r w:rsidR="00756D65" w:rsidRPr="00886C9E">
        <w:rPr>
          <w:rFonts w:ascii="Times" w:hAnsi="Times"/>
        </w:rPr>
        <w:t>.</w:t>
      </w:r>
      <w:r w:rsidRPr="00886C9E">
        <w:rPr>
          <w:rFonts w:ascii="Times" w:hAnsi="Times"/>
        </w:rPr>
        <w:fldChar w:fldCharType="begin" w:fldLock="1"/>
      </w:r>
      <w:r w:rsidR="00912D14" w:rsidRPr="00886C9E">
        <w:rPr>
          <w:rFonts w:ascii="Times" w:hAnsi="Times"/>
        </w:rPr>
        <w:instrText>ADDIN CSL_CITATION { "citationItems" : [ { "id" : "ITEM-1", "itemData" : { "DOI" : "10.1186/1471-2334-6-55", "ISSN" : "1471-2334", "PMID" : "16545113", "abstract" : "BACKGROUND For its low cost and ease of handling, the mouse remains the preferred experimental animal for preclinical tests. To avoid the interaction of the animal immune system, in vivo antibiotic pharmacodynamic studies often employ cyclophosphamide (CPM) to induce neutropenia. Although high doses (350-450 mg/kg) are still used and their effects on mouse leukocytes have been described, a lower dose (250 mg/kg) is widely preferred today, but the characteristics and applicability of this approach in outbred mice have not been determined. METHODS Fifteen female ICR mice were injected intraperitoneally with 150 and 100 mg/kg of CPM on days 1 and 4, respectively. Blood samples (approximately 160 microL) were drawn from the retro-orbital sinus of each mouse on days 1, 4, 5, 6, 7 and 11. Leukocytes were counted manually and the number of granulocytes was based on microscopic examination of Wright-stained smears. The impact of neutropenia induced by this method was then determined with a variety of pathogens in three different murine models of human infections: pneumonia (Klebsiella pneumoniae, Streptococcus pneumoniae, Staphylococcus aureus), meningoencephalitis (S. pneumoniae), and the thigh model (S. aureus, Escherichia coli, Bacteroides fragilis). RESULTS The basal count of leukocytes was within the normal range for outbred mice. On day 4, there was an 84% reduction in total white blood cells, and by day 5 the leukopenia reached its nadir (370 +/- 84 cells/mm3). Profound neutropenia (&lt; or =10 neutrophils/mm3) was demonstrated at day 4 and persisted through days 5 and 6. Lymphocytes and monocytes had a 92% and 96% decline between days 1 and 5, respectively. Leukocytes recovered completely by day 11. Mice immunosupressed under this protocol displayed clinical and microbiological patterns of progressive and lethal infectious diseases after inoculation in different organs with diverse human pathogens. CONCLUSION A CPM total dose of 250 mg/kg is sufficient to induce profound and sustained neutropenia (&lt;10 neutrophils/mm3) at least during 3 days in outbred mice, is simpler than previously described methods, and allows successful induction of infection in a variety of experimental models.", "author" : [ { "dropping-particle" : "", "family" : "Zuluaga", "given" : "Andres F", "non-dropping-particle" : "", "parse-names" : false, "suffix" : "" }, { "dropping-particle" : "", "family" : "Salazar", "given" : "Beatriz E", "non-dropping-particle" : "", "parse-names" : false, "suffix" : "" }, { "dropping-particle" : "", "family" : "Rodriguez", "given" : "Carlos A", "non-dropping-particle" : "", "parse-names" : false, "suffix" : "" }, { "dropping-particle" : "", "family" : "Zapata", "given" : "Ana X", "non-dropping-particle" : "", "parse-names" : false, "suffix" : "" }, { "dropping-particle" : "", "family" : "Agudelo", "given" : "Maria", "non-dropping-particle" : "", "parse-names" : false, "suffix" : "" }, { "dropping-particle" : "", "family" : "Vesga", "given" : "Omar", "non-dropping-particle" : "", "parse-names" : false, "suffix" : "" } ], "container-title" : "BMC infectious diseases", "id" : "ITEM-1", "issue" : "1", "issued" : { "date-parts" : [ [ "2006", "3", "17" ] ] }, "page" : "55", "title" : "Neutropenia induced in outbred mice by a simplified low-dose cyclophosphamide regimen: characterization and applicability to diverse experimental models of infectious diseases.", "type" : "article-journal", "volume" : "6" }, "uris" : [ "http://www.mendeley.com/documents/?uuid=01a40720-af69-3eb3-8530-e25535926d20" ] } ], "mendeley" : { "formattedCitation" : "&lt;sup&gt;9&lt;/sup&gt;", "plainTextFormattedCitation" : "9", "previouslyFormattedCitation" : "&lt;sup&gt;9&lt;/sup&gt;" }, "properties" : { "noteIndex" : 0 }, "schema" : "https://github.com/citation-style-language/schema/raw/master/csl-citation.json" }</w:instrText>
      </w:r>
      <w:r w:rsidRPr="00886C9E">
        <w:rPr>
          <w:rFonts w:ascii="Times" w:hAnsi="Times"/>
        </w:rPr>
        <w:fldChar w:fldCharType="separate"/>
      </w:r>
      <w:r w:rsidR="00D85CCF" w:rsidRPr="00886C9E">
        <w:rPr>
          <w:rFonts w:ascii="Times" w:hAnsi="Times"/>
          <w:noProof/>
          <w:vertAlign w:val="superscript"/>
        </w:rPr>
        <w:t>9</w:t>
      </w:r>
      <w:r w:rsidRPr="00886C9E">
        <w:rPr>
          <w:rFonts w:ascii="Times" w:hAnsi="Times"/>
        </w:rPr>
        <w:fldChar w:fldCharType="end"/>
      </w:r>
      <w:r w:rsidRPr="00886C9E">
        <w:rPr>
          <w:rFonts w:ascii="Times" w:hAnsi="Times"/>
        </w:rPr>
        <w:t xml:space="preserve"> </w:t>
      </w:r>
      <w:r w:rsidR="00856C57" w:rsidRPr="00886C9E">
        <w:rPr>
          <w:rFonts w:ascii="Times" w:hAnsi="Times"/>
        </w:rPr>
        <w:t xml:space="preserve">Each experiment (n=3) comprised a control and 3 cohort treated arms, nine mice were studied per cohort group. </w:t>
      </w:r>
      <w:r w:rsidRPr="00886C9E">
        <w:rPr>
          <w:rFonts w:ascii="Times" w:hAnsi="Times"/>
        </w:rPr>
        <w:t xml:space="preserve">On day 1, mice were inoculated with </w:t>
      </w:r>
      <w:r w:rsidR="00756D65" w:rsidRPr="00886C9E">
        <w:rPr>
          <w:rFonts w:ascii="Times" w:hAnsi="Times"/>
        </w:rPr>
        <w:t>2 x 10</w:t>
      </w:r>
      <w:r w:rsidR="00756D65" w:rsidRPr="00886C9E">
        <w:rPr>
          <w:rFonts w:ascii="Times" w:hAnsi="Times"/>
          <w:vertAlign w:val="superscript"/>
        </w:rPr>
        <w:t xml:space="preserve">6 </w:t>
      </w:r>
      <w:r w:rsidR="00756D65" w:rsidRPr="00886C9E">
        <w:rPr>
          <w:rFonts w:ascii="Times" w:hAnsi="Times"/>
        </w:rPr>
        <w:t>CFU/mL</w:t>
      </w:r>
      <w:r w:rsidRPr="00886C9E">
        <w:rPr>
          <w:rFonts w:ascii="Times" w:hAnsi="Times"/>
        </w:rPr>
        <w:t xml:space="preserve"> MRSA (43300) in each posterior thigh muscle in a 50 </w:t>
      </w:r>
      <w:r w:rsidRPr="00886C9E">
        <w:rPr>
          <w:rFonts w:ascii="Times" w:hAnsi="Times"/>
        </w:rPr>
        <w:sym w:font="Symbol" w:char="F06D"/>
      </w:r>
      <w:r w:rsidRPr="00886C9E">
        <w:rPr>
          <w:rFonts w:ascii="Times" w:hAnsi="Times"/>
        </w:rPr>
        <w:t xml:space="preserve">L volume. </w:t>
      </w:r>
      <w:proofErr w:type="spellStart"/>
      <w:r w:rsidRPr="00886C9E">
        <w:rPr>
          <w:rFonts w:ascii="Times" w:hAnsi="Times"/>
        </w:rPr>
        <w:t>Teicoplanin</w:t>
      </w:r>
      <w:proofErr w:type="spellEnd"/>
      <w:r w:rsidRPr="00886C9E">
        <w:rPr>
          <w:rFonts w:ascii="Times" w:hAnsi="Times"/>
        </w:rPr>
        <w:t xml:space="preserve"> was commenced 2 h post-infection and was administered</w:t>
      </w:r>
      <w:r w:rsidR="00734FEF" w:rsidRPr="00886C9E">
        <w:rPr>
          <w:rFonts w:ascii="Times" w:hAnsi="Times"/>
        </w:rPr>
        <w:t xml:space="preserve"> </w:t>
      </w:r>
      <w:proofErr w:type="spellStart"/>
      <w:r w:rsidRPr="00886C9E">
        <w:rPr>
          <w:rFonts w:ascii="Times" w:hAnsi="Times"/>
        </w:rPr>
        <w:t>i</w:t>
      </w:r>
      <w:r w:rsidR="00734FEF" w:rsidRPr="00886C9E">
        <w:rPr>
          <w:rFonts w:ascii="Times" w:hAnsi="Times"/>
        </w:rPr>
        <w:t>.</w:t>
      </w:r>
      <w:r w:rsidRPr="00886C9E">
        <w:rPr>
          <w:rFonts w:ascii="Times" w:hAnsi="Times"/>
        </w:rPr>
        <w:t>v</w:t>
      </w:r>
      <w:r w:rsidR="00734FEF" w:rsidRPr="00886C9E">
        <w:rPr>
          <w:rFonts w:ascii="Times" w:hAnsi="Times"/>
        </w:rPr>
        <w:t>.</w:t>
      </w:r>
      <w:proofErr w:type="spellEnd"/>
      <w:r w:rsidRPr="00886C9E">
        <w:rPr>
          <w:rFonts w:ascii="Times" w:hAnsi="Times"/>
        </w:rPr>
        <w:t xml:space="preserve"> every 12 hours.</w:t>
      </w:r>
    </w:p>
    <w:p w14:paraId="7901AE1F" w14:textId="607CEC27" w:rsidR="006A3F86" w:rsidRPr="00886C9E" w:rsidRDefault="006A3F86" w:rsidP="00756D65">
      <w:pPr>
        <w:spacing w:line="480" w:lineRule="auto"/>
        <w:ind w:firstLine="708"/>
        <w:jc w:val="both"/>
        <w:rPr>
          <w:rFonts w:ascii="Times" w:hAnsi="Times"/>
        </w:rPr>
      </w:pPr>
    </w:p>
    <w:p w14:paraId="7A4A79DF" w14:textId="48720CCE" w:rsidR="006D6D5C" w:rsidRPr="00886C9E" w:rsidRDefault="00DE013D" w:rsidP="00756D65">
      <w:pPr>
        <w:spacing w:line="480" w:lineRule="auto"/>
        <w:jc w:val="both"/>
        <w:rPr>
          <w:rFonts w:ascii="Times" w:hAnsi="Times"/>
          <w:i/>
        </w:rPr>
      </w:pPr>
      <w:r w:rsidRPr="00886C9E">
        <w:rPr>
          <w:rFonts w:ascii="Times" w:hAnsi="Times"/>
          <w:i/>
        </w:rPr>
        <w:t xml:space="preserve">In vivo </w:t>
      </w:r>
      <w:r w:rsidR="00F75AFD" w:rsidRPr="00886C9E">
        <w:rPr>
          <w:rFonts w:ascii="Times" w:hAnsi="Times"/>
          <w:i/>
        </w:rPr>
        <w:t>Pharmacokinetic studies</w:t>
      </w:r>
    </w:p>
    <w:p w14:paraId="05939A28" w14:textId="1B43AA79" w:rsidR="00D276FC" w:rsidRPr="00886C9E" w:rsidRDefault="00856C57" w:rsidP="00756D65">
      <w:pPr>
        <w:spacing w:line="480" w:lineRule="auto"/>
        <w:ind w:firstLine="708"/>
        <w:jc w:val="both"/>
        <w:rPr>
          <w:rFonts w:ascii="Times" w:hAnsi="Times"/>
        </w:rPr>
      </w:pPr>
      <w:r w:rsidRPr="00886C9E">
        <w:rPr>
          <w:rFonts w:ascii="Times" w:hAnsi="Times"/>
        </w:rPr>
        <w:t>Groups of mice (n=9 per dosage cohort) received d</w:t>
      </w:r>
      <w:r w:rsidR="00420A4E" w:rsidRPr="00886C9E">
        <w:rPr>
          <w:rFonts w:ascii="Times" w:hAnsi="Times"/>
        </w:rPr>
        <w:t>osages of</w:t>
      </w:r>
      <w:r w:rsidR="006A3F86" w:rsidRPr="00886C9E">
        <w:rPr>
          <w:rFonts w:ascii="Times" w:hAnsi="Times"/>
        </w:rPr>
        <w:t xml:space="preserve"> 2.5, 15 and 100 mg/kg/day</w:t>
      </w:r>
      <w:r w:rsidR="008F1706" w:rsidRPr="00886C9E">
        <w:rPr>
          <w:rFonts w:ascii="Times" w:hAnsi="Times"/>
        </w:rPr>
        <w:t xml:space="preserve"> (as multiple 12-hourly </w:t>
      </w:r>
      <w:proofErr w:type="spellStart"/>
      <w:r w:rsidR="008F1706" w:rsidRPr="00886C9E">
        <w:rPr>
          <w:rFonts w:ascii="Times" w:hAnsi="Times"/>
        </w:rPr>
        <w:t>i.v.</w:t>
      </w:r>
      <w:proofErr w:type="spellEnd"/>
      <w:r w:rsidR="008F1706" w:rsidRPr="00886C9E">
        <w:rPr>
          <w:rFonts w:ascii="Times" w:hAnsi="Times"/>
        </w:rPr>
        <w:t xml:space="preserve"> doses)</w:t>
      </w:r>
      <w:r w:rsidRPr="00886C9E">
        <w:rPr>
          <w:rFonts w:ascii="Times" w:hAnsi="Times"/>
        </w:rPr>
        <w:t xml:space="preserve"> that</w:t>
      </w:r>
      <w:r w:rsidR="00D276FC" w:rsidRPr="00886C9E">
        <w:rPr>
          <w:rFonts w:ascii="Times" w:hAnsi="Times"/>
        </w:rPr>
        <w:t xml:space="preserve"> were chosen to investigate the total bactericidal effect and the suppression of resistance</w:t>
      </w:r>
      <w:r w:rsidR="00C83883" w:rsidRPr="00886C9E">
        <w:rPr>
          <w:rFonts w:ascii="Times" w:hAnsi="Times"/>
        </w:rPr>
        <w:t xml:space="preserve"> based on </w:t>
      </w:r>
      <w:r w:rsidR="00BA09E3" w:rsidRPr="00886C9E">
        <w:rPr>
          <w:rFonts w:ascii="Times" w:hAnsi="Times"/>
        </w:rPr>
        <w:t>preliminary</w:t>
      </w:r>
      <w:r w:rsidR="00C83883" w:rsidRPr="00886C9E">
        <w:rPr>
          <w:rFonts w:ascii="Times" w:hAnsi="Times"/>
        </w:rPr>
        <w:t xml:space="preserve"> </w:t>
      </w:r>
      <w:r w:rsidR="00041CA9" w:rsidRPr="00886C9E">
        <w:rPr>
          <w:rFonts w:ascii="Times" w:hAnsi="Times"/>
        </w:rPr>
        <w:t>d</w:t>
      </w:r>
      <w:r w:rsidR="00E33A51" w:rsidRPr="00886C9E">
        <w:rPr>
          <w:rFonts w:ascii="Times" w:hAnsi="Times"/>
        </w:rPr>
        <w:t>ose-finding studies</w:t>
      </w:r>
      <w:r w:rsidR="006A3F86" w:rsidRPr="00886C9E">
        <w:rPr>
          <w:rFonts w:ascii="Times" w:hAnsi="Times"/>
        </w:rPr>
        <w:t>.</w:t>
      </w:r>
      <w:r w:rsidR="00041CA9" w:rsidRPr="00886C9E">
        <w:rPr>
          <w:rFonts w:ascii="Times" w:hAnsi="Times"/>
        </w:rPr>
        <w:t xml:space="preserve"> </w:t>
      </w:r>
      <w:r w:rsidR="006A3F86" w:rsidRPr="00886C9E">
        <w:rPr>
          <w:rFonts w:ascii="Times" w:hAnsi="Times"/>
        </w:rPr>
        <w:t xml:space="preserve">PK sampling was </w:t>
      </w:r>
      <w:r w:rsidR="006D6D5C" w:rsidRPr="00886C9E">
        <w:rPr>
          <w:rFonts w:ascii="Times" w:hAnsi="Times"/>
        </w:rPr>
        <w:t xml:space="preserve">performed </w:t>
      </w:r>
      <w:r w:rsidR="006A3F86" w:rsidRPr="00886C9E">
        <w:rPr>
          <w:rFonts w:ascii="Times" w:hAnsi="Times"/>
        </w:rPr>
        <w:t>at: 0, 0.5, 1, 2, 4 and 12 hou</w:t>
      </w:r>
      <w:r w:rsidR="0068754F" w:rsidRPr="00886C9E">
        <w:rPr>
          <w:rFonts w:ascii="Times" w:hAnsi="Times"/>
        </w:rPr>
        <w:t>rs post-dose</w:t>
      </w:r>
      <w:r w:rsidR="006D6D5C" w:rsidRPr="00886C9E">
        <w:rPr>
          <w:rFonts w:ascii="Times" w:hAnsi="Times"/>
        </w:rPr>
        <w:t>.</w:t>
      </w:r>
      <w:r w:rsidR="0068754F" w:rsidRPr="00886C9E">
        <w:rPr>
          <w:rFonts w:ascii="Times" w:hAnsi="Times"/>
        </w:rPr>
        <w:t xml:space="preserve"> </w:t>
      </w:r>
      <w:r w:rsidR="006D6D5C" w:rsidRPr="00886C9E">
        <w:rPr>
          <w:rFonts w:ascii="Times" w:hAnsi="Times"/>
        </w:rPr>
        <w:t>T</w:t>
      </w:r>
      <w:r w:rsidR="006A3F86" w:rsidRPr="00886C9E">
        <w:rPr>
          <w:rFonts w:ascii="Times" w:hAnsi="Times"/>
        </w:rPr>
        <w:t xml:space="preserve">hree mice </w:t>
      </w:r>
      <w:r w:rsidR="006D6D5C" w:rsidRPr="00886C9E">
        <w:rPr>
          <w:rFonts w:ascii="Times" w:hAnsi="Times"/>
        </w:rPr>
        <w:t xml:space="preserve">were used </w:t>
      </w:r>
      <w:r w:rsidR="006A3F86" w:rsidRPr="00886C9E">
        <w:rPr>
          <w:rFonts w:ascii="Times" w:hAnsi="Times"/>
        </w:rPr>
        <w:t xml:space="preserve">per </w:t>
      </w:r>
      <w:r w:rsidR="006D6D5C" w:rsidRPr="00886C9E">
        <w:rPr>
          <w:rFonts w:ascii="Times" w:hAnsi="Times"/>
        </w:rPr>
        <w:t>dose-</w:t>
      </w:r>
      <w:r w:rsidR="006A3F86" w:rsidRPr="00886C9E">
        <w:rPr>
          <w:rFonts w:ascii="Times" w:hAnsi="Times"/>
        </w:rPr>
        <w:t>time</w:t>
      </w:r>
      <w:r w:rsidR="00577F46" w:rsidRPr="00886C9E">
        <w:rPr>
          <w:rFonts w:ascii="Times" w:hAnsi="Times"/>
        </w:rPr>
        <w:t>-</w:t>
      </w:r>
      <w:r w:rsidR="006A3F86" w:rsidRPr="00886C9E">
        <w:rPr>
          <w:rFonts w:ascii="Times" w:hAnsi="Times"/>
        </w:rPr>
        <w:t>point. Samples</w:t>
      </w:r>
      <w:r w:rsidR="001A7CFE" w:rsidRPr="00886C9E">
        <w:rPr>
          <w:rFonts w:ascii="Times" w:hAnsi="Times"/>
        </w:rPr>
        <w:t xml:space="preserve"> were immediately spun and plasma</w:t>
      </w:r>
      <w:r w:rsidR="006A3F86" w:rsidRPr="00886C9E">
        <w:rPr>
          <w:rFonts w:ascii="Times" w:hAnsi="Times"/>
        </w:rPr>
        <w:t xml:space="preserve"> </w:t>
      </w:r>
      <w:r w:rsidR="006D6D5C" w:rsidRPr="00886C9E">
        <w:rPr>
          <w:rFonts w:ascii="Times" w:hAnsi="Times"/>
        </w:rPr>
        <w:t>stored</w:t>
      </w:r>
      <w:r w:rsidR="006A3F86" w:rsidRPr="00886C9E">
        <w:rPr>
          <w:rFonts w:ascii="Times" w:hAnsi="Times"/>
        </w:rPr>
        <w:t xml:space="preserve"> at -80ºC until analysis.</w:t>
      </w:r>
      <w:r w:rsidR="002528AF" w:rsidRPr="00886C9E">
        <w:rPr>
          <w:rFonts w:ascii="Times" w:hAnsi="Times"/>
        </w:rPr>
        <w:t xml:space="preserve"> </w:t>
      </w:r>
    </w:p>
    <w:p w14:paraId="0E55B1E9" w14:textId="77777777" w:rsidR="00940003" w:rsidRPr="00886C9E" w:rsidRDefault="00940003" w:rsidP="00756D65">
      <w:pPr>
        <w:spacing w:line="480" w:lineRule="auto"/>
        <w:jc w:val="both"/>
        <w:rPr>
          <w:rFonts w:ascii="Times" w:hAnsi="Times"/>
        </w:rPr>
      </w:pPr>
    </w:p>
    <w:p w14:paraId="293ED508" w14:textId="77777777" w:rsidR="00DE013D" w:rsidRPr="00886C9E" w:rsidRDefault="00DE013D">
      <w:pPr>
        <w:spacing w:line="480" w:lineRule="auto"/>
        <w:jc w:val="both"/>
        <w:rPr>
          <w:rFonts w:ascii="Times" w:hAnsi="Times"/>
          <w:i/>
        </w:rPr>
      </w:pPr>
    </w:p>
    <w:p w14:paraId="29895537" w14:textId="77777777" w:rsidR="00DE013D" w:rsidRPr="00886C9E" w:rsidRDefault="00DE013D">
      <w:pPr>
        <w:spacing w:line="480" w:lineRule="auto"/>
        <w:jc w:val="both"/>
        <w:rPr>
          <w:rFonts w:ascii="Times" w:hAnsi="Times"/>
          <w:i/>
        </w:rPr>
      </w:pPr>
    </w:p>
    <w:p w14:paraId="754464A1" w14:textId="200A9124" w:rsidR="00D276FC" w:rsidRPr="00886C9E" w:rsidRDefault="00DE013D">
      <w:pPr>
        <w:spacing w:line="480" w:lineRule="auto"/>
        <w:jc w:val="both"/>
        <w:rPr>
          <w:rFonts w:ascii="Times" w:hAnsi="Times"/>
          <w:i/>
        </w:rPr>
      </w:pPr>
      <w:r w:rsidRPr="00886C9E">
        <w:rPr>
          <w:rFonts w:ascii="Times" w:hAnsi="Times"/>
          <w:i/>
        </w:rPr>
        <w:t xml:space="preserve">In vivo </w:t>
      </w:r>
      <w:r w:rsidR="00D276FC" w:rsidRPr="00886C9E">
        <w:rPr>
          <w:rFonts w:ascii="Times" w:hAnsi="Times"/>
          <w:i/>
        </w:rPr>
        <w:t>Pharmacodynamic studies</w:t>
      </w:r>
    </w:p>
    <w:p w14:paraId="1E017642" w14:textId="5049C79C" w:rsidR="006A3F86" w:rsidRPr="00886C9E" w:rsidRDefault="006D6D5C" w:rsidP="00D20EB6">
      <w:pPr>
        <w:spacing w:line="480" w:lineRule="auto"/>
        <w:ind w:firstLine="708"/>
        <w:jc w:val="both"/>
        <w:rPr>
          <w:rFonts w:ascii="Times" w:hAnsi="Times"/>
        </w:rPr>
      </w:pPr>
      <w:r w:rsidRPr="00886C9E">
        <w:rPr>
          <w:rFonts w:ascii="Times" w:hAnsi="Times"/>
        </w:rPr>
        <w:lastRenderedPageBreak/>
        <w:t>At the time of sacrifice</w:t>
      </w:r>
      <w:r w:rsidR="00B0459C" w:rsidRPr="00886C9E">
        <w:rPr>
          <w:rFonts w:ascii="Times" w:hAnsi="Times"/>
        </w:rPr>
        <w:t xml:space="preserve"> (at 2, 12 and 26 h post-infection)</w:t>
      </w:r>
      <w:r w:rsidR="002528AF" w:rsidRPr="00886C9E">
        <w:rPr>
          <w:rFonts w:ascii="Times" w:hAnsi="Times"/>
        </w:rPr>
        <w:t xml:space="preserve"> </w:t>
      </w:r>
      <w:r w:rsidRPr="00886C9E">
        <w:rPr>
          <w:rFonts w:ascii="Times" w:hAnsi="Times"/>
        </w:rPr>
        <w:t xml:space="preserve">both </w:t>
      </w:r>
      <w:r w:rsidR="002528AF" w:rsidRPr="00886C9E">
        <w:rPr>
          <w:rFonts w:ascii="Times" w:hAnsi="Times"/>
        </w:rPr>
        <w:t xml:space="preserve">thighs </w:t>
      </w:r>
      <w:r w:rsidRPr="00886C9E">
        <w:rPr>
          <w:rFonts w:ascii="Times" w:hAnsi="Times"/>
        </w:rPr>
        <w:t xml:space="preserve">were </w:t>
      </w:r>
      <w:r w:rsidR="006C1FA5" w:rsidRPr="00886C9E">
        <w:rPr>
          <w:rFonts w:ascii="Times" w:hAnsi="Times"/>
        </w:rPr>
        <w:t xml:space="preserve">aseptically </w:t>
      </w:r>
      <w:r w:rsidR="002528AF" w:rsidRPr="00886C9E">
        <w:rPr>
          <w:rFonts w:ascii="Times" w:hAnsi="Times"/>
        </w:rPr>
        <w:t xml:space="preserve">removed and placed in separate culture tubes with </w:t>
      </w:r>
      <w:r w:rsidR="00D276FC" w:rsidRPr="00886C9E">
        <w:rPr>
          <w:rFonts w:ascii="Times" w:hAnsi="Times"/>
        </w:rPr>
        <w:t xml:space="preserve">2 </w:t>
      </w:r>
      <w:r w:rsidRPr="00886C9E">
        <w:rPr>
          <w:rFonts w:ascii="Times" w:hAnsi="Times"/>
        </w:rPr>
        <w:t xml:space="preserve">mL </w:t>
      </w:r>
      <w:r w:rsidR="002528AF" w:rsidRPr="00886C9E">
        <w:rPr>
          <w:rFonts w:ascii="Times" w:hAnsi="Times"/>
        </w:rPr>
        <w:t>PBS</w:t>
      </w:r>
      <w:r w:rsidR="00041CA9" w:rsidRPr="00886C9E">
        <w:rPr>
          <w:rFonts w:ascii="Times" w:hAnsi="Times"/>
        </w:rPr>
        <w:t>. Samples w</w:t>
      </w:r>
      <w:r w:rsidR="00115B77" w:rsidRPr="00886C9E">
        <w:rPr>
          <w:rFonts w:ascii="Times" w:hAnsi="Times"/>
        </w:rPr>
        <w:t>e</w:t>
      </w:r>
      <w:r w:rsidR="00041CA9" w:rsidRPr="00886C9E">
        <w:rPr>
          <w:rFonts w:ascii="Times" w:hAnsi="Times"/>
        </w:rPr>
        <w:t>re</w:t>
      </w:r>
      <w:r w:rsidRPr="00886C9E">
        <w:rPr>
          <w:rFonts w:ascii="Times" w:hAnsi="Times"/>
        </w:rPr>
        <w:t xml:space="preserve"> </w:t>
      </w:r>
      <w:r w:rsidR="006C1FA5" w:rsidRPr="00886C9E">
        <w:rPr>
          <w:rFonts w:ascii="Times" w:hAnsi="Times"/>
        </w:rPr>
        <w:t>individually</w:t>
      </w:r>
      <w:r w:rsidRPr="00886C9E">
        <w:rPr>
          <w:rFonts w:ascii="Times" w:hAnsi="Times"/>
        </w:rPr>
        <w:t xml:space="preserve"> homogenised using </w:t>
      </w:r>
      <w:r w:rsidR="00C83883" w:rsidRPr="00886C9E">
        <w:rPr>
          <w:rFonts w:ascii="Times" w:hAnsi="Times"/>
        </w:rPr>
        <w:t xml:space="preserve">a </w:t>
      </w:r>
      <w:proofErr w:type="spellStart"/>
      <w:r w:rsidR="00C83883" w:rsidRPr="00886C9E">
        <w:rPr>
          <w:rFonts w:ascii="Times" w:hAnsi="Times"/>
        </w:rPr>
        <w:t>polytron</w:t>
      </w:r>
      <w:proofErr w:type="spellEnd"/>
      <w:r w:rsidR="00C83883" w:rsidRPr="00886C9E">
        <w:rPr>
          <w:rFonts w:ascii="Times" w:hAnsi="Times"/>
        </w:rPr>
        <w:t xml:space="preserve"> disperser VDI 12 (V</w:t>
      </w:r>
      <w:r w:rsidR="00B0459C" w:rsidRPr="00886C9E">
        <w:rPr>
          <w:rFonts w:ascii="Times" w:hAnsi="Times"/>
        </w:rPr>
        <w:t>WR,</w:t>
      </w:r>
      <w:r w:rsidR="00C83883" w:rsidRPr="00886C9E">
        <w:rPr>
          <w:rFonts w:ascii="Times" w:hAnsi="Times"/>
        </w:rPr>
        <w:t xml:space="preserve"> </w:t>
      </w:r>
      <w:proofErr w:type="spellStart"/>
      <w:r w:rsidR="00B0459C" w:rsidRPr="00886C9E">
        <w:rPr>
          <w:rFonts w:ascii="Times" w:hAnsi="Times"/>
        </w:rPr>
        <w:t>Lutterworth</w:t>
      </w:r>
      <w:proofErr w:type="spellEnd"/>
      <w:r w:rsidR="00C83883" w:rsidRPr="00886C9E">
        <w:rPr>
          <w:rFonts w:ascii="Times" w:hAnsi="Times"/>
        </w:rPr>
        <w:t>, UK)</w:t>
      </w:r>
      <w:r w:rsidR="00041CA9" w:rsidRPr="00886C9E">
        <w:rPr>
          <w:rFonts w:ascii="Times" w:hAnsi="Times"/>
        </w:rPr>
        <w:t>.</w:t>
      </w:r>
      <w:r w:rsidR="00B0459C" w:rsidRPr="00886C9E">
        <w:rPr>
          <w:rFonts w:ascii="Times" w:hAnsi="Times"/>
        </w:rPr>
        <w:t xml:space="preserve"> </w:t>
      </w:r>
      <w:r w:rsidR="00F12305" w:rsidRPr="00886C9E">
        <w:rPr>
          <w:rFonts w:ascii="Times" w:hAnsi="Times"/>
        </w:rPr>
        <w:t xml:space="preserve">One </w:t>
      </w:r>
      <w:r w:rsidR="00041CA9" w:rsidRPr="00886C9E">
        <w:rPr>
          <w:rFonts w:ascii="Times" w:hAnsi="Times"/>
        </w:rPr>
        <w:t xml:space="preserve">hundred </w:t>
      </w:r>
      <w:r w:rsidR="00041CA9" w:rsidRPr="00886C9E">
        <w:rPr>
          <w:rFonts w:ascii="Times" w:hAnsi="Times"/>
        </w:rPr>
        <w:sym w:font="Symbol" w:char="F06D"/>
      </w:r>
      <w:r w:rsidR="00041CA9" w:rsidRPr="00886C9E">
        <w:rPr>
          <w:rFonts w:ascii="Times" w:hAnsi="Times"/>
        </w:rPr>
        <w:t>L</w:t>
      </w:r>
      <w:r w:rsidR="006C1FA5" w:rsidRPr="00886C9E">
        <w:rPr>
          <w:rFonts w:ascii="Times" w:hAnsi="Times"/>
        </w:rPr>
        <w:t xml:space="preserve"> aliquots from </w:t>
      </w:r>
      <w:r w:rsidR="00041CA9" w:rsidRPr="00886C9E">
        <w:rPr>
          <w:rFonts w:ascii="Times" w:hAnsi="Times"/>
        </w:rPr>
        <w:t xml:space="preserve">10-fold </w:t>
      </w:r>
      <w:r w:rsidR="00D276FC" w:rsidRPr="00886C9E">
        <w:rPr>
          <w:rFonts w:ascii="Times" w:hAnsi="Times"/>
        </w:rPr>
        <w:t>serial dilutions</w:t>
      </w:r>
      <w:r w:rsidRPr="00886C9E">
        <w:rPr>
          <w:rFonts w:ascii="Times" w:hAnsi="Times"/>
        </w:rPr>
        <w:t xml:space="preserve"> </w:t>
      </w:r>
      <w:r w:rsidR="00D276FC" w:rsidRPr="00886C9E">
        <w:rPr>
          <w:rFonts w:ascii="Times" w:hAnsi="Times"/>
        </w:rPr>
        <w:t>were</w:t>
      </w:r>
      <w:r w:rsidRPr="00886C9E">
        <w:rPr>
          <w:rFonts w:ascii="Times" w:hAnsi="Times"/>
        </w:rPr>
        <w:t xml:space="preserve"> plated to</w:t>
      </w:r>
      <w:r w:rsidR="002528AF" w:rsidRPr="00886C9E">
        <w:rPr>
          <w:rFonts w:ascii="Times" w:hAnsi="Times"/>
        </w:rPr>
        <w:t xml:space="preserve"> </w:t>
      </w:r>
      <w:r w:rsidR="00041CA9" w:rsidRPr="00886C9E">
        <w:rPr>
          <w:rFonts w:ascii="Times" w:hAnsi="Times"/>
        </w:rPr>
        <w:t xml:space="preserve">drug free and </w:t>
      </w:r>
      <w:r w:rsidR="002528AF" w:rsidRPr="00886C9E">
        <w:rPr>
          <w:rFonts w:ascii="Times" w:hAnsi="Times"/>
        </w:rPr>
        <w:t>MH agar</w:t>
      </w:r>
      <w:r w:rsidR="00041CA9" w:rsidRPr="00886C9E">
        <w:rPr>
          <w:rFonts w:ascii="Times" w:hAnsi="Times"/>
        </w:rPr>
        <w:t xml:space="preserve"> </w:t>
      </w:r>
      <w:r w:rsidR="00115B77" w:rsidRPr="00886C9E">
        <w:rPr>
          <w:rFonts w:ascii="Times" w:hAnsi="Times"/>
        </w:rPr>
        <w:t xml:space="preserve">containing </w:t>
      </w:r>
      <w:proofErr w:type="spellStart"/>
      <w:r w:rsidR="00115B77" w:rsidRPr="00886C9E">
        <w:rPr>
          <w:rFonts w:ascii="Times" w:hAnsi="Times"/>
        </w:rPr>
        <w:t>teicoplanin</w:t>
      </w:r>
      <w:proofErr w:type="spellEnd"/>
      <w:r w:rsidR="00115B77" w:rsidRPr="00886C9E">
        <w:rPr>
          <w:rFonts w:ascii="Times" w:hAnsi="Times"/>
        </w:rPr>
        <w:t xml:space="preserve"> 8 mg/L</w:t>
      </w:r>
      <w:r w:rsidR="002528AF" w:rsidRPr="00886C9E">
        <w:rPr>
          <w:rFonts w:ascii="Times" w:hAnsi="Times"/>
        </w:rPr>
        <w:t xml:space="preserve">. </w:t>
      </w:r>
      <w:r w:rsidR="0051596D" w:rsidRPr="00886C9E">
        <w:rPr>
          <w:rFonts w:ascii="Times" w:hAnsi="Times"/>
        </w:rPr>
        <w:t>T</w:t>
      </w:r>
      <w:r w:rsidR="00041CA9" w:rsidRPr="00886C9E">
        <w:rPr>
          <w:rFonts w:ascii="Times" w:hAnsi="Times"/>
        </w:rPr>
        <w:t xml:space="preserve">he mean </w:t>
      </w:r>
      <w:r w:rsidR="0051596D" w:rsidRPr="00886C9E">
        <w:rPr>
          <w:rFonts w:ascii="Times" w:hAnsi="Times"/>
        </w:rPr>
        <w:t xml:space="preserve">value </w:t>
      </w:r>
      <w:r w:rsidR="00041CA9" w:rsidRPr="00886C9E">
        <w:rPr>
          <w:rFonts w:ascii="Times" w:hAnsi="Times"/>
        </w:rPr>
        <w:t xml:space="preserve">of the </w:t>
      </w:r>
      <w:r w:rsidR="0051596D" w:rsidRPr="00886C9E">
        <w:rPr>
          <w:rFonts w:ascii="Times" w:hAnsi="Times"/>
        </w:rPr>
        <w:t>bacterial burden from</w:t>
      </w:r>
      <w:r w:rsidR="00F12305" w:rsidRPr="00886C9E">
        <w:rPr>
          <w:rFonts w:ascii="Times" w:hAnsi="Times"/>
        </w:rPr>
        <w:t xml:space="preserve"> the</w:t>
      </w:r>
      <w:r w:rsidR="0051596D" w:rsidRPr="00886C9E">
        <w:rPr>
          <w:rFonts w:ascii="Times" w:hAnsi="Times"/>
        </w:rPr>
        <w:t xml:space="preserve"> </w:t>
      </w:r>
      <w:r w:rsidR="00041CA9" w:rsidRPr="00886C9E">
        <w:rPr>
          <w:rFonts w:ascii="Times" w:hAnsi="Times"/>
        </w:rPr>
        <w:t xml:space="preserve">left and right thigh </w:t>
      </w:r>
      <w:r w:rsidR="00115B77" w:rsidRPr="00886C9E">
        <w:rPr>
          <w:rFonts w:ascii="Times" w:hAnsi="Times"/>
        </w:rPr>
        <w:t xml:space="preserve">from each mouse </w:t>
      </w:r>
      <w:r w:rsidR="00041CA9" w:rsidRPr="00886C9E">
        <w:rPr>
          <w:rFonts w:ascii="Times" w:hAnsi="Times"/>
        </w:rPr>
        <w:t xml:space="preserve">was determined.  The </w:t>
      </w:r>
      <w:r w:rsidR="00305D87" w:rsidRPr="00886C9E">
        <w:rPr>
          <w:rFonts w:ascii="Times" w:hAnsi="Times"/>
        </w:rPr>
        <w:t>mean and SD of a group of three mice</w:t>
      </w:r>
      <w:r w:rsidR="00041CA9" w:rsidRPr="00886C9E">
        <w:rPr>
          <w:rFonts w:ascii="Times" w:hAnsi="Times"/>
        </w:rPr>
        <w:t xml:space="preserve"> was </w:t>
      </w:r>
      <w:r w:rsidR="00115B77" w:rsidRPr="00886C9E">
        <w:rPr>
          <w:rFonts w:ascii="Times" w:hAnsi="Times"/>
        </w:rPr>
        <w:t>then</w:t>
      </w:r>
      <w:r w:rsidR="00041CA9" w:rsidRPr="00886C9E">
        <w:rPr>
          <w:rFonts w:ascii="Times" w:hAnsi="Times"/>
        </w:rPr>
        <w:t xml:space="preserve"> calculated</w:t>
      </w:r>
      <w:r w:rsidR="00305D87" w:rsidRPr="00886C9E">
        <w:rPr>
          <w:rFonts w:ascii="Times" w:hAnsi="Times"/>
        </w:rPr>
        <w:t>.</w:t>
      </w:r>
      <w:r w:rsidR="00856C57" w:rsidRPr="00886C9E">
        <w:rPr>
          <w:rFonts w:ascii="Times" w:hAnsi="Times"/>
        </w:rPr>
        <w:t xml:space="preserve"> </w:t>
      </w:r>
    </w:p>
    <w:p w14:paraId="56E678C0" w14:textId="014CDE49" w:rsidR="0051596D" w:rsidRPr="00886C9E" w:rsidRDefault="002A30CB" w:rsidP="00D20EB6">
      <w:pPr>
        <w:spacing w:line="480" w:lineRule="auto"/>
        <w:jc w:val="both"/>
        <w:rPr>
          <w:rFonts w:ascii="Times" w:hAnsi="Times" w:cs="Times New Roman"/>
          <w:i/>
        </w:rPr>
      </w:pPr>
      <w:r w:rsidRPr="00886C9E">
        <w:rPr>
          <w:rFonts w:ascii="Times" w:hAnsi="Times" w:cs="Times New Roman"/>
          <w:i/>
        </w:rPr>
        <w:t>PK-PD Mathematical Model</w:t>
      </w:r>
      <w:r w:rsidR="000071E5" w:rsidRPr="00886C9E">
        <w:rPr>
          <w:rFonts w:ascii="Times" w:hAnsi="Times" w:cs="Times New Roman"/>
          <w:i/>
        </w:rPr>
        <w:t>l</w:t>
      </w:r>
      <w:r w:rsidRPr="00886C9E">
        <w:rPr>
          <w:rFonts w:ascii="Times" w:hAnsi="Times" w:cs="Times New Roman"/>
          <w:i/>
        </w:rPr>
        <w:t>ing</w:t>
      </w:r>
    </w:p>
    <w:p w14:paraId="44B05DE8" w14:textId="76F3D326" w:rsidR="002A30CB" w:rsidRPr="00886C9E" w:rsidRDefault="00115B77" w:rsidP="00D20EB6">
      <w:pPr>
        <w:spacing w:line="480" w:lineRule="auto"/>
        <w:ind w:firstLine="708"/>
        <w:jc w:val="both"/>
        <w:rPr>
          <w:rFonts w:ascii="Times" w:hAnsi="Times" w:cs="Times New Roman"/>
        </w:rPr>
      </w:pPr>
      <w:r w:rsidRPr="00886C9E">
        <w:rPr>
          <w:rFonts w:ascii="Times" w:hAnsi="Times" w:cs="Times New Roman"/>
        </w:rPr>
        <w:t>A mathematical</w:t>
      </w:r>
      <w:r w:rsidR="002A30CB" w:rsidRPr="00886C9E">
        <w:rPr>
          <w:rFonts w:ascii="Times" w:hAnsi="Times" w:cs="Times New Roman"/>
        </w:rPr>
        <w:t xml:space="preserve"> </w:t>
      </w:r>
      <w:r w:rsidRPr="00886C9E">
        <w:rPr>
          <w:rFonts w:ascii="Times" w:hAnsi="Times" w:cs="Times New Roman"/>
        </w:rPr>
        <w:t xml:space="preserve">model was fitted to the experimental </w:t>
      </w:r>
      <w:r w:rsidR="002A30CB" w:rsidRPr="00886C9E">
        <w:rPr>
          <w:rFonts w:ascii="Times" w:hAnsi="Times" w:cs="Times New Roman"/>
        </w:rPr>
        <w:t xml:space="preserve">data </w:t>
      </w:r>
      <w:r w:rsidRPr="00886C9E">
        <w:rPr>
          <w:rFonts w:ascii="Times" w:hAnsi="Times" w:cs="Times New Roman"/>
        </w:rPr>
        <w:t>from the HFIM and mice</w:t>
      </w:r>
      <w:r w:rsidR="00D20EB6" w:rsidRPr="00886C9E">
        <w:rPr>
          <w:rFonts w:ascii="Times" w:hAnsi="Times" w:cs="Times New Roman"/>
        </w:rPr>
        <w:t>.</w:t>
      </w:r>
      <w:r w:rsidR="00777D02" w:rsidRPr="00886C9E">
        <w:rPr>
          <w:rFonts w:ascii="Times" w:hAnsi="Times" w:cs="Times New Roman"/>
        </w:rPr>
        <w:t xml:space="preserve"> </w:t>
      </w:r>
      <w:r w:rsidRPr="00886C9E">
        <w:rPr>
          <w:rFonts w:ascii="Times" w:hAnsi="Times" w:cs="Times New Roman"/>
        </w:rPr>
        <w:t>The population PK program</w:t>
      </w:r>
      <w:r w:rsidR="002A30CB" w:rsidRPr="00886C9E">
        <w:rPr>
          <w:rFonts w:ascii="Times" w:hAnsi="Times" w:cs="Times New Roman"/>
        </w:rPr>
        <w:t xml:space="preserve"> </w:t>
      </w:r>
      <w:proofErr w:type="spellStart"/>
      <w:r w:rsidR="002A30CB" w:rsidRPr="00886C9E">
        <w:rPr>
          <w:rFonts w:ascii="Times" w:hAnsi="Times" w:cs="Times New Roman"/>
        </w:rPr>
        <w:t>Pmetrics</w:t>
      </w:r>
      <w:proofErr w:type="spellEnd"/>
      <w:r w:rsidR="002A30CB" w:rsidRPr="00886C9E">
        <w:rPr>
          <w:rFonts w:ascii="Times" w:hAnsi="Times" w:cs="Times New Roman"/>
        </w:rPr>
        <w:t xml:space="preserve"> </w:t>
      </w:r>
      <w:r w:rsidRPr="00886C9E">
        <w:rPr>
          <w:rFonts w:ascii="Times" w:hAnsi="Times" w:cs="Times New Roman"/>
        </w:rPr>
        <w:t xml:space="preserve">was used for all fitting </w:t>
      </w:r>
      <w:r w:rsidR="00AD6B3B" w:rsidRPr="00886C9E">
        <w:rPr>
          <w:rFonts w:ascii="Times" w:hAnsi="Times" w:cs="Times New Roman"/>
        </w:rPr>
        <w:t>(</w:t>
      </w:r>
      <w:r w:rsidR="002A30CB" w:rsidRPr="00886C9E">
        <w:rPr>
          <w:rFonts w:ascii="Times" w:hAnsi="Times" w:cs="Times New Roman"/>
        </w:rPr>
        <w:t>v.1.2.9</w:t>
      </w:r>
      <w:r w:rsidR="00AD6B3B" w:rsidRPr="00886C9E">
        <w:rPr>
          <w:rFonts w:ascii="Times" w:hAnsi="Times" w:cs="Times New Roman"/>
        </w:rPr>
        <w:t xml:space="preserve">, </w:t>
      </w:r>
      <w:r w:rsidR="00621869" w:rsidRPr="00886C9E">
        <w:rPr>
          <w:rFonts w:ascii="Times" w:hAnsi="Times" w:cs="Times New Roman"/>
        </w:rPr>
        <w:t>University of Southern California, Los Angeles, CA</w:t>
      </w:r>
      <w:r w:rsidR="00AD6B3B" w:rsidRPr="00886C9E">
        <w:rPr>
          <w:rFonts w:ascii="Times" w:hAnsi="Times" w:cs="Times New Roman"/>
        </w:rPr>
        <w:t>)</w:t>
      </w:r>
      <w:r w:rsidR="00AD6B3B" w:rsidRPr="00886C9E">
        <w:rPr>
          <w:rFonts w:ascii="Times" w:hAnsi="Times" w:cs="Times New Roman"/>
        </w:rPr>
        <w:fldChar w:fldCharType="begin" w:fldLock="1"/>
      </w:r>
      <w:r w:rsidR="00912D14" w:rsidRPr="00886C9E">
        <w:rPr>
          <w:rFonts w:ascii="Times" w:hAnsi="Times" w:cs="Times New Roman"/>
        </w:rPr>
        <w:instrText>ADDIN CSL_CITATION { "citationItems" : [ { "id" : "ITEM-1", "itemData" : { "DOI" : "10.1097/FTD.0b013e31825c4ba6", "ISSN" : "0163-4356", "PMID" : "22722776", "abstract" : "INTRODUCTION: Nonparametric population modeling algorithms have a theoretical superiority over parametric methods to detect pharmacokinetic and pharmacodynamic subgroups and outliers within a study population.\\n\\nMETHODS: The authors created \"Pmetrics,\" a new Windows and Unix R software package that updates the older MM-USCPACK software for nonparametric and parametric population modeling and simulation of pharmacokinetic and pharmacodynamic systems. The parametric iterative 2-stage Bayesian and the nonparametric adaptive grid (NPAG) approaches in Pmetrics were used to fit a simulated population with bimodal elimination (Kel) and unimodal volume of distribution (Vd), plus an extreme outlier, for a 1-compartment model of an intravenous drug.\\n\\nRESULTS: The true means (SD) for Kel and Vd in the population sample were 0.19 (0.17) and 102 (22.3), respectively. Those found by NPAG were 0.19 (0.16) and 104 (22.6). The iterative 2-stage Bayesian estimated them to be 0.18 (0.16) and 104 (24.4). However, given the bimodality of Kel, no subject had a value near the mean for the population. Only NPAG was able to accurately detect the bimodal distribution for Kel and to find the outlier in both the population model and in the Bayesian posterior parameter estimates.\\n\\nCONCLUSIONS: Built on over 3 decades of work, Pmetrics adopts a robust, reliable, and mature nonparametric approach to population modeling, which was better than the parametric method at discovering true pharmacokinetic subgroups and an outlier.", "author" : [ { "dropping-particle" : "", "family" : "Neely", "given" : "Michael N.", "non-dropping-particle" : "", "parse-names" : false, "suffix" : "" }, { "dropping-particle" : "", "family" : "Guilder", "given" : "Michael G.", "non-dropping-particle" : "van", "parse-names" : false, "suffix" : "" }, { "dropping-particle" : "", "family" : "Yamada", "given" : "Walter M.", "non-dropping-particle" : "", "parse-names" : false, "suffix" : "" }, { "dropping-particle" : "", "family" : "Schumitzky", "given" : "Alan", "non-dropping-particle" : "", "parse-names" : false, "suffix" : "" }, { "dropping-particle" : "", "family" : "Jelliffe", "given" : "Roger W.", "non-dropping-particle" : "", "parse-names" : false, "suffix" : "" } ], "container-title" : "Therapeutic Drug Monitoring", "id" : "ITEM-1", "issue" : "4", "issued" : { "date-parts" : [ [ "2012" ] ] }, "page" : "467-476", "title" : "Accurate Detection of Outliers and Subpopulations With Pmetrics, a Nonparametric and Parametric Pharmacometric Modeling and Simulation Package for R", "type" : "article-journal", "volume" : "34" }, "uris" : [ "http://www.mendeley.com/documents/?uuid=eacaeaf6-bbc3-4a43-9afb-b464da8eb150" ] } ], "mendeley" : { "formattedCitation" : "&lt;sup&gt;10&lt;/sup&gt;", "plainTextFormattedCitation" : "10", "previouslyFormattedCitation" : "&lt;sup&gt;10&lt;/sup&gt;" }, "properties" : { "noteIndex" : 0 }, "schema" : "https://github.com/citation-style-language/schema/raw/master/csl-citation.json" }</w:instrText>
      </w:r>
      <w:r w:rsidR="00AD6B3B" w:rsidRPr="00886C9E">
        <w:rPr>
          <w:rFonts w:ascii="Times" w:hAnsi="Times" w:cs="Times New Roman"/>
        </w:rPr>
        <w:fldChar w:fldCharType="separate"/>
      </w:r>
      <w:r w:rsidR="00D85CCF" w:rsidRPr="00886C9E">
        <w:rPr>
          <w:rFonts w:ascii="Times" w:hAnsi="Times" w:cs="Times New Roman"/>
          <w:noProof/>
          <w:vertAlign w:val="superscript"/>
        </w:rPr>
        <w:t>10</w:t>
      </w:r>
      <w:r w:rsidR="00AD6B3B" w:rsidRPr="00886C9E">
        <w:rPr>
          <w:rFonts w:ascii="Times" w:hAnsi="Times" w:cs="Times New Roman"/>
        </w:rPr>
        <w:fldChar w:fldCharType="end"/>
      </w:r>
      <w:r w:rsidR="00AD6B3B" w:rsidRPr="00886C9E">
        <w:rPr>
          <w:rFonts w:ascii="Times" w:hAnsi="Times" w:cs="Times New Roman"/>
        </w:rPr>
        <w:t xml:space="preserve"> for R (version 3.1.0, Institute for Statistics and Mathematics, Vienna, Austria)</w:t>
      </w:r>
      <w:r w:rsidR="00D20EB6" w:rsidRPr="00886C9E">
        <w:rPr>
          <w:rFonts w:ascii="Times" w:hAnsi="Times" w:cs="Times New Roman"/>
        </w:rPr>
        <w:t>.</w:t>
      </w:r>
      <w:r w:rsidR="00AD6B3B" w:rsidRPr="00886C9E">
        <w:rPr>
          <w:rFonts w:ascii="Times" w:hAnsi="Times" w:cs="Times New Roman"/>
        </w:rPr>
        <w:t xml:space="preserve"> </w:t>
      </w:r>
      <w:r w:rsidR="00AD6B3B" w:rsidRPr="00886C9E">
        <w:rPr>
          <w:rFonts w:ascii="Times" w:hAnsi="Times" w:cs="Times New Roman"/>
        </w:rPr>
        <w:fldChar w:fldCharType="begin" w:fldLock="1"/>
      </w:r>
      <w:r w:rsidR="00912D14" w:rsidRPr="00886C9E">
        <w:rPr>
          <w:rFonts w:ascii="Times" w:hAnsi="Times" w:cs="Times New Roman"/>
        </w:rPr>
        <w:instrText>ADDIN CSL_CITATION { "citationItems" : [ { "id" : "ITEM-1", "itemData" : { "ISBN" : "3_900051_00_3", "ISSN" : "3-900051-07-0", "abstract" : "R Development Core Team (2011). R: A language and environment for statistical computing . R Foundation for Statistical Computing , Vienna, Austria. ISBN 3-900051-07-0, URL http://www.R-project.org/. ... The impact of open source software on the strategic choices ... \\n", "author" : [ { "dropping-particle" : "", "family" : "R Team", "given" : "R", "non-dropping-particle" : "", "parse-names" : false, "suffix" : "" } ], "container-title" : "R: A Language and Environment for Statistical Computing", "id" : "ITEM-1", "issued" : { "date-parts" : [ [ "2013" ] ] }, "title" : "R Development Core Team", "type" : "article-journal" }, "uris" : [ "http://www.mendeley.com/documents/?uuid=ba30b9a0-013e-4b9a-a184-d8ce8b06e236" ] } ], "mendeley" : { "formattedCitation" : "&lt;sup&gt;11&lt;/sup&gt;", "plainTextFormattedCitation" : "11", "previouslyFormattedCitation" : "&lt;sup&gt;11&lt;/sup&gt;" }, "properties" : { "noteIndex" : 0 }, "schema" : "https://github.com/citation-style-language/schema/raw/master/csl-citation.json" }</w:instrText>
      </w:r>
      <w:r w:rsidR="00AD6B3B" w:rsidRPr="00886C9E">
        <w:rPr>
          <w:rFonts w:ascii="Times" w:hAnsi="Times" w:cs="Times New Roman"/>
        </w:rPr>
        <w:fldChar w:fldCharType="separate"/>
      </w:r>
      <w:r w:rsidR="00D85CCF" w:rsidRPr="00886C9E">
        <w:rPr>
          <w:rFonts w:ascii="Times" w:hAnsi="Times" w:cs="Times New Roman"/>
          <w:noProof/>
          <w:vertAlign w:val="superscript"/>
        </w:rPr>
        <w:t>11</w:t>
      </w:r>
      <w:r w:rsidR="00AD6B3B" w:rsidRPr="00886C9E">
        <w:rPr>
          <w:rFonts w:ascii="Times" w:hAnsi="Times" w:cs="Times New Roman"/>
        </w:rPr>
        <w:fldChar w:fldCharType="end"/>
      </w:r>
      <w:r w:rsidR="00D20EB6" w:rsidRPr="00886C9E">
        <w:rPr>
          <w:rFonts w:ascii="Times" w:hAnsi="Times" w:cs="Times New Roman"/>
        </w:rPr>
        <w:t xml:space="preserve"> </w:t>
      </w:r>
      <w:r w:rsidR="002A30CB" w:rsidRPr="00886C9E">
        <w:rPr>
          <w:rFonts w:ascii="Times" w:hAnsi="Times" w:cs="Times New Roman"/>
        </w:rPr>
        <w:t xml:space="preserve">The </w:t>
      </w:r>
      <w:r w:rsidRPr="00886C9E">
        <w:rPr>
          <w:rFonts w:ascii="Times" w:hAnsi="Times" w:cs="Times New Roman"/>
        </w:rPr>
        <w:t>structural model</w:t>
      </w:r>
      <w:r w:rsidR="00621869" w:rsidRPr="00886C9E">
        <w:rPr>
          <w:rFonts w:ascii="Times" w:hAnsi="Times" w:cs="Times New Roman"/>
        </w:rPr>
        <w:t xml:space="preserve"> </w:t>
      </w:r>
      <w:r w:rsidR="002A30CB" w:rsidRPr="00886C9E">
        <w:rPr>
          <w:rFonts w:ascii="Times" w:hAnsi="Times" w:cs="Times New Roman"/>
        </w:rPr>
        <w:t>took the form:</w:t>
      </w:r>
    </w:p>
    <w:p w14:paraId="115BB44D" w14:textId="48CA1DF7" w:rsidR="002A30CB" w:rsidRPr="00886C9E" w:rsidRDefault="00E33A51" w:rsidP="00D20EB6">
      <w:pPr>
        <w:spacing w:line="480" w:lineRule="auto"/>
        <w:jc w:val="both"/>
        <w:rPr>
          <w:rFonts w:ascii="Times" w:hAnsi="Times" w:cs="Times New Roman"/>
        </w:rPr>
      </w:pPr>
      <w:r w:rsidRPr="00886C9E">
        <w:rPr>
          <w:rFonts w:ascii="Times" w:hAnsi="Times" w:cs="Times New Roman"/>
        </w:rPr>
        <w:t xml:space="preserve"> </w:t>
      </w:r>
      <w:r w:rsidR="002A30CB" w:rsidRPr="00886C9E">
        <w:rPr>
          <w:rFonts w:ascii="Times" w:hAnsi="Times" w:cs="Times New Roman"/>
        </w:rPr>
        <w:t xml:space="preserve">(1) </w:t>
      </w:r>
      <m:oMath>
        <m:f>
          <m:fPr>
            <m:ctrlPr>
              <w:rPr>
                <w:rFonts w:ascii="Cambria Math" w:hAnsi="Cambria Math" w:cs="Times New Roman"/>
              </w:rPr>
            </m:ctrlPr>
          </m:fPr>
          <m:num>
            <m:r>
              <w:rPr>
                <w:rFonts w:ascii="Cambria Math" w:hAnsi="Cambria Math" w:cs="Times New Roman"/>
              </w:rPr>
              <m:t>dX</m:t>
            </m:r>
            <m:r>
              <m:rPr>
                <m:sty m:val="p"/>
              </m:rPr>
              <w:rPr>
                <w:rFonts w:ascii="Cambria Math" w:hAnsi="Cambria Math" w:cs="Times New Roman"/>
              </w:rPr>
              <m:t>1</m:t>
            </m:r>
          </m:num>
          <m:den>
            <m:r>
              <w:rPr>
                <w:rFonts w:ascii="Cambria Math" w:hAnsi="Cambria Math" w:cs="Times New Roman"/>
              </w:rPr>
              <m:t>dt</m:t>
            </m:r>
          </m:den>
        </m:f>
        <m:r>
          <m:rPr>
            <m:sty m:val="p"/>
          </m:rPr>
          <w:rPr>
            <w:rFonts w:ascii="Cambria Math" w:hAnsi="Cambria Math" w:cs="Times New Roman"/>
          </w:rPr>
          <m:t xml:space="preserve">= </m:t>
        </m:r>
        <m:r>
          <w:rPr>
            <w:rFonts w:ascii="Cambria Math" w:hAnsi="Cambria Math" w:cs="Times New Roman"/>
          </w:rPr>
          <m:t>R</m:t>
        </m:r>
        <m:d>
          <m:dPr>
            <m:ctrlPr>
              <w:rPr>
                <w:rFonts w:ascii="Cambria Math" w:hAnsi="Cambria Math" w:cs="Times New Roman"/>
              </w:rPr>
            </m:ctrlPr>
          </m:dPr>
          <m:e>
            <m:r>
              <m:rPr>
                <m:sty m:val="p"/>
              </m:rPr>
              <w:rPr>
                <w:rFonts w:ascii="Cambria Math" w:hAnsi="Cambria Math" w:cs="Times New Roman"/>
              </w:rPr>
              <m:t>1</m:t>
            </m:r>
          </m:e>
        </m:d>
        <m:r>
          <m:rPr>
            <m:sty m:val="p"/>
          </m:rPr>
          <w:rPr>
            <w:rFonts w:ascii="Cambria Math" w:hAnsi="Cambria Math" w:cs="Times New Roman"/>
          </w:rPr>
          <m:t>-</m:t>
        </m:r>
        <m:d>
          <m:dPr>
            <m:ctrlPr>
              <w:rPr>
                <w:rFonts w:ascii="Cambria Math" w:hAnsi="Cambria Math" w:cs="Times New Roman"/>
              </w:rPr>
            </m:ctrlPr>
          </m:dPr>
          <m:e>
            <m:f>
              <m:fPr>
                <m:ctrlPr>
                  <w:rPr>
                    <w:rFonts w:ascii="Cambria Math" w:hAnsi="Cambria Math" w:cs="Times New Roman"/>
                  </w:rPr>
                </m:ctrlPr>
              </m:fPr>
              <m:num>
                <m:r>
                  <w:rPr>
                    <w:rFonts w:ascii="Cambria Math" w:hAnsi="Cambria Math" w:cs="Times New Roman"/>
                  </w:rPr>
                  <m:t>CL</m:t>
                </m:r>
              </m:num>
              <m:den>
                <m:r>
                  <w:rPr>
                    <w:rFonts w:ascii="Cambria Math" w:hAnsi="Cambria Math" w:cs="Times New Roman"/>
                  </w:rPr>
                  <m:t>Vc</m:t>
                </m:r>
              </m:den>
            </m:f>
          </m:e>
        </m:d>
        <m:r>
          <m:rPr>
            <m:sty m:val="p"/>
          </m:rPr>
          <w:rPr>
            <w:rFonts w:ascii="Cambria Math" w:hAnsi="Cambria Math" w:cs="Times New Roman"/>
          </w:rPr>
          <m:t>*</m:t>
        </m:r>
        <m:r>
          <w:rPr>
            <w:rFonts w:ascii="Cambria Math" w:hAnsi="Cambria Math" w:cs="Times New Roman"/>
          </w:rPr>
          <m:t>X</m:t>
        </m:r>
        <m:r>
          <m:rPr>
            <m:sty m:val="p"/>
          </m:rPr>
          <w:rPr>
            <w:rFonts w:ascii="Cambria Math" w:hAnsi="Cambria Math" w:cs="Times New Roman"/>
          </w:rPr>
          <m:t>1</m:t>
        </m:r>
      </m:oMath>
    </w:p>
    <w:p w14:paraId="0620AABE" w14:textId="767DFD26" w:rsidR="002A30CB" w:rsidRPr="00886C9E" w:rsidRDefault="002A30CB" w:rsidP="00D20EB6">
      <w:pPr>
        <w:spacing w:line="480" w:lineRule="auto"/>
        <w:jc w:val="both"/>
        <w:rPr>
          <w:rFonts w:ascii="Times" w:hAnsi="Times" w:cs="Times New Roman"/>
        </w:rPr>
      </w:pPr>
      <w:r w:rsidRPr="00886C9E">
        <w:rPr>
          <w:rFonts w:ascii="Times" w:hAnsi="Times" w:cs="Times New Roman"/>
        </w:rPr>
        <w:t xml:space="preserve">(2) </w:t>
      </w:r>
      <m:oMath>
        <m:f>
          <m:fPr>
            <m:ctrlPr>
              <w:rPr>
                <w:rFonts w:ascii="Cambria Math" w:hAnsi="Cambria Math" w:cs="Times New Roman"/>
              </w:rPr>
            </m:ctrlPr>
          </m:fPr>
          <m:num>
            <m:r>
              <w:rPr>
                <w:rFonts w:ascii="Cambria Math" w:hAnsi="Cambria Math" w:cs="Times New Roman"/>
              </w:rPr>
              <m:t>dx</m:t>
            </m:r>
            <m:r>
              <m:rPr>
                <m:sty m:val="p"/>
              </m:rPr>
              <w:rPr>
                <w:rFonts w:ascii="Cambria Math" w:hAnsi="Cambria Math" w:cs="Times New Roman"/>
              </w:rPr>
              <m:t>2</m:t>
            </m:r>
          </m:num>
          <m:den>
            <m:r>
              <w:rPr>
                <w:rFonts w:ascii="Cambria Math" w:hAnsi="Cambria Math" w:cs="Times New Roman"/>
              </w:rPr>
              <m:t>dt</m:t>
            </m:r>
          </m:den>
        </m:f>
        <m:r>
          <m:rPr>
            <m:sty m:val="p"/>
          </m:rPr>
          <w:rPr>
            <w:rFonts w:ascii="Cambria Math" w:hAnsi="Cambria Math" w:cs="Times New Roman"/>
          </w:rPr>
          <m:t>=</m:t>
        </m:r>
        <m:r>
          <w:rPr>
            <w:rFonts w:ascii="Cambria Math" w:hAnsi="Cambria Math" w:cs="Times New Roman"/>
          </w:rPr>
          <m:t>KgmaxS</m:t>
        </m:r>
        <m:r>
          <m:rPr>
            <m:sty m:val="p"/>
          </m:rPr>
          <w:rPr>
            <w:rFonts w:ascii="Cambria Math" w:hAnsi="Cambria Math" w:cs="Times New Roman"/>
          </w:rPr>
          <m:t>*</m:t>
        </m:r>
        <m:r>
          <w:rPr>
            <w:rFonts w:ascii="Cambria Math" w:hAnsi="Cambria Math" w:cs="Times New Roman"/>
          </w:rPr>
          <m:t>X</m:t>
        </m:r>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rPr>
                </m:ctrlPr>
              </m:fPr>
              <m:num>
                <m:d>
                  <m:dPr>
                    <m:ctrlPr>
                      <w:rPr>
                        <w:rFonts w:ascii="Cambria Math" w:hAnsi="Cambria Math" w:cs="Times New Roman"/>
                      </w:rPr>
                    </m:ctrlPr>
                  </m:dPr>
                  <m:e>
                    <m:r>
                      <w:rPr>
                        <w:rFonts w:ascii="Cambria Math" w:hAnsi="Cambria Math" w:cs="Times New Roman"/>
                      </w:rPr>
                      <m:t>X</m:t>
                    </m:r>
                    <m:r>
                      <m:rPr>
                        <m:sty m:val="p"/>
                      </m:rPr>
                      <w:rPr>
                        <w:rFonts w:ascii="Cambria Math" w:hAnsi="Cambria Math" w:cs="Times New Roman"/>
                      </w:rPr>
                      <m:t>2+</m:t>
                    </m:r>
                    <m:r>
                      <w:rPr>
                        <w:rFonts w:ascii="Cambria Math" w:hAnsi="Cambria Math" w:cs="Times New Roman"/>
                      </w:rPr>
                      <m:t>X</m:t>
                    </m:r>
                    <m:r>
                      <m:rPr>
                        <m:sty m:val="p"/>
                      </m:rPr>
                      <w:rPr>
                        <w:rFonts w:ascii="Cambria Math" w:hAnsi="Cambria Math" w:cs="Times New Roman"/>
                      </w:rPr>
                      <m:t>3</m:t>
                    </m:r>
                  </m:e>
                </m:d>
              </m:num>
              <m:den>
                <m:r>
                  <w:rPr>
                    <w:rFonts w:ascii="Cambria Math" w:hAnsi="Cambria Math" w:cs="Times New Roman"/>
                  </w:rPr>
                  <m:t>POPmax</m:t>
                </m:r>
              </m:den>
            </m:f>
          </m:e>
        </m:d>
        <m:r>
          <m:rPr>
            <m:sty m:val="p"/>
          </m:rPr>
          <w:rPr>
            <w:rFonts w:ascii="Cambria Math" w:hAnsi="Cambria Math" w:cs="Times New Roman"/>
          </w:rPr>
          <m:t>-</m:t>
        </m:r>
        <m:d>
          <m:dPr>
            <m:ctrlPr>
              <w:rPr>
                <w:rFonts w:ascii="Cambria Math" w:hAnsi="Cambria Math" w:cs="Times New Roman"/>
              </w:rPr>
            </m:ctrlPr>
          </m:dPr>
          <m:e>
            <m:f>
              <m:fPr>
                <m:ctrlPr>
                  <w:rPr>
                    <w:rFonts w:ascii="Cambria Math" w:hAnsi="Cambria Math" w:cs="Times New Roman"/>
                  </w:rPr>
                </m:ctrlPr>
              </m:fPr>
              <m:num>
                <m:r>
                  <w:rPr>
                    <w:rFonts w:ascii="Cambria Math" w:hAnsi="Cambria Math" w:cs="Times New Roman"/>
                  </w:rPr>
                  <m:t>KkmaxS</m:t>
                </m:r>
                <m:r>
                  <m:rPr>
                    <m:sty m:val="p"/>
                  </m:rPr>
                  <w:rPr>
                    <w:rFonts w:ascii="Cambria Math" w:hAnsi="Cambria Math" w:cs="Times New Roman"/>
                  </w:rPr>
                  <m:t>*</m:t>
                </m:r>
                <m:r>
                  <w:rPr>
                    <w:rFonts w:ascii="Cambria Math" w:hAnsi="Cambria Math" w:cs="Times New Roman"/>
                  </w:rPr>
                  <m:t>x</m:t>
                </m:r>
                <m:r>
                  <m:rPr>
                    <m:sty m:val="p"/>
                  </m:rPr>
                  <w:rPr>
                    <w:rFonts w:ascii="Cambria Math" w:hAnsi="Cambria Math" w:cs="Times New Roman"/>
                  </w:rPr>
                  <m:t>2*</m:t>
                </m:r>
                <m:sSup>
                  <m:sSupPr>
                    <m:ctrlPr>
                      <w:rPr>
                        <w:rFonts w:ascii="Cambria Math" w:hAnsi="Cambria Math" w:cs="Times New Roman"/>
                      </w:rPr>
                    </m:ctrlPr>
                  </m:sSupPr>
                  <m:e>
                    <m:d>
                      <m:dPr>
                        <m:ctrlPr>
                          <w:rPr>
                            <w:rFonts w:ascii="Cambria Math" w:hAnsi="Cambria Math" w:cs="Times New Roman"/>
                          </w:rPr>
                        </m:ctrlPr>
                      </m:dPr>
                      <m:e>
                        <m:f>
                          <m:fPr>
                            <m:ctrlPr>
                              <w:rPr>
                                <w:rFonts w:ascii="Cambria Math" w:hAnsi="Cambria Math" w:cs="Times New Roman"/>
                              </w:rPr>
                            </m:ctrlPr>
                          </m:fPr>
                          <m:num>
                            <m:r>
                              <w:rPr>
                                <w:rFonts w:ascii="Cambria Math" w:hAnsi="Cambria Math" w:cs="Times New Roman"/>
                              </w:rPr>
                              <m:t>x</m:t>
                            </m:r>
                            <m:r>
                              <m:rPr>
                                <m:sty m:val="p"/>
                              </m:rPr>
                              <w:rPr>
                                <w:rFonts w:ascii="Cambria Math" w:hAnsi="Cambria Math" w:cs="Times New Roman"/>
                              </w:rPr>
                              <m:t>1</m:t>
                            </m:r>
                          </m:num>
                          <m:den>
                            <m:r>
                              <w:rPr>
                                <w:rFonts w:ascii="Cambria Math" w:hAnsi="Cambria Math" w:cs="Times New Roman"/>
                              </w:rPr>
                              <m:t>Vc</m:t>
                            </m:r>
                          </m:den>
                        </m:f>
                      </m:e>
                    </m:d>
                  </m:e>
                  <m:sup>
                    <m:r>
                      <w:rPr>
                        <w:rFonts w:ascii="Cambria Math" w:hAnsi="Cambria Math" w:cs="Times New Roman"/>
                      </w:rPr>
                      <m:t>Hs</m:t>
                    </m:r>
                  </m:sup>
                </m:sSup>
              </m:num>
              <m:den>
                <m:r>
                  <m:rPr>
                    <m:sty m:val="p"/>
                  </m:rPr>
                  <w:rPr>
                    <w:rFonts w:ascii="Cambria Math" w:hAnsi="Cambria Math" w:cs="Times New Roman"/>
                  </w:rPr>
                  <m:t>(</m:t>
                </m:r>
                <m:r>
                  <w:rPr>
                    <w:rFonts w:ascii="Cambria Math" w:hAnsi="Cambria Math" w:cs="Times New Roman"/>
                  </w:rPr>
                  <m:t>C</m:t>
                </m:r>
                <m:sSup>
                  <m:sSupPr>
                    <m:ctrlPr>
                      <w:rPr>
                        <w:rFonts w:ascii="Cambria Math" w:hAnsi="Cambria Math" w:cs="Times New Roman"/>
                      </w:rPr>
                    </m:ctrlPr>
                  </m:sSupPr>
                  <m:e>
                    <m:r>
                      <m:rPr>
                        <m:sty m:val="p"/>
                      </m:rPr>
                      <w:rPr>
                        <w:rFonts w:ascii="Cambria Math" w:hAnsi="Cambria Math" w:cs="Times New Roman"/>
                      </w:rPr>
                      <m:t>50</m:t>
                    </m:r>
                    <m:r>
                      <w:rPr>
                        <w:rFonts w:ascii="Cambria Math" w:hAnsi="Cambria Math" w:cs="Times New Roman"/>
                      </w:rPr>
                      <m:t>S</m:t>
                    </m:r>
                  </m:e>
                  <m:sup>
                    <m:r>
                      <w:rPr>
                        <w:rFonts w:ascii="Cambria Math" w:hAnsi="Cambria Math" w:cs="Times New Roman"/>
                      </w:rPr>
                      <m:t>Hs</m:t>
                    </m:r>
                  </m:sup>
                </m:sSup>
                <m:r>
                  <m:rPr>
                    <m:sty m:val="p"/>
                  </m:rPr>
                  <w:rPr>
                    <w:rFonts w:ascii="Cambria Math" w:hAnsi="Cambria Math" w:cs="Times New Roman"/>
                  </w:rPr>
                  <m:t>+</m:t>
                </m:r>
                <m:sSup>
                  <m:sSupPr>
                    <m:ctrlPr>
                      <w:rPr>
                        <w:rFonts w:ascii="Cambria Math" w:hAnsi="Cambria Math" w:cs="Times New Roman"/>
                      </w:rPr>
                    </m:ctrlPr>
                  </m:sSupPr>
                  <m:e>
                    <m:d>
                      <m:dPr>
                        <m:ctrlPr>
                          <w:rPr>
                            <w:rFonts w:ascii="Cambria Math" w:hAnsi="Cambria Math" w:cs="Times New Roman"/>
                          </w:rPr>
                        </m:ctrlPr>
                      </m:dPr>
                      <m:e>
                        <m:f>
                          <m:fPr>
                            <m:ctrlPr>
                              <w:rPr>
                                <w:rFonts w:ascii="Cambria Math" w:hAnsi="Cambria Math" w:cs="Times New Roman"/>
                              </w:rPr>
                            </m:ctrlPr>
                          </m:fPr>
                          <m:num>
                            <m:r>
                              <w:rPr>
                                <w:rFonts w:ascii="Cambria Math" w:hAnsi="Cambria Math" w:cs="Times New Roman"/>
                              </w:rPr>
                              <m:t>x</m:t>
                            </m:r>
                            <m:r>
                              <m:rPr>
                                <m:sty m:val="p"/>
                              </m:rPr>
                              <w:rPr>
                                <w:rFonts w:ascii="Cambria Math" w:hAnsi="Cambria Math" w:cs="Times New Roman"/>
                              </w:rPr>
                              <m:t>1</m:t>
                            </m:r>
                          </m:num>
                          <m:den>
                            <m:r>
                              <w:rPr>
                                <w:rFonts w:ascii="Cambria Math" w:hAnsi="Cambria Math" w:cs="Times New Roman"/>
                              </w:rPr>
                              <m:t>Vc</m:t>
                            </m:r>
                          </m:den>
                        </m:f>
                      </m:e>
                    </m:d>
                  </m:e>
                  <m:sup>
                    <m:r>
                      <w:rPr>
                        <w:rFonts w:ascii="Cambria Math" w:hAnsi="Cambria Math" w:cs="Times New Roman"/>
                      </w:rPr>
                      <m:t>Hs</m:t>
                    </m:r>
                  </m:sup>
                </m:sSup>
              </m:den>
            </m:f>
          </m:e>
        </m:d>
      </m:oMath>
    </w:p>
    <w:p w14:paraId="2E42FA6A" w14:textId="16FB9BC8" w:rsidR="002A30CB" w:rsidRPr="00886C9E" w:rsidRDefault="002A30CB" w:rsidP="00D20EB6">
      <w:pPr>
        <w:spacing w:line="480" w:lineRule="auto"/>
        <w:jc w:val="both"/>
        <w:rPr>
          <w:rFonts w:ascii="Times" w:hAnsi="Times" w:cs="Times New Roman"/>
        </w:rPr>
      </w:pPr>
      <w:r w:rsidRPr="00886C9E">
        <w:rPr>
          <w:rFonts w:ascii="Times" w:hAnsi="Times" w:cs="Times New Roman"/>
        </w:rPr>
        <w:t xml:space="preserve">(3) </w:t>
      </w:r>
      <m:oMath>
        <m:f>
          <m:fPr>
            <m:ctrlPr>
              <w:rPr>
                <w:rFonts w:ascii="Cambria Math" w:hAnsi="Cambria Math" w:cs="Times New Roman"/>
              </w:rPr>
            </m:ctrlPr>
          </m:fPr>
          <m:num>
            <m:r>
              <w:rPr>
                <w:rFonts w:ascii="Cambria Math" w:hAnsi="Cambria Math" w:cs="Times New Roman"/>
              </w:rPr>
              <m:t>dx</m:t>
            </m:r>
            <m:r>
              <m:rPr>
                <m:sty m:val="p"/>
              </m:rPr>
              <w:rPr>
                <w:rFonts w:ascii="Cambria Math" w:hAnsi="Cambria Math" w:cs="Times New Roman"/>
              </w:rPr>
              <m:t>3</m:t>
            </m:r>
          </m:num>
          <m:den>
            <m:r>
              <w:rPr>
                <w:rFonts w:ascii="Cambria Math" w:hAnsi="Cambria Math" w:cs="Times New Roman"/>
              </w:rPr>
              <m:t>dt</m:t>
            </m:r>
          </m:den>
        </m:f>
        <m:r>
          <m:rPr>
            <m:sty m:val="p"/>
          </m:rPr>
          <w:rPr>
            <w:rFonts w:ascii="Cambria Math" w:hAnsi="Cambria Math" w:cs="Times New Roman"/>
          </w:rPr>
          <m:t>=</m:t>
        </m:r>
        <m:r>
          <w:rPr>
            <w:rFonts w:ascii="Cambria Math" w:hAnsi="Cambria Math" w:cs="Times New Roman"/>
          </w:rPr>
          <m:t>KgmaxR</m:t>
        </m:r>
        <m:r>
          <m:rPr>
            <m:sty m:val="p"/>
          </m:rPr>
          <w:rPr>
            <w:rFonts w:ascii="Cambria Math" w:hAnsi="Cambria Math" w:cs="Times New Roman"/>
          </w:rPr>
          <m:t>*</m:t>
        </m:r>
        <m:r>
          <w:rPr>
            <w:rFonts w:ascii="Cambria Math" w:hAnsi="Cambria Math" w:cs="Times New Roman"/>
          </w:rPr>
          <m:t>X</m:t>
        </m:r>
        <m:r>
          <m:rPr>
            <m:sty m:val="p"/>
          </m:rPr>
          <w:rPr>
            <w:rFonts w:ascii="Cambria Math" w:hAnsi="Cambria Math" w:cs="Times New Roman"/>
          </w:rPr>
          <m:t>3*</m:t>
        </m:r>
        <m:d>
          <m:dPr>
            <m:ctrlPr>
              <w:rPr>
                <w:rFonts w:ascii="Cambria Math" w:hAnsi="Cambria Math" w:cs="Times New Roman"/>
              </w:rPr>
            </m:ctrlPr>
          </m:dPr>
          <m:e>
            <m:r>
              <m:rPr>
                <m:sty m:val="p"/>
              </m:rPr>
              <w:rPr>
                <w:rFonts w:ascii="Cambria Math" w:hAnsi="Cambria Math" w:cs="Times New Roman"/>
              </w:rPr>
              <m:t>1-</m:t>
            </m:r>
            <m:f>
              <m:fPr>
                <m:ctrlPr>
                  <w:rPr>
                    <w:rFonts w:ascii="Cambria Math" w:hAnsi="Cambria Math" w:cs="Times New Roman"/>
                  </w:rPr>
                </m:ctrlPr>
              </m:fPr>
              <m:num>
                <m:d>
                  <m:dPr>
                    <m:ctrlPr>
                      <w:rPr>
                        <w:rFonts w:ascii="Cambria Math" w:hAnsi="Cambria Math" w:cs="Times New Roman"/>
                      </w:rPr>
                    </m:ctrlPr>
                  </m:dPr>
                  <m:e>
                    <m:r>
                      <w:rPr>
                        <w:rFonts w:ascii="Cambria Math" w:hAnsi="Cambria Math" w:cs="Times New Roman"/>
                      </w:rPr>
                      <m:t>X</m:t>
                    </m:r>
                    <m:r>
                      <m:rPr>
                        <m:sty m:val="p"/>
                      </m:rPr>
                      <w:rPr>
                        <w:rFonts w:ascii="Cambria Math" w:hAnsi="Cambria Math" w:cs="Times New Roman"/>
                      </w:rPr>
                      <m:t>2+</m:t>
                    </m:r>
                    <m:r>
                      <w:rPr>
                        <w:rFonts w:ascii="Cambria Math" w:hAnsi="Cambria Math" w:cs="Times New Roman"/>
                      </w:rPr>
                      <m:t>X</m:t>
                    </m:r>
                    <m:r>
                      <m:rPr>
                        <m:sty m:val="p"/>
                      </m:rPr>
                      <w:rPr>
                        <w:rFonts w:ascii="Cambria Math" w:hAnsi="Cambria Math" w:cs="Times New Roman"/>
                      </w:rPr>
                      <m:t>3</m:t>
                    </m:r>
                  </m:e>
                </m:d>
              </m:num>
              <m:den>
                <m:r>
                  <w:rPr>
                    <w:rFonts w:ascii="Cambria Math" w:hAnsi="Cambria Math" w:cs="Times New Roman"/>
                  </w:rPr>
                  <m:t>POPmax</m:t>
                </m:r>
              </m:den>
            </m:f>
          </m:e>
        </m:d>
        <m:r>
          <m:rPr>
            <m:sty m:val="p"/>
          </m:rPr>
          <w:rPr>
            <w:rFonts w:ascii="Cambria Math" w:hAnsi="Cambria Math" w:cs="Times New Roman"/>
          </w:rPr>
          <m:t>-</m:t>
        </m:r>
        <m:d>
          <m:dPr>
            <m:ctrlPr>
              <w:rPr>
                <w:rFonts w:ascii="Cambria Math" w:hAnsi="Cambria Math" w:cs="Times New Roman"/>
              </w:rPr>
            </m:ctrlPr>
          </m:dPr>
          <m:e>
            <m:f>
              <m:fPr>
                <m:ctrlPr>
                  <w:rPr>
                    <w:rFonts w:ascii="Cambria Math" w:hAnsi="Cambria Math" w:cs="Times New Roman"/>
                  </w:rPr>
                </m:ctrlPr>
              </m:fPr>
              <m:num>
                <m:r>
                  <w:rPr>
                    <w:rFonts w:ascii="Cambria Math" w:hAnsi="Cambria Math" w:cs="Times New Roman"/>
                  </w:rPr>
                  <m:t>KkmaxR</m:t>
                </m:r>
                <m:r>
                  <m:rPr>
                    <m:sty m:val="p"/>
                  </m:rPr>
                  <w:rPr>
                    <w:rFonts w:ascii="Cambria Math" w:hAnsi="Cambria Math" w:cs="Times New Roman"/>
                  </w:rPr>
                  <m:t>*</m:t>
                </m:r>
                <m:r>
                  <w:rPr>
                    <w:rFonts w:ascii="Cambria Math" w:hAnsi="Cambria Math" w:cs="Times New Roman"/>
                  </w:rPr>
                  <m:t>x</m:t>
                </m:r>
                <m:r>
                  <m:rPr>
                    <m:sty m:val="p"/>
                  </m:rPr>
                  <w:rPr>
                    <w:rFonts w:ascii="Cambria Math" w:hAnsi="Cambria Math" w:cs="Times New Roman"/>
                  </w:rPr>
                  <m:t>3*</m:t>
                </m:r>
                <m:sSup>
                  <m:sSupPr>
                    <m:ctrlPr>
                      <w:rPr>
                        <w:rFonts w:ascii="Cambria Math" w:hAnsi="Cambria Math" w:cs="Times New Roman"/>
                      </w:rPr>
                    </m:ctrlPr>
                  </m:sSupPr>
                  <m:e>
                    <m:d>
                      <m:dPr>
                        <m:ctrlPr>
                          <w:rPr>
                            <w:rFonts w:ascii="Cambria Math" w:hAnsi="Cambria Math" w:cs="Times New Roman"/>
                          </w:rPr>
                        </m:ctrlPr>
                      </m:dPr>
                      <m:e>
                        <m:f>
                          <m:fPr>
                            <m:ctrlPr>
                              <w:rPr>
                                <w:rFonts w:ascii="Cambria Math" w:hAnsi="Cambria Math" w:cs="Times New Roman"/>
                              </w:rPr>
                            </m:ctrlPr>
                          </m:fPr>
                          <m:num>
                            <m:r>
                              <w:rPr>
                                <w:rFonts w:ascii="Cambria Math" w:hAnsi="Cambria Math" w:cs="Times New Roman"/>
                              </w:rPr>
                              <m:t>x</m:t>
                            </m:r>
                            <m:r>
                              <m:rPr>
                                <m:sty m:val="p"/>
                              </m:rPr>
                              <w:rPr>
                                <w:rFonts w:ascii="Cambria Math" w:hAnsi="Cambria Math" w:cs="Times New Roman"/>
                              </w:rPr>
                              <m:t>1</m:t>
                            </m:r>
                          </m:num>
                          <m:den>
                            <m:r>
                              <w:rPr>
                                <w:rFonts w:ascii="Cambria Math" w:hAnsi="Cambria Math" w:cs="Times New Roman"/>
                              </w:rPr>
                              <m:t>Vc</m:t>
                            </m:r>
                          </m:den>
                        </m:f>
                      </m:e>
                    </m:d>
                  </m:e>
                  <m:sup>
                    <m:r>
                      <w:rPr>
                        <w:rFonts w:ascii="Cambria Math" w:hAnsi="Cambria Math" w:cs="Times New Roman"/>
                      </w:rPr>
                      <m:t>HR</m:t>
                    </m:r>
                  </m:sup>
                </m:sSup>
              </m:num>
              <m:den>
                <m:r>
                  <m:rPr>
                    <m:sty m:val="p"/>
                  </m:rPr>
                  <w:rPr>
                    <w:rFonts w:ascii="Cambria Math" w:hAnsi="Cambria Math" w:cs="Times New Roman"/>
                  </w:rPr>
                  <m:t>(</m:t>
                </m:r>
                <m:r>
                  <w:rPr>
                    <w:rFonts w:ascii="Cambria Math" w:hAnsi="Cambria Math" w:cs="Times New Roman"/>
                  </w:rPr>
                  <m:t>C</m:t>
                </m:r>
                <m:sSup>
                  <m:sSupPr>
                    <m:ctrlPr>
                      <w:rPr>
                        <w:rFonts w:ascii="Cambria Math" w:hAnsi="Cambria Math" w:cs="Times New Roman"/>
                      </w:rPr>
                    </m:ctrlPr>
                  </m:sSupPr>
                  <m:e>
                    <m:r>
                      <m:rPr>
                        <m:sty m:val="p"/>
                      </m:rPr>
                      <w:rPr>
                        <w:rFonts w:ascii="Cambria Math" w:hAnsi="Cambria Math" w:cs="Times New Roman"/>
                      </w:rPr>
                      <m:t>50</m:t>
                    </m:r>
                    <m:r>
                      <w:rPr>
                        <w:rFonts w:ascii="Cambria Math" w:hAnsi="Cambria Math" w:cs="Times New Roman"/>
                      </w:rPr>
                      <m:t>R</m:t>
                    </m:r>
                  </m:e>
                  <m:sup>
                    <m:r>
                      <w:rPr>
                        <w:rFonts w:ascii="Cambria Math" w:hAnsi="Cambria Math" w:cs="Times New Roman"/>
                      </w:rPr>
                      <m:t>HR</m:t>
                    </m:r>
                  </m:sup>
                </m:sSup>
                <m:r>
                  <m:rPr>
                    <m:sty m:val="p"/>
                  </m:rPr>
                  <w:rPr>
                    <w:rFonts w:ascii="Cambria Math" w:hAnsi="Cambria Math" w:cs="Times New Roman"/>
                  </w:rPr>
                  <m:t>+</m:t>
                </m:r>
                <m:sSup>
                  <m:sSupPr>
                    <m:ctrlPr>
                      <w:rPr>
                        <w:rFonts w:ascii="Cambria Math" w:hAnsi="Cambria Math" w:cs="Times New Roman"/>
                      </w:rPr>
                    </m:ctrlPr>
                  </m:sSupPr>
                  <m:e>
                    <m:d>
                      <m:dPr>
                        <m:ctrlPr>
                          <w:rPr>
                            <w:rFonts w:ascii="Cambria Math" w:hAnsi="Cambria Math" w:cs="Times New Roman"/>
                          </w:rPr>
                        </m:ctrlPr>
                      </m:dPr>
                      <m:e>
                        <m:f>
                          <m:fPr>
                            <m:ctrlPr>
                              <w:rPr>
                                <w:rFonts w:ascii="Cambria Math" w:hAnsi="Cambria Math" w:cs="Times New Roman"/>
                              </w:rPr>
                            </m:ctrlPr>
                          </m:fPr>
                          <m:num>
                            <m:r>
                              <w:rPr>
                                <w:rFonts w:ascii="Cambria Math" w:hAnsi="Cambria Math" w:cs="Times New Roman"/>
                              </w:rPr>
                              <m:t>x</m:t>
                            </m:r>
                            <m:r>
                              <m:rPr>
                                <m:sty m:val="p"/>
                              </m:rPr>
                              <w:rPr>
                                <w:rFonts w:ascii="Cambria Math" w:hAnsi="Cambria Math" w:cs="Times New Roman"/>
                              </w:rPr>
                              <m:t>1</m:t>
                            </m:r>
                          </m:num>
                          <m:den>
                            <m:r>
                              <w:rPr>
                                <w:rFonts w:ascii="Cambria Math" w:hAnsi="Cambria Math" w:cs="Times New Roman"/>
                              </w:rPr>
                              <m:t>Vc</m:t>
                            </m:r>
                          </m:den>
                        </m:f>
                      </m:e>
                    </m:d>
                  </m:e>
                  <m:sup>
                    <m:r>
                      <w:rPr>
                        <w:rFonts w:ascii="Cambria Math" w:hAnsi="Cambria Math" w:cs="Times New Roman"/>
                      </w:rPr>
                      <m:t>HR</m:t>
                    </m:r>
                  </m:sup>
                </m:sSup>
              </m:den>
            </m:f>
          </m:e>
        </m:d>
      </m:oMath>
    </w:p>
    <w:p w14:paraId="5A8D819C" w14:textId="77777777" w:rsidR="002A30CB" w:rsidRPr="00886C9E" w:rsidRDefault="002A30CB" w:rsidP="006403B3">
      <w:pPr>
        <w:spacing w:line="480" w:lineRule="auto"/>
        <w:jc w:val="both"/>
        <w:rPr>
          <w:rFonts w:ascii="Times" w:hAnsi="Times" w:cs="Times New Roman"/>
        </w:rPr>
      </w:pPr>
    </w:p>
    <w:p w14:paraId="01B213FE" w14:textId="50F84C69" w:rsidR="002A30CB" w:rsidRPr="00886C9E" w:rsidRDefault="002A30CB" w:rsidP="006403B3">
      <w:pPr>
        <w:spacing w:line="480" w:lineRule="auto"/>
        <w:ind w:firstLine="708"/>
        <w:jc w:val="both"/>
        <w:rPr>
          <w:rFonts w:ascii="Times" w:hAnsi="Times" w:cs="Times New Roman"/>
        </w:rPr>
      </w:pPr>
      <w:r w:rsidRPr="00886C9E">
        <w:rPr>
          <w:rFonts w:ascii="Times" w:hAnsi="Times" w:cs="Times New Roman"/>
        </w:rPr>
        <w:t>Equation 1 describes the rate of ch</w:t>
      </w:r>
      <w:r w:rsidR="00855315" w:rsidRPr="00886C9E">
        <w:rPr>
          <w:rFonts w:ascii="Times" w:hAnsi="Times" w:cs="Times New Roman"/>
        </w:rPr>
        <w:t xml:space="preserve">ange of the amount of </w:t>
      </w:r>
      <w:proofErr w:type="spellStart"/>
      <w:r w:rsidR="00855315" w:rsidRPr="00886C9E">
        <w:rPr>
          <w:rFonts w:ascii="Times" w:hAnsi="Times" w:cs="Times New Roman"/>
        </w:rPr>
        <w:t>teicoplanin</w:t>
      </w:r>
      <w:proofErr w:type="spellEnd"/>
      <w:r w:rsidRPr="00886C9E">
        <w:rPr>
          <w:rFonts w:ascii="Times" w:hAnsi="Times" w:cs="Times New Roman"/>
        </w:rPr>
        <w:t xml:space="preserve"> (mg) in the central compartment (X1). Equation 2 and 3 describe the rate of change of burden of a </w:t>
      </w:r>
      <w:r w:rsidR="0051596D" w:rsidRPr="00886C9E">
        <w:rPr>
          <w:rFonts w:ascii="Times" w:hAnsi="Times" w:cs="Times New Roman"/>
        </w:rPr>
        <w:t xml:space="preserve">susceptible </w:t>
      </w:r>
      <w:r w:rsidRPr="00886C9E">
        <w:rPr>
          <w:rFonts w:ascii="Times" w:hAnsi="Times" w:cs="Times New Roman"/>
        </w:rPr>
        <w:t>bacteria population (</w:t>
      </w:r>
      <w:r w:rsidR="0051596D" w:rsidRPr="00886C9E">
        <w:rPr>
          <w:rFonts w:ascii="Times" w:hAnsi="Times" w:cs="Times New Roman"/>
        </w:rPr>
        <w:t>S</w:t>
      </w:r>
      <w:r w:rsidRPr="00886C9E">
        <w:rPr>
          <w:rFonts w:ascii="Times" w:hAnsi="Times" w:cs="Times New Roman"/>
        </w:rPr>
        <w:t>) and a resistant/mutant (R) bacteria population in the HFIM</w:t>
      </w:r>
      <w:r w:rsidR="002528AF" w:rsidRPr="00886C9E">
        <w:rPr>
          <w:rFonts w:ascii="Times" w:hAnsi="Times" w:cs="Times New Roman"/>
        </w:rPr>
        <w:t>/murine model</w:t>
      </w:r>
      <w:r w:rsidRPr="00886C9E">
        <w:rPr>
          <w:rFonts w:ascii="Times" w:hAnsi="Times" w:cs="Times New Roman"/>
        </w:rPr>
        <w:t xml:space="preserve">. </w:t>
      </w:r>
      <w:r w:rsidR="0051596D" w:rsidRPr="00886C9E">
        <w:rPr>
          <w:rFonts w:ascii="Times" w:hAnsi="Times" w:cs="Times New Roman"/>
        </w:rPr>
        <w:t xml:space="preserve"> The rate of growth is a balance betwe</w:t>
      </w:r>
      <w:r w:rsidR="00F12305" w:rsidRPr="00886C9E">
        <w:rPr>
          <w:rFonts w:ascii="Times" w:hAnsi="Times" w:cs="Times New Roman"/>
        </w:rPr>
        <w:t xml:space="preserve">en bacterial growth and death. </w:t>
      </w:r>
      <w:proofErr w:type="spellStart"/>
      <w:r w:rsidR="002528AF" w:rsidRPr="00886C9E">
        <w:rPr>
          <w:rFonts w:ascii="Times" w:hAnsi="Times" w:cs="Times New Roman"/>
        </w:rPr>
        <w:t>POPmax</w:t>
      </w:r>
      <w:proofErr w:type="spellEnd"/>
      <w:r w:rsidR="002528AF" w:rsidRPr="00886C9E">
        <w:rPr>
          <w:rFonts w:ascii="Times" w:hAnsi="Times" w:cs="Times New Roman"/>
        </w:rPr>
        <w:t xml:space="preserve"> (CFU/mL) is</w:t>
      </w:r>
      <w:r w:rsidRPr="00886C9E">
        <w:rPr>
          <w:rFonts w:ascii="Times" w:hAnsi="Times" w:cs="Times New Roman"/>
        </w:rPr>
        <w:t xml:space="preserve"> the theoretical maximum bacterial density; </w:t>
      </w:r>
      <w:proofErr w:type="spellStart"/>
      <w:r w:rsidRPr="00886C9E">
        <w:rPr>
          <w:rFonts w:ascii="Times" w:hAnsi="Times" w:cs="Times New Roman"/>
        </w:rPr>
        <w:t>Kgmax</w:t>
      </w:r>
      <w:r w:rsidR="0051596D" w:rsidRPr="00886C9E">
        <w:rPr>
          <w:rFonts w:ascii="Times" w:hAnsi="Times" w:cs="Times New Roman"/>
        </w:rPr>
        <w:t>S</w:t>
      </w:r>
      <w:proofErr w:type="spellEnd"/>
      <w:r w:rsidRPr="00886C9E">
        <w:rPr>
          <w:rFonts w:ascii="Times" w:hAnsi="Times" w:cs="Times New Roman"/>
        </w:rPr>
        <w:t>/R (</w:t>
      </w:r>
      <w:r w:rsidR="0051596D" w:rsidRPr="00886C9E">
        <w:rPr>
          <w:rFonts w:ascii="Times" w:hAnsi="Times" w:cs="Times New Roman"/>
        </w:rPr>
        <w:t>L</w:t>
      </w:r>
      <w:r w:rsidRPr="00886C9E">
        <w:rPr>
          <w:rFonts w:ascii="Times" w:hAnsi="Times" w:cs="Times New Roman"/>
        </w:rPr>
        <w:t>og</w:t>
      </w:r>
      <w:r w:rsidRPr="00886C9E">
        <w:rPr>
          <w:rFonts w:ascii="Times" w:hAnsi="Times" w:cs="Times New Roman"/>
          <w:vertAlign w:val="subscript"/>
        </w:rPr>
        <w:t>10</w:t>
      </w:r>
      <w:r w:rsidR="002528AF" w:rsidRPr="00886C9E">
        <w:rPr>
          <w:rFonts w:ascii="Times" w:hAnsi="Times" w:cs="Times New Roman"/>
        </w:rPr>
        <w:t>CFU/h) is the</w:t>
      </w:r>
      <w:r w:rsidRPr="00886C9E">
        <w:rPr>
          <w:rFonts w:ascii="Times" w:hAnsi="Times" w:cs="Times New Roman"/>
        </w:rPr>
        <w:t xml:space="preserve"> maximum rate of </w:t>
      </w:r>
      <w:r w:rsidR="0051596D" w:rsidRPr="00886C9E">
        <w:rPr>
          <w:rFonts w:ascii="Times" w:hAnsi="Times" w:cs="Times New Roman"/>
        </w:rPr>
        <w:t xml:space="preserve">bacterial </w:t>
      </w:r>
      <w:r w:rsidRPr="00886C9E">
        <w:rPr>
          <w:rFonts w:ascii="Times" w:hAnsi="Times" w:cs="Times New Roman"/>
        </w:rPr>
        <w:t xml:space="preserve">growth in both </w:t>
      </w:r>
      <w:r w:rsidR="0051596D" w:rsidRPr="00886C9E">
        <w:rPr>
          <w:rFonts w:ascii="Times" w:hAnsi="Times" w:cs="Times New Roman"/>
        </w:rPr>
        <w:t>sub</w:t>
      </w:r>
      <w:r w:rsidRPr="00886C9E">
        <w:rPr>
          <w:rFonts w:ascii="Times" w:hAnsi="Times" w:cs="Times New Roman"/>
        </w:rPr>
        <w:t xml:space="preserve">populations; </w:t>
      </w:r>
      <w:proofErr w:type="spellStart"/>
      <w:r w:rsidRPr="00886C9E">
        <w:rPr>
          <w:rFonts w:ascii="Times" w:hAnsi="Times" w:cs="Times New Roman"/>
        </w:rPr>
        <w:t>Kkmax</w:t>
      </w:r>
      <w:r w:rsidR="0051596D" w:rsidRPr="00886C9E">
        <w:rPr>
          <w:rFonts w:ascii="Times" w:hAnsi="Times" w:cs="Times New Roman"/>
          <w:vertAlign w:val="subscript"/>
        </w:rPr>
        <w:t>S</w:t>
      </w:r>
      <w:proofErr w:type="spellEnd"/>
      <w:r w:rsidRPr="00886C9E">
        <w:rPr>
          <w:rFonts w:ascii="Times" w:hAnsi="Times" w:cs="Times New Roman"/>
          <w:vertAlign w:val="subscript"/>
        </w:rPr>
        <w:t>/R</w:t>
      </w:r>
      <w:r w:rsidRPr="00886C9E">
        <w:rPr>
          <w:rFonts w:ascii="Times" w:hAnsi="Times" w:cs="Times New Roman"/>
        </w:rPr>
        <w:t xml:space="preserve"> (</w:t>
      </w:r>
      <w:r w:rsidR="0051596D" w:rsidRPr="00886C9E">
        <w:rPr>
          <w:rFonts w:ascii="Times" w:hAnsi="Times" w:cs="Times New Roman"/>
        </w:rPr>
        <w:t>L</w:t>
      </w:r>
      <w:r w:rsidRPr="00886C9E">
        <w:rPr>
          <w:rFonts w:ascii="Times" w:hAnsi="Times" w:cs="Times New Roman"/>
        </w:rPr>
        <w:t>og</w:t>
      </w:r>
      <w:r w:rsidRPr="00886C9E">
        <w:rPr>
          <w:rFonts w:ascii="Times" w:hAnsi="Times" w:cs="Times New Roman"/>
          <w:vertAlign w:val="subscript"/>
        </w:rPr>
        <w:t xml:space="preserve">10 </w:t>
      </w:r>
      <w:r w:rsidR="002528AF" w:rsidRPr="00886C9E">
        <w:rPr>
          <w:rFonts w:ascii="Times" w:hAnsi="Times" w:cs="Times New Roman"/>
        </w:rPr>
        <w:t xml:space="preserve">CFU/h) is </w:t>
      </w:r>
      <w:r w:rsidRPr="00886C9E">
        <w:rPr>
          <w:rFonts w:ascii="Times" w:hAnsi="Times" w:cs="Times New Roman"/>
        </w:rPr>
        <w:t xml:space="preserve">the rate of bacterial killing </w:t>
      </w:r>
      <w:r w:rsidR="00855315" w:rsidRPr="00886C9E">
        <w:rPr>
          <w:rFonts w:ascii="Times" w:hAnsi="Times" w:cs="Times New Roman"/>
        </w:rPr>
        <w:t xml:space="preserve">induced by </w:t>
      </w:r>
      <w:proofErr w:type="spellStart"/>
      <w:r w:rsidR="00855315" w:rsidRPr="00886C9E">
        <w:rPr>
          <w:rFonts w:ascii="Times" w:hAnsi="Times" w:cs="Times New Roman"/>
        </w:rPr>
        <w:t>teicopl</w:t>
      </w:r>
      <w:r w:rsidR="00621869" w:rsidRPr="00886C9E">
        <w:rPr>
          <w:rFonts w:ascii="Times" w:hAnsi="Times" w:cs="Times New Roman"/>
        </w:rPr>
        <w:t>a</w:t>
      </w:r>
      <w:r w:rsidR="00855315" w:rsidRPr="00886C9E">
        <w:rPr>
          <w:rFonts w:ascii="Times" w:hAnsi="Times" w:cs="Times New Roman"/>
        </w:rPr>
        <w:t>nin</w:t>
      </w:r>
      <w:proofErr w:type="spellEnd"/>
      <w:r w:rsidRPr="00886C9E">
        <w:rPr>
          <w:rFonts w:ascii="Times" w:hAnsi="Times" w:cs="Times New Roman"/>
        </w:rPr>
        <w:t>; C50</w:t>
      </w:r>
      <w:r w:rsidRPr="00886C9E">
        <w:rPr>
          <w:rFonts w:ascii="Times" w:hAnsi="Times" w:cs="Times New Roman"/>
          <w:vertAlign w:val="subscript"/>
        </w:rPr>
        <w:t>S</w:t>
      </w:r>
      <w:r w:rsidR="002528AF" w:rsidRPr="00886C9E">
        <w:rPr>
          <w:rFonts w:ascii="Times" w:hAnsi="Times" w:cs="Times New Roman"/>
          <w:vertAlign w:val="subscript"/>
        </w:rPr>
        <w:t>/R</w:t>
      </w:r>
      <w:r w:rsidR="002528AF" w:rsidRPr="00886C9E">
        <w:rPr>
          <w:rFonts w:ascii="Times" w:hAnsi="Times" w:cs="Times New Roman"/>
        </w:rPr>
        <w:t xml:space="preserve"> </w:t>
      </w:r>
      <w:r w:rsidR="002528AF" w:rsidRPr="00886C9E">
        <w:rPr>
          <w:rFonts w:ascii="Times" w:hAnsi="Times" w:cs="Times New Roman"/>
        </w:rPr>
        <w:lastRenderedPageBreak/>
        <w:t>(mg/L) represent the</w:t>
      </w:r>
      <w:r w:rsidRPr="00886C9E">
        <w:rPr>
          <w:rFonts w:ascii="Times" w:hAnsi="Times" w:cs="Times New Roman"/>
        </w:rPr>
        <w:t xml:space="preserve"> </w:t>
      </w:r>
      <w:proofErr w:type="spellStart"/>
      <w:r w:rsidR="00855315" w:rsidRPr="00886C9E">
        <w:rPr>
          <w:rFonts w:ascii="Times" w:hAnsi="Times" w:cs="Times New Roman"/>
        </w:rPr>
        <w:t>teicoplanin</w:t>
      </w:r>
      <w:proofErr w:type="spellEnd"/>
      <w:r w:rsidRPr="00886C9E">
        <w:rPr>
          <w:rFonts w:ascii="Times" w:hAnsi="Times" w:cs="Times New Roman"/>
        </w:rPr>
        <w:t xml:space="preserve"> drug concentrations that produce half-</w:t>
      </w:r>
      <w:r w:rsidR="002528AF" w:rsidRPr="00886C9E">
        <w:rPr>
          <w:rFonts w:ascii="Times" w:hAnsi="Times" w:cs="Times New Roman"/>
        </w:rPr>
        <w:t>maximal killing</w:t>
      </w:r>
      <w:r w:rsidR="0051596D" w:rsidRPr="00886C9E">
        <w:rPr>
          <w:rFonts w:ascii="Times" w:hAnsi="Times" w:cs="Times New Roman"/>
        </w:rPr>
        <w:t xml:space="preserve"> in both sub-populations</w:t>
      </w:r>
      <w:r w:rsidR="002528AF" w:rsidRPr="00886C9E">
        <w:rPr>
          <w:rFonts w:ascii="Times" w:hAnsi="Times" w:cs="Times New Roman"/>
        </w:rPr>
        <w:t>; H</w:t>
      </w:r>
      <w:r w:rsidR="0051596D" w:rsidRPr="00886C9E">
        <w:rPr>
          <w:rFonts w:ascii="Times" w:hAnsi="Times" w:cs="Times New Roman"/>
        </w:rPr>
        <w:t>S</w:t>
      </w:r>
      <w:r w:rsidR="002528AF" w:rsidRPr="00886C9E">
        <w:rPr>
          <w:rFonts w:ascii="Times" w:hAnsi="Times" w:cs="Times New Roman"/>
        </w:rPr>
        <w:t>/HR are the</w:t>
      </w:r>
      <w:r w:rsidRPr="00886C9E">
        <w:rPr>
          <w:rFonts w:ascii="Times" w:hAnsi="Times" w:cs="Times New Roman"/>
        </w:rPr>
        <w:t xml:space="preserve"> </w:t>
      </w:r>
      <w:r w:rsidR="0051596D" w:rsidRPr="00886C9E">
        <w:rPr>
          <w:rFonts w:ascii="Times" w:hAnsi="Times" w:cs="Times New Roman"/>
        </w:rPr>
        <w:t xml:space="preserve">respective </w:t>
      </w:r>
      <w:r w:rsidRPr="00886C9E">
        <w:rPr>
          <w:rFonts w:ascii="Times" w:hAnsi="Times" w:cs="Times New Roman"/>
        </w:rPr>
        <w:t>slope functions.</w:t>
      </w:r>
    </w:p>
    <w:p w14:paraId="42CA684F" w14:textId="4C08C7EB" w:rsidR="0051596D" w:rsidRPr="00886C9E" w:rsidRDefault="0051596D" w:rsidP="006403B3">
      <w:pPr>
        <w:spacing w:line="480" w:lineRule="auto"/>
        <w:ind w:firstLine="708"/>
        <w:jc w:val="both"/>
        <w:rPr>
          <w:rFonts w:ascii="Times" w:hAnsi="Times" w:cs="Times New Roman"/>
        </w:rPr>
      </w:pPr>
      <w:r w:rsidRPr="00886C9E">
        <w:rPr>
          <w:rFonts w:ascii="Times" w:hAnsi="Times" w:cs="Times New Roman"/>
        </w:rPr>
        <w:t xml:space="preserve">There were three output equations for the model: (1) Y(1)=X(1)/V, which described the time course of </w:t>
      </w:r>
      <w:proofErr w:type="spellStart"/>
      <w:r w:rsidRPr="00886C9E">
        <w:rPr>
          <w:rFonts w:ascii="Times" w:hAnsi="Times" w:cs="Times New Roman"/>
        </w:rPr>
        <w:t>teicoplanin</w:t>
      </w:r>
      <w:proofErr w:type="spellEnd"/>
      <w:r w:rsidR="0049667E" w:rsidRPr="00886C9E">
        <w:rPr>
          <w:rFonts w:ascii="Times" w:hAnsi="Times" w:cs="Times New Roman"/>
        </w:rPr>
        <w:t xml:space="preserve"> concentrations</w:t>
      </w:r>
      <w:r w:rsidRPr="00886C9E">
        <w:rPr>
          <w:rFonts w:ascii="Times" w:hAnsi="Times" w:cs="Times New Roman"/>
        </w:rPr>
        <w:t xml:space="preserve">; (2) Y(2)=DLOG10(X(2)+X(3)), which described the </w:t>
      </w:r>
      <w:r w:rsidR="004C3766" w:rsidRPr="00886C9E">
        <w:rPr>
          <w:rFonts w:ascii="Times" w:hAnsi="Times" w:cs="Times New Roman"/>
        </w:rPr>
        <w:t xml:space="preserve">time course of the </w:t>
      </w:r>
      <w:r w:rsidRPr="00886C9E">
        <w:rPr>
          <w:rFonts w:ascii="Times" w:hAnsi="Times" w:cs="Times New Roman"/>
        </w:rPr>
        <w:t xml:space="preserve">total population; and Y(3)=DLOG10(X(3)), which described the </w:t>
      </w:r>
      <w:r w:rsidR="004C3766" w:rsidRPr="00886C9E">
        <w:rPr>
          <w:rFonts w:ascii="Times" w:hAnsi="Times" w:cs="Times New Roman"/>
        </w:rPr>
        <w:t xml:space="preserve">time course of the </w:t>
      </w:r>
      <w:r w:rsidRPr="00886C9E">
        <w:rPr>
          <w:rFonts w:ascii="Times" w:hAnsi="Times" w:cs="Times New Roman"/>
        </w:rPr>
        <w:t>resistant subpopulation.</w:t>
      </w:r>
    </w:p>
    <w:p w14:paraId="137C1AEA" w14:textId="4485F12F" w:rsidR="002A30CB" w:rsidRPr="00886C9E" w:rsidRDefault="001C6E57" w:rsidP="006403B3">
      <w:pPr>
        <w:spacing w:line="480" w:lineRule="auto"/>
        <w:ind w:firstLine="708"/>
        <w:jc w:val="both"/>
        <w:rPr>
          <w:rFonts w:ascii="Times" w:hAnsi="Times" w:cs="Times New Roman"/>
        </w:rPr>
      </w:pPr>
      <w:r w:rsidRPr="00886C9E">
        <w:rPr>
          <w:rFonts w:ascii="Times" w:hAnsi="Times" w:cs="Times New Roman"/>
        </w:rPr>
        <w:t xml:space="preserve">The </w:t>
      </w:r>
      <w:r w:rsidR="006C1FA5" w:rsidRPr="00886C9E">
        <w:rPr>
          <w:rFonts w:ascii="Times" w:hAnsi="Times" w:cs="Times New Roman"/>
        </w:rPr>
        <w:t>goodness of fit of</w:t>
      </w:r>
      <w:r w:rsidRPr="00886C9E">
        <w:rPr>
          <w:rFonts w:ascii="Times" w:hAnsi="Times" w:cs="Times New Roman"/>
        </w:rPr>
        <w:t xml:space="preserve"> each model to the data was assessed using a combination of the following: </w:t>
      </w:r>
      <w:r w:rsidR="001A0E00" w:rsidRPr="00886C9E">
        <w:rPr>
          <w:rFonts w:ascii="Times" w:hAnsi="Times" w:cs="Times New Roman"/>
        </w:rPr>
        <w:t>(</w:t>
      </w:r>
      <w:r w:rsidRPr="00886C9E">
        <w:rPr>
          <w:rFonts w:ascii="Times" w:hAnsi="Times" w:cs="Times New Roman"/>
        </w:rPr>
        <w:t xml:space="preserve">1) the log-likelihood value, </w:t>
      </w:r>
      <w:r w:rsidR="001A0E00" w:rsidRPr="00886C9E">
        <w:rPr>
          <w:rFonts w:ascii="Times" w:hAnsi="Times" w:cs="Times New Roman"/>
        </w:rPr>
        <w:t>(</w:t>
      </w:r>
      <w:r w:rsidRPr="00886C9E">
        <w:rPr>
          <w:rFonts w:ascii="Times" w:hAnsi="Times" w:cs="Times New Roman"/>
        </w:rPr>
        <w:t xml:space="preserve">2) the </w:t>
      </w:r>
      <w:proofErr w:type="spellStart"/>
      <w:r w:rsidRPr="00886C9E">
        <w:rPr>
          <w:rFonts w:ascii="Times" w:hAnsi="Times" w:cs="Times New Roman"/>
        </w:rPr>
        <w:t>Akaike</w:t>
      </w:r>
      <w:proofErr w:type="spellEnd"/>
      <w:r w:rsidRPr="00886C9E">
        <w:rPr>
          <w:rFonts w:ascii="Times" w:hAnsi="Times" w:cs="Times New Roman"/>
        </w:rPr>
        <w:t xml:space="preserve"> </w:t>
      </w:r>
      <w:r w:rsidR="002528AF" w:rsidRPr="00886C9E">
        <w:rPr>
          <w:rFonts w:ascii="Times" w:hAnsi="Times" w:cs="Times New Roman"/>
        </w:rPr>
        <w:t xml:space="preserve">information criterion (AIC), </w:t>
      </w:r>
      <w:r w:rsidR="001A0E00" w:rsidRPr="00886C9E">
        <w:rPr>
          <w:rFonts w:ascii="Times" w:hAnsi="Times" w:cs="Times New Roman"/>
        </w:rPr>
        <w:t>(</w:t>
      </w:r>
      <w:r w:rsidRPr="00886C9E">
        <w:rPr>
          <w:rFonts w:ascii="Times" w:hAnsi="Times" w:cs="Times New Roman"/>
        </w:rPr>
        <w:t>3) the coefficient of determination (</w:t>
      </w:r>
      <w:r w:rsidRPr="00886C9E">
        <w:rPr>
          <w:rFonts w:ascii="Times" w:hAnsi="Times" w:cs="Times New Roman"/>
          <w:i/>
        </w:rPr>
        <w:t>r</w:t>
      </w:r>
      <w:r w:rsidRPr="00886C9E">
        <w:rPr>
          <w:rFonts w:ascii="Times" w:hAnsi="Times" w:cs="Times New Roman"/>
          <w:i/>
          <w:vertAlign w:val="superscript"/>
        </w:rPr>
        <w:t>2</w:t>
      </w:r>
      <w:r w:rsidRPr="00886C9E">
        <w:rPr>
          <w:rFonts w:ascii="Times" w:hAnsi="Times" w:cs="Times New Roman"/>
        </w:rPr>
        <w:t xml:space="preserve">) from the linear regression of the observed-predicted plots before and after the Bayesian step, and </w:t>
      </w:r>
      <w:r w:rsidR="001A0E00" w:rsidRPr="00886C9E">
        <w:rPr>
          <w:rFonts w:ascii="Times" w:hAnsi="Times" w:cs="Times New Roman"/>
        </w:rPr>
        <w:t>(</w:t>
      </w:r>
      <w:r w:rsidRPr="00886C9E">
        <w:rPr>
          <w:rFonts w:ascii="Times" w:hAnsi="Times" w:cs="Times New Roman"/>
        </w:rPr>
        <w:t>4)</w:t>
      </w:r>
      <w:r w:rsidR="002528AF" w:rsidRPr="00886C9E">
        <w:rPr>
          <w:rFonts w:ascii="Times" w:hAnsi="Times" w:cs="Times New Roman"/>
        </w:rPr>
        <w:t xml:space="preserve"> a</w:t>
      </w:r>
      <w:r w:rsidRPr="00886C9E">
        <w:rPr>
          <w:rFonts w:ascii="Times" w:hAnsi="Times" w:cs="Times New Roman"/>
        </w:rPr>
        <w:t xml:space="preserve"> minim</w:t>
      </w:r>
      <w:r w:rsidR="002528AF" w:rsidRPr="00886C9E">
        <w:rPr>
          <w:rFonts w:ascii="Times" w:hAnsi="Times" w:cs="Times New Roman"/>
        </w:rPr>
        <w:t>ization of bias and imprecision</w:t>
      </w:r>
      <w:r w:rsidRPr="00886C9E">
        <w:rPr>
          <w:rFonts w:ascii="Times" w:hAnsi="Times" w:cs="Times New Roman"/>
        </w:rPr>
        <w:t xml:space="preserve"> </w:t>
      </w:r>
      <w:r w:rsidR="002528AF" w:rsidRPr="00886C9E">
        <w:rPr>
          <w:rFonts w:ascii="Times" w:hAnsi="Times" w:cs="Times New Roman"/>
        </w:rPr>
        <w:t xml:space="preserve">values </w:t>
      </w:r>
      <w:r w:rsidRPr="00886C9E">
        <w:rPr>
          <w:rFonts w:ascii="Times" w:hAnsi="Times" w:cs="Times New Roman"/>
        </w:rPr>
        <w:t xml:space="preserve">of the observed-predicted plots. </w:t>
      </w:r>
    </w:p>
    <w:p w14:paraId="078B7963" w14:textId="77777777" w:rsidR="006C1FA5" w:rsidRPr="00886C9E" w:rsidRDefault="006C1FA5" w:rsidP="006403B3">
      <w:pPr>
        <w:spacing w:line="480" w:lineRule="auto"/>
        <w:ind w:firstLine="708"/>
        <w:jc w:val="both"/>
        <w:rPr>
          <w:rFonts w:ascii="Times" w:hAnsi="Times" w:cs="Times New Roman"/>
        </w:rPr>
      </w:pPr>
    </w:p>
    <w:p w14:paraId="3F84E382" w14:textId="6EE17543" w:rsidR="005A0A63" w:rsidRPr="00886C9E" w:rsidRDefault="002C0BF0" w:rsidP="006403B3">
      <w:pPr>
        <w:spacing w:line="480" w:lineRule="auto"/>
        <w:jc w:val="both"/>
        <w:rPr>
          <w:rFonts w:ascii="Times" w:hAnsi="Times" w:cs="Times New Roman"/>
          <w:i/>
        </w:rPr>
      </w:pPr>
      <w:r w:rsidRPr="00886C9E">
        <w:rPr>
          <w:rFonts w:ascii="Times" w:hAnsi="Times" w:cs="Times New Roman"/>
          <w:i/>
        </w:rPr>
        <w:t>Exposure-effect relationships and optimal targets</w:t>
      </w:r>
    </w:p>
    <w:p w14:paraId="7E941BB9" w14:textId="348D6240" w:rsidR="00305D87" w:rsidRPr="00886C9E" w:rsidRDefault="0081633A" w:rsidP="006403B3">
      <w:pPr>
        <w:spacing w:line="480" w:lineRule="auto"/>
        <w:ind w:firstLine="708"/>
        <w:jc w:val="both"/>
        <w:rPr>
          <w:rFonts w:ascii="Times" w:hAnsi="Times" w:cs="Times New Roman"/>
        </w:rPr>
      </w:pPr>
      <w:r w:rsidRPr="00886C9E">
        <w:rPr>
          <w:rFonts w:ascii="Times" w:hAnsi="Times" w:cs="Times New Roman"/>
        </w:rPr>
        <w:t>To determine the PK-PD index that best described bacterial killing and the suppression of drug resistance, scatter plots</w:t>
      </w:r>
      <w:r w:rsidR="00EE1D78" w:rsidRPr="00886C9E">
        <w:rPr>
          <w:rFonts w:ascii="Times" w:hAnsi="Times" w:cs="Times New Roman"/>
        </w:rPr>
        <w:t xml:space="preserve"> from the </w:t>
      </w:r>
      <w:r w:rsidR="00EE1D78" w:rsidRPr="00886C9E">
        <w:rPr>
          <w:rFonts w:ascii="Times" w:hAnsi="Times" w:cs="Times New Roman"/>
          <w:i/>
        </w:rPr>
        <w:t>in vitro</w:t>
      </w:r>
      <w:r w:rsidR="00EE1D78" w:rsidRPr="00886C9E">
        <w:rPr>
          <w:rFonts w:ascii="Times" w:hAnsi="Times" w:cs="Times New Roman"/>
        </w:rPr>
        <w:t xml:space="preserve"> dose-fractionation studies</w:t>
      </w:r>
      <w:r w:rsidRPr="00886C9E">
        <w:rPr>
          <w:rFonts w:ascii="Times" w:hAnsi="Times" w:cs="Times New Roman"/>
        </w:rPr>
        <w:t xml:space="preserve"> were constructed that related the </w:t>
      </w:r>
      <w:proofErr w:type="spellStart"/>
      <w:proofErr w:type="gramStart"/>
      <w:r w:rsidR="00D4683F" w:rsidRPr="00886C9E">
        <w:rPr>
          <w:rFonts w:ascii="Times" w:hAnsi="Times" w:cs="Times New Roman"/>
          <w:i/>
        </w:rPr>
        <w:t>f</w:t>
      </w:r>
      <w:r w:rsidRPr="00886C9E">
        <w:rPr>
          <w:rFonts w:ascii="Times" w:hAnsi="Times" w:cs="Times New Roman"/>
        </w:rPr>
        <w:t>AUC:MIC</w:t>
      </w:r>
      <w:proofErr w:type="spellEnd"/>
      <w:proofErr w:type="gramEnd"/>
      <w:r w:rsidRPr="00886C9E">
        <w:rPr>
          <w:rFonts w:ascii="Times" w:hAnsi="Times" w:cs="Times New Roman"/>
        </w:rPr>
        <w:t xml:space="preserve">, </w:t>
      </w:r>
      <w:proofErr w:type="spellStart"/>
      <w:r w:rsidR="00D4683F" w:rsidRPr="00886C9E">
        <w:rPr>
          <w:rFonts w:ascii="Times" w:hAnsi="Times" w:cs="Times New Roman"/>
          <w:i/>
        </w:rPr>
        <w:t>f</w:t>
      </w:r>
      <w:r w:rsidRPr="00886C9E">
        <w:rPr>
          <w:rFonts w:ascii="Times" w:hAnsi="Times" w:cs="Times New Roman"/>
        </w:rPr>
        <w:t>C</w:t>
      </w:r>
      <w:r w:rsidRPr="00886C9E">
        <w:rPr>
          <w:rFonts w:ascii="Times" w:hAnsi="Times" w:cs="Times New Roman"/>
          <w:vertAlign w:val="subscript"/>
        </w:rPr>
        <w:t>max</w:t>
      </w:r>
      <w:r w:rsidRPr="00886C9E">
        <w:rPr>
          <w:rFonts w:ascii="Times" w:hAnsi="Times" w:cs="Times New Roman"/>
        </w:rPr>
        <w:t>:MIC</w:t>
      </w:r>
      <w:proofErr w:type="spellEnd"/>
      <w:r w:rsidRPr="00886C9E">
        <w:rPr>
          <w:rFonts w:ascii="Times" w:hAnsi="Times" w:cs="Times New Roman"/>
        </w:rPr>
        <w:t xml:space="preserve"> and </w:t>
      </w:r>
      <w:proofErr w:type="spellStart"/>
      <w:r w:rsidR="00D4683F" w:rsidRPr="00886C9E">
        <w:rPr>
          <w:rFonts w:ascii="Times" w:hAnsi="Times" w:cs="Times New Roman"/>
          <w:i/>
        </w:rPr>
        <w:t>f</w:t>
      </w:r>
      <w:r w:rsidRPr="00886C9E">
        <w:rPr>
          <w:rFonts w:ascii="Times" w:hAnsi="Times" w:cs="Times New Roman"/>
        </w:rPr>
        <w:t>C</w:t>
      </w:r>
      <w:r w:rsidRPr="00886C9E">
        <w:rPr>
          <w:rFonts w:ascii="Times" w:hAnsi="Times" w:cs="Times New Roman"/>
          <w:vertAlign w:val="subscript"/>
        </w:rPr>
        <w:t>min</w:t>
      </w:r>
      <w:r w:rsidRPr="00886C9E">
        <w:rPr>
          <w:rFonts w:ascii="Times" w:hAnsi="Times" w:cs="Times New Roman"/>
        </w:rPr>
        <w:t>:MIC</w:t>
      </w:r>
      <w:proofErr w:type="spellEnd"/>
      <w:r w:rsidRPr="00886C9E">
        <w:rPr>
          <w:rFonts w:ascii="Times" w:hAnsi="Times" w:cs="Times New Roman"/>
        </w:rPr>
        <w:t xml:space="preserve"> with both the observed antibacterial effect and the emergence of a drug resistant subpopulation from the HFIM. </w:t>
      </w:r>
      <w:r w:rsidR="00EE1D78" w:rsidRPr="00886C9E">
        <w:rPr>
          <w:rFonts w:ascii="Times" w:hAnsi="Times" w:cs="Times New Roman"/>
        </w:rPr>
        <w:t xml:space="preserve">The relevant PK-PD index was then further explored with the </w:t>
      </w:r>
      <w:r w:rsidR="00EE1D78" w:rsidRPr="00886C9E">
        <w:rPr>
          <w:rFonts w:ascii="Times" w:hAnsi="Times" w:cs="Times New Roman"/>
          <w:i/>
        </w:rPr>
        <w:t>in vivo</w:t>
      </w:r>
      <w:r w:rsidR="00EE1D78" w:rsidRPr="00886C9E">
        <w:rPr>
          <w:rFonts w:ascii="Times" w:hAnsi="Times" w:cs="Times New Roman"/>
        </w:rPr>
        <w:t xml:space="preserve"> mice data. </w:t>
      </w:r>
      <w:r w:rsidRPr="00886C9E">
        <w:rPr>
          <w:rFonts w:ascii="Times" w:hAnsi="Times" w:cs="Times New Roman"/>
        </w:rPr>
        <w:t>A non-linear regression model was fitted to the data using Prism software (</w:t>
      </w:r>
      <w:proofErr w:type="spellStart"/>
      <w:r w:rsidRPr="00886C9E">
        <w:rPr>
          <w:rFonts w:ascii="Times" w:hAnsi="Times" w:cs="Times New Roman"/>
        </w:rPr>
        <w:t>GraphPad</w:t>
      </w:r>
      <w:proofErr w:type="spellEnd"/>
      <w:r w:rsidRPr="00886C9E">
        <w:rPr>
          <w:rFonts w:ascii="Times" w:hAnsi="Times" w:cs="Times New Roman"/>
        </w:rPr>
        <w:t xml:space="preserve"> Software Inc., La Jolla, CA). The coefficient of determination and visual examination of the fit was used to discriminate the various pharmacodynamic indices.</w:t>
      </w:r>
    </w:p>
    <w:p w14:paraId="46D466D1" w14:textId="77777777" w:rsidR="00F12305" w:rsidRPr="00886C9E" w:rsidRDefault="00F12305" w:rsidP="006403B3">
      <w:pPr>
        <w:spacing w:line="480" w:lineRule="auto"/>
        <w:ind w:firstLine="708"/>
        <w:jc w:val="both"/>
        <w:rPr>
          <w:rFonts w:ascii="Times" w:hAnsi="Times" w:cs="Times New Roman"/>
        </w:rPr>
      </w:pPr>
    </w:p>
    <w:p w14:paraId="5A5C7224" w14:textId="6B3E2B83" w:rsidR="002C0BF0" w:rsidRPr="00886C9E" w:rsidRDefault="00133FF5" w:rsidP="006403B3">
      <w:pPr>
        <w:spacing w:line="480" w:lineRule="auto"/>
        <w:jc w:val="both"/>
        <w:rPr>
          <w:rFonts w:ascii="Times" w:hAnsi="Times" w:cs="Times New Roman"/>
          <w:i/>
        </w:rPr>
      </w:pPr>
      <w:r w:rsidRPr="00886C9E">
        <w:rPr>
          <w:rFonts w:ascii="Times" w:hAnsi="Times" w:cs="Times New Roman"/>
          <w:i/>
        </w:rPr>
        <w:t>Monte Carlo</w:t>
      </w:r>
      <w:r w:rsidR="0081633A" w:rsidRPr="00886C9E">
        <w:rPr>
          <w:rFonts w:ascii="Times" w:hAnsi="Times" w:cs="Times New Roman"/>
          <w:i/>
        </w:rPr>
        <w:t xml:space="preserve"> Simulations and PTA analysis</w:t>
      </w:r>
    </w:p>
    <w:p w14:paraId="2793B103" w14:textId="4B0D0262" w:rsidR="002C0BF0" w:rsidRPr="00886C9E" w:rsidRDefault="00133FF5" w:rsidP="006403B3">
      <w:pPr>
        <w:spacing w:line="480" w:lineRule="auto"/>
        <w:jc w:val="both"/>
        <w:rPr>
          <w:rFonts w:ascii="Times" w:hAnsi="Times" w:cs="Times New Roman"/>
        </w:rPr>
      </w:pPr>
      <w:r w:rsidRPr="00886C9E">
        <w:rPr>
          <w:rFonts w:ascii="Times" w:hAnsi="Times" w:cs="Times New Roman"/>
        </w:rPr>
        <w:lastRenderedPageBreak/>
        <w:tab/>
        <w:t xml:space="preserve">Monte Carlo simulations were performed with </w:t>
      </w:r>
      <w:proofErr w:type="spellStart"/>
      <w:r w:rsidRPr="00886C9E">
        <w:rPr>
          <w:rFonts w:ascii="Times" w:hAnsi="Times" w:cs="Times New Roman"/>
        </w:rPr>
        <w:t>Pmetrics</w:t>
      </w:r>
      <w:proofErr w:type="spellEnd"/>
      <w:r w:rsidR="001A0E00" w:rsidRPr="00886C9E">
        <w:rPr>
          <w:rFonts w:ascii="Times" w:hAnsi="Times" w:cs="Times New Roman"/>
        </w:rPr>
        <w:t>.</w:t>
      </w:r>
      <w:r w:rsidRPr="00886C9E">
        <w:rPr>
          <w:rFonts w:ascii="Times" w:hAnsi="Times" w:cs="Times New Roman"/>
        </w:rPr>
        <w:t xml:space="preserve"> </w:t>
      </w:r>
      <w:r w:rsidR="001A0E00" w:rsidRPr="00886C9E">
        <w:rPr>
          <w:rFonts w:ascii="Times" w:hAnsi="Times" w:cs="Times New Roman"/>
        </w:rPr>
        <w:t xml:space="preserve">A population of </w:t>
      </w:r>
      <w:r w:rsidRPr="00886C9E">
        <w:rPr>
          <w:rFonts w:ascii="Times" w:hAnsi="Times" w:cs="Times New Roman"/>
        </w:rPr>
        <w:t>1</w:t>
      </w:r>
      <w:r w:rsidR="008D198F" w:rsidRPr="00886C9E">
        <w:rPr>
          <w:rFonts w:ascii="Times" w:hAnsi="Times" w:cs="Times New Roman"/>
        </w:rPr>
        <w:t>,</w:t>
      </w:r>
      <w:r w:rsidRPr="00886C9E">
        <w:rPr>
          <w:rFonts w:ascii="Times" w:hAnsi="Times" w:cs="Times New Roman"/>
        </w:rPr>
        <w:t xml:space="preserve">000 </w:t>
      </w:r>
      <w:r w:rsidR="008D198F" w:rsidRPr="00886C9E">
        <w:rPr>
          <w:rFonts w:ascii="Times" w:hAnsi="Times" w:cs="Times New Roman"/>
        </w:rPr>
        <w:t xml:space="preserve">simulated </w:t>
      </w:r>
      <w:r w:rsidRPr="00886C9E">
        <w:rPr>
          <w:rFonts w:ascii="Times" w:hAnsi="Times" w:cs="Times New Roman"/>
        </w:rPr>
        <w:t>patient</w:t>
      </w:r>
      <w:r w:rsidR="008D198F" w:rsidRPr="00886C9E">
        <w:rPr>
          <w:rFonts w:ascii="Times" w:hAnsi="Times" w:cs="Times New Roman"/>
        </w:rPr>
        <w:t>s</w:t>
      </w:r>
      <w:r w:rsidR="001A0E00" w:rsidRPr="00886C9E">
        <w:rPr>
          <w:rFonts w:ascii="Times" w:hAnsi="Times" w:cs="Times New Roman"/>
        </w:rPr>
        <w:t xml:space="preserve"> was generated</w:t>
      </w:r>
      <w:r w:rsidR="006403B3" w:rsidRPr="00886C9E">
        <w:rPr>
          <w:rFonts w:ascii="Times" w:hAnsi="Times" w:cs="Times New Roman"/>
        </w:rPr>
        <w:t xml:space="preserve"> </w:t>
      </w:r>
      <w:r w:rsidR="00DA7336" w:rsidRPr="00886C9E">
        <w:rPr>
          <w:rFonts w:ascii="Times" w:hAnsi="Times" w:cs="Times New Roman"/>
        </w:rPr>
        <w:t xml:space="preserve">for each </w:t>
      </w:r>
      <w:proofErr w:type="spellStart"/>
      <w:r w:rsidR="00DA7336" w:rsidRPr="00886C9E">
        <w:rPr>
          <w:rFonts w:ascii="Times" w:hAnsi="Times" w:cs="Times New Roman"/>
        </w:rPr>
        <w:t>teicoplanin</w:t>
      </w:r>
      <w:proofErr w:type="spellEnd"/>
      <w:r w:rsidR="00DA7336" w:rsidRPr="00886C9E">
        <w:rPr>
          <w:rFonts w:ascii="Times" w:hAnsi="Times" w:cs="Times New Roman"/>
        </w:rPr>
        <w:t xml:space="preserve"> </w:t>
      </w:r>
      <w:r w:rsidR="006403B3" w:rsidRPr="00886C9E">
        <w:rPr>
          <w:rFonts w:ascii="Times" w:hAnsi="Times" w:cs="Times New Roman"/>
        </w:rPr>
        <w:t>regimen</w:t>
      </w:r>
      <w:r w:rsidR="008D198F" w:rsidRPr="00886C9E">
        <w:rPr>
          <w:rFonts w:ascii="Times" w:hAnsi="Times" w:cs="Times New Roman"/>
        </w:rPr>
        <w:t>.</w:t>
      </w:r>
      <w:r w:rsidR="00DA7336" w:rsidRPr="00886C9E">
        <w:rPr>
          <w:rFonts w:ascii="Times" w:hAnsi="Times" w:cs="Times New Roman"/>
        </w:rPr>
        <w:t xml:space="preserve"> </w:t>
      </w:r>
      <w:r w:rsidR="008D198F" w:rsidRPr="00886C9E">
        <w:rPr>
          <w:rFonts w:ascii="Times" w:hAnsi="Times" w:cs="Times New Roman"/>
        </w:rPr>
        <w:t xml:space="preserve">These </w:t>
      </w:r>
      <w:r w:rsidR="00DA7336" w:rsidRPr="00886C9E">
        <w:rPr>
          <w:rFonts w:ascii="Times" w:hAnsi="Times" w:cs="Times New Roman"/>
        </w:rPr>
        <w:t xml:space="preserve">simulated </w:t>
      </w:r>
      <w:r w:rsidR="008D198F" w:rsidRPr="00886C9E">
        <w:rPr>
          <w:rFonts w:ascii="Times" w:hAnsi="Times" w:cs="Times New Roman"/>
        </w:rPr>
        <w:t>patients were used to examine the outcomes of</w:t>
      </w:r>
      <w:r w:rsidRPr="00886C9E">
        <w:rPr>
          <w:rFonts w:ascii="Times" w:hAnsi="Times" w:cs="Times New Roman"/>
        </w:rPr>
        <w:t xml:space="preserve"> </w:t>
      </w:r>
      <w:r w:rsidR="008D198F" w:rsidRPr="00886C9E">
        <w:rPr>
          <w:rFonts w:ascii="Times" w:hAnsi="Times" w:cs="Times New Roman"/>
        </w:rPr>
        <w:t xml:space="preserve">candidate </w:t>
      </w:r>
      <w:r w:rsidRPr="00886C9E">
        <w:rPr>
          <w:rFonts w:ascii="Times" w:hAnsi="Times" w:cs="Times New Roman"/>
        </w:rPr>
        <w:t>regimen</w:t>
      </w:r>
      <w:r w:rsidR="008D198F" w:rsidRPr="00886C9E">
        <w:rPr>
          <w:rFonts w:ascii="Times" w:hAnsi="Times" w:cs="Times New Roman"/>
        </w:rPr>
        <w:t>s</w:t>
      </w:r>
      <w:r w:rsidR="001A0E00" w:rsidRPr="00886C9E">
        <w:rPr>
          <w:rFonts w:ascii="Times" w:hAnsi="Times" w:cs="Times New Roman"/>
        </w:rPr>
        <w:t xml:space="preserve"> of </w:t>
      </w:r>
      <w:proofErr w:type="spellStart"/>
      <w:r w:rsidR="001A0E00" w:rsidRPr="00886C9E">
        <w:rPr>
          <w:rFonts w:ascii="Times" w:hAnsi="Times" w:cs="Times New Roman"/>
        </w:rPr>
        <w:t>teicoplanin</w:t>
      </w:r>
      <w:proofErr w:type="spellEnd"/>
      <w:r w:rsidRPr="00886C9E">
        <w:rPr>
          <w:rFonts w:ascii="Times" w:hAnsi="Times" w:cs="Times New Roman"/>
        </w:rPr>
        <w:t xml:space="preserve">. </w:t>
      </w:r>
      <w:r w:rsidR="00E33A51" w:rsidRPr="00886C9E">
        <w:rPr>
          <w:rFonts w:ascii="Times" w:hAnsi="Times" w:cs="Times New Roman"/>
        </w:rPr>
        <w:t xml:space="preserve">For the adult simulations we used the population PK estimates and covariance </w:t>
      </w:r>
      <w:r w:rsidR="00DA7336" w:rsidRPr="00886C9E">
        <w:rPr>
          <w:rFonts w:ascii="Times" w:hAnsi="Times" w:cs="Times New Roman"/>
        </w:rPr>
        <w:t xml:space="preserve">matrix </w:t>
      </w:r>
      <w:r w:rsidR="00E33A51" w:rsidRPr="00886C9E">
        <w:rPr>
          <w:rFonts w:ascii="Times" w:hAnsi="Times" w:cs="Times New Roman"/>
        </w:rPr>
        <w:t>from a pr</w:t>
      </w:r>
      <w:r w:rsidR="008B0382" w:rsidRPr="00886C9E">
        <w:rPr>
          <w:rFonts w:ascii="Times" w:hAnsi="Times" w:cs="Times New Roman"/>
        </w:rPr>
        <w:t xml:space="preserve">eviously developed </w:t>
      </w:r>
      <w:r w:rsidR="00E33A51" w:rsidRPr="00886C9E">
        <w:rPr>
          <w:rFonts w:ascii="Times" w:hAnsi="Times" w:cs="Times New Roman"/>
        </w:rPr>
        <w:t>population PK model</w:t>
      </w:r>
      <w:r w:rsidR="002B3AD2" w:rsidRPr="00886C9E">
        <w:rPr>
          <w:rFonts w:ascii="Times" w:hAnsi="Times" w:cs="Times New Roman"/>
        </w:rPr>
        <w:t xml:space="preserve"> in adults</w:t>
      </w:r>
      <w:r w:rsidR="00E33A51" w:rsidRPr="00886C9E">
        <w:rPr>
          <w:rFonts w:ascii="Times" w:hAnsi="Times" w:cs="Times New Roman"/>
        </w:rPr>
        <w:t>.</w:t>
      </w:r>
      <w:r w:rsidRPr="00886C9E">
        <w:rPr>
          <w:rFonts w:ascii="Times" w:hAnsi="Times" w:cs="Times New Roman"/>
        </w:rPr>
        <w:fldChar w:fldCharType="begin" w:fldLock="1"/>
      </w:r>
      <w:r w:rsidR="00912D14" w:rsidRPr="00886C9E">
        <w:rPr>
          <w:rFonts w:ascii="Times" w:hAnsi="Times" w:cs="Times New Roman"/>
        </w:rPr>
        <w:instrText>ADDIN CSL_CITATION { "citationItems" : [ { "id" : "ITEM-1", "itemData" : { "DOI" : "10.1128/AAC.03685-14", "ISSN" : "0066-4804", "author" : [ { "dropping-particle" : "", "family" : "Ramos-Martin", "given" : "V.", "non-dropping-particle" : "", "parse-names" : false, "suffix" : "" }, { "dropping-particle" : "", "family" : "Paulus", "given" : "S.", "non-dropping-particle" : "", "parse-names" : false, "suffix" : "" }, { "dropping-particle" : "", "family" : "Siner", "given" : "S.", "non-dropping-particle" : "", "parse-names" : false, "suffix" : "" }, { "dropping-particle" : "", "family" : "Scott", "given" : "E.", "non-dropping-particle" : "", "parse-names" : false, "suffix" : "" }, { "dropping-particle" : "", "family" : "Padmore", "given" : "K.", "non-dropping-particle" : "", "parse-names" : false, "suffix" : "" }, { "dropping-particle" : "", "family" : "Newland", "given" : "P.", "non-dropping-particle" : "", "parse-names" : false, "suffix" : "" }, { "dropping-particle" : "", "family" : "Drew", "given" : "R. J.", "non-dropping-particle" : "", "parse-names" : false, "suffix" : "" }, { "dropping-particle" : "", "family" : "Felton", "given" : "T. W.", "non-dropping-particle" : "", "parse-names" : false, "suffix" : "" }, { "dropping-particle" : "", "family" : "Docobo-Perez", "given" : "F.", "non-dropping-particle" : "", "parse-names" : false, "suffix" : "" }, { "dropping-particle" : "", "family" : "Pizer", "given" : "B.", "non-dropping-particle" : "", "parse-names" : false, "suffix" : "" }, { "dropping-particle" : "", "family" : "Pea", "given" : "F.", "non-dropping-particle" : "", "parse-names" : false, "suffix" : "" }, { "dropping-particle" : "", "family" : "Peak", "given" : "M.", "non-dropping-particle" : "", "parse-names" : false, "suffix" : "" }, { "dropping-particle" : "", "family" : "Turner", "given" : "M. a.", "non-dropping-particle" : "", "parse-names" : false, "suffix" : "" }, { "dropping-particle" : "", "family" : "Beresford", "given" : "M. W.", "non-dropping-particle" : "", "parse-names" : false, "suffix" : "" }, { "dropping-particle" : "", "family" : "Hope", "given" : "W. W.", "non-dropping-particle" : "", "parse-names" : false, "suffix" : "" } ], "container-title" : "Antimicrobial Agents and Chemotherapy", "id" : "ITEM-1", "issue" : "11", "issued" : { "date-parts" : [ [ "2014" ] ] }, "page" : "6920-6927", "title" : "Population Pharmacokinetics of Teicoplanin in Children", "type" : "article-journal", "volume" : "58" }, "uris" : [ "http://www.mendeley.com/documents/?uuid=07ab5f41-6cb7-4aa1-9bf4-fe389315ad74" ] } ], "mendeley" : { "formattedCitation" : "&lt;sup&gt;8&lt;/sup&gt;", "plainTextFormattedCitation" : "8", "previouslyFormattedCitation" : "&lt;sup&gt;8&lt;/sup&gt;" }, "properties" : { "noteIndex" : 0 }, "schema" : "https://github.com/citation-style-language/schema/raw/master/csl-citation.json" }</w:instrText>
      </w:r>
      <w:r w:rsidRPr="00886C9E">
        <w:rPr>
          <w:rFonts w:ascii="Times" w:hAnsi="Times" w:cs="Times New Roman"/>
        </w:rPr>
        <w:fldChar w:fldCharType="separate"/>
      </w:r>
      <w:r w:rsidR="00D85CCF" w:rsidRPr="00886C9E">
        <w:rPr>
          <w:rFonts w:ascii="Times" w:hAnsi="Times" w:cs="Times New Roman"/>
          <w:noProof/>
          <w:vertAlign w:val="superscript"/>
        </w:rPr>
        <w:t>8</w:t>
      </w:r>
      <w:r w:rsidRPr="00886C9E">
        <w:rPr>
          <w:rFonts w:ascii="Times" w:hAnsi="Times" w:cs="Times New Roman"/>
        </w:rPr>
        <w:fldChar w:fldCharType="end"/>
      </w:r>
      <w:r w:rsidR="00DA7336" w:rsidRPr="00886C9E">
        <w:rPr>
          <w:rFonts w:ascii="Times" w:hAnsi="Times" w:cs="Times New Roman"/>
        </w:rPr>
        <w:t xml:space="preserve"> </w:t>
      </w:r>
      <w:r w:rsidR="0049667E" w:rsidRPr="00886C9E">
        <w:rPr>
          <w:rFonts w:ascii="Times" w:hAnsi="Times" w:cs="Times New Roman"/>
        </w:rPr>
        <w:t xml:space="preserve"> For the paediatric simulations, we used the population PK estimates and covariance </w:t>
      </w:r>
      <w:r w:rsidR="00DA7336" w:rsidRPr="00886C9E">
        <w:rPr>
          <w:rFonts w:ascii="Times" w:hAnsi="Times" w:cs="Times New Roman"/>
        </w:rPr>
        <w:t xml:space="preserve">matrix </w:t>
      </w:r>
      <w:r w:rsidR="0049667E" w:rsidRPr="00886C9E">
        <w:rPr>
          <w:rFonts w:ascii="Times" w:hAnsi="Times" w:cs="Times New Roman"/>
        </w:rPr>
        <w:t xml:space="preserve">from a previously developed PK </w:t>
      </w:r>
      <w:r w:rsidR="008B0382" w:rsidRPr="00886C9E">
        <w:rPr>
          <w:rFonts w:ascii="Times" w:hAnsi="Times" w:cs="Times New Roman"/>
        </w:rPr>
        <w:t>model</w:t>
      </w:r>
      <w:r w:rsidR="0094092B" w:rsidRPr="00886C9E">
        <w:rPr>
          <w:rFonts w:ascii="Times" w:hAnsi="Times" w:cs="Times New Roman"/>
        </w:rPr>
        <w:t xml:space="preserve"> in children</w:t>
      </w:r>
      <w:r w:rsidR="008B0382" w:rsidRPr="00886C9E">
        <w:rPr>
          <w:rFonts w:ascii="Times" w:hAnsi="Times" w:cs="Times New Roman"/>
        </w:rPr>
        <w:t xml:space="preserve"> (</w:t>
      </w:r>
      <w:r w:rsidR="00DA7336" w:rsidRPr="00886C9E">
        <w:rPr>
          <w:rFonts w:ascii="Times" w:hAnsi="Times" w:cs="Times New Roman"/>
        </w:rPr>
        <w:t>submitted for publication</w:t>
      </w:r>
      <w:r w:rsidR="0049667E" w:rsidRPr="00886C9E">
        <w:rPr>
          <w:rFonts w:ascii="Times" w:hAnsi="Times" w:cs="Times New Roman"/>
        </w:rPr>
        <w:t>).</w:t>
      </w:r>
      <w:r w:rsidRPr="00886C9E">
        <w:rPr>
          <w:rFonts w:ascii="Times" w:hAnsi="Times" w:cs="Times New Roman"/>
        </w:rPr>
        <w:t xml:space="preserve"> </w:t>
      </w:r>
      <w:r w:rsidR="00D4683F" w:rsidRPr="00886C9E">
        <w:rPr>
          <w:rFonts w:ascii="Times" w:hAnsi="Times" w:cs="Times New Roman"/>
        </w:rPr>
        <w:t xml:space="preserve"> </w:t>
      </w:r>
      <w:r w:rsidRPr="00886C9E">
        <w:rPr>
          <w:rFonts w:ascii="Times" w:hAnsi="Times" w:cs="Times New Roman"/>
        </w:rPr>
        <w:t xml:space="preserve">For children, the weight-based dose of </w:t>
      </w:r>
      <w:proofErr w:type="spellStart"/>
      <w:r w:rsidRPr="00886C9E">
        <w:rPr>
          <w:rFonts w:ascii="Times" w:hAnsi="Times" w:cs="Times New Roman"/>
        </w:rPr>
        <w:t>teicoplanin</w:t>
      </w:r>
      <w:proofErr w:type="spellEnd"/>
      <w:r w:rsidRPr="00886C9E">
        <w:rPr>
          <w:rFonts w:ascii="Times" w:hAnsi="Times" w:cs="Times New Roman"/>
        </w:rPr>
        <w:t xml:space="preserve"> (mg per kg) was admi</w:t>
      </w:r>
      <w:r w:rsidR="002A43B0" w:rsidRPr="00886C9E">
        <w:rPr>
          <w:rFonts w:ascii="Times" w:hAnsi="Times" w:cs="Times New Roman"/>
        </w:rPr>
        <w:t xml:space="preserve">nistered to each </w:t>
      </w:r>
      <w:r w:rsidR="001A0E00" w:rsidRPr="00886C9E">
        <w:rPr>
          <w:rFonts w:ascii="Times" w:hAnsi="Times" w:cs="Times New Roman"/>
        </w:rPr>
        <w:t xml:space="preserve">simulated </w:t>
      </w:r>
      <w:r w:rsidR="002A43B0" w:rsidRPr="00886C9E">
        <w:rPr>
          <w:rFonts w:ascii="Times" w:hAnsi="Times" w:cs="Times New Roman"/>
        </w:rPr>
        <w:t>patient as a 3-</w:t>
      </w:r>
      <w:r w:rsidRPr="00886C9E">
        <w:rPr>
          <w:rFonts w:ascii="Times" w:hAnsi="Times" w:cs="Times New Roman"/>
        </w:rPr>
        <w:t xml:space="preserve">minute </w:t>
      </w:r>
      <w:proofErr w:type="spellStart"/>
      <w:r w:rsidRPr="00886C9E">
        <w:rPr>
          <w:rFonts w:ascii="Times" w:hAnsi="Times" w:cs="Times New Roman"/>
        </w:rPr>
        <w:t>i</w:t>
      </w:r>
      <w:r w:rsidR="00F12305" w:rsidRPr="00886C9E">
        <w:rPr>
          <w:rFonts w:ascii="Times" w:hAnsi="Times" w:cs="Times New Roman"/>
        </w:rPr>
        <w:t>.</w:t>
      </w:r>
      <w:r w:rsidRPr="00886C9E">
        <w:rPr>
          <w:rFonts w:ascii="Times" w:hAnsi="Times" w:cs="Times New Roman"/>
        </w:rPr>
        <w:t>v</w:t>
      </w:r>
      <w:r w:rsidR="00F12305" w:rsidRPr="00886C9E">
        <w:rPr>
          <w:rFonts w:ascii="Times" w:hAnsi="Times" w:cs="Times New Roman"/>
        </w:rPr>
        <w:t>.</w:t>
      </w:r>
      <w:proofErr w:type="spellEnd"/>
      <w:r w:rsidRPr="00886C9E">
        <w:rPr>
          <w:rFonts w:ascii="Times" w:hAnsi="Times" w:cs="Times New Roman"/>
        </w:rPr>
        <w:t xml:space="preserve"> infusion</w:t>
      </w:r>
      <w:r w:rsidR="001A0E00" w:rsidRPr="00886C9E">
        <w:rPr>
          <w:rFonts w:ascii="Times" w:hAnsi="Times" w:cs="Times New Roman"/>
        </w:rPr>
        <w:t>. The weight</w:t>
      </w:r>
      <w:r w:rsidR="006403B3" w:rsidRPr="00886C9E">
        <w:rPr>
          <w:rFonts w:ascii="Times" w:hAnsi="Times" w:cs="Times New Roman"/>
        </w:rPr>
        <w:t>-</w:t>
      </w:r>
      <w:r w:rsidR="001A0E00" w:rsidRPr="00886C9E">
        <w:rPr>
          <w:rFonts w:ascii="Times" w:hAnsi="Times" w:cs="Times New Roman"/>
        </w:rPr>
        <w:t xml:space="preserve">based dosage was converted to </w:t>
      </w:r>
      <w:r w:rsidRPr="00886C9E">
        <w:rPr>
          <w:rFonts w:ascii="Times" w:hAnsi="Times" w:cs="Times New Roman"/>
        </w:rPr>
        <w:t>an absolute dos</w:t>
      </w:r>
      <w:r w:rsidR="001A0E00" w:rsidRPr="00886C9E">
        <w:rPr>
          <w:rFonts w:ascii="Times" w:hAnsi="Times" w:cs="Times New Roman"/>
        </w:rPr>
        <w:t xml:space="preserve">age for </w:t>
      </w:r>
      <w:proofErr w:type="spellStart"/>
      <w:r w:rsidR="001A0E00" w:rsidRPr="00886C9E">
        <w:rPr>
          <w:rFonts w:ascii="Times" w:hAnsi="Times" w:cs="Times New Roman"/>
        </w:rPr>
        <w:t>i.v.</w:t>
      </w:r>
      <w:proofErr w:type="spellEnd"/>
      <w:r w:rsidR="001A0E00" w:rsidRPr="00886C9E">
        <w:rPr>
          <w:rFonts w:ascii="Times" w:hAnsi="Times" w:cs="Times New Roman"/>
        </w:rPr>
        <w:t xml:space="preserve"> administration (as would happen at the bedside)</w:t>
      </w:r>
      <w:r w:rsidRPr="00886C9E">
        <w:rPr>
          <w:rFonts w:ascii="Times" w:hAnsi="Times" w:cs="Times New Roman"/>
        </w:rPr>
        <w:t xml:space="preserve"> </w:t>
      </w:r>
      <w:r w:rsidR="001A0E00" w:rsidRPr="00886C9E">
        <w:rPr>
          <w:rFonts w:ascii="Times" w:hAnsi="Times" w:cs="Times New Roman"/>
        </w:rPr>
        <w:t>by multiplying by the simulated weight (</w:t>
      </w:r>
      <w:r w:rsidR="00DA7336" w:rsidRPr="00886C9E">
        <w:rPr>
          <w:rFonts w:ascii="Times" w:hAnsi="Times" w:cs="Times New Roman"/>
        </w:rPr>
        <w:t>for example,</w:t>
      </w:r>
      <w:r w:rsidR="001A0E00" w:rsidRPr="00886C9E">
        <w:rPr>
          <w:rFonts w:ascii="Times" w:hAnsi="Times" w:cs="Times New Roman"/>
        </w:rPr>
        <w:t xml:space="preserve"> a 20 kg child receiving 10 mg/kg would receive 200 mg of </w:t>
      </w:r>
      <w:proofErr w:type="spellStart"/>
      <w:r w:rsidR="001A0E00" w:rsidRPr="00886C9E">
        <w:rPr>
          <w:rFonts w:ascii="Times" w:hAnsi="Times" w:cs="Times New Roman"/>
        </w:rPr>
        <w:t>teicoplanin</w:t>
      </w:r>
      <w:proofErr w:type="spellEnd"/>
      <w:r w:rsidR="001A0E00" w:rsidRPr="00886C9E">
        <w:rPr>
          <w:rFonts w:ascii="Times" w:hAnsi="Times" w:cs="Times New Roman"/>
        </w:rPr>
        <w:t>)</w:t>
      </w:r>
      <w:r w:rsidRPr="00886C9E">
        <w:rPr>
          <w:rFonts w:ascii="Times" w:hAnsi="Times" w:cs="Times New Roman"/>
        </w:rPr>
        <w:t xml:space="preserve">. </w:t>
      </w:r>
      <w:r w:rsidR="001A0E00" w:rsidRPr="00886C9E">
        <w:rPr>
          <w:rFonts w:ascii="Times" w:hAnsi="Times" w:cs="Times New Roman"/>
        </w:rPr>
        <w:t>The</w:t>
      </w:r>
      <w:r w:rsidRPr="00886C9E">
        <w:rPr>
          <w:rFonts w:ascii="Times" w:hAnsi="Times" w:cs="Times New Roman"/>
        </w:rPr>
        <w:t xml:space="preserve"> </w:t>
      </w:r>
      <w:r w:rsidR="001A0E00" w:rsidRPr="00886C9E">
        <w:rPr>
          <w:rFonts w:ascii="Times" w:hAnsi="Times" w:cs="Times New Roman"/>
        </w:rPr>
        <w:t xml:space="preserve">following </w:t>
      </w:r>
      <w:r w:rsidRPr="00886C9E">
        <w:rPr>
          <w:rFonts w:ascii="Times" w:hAnsi="Times" w:cs="Times New Roman"/>
        </w:rPr>
        <w:t>covariate</w:t>
      </w:r>
      <w:r w:rsidR="001A0E00" w:rsidRPr="00886C9E">
        <w:rPr>
          <w:rFonts w:ascii="Times" w:hAnsi="Times" w:cs="Times New Roman"/>
        </w:rPr>
        <w:t xml:space="preserve"> </w:t>
      </w:r>
      <w:r w:rsidR="00734FEF" w:rsidRPr="00886C9E">
        <w:rPr>
          <w:rFonts w:ascii="Times" w:hAnsi="Times" w:cs="Times New Roman"/>
        </w:rPr>
        <w:t>limits</w:t>
      </w:r>
      <w:r w:rsidR="002A43B0" w:rsidRPr="00886C9E">
        <w:rPr>
          <w:rFonts w:ascii="Times" w:hAnsi="Times" w:cs="Times New Roman"/>
        </w:rPr>
        <w:t xml:space="preserve"> were used</w:t>
      </w:r>
      <w:r w:rsidR="001A0E00" w:rsidRPr="00886C9E">
        <w:rPr>
          <w:rFonts w:ascii="Times" w:hAnsi="Times" w:cs="Times New Roman"/>
        </w:rPr>
        <w:t xml:space="preserve"> for the simulations: </w:t>
      </w:r>
      <w:r w:rsidR="002A43B0" w:rsidRPr="00886C9E">
        <w:rPr>
          <w:rFonts w:ascii="Times" w:hAnsi="Times" w:cs="Times New Roman"/>
        </w:rPr>
        <w:t>weight: 9-62.2 kg; age: 1-16 years old and estimated GFR (Schwartz): 49-178.1 mL/min/1.73 m</w:t>
      </w:r>
      <w:r w:rsidR="002A43B0" w:rsidRPr="00886C9E">
        <w:rPr>
          <w:rFonts w:ascii="Times" w:hAnsi="Times" w:cs="Times New Roman"/>
          <w:vertAlign w:val="superscript"/>
        </w:rPr>
        <w:t>2</w:t>
      </w:r>
      <w:r w:rsidR="001A0E00" w:rsidRPr="00886C9E">
        <w:rPr>
          <w:rFonts w:ascii="Times" w:hAnsi="Times" w:cs="Times New Roman"/>
        </w:rPr>
        <w:t>)</w:t>
      </w:r>
      <w:r w:rsidR="002A43B0" w:rsidRPr="00886C9E">
        <w:rPr>
          <w:rFonts w:ascii="Times" w:hAnsi="Times" w:cs="Times New Roman"/>
        </w:rPr>
        <w:t xml:space="preserve">. </w:t>
      </w:r>
      <w:r w:rsidR="001A0E00" w:rsidRPr="00886C9E">
        <w:rPr>
          <w:rFonts w:ascii="Times" w:hAnsi="Times" w:cs="Times New Roman"/>
        </w:rPr>
        <w:t>A</w:t>
      </w:r>
      <w:r w:rsidR="002A43B0" w:rsidRPr="00886C9E">
        <w:rPr>
          <w:rFonts w:ascii="Times" w:hAnsi="Times" w:cs="Times New Roman"/>
        </w:rPr>
        <w:t xml:space="preserve"> variety of </w:t>
      </w:r>
      <w:r w:rsidR="001A0E00" w:rsidRPr="00886C9E">
        <w:rPr>
          <w:rFonts w:ascii="Times" w:hAnsi="Times" w:cs="Times New Roman"/>
        </w:rPr>
        <w:t>candidate</w:t>
      </w:r>
      <w:r w:rsidR="002A43B0" w:rsidRPr="00886C9E">
        <w:rPr>
          <w:rFonts w:ascii="Times" w:hAnsi="Times" w:cs="Times New Roman"/>
        </w:rPr>
        <w:t xml:space="preserve"> regimens were investigated</w:t>
      </w:r>
      <w:r w:rsidR="003F073B" w:rsidRPr="00886C9E">
        <w:rPr>
          <w:rFonts w:ascii="Times" w:hAnsi="Times" w:cs="Times New Roman"/>
        </w:rPr>
        <w:t xml:space="preserve">: the standard </w:t>
      </w:r>
      <w:proofErr w:type="spellStart"/>
      <w:r w:rsidR="003F073B" w:rsidRPr="00886C9E">
        <w:rPr>
          <w:rFonts w:ascii="Times" w:hAnsi="Times" w:cs="Times New Roman"/>
        </w:rPr>
        <w:t>teicoplanin</w:t>
      </w:r>
      <w:proofErr w:type="spellEnd"/>
      <w:r w:rsidR="003F073B" w:rsidRPr="00886C9E">
        <w:rPr>
          <w:rFonts w:ascii="Times" w:hAnsi="Times" w:cs="Times New Roman"/>
        </w:rPr>
        <w:t xml:space="preserve"> dosing and </w:t>
      </w:r>
      <w:r w:rsidR="003F073B" w:rsidRPr="00886C9E">
        <w:rPr>
          <w:rFonts w:ascii="Times New Roman" w:hAnsi="Times New Roman" w:cs="Times New Roman"/>
          <w:color w:val="191919"/>
        </w:rPr>
        <w:t xml:space="preserve">regimens 2 and 3 with the same daily maintenance dose but different frequency of dosing (q24h vs q12h). We considered this relevant to evaluate the impact of the frequency in AUC and </w:t>
      </w:r>
      <w:proofErr w:type="spellStart"/>
      <w:r w:rsidR="003F073B" w:rsidRPr="00886C9E">
        <w:rPr>
          <w:rFonts w:ascii="Times New Roman" w:hAnsi="Times New Roman" w:cs="Times New Roman"/>
          <w:color w:val="191919"/>
        </w:rPr>
        <w:t>C</w:t>
      </w:r>
      <w:r w:rsidR="003F073B" w:rsidRPr="00886C9E">
        <w:rPr>
          <w:rFonts w:ascii="Times New Roman" w:hAnsi="Times New Roman" w:cs="Times New Roman"/>
          <w:color w:val="191919"/>
          <w:vertAlign w:val="subscript"/>
        </w:rPr>
        <w:t>min</w:t>
      </w:r>
      <w:proofErr w:type="spellEnd"/>
      <w:r w:rsidR="003F073B" w:rsidRPr="00886C9E">
        <w:rPr>
          <w:rFonts w:ascii="Times New Roman" w:hAnsi="Times New Roman" w:cs="Times New Roman"/>
          <w:color w:val="191919"/>
        </w:rPr>
        <w:t xml:space="preserve"> attained drug </w:t>
      </w:r>
      <w:proofErr w:type="spellStart"/>
      <w:r w:rsidR="003F073B" w:rsidRPr="00886C9E">
        <w:rPr>
          <w:rFonts w:ascii="Times New Roman" w:hAnsi="Times New Roman" w:cs="Times New Roman"/>
          <w:color w:val="191919"/>
        </w:rPr>
        <w:t>expsoures</w:t>
      </w:r>
      <w:proofErr w:type="spellEnd"/>
      <w:r w:rsidR="002A43B0" w:rsidRPr="00886C9E">
        <w:rPr>
          <w:rFonts w:ascii="Times" w:hAnsi="Times" w:cs="Times New Roman"/>
        </w:rPr>
        <w:t xml:space="preserve"> </w:t>
      </w:r>
      <w:r w:rsidR="001A0E00" w:rsidRPr="00886C9E">
        <w:rPr>
          <w:rFonts w:ascii="Times" w:hAnsi="Times" w:cs="Times New Roman"/>
        </w:rPr>
        <w:t xml:space="preserve">Estimation </w:t>
      </w:r>
      <w:r w:rsidR="002A43B0" w:rsidRPr="00886C9E">
        <w:rPr>
          <w:rFonts w:ascii="Times" w:hAnsi="Times" w:cs="Times New Roman"/>
        </w:rPr>
        <w:t xml:space="preserve">of </w:t>
      </w:r>
      <w:r w:rsidR="001A0E00" w:rsidRPr="00886C9E">
        <w:rPr>
          <w:rFonts w:ascii="Times" w:hAnsi="Times" w:cs="Times New Roman"/>
        </w:rPr>
        <w:t xml:space="preserve">various </w:t>
      </w:r>
      <w:r w:rsidR="002A43B0" w:rsidRPr="00886C9E">
        <w:rPr>
          <w:rFonts w:ascii="Times" w:hAnsi="Times" w:cs="Times New Roman"/>
        </w:rPr>
        <w:t>drug exposure</w:t>
      </w:r>
      <w:r w:rsidR="00E33A51" w:rsidRPr="00886C9E">
        <w:rPr>
          <w:rFonts w:ascii="Times" w:hAnsi="Times" w:cs="Times New Roman"/>
        </w:rPr>
        <w:t>s</w:t>
      </w:r>
      <w:r w:rsidR="002A43B0" w:rsidRPr="00886C9E">
        <w:rPr>
          <w:rFonts w:ascii="Times" w:hAnsi="Times" w:cs="Times New Roman"/>
        </w:rPr>
        <w:t xml:space="preserve"> in terms of AUC</w:t>
      </w:r>
      <w:r w:rsidR="002A43B0" w:rsidRPr="00886C9E">
        <w:rPr>
          <w:rFonts w:ascii="Times" w:hAnsi="Times" w:cs="Times New Roman"/>
          <w:vertAlign w:val="subscript"/>
        </w:rPr>
        <w:t xml:space="preserve">0-24 </w:t>
      </w:r>
      <w:r w:rsidR="00DA116A" w:rsidRPr="00886C9E">
        <w:rPr>
          <w:rFonts w:ascii="Times" w:hAnsi="Times" w:cs="Times New Roman"/>
        </w:rPr>
        <w:t xml:space="preserve">and </w:t>
      </w:r>
      <w:proofErr w:type="spellStart"/>
      <w:r w:rsidR="00DA116A" w:rsidRPr="00886C9E">
        <w:rPr>
          <w:rFonts w:ascii="Times" w:hAnsi="Times" w:cs="Times New Roman"/>
        </w:rPr>
        <w:t>C</w:t>
      </w:r>
      <w:r w:rsidR="00DA116A" w:rsidRPr="00886C9E">
        <w:rPr>
          <w:rFonts w:ascii="Times" w:hAnsi="Times" w:cs="Times New Roman"/>
          <w:vertAlign w:val="subscript"/>
        </w:rPr>
        <w:t>min</w:t>
      </w:r>
      <w:proofErr w:type="spellEnd"/>
      <w:r w:rsidR="00DA116A" w:rsidRPr="00886C9E">
        <w:rPr>
          <w:rFonts w:ascii="Times" w:hAnsi="Times" w:cs="Times New Roman"/>
        </w:rPr>
        <w:t xml:space="preserve"> at steady state (</w:t>
      </w:r>
      <w:r w:rsidR="002A43B0" w:rsidRPr="00886C9E">
        <w:rPr>
          <w:rFonts w:ascii="Times" w:hAnsi="Times" w:cs="Times New Roman"/>
        </w:rPr>
        <w:t>between days 3 and 4 of treatment) were performed for each dosage regimen for both adults and children.</w:t>
      </w:r>
      <w:r w:rsidR="0073242E" w:rsidRPr="00886C9E">
        <w:rPr>
          <w:rFonts w:ascii="Times New Roman" w:hAnsi="Times New Roman" w:cs="Times New Roman"/>
          <w:color w:val="191919"/>
        </w:rPr>
        <w:t xml:space="preserve"> The selection of an AUC and </w:t>
      </w:r>
      <w:proofErr w:type="spellStart"/>
      <w:r w:rsidR="0073242E" w:rsidRPr="00886C9E">
        <w:rPr>
          <w:rFonts w:ascii="Times New Roman" w:hAnsi="Times New Roman" w:cs="Times New Roman"/>
          <w:color w:val="191919"/>
        </w:rPr>
        <w:t>C</w:t>
      </w:r>
      <w:r w:rsidR="0073242E" w:rsidRPr="00886C9E">
        <w:rPr>
          <w:rFonts w:ascii="Times New Roman" w:hAnsi="Times New Roman" w:cs="Times New Roman"/>
          <w:color w:val="191919"/>
          <w:vertAlign w:val="subscript"/>
        </w:rPr>
        <w:t>min</w:t>
      </w:r>
      <w:proofErr w:type="spellEnd"/>
      <w:r w:rsidR="0073242E" w:rsidRPr="00886C9E">
        <w:rPr>
          <w:rFonts w:ascii="Times New Roman" w:hAnsi="Times New Roman" w:cs="Times New Roman"/>
          <w:color w:val="191919"/>
        </w:rPr>
        <w:t xml:space="preserve"> time frame (72-96 h) is based on currently steady state SPC recommendations for TDM.</w:t>
      </w:r>
    </w:p>
    <w:p w14:paraId="08B6D7A9" w14:textId="4D21411E" w:rsidR="00734FEF" w:rsidRPr="00886C9E" w:rsidRDefault="00305D87" w:rsidP="00C6502E">
      <w:pPr>
        <w:spacing w:line="480" w:lineRule="auto"/>
        <w:ind w:firstLine="708"/>
        <w:jc w:val="both"/>
        <w:rPr>
          <w:rFonts w:ascii="Times" w:hAnsi="Times" w:cs="Times New Roman"/>
        </w:rPr>
      </w:pPr>
      <w:r w:rsidRPr="00886C9E">
        <w:rPr>
          <w:rFonts w:ascii="Times" w:hAnsi="Times" w:cs="Times New Roman"/>
        </w:rPr>
        <w:t xml:space="preserve">For the PTA analysis, a target AUC/MIC of </w:t>
      </w:r>
      <w:r w:rsidR="00C6502E" w:rsidRPr="00886C9E">
        <w:rPr>
          <w:rFonts w:ascii="Times" w:hAnsi="Times" w:cs="Times New Roman"/>
        </w:rPr>
        <w:t>stasis</w:t>
      </w:r>
      <w:r w:rsidR="00D4683F" w:rsidRPr="00886C9E">
        <w:rPr>
          <w:rFonts w:ascii="Times" w:hAnsi="Times" w:cs="Times New Roman"/>
        </w:rPr>
        <w:t xml:space="preserve"> </w:t>
      </w:r>
      <w:r w:rsidR="00C6502E" w:rsidRPr="00886C9E">
        <w:rPr>
          <w:rFonts w:ascii="Times" w:hAnsi="Times" w:cs="Times New Roman"/>
        </w:rPr>
        <w:t>and 2 log</w:t>
      </w:r>
      <w:r w:rsidR="00C6502E" w:rsidRPr="00886C9E">
        <w:rPr>
          <w:rFonts w:ascii="Times" w:hAnsi="Times" w:cs="Times New Roman"/>
          <w:vertAlign w:val="subscript"/>
        </w:rPr>
        <w:t>10</w:t>
      </w:r>
      <w:r w:rsidR="00C6502E" w:rsidRPr="00886C9E">
        <w:rPr>
          <w:rFonts w:ascii="Times" w:hAnsi="Times" w:cs="Times New Roman"/>
        </w:rPr>
        <w:t xml:space="preserve"> cell kill</w:t>
      </w:r>
      <w:r w:rsidR="00DA7336" w:rsidRPr="00886C9E">
        <w:rPr>
          <w:rFonts w:ascii="Times" w:hAnsi="Times" w:cs="Times New Roman"/>
        </w:rPr>
        <w:t xml:space="preserve"> in the murine model</w:t>
      </w:r>
      <w:r w:rsidR="000071E5" w:rsidRPr="00886C9E">
        <w:rPr>
          <w:rFonts w:ascii="Times" w:hAnsi="Times" w:cs="Times New Roman"/>
        </w:rPr>
        <w:t xml:space="preserve"> </w:t>
      </w:r>
      <w:r w:rsidR="00D4683F" w:rsidRPr="00886C9E">
        <w:rPr>
          <w:rFonts w:ascii="Times" w:hAnsi="Times" w:cs="Times New Roman"/>
        </w:rPr>
        <w:t>were</w:t>
      </w:r>
      <w:r w:rsidR="00DA7336" w:rsidRPr="00886C9E">
        <w:rPr>
          <w:rFonts w:ascii="Times" w:hAnsi="Times" w:cs="Times New Roman"/>
        </w:rPr>
        <w:t xml:space="preserve"> used. The distribution of the </w:t>
      </w:r>
      <w:r w:rsidR="0049667E" w:rsidRPr="00886C9E">
        <w:rPr>
          <w:rFonts w:ascii="Times" w:hAnsi="Times" w:cs="Times New Roman"/>
        </w:rPr>
        <w:t xml:space="preserve">MRSA MICs </w:t>
      </w:r>
      <w:r w:rsidR="00DA7336" w:rsidRPr="00886C9E">
        <w:rPr>
          <w:rFonts w:ascii="Times" w:hAnsi="Times" w:cs="Times New Roman"/>
        </w:rPr>
        <w:t xml:space="preserve">determined using EUCAST methodology </w:t>
      </w:r>
      <w:r w:rsidR="0049667E" w:rsidRPr="00886C9E">
        <w:rPr>
          <w:rFonts w:ascii="Times" w:hAnsi="Times" w:cs="Times New Roman"/>
        </w:rPr>
        <w:t xml:space="preserve">from 0.032 to 16 </w:t>
      </w:r>
      <w:r w:rsidRPr="00886C9E">
        <w:rPr>
          <w:rFonts w:ascii="Times" w:hAnsi="Times" w:cs="Times New Roman"/>
        </w:rPr>
        <w:t>mg/L were plotted</w:t>
      </w:r>
      <w:r w:rsidR="00DA7336" w:rsidRPr="00886C9E">
        <w:rPr>
          <w:rFonts w:ascii="Times" w:hAnsi="Times" w:cs="Times New Roman"/>
        </w:rPr>
        <w:t>.</w:t>
      </w:r>
      <w:r w:rsidR="000168E1" w:rsidRPr="00886C9E">
        <w:rPr>
          <w:rFonts w:ascii="Times" w:hAnsi="Times" w:cs="Times New Roman"/>
        </w:rPr>
        <w:fldChar w:fldCharType="begin" w:fldLock="1"/>
      </w:r>
      <w:r w:rsidR="00912D14" w:rsidRPr="00886C9E">
        <w:rPr>
          <w:rFonts w:ascii="Times" w:hAnsi="Times" w:cs="Times New Roman"/>
        </w:rPr>
        <w:instrText>ADDIN CSL_CITATION { "citationItems" : [ { "id" : "ITEM-1", "itemData" : { "URL" : "http://www.eucast.org/fileadmin/src/media/PDFs/EUCAST_files/Rationale_documents/Teicoplanin_rationale_2.1.pdf", "author" : [ { "dropping-particle" : "", "family" : "European Committee on Antimicrobial Susceptibility Testing", "given" : "", "non-dropping-particle" : "", "parse-names" : false, "suffix" : "" } ], "container-title" : "EUCAST", "id" : "ITEM-1", "issue" : "June", "issued" : { "date-parts" : [ [ "2010" ] ] }, "title" : "Teicoplanin Rationale for the EUCAST clinical breakpoints , version 2.1", "type" : "webpage" }, "uris" : [ "http://www.mendeley.com/documents/?uuid=30c9df72-57de-46eb-8b21-5e3bc869a477" ] } ], "mendeley" : { "formattedCitation" : "&lt;sup&gt;12&lt;/sup&gt;", "plainTextFormattedCitation" : "12", "previouslyFormattedCitation" : "&lt;sup&gt;12&lt;/sup&gt;" }, "properties" : { "noteIndex" : 0 }, "schema" : "https://github.com/citation-style-language/schema/raw/master/csl-citation.json" }</w:instrText>
      </w:r>
      <w:r w:rsidR="000168E1" w:rsidRPr="00886C9E">
        <w:rPr>
          <w:rFonts w:ascii="Times" w:hAnsi="Times" w:cs="Times New Roman"/>
        </w:rPr>
        <w:fldChar w:fldCharType="separate"/>
      </w:r>
      <w:r w:rsidR="00D85CCF" w:rsidRPr="00886C9E">
        <w:rPr>
          <w:rFonts w:ascii="Times" w:hAnsi="Times" w:cs="Times New Roman"/>
          <w:noProof/>
          <w:vertAlign w:val="superscript"/>
        </w:rPr>
        <w:t>12</w:t>
      </w:r>
      <w:r w:rsidR="000168E1" w:rsidRPr="00886C9E">
        <w:rPr>
          <w:rFonts w:ascii="Times" w:hAnsi="Times" w:cs="Times New Roman"/>
        </w:rPr>
        <w:fldChar w:fldCharType="end"/>
      </w:r>
      <w:r w:rsidR="00DA7336" w:rsidRPr="00886C9E">
        <w:rPr>
          <w:rFonts w:ascii="Times" w:hAnsi="Times" w:cs="Times New Roman"/>
        </w:rPr>
        <w:t xml:space="preserve"> </w:t>
      </w:r>
      <w:r w:rsidR="0094092B" w:rsidRPr="00886C9E">
        <w:rPr>
          <w:rFonts w:ascii="Times" w:hAnsi="Times" w:cs="Times New Roman"/>
        </w:rPr>
        <w:t xml:space="preserve">Fractional target attainment was calculated for </w:t>
      </w:r>
      <w:r w:rsidR="00DA7336" w:rsidRPr="00886C9E">
        <w:rPr>
          <w:rFonts w:ascii="Times" w:hAnsi="Times" w:cs="Times New Roman"/>
        </w:rPr>
        <w:t xml:space="preserve">the various </w:t>
      </w:r>
      <w:r w:rsidR="0094092B" w:rsidRPr="00886C9E">
        <w:rPr>
          <w:rFonts w:ascii="Times" w:hAnsi="Times" w:cs="Times New Roman"/>
        </w:rPr>
        <w:t xml:space="preserve">regimens </w:t>
      </w:r>
      <w:r w:rsidR="00707D88" w:rsidRPr="00886C9E">
        <w:rPr>
          <w:rFonts w:ascii="Times" w:hAnsi="Times" w:cs="Times New Roman"/>
        </w:rPr>
        <w:t xml:space="preserve">to identify the achievement of </w:t>
      </w:r>
      <w:r w:rsidR="0094092B" w:rsidRPr="00886C9E">
        <w:rPr>
          <w:rFonts w:ascii="Times" w:hAnsi="Times" w:cs="Times New Roman"/>
        </w:rPr>
        <w:t xml:space="preserve">the </w:t>
      </w:r>
      <w:r w:rsidR="0094092B" w:rsidRPr="00886C9E">
        <w:rPr>
          <w:rFonts w:ascii="Times" w:hAnsi="Times" w:cs="Times New Roman"/>
        </w:rPr>
        <w:lastRenderedPageBreak/>
        <w:t>AUC/MIC target</w:t>
      </w:r>
      <w:r w:rsidR="00C42D37" w:rsidRPr="00886C9E">
        <w:rPr>
          <w:rFonts w:ascii="Times" w:hAnsi="Times" w:cs="Times New Roman"/>
        </w:rPr>
        <w:t>s</w:t>
      </w:r>
      <w:r w:rsidR="00707D88" w:rsidRPr="00886C9E">
        <w:rPr>
          <w:rFonts w:ascii="Times" w:hAnsi="Times" w:cs="Times New Roman"/>
        </w:rPr>
        <w:t xml:space="preserve"> by comparing the PTA</w:t>
      </w:r>
      <w:r w:rsidR="00C42D37" w:rsidRPr="00886C9E">
        <w:rPr>
          <w:rFonts w:ascii="Times" w:hAnsi="Times" w:cs="Times New Roman"/>
        </w:rPr>
        <w:t xml:space="preserve"> against the</w:t>
      </w:r>
      <w:r w:rsidR="00707D88" w:rsidRPr="00886C9E">
        <w:rPr>
          <w:rFonts w:ascii="Times" w:hAnsi="Times" w:cs="Times New Roman"/>
        </w:rPr>
        <w:t xml:space="preserve"> </w:t>
      </w:r>
      <w:proofErr w:type="spellStart"/>
      <w:r w:rsidR="00707D88" w:rsidRPr="00886C9E">
        <w:rPr>
          <w:rFonts w:ascii="Times" w:hAnsi="Times" w:cs="Times New Roman"/>
        </w:rPr>
        <w:t>teicoplanin</w:t>
      </w:r>
      <w:proofErr w:type="spellEnd"/>
      <w:r w:rsidR="00C42D37" w:rsidRPr="00886C9E">
        <w:rPr>
          <w:rFonts w:ascii="Times" w:hAnsi="Times" w:cs="Times New Roman"/>
        </w:rPr>
        <w:t xml:space="preserve"> MIC distribution for MRSA</w:t>
      </w:r>
      <w:r w:rsidR="00707D88" w:rsidRPr="00886C9E">
        <w:rPr>
          <w:rFonts w:ascii="Times" w:hAnsi="Times" w:cs="Times New Roman"/>
        </w:rPr>
        <w:t>.</w:t>
      </w:r>
    </w:p>
    <w:p w14:paraId="6818B74F" w14:textId="77777777" w:rsidR="005A0A63" w:rsidRPr="00886C9E" w:rsidRDefault="005A0A63" w:rsidP="006403B3">
      <w:pPr>
        <w:spacing w:line="480" w:lineRule="auto"/>
        <w:jc w:val="both"/>
        <w:rPr>
          <w:rFonts w:ascii="Times" w:hAnsi="Times" w:cs="Times New Roman"/>
        </w:rPr>
      </w:pPr>
    </w:p>
    <w:p w14:paraId="173D3DAC" w14:textId="77777777" w:rsidR="00023ED4" w:rsidRPr="00886C9E" w:rsidRDefault="00023ED4">
      <w:pPr>
        <w:spacing w:line="480" w:lineRule="auto"/>
        <w:jc w:val="both"/>
        <w:rPr>
          <w:rFonts w:ascii="Times" w:hAnsi="Times" w:cs="Times New Roman"/>
        </w:rPr>
        <w:sectPr w:rsidR="00023ED4" w:rsidRPr="00886C9E" w:rsidSect="001105B2">
          <w:pgSz w:w="11900" w:h="16840"/>
          <w:pgMar w:top="1417" w:right="1701" w:bottom="1417" w:left="1701" w:header="708" w:footer="708" w:gutter="0"/>
          <w:lnNumType w:countBy="1" w:restart="continuous"/>
          <w:cols w:space="708"/>
          <w:docGrid w:linePitch="360"/>
        </w:sectPr>
      </w:pPr>
    </w:p>
    <w:p w14:paraId="2373BF83" w14:textId="77777777" w:rsidR="005A0A63" w:rsidRPr="00886C9E" w:rsidRDefault="005A0A63" w:rsidP="006403B3">
      <w:pPr>
        <w:spacing w:line="480" w:lineRule="auto"/>
        <w:jc w:val="both"/>
        <w:rPr>
          <w:rFonts w:ascii="Times" w:hAnsi="Times" w:cs="Times New Roman"/>
        </w:rPr>
      </w:pPr>
      <w:r w:rsidRPr="00886C9E">
        <w:rPr>
          <w:rFonts w:ascii="Times" w:hAnsi="Times" w:cs="Times New Roman"/>
        </w:rPr>
        <w:lastRenderedPageBreak/>
        <w:t>RESULTS</w:t>
      </w:r>
    </w:p>
    <w:p w14:paraId="26E79DB1" w14:textId="22CF6926" w:rsidR="002C0BF0" w:rsidRPr="00886C9E" w:rsidRDefault="002C0BF0" w:rsidP="006403B3">
      <w:pPr>
        <w:spacing w:line="480" w:lineRule="auto"/>
        <w:jc w:val="both"/>
        <w:rPr>
          <w:rFonts w:ascii="Times" w:hAnsi="Times" w:cs="Times New Roman"/>
          <w:i/>
        </w:rPr>
      </w:pPr>
      <w:r w:rsidRPr="00886C9E">
        <w:rPr>
          <w:rFonts w:ascii="Times" w:hAnsi="Times" w:cs="Times New Roman"/>
          <w:i/>
        </w:rPr>
        <w:t>In vitro susceptibility and mutational frequency</w:t>
      </w:r>
    </w:p>
    <w:p w14:paraId="1E99543D" w14:textId="0FCBFBBC" w:rsidR="002C0BF0" w:rsidRPr="00886C9E" w:rsidRDefault="002C0BF0" w:rsidP="006403B3">
      <w:pPr>
        <w:spacing w:line="480" w:lineRule="auto"/>
        <w:ind w:firstLine="708"/>
        <w:jc w:val="both"/>
        <w:rPr>
          <w:rFonts w:ascii="Times" w:hAnsi="Times" w:cs="Times New Roman"/>
        </w:rPr>
      </w:pPr>
      <w:r w:rsidRPr="00886C9E">
        <w:rPr>
          <w:rFonts w:ascii="Times" w:hAnsi="Times" w:cs="Times New Roman"/>
        </w:rPr>
        <w:t xml:space="preserve">The modal </w:t>
      </w:r>
      <w:proofErr w:type="spellStart"/>
      <w:r w:rsidRPr="00886C9E">
        <w:rPr>
          <w:rFonts w:ascii="Times" w:hAnsi="Times" w:cs="Times New Roman"/>
        </w:rPr>
        <w:t>teicoplanin</w:t>
      </w:r>
      <w:proofErr w:type="spellEnd"/>
      <w:r w:rsidRPr="00886C9E">
        <w:rPr>
          <w:rFonts w:ascii="Times" w:hAnsi="Times" w:cs="Times New Roman"/>
        </w:rPr>
        <w:t xml:space="preserve"> MIC for the MRSA </w:t>
      </w:r>
      <w:r w:rsidR="00255646" w:rsidRPr="00886C9E">
        <w:rPr>
          <w:rFonts w:ascii="Times" w:hAnsi="Times" w:cs="Times New Roman"/>
        </w:rPr>
        <w:t xml:space="preserve">ATCC 43300 </w:t>
      </w:r>
      <w:r w:rsidRPr="00886C9E">
        <w:rPr>
          <w:rFonts w:ascii="Times" w:hAnsi="Times" w:cs="Times New Roman"/>
        </w:rPr>
        <w:t xml:space="preserve">was </w:t>
      </w:r>
      <w:r w:rsidR="00614022" w:rsidRPr="00886C9E">
        <w:rPr>
          <w:rFonts w:ascii="Times" w:hAnsi="Times" w:cs="Times New Roman"/>
        </w:rPr>
        <w:t>0.5</w:t>
      </w:r>
      <w:r w:rsidRPr="00886C9E">
        <w:rPr>
          <w:rFonts w:ascii="Times" w:hAnsi="Times" w:cs="Times New Roman"/>
        </w:rPr>
        <w:t xml:space="preserve"> mg/L</w:t>
      </w:r>
      <w:r w:rsidR="000071E5" w:rsidRPr="00886C9E">
        <w:rPr>
          <w:rFonts w:ascii="Times" w:hAnsi="Times" w:cs="Times New Roman"/>
        </w:rPr>
        <w:t>.</w:t>
      </w:r>
      <w:r w:rsidR="003969B6" w:rsidRPr="00886C9E">
        <w:rPr>
          <w:rFonts w:ascii="Times" w:hAnsi="Times" w:cs="Times New Roman"/>
        </w:rPr>
        <w:t xml:space="preserve"> </w:t>
      </w:r>
      <w:r w:rsidR="006403B3" w:rsidRPr="00886C9E">
        <w:rPr>
          <w:rFonts w:ascii="Times" w:hAnsi="Times" w:cs="Times New Roman"/>
        </w:rPr>
        <w:t>The strain</w:t>
      </w:r>
      <w:r w:rsidRPr="00886C9E">
        <w:rPr>
          <w:rFonts w:ascii="Times" w:hAnsi="Times" w:cs="Times New Roman"/>
        </w:rPr>
        <w:t xml:space="preserve"> </w:t>
      </w:r>
      <w:r w:rsidR="006403B3" w:rsidRPr="00886C9E">
        <w:rPr>
          <w:rFonts w:ascii="Times" w:hAnsi="Times" w:cs="Times New Roman"/>
        </w:rPr>
        <w:t>was</w:t>
      </w:r>
      <w:r w:rsidRPr="00886C9E">
        <w:rPr>
          <w:rFonts w:ascii="Times" w:hAnsi="Times" w:cs="Times New Roman"/>
        </w:rPr>
        <w:t xml:space="preserve"> oxacillin resistant by E-test (</w:t>
      </w:r>
      <w:proofErr w:type="spellStart"/>
      <w:r w:rsidRPr="00886C9E">
        <w:rPr>
          <w:rFonts w:ascii="Times" w:hAnsi="Times" w:cs="Times New Roman"/>
        </w:rPr>
        <w:t>Oxoid</w:t>
      </w:r>
      <w:proofErr w:type="spellEnd"/>
      <w:r w:rsidRPr="00886C9E">
        <w:rPr>
          <w:rFonts w:ascii="Times" w:hAnsi="Times" w:cs="Times New Roman"/>
        </w:rPr>
        <w:t xml:space="preserve">). </w:t>
      </w:r>
      <w:r w:rsidR="004B7C0F" w:rsidRPr="00886C9E">
        <w:rPr>
          <w:rFonts w:ascii="Times" w:hAnsi="Times" w:cs="Times New Roman"/>
        </w:rPr>
        <w:t>The mutational frequency</w:t>
      </w:r>
      <w:r w:rsidR="00E64044" w:rsidRPr="00886C9E">
        <w:rPr>
          <w:rFonts w:ascii="Times" w:hAnsi="Times" w:cs="Times New Roman"/>
        </w:rPr>
        <w:t xml:space="preserve"> </w:t>
      </w:r>
      <w:r w:rsidR="004B7C0F" w:rsidRPr="00886C9E">
        <w:rPr>
          <w:rFonts w:ascii="Times" w:hAnsi="Times" w:cs="Times New Roman"/>
        </w:rPr>
        <w:t>(</w:t>
      </w:r>
      <w:r w:rsidR="0011197F" w:rsidRPr="00886C9E">
        <w:rPr>
          <w:rFonts w:ascii="Times" w:hAnsi="Times" w:cs="Times New Roman"/>
        </w:rPr>
        <w:t xml:space="preserve">at </w:t>
      </w:r>
      <w:r w:rsidR="00E64044" w:rsidRPr="00886C9E">
        <w:rPr>
          <w:rFonts w:ascii="Times" w:hAnsi="Times" w:cs="Times New Roman"/>
        </w:rPr>
        <w:t>16</w:t>
      </w:r>
      <w:r w:rsidR="004B7C0F" w:rsidRPr="00886C9E">
        <w:rPr>
          <w:rFonts w:ascii="Times" w:hAnsi="Times" w:cs="Times New Roman"/>
        </w:rPr>
        <w:t xml:space="preserve"> </w:t>
      </w:r>
      <w:r w:rsidRPr="00886C9E">
        <w:rPr>
          <w:rFonts w:ascii="Times" w:hAnsi="Times" w:cs="Times New Roman"/>
        </w:rPr>
        <w:t>x</w:t>
      </w:r>
      <w:r w:rsidR="004B7C0F" w:rsidRPr="00886C9E">
        <w:rPr>
          <w:rFonts w:ascii="Times" w:hAnsi="Times" w:cs="Times New Roman"/>
        </w:rPr>
        <w:t xml:space="preserve"> </w:t>
      </w:r>
      <w:r w:rsidRPr="00886C9E">
        <w:rPr>
          <w:rFonts w:ascii="Times" w:hAnsi="Times" w:cs="Times New Roman"/>
        </w:rPr>
        <w:t>MIC</w:t>
      </w:r>
      <w:r w:rsidR="004B7C0F" w:rsidRPr="00886C9E">
        <w:rPr>
          <w:rFonts w:ascii="Times" w:hAnsi="Times" w:cs="Times New Roman"/>
        </w:rPr>
        <w:t>)</w:t>
      </w:r>
      <w:r w:rsidRPr="00886C9E">
        <w:rPr>
          <w:rFonts w:ascii="Times" w:hAnsi="Times" w:cs="Times New Roman"/>
        </w:rPr>
        <w:t xml:space="preserve"> was 1.02 x 10</w:t>
      </w:r>
      <w:r w:rsidRPr="00886C9E">
        <w:rPr>
          <w:rFonts w:ascii="Times" w:hAnsi="Times" w:cs="Times New Roman"/>
          <w:vertAlign w:val="superscript"/>
        </w:rPr>
        <w:t>-7</w:t>
      </w:r>
      <w:r w:rsidRPr="00886C9E">
        <w:rPr>
          <w:rFonts w:ascii="Times" w:hAnsi="Times" w:cs="Times New Roman"/>
        </w:rPr>
        <w:t>.</w:t>
      </w:r>
      <w:r w:rsidR="006B4D5F" w:rsidRPr="00886C9E">
        <w:rPr>
          <w:rFonts w:ascii="Times" w:hAnsi="Times" w:cs="Times New Roman"/>
        </w:rPr>
        <w:t xml:space="preserve"> </w:t>
      </w:r>
      <w:r w:rsidR="0094092B" w:rsidRPr="00886C9E">
        <w:rPr>
          <w:rFonts w:ascii="Times" w:hAnsi="Times" w:cs="Times New Roman"/>
        </w:rPr>
        <w:t xml:space="preserve">MICs from resistant mutants at the end of </w:t>
      </w:r>
      <w:r w:rsidR="0094092B" w:rsidRPr="00886C9E">
        <w:rPr>
          <w:rFonts w:ascii="Times" w:hAnsi="Times" w:cs="Times New Roman"/>
          <w:i/>
        </w:rPr>
        <w:t>in vitro</w:t>
      </w:r>
      <w:r w:rsidR="0094092B" w:rsidRPr="00886C9E">
        <w:rPr>
          <w:rFonts w:ascii="Times" w:hAnsi="Times" w:cs="Times New Roman"/>
        </w:rPr>
        <w:t xml:space="preserve"> experiments (168 h) were </w:t>
      </w:r>
      <w:r w:rsidR="00255646" w:rsidRPr="00886C9E">
        <w:rPr>
          <w:rFonts w:ascii="Times" w:hAnsi="Times" w:cs="Times New Roman"/>
        </w:rPr>
        <w:t>up to</w:t>
      </w:r>
      <w:r w:rsidR="0094092B" w:rsidRPr="00886C9E">
        <w:rPr>
          <w:rFonts w:ascii="Times" w:hAnsi="Times" w:cs="Times New Roman"/>
        </w:rPr>
        <w:t xml:space="preserve"> </w:t>
      </w:r>
      <w:r w:rsidR="006B4D5F" w:rsidRPr="00886C9E">
        <w:rPr>
          <w:rFonts w:ascii="Times" w:hAnsi="Times" w:cs="Times New Roman"/>
        </w:rPr>
        <w:t xml:space="preserve">five </w:t>
      </w:r>
      <w:r w:rsidR="0094092B" w:rsidRPr="00886C9E">
        <w:rPr>
          <w:rFonts w:ascii="Times" w:hAnsi="Times" w:cs="Times New Roman"/>
        </w:rPr>
        <w:t>two</w:t>
      </w:r>
      <w:r w:rsidR="006B4D5F" w:rsidRPr="00886C9E">
        <w:rPr>
          <w:rFonts w:ascii="Times" w:hAnsi="Times" w:cs="Times New Roman"/>
        </w:rPr>
        <w:t>-</w:t>
      </w:r>
      <w:r w:rsidR="0094092B" w:rsidRPr="00886C9E">
        <w:rPr>
          <w:rFonts w:ascii="Times" w:hAnsi="Times" w:cs="Times New Roman"/>
        </w:rPr>
        <w:t xml:space="preserve">fold dilutions </w:t>
      </w:r>
      <w:r w:rsidR="006B4D5F" w:rsidRPr="00886C9E">
        <w:rPr>
          <w:rFonts w:ascii="Times" w:hAnsi="Times" w:cs="Times New Roman"/>
        </w:rPr>
        <w:t xml:space="preserve">higher </w:t>
      </w:r>
      <w:r w:rsidR="0094092B" w:rsidRPr="00886C9E">
        <w:rPr>
          <w:rFonts w:ascii="Times" w:hAnsi="Times" w:cs="Times New Roman"/>
        </w:rPr>
        <w:t xml:space="preserve">(2 to </w:t>
      </w:r>
      <w:r w:rsidR="0094092B" w:rsidRPr="00886C9E">
        <w:rPr>
          <w:rFonts w:ascii="Times" w:hAnsi="Times" w:cs="Times New Roman"/>
        </w:rPr>
        <w:sym w:font="Symbol" w:char="F0B3"/>
      </w:r>
      <w:r w:rsidR="0094092B" w:rsidRPr="00886C9E">
        <w:rPr>
          <w:rFonts w:ascii="Times" w:hAnsi="Times" w:cs="Times New Roman"/>
        </w:rPr>
        <w:t xml:space="preserve"> 16 mg/L). </w:t>
      </w:r>
    </w:p>
    <w:p w14:paraId="7B415FD4" w14:textId="77777777" w:rsidR="002C0BF0" w:rsidRPr="00886C9E" w:rsidRDefault="002C0BF0" w:rsidP="006403B3">
      <w:pPr>
        <w:spacing w:line="480" w:lineRule="auto"/>
        <w:ind w:firstLine="708"/>
        <w:jc w:val="both"/>
        <w:rPr>
          <w:rFonts w:ascii="Times" w:hAnsi="Times" w:cs="Times New Roman"/>
        </w:rPr>
      </w:pPr>
    </w:p>
    <w:p w14:paraId="6A2AA437" w14:textId="7F2AC49E" w:rsidR="002C0BF0" w:rsidRPr="00886C9E" w:rsidRDefault="002C0BF0" w:rsidP="006403B3">
      <w:pPr>
        <w:spacing w:line="480" w:lineRule="auto"/>
        <w:jc w:val="both"/>
        <w:rPr>
          <w:rFonts w:ascii="Times" w:hAnsi="Times" w:cs="Times New Roman"/>
          <w:i/>
        </w:rPr>
      </w:pPr>
      <w:r w:rsidRPr="00886C9E">
        <w:rPr>
          <w:rFonts w:ascii="Times" w:hAnsi="Times" w:cs="Times New Roman"/>
          <w:i/>
        </w:rPr>
        <w:t xml:space="preserve">Pharmacodynamics of </w:t>
      </w:r>
      <w:proofErr w:type="spellStart"/>
      <w:r w:rsidRPr="00886C9E">
        <w:rPr>
          <w:rFonts w:ascii="Times" w:hAnsi="Times" w:cs="Times New Roman"/>
          <w:i/>
        </w:rPr>
        <w:t>Teicoplanin</w:t>
      </w:r>
      <w:proofErr w:type="spellEnd"/>
      <w:r w:rsidRPr="00886C9E">
        <w:rPr>
          <w:rFonts w:ascii="Times" w:hAnsi="Times" w:cs="Times New Roman"/>
          <w:i/>
        </w:rPr>
        <w:t xml:space="preserve"> Against MRSA: Dose Finding Studies</w:t>
      </w:r>
      <w:r w:rsidR="00803D5F" w:rsidRPr="00886C9E">
        <w:rPr>
          <w:rFonts w:ascii="Times" w:hAnsi="Times" w:cs="Times New Roman"/>
          <w:i/>
        </w:rPr>
        <w:t xml:space="preserve"> </w:t>
      </w:r>
      <w:r w:rsidR="00B52675" w:rsidRPr="00886C9E">
        <w:rPr>
          <w:rFonts w:ascii="Times" w:hAnsi="Times" w:cs="Times New Roman"/>
          <w:i/>
        </w:rPr>
        <w:t xml:space="preserve">and Dose Fractionation Studies </w:t>
      </w:r>
      <w:r w:rsidR="00803D5F" w:rsidRPr="00886C9E">
        <w:rPr>
          <w:rFonts w:ascii="Times" w:hAnsi="Times" w:cs="Times New Roman"/>
          <w:i/>
        </w:rPr>
        <w:t>in the HFIM</w:t>
      </w:r>
    </w:p>
    <w:p w14:paraId="11E03C8C" w14:textId="77777777" w:rsidR="002B3AD2" w:rsidRPr="00886C9E" w:rsidRDefault="002C0BF0" w:rsidP="002B3AD2">
      <w:pPr>
        <w:spacing w:line="480" w:lineRule="auto"/>
        <w:ind w:firstLine="708"/>
        <w:jc w:val="both"/>
        <w:rPr>
          <w:rFonts w:ascii="Times New Roman" w:hAnsi="Times New Roman" w:cs="Times New Roman"/>
        </w:rPr>
      </w:pPr>
      <w:r w:rsidRPr="00886C9E">
        <w:rPr>
          <w:rFonts w:ascii="Times" w:hAnsi="Times" w:cs="Times New Roman"/>
        </w:rPr>
        <w:t>There was a dose-dependent decline in the total bacterial density</w:t>
      </w:r>
      <w:r w:rsidR="006B4D5F" w:rsidRPr="00886C9E">
        <w:rPr>
          <w:rFonts w:ascii="Times" w:hAnsi="Times" w:cs="Times New Roman"/>
        </w:rPr>
        <w:t xml:space="preserve"> following exposure to </w:t>
      </w:r>
      <w:proofErr w:type="spellStart"/>
      <w:r w:rsidR="006B4D5F" w:rsidRPr="00886C9E">
        <w:rPr>
          <w:rFonts w:ascii="Times" w:hAnsi="Times" w:cs="Times New Roman"/>
        </w:rPr>
        <w:t>teicoplanin</w:t>
      </w:r>
      <w:proofErr w:type="spellEnd"/>
      <w:r w:rsidR="004B7C0F" w:rsidRPr="00886C9E">
        <w:rPr>
          <w:rFonts w:ascii="Times" w:hAnsi="Times" w:cs="Times New Roman"/>
        </w:rPr>
        <w:t>.</w:t>
      </w:r>
      <w:r w:rsidR="00EF5CD3" w:rsidRPr="00886C9E">
        <w:rPr>
          <w:rFonts w:ascii="Times" w:hAnsi="Times" w:cs="Times New Roman"/>
        </w:rPr>
        <w:t xml:space="preserve"> </w:t>
      </w:r>
      <w:r w:rsidR="002B3AD2" w:rsidRPr="00886C9E">
        <w:rPr>
          <w:rFonts w:ascii="Times New Roman" w:hAnsi="Times New Roman" w:cs="Times New Roman"/>
        </w:rPr>
        <w:t xml:space="preserve">Total bactericidal effect was achieved with dosages of </w:t>
      </w:r>
      <w:r w:rsidR="002B3AD2" w:rsidRPr="00886C9E">
        <w:rPr>
          <w:rFonts w:ascii="Times New Roman" w:hAnsi="Times New Roman" w:cs="Times New Roman"/>
        </w:rPr>
        <w:sym w:font="Symbol" w:char="F0B3"/>
      </w:r>
      <w:r w:rsidR="002B3AD2" w:rsidRPr="00886C9E">
        <w:rPr>
          <w:rFonts w:ascii="Times New Roman" w:hAnsi="Times New Roman" w:cs="Times New Roman"/>
        </w:rPr>
        <w:t xml:space="preserve"> 10 mg/kg/day q24h and suppression of resistance with dosages </w:t>
      </w:r>
      <w:r w:rsidR="002B3AD2" w:rsidRPr="00886C9E">
        <w:rPr>
          <w:rFonts w:ascii="Times New Roman" w:hAnsi="Times New Roman" w:cs="Times New Roman"/>
        </w:rPr>
        <w:sym w:font="Symbol" w:char="F0B3"/>
      </w:r>
      <w:r w:rsidR="002B3AD2" w:rsidRPr="00886C9E">
        <w:rPr>
          <w:rFonts w:ascii="Times New Roman" w:hAnsi="Times New Roman" w:cs="Times New Roman"/>
        </w:rPr>
        <w:t xml:space="preserve"> 30 mg/kg/day q24h. </w:t>
      </w:r>
    </w:p>
    <w:p w14:paraId="764C597D" w14:textId="33E29F08" w:rsidR="00803D5F" w:rsidRPr="00886C9E" w:rsidRDefault="00E10F8B" w:rsidP="006403B3">
      <w:pPr>
        <w:spacing w:line="480" w:lineRule="auto"/>
        <w:jc w:val="both"/>
        <w:rPr>
          <w:rFonts w:ascii="Times" w:hAnsi="Times" w:cs="Times New Roman"/>
        </w:rPr>
      </w:pPr>
      <w:r w:rsidRPr="00886C9E">
        <w:rPr>
          <w:rFonts w:ascii="Times" w:hAnsi="Times" w:cs="Times New Roman"/>
        </w:rPr>
        <w:tab/>
        <w:t xml:space="preserve">The </w:t>
      </w:r>
      <w:r w:rsidR="006B4D5F" w:rsidRPr="00886C9E">
        <w:rPr>
          <w:rFonts w:ascii="Times" w:hAnsi="Times" w:cs="Times New Roman"/>
        </w:rPr>
        <w:t xml:space="preserve">results from the </w:t>
      </w:r>
      <w:r w:rsidRPr="00886C9E">
        <w:rPr>
          <w:rFonts w:ascii="Times" w:hAnsi="Times" w:cs="Times New Roman"/>
        </w:rPr>
        <w:t xml:space="preserve">dose </w:t>
      </w:r>
      <w:r w:rsidR="00777D02" w:rsidRPr="00886C9E">
        <w:rPr>
          <w:rFonts w:ascii="Times" w:hAnsi="Times" w:cs="Times New Roman"/>
        </w:rPr>
        <w:t xml:space="preserve">fractionation </w:t>
      </w:r>
      <w:r w:rsidR="00E86EF5" w:rsidRPr="00886C9E">
        <w:rPr>
          <w:rFonts w:ascii="Times" w:hAnsi="Times" w:cs="Times New Roman"/>
        </w:rPr>
        <w:t>studies are shown in Figure 1</w:t>
      </w:r>
      <w:r w:rsidR="00E27159" w:rsidRPr="00886C9E">
        <w:rPr>
          <w:rFonts w:ascii="Times" w:hAnsi="Times" w:cs="Times New Roman"/>
        </w:rPr>
        <w:t xml:space="preserve">. </w:t>
      </w:r>
      <w:r w:rsidR="00803D5F" w:rsidRPr="00886C9E">
        <w:rPr>
          <w:rFonts w:ascii="Times" w:hAnsi="Times" w:cs="Times New Roman"/>
        </w:rPr>
        <w:t>Non-linear regression analysis</w:t>
      </w:r>
      <w:r w:rsidR="00777D02" w:rsidRPr="00886C9E">
        <w:rPr>
          <w:rFonts w:ascii="Times" w:hAnsi="Times" w:cs="Times New Roman"/>
        </w:rPr>
        <w:t xml:space="preserve"> </w:t>
      </w:r>
      <w:r w:rsidR="00803D5F" w:rsidRPr="00886C9E">
        <w:rPr>
          <w:rFonts w:ascii="Times" w:hAnsi="Times" w:cs="Times New Roman"/>
        </w:rPr>
        <w:t xml:space="preserve">showed a strong correlation between </w:t>
      </w:r>
      <w:proofErr w:type="spellStart"/>
      <w:r w:rsidR="00803D5F" w:rsidRPr="00886C9E">
        <w:rPr>
          <w:rFonts w:ascii="Times" w:hAnsi="Times" w:cs="Times New Roman"/>
          <w:i/>
        </w:rPr>
        <w:t>f</w:t>
      </w:r>
      <w:r w:rsidR="00803D5F" w:rsidRPr="00886C9E">
        <w:rPr>
          <w:rFonts w:ascii="Times" w:hAnsi="Times" w:cs="Times New Roman"/>
        </w:rPr>
        <w:t>C</w:t>
      </w:r>
      <w:r w:rsidR="00803D5F" w:rsidRPr="00886C9E">
        <w:rPr>
          <w:rFonts w:ascii="Times" w:hAnsi="Times" w:cs="Times New Roman"/>
          <w:vertAlign w:val="subscript"/>
        </w:rPr>
        <w:t>max</w:t>
      </w:r>
      <w:proofErr w:type="spellEnd"/>
      <w:r w:rsidR="00803D5F" w:rsidRPr="00886C9E">
        <w:rPr>
          <w:rFonts w:ascii="Times" w:hAnsi="Times" w:cs="Times New Roman"/>
        </w:rPr>
        <w:t xml:space="preserve">: MIC, </w:t>
      </w:r>
      <w:proofErr w:type="spellStart"/>
      <w:proofErr w:type="gramStart"/>
      <w:r w:rsidR="00803D5F" w:rsidRPr="00886C9E">
        <w:rPr>
          <w:rFonts w:ascii="Times" w:hAnsi="Times" w:cs="Times New Roman"/>
          <w:i/>
        </w:rPr>
        <w:t>f</w:t>
      </w:r>
      <w:r w:rsidR="00803D5F" w:rsidRPr="00886C9E">
        <w:rPr>
          <w:rFonts w:ascii="Times" w:hAnsi="Times" w:cs="Times New Roman"/>
        </w:rPr>
        <w:t>AUC:MIC</w:t>
      </w:r>
      <w:proofErr w:type="spellEnd"/>
      <w:proofErr w:type="gramEnd"/>
      <w:r w:rsidR="00803D5F" w:rsidRPr="00886C9E">
        <w:rPr>
          <w:rFonts w:ascii="Times" w:hAnsi="Times" w:cs="Times New Roman"/>
        </w:rPr>
        <w:t xml:space="preserve"> and </w:t>
      </w:r>
      <w:proofErr w:type="spellStart"/>
      <w:r w:rsidR="00803D5F" w:rsidRPr="00886C9E">
        <w:rPr>
          <w:rFonts w:ascii="Times" w:hAnsi="Times" w:cs="Times New Roman"/>
          <w:i/>
        </w:rPr>
        <w:t>f</w:t>
      </w:r>
      <w:r w:rsidR="00803D5F" w:rsidRPr="00886C9E">
        <w:rPr>
          <w:rFonts w:ascii="Times" w:hAnsi="Times" w:cs="Times New Roman"/>
        </w:rPr>
        <w:t>C</w:t>
      </w:r>
      <w:r w:rsidR="00803D5F" w:rsidRPr="00886C9E">
        <w:rPr>
          <w:rFonts w:ascii="Times" w:hAnsi="Times" w:cs="Times New Roman"/>
          <w:vertAlign w:val="subscript"/>
        </w:rPr>
        <w:t>min</w:t>
      </w:r>
      <w:r w:rsidR="00803D5F" w:rsidRPr="00886C9E">
        <w:rPr>
          <w:rFonts w:ascii="Times" w:hAnsi="Times" w:cs="Times New Roman"/>
        </w:rPr>
        <w:t>:MIC</w:t>
      </w:r>
      <w:proofErr w:type="spellEnd"/>
      <w:r w:rsidR="00803D5F" w:rsidRPr="00886C9E">
        <w:rPr>
          <w:rFonts w:ascii="Times" w:hAnsi="Times" w:cs="Times New Roman"/>
          <w:vertAlign w:val="subscript"/>
        </w:rPr>
        <w:t xml:space="preserve"> </w:t>
      </w:r>
      <w:r w:rsidR="00777D02" w:rsidRPr="00886C9E">
        <w:rPr>
          <w:rFonts w:ascii="Times" w:hAnsi="Times" w:cs="Times New Roman"/>
        </w:rPr>
        <w:t>and</w:t>
      </w:r>
      <w:r w:rsidR="00803D5F" w:rsidRPr="00886C9E">
        <w:rPr>
          <w:rFonts w:ascii="Times" w:hAnsi="Times" w:cs="Times New Roman"/>
        </w:rPr>
        <w:t xml:space="preserve"> bacterial killing (</w:t>
      </w:r>
      <w:r w:rsidR="00803D5F" w:rsidRPr="00886C9E">
        <w:rPr>
          <w:rFonts w:ascii="Times" w:hAnsi="Times" w:cs="Times New Roman"/>
          <w:i/>
        </w:rPr>
        <w:t>r</w:t>
      </w:r>
      <w:r w:rsidR="00803D5F" w:rsidRPr="00886C9E">
        <w:rPr>
          <w:rFonts w:ascii="Times" w:hAnsi="Times" w:cs="Times New Roman"/>
          <w:i/>
          <w:vertAlign w:val="superscript"/>
        </w:rPr>
        <w:t>2</w:t>
      </w:r>
      <w:r w:rsidR="00803D5F" w:rsidRPr="00886C9E">
        <w:rPr>
          <w:rFonts w:ascii="Times" w:hAnsi="Times" w:cs="Times New Roman"/>
        </w:rPr>
        <w:t xml:space="preserve"> = 0.92, 0.9 and 0.86 respectively). </w:t>
      </w:r>
      <w:r w:rsidR="00777D02" w:rsidRPr="00886C9E">
        <w:rPr>
          <w:rFonts w:ascii="Times" w:hAnsi="Times" w:cs="Times New Roman"/>
        </w:rPr>
        <w:t>There was also</w:t>
      </w:r>
      <w:r w:rsidR="00803D5F" w:rsidRPr="00886C9E">
        <w:rPr>
          <w:rFonts w:ascii="Times" w:hAnsi="Times" w:cs="Times New Roman"/>
        </w:rPr>
        <w:t xml:space="preserve"> a strong association between </w:t>
      </w:r>
      <w:proofErr w:type="spellStart"/>
      <w:proofErr w:type="gramStart"/>
      <w:r w:rsidR="00803D5F" w:rsidRPr="00886C9E">
        <w:rPr>
          <w:rFonts w:ascii="Times" w:hAnsi="Times" w:cs="Times New Roman"/>
          <w:i/>
        </w:rPr>
        <w:t>f</w:t>
      </w:r>
      <w:r w:rsidR="00803D5F" w:rsidRPr="00886C9E">
        <w:rPr>
          <w:rFonts w:ascii="Times" w:hAnsi="Times" w:cs="Times New Roman"/>
        </w:rPr>
        <w:t>C</w:t>
      </w:r>
      <w:r w:rsidR="00803D5F" w:rsidRPr="00886C9E">
        <w:rPr>
          <w:rFonts w:ascii="Times" w:hAnsi="Times" w:cs="Times New Roman"/>
          <w:vertAlign w:val="subscript"/>
        </w:rPr>
        <w:t>max</w:t>
      </w:r>
      <w:r w:rsidR="00803D5F" w:rsidRPr="00886C9E">
        <w:rPr>
          <w:rFonts w:ascii="Times" w:hAnsi="Times" w:cs="Times New Roman"/>
        </w:rPr>
        <w:t>:MIC</w:t>
      </w:r>
      <w:proofErr w:type="spellEnd"/>
      <w:proofErr w:type="gramEnd"/>
      <w:r w:rsidR="00803D5F" w:rsidRPr="00886C9E">
        <w:rPr>
          <w:rFonts w:ascii="Times" w:hAnsi="Times" w:cs="Times New Roman"/>
        </w:rPr>
        <w:t xml:space="preserve"> and </w:t>
      </w:r>
      <w:proofErr w:type="spellStart"/>
      <w:r w:rsidR="00803D5F" w:rsidRPr="00886C9E">
        <w:rPr>
          <w:rFonts w:ascii="Times" w:hAnsi="Times" w:cs="Times New Roman"/>
          <w:i/>
        </w:rPr>
        <w:t>f</w:t>
      </w:r>
      <w:r w:rsidR="00803D5F" w:rsidRPr="00886C9E">
        <w:rPr>
          <w:rFonts w:ascii="Times" w:hAnsi="Times" w:cs="Times New Roman"/>
        </w:rPr>
        <w:t>AUC:MIC</w:t>
      </w:r>
      <w:proofErr w:type="spellEnd"/>
      <w:r w:rsidR="00803D5F" w:rsidRPr="00886C9E">
        <w:rPr>
          <w:rFonts w:ascii="Times" w:hAnsi="Times" w:cs="Times New Roman"/>
        </w:rPr>
        <w:t xml:space="preserve"> and suppression of </w:t>
      </w:r>
      <w:proofErr w:type="spellStart"/>
      <w:r w:rsidR="00803D5F" w:rsidRPr="00886C9E">
        <w:rPr>
          <w:rFonts w:ascii="Times" w:hAnsi="Times" w:cs="Times New Roman"/>
        </w:rPr>
        <w:t>teicoplanin</w:t>
      </w:r>
      <w:proofErr w:type="spellEnd"/>
      <w:r w:rsidR="00803D5F" w:rsidRPr="00886C9E">
        <w:rPr>
          <w:rFonts w:ascii="Times" w:hAnsi="Times" w:cs="Times New Roman"/>
        </w:rPr>
        <w:t xml:space="preserve"> resistance (</w:t>
      </w:r>
      <w:r w:rsidR="00803D5F" w:rsidRPr="00886C9E">
        <w:rPr>
          <w:rFonts w:ascii="Times" w:hAnsi="Times" w:cs="Times New Roman"/>
          <w:i/>
        </w:rPr>
        <w:t>r</w:t>
      </w:r>
      <w:r w:rsidR="00803D5F" w:rsidRPr="00886C9E">
        <w:rPr>
          <w:rFonts w:ascii="Times" w:hAnsi="Times" w:cs="Times New Roman"/>
          <w:i/>
          <w:vertAlign w:val="superscript"/>
        </w:rPr>
        <w:t xml:space="preserve">2 </w:t>
      </w:r>
      <w:r w:rsidR="00803D5F" w:rsidRPr="00886C9E">
        <w:rPr>
          <w:rFonts w:ascii="Times" w:hAnsi="Times" w:cs="Times New Roman"/>
          <w:vertAlign w:val="superscript"/>
        </w:rPr>
        <w:t xml:space="preserve"> </w:t>
      </w:r>
      <w:r w:rsidR="00803D5F" w:rsidRPr="00886C9E">
        <w:rPr>
          <w:rFonts w:ascii="Times" w:hAnsi="Times" w:cs="Times New Roman"/>
        </w:rPr>
        <w:t>=0.79,</w:t>
      </w:r>
      <w:r w:rsidR="00FD7A81" w:rsidRPr="00886C9E">
        <w:rPr>
          <w:rFonts w:ascii="Times" w:hAnsi="Times" w:cs="Times New Roman"/>
        </w:rPr>
        <w:t xml:space="preserve"> </w:t>
      </w:r>
      <w:r w:rsidR="00803D5F" w:rsidRPr="00886C9E">
        <w:rPr>
          <w:rFonts w:ascii="Times" w:hAnsi="Times" w:cs="Times New Roman"/>
        </w:rPr>
        <w:t>0.95 respectively)</w:t>
      </w:r>
      <w:r w:rsidR="006403B3" w:rsidRPr="00886C9E">
        <w:rPr>
          <w:rFonts w:ascii="Times" w:hAnsi="Times" w:cs="Times New Roman"/>
        </w:rPr>
        <w:t xml:space="preserve">. </w:t>
      </w:r>
      <w:r w:rsidR="006B4D5F" w:rsidRPr="00886C9E">
        <w:rPr>
          <w:rFonts w:ascii="Times" w:hAnsi="Times" w:cs="Times New Roman"/>
        </w:rPr>
        <w:t xml:space="preserve"> </w:t>
      </w:r>
      <w:r w:rsidR="00FD7A81" w:rsidRPr="00886C9E">
        <w:rPr>
          <w:rFonts w:ascii="Times" w:hAnsi="Times" w:cs="Times New Roman"/>
        </w:rPr>
        <w:t>In contrast, a</w:t>
      </w:r>
      <w:r w:rsidR="00803D5F" w:rsidRPr="00886C9E">
        <w:rPr>
          <w:rFonts w:ascii="Times" w:hAnsi="Times" w:cs="Times New Roman"/>
        </w:rPr>
        <w:t xml:space="preserve"> </w:t>
      </w:r>
      <w:r w:rsidR="008B2023" w:rsidRPr="00886C9E">
        <w:rPr>
          <w:rFonts w:ascii="Times" w:hAnsi="Times" w:cs="Times New Roman"/>
        </w:rPr>
        <w:t>weaker</w:t>
      </w:r>
      <w:r w:rsidR="00803D5F" w:rsidRPr="00886C9E">
        <w:rPr>
          <w:rFonts w:ascii="Times" w:hAnsi="Times" w:cs="Times New Roman"/>
        </w:rPr>
        <w:t xml:space="preserve"> </w:t>
      </w:r>
      <w:r w:rsidR="00FD7A81" w:rsidRPr="00886C9E">
        <w:rPr>
          <w:rFonts w:ascii="Times" w:hAnsi="Times" w:cs="Times New Roman"/>
        </w:rPr>
        <w:t xml:space="preserve">relationship </w:t>
      </w:r>
      <w:r w:rsidR="006B4D5F" w:rsidRPr="00886C9E">
        <w:rPr>
          <w:rFonts w:ascii="Times" w:hAnsi="Times" w:cs="Times New Roman"/>
        </w:rPr>
        <w:t xml:space="preserve">was apparent </w:t>
      </w:r>
      <w:r w:rsidR="00803D5F" w:rsidRPr="00886C9E">
        <w:rPr>
          <w:rFonts w:ascii="Times" w:hAnsi="Times" w:cs="Times New Roman"/>
        </w:rPr>
        <w:t xml:space="preserve">between </w:t>
      </w:r>
      <w:proofErr w:type="spellStart"/>
      <w:proofErr w:type="gramStart"/>
      <w:r w:rsidR="00803D5F" w:rsidRPr="00886C9E">
        <w:rPr>
          <w:rFonts w:ascii="Times" w:hAnsi="Times" w:cs="Times New Roman"/>
          <w:i/>
        </w:rPr>
        <w:t>f</w:t>
      </w:r>
      <w:r w:rsidR="00803D5F" w:rsidRPr="00886C9E">
        <w:rPr>
          <w:rFonts w:ascii="Times" w:hAnsi="Times" w:cs="Times New Roman"/>
        </w:rPr>
        <w:t>C</w:t>
      </w:r>
      <w:r w:rsidR="00803D5F" w:rsidRPr="00886C9E">
        <w:rPr>
          <w:rFonts w:ascii="Times" w:hAnsi="Times" w:cs="Times New Roman"/>
          <w:vertAlign w:val="subscript"/>
        </w:rPr>
        <w:t>min</w:t>
      </w:r>
      <w:r w:rsidR="00803D5F" w:rsidRPr="00886C9E">
        <w:rPr>
          <w:rFonts w:ascii="Times" w:hAnsi="Times" w:cs="Times New Roman"/>
        </w:rPr>
        <w:t>:MIC</w:t>
      </w:r>
      <w:proofErr w:type="spellEnd"/>
      <w:proofErr w:type="gramEnd"/>
      <w:r w:rsidR="00803D5F" w:rsidRPr="00886C9E">
        <w:rPr>
          <w:rFonts w:ascii="Times" w:hAnsi="Times" w:cs="Times New Roman"/>
        </w:rPr>
        <w:t xml:space="preserve"> and suppression of </w:t>
      </w:r>
      <w:proofErr w:type="spellStart"/>
      <w:r w:rsidR="00803D5F" w:rsidRPr="00886C9E">
        <w:rPr>
          <w:rFonts w:ascii="Times" w:hAnsi="Times" w:cs="Times New Roman"/>
        </w:rPr>
        <w:t>teicoplanin</w:t>
      </w:r>
      <w:proofErr w:type="spellEnd"/>
      <w:r w:rsidR="00803D5F" w:rsidRPr="00886C9E">
        <w:rPr>
          <w:rFonts w:ascii="Times" w:hAnsi="Times" w:cs="Times New Roman"/>
        </w:rPr>
        <w:t xml:space="preserve"> resistance (</w:t>
      </w:r>
      <w:r w:rsidR="00803D5F" w:rsidRPr="00886C9E">
        <w:rPr>
          <w:rFonts w:ascii="Times" w:hAnsi="Times" w:cs="Times New Roman"/>
          <w:i/>
        </w:rPr>
        <w:t>r</w:t>
      </w:r>
      <w:r w:rsidR="00803D5F" w:rsidRPr="00886C9E">
        <w:rPr>
          <w:rFonts w:ascii="Times" w:hAnsi="Times" w:cs="Times New Roman"/>
          <w:i/>
          <w:vertAlign w:val="superscript"/>
        </w:rPr>
        <w:t>2</w:t>
      </w:r>
      <w:r w:rsidR="00803D5F" w:rsidRPr="00886C9E">
        <w:rPr>
          <w:rFonts w:ascii="Times" w:hAnsi="Times" w:cs="Times New Roman"/>
          <w:vertAlign w:val="superscript"/>
        </w:rPr>
        <w:t xml:space="preserve"> </w:t>
      </w:r>
      <w:r w:rsidR="00803D5F" w:rsidRPr="00886C9E">
        <w:rPr>
          <w:rFonts w:ascii="Times" w:hAnsi="Times" w:cs="Times New Roman"/>
        </w:rPr>
        <w:t>=0.45).</w:t>
      </w:r>
    </w:p>
    <w:p w14:paraId="4924228D" w14:textId="77777777" w:rsidR="002C0BF0" w:rsidRPr="00886C9E" w:rsidRDefault="002C0BF0" w:rsidP="00B92EF8">
      <w:pPr>
        <w:spacing w:line="480" w:lineRule="auto"/>
        <w:ind w:firstLine="708"/>
        <w:jc w:val="both"/>
        <w:rPr>
          <w:rFonts w:ascii="Times" w:hAnsi="Times" w:cs="Times New Roman"/>
        </w:rPr>
      </w:pPr>
    </w:p>
    <w:p w14:paraId="1C972767" w14:textId="55F49A37" w:rsidR="007D4BCA" w:rsidRPr="00886C9E" w:rsidRDefault="005B68F0" w:rsidP="001C79B2">
      <w:pPr>
        <w:spacing w:line="480" w:lineRule="auto"/>
        <w:jc w:val="both"/>
        <w:rPr>
          <w:rFonts w:ascii="Times" w:hAnsi="Times" w:cs="Times New Roman"/>
          <w:i/>
        </w:rPr>
      </w:pPr>
      <w:r w:rsidRPr="00886C9E">
        <w:rPr>
          <w:rFonts w:ascii="Times" w:hAnsi="Times" w:cs="Times New Roman"/>
          <w:i/>
        </w:rPr>
        <w:t>Murine</w:t>
      </w:r>
      <w:r w:rsidR="007D4BCA" w:rsidRPr="00886C9E">
        <w:rPr>
          <w:rFonts w:ascii="Times" w:hAnsi="Times" w:cs="Times New Roman"/>
          <w:i/>
        </w:rPr>
        <w:t xml:space="preserve"> MRSA thigh infection model</w:t>
      </w:r>
    </w:p>
    <w:p w14:paraId="2966E56B" w14:textId="1ECB6941" w:rsidR="009E4449" w:rsidRPr="00886C9E" w:rsidRDefault="005B68F0" w:rsidP="004554E5">
      <w:pPr>
        <w:spacing w:line="480" w:lineRule="auto"/>
        <w:jc w:val="both"/>
        <w:rPr>
          <w:rFonts w:ascii="Times" w:hAnsi="Times" w:cs="Times New Roman"/>
        </w:rPr>
      </w:pPr>
      <w:r w:rsidRPr="00886C9E">
        <w:rPr>
          <w:rFonts w:ascii="Times" w:hAnsi="Times" w:cs="Times New Roman"/>
        </w:rPr>
        <w:tab/>
      </w:r>
      <w:r w:rsidR="003D6C30" w:rsidRPr="00886C9E">
        <w:rPr>
          <w:rFonts w:ascii="Times" w:hAnsi="Times" w:cs="Times New Roman"/>
        </w:rPr>
        <w:t xml:space="preserve">There was </w:t>
      </w:r>
      <w:r w:rsidRPr="00886C9E">
        <w:rPr>
          <w:rFonts w:ascii="Times" w:hAnsi="Times" w:cs="Times New Roman"/>
        </w:rPr>
        <w:t>a dose-dependent decline in total bacterial density</w:t>
      </w:r>
      <w:r w:rsidR="009E4449" w:rsidRPr="00886C9E">
        <w:rPr>
          <w:rFonts w:ascii="Times" w:hAnsi="Times" w:cs="Times New Roman"/>
        </w:rPr>
        <w:t xml:space="preserve"> in the thighs of mice treated with </w:t>
      </w:r>
      <w:proofErr w:type="spellStart"/>
      <w:r w:rsidR="009E4449" w:rsidRPr="00886C9E">
        <w:rPr>
          <w:rFonts w:ascii="Times" w:hAnsi="Times" w:cs="Times New Roman"/>
        </w:rPr>
        <w:t>teicoplanin</w:t>
      </w:r>
      <w:proofErr w:type="spellEnd"/>
      <w:r w:rsidRPr="00886C9E">
        <w:rPr>
          <w:rFonts w:ascii="Times" w:hAnsi="Times" w:cs="Times New Roman"/>
        </w:rPr>
        <w:t xml:space="preserve">. </w:t>
      </w:r>
      <w:proofErr w:type="spellStart"/>
      <w:r w:rsidR="00777D02" w:rsidRPr="00886C9E">
        <w:rPr>
          <w:rFonts w:ascii="Times" w:hAnsi="Times" w:cs="Times New Roman"/>
        </w:rPr>
        <w:t>T</w:t>
      </w:r>
      <w:r w:rsidRPr="00886C9E">
        <w:rPr>
          <w:rFonts w:ascii="Times" w:hAnsi="Times" w:cs="Times New Roman"/>
        </w:rPr>
        <w:t>eicoplanin</w:t>
      </w:r>
      <w:proofErr w:type="spellEnd"/>
      <w:r w:rsidRPr="00886C9E">
        <w:rPr>
          <w:rFonts w:ascii="Times" w:hAnsi="Times" w:cs="Times New Roman"/>
        </w:rPr>
        <w:t xml:space="preserve"> was bactericid</w:t>
      </w:r>
      <w:r w:rsidR="00BC0CAF" w:rsidRPr="00886C9E">
        <w:rPr>
          <w:rFonts w:ascii="Times" w:hAnsi="Times" w:cs="Times New Roman"/>
        </w:rPr>
        <w:t>al (</w:t>
      </w:r>
      <w:r w:rsidR="001B224A" w:rsidRPr="00886C9E">
        <w:rPr>
          <w:rFonts w:ascii="Times" w:hAnsi="Times" w:cs="Times New Roman"/>
        </w:rPr>
        <w:sym w:font="Symbol" w:char="F0B3"/>
      </w:r>
      <w:r w:rsidR="001B224A" w:rsidRPr="00886C9E">
        <w:rPr>
          <w:rFonts w:ascii="Times" w:hAnsi="Times" w:cs="Times New Roman"/>
        </w:rPr>
        <w:t xml:space="preserve"> 2 log</w:t>
      </w:r>
      <w:r w:rsidR="001B224A" w:rsidRPr="00886C9E">
        <w:rPr>
          <w:rFonts w:ascii="Times" w:hAnsi="Times" w:cs="Times New Roman"/>
          <w:vertAlign w:val="subscript"/>
        </w:rPr>
        <w:t>10</w:t>
      </w:r>
      <w:r w:rsidR="001B224A" w:rsidRPr="00886C9E">
        <w:rPr>
          <w:rFonts w:ascii="Times" w:hAnsi="Times" w:cs="Times New Roman"/>
        </w:rPr>
        <w:t xml:space="preserve"> cell kill</w:t>
      </w:r>
      <w:r w:rsidR="00BC0CAF" w:rsidRPr="00886C9E">
        <w:rPr>
          <w:rFonts w:ascii="Times" w:hAnsi="Times" w:cs="Times New Roman"/>
        </w:rPr>
        <w:t>)</w:t>
      </w:r>
      <w:r w:rsidR="001B224A" w:rsidRPr="00886C9E">
        <w:rPr>
          <w:rFonts w:ascii="Times" w:hAnsi="Times" w:cs="Times New Roman"/>
        </w:rPr>
        <w:t xml:space="preserve"> </w:t>
      </w:r>
      <w:r w:rsidR="00777D02" w:rsidRPr="00886C9E">
        <w:rPr>
          <w:rFonts w:ascii="Times" w:hAnsi="Times" w:cs="Times New Roman"/>
        </w:rPr>
        <w:t xml:space="preserve">for </w:t>
      </w:r>
      <w:r w:rsidR="00BC0CAF" w:rsidRPr="00886C9E">
        <w:rPr>
          <w:rFonts w:ascii="Times" w:hAnsi="Times" w:cs="Times New Roman"/>
        </w:rPr>
        <w:t>all regimens</w:t>
      </w:r>
      <w:r w:rsidR="00E27159" w:rsidRPr="00886C9E">
        <w:rPr>
          <w:rFonts w:ascii="Times" w:hAnsi="Times" w:cs="Times New Roman"/>
        </w:rPr>
        <w:t xml:space="preserve">. </w:t>
      </w:r>
      <w:r w:rsidR="009E4449" w:rsidRPr="00886C9E">
        <w:rPr>
          <w:rFonts w:ascii="Times" w:hAnsi="Times" w:cs="Times New Roman"/>
        </w:rPr>
        <w:t xml:space="preserve"> </w:t>
      </w:r>
      <w:r w:rsidR="001B224A" w:rsidRPr="00886C9E">
        <w:rPr>
          <w:rFonts w:ascii="Times" w:hAnsi="Times" w:cs="Times New Roman"/>
        </w:rPr>
        <w:t xml:space="preserve">There was emergence of a resistant sub-population with all regimens investigated </w:t>
      </w:r>
      <w:r w:rsidR="00777D02" w:rsidRPr="00886C9E">
        <w:rPr>
          <w:rFonts w:ascii="Times" w:hAnsi="Times" w:cs="Times New Roman"/>
        </w:rPr>
        <w:t>with the appea</w:t>
      </w:r>
      <w:r w:rsidR="00E86EF5" w:rsidRPr="00886C9E">
        <w:rPr>
          <w:rFonts w:ascii="Times" w:hAnsi="Times" w:cs="Times New Roman"/>
        </w:rPr>
        <w:t>rance of an inverted U (Figure 2</w:t>
      </w:r>
      <w:r w:rsidR="00777D02" w:rsidRPr="00886C9E">
        <w:rPr>
          <w:rFonts w:ascii="Times" w:hAnsi="Times" w:cs="Times New Roman"/>
        </w:rPr>
        <w:t>)</w:t>
      </w:r>
      <w:r w:rsidR="001B224A" w:rsidRPr="00886C9E">
        <w:rPr>
          <w:rFonts w:ascii="Times" w:hAnsi="Times" w:cs="Times New Roman"/>
        </w:rPr>
        <w:t>.</w:t>
      </w:r>
      <w:r w:rsidR="00E27159" w:rsidRPr="00886C9E">
        <w:rPr>
          <w:rFonts w:ascii="Times" w:hAnsi="Times" w:cs="Times New Roman"/>
        </w:rPr>
        <w:t xml:space="preserve"> </w:t>
      </w:r>
    </w:p>
    <w:p w14:paraId="525E613F" w14:textId="77777777" w:rsidR="005E0523" w:rsidRPr="00886C9E" w:rsidRDefault="005E0523" w:rsidP="005E0523">
      <w:pPr>
        <w:spacing w:line="480" w:lineRule="auto"/>
        <w:jc w:val="both"/>
        <w:rPr>
          <w:rFonts w:ascii="Times New Roman" w:hAnsi="Times New Roman" w:cs="Times New Roman"/>
          <w:i/>
        </w:rPr>
      </w:pPr>
      <w:r w:rsidRPr="00886C9E">
        <w:rPr>
          <w:rFonts w:ascii="Times New Roman" w:hAnsi="Times New Roman" w:cs="Times New Roman"/>
          <w:i/>
        </w:rPr>
        <w:t>PK-PD mathematical modelling</w:t>
      </w:r>
    </w:p>
    <w:p w14:paraId="7FE5F9A6" w14:textId="6248254D" w:rsidR="005E0523" w:rsidRPr="00886C9E" w:rsidRDefault="005E0523" w:rsidP="00122E54">
      <w:pPr>
        <w:spacing w:line="480" w:lineRule="auto"/>
        <w:ind w:firstLine="708"/>
        <w:jc w:val="both"/>
        <w:rPr>
          <w:rFonts w:ascii="Times New Roman" w:hAnsi="Times New Roman" w:cs="Times New Roman"/>
        </w:rPr>
      </w:pPr>
      <w:r w:rsidRPr="00886C9E">
        <w:rPr>
          <w:rFonts w:ascii="Times New Roman" w:hAnsi="Times New Roman" w:cs="Times New Roman"/>
        </w:rPr>
        <w:lastRenderedPageBreak/>
        <w:t>The</w:t>
      </w:r>
      <w:r w:rsidR="00122E54" w:rsidRPr="00886C9E">
        <w:rPr>
          <w:rFonts w:ascii="Times New Roman" w:hAnsi="Times New Roman" w:cs="Times New Roman"/>
        </w:rPr>
        <w:t>re was a good</w:t>
      </w:r>
      <w:r w:rsidRPr="00886C9E">
        <w:rPr>
          <w:rFonts w:ascii="Times New Roman" w:hAnsi="Times New Roman" w:cs="Times New Roman"/>
        </w:rPr>
        <w:t xml:space="preserve"> fit of the </w:t>
      </w:r>
      <w:r w:rsidR="00122E54" w:rsidRPr="00886C9E">
        <w:rPr>
          <w:rFonts w:ascii="Times New Roman" w:hAnsi="Times New Roman" w:cs="Times New Roman"/>
        </w:rPr>
        <w:t xml:space="preserve">PK-PD data. </w:t>
      </w:r>
      <w:r w:rsidRPr="00886C9E">
        <w:rPr>
          <w:rFonts w:ascii="Times New Roman" w:hAnsi="Times New Roman" w:cs="Times New Roman"/>
        </w:rPr>
        <w:t xml:space="preserve">For the </w:t>
      </w:r>
      <w:r w:rsidRPr="00886C9E">
        <w:rPr>
          <w:rFonts w:ascii="Times New Roman" w:hAnsi="Times New Roman" w:cs="Times New Roman"/>
          <w:i/>
        </w:rPr>
        <w:t>in vitro</w:t>
      </w:r>
      <w:r w:rsidRPr="00886C9E">
        <w:rPr>
          <w:rFonts w:ascii="Times New Roman" w:hAnsi="Times New Roman" w:cs="Times New Roman"/>
        </w:rPr>
        <w:t xml:space="preserve"> model, the linear regression of observed versus predicted values before and after the Bayesian step had a coefficient of determination of a) </w:t>
      </w:r>
      <w:r w:rsidRPr="00886C9E">
        <w:rPr>
          <w:rFonts w:ascii="Times New Roman" w:hAnsi="Times New Roman" w:cs="Times New Roman"/>
          <w:i/>
        </w:rPr>
        <w:t>r</w:t>
      </w:r>
      <w:r w:rsidRPr="00886C9E">
        <w:rPr>
          <w:rFonts w:ascii="Times New Roman" w:hAnsi="Times New Roman" w:cs="Times New Roman"/>
          <w:i/>
          <w:vertAlign w:val="superscript"/>
        </w:rPr>
        <w:t>2</w:t>
      </w:r>
      <w:r w:rsidRPr="00886C9E">
        <w:rPr>
          <w:rFonts w:ascii="Times New Roman" w:hAnsi="Times New Roman" w:cs="Times New Roman"/>
          <w:vertAlign w:val="superscript"/>
        </w:rPr>
        <w:t xml:space="preserve"> </w:t>
      </w:r>
      <w:r w:rsidRPr="00886C9E">
        <w:rPr>
          <w:rFonts w:ascii="Times New Roman" w:hAnsi="Times New Roman" w:cs="Times New Roman"/>
        </w:rPr>
        <w:t xml:space="preserve">= 0.83 and 0.9, respectively, for the PK data; b) </w:t>
      </w:r>
      <w:r w:rsidRPr="00886C9E">
        <w:rPr>
          <w:rFonts w:ascii="Times New Roman" w:hAnsi="Times New Roman" w:cs="Times New Roman"/>
          <w:i/>
        </w:rPr>
        <w:t>r</w:t>
      </w:r>
      <w:r w:rsidRPr="00886C9E">
        <w:rPr>
          <w:rFonts w:ascii="Times New Roman" w:hAnsi="Times New Roman" w:cs="Times New Roman"/>
          <w:i/>
          <w:vertAlign w:val="superscript"/>
        </w:rPr>
        <w:t>2</w:t>
      </w:r>
      <w:r w:rsidRPr="00886C9E">
        <w:rPr>
          <w:rFonts w:ascii="Times New Roman" w:hAnsi="Times New Roman" w:cs="Times New Roman"/>
          <w:vertAlign w:val="superscript"/>
        </w:rPr>
        <w:t xml:space="preserve"> </w:t>
      </w:r>
      <w:r w:rsidRPr="00886C9E">
        <w:rPr>
          <w:rFonts w:ascii="Times New Roman" w:hAnsi="Times New Roman" w:cs="Times New Roman"/>
        </w:rPr>
        <w:t xml:space="preserve">= 0.55 and 0.7 for the PD data related to the total population and c) </w:t>
      </w:r>
      <w:r w:rsidRPr="00886C9E">
        <w:rPr>
          <w:rFonts w:ascii="Times New Roman" w:hAnsi="Times New Roman" w:cs="Times New Roman"/>
          <w:i/>
        </w:rPr>
        <w:t>r</w:t>
      </w:r>
      <w:r w:rsidRPr="00886C9E">
        <w:rPr>
          <w:rFonts w:ascii="Times New Roman" w:hAnsi="Times New Roman" w:cs="Times New Roman"/>
          <w:i/>
          <w:vertAlign w:val="superscript"/>
        </w:rPr>
        <w:t>2</w:t>
      </w:r>
      <w:r w:rsidRPr="00886C9E">
        <w:rPr>
          <w:rFonts w:ascii="Times New Roman" w:hAnsi="Times New Roman" w:cs="Times New Roman"/>
          <w:vertAlign w:val="superscript"/>
        </w:rPr>
        <w:t xml:space="preserve"> </w:t>
      </w:r>
      <w:r w:rsidRPr="00886C9E">
        <w:rPr>
          <w:rFonts w:ascii="Times New Roman" w:hAnsi="Times New Roman" w:cs="Times New Roman"/>
        </w:rPr>
        <w:t xml:space="preserve">= 0.6 and 0.7 for the PD data related to the resistant bacterial population. For the </w:t>
      </w:r>
      <w:r w:rsidRPr="00886C9E">
        <w:rPr>
          <w:rFonts w:ascii="Times New Roman" w:hAnsi="Times New Roman" w:cs="Times New Roman"/>
          <w:i/>
        </w:rPr>
        <w:t>in vivo</w:t>
      </w:r>
      <w:r w:rsidRPr="00886C9E">
        <w:rPr>
          <w:rFonts w:ascii="Times New Roman" w:hAnsi="Times New Roman" w:cs="Times New Roman"/>
        </w:rPr>
        <w:t xml:space="preserve"> model, the linear regression of the observed-predicted values for the population and for the Bayesian posterior had a coefficient of determination of a) r</w:t>
      </w:r>
      <w:r w:rsidRPr="00886C9E">
        <w:rPr>
          <w:rFonts w:ascii="Times New Roman" w:hAnsi="Times New Roman" w:cs="Times New Roman"/>
          <w:vertAlign w:val="superscript"/>
        </w:rPr>
        <w:t>2</w:t>
      </w:r>
      <w:r w:rsidRPr="00886C9E">
        <w:rPr>
          <w:rFonts w:ascii="Times New Roman" w:hAnsi="Times New Roman" w:cs="Times New Roman"/>
        </w:rPr>
        <w:t xml:space="preserve">=0.87 and 0.99, respectively; b) 0.94 and 0.95 and c) 0.47 and 0.63, all with minimal bias and imprecision. </w:t>
      </w:r>
    </w:p>
    <w:p w14:paraId="2763EFE3" w14:textId="410E72BC" w:rsidR="00122E54" w:rsidRPr="00886C9E" w:rsidRDefault="00122E54" w:rsidP="00122E54">
      <w:pPr>
        <w:spacing w:line="480" w:lineRule="auto"/>
        <w:ind w:firstLine="708"/>
        <w:jc w:val="both"/>
        <w:rPr>
          <w:rFonts w:ascii="Times New Roman" w:hAnsi="Times New Roman" w:cs="Times New Roman"/>
        </w:rPr>
      </w:pPr>
      <w:r w:rsidRPr="00886C9E">
        <w:rPr>
          <w:rFonts w:ascii="Times New Roman" w:hAnsi="Times New Roman" w:cs="Times New Roman"/>
        </w:rPr>
        <w:t>The population PK-PD parameter estimates from the HFIM and the murine thigh model are shown in table 1.</w:t>
      </w:r>
      <w:r w:rsidR="000D51D1" w:rsidRPr="00886C9E">
        <w:rPr>
          <w:rFonts w:ascii="Times New Roman" w:hAnsi="Times New Roman" w:cs="Times New Roman"/>
        </w:rPr>
        <w:t xml:space="preserve"> The estimated t</w:t>
      </w:r>
      <w:r w:rsidR="000D51D1" w:rsidRPr="00886C9E">
        <w:rPr>
          <w:rFonts w:ascii="Times New Roman" w:hAnsi="Times New Roman" w:cs="Times New Roman"/>
          <w:vertAlign w:val="subscript"/>
        </w:rPr>
        <w:t xml:space="preserve">1/2 </w:t>
      </w:r>
      <w:r w:rsidR="000D51D1" w:rsidRPr="00886C9E">
        <w:rPr>
          <w:rFonts w:ascii="Times New Roman" w:hAnsi="Times New Roman" w:cs="Times New Roman"/>
        </w:rPr>
        <w:t xml:space="preserve">of </w:t>
      </w:r>
      <w:proofErr w:type="spellStart"/>
      <w:r w:rsidR="000D51D1" w:rsidRPr="00886C9E">
        <w:rPr>
          <w:rFonts w:ascii="Times New Roman" w:hAnsi="Times New Roman" w:cs="Times New Roman"/>
        </w:rPr>
        <w:t>teicoplanin</w:t>
      </w:r>
      <w:proofErr w:type="spellEnd"/>
      <w:r w:rsidR="000D51D1" w:rsidRPr="00886C9E">
        <w:rPr>
          <w:rFonts w:ascii="Times New Roman" w:hAnsi="Times New Roman" w:cs="Times New Roman"/>
        </w:rPr>
        <w:t xml:space="preserve"> in the HFIM was 8.7 hours.</w:t>
      </w:r>
    </w:p>
    <w:p w14:paraId="5CDD0DB6" w14:textId="77777777" w:rsidR="00122E54" w:rsidRPr="00886C9E" w:rsidRDefault="00122E54" w:rsidP="00122E54">
      <w:pPr>
        <w:spacing w:line="480" w:lineRule="auto"/>
        <w:ind w:firstLine="708"/>
        <w:jc w:val="both"/>
        <w:rPr>
          <w:rFonts w:ascii="Times" w:hAnsi="Times" w:cs="Times New Roman"/>
        </w:rPr>
      </w:pPr>
    </w:p>
    <w:p w14:paraId="5BC6BE6E" w14:textId="77777777" w:rsidR="00122E54" w:rsidRPr="00886C9E" w:rsidRDefault="00122E54" w:rsidP="00122E54">
      <w:pPr>
        <w:spacing w:line="480" w:lineRule="auto"/>
        <w:jc w:val="both"/>
        <w:rPr>
          <w:rFonts w:ascii="Times" w:hAnsi="Times" w:cs="Times New Roman"/>
          <w:i/>
        </w:rPr>
      </w:pPr>
      <w:r w:rsidRPr="00886C9E">
        <w:rPr>
          <w:rFonts w:ascii="Times" w:hAnsi="Times" w:cs="Times New Roman"/>
          <w:i/>
        </w:rPr>
        <w:t>Exposure-effect relationships and optimal targets</w:t>
      </w:r>
    </w:p>
    <w:p w14:paraId="5DE774EF" w14:textId="77777777" w:rsidR="00122E54" w:rsidRPr="00886C9E" w:rsidRDefault="00122E54" w:rsidP="00122E54">
      <w:pPr>
        <w:spacing w:line="480" w:lineRule="auto"/>
        <w:ind w:firstLine="708"/>
        <w:jc w:val="both"/>
        <w:rPr>
          <w:rFonts w:ascii="Times" w:hAnsi="Times" w:cs="Times New Roman"/>
        </w:rPr>
      </w:pPr>
      <w:r w:rsidRPr="00886C9E">
        <w:rPr>
          <w:rFonts w:ascii="Times" w:hAnsi="Times" w:cs="Times New Roman"/>
        </w:rPr>
        <w:t xml:space="preserve">In the HFIM, a </w:t>
      </w:r>
      <w:proofErr w:type="spellStart"/>
      <w:r w:rsidRPr="00886C9E">
        <w:rPr>
          <w:rFonts w:ascii="Times" w:hAnsi="Times" w:cs="Times New Roman"/>
        </w:rPr>
        <w:t>teicoplanin</w:t>
      </w:r>
      <w:proofErr w:type="spellEnd"/>
      <w:r w:rsidRPr="00886C9E">
        <w:rPr>
          <w:rFonts w:ascii="Times" w:hAnsi="Times" w:cs="Times New Roman"/>
        </w:rPr>
        <w:t xml:space="preserve"> </w:t>
      </w:r>
      <w:proofErr w:type="spellStart"/>
      <w:r w:rsidRPr="00886C9E">
        <w:rPr>
          <w:rFonts w:ascii="Times" w:hAnsi="Times" w:cs="Times New Roman"/>
          <w:i/>
        </w:rPr>
        <w:t>f</w:t>
      </w:r>
      <w:r w:rsidRPr="00886C9E">
        <w:rPr>
          <w:rFonts w:ascii="Times" w:hAnsi="Times" w:cs="Times New Roman"/>
        </w:rPr>
        <w:t>AUC</w:t>
      </w:r>
      <w:proofErr w:type="spellEnd"/>
      <w:r w:rsidRPr="00886C9E">
        <w:rPr>
          <w:rFonts w:ascii="Times" w:hAnsi="Times" w:cs="Times New Roman"/>
        </w:rPr>
        <w:t xml:space="preserve">/MIC ratio at steady state </w:t>
      </w:r>
      <w:r w:rsidRPr="00886C9E">
        <w:rPr>
          <w:rFonts w:ascii="Times" w:hAnsi="Times" w:cs="Times New Roman"/>
        </w:rPr>
        <w:sym w:font="Symbol" w:char="F0B3"/>
      </w:r>
      <w:r w:rsidRPr="00886C9E">
        <w:rPr>
          <w:rFonts w:ascii="Times" w:hAnsi="Times" w:cs="Times New Roman"/>
        </w:rPr>
        <w:t xml:space="preserve"> 576 mg*h/L was associated with a 2 log</w:t>
      </w:r>
      <w:r w:rsidRPr="00886C9E">
        <w:rPr>
          <w:rFonts w:ascii="Times" w:hAnsi="Times" w:cs="Times New Roman"/>
          <w:vertAlign w:val="subscript"/>
        </w:rPr>
        <w:t xml:space="preserve">10 </w:t>
      </w:r>
      <w:r w:rsidRPr="00886C9E">
        <w:rPr>
          <w:rFonts w:ascii="Times" w:hAnsi="Times" w:cs="Times New Roman"/>
        </w:rPr>
        <w:t xml:space="preserve">CFU/mL decline in bacterial density and </w:t>
      </w:r>
      <w:r w:rsidRPr="00886C9E">
        <w:rPr>
          <w:rFonts w:ascii="Times" w:hAnsi="Times" w:cs="Times New Roman"/>
        </w:rPr>
        <w:sym w:font="Symbol" w:char="F0B3"/>
      </w:r>
      <w:r w:rsidRPr="00886C9E">
        <w:rPr>
          <w:rFonts w:ascii="Times" w:hAnsi="Times" w:cs="Times New Roman"/>
        </w:rPr>
        <w:t xml:space="preserve"> 1325 was required to suppress the emergence of resistant clones (Figure 1a).  For the resistance studies, a characteristic “inverted U” was observed with maximal amplification of resistance with a </w:t>
      </w:r>
      <w:proofErr w:type="spellStart"/>
      <w:proofErr w:type="gramStart"/>
      <w:r w:rsidRPr="00886C9E">
        <w:rPr>
          <w:rFonts w:ascii="Times" w:hAnsi="Times" w:cs="Times New Roman"/>
          <w:i/>
        </w:rPr>
        <w:t>f</w:t>
      </w:r>
      <w:r w:rsidRPr="00886C9E">
        <w:rPr>
          <w:rFonts w:ascii="Times" w:hAnsi="Times" w:cs="Times New Roman"/>
        </w:rPr>
        <w:t>AUC:MIC</w:t>
      </w:r>
      <w:proofErr w:type="spellEnd"/>
      <w:proofErr w:type="gramEnd"/>
      <w:r w:rsidRPr="00886C9E">
        <w:rPr>
          <w:rFonts w:ascii="Times" w:hAnsi="Times" w:cs="Times New Roman"/>
        </w:rPr>
        <w:t xml:space="preserve"> of approximately 400-600 mg*h/L (Figure 1a). </w:t>
      </w:r>
    </w:p>
    <w:p w14:paraId="725C58C7" w14:textId="3E174C00" w:rsidR="00122E54" w:rsidRPr="00886C9E" w:rsidRDefault="00122E54" w:rsidP="00122E54">
      <w:pPr>
        <w:spacing w:line="480" w:lineRule="auto"/>
        <w:ind w:firstLine="708"/>
        <w:jc w:val="both"/>
        <w:rPr>
          <w:rFonts w:ascii="Times" w:hAnsi="Times" w:cs="Times New Roman"/>
          <w:i/>
        </w:rPr>
      </w:pPr>
      <w:r w:rsidRPr="00886C9E">
        <w:rPr>
          <w:rFonts w:ascii="Times" w:hAnsi="Times" w:cs="Times New Roman"/>
        </w:rPr>
        <w:t xml:space="preserve">Based on the HFIM studies (above), the </w:t>
      </w:r>
      <w:proofErr w:type="gramStart"/>
      <w:r w:rsidRPr="00886C9E">
        <w:rPr>
          <w:rFonts w:ascii="Times" w:hAnsi="Times" w:cs="Times New Roman"/>
        </w:rPr>
        <w:t>AUC:MIC</w:t>
      </w:r>
      <w:proofErr w:type="gramEnd"/>
      <w:r w:rsidRPr="00886C9E">
        <w:rPr>
          <w:rFonts w:ascii="Times" w:hAnsi="Times" w:cs="Times New Roman"/>
        </w:rPr>
        <w:t xml:space="preserve"> was used as the dynamically linked index for both effect and the emergence of resistance in the mouse (Figure 2).  A </w:t>
      </w:r>
      <w:proofErr w:type="spellStart"/>
      <w:r w:rsidRPr="00886C9E">
        <w:rPr>
          <w:rFonts w:ascii="Times" w:hAnsi="Times" w:cs="Times New Roman"/>
        </w:rPr>
        <w:t>teicoplanin</w:t>
      </w:r>
      <w:proofErr w:type="spellEnd"/>
      <w:r w:rsidRPr="00886C9E">
        <w:rPr>
          <w:rFonts w:ascii="Times" w:hAnsi="Times" w:cs="Times New Roman"/>
        </w:rPr>
        <w:t xml:space="preserve"> total drug AUC</w:t>
      </w:r>
      <w:r w:rsidRPr="00886C9E">
        <w:rPr>
          <w:rFonts w:ascii="Times" w:hAnsi="Times" w:cs="Times New Roman"/>
          <w:vertAlign w:val="subscript"/>
        </w:rPr>
        <w:t>0-24</w:t>
      </w:r>
      <w:r w:rsidRPr="00886C9E">
        <w:rPr>
          <w:rFonts w:ascii="Times" w:hAnsi="Times" w:cs="Times New Roman"/>
        </w:rPr>
        <w:t xml:space="preserve">/MIC ratio of </w:t>
      </w:r>
      <w:r w:rsidRPr="00886C9E">
        <w:rPr>
          <w:rFonts w:ascii="Times" w:hAnsi="Times" w:cs="Times New Roman"/>
        </w:rPr>
        <w:sym w:font="Symbol" w:char="F0BB"/>
      </w:r>
      <w:r w:rsidRPr="00886C9E">
        <w:rPr>
          <w:rFonts w:ascii="Times" w:hAnsi="Times" w:cs="Times New Roman"/>
        </w:rPr>
        <w:t xml:space="preserve"> 88.8 and 610.4 mg*h/L was associated with stasis and near maximal bacterial killing (2 log</w:t>
      </w:r>
      <w:r w:rsidRPr="00886C9E">
        <w:rPr>
          <w:rFonts w:ascii="Times" w:hAnsi="Times" w:cs="Times New Roman"/>
          <w:vertAlign w:val="subscript"/>
        </w:rPr>
        <w:t xml:space="preserve">10 </w:t>
      </w:r>
      <w:r w:rsidRPr="00886C9E">
        <w:rPr>
          <w:rFonts w:ascii="Times" w:hAnsi="Times" w:cs="Times New Roman"/>
        </w:rPr>
        <w:t>cell kill), respectively.  A total drug AUC</w:t>
      </w:r>
      <w:r w:rsidRPr="00886C9E">
        <w:rPr>
          <w:rFonts w:ascii="Times" w:hAnsi="Times" w:cs="Times New Roman"/>
          <w:vertAlign w:val="subscript"/>
        </w:rPr>
        <w:t>0-</w:t>
      </w:r>
      <w:proofErr w:type="gramStart"/>
      <w:r w:rsidRPr="00886C9E">
        <w:rPr>
          <w:rFonts w:ascii="Times" w:hAnsi="Times" w:cs="Times New Roman"/>
          <w:vertAlign w:val="subscript"/>
        </w:rPr>
        <w:t>24</w:t>
      </w:r>
      <w:r w:rsidRPr="00886C9E">
        <w:rPr>
          <w:rFonts w:ascii="Times" w:hAnsi="Times" w:cs="Times New Roman"/>
        </w:rPr>
        <w:t>:MIC</w:t>
      </w:r>
      <w:proofErr w:type="gramEnd"/>
      <w:r w:rsidRPr="00886C9E">
        <w:rPr>
          <w:rFonts w:ascii="Times" w:hAnsi="Times" w:cs="Times New Roman"/>
        </w:rPr>
        <w:t xml:space="preserve"> ratio </w:t>
      </w:r>
      <w:r w:rsidRPr="00886C9E">
        <w:rPr>
          <w:rFonts w:ascii="Times" w:hAnsi="Times" w:cs="Times New Roman"/>
        </w:rPr>
        <w:sym w:font="Symbol" w:char="F0B3"/>
      </w:r>
      <w:r w:rsidRPr="00886C9E">
        <w:rPr>
          <w:rFonts w:ascii="Times" w:hAnsi="Times" w:cs="Times New Roman"/>
        </w:rPr>
        <w:t xml:space="preserve"> 1400-1500 mg*h/L was required for near complete suppression of emergence of resistance.  Maximal amplification of resistance was seen with total drug AUC</w:t>
      </w:r>
      <w:r w:rsidRPr="00886C9E">
        <w:rPr>
          <w:rFonts w:ascii="Times" w:hAnsi="Times" w:cs="Times New Roman"/>
          <w:vertAlign w:val="subscript"/>
        </w:rPr>
        <w:t>0-24</w:t>
      </w:r>
      <w:r w:rsidRPr="00886C9E">
        <w:rPr>
          <w:rFonts w:ascii="Times" w:hAnsi="Times" w:cs="Times New Roman"/>
        </w:rPr>
        <w:t>/MIC ratios of 500-700 mg*h/L (Figure 2b).</w:t>
      </w:r>
    </w:p>
    <w:p w14:paraId="0B193E8D" w14:textId="62816A95" w:rsidR="009C7220" w:rsidRPr="00886C9E" w:rsidRDefault="009C7220" w:rsidP="006403B3">
      <w:pPr>
        <w:spacing w:line="480" w:lineRule="auto"/>
        <w:jc w:val="both"/>
        <w:rPr>
          <w:rFonts w:ascii="Times" w:hAnsi="Times" w:cs="Times New Roman"/>
          <w:i/>
        </w:rPr>
      </w:pPr>
      <w:r w:rsidRPr="00886C9E">
        <w:rPr>
          <w:rFonts w:ascii="Times" w:hAnsi="Times" w:cs="Times New Roman"/>
          <w:i/>
        </w:rPr>
        <w:t>Monte Carlo Simulations and PTA analysis</w:t>
      </w:r>
    </w:p>
    <w:p w14:paraId="332869D0" w14:textId="138A4BD9" w:rsidR="00305D87" w:rsidRPr="00886C9E" w:rsidRDefault="00305D87" w:rsidP="006403B3">
      <w:pPr>
        <w:spacing w:line="480" w:lineRule="auto"/>
        <w:ind w:firstLine="708"/>
        <w:jc w:val="both"/>
        <w:rPr>
          <w:rFonts w:ascii="Times" w:hAnsi="Times" w:cs="Times New Roman"/>
        </w:rPr>
      </w:pPr>
      <w:r w:rsidRPr="00886C9E">
        <w:rPr>
          <w:rFonts w:ascii="Times" w:hAnsi="Times" w:cs="Times New Roman"/>
        </w:rPr>
        <w:lastRenderedPageBreak/>
        <w:t>The PTA analys</w:t>
      </w:r>
      <w:r w:rsidR="009E4449" w:rsidRPr="00886C9E">
        <w:rPr>
          <w:rFonts w:ascii="Times" w:hAnsi="Times" w:cs="Times New Roman"/>
        </w:rPr>
        <w:t>e</w:t>
      </w:r>
      <w:r w:rsidRPr="00886C9E">
        <w:rPr>
          <w:rFonts w:ascii="Times" w:hAnsi="Times" w:cs="Times New Roman"/>
        </w:rPr>
        <w:t>s showed that adult and paediatric patients receiving a standard dosage regimen for a target</w:t>
      </w:r>
      <w:r w:rsidR="007F35BB" w:rsidRPr="00886C9E">
        <w:rPr>
          <w:rFonts w:ascii="Times" w:hAnsi="Times" w:cs="Times New Roman"/>
        </w:rPr>
        <w:t xml:space="preserve"> of a</w:t>
      </w:r>
      <w:r w:rsidRPr="00886C9E">
        <w:rPr>
          <w:rFonts w:ascii="Times" w:hAnsi="Times" w:cs="Times New Roman"/>
        </w:rPr>
        <w:t xml:space="preserve"> total AUC/MIC</w:t>
      </w:r>
      <w:r w:rsidR="007F35BB" w:rsidRPr="00886C9E">
        <w:rPr>
          <w:rFonts w:ascii="Times" w:hAnsi="Times" w:cs="Times New Roman"/>
        </w:rPr>
        <w:t xml:space="preserve"> ratio</w:t>
      </w:r>
      <w:r w:rsidRPr="00886C9E">
        <w:rPr>
          <w:rFonts w:ascii="Times" w:hAnsi="Times" w:cs="Times New Roman"/>
        </w:rPr>
        <w:t xml:space="preserve"> of </w:t>
      </w:r>
      <w:r w:rsidR="00A772AA" w:rsidRPr="00886C9E">
        <w:rPr>
          <w:rFonts w:ascii="Times" w:hAnsi="Times" w:cs="Times New Roman"/>
        </w:rPr>
        <w:t>610.4</w:t>
      </w:r>
      <w:r w:rsidRPr="00886C9E">
        <w:rPr>
          <w:rFonts w:ascii="Times" w:hAnsi="Times" w:cs="Times New Roman"/>
        </w:rPr>
        <w:t xml:space="preserve"> wer</w:t>
      </w:r>
      <w:r w:rsidR="007F35BB" w:rsidRPr="00886C9E">
        <w:rPr>
          <w:rFonts w:ascii="Times" w:hAnsi="Times" w:cs="Times New Roman"/>
        </w:rPr>
        <w:t>e</w:t>
      </w:r>
      <w:r w:rsidR="001D5BA8" w:rsidRPr="00886C9E">
        <w:rPr>
          <w:rFonts w:ascii="Times" w:hAnsi="Times" w:cs="Times New Roman"/>
        </w:rPr>
        <w:t xml:space="preserve"> only successfully treated (</w:t>
      </w:r>
      <w:r w:rsidR="001D5BA8" w:rsidRPr="00886C9E">
        <w:rPr>
          <w:rFonts w:ascii="Times" w:hAnsi="Times" w:cs="Times New Roman"/>
        </w:rPr>
        <w:sym w:font="Symbol" w:char="F0B3"/>
      </w:r>
      <w:r w:rsidR="001D5BA8" w:rsidRPr="00886C9E">
        <w:rPr>
          <w:rFonts w:ascii="Times" w:hAnsi="Times" w:cs="Times New Roman"/>
        </w:rPr>
        <w:t xml:space="preserve"> 90</w:t>
      </w:r>
      <w:r w:rsidR="007F35BB" w:rsidRPr="00886C9E">
        <w:rPr>
          <w:rFonts w:ascii="Times" w:hAnsi="Times" w:cs="Times New Roman"/>
        </w:rPr>
        <w:t>% probability of</w:t>
      </w:r>
      <w:r w:rsidRPr="00886C9E">
        <w:rPr>
          <w:rFonts w:ascii="Times" w:hAnsi="Times" w:cs="Times New Roman"/>
        </w:rPr>
        <w:t xml:space="preserve"> success</w:t>
      </w:r>
      <w:r w:rsidR="001D5BA8" w:rsidRPr="00886C9E">
        <w:rPr>
          <w:rFonts w:ascii="Times" w:hAnsi="Times" w:cs="Times New Roman"/>
        </w:rPr>
        <w:t>)</w:t>
      </w:r>
      <w:r w:rsidR="007F35BB" w:rsidRPr="00886C9E">
        <w:rPr>
          <w:rFonts w:ascii="Times" w:hAnsi="Times" w:cs="Times New Roman"/>
        </w:rPr>
        <w:t xml:space="preserve"> </w:t>
      </w:r>
      <w:r w:rsidRPr="00886C9E">
        <w:rPr>
          <w:rFonts w:ascii="Times" w:hAnsi="Times" w:cs="Times New Roman"/>
        </w:rPr>
        <w:t xml:space="preserve">if the MIC of the strain was </w:t>
      </w:r>
      <w:r w:rsidR="00BC21BD" w:rsidRPr="00886C9E">
        <w:rPr>
          <w:rFonts w:ascii="Times" w:hAnsi="Times" w:cs="Times New Roman"/>
        </w:rPr>
        <w:sym w:font="Symbol" w:char="F0A3"/>
      </w:r>
      <w:r w:rsidR="00BC21BD" w:rsidRPr="00886C9E">
        <w:rPr>
          <w:rFonts w:ascii="Times" w:hAnsi="Times" w:cs="Times New Roman"/>
        </w:rPr>
        <w:t xml:space="preserve"> 0.</w:t>
      </w:r>
      <w:r w:rsidR="001D5BA8" w:rsidRPr="00886C9E">
        <w:rPr>
          <w:rFonts w:ascii="Times" w:hAnsi="Times" w:cs="Times New Roman"/>
        </w:rPr>
        <w:t>12</w:t>
      </w:r>
      <w:r w:rsidR="00BC21BD" w:rsidRPr="00886C9E">
        <w:rPr>
          <w:rFonts w:ascii="Times" w:hAnsi="Times" w:cs="Times New Roman"/>
        </w:rPr>
        <w:t>5</w:t>
      </w:r>
      <w:r w:rsidRPr="00886C9E">
        <w:rPr>
          <w:rFonts w:ascii="Times" w:hAnsi="Times" w:cs="Times New Roman"/>
        </w:rPr>
        <w:t xml:space="preserve"> mg/L</w:t>
      </w:r>
      <w:r w:rsidR="001D5BA8" w:rsidRPr="00886C9E">
        <w:rPr>
          <w:rFonts w:ascii="Times" w:hAnsi="Times" w:cs="Times New Roman"/>
        </w:rPr>
        <w:t xml:space="preserve"> in adults and </w:t>
      </w:r>
      <w:r w:rsidR="001D5BA8" w:rsidRPr="00886C9E">
        <w:rPr>
          <w:rFonts w:ascii="Times" w:hAnsi="Times" w:cs="Times New Roman"/>
        </w:rPr>
        <w:sym w:font="Symbol" w:char="F0A3"/>
      </w:r>
      <w:r w:rsidR="001D5BA8" w:rsidRPr="00886C9E">
        <w:rPr>
          <w:rFonts w:ascii="Times" w:hAnsi="Times" w:cs="Times New Roman"/>
        </w:rPr>
        <w:t xml:space="preserve"> 0.064 in children</w:t>
      </w:r>
      <w:r w:rsidRPr="00886C9E">
        <w:rPr>
          <w:rFonts w:ascii="Times" w:hAnsi="Times" w:cs="Times New Roman"/>
        </w:rPr>
        <w:t xml:space="preserve">. </w:t>
      </w:r>
      <w:r w:rsidR="001D5BA8" w:rsidRPr="00886C9E">
        <w:rPr>
          <w:rFonts w:ascii="Times" w:hAnsi="Times" w:cs="Times New Roman"/>
        </w:rPr>
        <w:t xml:space="preserve">The achievement of AUC/MIC targets </w:t>
      </w:r>
      <w:r w:rsidR="009E4449" w:rsidRPr="00886C9E">
        <w:rPr>
          <w:rFonts w:ascii="Times" w:hAnsi="Times" w:cs="Times New Roman"/>
        </w:rPr>
        <w:t xml:space="preserve">required </w:t>
      </w:r>
      <w:r w:rsidR="001D5BA8" w:rsidRPr="00886C9E">
        <w:rPr>
          <w:rFonts w:ascii="Times" w:hAnsi="Times" w:cs="Times New Roman"/>
        </w:rPr>
        <w:t xml:space="preserve">for </w:t>
      </w:r>
      <w:r w:rsidR="001D5BA8" w:rsidRPr="00886C9E">
        <w:rPr>
          <w:rFonts w:ascii="Times" w:hAnsi="Times" w:cs="Times New Roman"/>
          <w:i/>
        </w:rPr>
        <w:t>in vivo</w:t>
      </w:r>
      <w:r w:rsidR="001D5BA8" w:rsidRPr="00886C9E">
        <w:rPr>
          <w:rFonts w:ascii="Times" w:hAnsi="Times" w:cs="Times New Roman"/>
        </w:rPr>
        <w:t xml:space="preserve"> stasis </w:t>
      </w:r>
      <w:r w:rsidR="00243D44" w:rsidRPr="00886C9E">
        <w:rPr>
          <w:rFonts w:ascii="Times" w:hAnsi="Times" w:cs="Times New Roman"/>
        </w:rPr>
        <w:t xml:space="preserve"> (AUC/MIC 88.8) </w:t>
      </w:r>
      <w:r w:rsidR="001D5BA8" w:rsidRPr="00886C9E">
        <w:rPr>
          <w:rFonts w:ascii="Times" w:hAnsi="Times" w:cs="Times New Roman"/>
        </w:rPr>
        <w:t xml:space="preserve">allowed a successful treatment of strains with MICs </w:t>
      </w:r>
      <w:r w:rsidR="001D5BA8" w:rsidRPr="00886C9E">
        <w:rPr>
          <w:rFonts w:ascii="Times" w:hAnsi="Times" w:cs="Times New Roman"/>
        </w:rPr>
        <w:sym w:font="Symbol" w:char="F0A3"/>
      </w:r>
      <w:r w:rsidR="001D5BA8" w:rsidRPr="00886C9E">
        <w:rPr>
          <w:rFonts w:ascii="Times" w:hAnsi="Times" w:cs="Times New Roman"/>
        </w:rPr>
        <w:t xml:space="preserve"> 1 in adults and </w:t>
      </w:r>
      <w:r w:rsidR="001D5BA8" w:rsidRPr="00886C9E">
        <w:rPr>
          <w:rFonts w:ascii="Times" w:hAnsi="Times" w:cs="Times New Roman"/>
        </w:rPr>
        <w:sym w:font="Symbol" w:char="F0A3"/>
      </w:r>
      <w:r w:rsidR="001D5BA8" w:rsidRPr="00886C9E">
        <w:rPr>
          <w:rFonts w:ascii="Times" w:hAnsi="Times" w:cs="Times New Roman"/>
        </w:rPr>
        <w:t xml:space="preserve"> 0.5 in children. </w:t>
      </w:r>
      <w:r w:rsidR="009E4449" w:rsidRPr="00886C9E">
        <w:rPr>
          <w:rFonts w:ascii="Times" w:hAnsi="Times" w:cs="Times New Roman"/>
        </w:rPr>
        <w:t xml:space="preserve"> </w:t>
      </w:r>
      <w:r w:rsidRPr="00886C9E">
        <w:rPr>
          <w:rFonts w:ascii="Times" w:hAnsi="Times" w:cs="Times New Roman"/>
        </w:rPr>
        <w:t xml:space="preserve">If </w:t>
      </w:r>
      <w:r w:rsidR="00980F94" w:rsidRPr="00886C9E">
        <w:rPr>
          <w:rFonts w:ascii="Times" w:hAnsi="Times" w:cs="Times New Roman"/>
        </w:rPr>
        <w:t xml:space="preserve">an </w:t>
      </w:r>
      <w:r w:rsidRPr="00886C9E">
        <w:rPr>
          <w:rFonts w:ascii="Times" w:hAnsi="Times" w:cs="Times New Roman"/>
        </w:rPr>
        <w:t>increased</w:t>
      </w:r>
      <w:r w:rsidR="00243D44" w:rsidRPr="00886C9E">
        <w:rPr>
          <w:rFonts w:ascii="Times" w:hAnsi="Times" w:cs="Times New Roman"/>
        </w:rPr>
        <w:t xml:space="preserve"> </w:t>
      </w:r>
      <w:proofErr w:type="spellStart"/>
      <w:r w:rsidR="00980F94" w:rsidRPr="00886C9E">
        <w:rPr>
          <w:rFonts w:ascii="Times" w:hAnsi="Times" w:cs="Times New Roman"/>
        </w:rPr>
        <w:t>teicoplanin</w:t>
      </w:r>
      <w:proofErr w:type="spellEnd"/>
      <w:r w:rsidR="00980F94" w:rsidRPr="00886C9E">
        <w:rPr>
          <w:rFonts w:ascii="Times" w:hAnsi="Times" w:cs="Times New Roman"/>
        </w:rPr>
        <w:t xml:space="preserve"> dosage</w:t>
      </w:r>
      <w:r w:rsidRPr="00886C9E">
        <w:rPr>
          <w:rFonts w:ascii="Times" w:hAnsi="Times" w:cs="Times New Roman"/>
        </w:rPr>
        <w:t xml:space="preserve"> </w:t>
      </w:r>
      <w:r w:rsidR="00980F94" w:rsidRPr="00886C9E">
        <w:rPr>
          <w:rFonts w:ascii="Times" w:hAnsi="Times" w:cs="Times New Roman"/>
        </w:rPr>
        <w:t>was</w:t>
      </w:r>
      <w:r w:rsidRPr="00886C9E">
        <w:rPr>
          <w:rFonts w:ascii="Times" w:hAnsi="Times" w:cs="Times New Roman"/>
        </w:rPr>
        <w:t xml:space="preserve"> </w:t>
      </w:r>
      <w:r w:rsidR="009E4449" w:rsidRPr="00886C9E">
        <w:rPr>
          <w:rFonts w:ascii="Times" w:hAnsi="Times" w:cs="Times New Roman"/>
        </w:rPr>
        <w:t>used</w:t>
      </w:r>
      <w:r w:rsidR="00980F94" w:rsidRPr="00886C9E">
        <w:rPr>
          <w:rFonts w:ascii="Times" w:hAnsi="Times" w:cs="Times New Roman"/>
        </w:rPr>
        <w:t xml:space="preserve"> along with a pharmacodynamic target of 88.8</w:t>
      </w:r>
      <w:r w:rsidR="009E4449" w:rsidRPr="00886C9E">
        <w:rPr>
          <w:rFonts w:ascii="Times" w:hAnsi="Times" w:cs="Times New Roman"/>
        </w:rPr>
        <w:t>,</w:t>
      </w:r>
      <w:r w:rsidR="001D5BA8" w:rsidRPr="00886C9E">
        <w:rPr>
          <w:rFonts w:ascii="Times" w:hAnsi="Times" w:cs="Times New Roman"/>
        </w:rPr>
        <w:t xml:space="preserve"> </w:t>
      </w:r>
      <w:r w:rsidR="00980F94" w:rsidRPr="00886C9E">
        <w:rPr>
          <w:rFonts w:ascii="Times" w:hAnsi="Times" w:cs="Times New Roman"/>
        </w:rPr>
        <w:t>then a sat</w:t>
      </w:r>
      <w:r w:rsidR="00052F58" w:rsidRPr="00886C9E">
        <w:rPr>
          <w:rFonts w:ascii="Times" w:hAnsi="Times" w:cs="Times New Roman"/>
        </w:rPr>
        <w:t>is</w:t>
      </w:r>
      <w:r w:rsidR="00980F94" w:rsidRPr="00886C9E">
        <w:rPr>
          <w:rFonts w:ascii="Times" w:hAnsi="Times" w:cs="Times New Roman"/>
        </w:rPr>
        <w:t>fact</w:t>
      </w:r>
      <w:r w:rsidR="00052F58" w:rsidRPr="00886C9E">
        <w:rPr>
          <w:rFonts w:ascii="Times" w:hAnsi="Times" w:cs="Times New Roman"/>
        </w:rPr>
        <w:t>o</w:t>
      </w:r>
      <w:r w:rsidR="00980F94" w:rsidRPr="00886C9E">
        <w:rPr>
          <w:rFonts w:ascii="Times" w:hAnsi="Times" w:cs="Times New Roman"/>
        </w:rPr>
        <w:t>rily high probab</w:t>
      </w:r>
      <w:r w:rsidR="00052F58" w:rsidRPr="00886C9E">
        <w:rPr>
          <w:rFonts w:ascii="Times" w:hAnsi="Times" w:cs="Times New Roman"/>
        </w:rPr>
        <w:t>i</w:t>
      </w:r>
      <w:r w:rsidR="00980F94" w:rsidRPr="00886C9E">
        <w:rPr>
          <w:rFonts w:ascii="Times" w:hAnsi="Times" w:cs="Times New Roman"/>
        </w:rPr>
        <w:t>l</w:t>
      </w:r>
      <w:r w:rsidR="00052F58" w:rsidRPr="00886C9E">
        <w:rPr>
          <w:rFonts w:ascii="Times" w:hAnsi="Times" w:cs="Times New Roman"/>
        </w:rPr>
        <w:t>it</w:t>
      </w:r>
      <w:r w:rsidR="00980F94" w:rsidRPr="00886C9E">
        <w:rPr>
          <w:rFonts w:ascii="Times" w:hAnsi="Times" w:cs="Times New Roman"/>
        </w:rPr>
        <w:t>y of target att</w:t>
      </w:r>
      <w:r w:rsidR="00052F58" w:rsidRPr="00886C9E">
        <w:rPr>
          <w:rFonts w:ascii="Times" w:hAnsi="Times" w:cs="Times New Roman"/>
        </w:rPr>
        <w:t>ainment</w:t>
      </w:r>
      <w:r w:rsidR="00980F94" w:rsidRPr="00886C9E">
        <w:rPr>
          <w:rFonts w:ascii="Times" w:hAnsi="Times" w:cs="Times New Roman"/>
        </w:rPr>
        <w:t xml:space="preserve"> was ach</w:t>
      </w:r>
      <w:r w:rsidR="00052F58" w:rsidRPr="00886C9E">
        <w:rPr>
          <w:rFonts w:ascii="Times" w:hAnsi="Times" w:cs="Times New Roman"/>
        </w:rPr>
        <w:t>i</w:t>
      </w:r>
      <w:r w:rsidR="00980F94" w:rsidRPr="00886C9E">
        <w:rPr>
          <w:rFonts w:ascii="Times" w:hAnsi="Times" w:cs="Times New Roman"/>
        </w:rPr>
        <w:t>e</w:t>
      </w:r>
      <w:r w:rsidR="00052F58" w:rsidRPr="00886C9E">
        <w:rPr>
          <w:rFonts w:ascii="Times" w:hAnsi="Times" w:cs="Times New Roman"/>
        </w:rPr>
        <w:t>v</w:t>
      </w:r>
      <w:r w:rsidR="00980F94" w:rsidRPr="00886C9E">
        <w:rPr>
          <w:rFonts w:ascii="Times" w:hAnsi="Times" w:cs="Times New Roman"/>
        </w:rPr>
        <w:t xml:space="preserve">ed for </w:t>
      </w:r>
      <w:r w:rsidR="009E4449" w:rsidRPr="00886C9E">
        <w:rPr>
          <w:rFonts w:ascii="Times" w:hAnsi="Times" w:cs="Times New Roman"/>
        </w:rPr>
        <w:t>MIC values</w:t>
      </w:r>
      <w:r w:rsidR="001D5BA8" w:rsidRPr="00886C9E">
        <w:rPr>
          <w:rFonts w:ascii="Times" w:hAnsi="Times" w:cs="Times New Roman"/>
        </w:rPr>
        <w:t xml:space="preserve"> </w:t>
      </w:r>
      <w:r w:rsidR="001D5BA8" w:rsidRPr="00886C9E">
        <w:rPr>
          <w:rFonts w:ascii="Times" w:hAnsi="Times" w:cs="Times New Roman"/>
        </w:rPr>
        <w:sym w:font="Symbol" w:char="F0A3"/>
      </w:r>
      <w:r w:rsidR="001D5BA8" w:rsidRPr="00886C9E">
        <w:rPr>
          <w:rFonts w:ascii="Times" w:hAnsi="Times" w:cs="Times New Roman"/>
        </w:rPr>
        <w:t xml:space="preserve"> 2</w:t>
      </w:r>
      <w:r w:rsidRPr="00886C9E">
        <w:rPr>
          <w:rFonts w:ascii="Times" w:hAnsi="Times" w:cs="Times New Roman"/>
        </w:rPr>
        <w:t>mg/L</w:t>
      </w:r>
      <w:r w:rsidR="001D5BA8" w:rsidRPr="00886C9E">
        <w:rPr>
          <w:rFonts w:ascii="Times" w:hAnsi="Times" w:cs="Times New Roman"/>
        </w:rPr>
        <w:t xml:space="preserve"> </w:t>
      </w:r>
      <w:r w:rsidR="00980F94" w:rsidRPr="00886C9E">
        <w:rPr>
          <w:rFonts w:ascii="Times" w:hAnsi="Times" w:cs="Times New Roman"/>
        </w:rPr>
        <w:t xml:space="preserve">in </w:t>
      </w:r>
      <w:r w:rsidR="001D5BA8" w:rsidRPr="00886C9E">
        <w:rPr>
          <w:rFonts w:ascii="Times" w:hAnsi="Times" w:cs="Times New Roman"/>
        </w:rPr>
        <w:t>both adults and children</w:t>
      </w:r>
      <w:r w:rsidR="00980F94" w:rsidRPr="00886C9E">
        <w:rPr>
          <w:rFonts w:ascii="Times" w:hAnsi="Times" w:cs="Times New Roman"/>
        </w:rPr>
        <w:t>.</w:t>
      </w:r>
      <w:r w:rsidRPr="00886C9E">
        <w:rPr>
          <w:rFonts w:ascii="Times" w:hAnsi="Times" w:cs="Times New Roman"/>
        </w:rPr>
        <w:t xml:space="preserve"> </w:t>
      </w:r>
      <w:r w:rsidR="00AC249D" w:rsidRPr="00886C9E">
        <w:rPr>
          <w:rFonts w:ascii="Times" w:hAnsi="Times" w:cs="Times New Roman"/>
        </w:rPr>
        <w:t>The</w:t>
      </w:r>
      <w:r w:rsidR="00E64044" w:rsidRPr="00886C9E">
        <w:rPr>
          <w:rFonts w:ascii="Times" w:hAnsi="Times" w:cs="Times New Roman"/>
        </w:rPr>
        <w:t xml:space="preserve"> PTA plots</w:t>
      </w:r>
      <w:r w:rsidR="00707D88" w:rsidRPr="00886C9E">
        <w:rPr>
          <w:rFonts w:ascii="Times" w:hAnsi="Times" w:cs="Times New Roman"/>
        </w:rPr>
        <w:t xml:space="preserve"> and fractional target attainment</w:t>
      </w:r>
      <w:r w:rsidR="00E64044" w:rsidRPr="00886C9E">
        <w:rPr>
          <w:rFonts w:ascii="Times" w:hAnsi="Times" w:cs="Times New Roman"/>
        </w:rPr>
        <w:t xml:space="preserve"> are </w:t>
      </w:r>
      <w:r w:rsidR="00E86EF5" w:rsidRPr="00886C9E">
        <w:rPr>
          <w:rFonts w:ascii="Times" w:hAnsi="Times" w:cs="Times New Roman"/>
        </w:rPr>
        <w:t>shown in figure 3</w:t>
      </w:r>
      <w:r w:rsidRPr="00886C9E">
        <w:rPr>
          <w:rFonts w:ascii="Times" w:hAnsi="Times" w:cs="Times New Roman"/>
        </w:rPr>
        <w:t>.</w:t>
      </w:r>
      <w:r w:rsidR="002F66AF" w:rsidRPr="00886C9E">
        <w:rPr>
          <w:rFonts w:ascii="Times" w:hAnsi="Times" w:cs="Times New Roman"/>
        </w:rPr>
        <w:t xml:space="preserve"> </w:t>
      </w:r>
    </w:p>
    <w:p w14:paraId="5DCC4D52" w14:textId="7173D254" w:rsidR="00F75DB5" w:rsidRPr="00886C9E" w:rsidRDefault="00305D87" w:rsidP="00076776">
      <w:pPr>
        <w:spacing w:line="480" w:lineRule="auto"/>
        <w:jc w:val="both"/>
        <w:rPr>
          <w:rFonts w:ascii="Times" w:hAnsi="Times" w:cs="Times New Roman"/>
        </w:rPr>
      </w:pPr>
      <w:r w:rsidRPr="00886C9E">
        <w:rPr>
          <w:rFonts w:ascii="Times" w:hAnsi="Times" w:cs="Times New Roman"/>
        </w:rPr>
        <w:t xml:space="preserve">Calculations of drug exposures </w:t>
      </w:r>
      <w:r w:rsidR="00E64044" w:rsidRPr="00886C9E">
        <w:rPr>
          <w:rFonts w:ascii="Times" w:hAnsi="Times" w:cs="Times New Roman"/>
        </w:rPr>
        <w:t xml:space="preserve">simulated </w:t>
      </w:r>
      <w:r w:rsidRPr="00886C9E">
        <w:rPr>
          <w:rFonts w:ascii="Times" w:hAnsi="Times" w:cs="Times New Roman"/>
        </w:rPr>
        <w:t>at steady state (days 3-4) in terms of AUC</w:t>
      </w:r>
      <w:r w:rsidRPr="00886C9E">
        <w:rPr>
          <w:rFonts w:ascii="Times" w:hAnsi="Times" w:cs="Times New Roman"/>
          <w:vertAlign w:val="subscript"/>
        </w:rPr>
        <w:t xml:space="preserve">0-24 </w:t>
      </w:r>
      <w:r w:rsidRPr="00886C9E">
        <w:rPr>
          <w:rFonts w:ascii="Times" w:hAnsi="Times" w:cs="Times New Roman"/>
        </w:rPr>
        <w:t xml:space="preserve">and </w:t>
      </w:r>
      <w:proofErr w:type="spellStart"/>
      <w:r w:rsidRPr="00886C9E">
        <w:rPr>
          <w:rFonts w:ascii="Times" w:hAnsi="Times" w:cs="Times New Roman"/>
        </w:rPr>
        <w:t>C</w:t>
      </w:r>
      <w:r w:rsidRPr="00886C9E">
        <w:rPr>
          <w:rFonts w:ascii="Times" w:hAnsi="Times" w:cs="Times New Roman"/>
          <w:vertAlign w:val="subscript"/>
        </w:rPr>
        <w:t>min</w:t>
      </w:r>
      <w:proofErr w:type="spellEnd"/>
      <w:r w:rsidRPr="00886C9E">
        <w:rPr>
          <w:rFonts w:ascii="Times" w:hAnsi="Times" w:cs="Times New Roman"/>
          <w:vertAlign w:val="subscript"/>
        </w:rPr>
        <w:t xml:space="preserve"> </w:t>
      </w:r>
      <w:r w:rsidR="00076776" w:rsidRPr="00886C9E">
        <w:rPr>
          <w:rFonts w:ascii="Times" w:hAnsi="Times" w:cs="Times New Roman"/>
        </w:rPr>
        <w:t>are shown in table 2</w:t>
      </w:r>
      <w:r w:rsidRPr="00886C9E">
        <w:rPr>
          <w:rFonts w:ascii="Times" w:hAnsi="Times" w:cs="Times New Roman"/>
        </w:rPr>
        <w:t xml:space="preserve"> for each </w:t>
      </w:r>
      <w:r w:rsidR="00E64044" w:rsidRPr="00886C9E">
        <w:rPr>
          <w:rFonts w:ascii="Times" w:hAnsi="Times" w:cs="Times New Roman"/>
        </w:rPr>
        <w:t xml:space="preserve">population (adults and children) and </w:t>
      </w:r>
      <w:r w:rsidRPr="00886C9E">
        <w:rPr>
          <w:rFonts w:ascii="Times" w:hAnsi="Times" w:cs="Times New Roman"/>
        </w:rPr>
        <w:t>dosage regimen simulated.</w:t>
      </w:r>
    </w:p>
    <w:p w14:paraId="5E7EB083" w14:textId="77777777" w:rsidR="00243D44" w:rsidRPr="00886C9E" w:rsidRDefault="00243D44" w:rsidP="00076776">
      <w:pPr>
        <w:spacing w:line="480" w:lineRule="auto"/>
        <w:jc w:val="both"/>
        <w:rPr>
          <w:rFonts w:ascii="Times" w:hAnsi="Times" w:cs="Times New Roman"/>
        </w:rPr>
      </w:pPr>
    </w:p>
    <w:p w14:paraId="2014F7A9" w14:textId="77777777" w:rsidR="00023ED4" w:rsidRPr="00886C9E" w:rsidRDefault="00023ED4">
      <w:pPr>
        <w:spacing w:line="480" w:lineRule="auto"/>
        <w:jc w:val="both"/>
        <w:rPr>
          <w:rFonts w:ascii="Times" w:hAnsi="Times" w:cs="Times New Roman"/>
        </w:rPr>
        <w:sectPr w:rsidR="00023ED4" w:rsidRPr="00886C9E" w:rsidSect="001105B2">
          <w:pgSz w:w="11900" w:h="16840"/>
          <w:pgMar w:top="1417" w:right="1701" w:bottom="1417" w:left="1701" w:header="708" w:footer="708" w:gutter="0"/>
          <w:lnNumType w:countBy="1" w:restart="continuous"/>
          <w:cols w:space="708"/>
          <w:docGrid w:linePitch="360"/>
        </w:sectPr>
      </w:pPr>
    </w:p>
    <w:p w14:paraId="5F6DDB1F" w14:textId="7E1D8D6A" w:rsidR="005A0A63" w:rsidRPr="00886C9E" w:rsidRDefault="005A0A63">
      <w:pPr>
        <w:spacing w:line="480" w:lineRule="auto"/>
        <w:jc w:val="both"/>
        <w:rPr>
          <w:rFonts w:ascii="Times" w:hAnsi="Times" w:cs="Times New Roman"/>
        </w:rPr>
      </w:pPr>
      <w:r w:rsidRPr="00886C9E">
        <w:rPr>
          <w:rFonts w:ascii="Times" w:hAnsi="Times" w:cs="Times New Roman"/>
        </w:rPr>
        <w:lastRenderedPageBreak/>
        <w:t>DISCUSSION</w:t>
      </w:r>
      <w:r w:rsidR="00813046" w:rsidRPr="00886C9E">
        <w:rPr>
          <w:rFonts w:ascii="Times" w:hAnsi="Times" w:cs="Times New Roman"/>
        </w:rPr>
        <w:t xml:space="preserve"> </w:t>
      </w:r>
    </w:p>
    <w:p w14:paraId="0C29F758" w14:textId="03327BB9" w:rsidR="00F5554B" w:rsidRPr="00886C9E" w:rsidRDefault="00C210E9">
      <w:pPr>
        <w:spacing w:line="480" w:lineRule="auto"/>
        <w:ind w:firstLine="708"/>
        <w:jc w:val="both"/>
        <w:rPr>
          <w:rFonts w:ascii="Times" w:hAnsi="Times" w:cs="Times New Roman"/>
        </w:rPr>
      </w:pPr>
      <w:r w:rsidRPr="00886C9E">
        <w:rPr>
          <w:rFonts w:ascii="Times" w:hAnsi="Times" w:cs="Times New Roman"/>
        </w:rPr>
        <w:t xml:space="preserve">In this study </w:t>
      </w:r>
      <w:r w:rsidR="0075448C" w:rsidRPr="00886C9E">
        <w:rPr>
          <w:rFonts w:ascii="Times" w:hAnsi="Times" w:cs="Times New Roman"/>
        </w:rPr>
        <w:t xml:space="preserve">the </w:t>
      </w:r>
      <w:proofErr w:type="gramStart"/>
      <w:r w:rsidRPr="00886C9E">
        <w:rPr>
          <w:rFonts w:ascii="Times" w:hAnsi="Times" w:cs="Times New Roman"/>
        </w:rPr>
        <w:t>AUC</w:t>
      </w:r>
      <w:r w:rsidR="001141CA" w:rsidRPr="00886C9E">
        <w:rPr>
          <w:rFonts w:ascii="Times" w:hAnsi="Times" w:cs="Times New Roman"/>
        </w:rPr>
        <w:t>:</w:t>
      </w:r>
      <w:r w:rsidRPr="00886C9E">
        <w:rPr>
          <w:rFonts w:ascii="Times" w:hAnsi="Times" w:cs="Times New Roman"/>
        </w:rPr>
        <w:t>MIC</w:t>
      </w:r>
      <w:proofErr w:type="gramEnd"/>
      <w:r w:rsidRPr="00886C9E">
        <w:rPr>
          <w:rFonts w:ascii="Times" w:hAnsi="Times" w:cs="Times New Roman"/>
        </w:rPr>
        <w:t xml:space="preserve"> ratio was the pharmacodynamic index</w:t>
      </w:r>
      <w:r w:rsidR="00813046" w:rsidRPr="00886C9E">
        <w:rPr>
          <w:rFonts w:ascii="Times" w:hAnsi="Times" w:cs="Times New Roman"/>
        </w:rPr>
        <w:t xml:space="preserve"> that best links the adminis</w:t>
      </w:r>
      <w:r w:rsidR="00A3533E" w:rsidRPr="00886C9E">
        <w:rPr>
          <w:rFonts w:ascii="Times" w:hAnsi="Times" w:cs="Times New Roman"/>
        </w:rPr>
        <w:t>tr</w:t>
      </w:r>
      <w:r w:rsidR="00813046" w:rsidRPr="00886C9E">
        <w:rPr>
          <w:rFonts w:ascii="Times" w:hAnsi="Times" w:cs="Times New Roman"/>
        </w:rPr>
        <w:t xml:space="preserve">ation of </w:t>
      </w:r>
      <w:proofErr w:type="spellStart"/>
      <w:r w:rsidR="00813046" w:rsidRPr="00886C9E">
        <w:rPr>
          <w:rFonts w:ascii="Times" w:hAnsi="Times" w:cs="Times New Roman"/>
        </w:rPr>
        <w:t>teicoplanin</w:t>
      </w:r>
      <w:proofErr w:type="spellEnd"/>
      <w:r w:rsidR="00813046" w:rsidRPr="00886C9E">
        <w:rPr>
          <w:rFonts w:ascii="Times" w:hAnsi="Times" w:cs="Times New Roman"/>
        </w:rPr>
        <w:t xml:space="preserve"> with the antibacterial effect</w:t>
      </w:r>
      <w:r w:rsidRPr="00886C9E">
        <w:rPr>
          <w:rFonts w:ascii="Times" w:hAnsi="Times" w:cs="Times New Roman"/>
        </w:rPr>
        <w:t xml:space="preserve"> </w:t>
      </w:r>
      <w:r w:rsidR="00813046" w:rsidRPr="00886C9E">
        <w:rPr>
          <w:rFonts w:ascii="Times" w:hAnsi="Times" w:cs="Times New Roman"/>
        </w:rPr>
        <w:t xml:space="preserve">and the </w:t>
      </w:r>
      <w:r w:rsidR="00CC2810" w:rsidRPr="00886C9E">
        <w:rPr>
          <w:rFonts w:ascii="Times" w:hAnsi="Times" w:cs="Times New Roman"/>
        </w:rPr>
        <w:t xml:space="preserve">suppression </w:t>
      </w:r>
      <w:r w:rsidR="00813046" w:rsidRPr="00886C9E">
        <w:rPr>
          <w:rFonts w:ascii="Times" w:hAnsi="Times" w:cs="Times New Roman"/>
        </w:rPr>
        <w:t xml:space="preserve"> of resistance. </w:t>
      </w:r>
      <w:r w:rsidR="00E61E21" w:rsidRPr="00886C9E">
        <w:rPr>
          <w:rFonts w:ascii="Times" w:hAnsi="Times" w:cs="Times New Roman"/>
        </w:rPr>
        <w:t>A total drug AUC/MIC ratio of 88.8 mg*h/L and 610.4 results in stasis and a 2-log</w:t>
      </w:r>
      <w:r w:rsidR="00A0562B" w:rsidRPr="00886C9E">
        <w:rPr>
          <w:rFonts w:ascii="Times" w:hAnsi="Times" w:cs="Times New Roman"/>
        </w:rPr>
        <w:t xml:space="preserve"> cell</w:t>
      </w:r>
      <w:r w:rsidR="00E61E21" w:rsidRPr="00886C9E">
        <w:rPr>
          <w:rFonts w:ascii="Times" w:hAnsi="Times" w:cs="Times New Roman"/>
        </w:rPr>
        <w:t xml:space="preserve"> kill, respectively. </w:t>
      </w:r>
      <w:r w:rsidR="008E1373" w:rsidRPr="00886C9E">
        <w:rPr>
          <w:rFonts w:ascii="Times" w:hAnsi="Times" w:cs="Times New Roman"/>
        </w:rPr>
        <w:t>A p</w:t>
      </w:r>
      <w:r w:rsidR="009E64C0" w:rsidRPr="00886C9E">
        <w:rPr>
          <w:rFonts w:ascii="Times" w:hAnsi="Times" w:cs="Times New Roman"/>
        </w:rPr>
        <w:t>revious stud</w:t>
      </w:r>
      <w:r w:rsidR="008E1373" w:rsidRPr="00886C9E">
        <w:rPr>
          <w:rFonts w:ascii="Times" w:hAnsi="Times" w:cs="Times New Roman"/>
        </w:rPr>
        <w:t>y in mice</w:t>
      </w:r>
      <w:r w:rsidR="009E64C0" w:rsidRPr="00886C9E">
        <w:rPr>
          <w:rFonts w:ascii="Times" w:hAnsi="Times" w:cs="Times New Roman"/>
        </w:rPr>
        <w:t xml:space="preserve"> </w:t>
      </w:r>
      <w:r w:rsidR="0089034B" w:rsidRPr="00886C9E">
        <w:rPr>
          <w:rFonts w:ascii="Times" w:hAnsi="Times" w:cs="Times New Roman"/>
        </w:rPr>
        <w:t xml:space="preserve">also </w:t>
      </w:r>
      <w:r w:rsidR="009E64C0" w:rsidRPr="00886C9E">
        <w:rPr>
          <w:rFonts w:ascii="Times" w:hAnsi="Times" w:cs="Times New Roman"/>
        </w:rPr>
        <w:t>sugges</w:t>
      </w:r>
      <w:r w:rsidR="00E61E21" w:rsidRPr="00886C9E">
        <w:rPr>
          <w:rFonts w:ascii="Times" w:hAnsi="Times" w:cs="Times New Roman"/>
        </w:rPr>
        <w:t>t</w:t>
      </w:r>
      <w:r w:rsidR="009A2D33" w:rsidRPr="00886C9E">
        <w:rPr>
          <w:rFonts w:ascii="Times" w:hAnsi="Times" w:cs="Times New Roman"/>
        </w:rPr>
        <w:t>s</w:t>
      </w:r>
      <w:r w:rsidR="009756F3" w:rsidRPr="00886C9E">
        <w:rPr>
          <w:rFonts w:ascii="Times" w:hAnsi="Times" w:cs="Times New Roman"/>
        </w:rPr>
        <w:t xml:space="preserve"> </w:t>
      </w:r>
      <w:proofErr w:type="spellStart"/>
      <w:r w:rsidR="00B97D25" w:rsidRPr="00886C9E">
        <w:rPr>
          <w:rFonts w:ascii="Times" w:hAnsi="Times" w:cs="Times New Roman"/>
        </w:rPr>
        <w:t>teicoplanin</w:t>
      </w:r>
      <w:proofErr w:type="spellEnd"/>
      <w:r w:rsidR="009756F3" w:rsidRPr="00886C9E">
        <w:rPr>
          <w:rFonts w:ascii="Times" w:hAnsi="Times" w:cs="Times New Roman"/>
        </w:rPr>
        <w:t xml:space="preserve"> </w:t>
      </w:r>
      <w:r w:rsidR="00D16578" w:rsidRPr="00886C9E">
        <w:rPr>
          <w:rFonts w:ascii="Times" w:hAnsi="Times" w:cs="Times New Roman"/>
        </w:rPr>
        <w:t>display</w:t>
      </w:r>
      <w:r w:rsidR="009A2D33" w:rsidRPr="00886C9E">
        <w:rPr>
          <w:rFonts w:ascii="Times" w:hAnsi="Times" w:cs="Times New Roman"/>
        </w:rPr>
        <w:t>s</w:t>
      </w:r>
      <w:r w:rsidR="00D16578" w:rsidRPr="00886C9E">
        <w:rPr>
          <w:rFonts w:ascii="Times" w:hAnsi="Times" w:cs="Times New Roman"/>
        </w:rPr>
        <w:t xml:space="preserve"> concentration-depende</w:t>
      </w:r>
      <w:r w:rsidR="00E61E21" w:rsidRPr="00886C9E">
        <w:rPr>
          <w:rFonts w:ascii="Times" w:hAnsi="Times" w:cs="Times New Roman"/>
        </w:rPr>
        <w:t>nt antibacterial activity</w:t>
      </w:r>
      <w:r w:rsidR="009756F3" w:rsidRPr="00886C9E">
        <w:rPr>
          <w:rFonts w:ascii="Times" w:hAnsi="Times" w:cs="Times New Roman"/>
        </w:rPr>
        <w:t xml:space="preserve"> </w:t>
      </w:r>
      <w:r w:rsidR="00D16578" w:rsidRPr="00886C9E">
        <w:rPr>
          <w:rFonts w:ascii="Times" w:hAnsi="Times" w:cs="Times New Roman"/>
        </w:rPr>
        <w:t xml:space="preserve">with </w:t>
      </w:r>
      <w:r w:rsidR="009756F3" w:rsidRPr="00886C9E">
        <w:rPr>
          <w:rFonts w:ascii="Times" w:hAnsi="Times" w:cs="Times New Roman"/>
        </w:rPr>
        <w:t xml:space="preserve">both </w:t>
      </w:r>
      <w:proofErr w:type="spellStart"/>
      <w:r w:rsidR="009756F3" w:rsidRPr="00886C9E">
        <w:rPr>
          <w:rFonts w:ascii="Times" w:hAnsi="Times" w:cs="Times New Roman"/>
        </w:rPr>
        <w:t>C</w:t>
      </w:r>
      <w:r w:rsidR="009756F3" w:rsidRPr="00886C9E">
        <w:rPr>
          <w:rFonts w:ascii="Times" w:hAnsi="Times" w:cs="Times New Roman"/>
          <w:vertAlign w:val="subscript"/>
        </w:rPr>
        <w:t>max</w:t>
      </w:r>
      <w:proofErr w:type="spellEnd"/>
      <w:r w:rsidR="009756F3" w:rsidRPr="00886C9E">
        <w:rPr>
          <w:rFonts w:ascii="Times" w:hAnsi="Times" w:cs="Times New Roman"/>
        </w:rPr>
        <w:t>/MIC and AUC/MIC</w:t>
      </w:r>
      <w:r w:rsidR="00D16578" w:rsidRPr="00886C9E">
        <w:rPr>
          <w:rFonts w:ascii="Times" w:hAnsi="Times" w:cs="Times New Roman"/>
        </w:rPr>
        <w:t xml:space="preserve"> </w:t>
      </w:r>
      <w:r w:rsidR="009A2D33" w:rsidRPr="00886C9E">
        <w:rPr>
          <w:rFonts w:ascii="Times" w:hAnsi="Times" w:cs="Times New Roman"/>
        </w:rPr>
        <w:t xml:space="preserve">identified </w:t>
      </w:r>
      <w:r w:rsidR="00D16578" w:rsidRPr="00886C9E">
        <w:rPr>
          <w:rFonts w:ascii="Times" w:hAnsi="Times" w:cs="Times New Roman"/>
        </w:rPr>
        <w:t>as the relevant pharmacodynamic indices</w:t>
      </w:r>
      <w:r w:rsidR="00243D86" w:rsidRPr="00886C9E">
        <w:rPr>
          <w:rFonts w:ascii="Times" w:hAnsi="Times" w:cs="Times New Roman"/>
        </w:rPr>
        <w:t>.</w:t>
      </w:r>
      <w:r w:rsidR="009756F3" w:rsidRPr="00886C9E">
        <w:rPr>
          <w:rFonts w:ascii="Times" w:hAnsi="Times" w:cs="Times New Roman"/>
        </w:rPr>
        <w:fldChar w:fldCharType="begin" w:fldLock="1"/>
      </w:r>
      <w:r w:rsidR="00912D14" w:rsidRPr="00886C9E">
        <w:rPr>
          <w:rFonts w:ascii="Times" w:hAnsi="Times" w:cs="Times New Roman"/>
        </w:rPr>
        <w:instrText>ADDIN CSL_CITATION { "citationItems" : [ { "id" : "ITEM-1", "itemData" : { "ISSN" : "0066-4804", "PMID" : "10770759", "abstract" : "The emergence of resistance to various antibiotics in pneumococci leaves the glycopeptides as the only antibiotics against which pneumococci have no resistance mechanism. This situation has led to a renewed interest in the use of glycopeptides. It has not yet been possible to conclude which one or more of the pharmacokinetic or pharmacodynamic (PK/PD) parameters are the most important and best predictors for the effects of treatment with glycopeptides in animal models or in humans. We used the mouse peritonitis model with immunocompetent mice and with Staphylococcus aureus and Streptococcus pneumoniae as infective organisms. A wide spectrum of different treatment regimens with vancomycin and teicoplanin was tested to study the pharmacodynamics of these drugs. In studies in which the single dose that protected 50% of lethally infected mice (ED(50)) was given as one dose or was divided into two doses, survival was significantly decreased when the dose was divided. The only statistically significant correlations between the percentage of survival of the mice after 6 days and each of the PK/PD parameters were for peak concentration (C(max))/MIC and S. aureus and for the free fraction of C(max) (C(max-free))/MIC and S. pneumoniae. For S. pneumoniae, the ED(50) for different dosing regimens increased with the number of doses given; e.g., the single-dose ED(50)s for vancomycin and teicoplanin were 0.65 and 0. 45 mg/kg, respectively, but the ED(50)s for dosing regimens with 2-h doses given for 48 h were 6.79 and 5.67 mg/kg, respectively. In experiments with 39 different vancomycin dosing regimens and 40 different teicoplanin dosing regimens against S. pneumoniae, the different PK/PD parameters were analyzed using logistic regression. The C(max-free)/MIC was one of two parameters that best explained the effect for both drugs; for vancomycin, the other important parameter was the AUC/MIC, and for teicoplanin, the other parameter was the time the free fraction of the drug is above the MIC. The effect analyzed as a function of C(max-free)/MIC disclosed thresholds with shifts from almost no effect to full effect at ratios of five to six for vancomycin and two to three for teicoplanin.", "author" : [ { "dropping-particle" : "", "family" : "Knudsen", "given" : "J D", "non-dropping-particle" : "", "parse-names" : false, "suffix" : "" }, { "dropping-particle" : "", "family" : "Fuursted", "given" : "K", "non-dropping-particle" : "", "parse-names" : false, "suffix" : "" }, { "dropping-particle" : "", "family" : "Raber", "given" : "S", "non-dropping-particle" : "", "parse-names" : false, "suffix" : "" }, { "dropping-particle" : "", "family" : "Espersen", "given" : "F", "non-dropping-particle" : "", "parse-names" : false, "suffix" : "" }, { "dropping-particle" : "", "family" : "Frimodt-Moller", "given" : "N", "non-dropping-particle" : "", "parse-names" : false, "suffix" : "" } ], "container-title" : "Antimicrobial agents and chemotherapy", "id" : "ITEM-1", "issue" : "5", "issued" : { "date-parts" : [ [ "2000", "5" ] ] }, "page" : "1247-54", "title" : "Pharmacodynamics of glycopeptides in the mouse peritonitis model of Streptococcus pneumoniae or Staphylococcus aureus infection.", "type" : "article-journal", "volume" : "44" }, "uris" : [ "http://www.mendeley.com/documents/?uuid=1d64b675-4c36-4f54-a0ce-c311d083e2cc" ] } ], "mendeley" : { "formattedCitation" : "&lt;sup&gt;13&lt;/sup&gt;", "plainTextFormattedCitation" : "13", "previouslyFormattedCitation" : "&lt;sup&gt;13&lt;/sup&gt;" }, "properties" : { "noteIndex" : 0 }, "schema" : "https://github.com/citation-style-language/schema/raw/master/csl-citation.json" }</w:instrText>
      </w:r>
      <w:r w:rsidR="009756F3" w:rsidRPr="00886C9E">
        <w:rPr>
          <w:rFonts w:ascii="Times" w:hAnsi="Times" w:cs="Times New Roman"/>
        </w:rPr>
        <w:fldChar w:fldCharType="separate"/>
      </w:r>
      <w:r w:rsidR="00D85CCF" w:rsidRPr="00886C9E">
        <w:rPr>
          <w:rFonts w:ascii="Times" w:hAnsi="Times" w:cs="Times New Roman"/>
          <w:noProof/>
          <w:vertAlign w:val="superscript"/>
        </w:rPr>
        <w:t>13</w:t>
      </w:r>
      <w:r w:rsidR="009756F3" w:rsidRPr="00886C9E">
        <w:rPr>
          <w:rFonts w:ascii="Times" w:hAnsi="Times" w:cs="Times New Roman"/>
        </w:rPr>
        <w:fldChar w:fldCharType="end"/>
      </w:r>
      <w:r w:rsidR="00243D86" w:rsidRPr="00886C9E">
        <w:rPr>
          <w:rFonts w:ascii="Times" w:hAnsi="Times" w:cs="Times New Roman"/>
        </w:rPr>
        <w:t xml:space="preserve"> </w:t>
      </w:r>
      <w:r w:rsidR="00D16578" w:rsidRPr="00886C9E">
        <w:rPr>
          <w:rFonts w:ascii="Times" w:hAnsi="Times" w:cs="Times New Roman"/>
        </w:rPr>
        <w:t>We demonst</w:t>
      </w:r>
      <w:r w:rsidR="008E1373" w:rsidRPr="00886C9E">
        <w:rPr>
          <w:rFonts w:ascii="Times" w:hAnsi="Times" w:cs="Times New Roman"/>
        </w:rPr>
        <w:t>r</w:t>
      </w:r>
      <w:r w:rsidR="00D16578" w:rsidRPr="00886C9E">
        <w:rPr>
          <w:rFonts w:ascii="Times" w:hAnsi="Times" w:cs="Times New Roman"/>
        </w:rPr>
        <w:t>ate that</w:t>
      </w:r>
      <w:r w:rsidR="00EF5673" w:rsidRPr="00886C9E">
        <w:rPr>
          <w:rFonts w:ascii="Times" w:hAnsi="Times" w:cs="Times New Roman"/>
        </w:rPr>
        <w:t xml:space="preserve"> </w:t>
      </w:r>
      <w:r w:rsidR="00D16578" w:rsidRPr="00886C9E">
        <w:rPr>
          <w:rFonts w:ascii="Times" w:hAnsi="Times" w:cs="Times New Roman"/>
        </w:rPr>
        <w:t>all pharmacodyn</w:t>
      </w:r>
      <w:r w:rsidR="00380568" w:rsidRPr="00886C9E">
        <w:rPr>
          <w:rFonts w:ascii="Times" w:hAnsi="Times" w:cs="Times New Roman"/>
        </w:rPr>
        <w:t>a</w:t>
      </w:r>
      <w:r w:rsidR="00D16578" w:rsidRPr="00886C9E">
        <w:rPr>
          <w:rFonts w:ascii="Times" w:hAnsi="Times" w:cs="Times New Roman"/>
        </w:rPr>
        <w:t>m</w:t>
      </w:r>
      <w:r w:rsidR="00380568" w:rsidRPr="00886C9E">
        <w:rPr>
          <w:rFonts w:ascii="Times" w:hAnsi="Times" w:cs="Times New Roman"/>
        </w:rPr>
        <w:t>i</w:t>
      </w:r>
      <w:r w:rsidR="00D16578" w:rsidRPr="00886C9E">
        <w:rPr>
          <w:rFonts w:ascii="Times" w:hAnsi="Times" w:cs="Times New Roman"/>
        </w:rPr>
        <w:t xml:space="preserve">c </w:t>
      </w:r>
      <w:r w:rsidR="00EF5673" w:rsidRPr="00886C9E">
        <w:rPr>
          <w:rFonts w:ascii="Times" w:hAnsi="Times" w:cs="Times New Roman"/>
        </w:rPr>
        <w:t>targets result</w:t>
      </w:r>
      <w:r w:rsidR="00813046" w:rsidRPr="00886C9E">
        <w:rPr>
          <w:rFonts w:ascii="Times" w:hAnsi="Times" w:cs="Times New Roman"/>
        </w:rPr>
        <w:t xml:space="preserve"> in the amplification of </w:t>
      </w:r>
      <w:r w:rsidR="006013BA" w:rsidRPr="00886C9E">
        <w:rPr>
          <w:rFonts w:ascii="Times" w:hAnsi="Times" w:cs="Times New Roman"/>
        </w:rPr>
        <w:t xml:space="preserve">resistant </w:t>
      </w:r>
      <w:r w:rsidR="00813046" w:rsidRPr="00886C9E">
        <w:rPr>
          <w:rFonts w:ascii="Times" w:hAnsi="Times" w:cs="Times New Roman"/>
        </w:rPr>
        <w:t>mutants</w:t>
      </w:r>
      <w:r w:rsidR="00E86EF5" w:rsidRPr="00886C9E">
        <w:rPr>
          <w:rFonts w:ascii="Times" w:hAnsi="Times" w:cs="Times New Roman"/>
        </w:rPr>
        <w:t xml:space="preserve"> (Figure 2</w:t>
      </w:r>
      <w:r w:rsidR="00783CA1" w:rsidRPr="00886C9E">
        <w:rPr>
          <w:rFonts w:ascii="Times" w:hAnsi="Times" w:cs="Times New Roman"/>
        </w:rPr>
        <w:t>).</w:t>
      </w:r>
      <w:r w:rsidR="00813046" w:rsidRPr="00886C9E">
        <w:rPr>
          <w:rFonts w:ascii="Times" w:hAnsi="Times" w:cs="Times New Roman"/>
        </w:rPr>
        <w:t xml:space="preserve"> Thus, the </w:t>
      </w:r>
      <w:r w:rsidR="00592B2A" w:rsidRPr="00886C9E">
        <w:rPr>
          <w:rFonts w:ascii="Times" w:hAnsi="Times" w:cs="Times New Roman"/>
        </w:rPr>
        <w:t>antibacterial</w:t>
      </w:r>
      <w:r w:rsidR="00813046" w:rsidRPr="00886C9E">
        <w:rPr>
          <w:rFonts w:ascii="Times" w:hAnsi="Times" w:cs="Times New Roman"/>
        </w:rPr>
        <w:t xml:space="preserve"> effect </w:t>
      </w:r>
      <w:r w:rsidR="00EF5673" w:rsidRPr="00886C9E">
        <w:rPr>
          <w:rFonts w:ascii="Times" w:hAnsi="Times" w:cs="Times New Roman"/>
        </w:rPr>
        <w:t xml:space="preserve">resulting from </w:t>
      </w:r>
      <w:r w:rsidR="009E64C0" w:rsidRPr="00886C9E">
        <w:rPr>
          <w:rFonts w:ascii="Times" w:hAnsi="Times" w:cs="Times New Roman"/>
        </w:rPr>
        <w:t>clinica</w:t>
      </w:r>
      <w:r w:rsidR="00262BB6" w:rsidRPr="00886C9E">
        <w:rPr>
          <w:rFonts w:ascii="Times" w:hAnsi="Times" w:cs="Times New Roman"/>
        </w:rPr>
        <w:t>lly rele</w:t>
      </w:r>
      <w:r w:rsidR="009E64C0" w:rsidRPr="00886C9E">
        <w:rPr>
          <w:rFonts w:ascii="Times" w:hAnsi="Times" w:cs="Times New Roman"/>
        </w:rPr>
        <w:t>vant drug exposures</w:t>
      </w:r>
      <w:r w:rsidR="00813046" w:rsidRPr="00886C9E">
        <w:rPr>
          <w:rFonts w:ascii="Times" w:hAnsi="Times" w:cs="Times New Roman"/>
        </w:rPr>
        <w:t xml:space="preserve"> </w:t>
      </w:r>
      <w:r w:rsidR="00EF5673" w:rsidRPr="00886C9E">
        <w:rPr>
          <w:rFonts w:ascii="Times" w:hAnsi="Times" w:cs="Times New Roman"/>
        </w:rPr>
        <w:t xml:space="preserve">is </w:t>
      </w:r>
      <w:r w:rsidR="009A2D33" w:rsidRPr="00886C9E">
        <w:rPr>
          <w:rFonts w:ascii="Times" w:hAnsi="Times" w:cs="Times New Roman"/>
        </w:rPr>
        <w:t xml:space="preserve">always </w:t>
      </w:r>
      <w:r w:rsidR="00592B2A" w:rsidRPr="00886C9E">
        <w:rPr>
          <w:rFonts w:ascii="Times" w:hAnsi="Times" w:cs="Times New Roman"/>
        </w:rPr>
        <w:t>tempered</w:t>
      </w:r>
      <w:r w:rsidR="00EF5673" w:rsidRPr="00886C9E">
        <w:rPr>
          <w:rFonts w:ascii="Times" w:hAnsi="Times" w:cs="Times New Roman"/>
        </w:rPr>
        <w:t xml:space="preserve"> by </w:t>
      </w:r>
      <w:r w:rsidR="00592B2A" w:rsidRPr="00886C9E">
        <w:rPr>
          <w:rFonts w:ascii="Times" w:hAnsi="Times" w:cs="Times New Roman"/>
        </w:rPr>
        <w:t>the emergence of drug resistance</w:t>
      </w:r>
      <w:r w:rsidR="00262BB6" w:rsidRPr="00886C9E">
        <w:rPr>
          <w:rFonts w:ascii="Times" w:hAnsi="Times" w:cs="Times New Roman"/>
        </w:rPr>
        <w:t>,</w:t>
      </w:r>
      <w:r w:rsidR="00DE6102" w:rsidRPr="00886C9E">
        <w:rPr>
          <w:rFonts w:ascii="Times" w:hAnsi="Times" w:cs="Times New Roman"/>
        </w:rPr>
        <w:t xml:space="preserve"> and the two are inextricably related</w:t>
      </w:r>
      <w:r w:rsidR="00592B2A" w:rsidRPr="00886C9E">
        <w:rPr>
          <w:rFonts w:ascii="Times" w:hAnsi="Times" w:cs="Times New Roman"/>
        </w:rPr>
        <w:t>.</w:t>
      </w:r>
      <w:r w:rsidR="0089034B" w:rsidRPr="00886C9E">
        <w:rPr>
          <w:rFonts w:ascii="Times" w:hAnsi="Times" w:cs="Times New Roman"/>
        </w:rPr>
        <w:t xml:space="preserve"> Higher </w:t>
      </w:r>
      <w:proofErr w:type="spellStart"/>
      <w:r w:rsidR="0089034B" w:rsidRPr="00886C9E">
        <w:rPr>
          <w:rFonts w:ascii="Times" w:hAnsi="Times" w:cs="Times New Roman"/>
        </w:rPr>
        <w:t>teicoplanin</w:t>
      </w:r>
      <w:proofErr w:type="spellEnd"/>
      <w:r w:rsidR="0089034B" w:rsidRPr="00886C9E">
        <w:rPr>
          <w:rFonts w:ascii="Times" w:hAnsi="Times" w:cs="Times New Roman"/>
        </w:rPr>
        <w:t xml:space="preserve"> exposure thresholds (e.g. </w:t>
      </w:r>
      <w:proofErr w:type="gramStart"/>
      <w:r w:rsidR="0089034B" w:rsidRPr="00886C9E">
        <w:rPr>
          <w:rFonts w:ascii="Times" w:hAnsi="Times" w:cs="Times New Roman"/>
        </w:rPr>
        <w:t>AUC:MIC</w:t>
      </w:r>
      <w:proofErr w:type="gramEnd"/>
      <w:r w:rsidR="0089034B" w:rsidRPr="00886C9E">
        <w:rPr>
          <w:rFonts w:ascii="Times" w:hAnsi="Times" w:cs="Times New Roman"/>
        </w:rPr>
        <w:t xml:space="preserve"> </w:t>
      </w:r>
      <w:r w:rsidR="0089034B" w:rsidRPr="00886C9E">
        <w:rPr>
          <w:rFonts w:ascii="Times" w:hAnsi="Times" w:cs="Times New Roman"/>
        </w:rPr>
        <w:sym w:font="Symbol" w:char="F0BB"/>
      </w:r>
      <w:r w:rsidR="0089034B" w:rsidRPr="00886C9E">
        <w:rPr>
          <w:rFonts w:ascii="Times" w:hAnsi="Times" w:cs="Times New Roman"/>
        </w:rPr>
        <w:t xml:space="preserve"> 1500) that are predicted to prevent the emergence of resistance </w:t>
      </w:r>
      <w:r w:rsidR="005C582A" w:rsidRPr="00886C9E">
        <w:rPr>
          <w:rFonts w:ascii="Times" w:hAnsi="Times" w:cs="Times New Roman"/>
        </w:rPr>
        <w:t>are not obtainable using current regimens</w:t>
      </w:r>
      <w:r w:rsidR="0089034B" w:rsidRPr="00886C9E">
        <w:rPr>
          <w:rFonts w:ascii="Times" w:hAnsi="Times" w:cs="Times New Roman"/>
        </w:rPr>
        <w:t>.</w:t>
      </w:r>
    </w:p>
    <w:p w14:paraId="690A2C70" w14:textId="3425E3F1" w:rsidR="00C647D4" w:rsidRPr="00886C9E" w:rsidRDefault="00D16578" w:rsidP="00CC1C78">
      <w:pPr>
        <w:spacing w:line="480" w:lineRule="auto"/>
        <w:ind w:firstLine="708"/>
        <w:jc w:val="both"/>
        <w:rPr>
          <w:rFonts w:ascii="Times" w:hAnsi="Times" w:cs="Times New Roman"/>
        </w:rPr>
      </w:pPr>
      <w:r w:rsidRPr="00886C9E">
        <w:rPr>
          <w:rFonts w:ascii="Times" w:hAnsi="Times" w:cs="Times New Roman"/>
        </w:rPr>
        <w:t>T</w:t>
      </w:r>
      <w:r w:rsidR="00C647D4" w:rsidRPr="00886C9E">
        <w:rPr>
          <w:rFonts w:ascii="Times" w:hAnsi="Times" w:cs="Times New Roman"/>
        </w:rPr>
        <w:t xml:space="preserve">he magnitude of </w:t>
      </w:r>
      <w:r w:rsidRPr="00886C9E">
        <w:rPr>
          <w:rFonts w:ascii="Times" w:hAnsi="Times" w:cs="Times New Roman"/>
        </w:rPr>
        <w:t xml:space="preserve">drug </w:t>
      </w:r>
      <w:r w:rsidR="00C647D4" w:rsidRPr="00886C9E">
        <w:rPr>
          <w:rFonts w:ascii="Times" w:hAnsi="Times" w:cs="Times New Roman"/>
        </w:rPr>
        <w:t xml:space="preserve">exposure </w:t>
      </w:r>
      <w:r w:rsidRPr="00886C9E">
        <w:rPr>
          <w:rFonts w:ascii="Times" w:hAnsi="Times" w:cs="Times New Roman"/>
        </w:rPr>
        <w:t>that produces</w:t>
      </w:r>
      <w:r w:rsidR="00C647D4" w:rsidRPr="00886C9E">
        <w:rPr>
          <w:rFonts w:ascii="Times" w:hAnsi="Times" w:cs="Times New Roman"/>
        </w:rPr>
        <w:t xml:space="preserve"> sta</w:t>
      </w:r>
      <w:r w:rsidR="0072391E" w:rsidRPr="00886C9E">
        <w:rPr>
          <w:rFonts w:ascii="Times" w:hAnsi="Times" w:cs="Times New Roman"/>
        </w:rPr>
        <w:t>sis in immunocompromised mice</w:t>
      </w:r>
      <w:r w:rsidR="00C647D4" w:rsidRPr="00886C9E">
        <w:rPr>
          <w:rFonts w:ascii="Times" w:hAnsi="Times" w:cs="Times New Roman"/>
        </w:rPr>
        <w:t xml:space="preserve"> </w:t>
      </w:r>
      <w:r w:rsidRPr="00886C9E">
        <w:rPr>
          <w:rFonts w:ascii="Times" w:hAnsi="Times" w:cs="Times New Roman"/>
        </w:rPr>
        <w:t>is relevant for</w:t>
      </w:r>
      <w:r w:rsidR="00C647D4" w:rsidRPr="00886C9E">
        <w:rPr>
          <w:rFonts w:ascii="Times" w:hAnsi="Times" w:cs="Times New Roman"/>
        </w:rPr>
        <w:t xml:space="preserve"> patients with </w:t>
      </w:r>
      <w:r w:rsidR="00C647D4" w:rsidRPr="00886C9E">
        <w:rPr>
          <w:rFonts w:ascii="Times" w:hAnsi="Times" w:cs="Times New Roman"/>
          <w:i/>
        </w:rPr>
        <w:t>S.</w:t>
      </w:r>
      <w:r w:rsidR="00F80CB1" w:rsidRPr="00886C9E">
        <w:rPr>
          <w:rFonts w:ascii="Times" w:hAnsi="Times" w:cs="Times New Roman"/>
          <w:i/>
        </w:rPr>
        <w:t xml:space="preserve"> </w:t>
      </w:r>
      <w:r w:rsidR="00C647D4" w:rsidRPr="00886C9E">
        <w:rPr>
          <w:rFonts w:ascii="Times" w:hAnsi="Times" w:cs="Times New Roman"/>
          <w:i/>
        </w:rPr>
        <w:t>aureus</w:t>
      </w:r>
      <w:r w:rsidR="00C647D4" w:rsidRPr="00886C9E">
        <w:rPr>
          <w:rFonts w:ascii="Times" w:hAnsi="Times" w:cs="Times New Roman"/>
        </w:rPr>
        <w:t xml:space="preserve"> bacter</w:t>
      </w:r>
      <w:r w:rsidR="00823B42" w:rsidRPr="00886C9E">
        <w:rPr>
          <w:rFonts w:ascii="Times" w:hAnsi="Times" w:cs="Times New Roman"/>
        </w:rPr>
        <w:t>ae</w:t>
      </w:r>
      <w:r w:rsidR="00C647D4" w:rsidRPr="00886C9E">
        <w:rPr>
          <w:rFonts w:ascii="Times" w:hAnsi="Times" w:cs="Times New Roman"/>
        </w:rPr>
        <w:t>mia</w:t>
      </w:r>
      <w:r w:rsidR="00823B42" w:rsidRPr="00886C9E">
        <w:rPr>
          <w:rFonts w:ascii="Times" w:hAnsi="Times" w:cs="Times New Roman"/>
        </w:rPr>
        <w:t xml:space="preserve"> (</w:t>
      </w:r>
      <w:proofErr w:type="spellStart"/>
      <w:r w:rsidR="00823B42" w:rsidRPr="00886C9E">
        <w:rPr>
          <w:rFonts w:ascii="Times" w:hAnsi="Times" w:cs="Times New Roman"/>
        </w:rPr>
        <w:t>oritavancin</w:t>
      </w:r>
      <w:proofErr w:type="spellEnd"/>
      <w:r w:rsidR="00823B42" w:rsidRPr="00886C9E">
        <w:rPr>
          <w:rFonts w:ascii="Times" w:hAnsi="Times" w:cs="Times New Roman"/>
        </w:rPr>
        <w:t xml:space="preserve"> and linezolid)</w:t>
      </w:r>
      <w:r w:rsidR="009A2D33" w:rsidRPr="00886C9E">
        <w:rPr>
          <w:rFonts w:ascii="Times" w:hAnsi="Times" w:cs="Times New Roman"/>
        </w:rPr>
        <w:t>,</w:t>
      </w:r>
      <w:r w:rsidR="001B7A0D" w:rsidRPr="00886C9E">
        <w:rPr>
          <w:rFonts w:ascii="Times" w:hAnsi="Times" w:cs="Times New Roman"/>
        </w:rPr>
        <w:t xml:space="preserve"> and complicated skin and skin structure infections (linezolid and </w:t>
      </w:r>
      <w:proofErr w:type="spellStart"/>
      <w:r w:rsidR="001B7A0D" w:rsidRPr="00886C9E">
        <w:rPr>
          <w:rFonts w:ascii="Times" w:hAnsi="Times" w:cs="Times New Roman"/>
        </w:rPr>
        <w:t>tigecycline</w:t>
      </w:r>
      <w:proofErr w:type="spellEnd"/>
      <w:r w:rsidR="001B7A0D" w:rsidRPr="00886C9E">
        <w:rPr>
          <w:rFonts w:ascii="Times" w:hAnsi="Times" w:cs="Times New Roman"/>
        </w:rPr>
        <w:t>).</w:t>
      </w:r>
      <w:r w:rsidR="001B7A0D" w:rsidRPr="00886C9E">
        <w:rPr>
          <w:rFonts w:ascii="Times" w:hAnsi="Times" w:cs="Times New Roman"/>
        </w:rPr>
        <w:fldChar w:fldCharType="begin" w:fldLock="1"/>
      </w:r>
      <w:r w:rsidR="001B7A0D" w:rsidRPr="00886C9E">
        <w:rPr>
          <w:rFonts w:ascii="Times" w:hAnsi="Times" w:cs="Times New Roman"/>
        </w:rPr>
        <w:instrText>ADDIN CSL_CITATION { "citationItems" : [ { "id" : "ITEM-1", "itemData" : { "DOI" : "10.1128/AAC.50.3.994-1000.2006", "ISSN" : "0066-4804", "PMID" : "16495262", "abstract" : "Bloodstream infections due to antimicrobial-resistant Staphylococcus aureus occur with increasing frequency and represent an important cause of morbidity and mortality. To date, the evaluation of pharmacokinetic-pharmacodynamic relationships for efficacy among patients with bacteremia has been limited. The objectives of these analyses were to evaluate relationships between microbiological and clinical responses for patients with S. aureus bacteremia and exposures for oritavancin, a novel bactericidal glycopeptide in development. Bayesian oritavancin exposure predictions, following treatment with 5, 6.5, 8, or 10 mg/kg of body weight/day, were derived using a validated population pharmacokinetic model for 55 patients with S. aureus bacteremia. Using classification and regression tree analysis, a breakpoint of the percentage of the dosing interval duration for which free-drug concentrations were above the MIC (free-drug % time &gt; MIC) of 22% was identified for microbiological response; the probabilities of success greater than or equal to and less than this value were 93% and 76%, respectively. Using logistic regression, a relationship was found between microbiological response and free-drug % time &gt; MIC (odds ratio = 4.42, P = 0.09, and odds ratio = 8.84, P = 0.05, when one patient, a medical outlier, was excluded). A similar relationship was found for clinical response. These results will be valuable in supporting dose selection of oritavancin for patients with S. aureus bacteremia.", "author" : [ { "dropping-particle" : "", "family" : "Bhavnani", "given" : "S. M.", "non-dropping-particle" : "", "parse-names" : false, "suffix" : "" }, { "dropping-particle" : "", "family" : "Passarell", "given" : "J. A.", "non-dropping-particle" : "", "parse-names" : false, "suffix" : "" }, { "dropping-particle" : "", "family" : "Owen", "given" : "J. S.", "non-dropping-particle" : "", "parse-names" : false, "suffix" : "" }, { "dropping-particle" : "", "family" : "Loutit", "given" : "J. S.", "non-dropping-particle" : "", "parse-names" : false, "suffix" : "" }, { "dropping-particle" : "", "family" : "Porter", "given" : "S. B.", "non-dropping-particle" : "", "parse-names" : false, "suffix" : "" }, { "dropping-particle" : "", "family" : "Ambrose", "given" : "P. G.", "non-dropping-particle" : "", "parse-names" : false, "suffix" : "" } ], "container-title" : "Antimicrobial Agents and Chemotherapy", "id" : "ITEM-1", "issue" : "3", "issued" : { "date-parts" : [ [ "2006", "3", "1" ] ] }, "page" : "994-1000", "title" : "Pharmacokinetic-Pharmacodynamic Relationships Describing the Efficacy of Oritavancin in Patients with Staphylococcus aureus Bacteremia", "type" : "article-journal", "volume" : "50" }, "uris" : [ "http://www.mendeley.com/documents/?uuid=ebec57e0-a8aa-3c97-bc26-f4bfc49f9316" ] }, { "id" : "ITEM-2", "itemData" : { "ISSN" : "0066-4804", "PMID" : "12709343", "abstract" : "The pharmacokinetics and pharmacodynamics of oritavancin (LY333328), a glycopeptide antibiotic with concentration-dependent bactericidal activity against gram-positive pathogens, in a neutropenic-mouse thigh model of Staphylococcus aureus infection were studied. Plasma radioequivalent concentrations of oritavancin were determined by using [(14)C]oritavancin at doses ranging from 0.5 to 20 mg/kg of body weight. Peak plasma radioequivalent concentrations after an intravenous dose were 7.27, 12.56, 69.29, and 228.83 micro g/ml for doses of 0.5, 1, 5, and 20 mg/kg, respectively. The maximum concentration of drug in serum (C(max)) and the area under the concentration-time curve (AUC) increased linearly in proportion to the dose. Neither infection nor neutropenia was seen to affect the pharmacokinetics of oritavancin. Intravenous administration resulted in much higher concentrations in plasma than the concentrations obtained with subcutaneous administration. Single-dose dose-ranging studies suggested a sigmoid maximum effect (E(max)) dose-response relationship, with a maximal effect evident at single doses exceeding 2 mg/kg. The oritavancin dose (stasis dose) that resulted in a 24-h colony count similar to the pretreatment count was 1.53 (standard error [SE], 0.35) mg/kg. The single oritavancin dose that resulted in 50% of maximal bacterial killing (ED(50)) was 0.95 (SE, 0.20) mg/kg. Dose fractionation studies suggested that single doses of 0.5, 1, 2, 4, and 16 mg/kg appeared to have greater bactericidal efficacy than the same total dose subdivided and administered multiple times during the 24-h treatment period. When using an inhibitory E(max) model, C(max) appears to correlate better with bactericidal activity than do the time during which the concentration in plasma exceeds the MIC (T&gt;MIC) and AUC. These data suggest that optimal oritavancin dosing strategies will require regimens that favor high C(max) concentrations rather than long periods during which unbound concentrations in plasma exceed the MIC.", "author" : [ { "dropping-particle" : "", "family" : "Boylan", "given" : "Carole J", "non-dropping-particle" : "", "parse-names" : false, "suffix" : "" }, { "dropping-particle" : "", "family" : "Campanale", "given" : "Kristina", "non-dropping-particle" : "", "parse-names" : false, "suffix" : "" }, { "dropping-particle" : "", "family" : "Iversen", "given" : "Philip W", "non-dropping-particle" : "", "parse-names" : false, "suffix" : "" }, { "dropping-particle" : "", "family" : "Phillips", "given" : "Diane L", "non-dropping-particle" : "", "parse-names" : false, "suffix" : "" }, { "dropping-particle" : "", "family" : "Zeckel", "given" : "Michael L", "non-dropping-particle" : "", "parse-names" : false, "suffix" : "" }, { "dropping-particle" : "", "family" : "Parr", "given" : "Thomas R", "non-dropping-particle" : "", "parse-names" : false, "suffix" : "" } ], "container-title" : "Antimicrobial agents and chemotherapy", "id" : "ITEM-2", "issue" : "5", "issued" : { "date-parts" : [ [ "2003", "5" ] ] }, "page" : "1700-6", "title" : "Pharmacodynamics of oritavancin (LY333328) in a neutropenic-mouse thigh model of Staphylococcus aureus infection.", "type" : "article-journal", "volume" : "47" }, "uris" : [ "http://www.mendeley.com/documents/?uuid=2b6935ce-8e6f-3d60-903c-ceb8a00a952b" ] }, { "id" : "ITEM-3", "itemData" : { "DOI" : "10.2165/00003088-200342150-00007", "ISSN" : "0312-5963", "PMID" : "14674791", "abstract" : "OBJECTIVE To characterise the pharmacokinetic-pharmacodynamic relationships for linezolid efficacy. DESIGN AND STUDY POPULATION Retrospective nonblinded analysis of severely debilitated adult patients with numerous comorbid conditions and complicated infections enrolled under the manufacturer's compassionate use programme. METHODS Patients received intravenous or oral linezolid 600 mg every 12 hours. Plasma concentrations were obtained and a multicompartmental pharmacokinetic model was fitted. Numerical integration of the fitted functions provided the area under the concentration-time curve over 24 hours (AUC), the ratio of AUC to minimum inhibitory concentration (AUC/MIC) and the percentage of time that plasma concentrations exceeded the MIC (%T&gt;MIC). MAIN OUTCOME MEASURES Modelled pharmacodynamic outcomes of efficacy included probabilities of eradication and clinical cure (multifactorial logistic regression, nonparametric tree-based modelling, nonlinear regression) and time to bacterial eradication (Kaplan-Meier and Cox proportional hazards regression). Factors considered included AUC/MIC, %T&gt;MIC, site of infection, bacterial species and MIC, and other medical conditions. RESULTS There were 288 cases evaluable by at least one of the efficacy outcomes. Both %T&gt;MIC and AUC/MIC were highly correlated (Spearman r2 = 0.868). In our analyses, within specific infection sites, the probability of eradication and clinical cure appeared to be related to AUC/MIC (eradication: bacteraemia, skin and skin structure infection [SSSI], lower respiratory tract infection [LRTI], bone infection; clinical cure: bacteraemia, LRTI) and %T&gt;MIC (eradication: bacteraemia, SSSI, LRTI; clinical cure: bacteraemia, LRTI). Time to bacterial eradication for bacteraemias appeared to be related to the AUC, %T&gt;MIC and AUC/MIC. For most sites, AUC/MIC and %T&gt;MIC models performed similarly. CONCLUSIONS Higher success rates for linezolid may occur at AUC/MIC values of 80-120 for bacteraemia, LRTI and SSSI. Chance of success in bacteraemia, LRTI and SSSI also appear to be higher when concentrations remain above the MIC for the entire dosing interval.", "author" : [ { "dropping-particle" : "", "family" : "Rayner", "given" : "Craig R", "non-dropping-particle" : "", "parse-names" : false, "suffix" : "" }, { "dropping-particle" : "", "family" : "Forrest", "given" : "Alan", "non-dropping-particle" : "", "parse-names" : false, "suffix" : "" }, { "dropping-particle" : "", "family" : "Meagher", "given" : "Alison K", "non-dropping-particle" : "", "parse-names" : false, "suffix" : "" }, { "dropping-particle" : "", "family" : "Birmingham", "given" : "Mary C", "non-dropping-particle" : "", "parse-names" : false, "suffix" : "" }, { "dropping-particle" : "", "family" : "Schentag", "given" : "Jerome J", "non-dropping-particle" : "", "parse-names" : false, "suffix" : "" } ], "container-title" : "Clinical Pharmacokinetics", "id" : "ITEM-3", "issue" : "15", "issued" : { "date-parts" : [ [ "2003" ] ] }, "page" : "1411-1423", "title" : "Clinical Pharmacodynamics of Linezolid in Seriously Ill Patients Treated in a Compassionate Use Programme", "type" : "article-journal", "volume" : "42" }, "uris" : [ "http://www.mendeley.com/documents/?uuid=49b6f5dd-5911-3e59-89f9-9df9b9c09cf3" ] }, { "id" : "ITEM-4", "itemData" : { "ISSN" : "0066-4804", "PMID" : "12384354", "abstract" : "Linezolid is a new oxazolidinone with activity against gram-positive cocci. We determined the in vivo activity of linezolid against four strains of Staphylococcus aureus (two methicillin-susceptible S. aureus [MSSA] strains and two methicillin-resistant S. aureus strains) and one penicillin-susceptible Streptococcus pneumoniae (PSSP) strain, two penicillin-intermediate S. pneumoniae strains, and five penicillin-resistant S. pneumoniae strains. The mice had 10(6.3) to 10(7.7) CFU/thigh before therapy and were then treated for 24 h with 5 to 1,280 mg of linezolid/kg divided into 1, 2, 4, 8, or 16 doses. The killing activities after 4 h of therapy ranged from 2.4 to 5.0 log(10) CFU/thigh against S. pneumoniae and 1.35 to 2.2 log(10) CFU/thigh against S. aureus. Increasing doses produced minimal concentration-dependent killing; doses of 20 and 80 mg/kg produced no in vivo postantibiotic effects (PAEs) with PSSP and modest PAEs (3.4 and 3.2 h) with MSSA. Pharmacokinetic studies at doses of 20 and 80 mg/kg by high-pressure liquid chromatography analysis exhibited peak dose values of 0.68 and 0.71 and elimination half-lives of 1.02 and 1.00 h. Linezolid MICs ranged from 0.5 to 1.0 micro g/ml for S. pneumoniae and from 1.0 to 4.0 micro g/ml for S. aureus. A sigmoid dose-response model was used to estimate the dose required to achieve a net bacteriostatic effect over 24 h. Static doses against S. pneumoniae ranged from 22.2 to 97.1 mg/kg/24 h and from 133 to 167 mg/kg/24 h for S. aureus. The 24-h area under the concentration-time curve (AUC)/MIC ratio was the major parameter determining the efficacy of linezolid against PSSP (R(2) = 82% for AUC/MIC versus 57% for T&gt;MIC and 59% for the peak level in serum/MIC [peak/MIC]). It was difficult to determine the most relevant pharmacokinetic/pharmacodynamic parameter with S. aureus, although the outcomes correlated slightly better with the 24-h AUC/MIC ratio (R(2) = 75%) than with the other parameters (T&gt;MIC R(2) = 75% and peak/MIC R(2) = 65%). The 24-h AUC/MIC ratio required for a bacteriostatic effect with linezolid varied from 22 to 97 (mean = 48) for pneumococci and from 39 to 167 (mean = 83) for staphylococci. Based upon a pharmacokinetic goal of a 24-h AUC/MIC of 50 to 100, a dosage regimen of 600 mg given either intravenously or orally twice daily would achieve success against organisms with MICs as high as 2 to 4 micro g/ml.", "author" : [ { "dropping-particle" : "", "family" : "Andes", "given" : "D", "non-dropping-particle" : "", "parse-names" : false, "suffix" : "" }, { "dropping-particle" : "", "family" : "Ogtrop", "given" : "M L", "non-dropping-particle" : "van", "parse-names" : false, "suffix" : "" }, { "dropping-particle" : "", "family" : "Peng", "given" : "J", "non-dropping-particle" : "", "parse-names" : false, "suffix" : "" }, { "dropping-particle" : "", "family" : "Craig", "given" : "W A", "non-dropping-particle" : "", "parse-names" : false, "suffix" : "" } ], "container-title" : "Antimicrobial agents and chemotherapy", "id" : "ITEM-4", "issue" : "11", "issued" : { "date-parts" : [ [ "2002", "11" ] ] }, "page" : "3484-9", "title" : "In vivo pharmacodynamics of a new oxazolidinone (linezolid).", "type" : "article-journal", "volume" : "46" }, "uris" : [ "http://www.mendeley.com/documents/?uuid=3f36d937-d537-3f10-abbb-bb8a565a096a" ] }, { "id" : "ITEM-5", "itemData" : { "DOI" : "10.1086/510079", "ISBN" : "1537-6591 (Electronic)\\n1058-4838 (Linking)", "ISSN" : "1537-6591", "PMID" : "17143821", "abstract" : "Since the advent of the modern era of antimicrobial chemotherapy in the 1930s, animal infection models have allowed for the in vivo evaluation of antimicrobial agents for the treatment of experimentally induced infection. Today, animal pharmacokinetic-pharmacodynamic (PK-PD) infection models serve as a cornerstone of the preclinical assessment process for antibacterial agents and dose and dosing interval selection, as decision support for setting in vitro susceptibility breakpoints, and, finally, for the evaluation of the meaning of in vitro resistance. Over the past 15 years, considerable PK-PD data have been derived from infected patients for many classes of antimicrobial agents. These data provide the opportunity to confirm knowledge gained from animal PK-PD infection models.", "author" : [ { "dropping-particle" : "", "family" : "Ambrose", "given" : "Paul G", "non-dropping-particle" : "", "parse-names" : false, "suffix" : "" }, { "dropping-particle" : "", "family" : "Bhavnani", "given" : "Sujata M", "non-dropping-particle" : "", "parse-names" : false, "suffix" : "" }, { "dropping-particle" : "", "family" : "Rubino", "given" : "Christopher M", "non-dropping-particle" : "", "parse-names" : false, "suffix" : "" }, { "dropping-particle" : "", "family" : "Louie", "given" : "Arnold", "non-dropping-particle" : "", "parse-names" : false, "suffix" : "" }, { "dropping-particle" : "", "family" : "Gumbo", "given" : "Tawanda", "non-dropping-particle" : "", "parse-names" : false, "suffix" : "" }, { "dropping-particle" : "", "family" : "Forrest", "given" : "Alan", "non-dropping-particle" : "", "parse-names" : false, "suffix" : "" }, { "dropping-particle" : "", "family" : "Drusano", "given" : "George L", "non-dropping-particle" : "", "parse-names" : false, "suffix" : "" } ], "container-title" : "Clinical infectious diseases : an official publication of the Infectious Diseases Society of America", "id" : "ITEM-5", "issued" : { "date-parts" : [ [ "2007" ] ] }, "page" : "79-86", "title" : "Pharmacokinetics-pharmacodynamics of antimicrobial therapy: it's not just for mice anymore.", "type" : "article-journal", "volume" : "44" }, "uris" : [ "http://www.mendeley.com/documents/?uuid=fa291f01-945d-40fa-b228-9ee8292685e0" ] }, { "id" : "ITEM-6", "itemData" : { "ISSN" : "0066-4804", "PMID" : "10722495", "abstract" : "The in vivo pharmacodynamic activities of two glycylcyclines (GAR-936 and WAY 152,288) were assessed in an experimental murine thigh infection model in neutropenic mice. Mice were infected with one of several strains of Streptococcus pneumoniae, Staphylococcus aureus, Escherichia coli, or Klebsiella pneumoniae. Most infections were treated with a twice-daily dosing schedule, with administration of 0.75 to 192 mg of GAR-936 or WAY 152,288 per kg of body weight. A maximum-effect dose-response model was used to calculate the dose that produced a net bacteriostatic effect over 24 h of therapy. This dose was called the bacteriostatic dose. More extensive dosing studies were performed with S. pneumoniae 1199, E. coli ATCC 25922, and K. pneumoniae ATCC 43816, with doses being given as one, two, four, or eight equal doses over a period of 24 h. The dosing schedules were designed in order to minimize the interrelationship between the various pharmacokinetic and pharmacodynamic parameters studied. These parameters were time above 0.03 to 32 times the MIC, area under the concentration-time curve (AUC), and maximum concentration of drug in serum (C(max)). The bacteriostatic dose remained essentially the same, irrespective of the dosing frequency, for S. pneumoniae 1199 (0.3 to 0.9 mg/kg/day). For E. coli ATCC 25922 and K. pneumoniae ATCC 43816, however, more frequent dosing led to lower bacteriostatic doses. Pharmacokinetic studies demonstrated dose-dependent elimination half-lives of 1.05 to 2.34 and 1.65 to 3.36 h and serum protein bindings of 59 and 71% for GAR-936 and WAY 152,288, respectively. GAR-936 and WAY 152,288 were similarly effective against the microorganisms studied, with small differences in maximum effect and 50% effective dose. The glycylcyclines were also similarly effective against tetracycline-sensitive and tetracycline-resistant bacteria. Time above a certain factor (range, 0.5 to 4 times) of the MIC was a better predictor of in vivo efficacy than C(max) or AUC for most organism-drug combinations. The results demonstrate that in order to achieve 80% maximum efficacy, the concentration of unbound drug in serum should be maintained above the MIC for at least 50% of the time for GAR-936 and for at least 75% of the time for WAY 152,288. The results of these experiments will aid in the rational design of dose-finding studies for these glycylcyclines in humans.", "author" : [ { "dropping-particle" : "", "family" : "Ogtrop", "given" : "M L", "non-dropping-particle" : "van", "parse-names" : false, "suffix" : "" }, { "dropping-particle" : "", "family" : "Andes", "given" : "D", "non-dropping-particle" : "", "parse-names" : false, "suffix" : "" }, { "dropping-particle" : "", "family" : "Stamstad", "given" : "T J", "non-dropping-particle" : "", "parse-names" : false, "suffix" : "" }, { "dropping-particle" : "", "family" : "Conklin", "given" : "B", "non-dropping-particle" : "", "parse-names" : false, "suffix" : "" }, { "dropping-particle" : "", "family" : "Weiss", "given" : "W J", "non-dropping-particle" : "", "parse-names" : false, "suffix" : "" }, { "dropping-particle" : "", "family" : "Craig", "given" : "W A", "non-dropping-particle" : "", "parse-names" : false, "suffix" : "" }, { "dropping-particle" : "", "family" : "Vesga", "given" : "O", "non-dropping-particle" : "", "parse-names" : false, "suffix" : "" } ], "container-title" : "Antimicrobial agents and chemotherapy", "id" : "ITEM-6", "issue" : "4", "issued" : { "date-parts" : [ [ "2000", "4" ] ] }, "page" : "943-9", "title" : "In vivo pharmacodynamic activities of two glycylcyclines (GAR-936 and WAY 152,288) against various gram-positive and gram-negative bacteria.", "type" : "article-journal", "volume" : "44" }, "uris" : [ "http://www.mendeley.com/documents/?uuid=084b02e0-f76c-3c9e-b9aa-ef714a8577de" ] } ], "mendeley" : { "formattedCitation" : "&lt;sup&gt;14\u201319&lt;/sup&gt;", "plainTextFormattedCitation" : "14\u201319", "previouslyFormattedCitation" : "&lt;sup&gt;14\u201319&lt;/sup&gt;" }, "properties" : { "noteIndex" : 0 }, "schema" : "https://github.com/citation-style-language/schema/raw/master/csl-citation.json" }</w:instrText>
      </w:r>
      <w:r w:rsidR="001B7A0D" w:rsidRPr="00886C9E">
        <w:rPr>
          <w:rFonts w:ascii="Times" w:hAnsi="Times" w:cs="Times New Roman"/>
        </w:rPr>
        <w:fldChar w:fldCharType="separate"/>
      </w:r>
      <w:r w:rsidR="001B7A0D" w:rsidRPr="00886C9E">
        <w:rPr>
          <w:rFonts w:ascii="Times" w:hAnsi="Times" w:cs="Times New Roman"/>
          <w:noProof/>
          <w:vertAlign w:val="superscript"/>
        </w:rPr>
        <w:t>14–19</w:t>
      </w:r>
      <w:r w:rsidR="001B7A0D" w:rsidRPr="00886C9E">
        <w:rPr>
          <w:rFonts w:ascii="Times" w:hAnsi="Times" w:cs="Times New Roman"/>
        </w:rPr>
        <w:fldChar w:fldCharType="end"/>
      </w:r>
      <w:r w:rsidR="00823B42" w:rsidRPr="00886C9E">
        <w:rPr>
          <w:rFonts w:ascii="Times" w:hAnsi="Times" w:cs="Times New Roman"/>
        </w:rPr>
        <w:t xml:space="preserve"> </w:t>
      </w:r>
      <w:r w:rsidRPr="00886C9E">
        <w:rPr>
          <w:rFonts w:ascii="Times" w:hAnsi="Times" w:cs="Times New Roman"/>
        </w:rPr>
        <w:t xml:space="preserve">A </w:t>
      </w:r>
      <w:proofErr w:type="spellStart"/>
      <w:r w:rsidRPr="00886C9E">
        <w:rPr>
          <w:rFonts w:ascii="Times" w:hAnsi="Times" w:cs="Times New Roman"/>
        </w:rPr>
        <w:t>teicoplanin</w:t>
      </w:r>
      <w:proofErr w:type="spellEnd"/>
      <w:r w:rsidRPr="00886C9E">
        <w:rPr>
          <w:rFonts w:ascii="Times" w:hAnsi="Times" w:cs="Times New Roman"/>
        </w:rPr>
        <w:t xml:space="preserve"> </w:t>
      </w:r>
      <w:proofErr w:type="gramStart"/>
      <w:r w:rsidRPr="00886C9E">
        <w:rPr>
          <w:rFonts w:ascii="Times" w:hAnsi="Times" w:cs="Times New Roman"/>
        </w:rPr>
        <w:t>AUC:MIC</w:t>
      </w:r>
      <w:proofErr w:type="gramEnd"/>
      <w:r w:rsidRPr="00886C9E">
        <w:rPr>
          <w:rFonts w:ascii="Times" w:hAnsi="Times" w:cs="Times New Roman"/>
        </w:rPr>
        <w:t xml:space="preserve"> of 88.</w:t>
      </w:r>
      <w:r w:rsidR="00380568" w:rsidRPr="00886C9E">
        <w:rPr>
          <w:rFonts w:ascii="Times" w:hAnsi="Times" w:cs="Times New Roman"/>
        </w:rPr>
        <w:t>8</w:t>
      </w:r>
      <w:r w:rsidRPr="00886C9E">
        <w:rPr>
          <w:rFonts w:ascii="Times" w:hAnsi="Times" w:cs="Times New Roman"/>
        </w:rPr>
        <w:t xml:space="preserve"> is likely relevant for patients with skin and skin structure infections. As </w:t>
      </w:r>
      <w:r w:rsidR="00A0562B" w:rsidRPr="00886C9E">
        <w:rPr>
          <w:rFonts w:ascii="Times" w:hAnsi="Times" w:cs="Times New Roman"/>
        </w:rPr>
        <w:t xml:space="preserve">it </w:t>
      </w:r>
      <w:r w:rsidRPr="00886C9E">
        <w:rPr>
          <w:rFonts w:ascii="Times" w:hAnsi="Times" w:cs="Times New Roman"/>
        </w:rPr>
        <w:t xml:space="preserve">can be seen from </w:t>
      </w:r>
      <w:r w:rsidR="009C1EEC" w:rsidRPr="00886C9E">
        <w:rPr>
          <w:rFonts w:ascii="Times" w:hAnsi="Times" w:cs="Times New Roman"/>
        </w:rPr>
        <w:t xml:space="preserve">Figure </w:t>
      </w:r>
      <w:r w:rsidR="00380568" w:rsidRPr="00886C9E">
        <w:rPr>
          <w:rFonts w:ascii="Times" w:hAnsi="Times" w:cs="Times New Roman"/>
        </w:rPr>
        <w:t>3</w:t>
      </w:r>
      <w:r w:rsidRPr="00886C9E">
        <w:rPr>
          <w:rFonts w:ascii="Times" w:hAnsi="Times" w:cs="Times New Roman"/>
        </w:rPr>
        <w:t xml:space="preserve">, such a target is readily </w:t>
      </w:r>
      <w:r w:rsidR="006013BA" w:rsidRPr="00886C9E">
        <w:rPr>
          <w:rFonts w:ascii="Times" w:hAnsi="Times" w:cs="Times New Roman"/>
        </w:rPr>
        <w:t>ach</w:t>
      </w:r>
      <w:r w:rsidR="00CC2810" w:rsidRPr="00886C9E">
        <w:rPr>
          <w:rFonts w:ascii="Times" w:hAnsi="Times" w:cs="Times New Roman"/>
        </w:rPr>
        <w:t>ie</w:t>
      </w:r>
      <w:r w:rsidR="006013BA" w:rsidRPr="00886C9E">
        <w:rPr>
          <w:rFonts w:ascii="Times" w:hAnsi="Times" w:cs="Times New Roman"/>
        </w:rPr>
        <w:t xml:space="preserve">vable </w:t>
      </w:r>
      <w:r w:rsidRPr="00886C9E">
        <w:rPr>
          <w:rFonts w:ascii="Times" w:hAnsi="Times" w:cs="Times New Roman"/>
        </w:rPr>
        <w:t>for simulated patients receiving currently licensed regimens</w:t>
      </w:r>
      <w:r w:rsidR="009C1EEC" w:rsidRPr="00886C9E">
        <w:rPr>
          <w:rFonts w:ascii="Times" w:hAnsi="Times" w:cs="Times New Roman"/>
        </w:rPr>
        <w:t xml:space="preserve"> w</w:t>
      </w:r>
      <w:r w:rsidR="00CC1C78" w:rsidRPr="00886C9E">
        <w:rPr>
          <w:rFonts w:ascii="Times" w:hAnsi="Times" w:cs="Times New Roman"/>
        </w:rPr>
        <w:t>ith fractional target attainment</w:t>
      </w:r>
      <w:r w:rsidR="009C1EEC" w:rsidRPr="00886C9E">
        <w:rPr>
          <w:rFonts w:ascii="Times" w:hAnsi="Times" w:cs="Times New Roman"/>
        </w:rPr>
        <w:t xml:space="preserve"> rates of </w:t>
      </w:r>
      <w:r w:rsidR="009A2D33" w:rsidRPr="00886C9E">
        <w:rPr>
          <w:rFonts w:ascii="Times" w:hAnsi="Times" w:cs="Times New Roman"/>
        </w:rPr>
        <w:t xml:space="preserve">84% and </w:t>
      </w:r>
      <w:r w:rsidR="00380568" w:rsidRPr="00886C9E">
        <w:rPr>
          <w:rFonts w:ascii="Times" w:hAnsi="Times" w:cs="Times New Roman"/>
        </w:rPr>
        <w:t>94%</w:t>
      </w:r>
      <w:r w:rsidR="009C1EEC" w:rsidRPr="00886C9E">
        <w:rPr>
          <w:rFonts w:ascii="Times" w:hAnsi="Times" w:cs="Times New Roman"/>
        </w:rPr>
        <w:t xml:space="preserve"> in </w:t>
      </w:r>
      <w:r w:rsidR="009A2D33" w:rsidRPr="00886C9E">
        <w:rPr>
          <w:rFonts w:ascii="Times" w:hAnsi="Times" w:cs="Times New Roman"/>
        </w:rPr>
        <w:t xml:space="preserve">children and </w:t>
      </w:r>
      <w:r w:rsidR="009C1EEC" w:rsidRPr="00886C9E">
        <w:rPr>
          <w:rFonts w:ascii="Times" w:hAnsi="Times" w:cs="Times New Roman"/>
        </w:rPr>
        <w:t>adults, respectively</w:t>
      </w:r>
      <w:r w:rsidRPr="00886C9E">
        <w:rPr>
          <w:rFonts w:ascii="Times" w:hAnsi="Times" w:cs="Times New Roman"/>
        </w:rPr>
        <w:t xml:space="preserve">. For more serious </w:t>
      </w:r>
      <w:r w:rsidR="009C1EEC" w:rsidRPr="00886C9E">
        <w:rPr>
          <w:rFonts w:ascii="Times" w:hAnsi="Times" w:cs="Times New Roman"/>
        </w:rPr>
        <w:t xml:space="preserve">staphylococcal </w:t>
      </w:r>
      <w:r w:rsidRPr="00886C9E">
        <w:rPr>
          <w:rFonts w:ascii="Times" w:hAnsi="Times" w:cs="Times New Roman"/>
        </w:rPr>
        <w:t xml:space="preserve">infections, such as </w:t>
      </w:r>
      <w:r w:rsidR="0072391E" w:rsidRPr="00886C9E">
        <w:rPr>
          <w:rFonts w:ascii="Times" w:hAnsi="Times" w:cs="Times New Roman"/>
        </w:rPr>
        <w:t>pneumonia</w:t>
      </w:r>
      <w:r w:rsidRPr="00886C9E">
        <w:rPr>
          <w:rFonts w:ascii="Times" w:hAnsi="Times" w:cs="Times New Roman"/>
        </w:rPr>
        <w:t xml:space="preserve">, a higher pharmacodynamic target is </w:t>
      </w:r>
      <w:r w:rsidR="00786604" w:rsidRPr="00886C9E">
        <w:rPr>
          <w:rFonts w:ascii="Times" w:hAnsi="Times" w:cs="Times New Roman"/>
        </w:rPr>
        <w:t xml:space="preserve">generally </w:t>
      </w:r>
      <w:r w:rsidRPr="00886C9E">
        <w:rPr>
          <w:rFonts w:ascii="Times" w:hAnsi="Times" w:cs="Times New Roman"/>
        </w:rPr>
        <w:t>required</w:t>
      </w:r>
      <w:r w:rsidR="0072391E" w:rsidRPr="00886C9E">
        <w:rPr>
          <w:rFonts w:ascii="Times" w:hAnsi="Times" w:cs="Times New Roman"/>
        </w:rPr>
        <w:t>.</w:t>
      </w:r>
      <w:r w:rsidR="001B7A0D" w:rsidRPr="00886C9E">
        <w:rPr>
          <w:rFonts w:ascii="Times" w:hAnsi="Times" w:cs="Times New Roman"/>
        </w:rPr>
        <w:fldChar w:fldCharType="begin" w:fldLock="1"/>
      </w:r>
      <w:r w:rsidR="00E217E0" w:rsidRPr="00886C9E">
        <w:rPr>
          <w:rFonts w:ascii="Times" w:hAnsi="Times" w:cs="Times New Roman"/>
        </w:rPr>
        <w:instrText>ADDIN CSL_CITATION { "citationItems" : [ { "id" : "ITEM-1", "itemData" : { "ISSN" : "0891-5520", "PMID" : "14711075", "abstract" : "An understanding of fundamental PK-PD principles forms the basis for the rational use of antimicrobial agents. For quinolones, the fAUC24:MIC ratio is predictive of efficacy in animal and in vitro infection models, and in infected patients. The magnitude of the fAUC24:MIC ratio predictive of efficacy in animal and in vitro infection models has been shown to be concordant with those obtained from human data. By accounting for PK and microbiologic variability together with PK-PD targets associated with efficacy or resistance suppression by Monte Carlo simulation, it is possible to discriminate between therapeutic regimens and select those regimens likely to be of greater benefit to patients. The maturation of antimicrobial PK-PD as a scientific discipline continues to accelerate and currently impacts clinical practice, drug development, and regulatory decision making.", "author" : [ { "dropping-particle" : "", "family" : "Ambrose", "given" : "Paul G", "non-dropping-particle" : "", "parse-names" : false, "suffix" : "" }, { "dropping-particle" : "", "family" : "Bhavnani", "given" : "Sujata M", "non-dropping-particle" : "", "parse-names" : false, "suffix" : "" }, { "dropping-particle" : "", "family" : "Owens", "given" : "Robert C", "non-dropping-particle" : "", "parse-names" : false, "suffix" : "" } ], "container-title" : "Infectious disease clinics of North America", "id" : "ITEM-1", "issue" : "3", "issued" : { "date-parts" : [ [ "2003", "9" ] ] }, "page" : "529-43", "title" : "Clinical pharmacodynamics of quinolones.", "type" : "article-journal", "volume" : "17" }, "uris" : [ "http://www.mendeley.com/documents/?uuid=34f86f1f-be20-3268-9922-5f34e48b1485" ] }, { "id" : "ITEM-2", "itemData" : { "DOI" : "10.1086/510079", "ISBN" : "1537-6591 (Electronic)\\n1058-4838 (Linking)", "ISSN" : "1537-6591", "PMID" : "17143821", "abstract" : "Since the advent of the modern era of antimicrobial chemotherapy in the 1930s, animal infection models have allowed for the in vivo evaluation of antimicrobial agents for the treatment of experimentally induced infection. Today, animal pharmacokinetic-pharmacodynamic (PK-PD) infection models serve as a cornerstone of the preclinical assessment process for antibacterial agents and dose and dosing interval selection, as decision support for setting in vitro susceptibility breakpoints, and, finally, for the evaluation of the meaning of in vitro resistance. Over the past 15 years, considerable PK-PD data have been derived from infected patients for many classes of antimicrobial agents. These data provide the opportunity to confirm knowledge gained from animal PK-PD infection models.", "author" : [ { "dropping-particle" : "", "family" : "Ambrose", "given" : "Paul G", "non-dropping-particle" : "", "parse-names" : false, "suffix" : "" }, { "dropping-particle" : "", "family" : "Bhavnani", "given" : "Sujata M", "non-dropping-particle" : "", "parse-names" : false, "suffix" : "" }, { "dropping-particle" : "", "family" : "Rubino", "given" : "Christopher M", "non-dropping-particle" : "", "parse-names" : false, "suffix" : "" }, { "dropping-particle" : "", "family" : "Louie", "given" : "Arnold", "non-dropping-particle" : "", "parse-names" : false, "suffix" : "" }, { "dropping-particle" : "", "family" : "Gumbo", "given" : "Tawanda", "non-dropping-particle" : "", "parse-names" : false, "suffix" : "" }, { "dropping-particle" : "", "family" : "Forrest", "given" : "Alan", "non-dropping-particle" : "", "parse-names" : false, "suffix" : "" }, { "dropping-particle" : "", "family" : "Drusano", "given" : "George L", "non-dropping-particle" : "", "parse-names" : false, "suffix" : "" } ], "container-title" : "Clinical infectious diseases : an official publication of the Infectious Diseases Society of America", "id" : "ITEM-2", "issued" : { "date-parts" : [ [ "2007" ] ] }, "page" : "79-86", "title" : "Pharmacokinetics-pharmacodynamics of antimicrobial therapy: it's not just for mice anymore.", "type" : "article-journal", "volume" : "44" }, "uris" : [ "http://www.mendeley.com/documents/?uuid=fa291f01-945d-40fa-b228-9ee8292685e0" ] } ], "mendeley" : { "formattedCitation" : "&lt;sup&gt;18,20&lt;/sup&gt;", "plainTextFormattedCitation" : "18,20", "previouslyFormattedCitation" : "&lt;sup&gt;18,20&lt;/sup&gt;" }, "properties" : { "noteIndex" : 0 }, "schema" : "https://github.com/citation-style-language/schema/raw/master/csl-citation.json" }</w:instrText>
      </w:r>
      <w:r w:rsidR="001B7A0D" w:rsidRPr="00886C9E">
        <w:rPr>
          <w:rFonts w:ascii="Times" w:hAnsi="Times" w:cs="Times New Roman"/>
        </w:rPr>
        <w:fldChar w:fldCharType="separate"/>
      </w:r>
      <w:r w:rsidR="001B7A0D" w:rsidRPr="00886C9E">
        <w:rPr>
          <w:rFonts w:ascii="Times" w:hAnsi="Times" w:cs="Times New Roman"/>
          <w:noProof/>
          <w:vertAlign w:val="superscript"/>
        </w:rPr>
        <w:t>18,20</w:t>
      </w:r>
      <w:r w:rsidR="001B7A0D" w:rsidRPr="00886C9E">
        <w:rPr>
          <w:rFonts w:ascii="Times" w:hAnsi="Times" w:cs="Times New Roman"/>
        </w:rPr>
        <w:fldChar w:fldCharType="end"/>
      </w:r>
      <w:r w:rsidR="0072391E" w:rsidRPr="00886C9E">
        <w:rPr>
          <w:rFonts w:ascii="Times" w:hAnsi="Times" w:cs="Times New Roman"/>
        </w:rPr>
        <w:t xml:space="preserve"> </w:t>
      </w:r>
      <w:r w:rsidRPr="00886C9E">
        <w:rPr>
          <w:rFonts w:ascii="Times" w:hAnsi="Times" w:cs="Times New Roman"/>
        </w:rPr>
        <w:t xml:space="preserve">An </w:t>
      </w:r>
      <w:proofErr w:type="gramStart"/>
      <w:r w:rsidRPr="00886C9E">
        <w:rPr>
          <w:rFonts w:ascii="Times" w:hAnsi="Times" w:cs="Times New Roman"/>
        </w:rPr>
        <w:t>AUC:MIC</w:t>
      </w:r>
      <w:proofErr w:type="gramEnd"/>
      <w:r w:rsidRPr="00886C9E">
        <w:rPr>
          <w:rFonts w:ascii="Times" w:hAnsi="Times" w:cs="Times New Roman"/>
        </w:rPr>
        <w:t xml:space="preserve"> of 610.4 produ</w:t>
      </w:r>
      <w:r w:rsidR="00CC1C78" w:rsidRPr="00886C9E">
        <w:rPr>
          <w:rFonts w:ascii="Times" w:hAnsi="Times" w:cs="Times New Roman"/>
        </w:rPr>
        <w:t>ces logarithmic</w:t>
      </w:r>
      <w:r w:rsidR="00A0562B" w:rsidRPr="00886C9E">
        <w:rPr>
          <w:rFonts w:ascii="Times" w:hAnsi="Times" w:cs="Times New Roman"/>
        </w:rPr>
        <w:t xml:space="preserve"> bacterial</w:t>
      </w:r>
      <w:r w:rsidR="00CC1C78" w:rsidRPr="00886C9E">
        <w:rPr>
          <w:rFonts w:ascii="Times" w:hAnsi="Times" w:cs="Times New Roman"/>
        </w:rPr>
        <w:t xml:space="preserve"> killing in mice</w:t>
      </w:r>
      <w:r w:rsidR="0070293F" w:rsidRPr="00886C9E">
        <w:rPr>
          <w:rFonts w:ascii="Times" w:hAnsi="Times" w:cs="Times New Roman"/>
        </w:rPr>
        <w:t>.</w:t>
      </w:r>
      <w:r w:rsidR="00CC1C78" w:rsidRPr="00886C9E">
        <w:rPr>
          <w:rFonts w:ascii="Times" w:hAnsi="Times" w:cs="Times New Roman"/>
        </w:rPr>
        <w:t xml:space="preserve"> </w:t>
      </w:r>
      <w:r w:rsidR="0070293F" w:rsidRPr="00886C9E">
        <w:rPr>
          <w:rFonts w:ascii="Times" w:hAnsi="Times" w:cs="Times New Roman"/>
        </w:rPr>
        <w:t>T</w:t>
      </w:r>
      <w:r w:rsidR="00CC1C78" w:rsidRPr="00886C9E">
        <w:rPr>
          <w:rFonts w:ascii="Times" w:hAnsi="Times" w:cs="Times New Roman"/>
        </w:rPr>
        <w:t>his estimate is consistent with</w:t>
      </w:r>
      <w:r w:rsidR="00F80CB1" w:rsidRPr="00886C9E">
        <w:rPr>
          <w:rFonts w:ascii="Times" w:hAnsi="Times" w:cs="Times New Roman"/>
        </w:rPr>
        <w:t xml:space="preserve"> several retrospective </w:t>
      </w:r>
      <w:r w:rsidR="00786604" w:rsidRPr="00886C9E">
        <w:rPr>
          <w:rFonts w:ascii="Times" w:hAnsi="Times" w:cs="Times New Roman"/>
        </w:rPr>
        <w:t xml:space="preserve">clinical </w:t>
      </w:r>
      <w:r w:rsidR="00F80CB1" w:rsidRPr="00886C9E">
        <w:rPr>
          <w:rFonts w:ascii="Times" w:hAnsi="Times" w:cs="Times New Roman"/>
        </w:rPr>
        <w:t xml:space="preserve">studies </w:t>
      </w:r>
      <w:r w:rsidR="00CC1C78" w:rsidRPr="00886C9E">
        <w:rPr>
          <w:rFonts w:ascii="Times" w:hAnsi="Times" w:cs="Times New Roman"/>
        </w:rPr>
        <w:t xml:space="preserve">in which </w:t>
      </w:r>
      <w:proofErr w:type="spellStart"/>
      <w:r w:rsidR="00F80CB1" w:rsidRPr="00886C9E">
        <w:rPr>
          <w:rFonts w:ascii="Times" w:hAnsi="Times" w:cs="Times New Roman"/>
        </w:rPr>
        <w:t>teicoplanin</w:t>
      </w:r>
      <w:proofErr w:type="spellEnd"/>
      <w:r w:rsidR="00F80CB1" w:rsidRPr="00886C9E">
        <w:rPr>
          <w:rFonts w:ascii="Times" w:hAnsi="Times" w:cs="Times New Roman"/>
        </w:rPr>
        <w:t xml:space="preserve"> AUC</w:t>
      </w:r>
      <w:r w:rsidR="008941AB" w:rsidRPr="00886C9E">
        <w:rPr>
          <w:rFonts w:ascii="Times" w:hAnsi="Times" w:cs="Times New Roman"/>
        </w:rPr>
        <w:t xml:space="preserve">s </w:t>
      </w:r>
      <w:r w:rsidR="00F80CB1" w:rsidRPr="00886C9E">
        <w:rPr>
          <w:rFonts w:ascii="Times" w:hAnsi="Times" w:cs="Times New Roman"/>
        </w:rPr>
        <w:sym w:font="Symbol" w:char="F0B3"/>
      </w:r>
      <w:r w:rsidR="00F80CB1" w:rsidRPr="00886C9E">
        <w:rPr>
          <w:rFonts w:ascii="Times" w:hAnsi="Times" w:cs="Times New Roman"/>
        </w:rPr>
        <w:t xml:space="preserve"> </w:t>
      </w:r>
      <w:r w:rsidR="00380568" w:rsidRPr="00886C9E">
        <w:rPr>
          <w:rFonts w:ascii="Times" w:hAnsi="Times" w:cs="Times New Roman"/>
        </w:rPr>
        <w:t>750</w:t>
      </w:r>
      <w:r w:rsidR="008941AB" w:rsidRPr="00886C9E">
        <w:rPr>
          <w:rFonts w:ascii="Times" w:hAnsi="Times" w:cs="Times New Roman"/>
        </w:rPr>
        <w:t xml:space="preserve">-800 </w:t>
      </w:r>
      <w:r w:rsidR="00F80CB1" w:rsidRPr="00886C9E">
        <w:rPr>
          <w:rFonts w:ascii="Times" w:hAnsi="Times" w:cs="Times New Roman"/>
        </w:rPr>
        <w:t>mg*h/L</w:t>
      </w:r>
      <w:r w:rsidR="008941AB" w:rsidRPr="00886C9E">
        <w:rPr>
          <w:rFonts w:ascii="Times" w:hAnsi="Times" w:cs="Times New Roman"/>
        </w:rPr>
        <w:t xml:space="preserve"> and AUC:MIC</w:t>
      </w:r>
      <w:r w:rsidR="0052584F" w:rsidRPr="00886C9E">
        <w:rPr>
          <w:rFonts w:ascii="Times" w:hAnsi="Times" w:cs="Times New Roman"/>
        </w:rPr>
        <w:sym w:font="Symbol" w:char="F0B3"/>
      </w:r>
      <w:r w:rsidR="0052584F" w:rsidRPr="00886C9E">
        <w:rPr>
          <w:rFonts w:ascii="Times" w:hAnsi="Times" w:cs="Times New Roman"/>
        </w:rPr>
        <w:t xml:space="preserve"> 900 </w:t>
      </w:r>
      <w:r w:rsidR="00CC1C78" w:rsidRPr="00886C9E">
        <w:rPr>
          <w:rFonts w:ascii="Times" w:hAnsi="Times" w:cs="Times New Roman"/>
        </w:rPr>
        <w:t xml:space="preserve">are associated with favourable clinical outcomes </w:t>
      </w:r>
      <w:r w:rsidR="00380568" w:rsidRPr="00886C9E">
        <w:rPr>
          <w:rFonts w:ascii="Times" w:hAnsi="Times" w:cs="Times New Roman"/>
        </w:rPr>
        <w:t xml:space="preserve">in adults </w:t>
      </w:r>
      <w:r w:rsidR="00CC1C78" w:rsidRPr="00886C9E">
        <w:rPr>
          <w:rFonts w:ascii="Times" w:hAnsi="Times" w:cs="Times New Roman"/>
        </w:rPr>
        <w:t xml:space="preserve">with serious </w:t>
      </w:r>
      <w:r w:rsidR="00F80CB1" w:rsidRPr="00886C9E">
        <w:rPr>
          <w:rFonts w:ascii="Times" w:hAnsi="Times" w:cs="Times New Roman"/>
        </w:rPr>
        <w:t xml:space="preserve">MRSA </w:t>
      </w:r>
      <w:r w:rsidR="00CC1C78" w:rsidRPr="00886C9E">
        <w:rPr>
          <w:rFonts w:ascii="Times" w:hAnsi="Times" w:cs="Times New Roman"/>
        </w:rPr>
        <w:t>infections</w:t>
      </w:r>
      <w:r w:rsidR="00F80CB1" w:rsidRPr="00886C9E">
        <w:rPr>
          <w:rFonts w:ascii="Times" w:hAnsi="Times" w:cs="Times New Roman"/>
        </w:rPr>
        <w:t>.</w:t>
      </w:r>
      <w:r w:rsidR="00F80CB1" w:rsidRPr="00886C9E">
        <w:rPr>
          <w:rFonts w:ascii="Times" w:hAnsi="Times" w:cs="Times New Roman"/>
        </w:rPr>
        <w:fldChar w:fldCharType="begin" w:fldLock="1"/>
      </w:r>
      <w:r w:rsidR="00F80CB1" w:rsidRPr="00886C9E">
        <w:rPr>
          <w:rFonts w:ascii="Times" w:hAnsi="Times" w:cs="Times New Roman"/>
        </w:rPr>
        <w:instrText>ADDIN CSL_CITATION { "citationItems" : [ { "id" : "ITEM-1", "itemData" : { "DOI" : "10.1007/s10156-011-0272-8", "ISBN" : "1437-7780; 1341-321X", "ISSN" : "1341321X", "PMID" : "21710160", "abstract" : "Severely ill intensive care unit (ICU) patients are frequently at risk of developing methicillin-resistant Staphylococcus aureus (MRSA) infections. It is generally accepted that a trough level of &gt;10 \u03bcg/mL teicoplanin (TEC) is appropriate for most such infections. The present study was designed to determine how TEC exposure and patient characteristics affect microbiological response in the treatment of MRSA infections. All patients studied were admitted to Aichi Medical University Hospital ICU between May 2005 and April 2010. Fifty-nine patients were prescribed TEC and 33 of those patients used to treat MRSA infection. Outcome was classified as either cure or failure, and logistic regression analysis was performed to determine which covariates, including severity, significantly influenced the microbiological response. Satisfactory outcomes were obtained in 19 of the 33 patients. Although the cured and failed groups showed adequate trough concentrations, the area under the serum concentration curve (AUC(0-24)) on the third day was significantly higher for the cured group (897.6 \u00b1 71.7) than for the failed group (652.9 \u00b1 83.4) (p &lt; 0.05). The results suggested that at least 800 \u03bcg h/mL TEC AUC(0-24) were required to obtain microbiological cure. The higher AUC(0-24), the better the outcome. In our study, higher initial AUC(0-24) was associated with a better microbiological outcome, which demonstrates the importance of the loading dose of TEC, especially for ICU patients. Moreover, the present findings are useful for optimizing the individual dose of TEC using AUC(0-24) in the treatment of MRSA-infected patients.", "author" : [ { "dropping-particle" : "", "family" : "Hagihara", "given" : "Mao", "non-dropping-particle" : "", "parse-names" : false, "suffix" : "" }, { "dropping-particle" : "", "family" : "Umemura", "given" : "Takumi", "non-dropping-particle" : "", "parse-names" : false, "suffix" : "" }, { "dropping-particle" : "", "family" : "Kimura", "given" : "Masao", "non-dropping-particle" : "", "parse-names" : false, "suffix" : "" }, { "dropping-particle" : "", "family" : "Mori", "given" : "Takeshi", "non-dropping-particle" : "", "parse-names" : false, "suffix" : "" }, { "dropping-particle" : "", "family" : "Hasegawa", "given" : "Takaaki", "non-dropping-particle" : "", "parse-names" : false, "suffix" : "" }, { "dropping-particle" : "", "family" : "Mikamo", "given" : "Hiroshige", "non-dropping-particle" : "", "parse-names" : false, "suffix" : "" } ], "container-title" : "Journal of Infection and Chemotherapy", "id" : "ITEM-1", "issue" : "1", "issued" : { "date-parts" : [ [ "2012" ] ] }, "page" : "10-16", "title" : "Exploration of optimal teicoplanin dosage based on pharmacokinetic parameters for the treatment of intensive care unit patients infected with methicillin-resistant Staphylococcus aureus", "type" : "article-journal", "volume" : "18" }, "uris" : [ "http://www.mendeley.com/documents/?uuid=109795bb-af20-4c83-b527-168ce44b0a23" ] }, { "id" : "ITEM-2", "itemData" : { "DOI" : "10.2147/CPAA.S96143", "author" : [ { "dropping-particle" : "", "family" : "Takeda", "given" : "Yasuo", "non-dropping-particle" : "", "parse-names" : false, "suffix" : "" }, { "dropping-particle" : "", "family" : "Matsumoto", "given" : "Kazuaki", "non-dropping-particle" : "", "parse-names" : false, "suffix" : "" }, { "dropping-particle" : "", "family" : "Watanabe", "given" : "Erika", "non-dropping-particle" : "", "parse-names" : false, "suffix" : "" }, { "dropping-particle" : "", "family" : "Kanazawa", "given" : "Naoko", "non-dropping-particle" : "", "parse-names" : false, "suffix" : "" }, { "dropping-particle" : "", "family" : "Fukamizu", "given" : "Tomohide", "non-dropping-particle" : "", "parse-names" : false, "suffix" : "" }, { "dropping-particle" : "", "family" : "Shigemi", "given" : "Akari", "non-dropping-particle" : "", "parse-names" : false, "suffix" : "" }, { "dropping-particle" : "", "family" : "Yokoyama", "given" : "Yuta", "non-dropping-particle" : "", "parse-names" : false, "suffix" : "" }, { "dropping-particle" : "", "family" : "Ikawa", "given" : "Kazuro", "non-dropping-particle" : "", "parse-names" : false, "suffix" : "" }, { "dropping-particle" : "", "family" : "Morikawa", "given" : "Norifumi", "non-dropping-particle" : "", "parse-names" : false, "suffix" : "" } ], "container-title" : "Clinical Pharmacology: Advances and Applications", "id" : "ITEM-2", "issued" : { "date-parts" : [ [ "2016" ] ] }, "page" : "15-18", "title" : "Pharmacokinetic / pharmacodynamic analysis of teicoplanin in patients with MRSA infections", "type" : "article-journal" }, "uris" : [ "http://www.mendeley.com/documents/?uuid=1b541789-397a-4482-a08d-cad87b95cbce" ] }, { "id" : "ITEM-3", "itemData" : { "DOI" : "10.1007/s10156-010-0105-1", "ISSN" : "1341321X", "author" : [ { "dropping-particle" : "", "family" : "Kanazawa", "given" : "Naoko", "non-dropping-particle" : "", "parse-names" : false, "suffix" : "" }, { "dropping-particle" : "", "family" : "Matsumoto", "given" : "Kazuaki", "non-dropping-particle" : "", "parse-names" : false, "suffix" : "" }, { "dropping-particle" : "", "family" : "Fukamizu", "given" : "Tomohide", "non-dropping-particle" : "", "parse-names" : false, "suffix" : "" }, { "dropping-particle" : "", "family" : "Shigemi", "given" : "Akari", "non-dropping-particle" : "", "parse-names" : false, "suffix" : "" }, { "dropping-particle" : "", "family" : "Yaji", "given" : "Keiko", "non-dropping-particle" : "", "parse-names" : false, "suffix" : "" }, { "dropping-particle" : "", "family" : "Shimodozono", "given" : "Yoshihiro", "non-dropping-particle" : "", "parse-names" : false, "suffix" : "" }, { "dropping-particle" : "", "family" : "Takeda", "given" : "Yasuo", "non-dropping-particle" : "", "parse-names" : false, "suffix" : "" }, { "dropping-particle" : "", "family" : "Yamada", "given" : "Katsushi", "non-dropping-particle" : "", "parse-names" : false, "suffix" : "" }, { "dropping-particle" : "", "family" : "Ikawa", "given" : "Kazuro", "non-dropping-particle" : "", "parse-names" : false, "suffix" : "" }, { "dropping-particle" : "", "family" : "Morikawa", "given" : "Norifumi", "non-dropping-particle" : "", "parse-names" : false, "suffix" : "" } ], "container-title" : "Journal of Infection and Chemotherapy", "id" : "ITEM-3", "issue" : "2", "issued" : { "date-parts" : [ [ "2011" ] ] }, "page" : "297-300", "title" : "An initial dosing method for teicoplanin based on the area under the serum concentration time curve required for MRSA eradication", "type" : "article-journal", "volume" : "17" }, "uris" : [ "http://www.mendeley.com/documents/?uuid=281fa6e3-a4f6-30af-9c71-9540fc049625" ] } ], "mendeley" : { "formattedCitation" : "&lt;sup&gt;21\u201323&lt;/sup&gt;", "plainTextFormattedCitation" : "21\u201323", "previouslyFormattedCitation" : "&lt;sup&gt;21\u201323&lt;/sup&gt;" }, "properties" : { "noteIndex" : 0 }, "schema" : "https://github.com/citation-style-language/schema/raw/master/csl-citation.json" }</w:instrText>
      </w:r>
      <w:r w:rsidR="00F80CB1" w:rsidRPr="00886C9E">
        <w:rPr>
          <w:rFonts w:ascii="Times" w:hAnsi="Times" w:cs="Times New Roman"/>
        </w:rPr>
        <w:fldChar w:fldCharType="separate"/>
      </w:r>
      <w:r w:rsidR="00F80CB1" w:rsidRPr="00886C9E">
        <w:rPr>
          <w:rFonts w:ascii="Times" w:hAnsi="Times" w:cs="Times New Roman"/>
          <w:noProof/>
          <w:vertAlign w:val="superscript"/>
        </w:rPr>
        <w:t>21–23</w:t>
      </w:r>
      <w:r w:rsidR="00F80CB1" w:rsidRPr="00886C9E">
        <w:rPr>
          <w:rFonts w:ascii="Times" w:hAnsi="Times" w:cs="Times New Roman"/>
        </w:rPr>
        <w:fldChar w:fldCharType="end"/>
      </w:r>
      <w:r w:rsidR="00F80CB1" w:rsidRPr="00886C9E">
        <w:rPr>
          <w:rFonts w:ascii="Times" w:hAnsi="Times" w:cs="Times New Roman"/>
        </w:rPr>
        <w:t xml:space="preserve"> </w:t>
      </w:r>
      <w:r w:rsidR="0070293F" w:rsidRPr="00886C9E">
        <w:rPr>
          <w:rFonts w:ascii="Times" w:hAnsi="Times" w:cs="Times New Roman"/>
        </w:rPr>
        <w:t xml:space="preserve">A higher AUC:MIC ratio is also consistent with the recent upward revision in target </w:t>
      </w:r>
      <w:proofErr w:type="spellStart"/>
      <w:r w:rsidR="0070293F" w:rsidRPr="00886C9E">
        <w:rPr>
          <w:rFonts w:ascii="Times" w:hAnsi="Times" w:cs="Times New Roman"/>
        </w:rPr>
        <w:t>C</w:t>
      </w:r>
      <w:r w:rsidR="0070293F" w:rsidRPr="00886C9E">
        <w:rPr>
          <w:rFonts w:ascii="Times" w:hAnsi="Times" w:cs="Times New Roman"/>
          <w:vertAlign w:val="subscript"/>
        </w:rPr>
        <w:t>min</w:t>
      </w:r>
      <w:proofErr w:type="spellEnd"/>
      <w:r w:rsidR="0070293F" w:rsidRPr="00886C9E">
        <w:rPr>
          <w:rFonts w:ascii="Times" w:hAnsi="Times" w:cs="Times New Roman"/>
        </w:rPr>
        <w:t xml:space="preserve"> </w:t>
      </w:r>
      <w:r w:rsidR="0070293F" w:rsidRPr="00886C9E">
        <w:rPr>
          <w:rFonts w:ascii="Times" w:hAnsi="Times" w:cs="Times New Roman"/>
        </w:rPr>
        <w:lastRenderedPageBreak/>
        <w:t>conc</w:t>
      </w:r>
      <w:r w:rsidR="00380568" w:rsidRPr="00886C9E">
        <w:rPr>
          <w:rFonts w:ascii="Times" w:hAnsi="Times" w:cs="Times New Roman"/>
        </w:rPr>
        <w:t>en</w:t>
      </w:r>
      <w:r w:rsidR="0070293F" w:rsidRPr="00886C9E">
        <w:rPr>
          <w:rFonts w:ascii="Times" w:hAnsi="Times" w:cs="Times New Roman"/>
        </w:rPr>
        <w:t xml:space="preserve">trations recommended </w:t>
      </w:r>
      <w:r w:rsidR="006013BA" w:rsidRPr="00886C9E">
        <w:rPr>
          <w:rFonts w:ascii="Times" w:hAnsi="Times" w:cs="Times New Roman"/>
        </w:rPr>
        <w:t xml:space="preserve">in the SPC </w:t>
      </w:r>
      <w:r w:rsidR="0070293F" w:rsidRPr="00886C9E">
        <w:rPr>
          <w:rFonts w:ascii="Times" w:hAnsi="Times" w:cs="Times New Roman"/>
        </w:rPr>
        <w:t>for the treatment of patients with deep-seated staphylococcal infections.</w:t>
      </w:r>
      <w:r w:rsidR="00A0562B" w:rsidRPr="00886C9E">
        <w:rPr>
          <w:rFonts w:ascii="Times" w:hAnsi="Times" w:cs="Times New Roman"/>
        </w:rPr>
        <w:fldChar w:fldCharType="begin" w:fldLock="1"/>
      </w:r>
      <w:r w:rsidR="00A0562B" w:rsidRPr="00886C9E">
        <w:rPr>
          <w:rFonts w:ascii="Times" w:hAnsi="Times" w:cs="Times New Roman"/>
        </w:rPr>
        <w:instrText>ADDIN CSL_CITATION { "citationItems" : [ { "id" : "ITEM-1", "itemData" : { "URL" : "http://www.medicines.org.uk/emc/medicine/27319/SPC", "accessed" : { "date-parts" : [ [ "2016", "1", "19" ] ] }, "author" : [ { "dropping-particle" : "", "family" : "The Electronic Medicines Compendium", "given" : "", "non-dropping-particle" : "", "parse-names" : false, "suffix" : "" } ], "id" : "ITEM-1", "issued" : { "date-parts" : [ [ "2014" ] ] }, "title" : "Targocid 200mg - Summary of Product Characteristics (SPC) - (eMC)", "type" : "webpage" }, "uris" : [ "http://www.mendeley.com/documents/?uuid=c87de902-3ab2-487e-b975-f602ec9b9712" ] } ], "mendeley" : { "formattedCitation" : "&lt;sup&gt;1&lt;/sup&gt;", "plainTextFormattedCitation" : "1", "previouslyFormattedCitation" : "&lt;sup&gt;1&lt;/sup&gt;" }, "properties" : { "noteIndex" : 0 }, "schema" : "https://github.com/citation-style-language/schema/raw/master/csl-citation.json" }</w:instrText>
      </w:r>
      <w:r w:rsidR="00A0562B" w:rsidRPr="00886C9E">
        <w:rPr>
          <w:rFonts w:ascii="Times" w:hAnsi="Times" w:cs="Times New Roman"/>
        </w:rPr>
        <w:fldChar w:fldCharType="separate"/>
      </w:r>
      <w:r w:rsidR="00A0562B" w:rsidRPr="00886C9E">
        <w:rPr>
          <w:rFonts w:ascii="Times" w:hAnsi="Times" w:cs="Times New Roman"/>
          <w:noProof/>
          <w:vertAlign w:val="superscript"/>
        </w:rPr>
        <w:t>1</w:t>
      </w:r>
      <w:r w:rsidR="00A0562B" w:rsidRPr="00886C9E">
        <w:rPr>
          <w:rFonts w:ascii="Times" w:hAnsi="Times" w:cs="Times New Roman"/>
        </w:rPr>
        <w:fldChar w:fldCharType="end"/>
      </w:r>
      <w:r w:rsidR="0070293F" w:rsidRPr="00886C9E">
        <w:rPr>
          <w:rFonts w:ascii="Times" w:hAnsi="Times" w:cs="Times New Roman"/>
        </w:rPr>
        <w:t xml:space="preserve"> T</w:t>
      </w:r>
      <w:r w:rsidR="00F80CB1" w:rsidRPr="00886C9E">
        <w:rPr>
          <w:rFonts w:ascii="Times" w:hAnsi="Times" w:cs="Times New Roman"/>
        </w:rPr>
        <w:t xml:space="preserve">he </w:t>
      </w:r>
      <w:r w:rsidR="0070293F" w:rsidRPr="00886C9E">
        <w:rPr>
          <w:rFonts w:ascii="Times" w:hAnsi="Times" w:cs="Times New Roman"/>
        </w:rPr>
        <w:t xml:space="preserve">difficulty of achieving </w:t>
      </w:r>
      <w:r w:rsidR="00F80CB1" w:rsidRPr="00886C9E">
        <w:rPr>
          <w:rFonts w:ascii="Times" w:hAnsi="Times" w:cs="Times New Roman"/>
        </w:rPr>
        <w:t xml:space="preserve">these higher exposure targets </w:t>
      </w:r>
      <w:r w:rsidR="0070293F" w:rsidRPr="00886C9E">
        <w:rPr>
          <w:rFonts w:ascii="Times" w:hAnsi="Times" w:cs="Times New Roman"/>
        </w:rPr>
        <w:t>with currently reco</w:t>
      </w:r>
      <w:r w:rsidR="00380568" w:rsidRPr="00886C9E">
        <w:rPr>
          <w:rFonts w:ascii="Times" w:hAnsi="Times" w:cs="Times New Roman"/>
        </w:rPr>
        <w:t>mmen</w:t>
      </w:r>
      <w:r w:rsidR="0070293F" w:rsidRPr="00886C9E">
        <w:rPr>
          <w:rFonts w:ascii="Times" w:hAnsi="Times" w:cs="Times New Roman"/>
        </w:rPr>
        <w:t xml:space="preserve">ded regimens </w:t>
      </w:r>
      <w:r w:rsidR="008442A9" w:rsidRPr="00886C9E">
        <w:rPr>
          <w:rFonts w:ascii="Times" w:hAnsi="Times" w:cs="Times New Roman"/>
        </w:rPr>
        <w:t>is</w:t>
      </w:r>
      <w:r w:rsidR="0070293F" w:rsidRPr="00886C9E">
        <w:rPr>
          <w:rFonts w:ascii="Times" w:hAnsi="Times" w:cs="Times New Roman"/>
        </w:rPr>
        <w:t xml:space="preserve"> highlighted</w:t>
      </w:r>
      <w:r w:rsidR="0052584F" w:rsidRPr="00886C9E">
        <w:rPr>
          <w:rFonts w:ascii="Times" w:hAnsi="Times" w:cs="Times New Roman"/>
        </w:rPr>
        <w:t xml:space="preserve"> </w:t>
      </w:r>
      <w:r w:rsidR="0070293F" w:rsidRPr="00886C9E">
        <w:rPr>
          <w:rFonts w:ascii="Times" w:hAnsi="Times" w:cs="Times New Roman"/>
        </w:rPr>
        <w:t xml:space="preserve">by the fact that </w:t>
      </w:r>
      <w:r w:rsidR="0081145E" w:rsidRPr="00886C9E">
        <w:rPr>
          <w:rFonts w:ascii="Times" w:hAnsi="Times" w:cs="Times New Roman"/>
        </w:rPr>
        <w:t xml:space="preserve">fractional attainment rates are </w:t>
      </w:r>
      <w:r w:rsidR="0070293F" w:rsidRPr="00886C9E">
        <w:rPr>
          <w:rFonts w:ascii="Times" w:hAnsi="Times" w:cs="Times New Roman"/>
        </w:rPr>
        <w:t>only</w:t>
      </w:r>
      <w:r w:rsidR="00F80CB1" w:rsidRPr="00886C9E">
        <w:rPr>
          <w:rFonts w:ascii="Times" w:hAnsi="Times" w:cs="Times New Roman"/>
        </w:rPr>
        <w:t xml:space="preserve"> </w:t>
      </w:r>
      <w:r w:rsidR="00FA621C" w:rsidRPr="00886C9E">
        <w:rPr>
          <w:rFonts w:ascii="Times" w:hAnsi="Times" w:cs="Times New Roman"/>
        </w:rPr>
        <w:t>10</w:t>
      </w:r>
      <w:r w:rsidR="00CC1C78" w:rsidRPr="00886C9E">
        <w:rPr>
          <w:rFonts w:ascii="Times" w:hAnsi="Times" w:cs="Times New Roman"/>
        </w:rPr>
        <w:t>%</w:t>
      </w:r>
      <w:r w:rsidR="00FA621C" w:rsidRPr="00886C9E">
        <w:rPr>
          <w:rFonts w:ascii="Times" w:hAnsi="Times" w:cs="Times New Roman"/>
        </w:rPr>
        <w:t xml:space="preserve"> and 29%</w:t>
      </w:r>
      <w:r w:rsidR="00CC1C78" w:rsidRPr="00886C9E">
        <w:rPr>
          <w:rFonts w:ascii="Times" w:hAnsi="Times" w:cs="Times New Roman"/>
        </w:rPr>
        <w:t xml:space="preserve"> of </w:t>
      </w:r>
      <w:r w:rsidR="0070293F" w:rsidRPr="00886C9E">
        <w:rPr>
          <w:rFonts w:ascii="Times" w:hAnsi="Times" w:cs="Times New Roman"/>
        </w:rPr>
        <w:t xml:space="preserve">simulated </w:t>
      </w:r>
      <w:r w:rsidR="00CC1C78" w:rsidRPr="00886C9E">
        <w:rPr>
          <w:rFonts w:ascii="Times" w:hAnsi="Times" w:cs="Times New Roman"/>
        </w:rPr>
        <w:t>adults and children</w:t>
      </w:r>
      <w:r w:rsidR="0070293F" w:rsidRPr="00886C9E">
        <w:rPr>
          <w:rFonts w:ascii="Times" w:hAnsi="Times" w:cs="Times New Roman"/>
        </w:rPr>
        <w:t>, respectively</w:t>
      </w:r>
      <w:r w:rsidR="008442A9" w:rsidRPr="00886C9E">
        <w:rPr>
          <w:rFonts w:ascii="Times" w:hAnsi="Times" w:cs="Times New Roman"/>
        </w:rPr>
        <w:t>.</w:t>
      </w:r>
    </w:p>
    <w:p w14:paraId="701EDEB7" w14:textId="47AD11C5" w:rsidR="00172679" w:rsidRPr="00886C9E" w:rsidRDefault="008442A9" w:rsidP="00786604">
      <w:pPr>
        <w:spacing w:line="480" w:lineRule="auto"/>
        <w:ind w:firstLine="708"/>
        <w:jc w:val="both"/>
        <w:rPr>
          <w:rFonts w:ascii="Times New Roman" w:hAnsi="Times New Roman" w:cs="Times New Roman"/>
        </w:rPr>
      </w:pPr>
      <w:r w:rsidRPr="00886C9E">
        <w:rPr>
          <w:rFonts w:ascii="Times" w:hAnsi="Times" w:cs="Times New Roman"/>
        </w:rPr>
        <w:t>The administr</w:t>
      </w:r>
      <w:r w:rsidR="00F3050A" w:rsidRPr="00886C9E">
        <w:rPr>
          <w:rFonts w:ascii="Times" w:hAnsi="Times" w:cs="Times New Roman"/>
        </w:rPr>
        <w:t>a</w:t>
      </w:r>
      <w:r w:rsidRPr="00886C9E">
        <w:rPr>
          <w:rFonts w:ascii="Times" w:hAnsi="Times" w:cs="Times New Roman"/>
        </w:rPr>
        <w:t xml:space="preserve">tion of a </w:t>
      </w:r>
      <w:r w:rsidR="005C582A" w:rsidRPr="00886C9E">
        <w:rPr>
          <w:rFonts w:ascii="Times" w:hAnsi="Times" w:cs="Times New Roman"/>
        </w:rPr>
        <w:t xml:space="preserve">fixed </w:t>
      </w:r>
      <w:proofErr w:type="spellStart"/>
      <w:r w:rsidRPr="00886C9E">
        <w:rPr>
          <w:rFonts w:ascii="Times" w:hAnsi="Times" w:cs="Times New Roman"/>
        </w:rPr>
        <w:t>teicoplanin</w:t>
      </w:r>
      <w:proofErr w:type="spellEnd"/>
      <w:r w:rsidRPr="00886C9E">
        <w:rPr>
          <w:rFonts w:ascii="Times" w:hAnsi="Times" w:cs="Times New Roman"/>
        </w:rPr>
        <w:t xml:space="preserve"> </w:t>
      </w:r>
      <w:r w:rsidR="005C582A" w:rsidRPr="00886C9E">
        <w:rPr>
          <w:rFonts w:ascii="Times" w:hAnsi="Times" w:cs="Times New Roman"/>
        </w:rPr>
        <w:t>regimen is reasona</w:t>
      </w:r>
      <w:r w:rsidR="00FA621C" w:rsidRPr="00886C9E">
        <w:rPr>
          <w:rFonts w:ascii="Times" w:hAnsi="Times" w:cs="Times New Roman"/>
        </w:rPr>
        <w:t>b</w:t>
      </w:r>
      <w:r w:rsidR="005C582A" w:rsidRPr="00886C9E">
        <w:rPr>
          <w:rFonts w:ascii="Times" w:hAnsi="Times" w:cs="Times New Roman"/>
        </w:rPr>
        <w:t xml:space="preserve">le for skin and skin structure infections. Standard </w:t>
      </w:r>
      <w:proofErr w:type="spellStart"/>
      <w:r w:rsidR="005C582A" w:rsidRPr="00886C9E">
        <w:rPr>
          <w:rFonts w:ascii="Times" w:hAnsi="Times" w:cs="Times New Roman"/>
        </w:rPr>
        <w:t>teicoplanin</w:t>
      </w:r>
      <w:proofErr w:type="spellEnd"/>
      <w:r w:rsidR="005C582A" w:rsidRPr="00886C9E">
        <w:rPr>
          <w:rFonts w:ascii="Times" w:hAnsi="Times" w:cs="Times New Roman"/>
        </w:rPr>
        <w:t xml:space="preserve"> therapy results in target attainment in </w:t>
      </w:r>
      <w:r w:rsidR="00786604" w:rsidRPr="00886C9E">
        <w:rPr>
          <w:rFonts w:ascii="Times" w:hAnsi="Times" w:cs="Times New Roman"/>
        </w:rPr>
        <w:t>a</w:t>
      </w:r>
      <w:r w:rsidR="005C582A" w:rsidRPr="00886C9E">
        <w:rPr>
          <w:rFonts w:ascii="Times" w:hAnsi="Times" w:cs="Times New Roman"/>
        </w:rPr>
        <w:t xml:space="preserve"> majority of patients and the wild-type population can be </w:t>
      </w:r>
      <w:r w:rsidR="00786604" w:rsidRPr="00886C9E">
        <w:rPr>
          <w:rFonts w:ascii="Times" w:hAnsi="Times" w:cs="Times New Roman"/>
        </w:rPr>
        <w:t>largely</w:t>
      </w:r>
      <w:r w:rsidR="005C582A" w:rsidRPr="00886C9E">
        <w:rPr>
          <w:rFonts w:ascii="Times" w:hAnsi="Times" w:cs="Times New Roman"/>
        </w:rPr>
        <w:t xml:space="preserve"> covered. In contrast, more serious infections that require higher drug exposures require routine TDM. Too few patients receiving a fixed regimen achieve an adequate </w:t>
      </w:r>
      <w:proofErr w:type="gramStart"/>
      <w:r w:rsidR="005C582A" w:rsidRPr="00886C9E">
        <w:rPr>
          <w:rFonts w:ascii="Times" w:hAnsi="Times" w:cs="Times New Roman"/>
        </w:rPr>
        <w:t>AUC:MIC</w:t>
      </w:r>
      <w:proofErr w:type="gramEnd"/>
      <w:r w:rsidR="005C582A" w:rsidRPr="00886C9E">
        <w:rPr>
          <w:rFonts w:ascii="Times" w:hAnsi="Times" w:cs="Times New Roman"/>
        </w:rPr>
        <w:t xml:space="preserve"> of </w:t>
      </w:r>
      <w:r w:rsidR="00FA621C" w:rsidRPr="00886C9E">
        <w:rPr>
          <w:rFonts w:ascii="Times" w:hAnsi="Times" w:cs="Times New Roman"/>
        </w:rPr>
        <w:t>610.4</w:t>
      </w:r>
      <w:r w:rsidR="005C582A" w:rsidRPr="00886C9E">
        <w:rPr>
          <w:rFonts w:ascii="Times" w:hAnsi="Times" w:cs="Times New Roman"/>
        </w:rPr>
        <w:t xml:space="preserve"> and are at risk of concentration-dependent therapeutic failure. For these patients, drug measurement and dosage adjustment is required. An alternative st</w:t>
      </w:r>
      <w:r w:rsidR="0052584F" w:rsidRPr="00886C9E">
        <w:rPr>
          <w:rFonts w:ascii="Times" w:hAnsi="Times" w:cs="Times New Roman"/>
        </w:rPr>
        <w:t>ra</w:t>
      </w:r>
      <w:r w:rsidR="005C582A" w:rsidRPr="00886C9E">
        <w:rPr>
          <w:rFonts w:ascii="Times" w:hAnsi="Times" w:cs="Times New Roman"/>
        </w:rPr>
        <w:t xml:space="preserve">tegy is the use of combination chemotherapy. </w:t>
      </w:r>
      <w:r w:rsidR="0048386D" w:rsidRPr="00886C9E">
        <w:rPr>
          <w:rFonts w:ascii="Times" w:hAnsi="Times" w:cs="Times New Roman"/>
        </w:rPr>
        <w:t xml:space="preserve">There is a large amount of preclinical data </w:t>
      </w:r>
      <w:r w:rsidRPr="00886C9E">
        <w:rPr>
          <w:rFonts w:ascii="Times" w:hAnsi="Times" w:cs="Times New Roman"/>
        </w:rPr>
        <w:t xml:space="preserve">that has </w:t>
      </w:r>
      <w:r w:rsidR="0048386D" w:rsidRPr="00886C9E">
        <w:rPr>
          <w:rFonts w:ascii="Times" w:hAnsi="Times" w:cs="Times New Roman"/>
        </w:rPr>
        <w:t>explore</w:t>
      </w:r>
      <w:r w:rsidRPr="00886C9E">
        <w:rPr>
          <w:rFonts w:ascii="Times" w:hAnsi="Times" w:cs="Times New Roman"/>
        </w:rPr>
        <w:t>d</w:t>
      </w:r>
      <w:r w:rsidR="0048386D" w:rsidRPr="00886C9E">
        <w:rPr>
          <w:rFonts w:ascii="Times" w:hAnsi="Times" w:cs="Times New Roman"/>
        </w:rPr>
        <w:t xml:space="preserve"> </w:t>
      </w:r>
      <w:r w:rsidR="0070293F" w:rsidRPr="00886C9E">
        <w:rPr>
          <w:rFonts w:ascii="Times" w:hAnsi="Times" w:cs="Times New Roman"/>
        </w:rPr>
        <w:t xml:space="preserve">the potential benefits of combining </w:t>
      </w:r>
      <w:proofErr w:type="spellStart"/>
      <w:r w:rsidR="0070293F" w:rsidRPr="00886C9E">
        <w:rPr>
          <w:rFonts w:ascii="Times" w:hAnsi="Times" w:cs="Times New Roman"/>
        </w:rPr>
        <w:t>glycopeptides</w:t>
      </w:r>
      <w:proofErr w:type="spellEnd"/>
      <w:r w:rsidR="0070293F" w:rsidRPr="00886C9E">
        <w:rPr>
          <w:rFonts w:ascii="Times" w:hAnsi="Times" w:cs="Times New Roman"/>
        </w:rPr>
        <w:t xml:space="preserve"> with </w:t>
      </w:r>
      <w:r w:rsidR="00143E3E" w:rsidRPr="00886C9E">
        <w:rPr>
          <w:rFonts w:ascii="Times" w:hAnsi="Times" w:cs="Times New Roman"/>
        </w:rPr>
        <w:t>rifampicin</w:t>
      </w:r>
      <w:r w:rsidR="008E1373" w:rsidRPr="00886C9E">
        <w:rPr>
          <w:rFonts w:ascii="Times" w:hAnsi="Times" w:cs="Times New Roman"/>
        </w:rPr>
        <w:t xml:space="preserve">, </w:t>
      </w:r>
      <w:proofErr w:type="spellStart"/>
      <w:r w:rsidR="008E1373" w:rsidRPr="00886C9E">
        <w:rPr>
          <w:rFonts w:ascii="Times" w:hAnsi="Times" w:cs="Times New Roman"/>
        </w:rPr>
        <w:t>fosfomycin</w:t>
      </w:r>
      <w:proofErr w:type="spellEnd"/>
      <w:r w:rsidR="008E1373" w:rsidRPr="00886C9E">
        <w:rPr>
          <w:rFonts w:ascii="Times" w:hAnsi="Times" w:cs="Times New Roman"/>
        </w:rPr>
        <w:t xml:space="preserve"> and </w:t>
      </w:r>
      <w:r w:rsidR="008E1373" w:rsidRPr="00886C9E">
        <w:rPr>
          <w:rFonts w:ascii="Times" w:hAnsi="Times" w:cs="Times New Roman"/>
        </w:rPr>
        <w:sym w:font="Symbol" w:char="F062"/>
      </w:r>
      <w:r w:rsidR="00A0562B" w:rsidRPr="00886C9E">
        <w:rPr>
          <w:rFonts w:ascii="Times" w:hAnsi="Times" w:cs="Times New Roman"/>
        </w:rPr>
        <w:t>-lactams</w:t>
      </w:r>
      <w:r w:rsidR="0070293F" w:rsidRPr="00886C9E">
        <w:rPr>
          <w:rFonts w:ascii="Times" w:hAnsi="Times" w:cs="Times New Roman"/>
        </w:rPr>
        <w:t>.</w:t>
      </w:r>
      <w:r w:rsidR="00A0562B" w:rsidRPr="00886C9E">
        <w:rPr>
          <w:rFonts w:ascii="Times" w:hAnsi="Times" w:cs="Times New Roman"/>
        </w:rPr>
        <w:fldChar w:fldCharType="begin" w:fldLock="1"/>
      </w:r>
      <w:r w:rsidR="00942BBE" w:rsidRPr="00886C9E">
        <w:rPr>
          <w:rFonts w:ascii="Times" w:hAnsi="Times" w:cs="Times New Roman"/>
        </w:rPr>
        <w:instrText>ADDIN CSL_CITATION { "citationItems" : [ { "id" : "ITEM-1", "itemData" : { "DOI" : "10.1111/jam.12472", "ISSN" : "1365-2672", "PMID" : "24524649", "abstract" : "AIM To evaluate the synergistic activity of antimicrobial drugs against lineages of methicillin-resistant Staphylococcus aureus (MRSA) carrying SCCmec IV. The biofilm production and related genes were also detected. METHODS AND RESULTS Forty two MRSA isolates were tested for biofilm production and related genes. Biofilm/biomass susceptibility to gentamicin (G), linezolid (L), rifampicin (R) and vancomycin (V) was determined for six isolates from three lineages prevalent in Rio de Janeiro hospitals in concentrations ranging from 0\u00b725 to 64 \u03bcg ml(-1). Biomass was evaluated by microtitre plate test and number of viable cells (CFU cm(-2)) and inspected by epifluorescence microscopy. All isolates presented the icaA and sasG genes, but only 38% were biofilm producers. There were 50 and 45% biomass reductions when concentrations \u22654 \u03bcg ml(-1) of R or L and \u226516 \u03bcg ml(-1) of G or V, respectively, were used. Synergism tests produced a 55% biomass reduction with R(2\u03bcgml-1) + G(16\u03bcgml-1), R(2\u03bcgml-1) + L(2\u03bcgml-1), R(2\u03bcgml-1) + V(4\u03bcgml-1), and L(2\u03bcgml-1) + V(4\u03bcgml-1). Number of viable cells was reduced from 2 to 3 logs with R(2\u03bcgml-1) + L(2\u03bcgml-1) and R(2\u03bcgml-1) + V(4\u03bcgml-1). CONCLUSIONS Synergisms involving R plus L and R plus V caused important reductions in biofilm/biomass and the number of viable cells. Drug combinations should be considered in the chemotherapies of MRSA-SCCmec IV infections. SIGNIFICANCE AND IMPACT OF THE STUDY Biofilms in MRSA infections restrict the clinical choice of antimicrobials. Thus, knowledge of the best options for monotherapy and drug synergisms could improve clinical results.", "author" : [ { "dropping-particle" : "", "family" : "Matos", "given" : "P D M", "non-dropping-particle" : "de", "parse-names" : false, "suffix" : "" }, { "dropping-particle" : "", "family" : "Sedaca", "given" : "S", "non-dropping-particle" : "", "parse-names" : false, "suffix" : "" }, { "dropping-particle" : "", "family" : "Ferreira", "given" : "D C", "non-dropping-particle" : "", "parse-names" : false, "suffix" : "" }, { "dropping-particle" : "", "family" : "Iorio", "given" : "N L", "non-dropping-particle" : "", "parse-names" : false, "suffix" : "" }, { "dropping-particle" : "", "family" : "Toledo", "given" : "V C S", "non-dropping-particle" : "", "parse-names" : false, "suffix" : "" }, { "dropping-particle" : "", "family" : "Freitas", "given" : "A I C", "non-dropping-particle" : "", "parse-names" : false, "suffix" : "" }, { "dropping-particle" : "", "family" : "Coelho", "given" : "F L", "non-dropping-particle" : "", "parse-names" : false, "suffix" : "" }, { "dropping-particle" : "", "family" : "Sousa", "given" : "C", "non-dropping-particle" : "", "parse-names" : false, "suffix" : "" }, { "dropping-particle" : "", "family" : "Santos", "given" : "K R N", "non-dropping-particle" : "Dos", "parse-names" : false, "suffix" : "" }, { "dropping-particle" : "", "family" : "Pereira", "given" : "M O", "non-dropping-particle" : "", "parse-names" : false, "suffix" : "" } ], "container-title" : "Journal of applied microbiology", "id" : "ITEM-1", "issue" : "6", "issued" : { "date-parts" : [ [ "2014", "6" ] ] }, "page" : "1418-26", "title" : "Antimicrobial synergism against different lineages of methicillin-resistant Staphylococcus aureus carrying SCCmec IV.", "type" : "article-journal", "volume" : "116" }, "uris" : [ "http://www.mendeley.com/documents/?uuid=99de2951-0f5f-3132-8a63-91d8e2b64b29" ] }, { "id" : "ITEM-2", "itemData" : { "DOI" : "10.1093/jac/dkr535", "ISSN" : "0305-7453", "PMID" : "22258931", "abstract" : "OBJECTIVES To compare the in vitro antibacterial efficacy of antistaphylococcal antibiotics in combination with fosfomycin or rifampicin, using a biofilm model. METHODS The antibacterial activities of fusidic acid, linezolid, vancomycin, teicoplanin, rifampicin, minocycline, fosfomycin and tigecycline, individually and in fosfomycin or rifampicin combinations, were measured against planktonic or biofilm-embedded methicillin-resistant Staphylococcus aureus (MRSA) with susceptible and resistant breakpoint concentrations (SBCs and RBCs, respectively), using the MTT-staining method and by counting the number of cfu in the biofilms. RESULTS Linezolid alone at its SBC, and fosfomycin, linezolid, minocycline and tigecycline at their RBCs, exhibited killing effects on biofilm-embedded MRSA (P &lt; 0.0001). Of the eight fosfomycin combinations studied, fosfomycin combined with linezolid, minocycline, vancomycin or teicoplanin at their respective SBCs, exhibited enhanced antibacterial activities (P &lt; 0.0001) when compared with the control group, and outperformed rifampicin combinations (P &lt; 0.01). The killing effects of fosfomycin combinations at their respective RBCs were better than those at their respective SBCs (P &lt; 0.05). Significantly enhanced killing effects were observed with fosfomycin in combination with vancomycin or teicoplanin, compared with vancomycin or teicoplanin alone. For 10 randomly selected MRSA isolates, the results of colony counting in biofilms were comparable with those of the MTT-staining method. CONCLUSIONS Fosfomycin enhanced the activities of linezolid, minocycline, vancomycin and teicoplanin. These combinatorial treatments were even better than rifampicin combination regimens, and may provide therapeutic advantages in catheter-related or prosthetic joint infections.", "author" : [ { "dropping-particle" : "", "family" : "Tang", "given" : "H.-J.", "non-dropping-particle" : "", "parse-names" : false, "suffix" : "" }, { "dropping-particle" : "", "family" : "Chen", "given" : "C.-C.", "non-dropping-particle" : "", "parse-names" : false, "suffix" : "" }, { "dropping-particle" : "", "family" : "Cheng", "given" : "K.-C.", "non-dropping-particle" : "", "parse-names" : false, "suffix" : "" }, { "dropping-particle" : "", "family" : "Toh", "given" : "H.-S.", "non-dropping-particle" : "", "parse-names" : false, "suffix" : "" }, { "dropping-particle" : "", "family" : "Su", "given" : "B.-A.", "non-dropping-particle" : "", "parse-names" : false, "suffix" : "" }, { "dropping-particle" : "", "family" : "Chiang", "given" : "S.-R.", "non-dropping-particle" : "", "parse-names" : false, "suffix" : "" }, { "dropping-particle" : "", "family" : "Ko", "given" : "W.-C.", "non-dropping-particle" : "", "parse-names" : false, "suffix" : "" }, { "dropping-particle" : "", "family" : "Chuang", "given" : "Y.-C.", "non-dropping-particle" : "", "parse-names" : false, "suffix" : "" } ], "container-title" : "Journal of Antimicrobial Chemotherapy", "id" : "ITEM-2", "issue" : "4", "issued" : { "date-parts" : [ [ "2012", "4", "1" ] ] }, "page" : "944-950", "title" : "In vitro efficacy of fosfomycin-containing regimens against methicillin-resistant Staphylococcus aureus in biofilms", "type" : "article-journal", "volume" : "67" }, "uris" : [ "http://www.mendeley.com/documents/?uuid=4193d95b-19be-3d4b-a43c-92c2a7e2062f" ] }, { "id" : "ITEM-3", "itemData" : { "DOI" : "10.1371/journal.pone.0042103", "ISSN" : "1932-6203", "PMID" : "22848719", "abstract" : "INTRODUCTION Continued pressure from glycopeptide use has led to non-susceptible strains of Staphylococcus aureus including heterogeneously vancomycin-intermediate S. aureus (hVISA). Infections with hVISA are associated with poor patient outcomes, thus incentivizing novel treatments. Evidence suggests that vancomycin and anti-staphylococcal penicillin susceptibility are inversely related which indicates that the use of this combination may be particularly useful against methicillin-resistant S. aureus with reduced susceptibility to vancomycin, such as hVISA. The aim of this study was to evaluate the potential for synergy between vancomycin and nafcillin against hVISA. METHODS Twenty-five hVISA strains were evaluated for vancomycin and nafcillin minimum inhibitory concentration (MIC) by broth microdilution in duplicate. Potential for synergy was assessed by time-kill at 1/2x MIC in triplicate. Five strains were chosen, representing the range nafcillin MIC's available in the cohort -4, 16, 64, 128, and 256 \u00b5g/mL, and were run in an in vitro pharmacokinetic/pharmacodynamic (PK/PD) model in duplicate over 72 hours to evaluate the potential of the combination with simulated human pharmacokinetics. In addition, 4 fully glycopeptide susceptible strains of S. aureus including 2 methicillin-susceptible (MSSA) and 2 methicillin-resistant (MRSA) were run in the PK/PD model for comparison. RESULTS In the time-kill, 92% of strains (23 of 25) displayed synergy with the combination of vancomycin and nafcillin. In the PK/PD model, all five strains of hVISA showed an improvement in overall activity (P\u22640.004) and organism burden at 72 hours (P\u22640.001) with the combination compared to either drug alone. The combination was also successful against both MRSA and MSSA in overall activity (P\u22640.009) and organism burden at 72 hours (P\u22640.016), though the magnitude of the effect was diminished against MSSA. CONCLUSIONS The combination of vancomycin and nafcillin significantly improved antibacterial activity against hVISA, MRSA, and MSSA compared to either drug alone.", "author" : [ { "dropping-particle" : "", "family" : "Leonard", "given" : "Steven N.", "non-dropping-particle" : "", "parse-names" : false, "suffix" : "" } ], "container-title" : "PLoS ONE", "editor" : [ { "dropping-particle" : "", "family" : "Rottman", "given" : "Martin", "non-dropping-particle" : "", "parse-names" : false, "suffix" : "" } ], "id" : "ITEM-3", "issue" : "7", "issued" : { "date-parts" : [ [ "2012", "7", "24" ] ] }, "page" : "e42103", "title" : "Synergy between Vancomycin and Nafcillin against Staphylococcus aureus in an In Vitro Pharmacokinetic/Pharmacodynamic Model", "type" : "article-journal", "volume" : "7" }, "uris" : [ "http://www.mendeley.com/documents/?uuid=8b74b202-1193-3690-84f9-14eb92050dac" ] }, { "id" : "ITEM-4", "itemData" : { "DOI" : "10.1128/AAC.02354-12", "ISSN" : "0066-4804", "PMID" : "23422917", "abstract" : "We demonstrated a significant inverse correlation between vancomycin and beta-lactam susceptibilities in vancomycin-intermediate Staphylococcus aureus (VISA) and heterogeneous VISA (hVISA) isolates. Using time-kill assays, vancomycin plus oxacillin or ceftaroline was synergistic against 3 of 5 VISA and 1 of 5 hVISA isolates or 5 of 5 VISA and 4 of 5 hVISA isolates, respectively. Beta-lactam exposure reduced overall vancomycin-Bodipy (dipyrromethene boron difluoride [4,4-difluoro-4-bora-3a,4a-diaza-s-indacene] fluorescent dye) binding but may have improved vancomycin-cell wall interactions to improve vancomycin activity. Further research is warranted to elucidate the mechanism behind vancomycin and beta-lactam synergy.", "author" : [ { "dropping-particle" : "", "family" : "Werth", "given" : "B. J.", "non-dropping-particle" : "", "parse-names" : false, "suffix" : "" }, { "dropping-particle" : "", "family" : "Vidaillac", "given" : "C.", "non-dropping-particle" : "", "parse-names" : false, "suffix" : "" }, { "dropping-particle" : "", "family" : "Murray", "given" : "K. P.", "non-dropping-particle" : "", "parse-names" : false, "suffix" : "" }, { "dropping-particle" : "", "family" : "Newton", "given" : "K. L.", "non-dropping-particle" : "", "parse-names" : false, "suffix" : "" }, { "dropping-particle" : "", "family" : "Sakoulas", "given" : "G.", "non-dropping-particle" : "", "parse-names" : false, "suffix" : "" }, { "dropping-particle" : "", "family" : "Nonejuie", "given" : "P.", "non-dropping-particle" : "", "parse-names" : false, "suffix" : "" }, { "dropping-particle" : "", "family" : "Pogliano", "given" : "J.", "non-dropping-particle" : "", "parse-names" : false, "suffix" : "" }, { "dropping-particle" : "", "family" : "Rybak", "given" : "M. J.", "non-dropping-particle" : "", "parse-names" : false, "suffix" : "" } ], "container-title" : "Antimicrobial Agents and Chemotherapy", "id" : "ITEM-4", "issue" : "5", "issued" : { "date-parts" : [ [ "2013", "5", "1" ] ] }, "page" : "2376-2379", "title" : "Novel Combinations of Vancomycin plus Ceftaroline or Oxacillin against Methicillin-Resistant Vancomycin-Intermediate Staphylococcus aureus (VISA) and Heterogeneous VISA", "type" : "article-journal", "volume" : "57" }, "uris" : [ "http://www.mendeley.com/documents/?uuid=a09fda0d-e7d6-3d21-bb4f-40dca1673f9c" ] }, { "id" : "ITEM-5", "itemData" : { "DOI" : "10.1128/AAC.01888-13", "ISSN" : "0066-4804", "PMID" : "24277036", "abstract" : "Vancomycin with piperacillin-tazobactam is used as empirical therapy for critically ill patients. Studies of this combination against methicillin-resistant Staphylococcus aureus (MRSA) and vancomycin-intermediate S. aureus (VISA) are limited, but \u03b2-lactams in combination with vancomycin have shown synergistic activity against MRSA and VISA. The goal of this study was to evaluate whether piperacillin-tazobactam and vancomycin were synergistic against MRSA and VISA in vitro. Bloodstream MRSA (n = 20) and VISA (n = 4) strains were selected. In vitro antimicrobial activities of piperacillin-tazobactam and oxacillin were evaluated by disk diffusion, and MICs were determined by Etest using Muller-Hinton agar with and without vancomycin at one-half the MIC. Time-kill studies evaluated 14 MRSA and all 4 VISA isolates using piperacillin-tazobactam at 300/35 mg/liter or oxacillin at 40 mg/liter alone and with vancomycin at one-half the MIC. Mean zones of inhibition for piperacillin-tazobactam and oxacillin increased with vancomycin against MRSA and VISA (P &lt; 0.001 for all), and the MIC90 decreased with vancomycin against MRSA and VISA to values meeting susceptibility criteria for S. aureus (P &lt; 0.001 for both antibiotics against MRSA). In MRSA time-kill studies, the mean 24-h reductions in inoculum for piperacillin-tazobactam, piperacillin-tazobactam with vancomycin, and oxacillin with vancomycin were 3.53, 3.69, and 2.62 log10 CFU/ml, respectively. The mean 24-h reductions in VISA inoculum for piperacillin-tazobactam, piperacillin-tazobactam with vancomycin, and oxacillin with vancomycin were 2.85, 2.93, and 3.45 log10 CFU/ml, respectively. Vancomycin with piperacillin-tazobactam or oxacillin demonstrated synergistic activity against MRSA and VISA. The clinical implications of these combinations against MRSA and VISA should be investigated.", "author" : [ { "dropping-particle" : "", "family" : "Dilworth", "given" : "T. J.", "non-dropping-particle" : "", "parse-names" : false, "suffix" : "" }, { "dropping-particle" : "", "family" : "Sliwinski", "given" : "J.", "non-dropping-particle" : "", "parse-names" : false, "suffix" : "" }, { "dropping-particle" : "", "family" : "Ryan", "given" : "K.", "non-dropping-particle" : "", "parse-names" : false, "suffix" : "" }, { "dropping-particle" : "", "family" : "Dodd", "given" : "M.", "non-dropping-particle" : "", "parse-names" : false, "suffix" : "" }, { "dropping-particle" : "", "family" : "Mercier", "given" : "R.-C.", "non-dropping-particle" : "", "parse-names" : false, "suffix" : "" } ], "container-title" : "Antimicrobial Agents and Chemotherapy", "id" : "ITEM-5", "issue" : "2", "issued" : { "date-parts" : [ [ "2014", "2", "1" ] ] }, "page" : "1028-1033", "title" : "Evaluation of Vancomycin in Combination with Piperacillin-Tazobactam or Oxacillin against Clinical Methicillin-Resistant Staphylococcus aureus Isolates and Vancomycin-Intermediate S. aureus Isolates In Vitro", "type" : "article-journal", "volume" : "58" }, "uris" : [ "http://www.mendeley.com/documents/?uuid=62cac79a-7ed3-358e-a157-f84a78ddbaca" ] } ], "mendeley" : { "formattedCitation" : "&lt;sup&gt;24\u201328&lt;/sup&gt;", "plainTextFormattedCitation" : "24\u201328", "previouslyFormattedCitation" : "&lt;sup&gt;24\u201328&lt;/sup&gt;" }, "properties" : { "noteIndex" : 0 }, "schema" : "https://github.com/citation-style-language/schema/raw/master/csl-citation.json" }</w:instrText>
      </w:r>
      <w:r w:rsidR="00A0562B" w:rsidRPr="00886C9E">
        <w:rPr>
          <w:rFonts w:ascii="Times" w:hAnsi="Times" w:cs="Times New Roman"/>
        </w:rPr>
        <w:fldChar w:fldCharType="separate"/>
      </w:r>
      <w:r w:rsidR="00F3050A" w:rsidRPr="00886C9E">
        <w:rPr>
          <w:rFonts w:ascii="Times" w:hAnsi="Times" w:cs="Times New Roman"/>
          <w:noProof/>
          <w:vertAlign w:val="superscript"/>
        </w:rPr>
        <w:t>24–28</w:t>
      </w:r>
      <w:r w:rsidR="00A0562B" w:rsidRPr="00886C9E">
        <w:rPr>
          <w:rFonts w:ascii="Times" w:hAnsi="Times" w:cs="Times New Roman"/>
        </w:rPr>
        <w:fldChar w:fldCharType="end"/>
      </w:r>
      <w:r w:rsidR="00A0562B" w:rsidRPr="00886C9E">
        <w:rPr>
          <w:rFonts w:ascii="Times" w:hAnsi="Times" w:cs="Times New Roman"/>
        </w:rPr>
        <w:t xml:space="preserve"> These ideas are being studied in several prospective clinical trials</w:t>
      </w:r>
      <w:r w:rsidR="006013BA" w:rsidRPr="00886C9E">
        <w:rPr>
          <w:rFonts w:ascii="Times" w:hAnsi="Times" w:cs="Times New Roman"/>
        </w:rPr>
        <w:t>.</w:t>
      </w:r>
      <w:r w:rsidR="00A0562B" w:rsidRPr="00886C9E">
        <w:rPr>
          <w:rFonts w:ascii="Times" w:hAnsi="Times" w:cs="Times New Roman"/>
        </w:rPr>
        <w:t xml:space="preserve"> ARREST</w:t>
      </w:r>
      <w:r w:rsidR="006013BA" w:rsidRPr="00886C9E">
        <w:rPr>
          <w:rFonts w:ascii="Times" w:hAnsi="Times" w:cs="Times New Roman"/>
        </w:rPr>
        <w:t xml:space="preserve"> (</w:t>
      </w:r>
      <w:r w:rsidR="00A32605" w:rsidRPr="00886C9E">
        <w:rPr>
          <w:rFonts w:ascii="Times New Roman" w:hAnsi="Times New Roman" w:cs="Times New Roman"/>
        </w:rPr>
        <w:t>ISRCTN 37666216</w:t>
      </w:r>
      <w:r w:rsidR="006013BA" w:rsidRPr="00886C9E">
        <w:rPr>
          <w:rFonts w:ascii="Times" w:hAnsi="Times" w:cs="Times New Roman"/>
        </w:rPr>
        <w:t xml:space="preserve">) is evaluating </w:t>
      </w:r>
      <w:r w:rsidR="00143E3E" w:rsidRPr="00886C9E">
        <w:rPr>
          <w:rFonts w:ascii="Times" w:hAnsi="Times" w:cs="Times New Roman"/>
        </w:rPr>
        <w:t xml:space="preserve">the potential benefit of adjunctive rifampicin in </w:t>
      </w:r>
      <w:r w:rsidR="00143E3E" w:rsidRPr="00886C9E">
        <w:rPr>
          <w:rFonts w:ascii="Times" w:hAnsi="Times" w:cs="Times New Roman"/>
          <w:i/>
        </w:rPr>
        <w:t>S.</w:t>
      </w:r>
      <w:r w:rsidR="008E1373" w:rsidRPr="00886C9E">
        <w:rPr>
          <w:rFonts w:ascii="Times" w:hAnsi="Times" w:cs="Times New Roman"/>
          <w:i/>
        </w:rPr>
        <w:t xml:space="preserve"> </w:t>
      </w:r>
      <w:r w:rsidR="00143E3E" w:rsidRPr="00886C9E">
        <w:rPr>
          <w:rFonts w:ascii="Times" w:hAnsi="Times" w:cs="Times New Roman"/>
          <w:i/>
        </w:rPr>
        <w:t>aureus</w:t>
      </w:r>
      <w:r w:rsidR="00143E3E" w:rsidRPr="00886C9E">
        <w:rPr>
          <w:rFonts w:ascii="Times" w:hAnsi="Times" w:cs="Times New Roman"/>
        </w:rPr>
        <w:t xml:space="preserve"> bacteraemia,</w:t>
      </w:r>
      <w:r w:rsidR="008E1373" w:rsidRPr="00886C9E">
        <w:rPr>
          <w:rFonts w:ascii="Times" w:hAnsi="Times" w:cs="Times New Roman"/>
        </w:rPr>
        <w:fldChar w:fldCharType="begin" w:fldLock="1"/>
      </w:r>
      <w:r w:rsidR="00942BBE" w:rsidRPr="00886C9E">
        <w:rPr>
          <w:rFonts w:ascii="Times" w:hAnsi="Times" w:cs="Times New Roman"/>
        </w:rPr>
        <w:instrText>ADDIN CSL_CITATION { "citationItems" : [ { "id" : "ITEM-1", "itemData" : { "DOI" : "10.1186/1745-6215-13-241", "ISSN" : "1745-6215", "PMID" : "23249501", "abstract" : "BACKGROUND Staphylococcus aureus bacteraemia is a common and serious infection, with an associated mortality of ~25%. Once in the blood, S. aureus can disseminate to infect almost any organ, but bones, joints and heart valves are most frequently affected. Despite the infection's severity, the evidence guiding optimal antibiotic therapy is weak: fewer than 1,500 patients have been included in 16 randomised controlled trials investigating S. aureus bacteraemia treatment. It is uncertain which antibiotics are most effective, their route of administration and duration, and whether antibiotic combinations are better than single agents. We hypothesise that adjunctive rifampicin, given in combination with a standard first-line antibiotic, will enhance killing of S. aureus early in the treatment course, sterilise infected foci and blood faster, and thereby reduce the risk of dissemination, metastatic infection and death. Our aim is to determine whether adjunctive rifampicin reduces all-cause mortality within 14 days and bacteriological failure or death within 12 weeks from randomisation. METHODS We will perform a parallel group, randomised (1:1), blinded, placebo-controlled trial in NHS hospitals across the UK. Adults (\u2265 18 years) with S. aureus (meticillin-susceptible or resistant) grown from at least one blood culture who have received \u2264 96 h of active antibiotic therapy for the current infection and do not have contraindications to the use of rifampicin will be eligible for inclusion. Participants will be randomised to adjunctive rifampicin (600-900 mg/day; orally or intravenously) or placebo for the first 14 days of therapy in combination with standard single-agent antibiotic therapy. The co-primary outcome measures will be all-cause mortality up to 14 days from randomisation and bacteriological failure/death (all-cause) up to 12 weeks from randomisation. 940 patients will be recruited, providing &gt;80% power to detect 45% and 30% reductions in the two co-primary endpoints of death by 14 days and bacteriological failure/death by 12 weeks respectively. DISCUSSION This pragmatic trial addresses the long-standing hypothesis that adjunctive rifampicin improves outcome from S. aureus bacteraemia through enhanced early bacterial killing. If proven correct, it will provide a paradigm through which further improvements in outcome from S. aureus bacteraemia can be explored.", "author" : [ { "dropping-particle" : "", "family" : "Thwaites", "given" : "Guy", "non-dropping-particle" : "", "parse-names" : false, "suffix" : "" }, { "dropping-particle" : "", "family" : "Auckland", "given" : "Cressida", "non-dropping-particle" : "", "parse-names" : false, "suffix" : "" }, { "dropping-particle" : "", "family" : "Barlow", "given" : "Gavin", "non-dropping-particle" : "", "parse-names" : false, "suffix" : "" }, { "dropping-particle" : "", "family" : "Cunningham", "given" : "Richard", "non-dropping-particle" : "", "parse-names" : false, "suffix" : "" }, { "dropping-particle" : "", "family" : "Davies", "given" : "Gerry", "non-dropping-particle" : "", "parse-names" : false, "suffix" : "" }, { "dropping-particle" : "", "family" : "Edgeworth", "given" : "Jonathan", "non-dropping-particle" : "", "parse-names" : false, "suffix" : "" }, { "dropping-particle" : "", "family" : "Greig", "given" : "Julia", "non-dropping-particle" : "", "parse-names" : false, "suffix" : "" }, { "dropping-particle" : "", "family" : "Hopkins", "given" : "Susan", "non-dropping-particle" : "", "parse-names" : false, "suffix" : "" }, { "dropping-particle" : "", "family" : "Jeyaratnam", "given" : "Dakshika", "non-dropping-particle" : "", "parse-names" : false, "suffix" : "" }, { "dropping-particle" : "", "family" : "Jenkins", "given" : "Neil", "non-dropping-particle" : "", "parse-names" : false, "suffix" : "" }, { "dropping-particle" : "", "family" : "Llewelyn", "given" : "Martin", "non-dropping-particle" : "", "parse-names" : false, "suffix" : "" }, { "dropping-particle" : "", "family" : "Meisner", "given" : "Sarah", "non-dropping-particle" : "", "parse-names" : false, "suffix" : "" }, { "dropping-particle" : "", "family" : "Nsutebu", "given" : "Emmanuel", "non-dropping-particle" : "", "parse-names" : false, "suffix" : "" }, { "dropping-particle" : "", "family" : "Planche", "given" : "Tim", "non-dropping-particle" : "", "parse-names" : false, "suffix" : "" }, { "dropping-particle" : "", "family" : "Read", "given" : "Robert C", "non-dropping-particle" : "", "parse-names" : false, "suffix" : "" }, { "dropping-particle" : "", "family" : "Scarborough", "given" : "Matthew", "non-dropping-particle" : "", "parse-names" : false, "suffix" : "" }, { "dropping-particle" : "", "family" : "Soares", "given" : "Marta", "non-dropping-particle" : "", "parse-names" : false, "suffix" : "" }, { "dropping-particle" : "", "family" : "Tilley", "given" : "Robert", "non-dropping-particle" : "", "parse-names" : false, "suffix" : "" }, { "dropping-particle" : "", "family" : "T\u00f6r\u00f6k", "given" : "M Est\u00e9e", "non-dropping-particle" : "", "parse-names" : false, "suffix" : "" }, { "dropping-particle" : "", "family" : "Williams", "given" : "John", "non-dropping-particle" : "", "parse-names" : false, "suffix" : "" }, { "dropping-particle" : "", "family" : "Wilson", "given" : "Peter", "non-dropping-particle" : "", "parse-names" : false, "suffix" : "" }, { "dropping-particle" : "", "family" : "Wyllie", "given" : "Sarah", "non-dropping-particle" : "", "parse-names" : false, "suffix" : "" }, { "dropping-particle" : "", "family" : "Walker", "given" : "A Sarah", "non-dropping-particle" : "", "parse-names" : false, "suffix" : "" }, { "dropping-particle" : "", "family" : "United Kingdom Clinical Infection Research Group", "given" : "", "non-dropping-particle" : "", "parse-names" : false, "suffix" : "" } ], "container-title" : "Trials", "id" : "ITEM-1", "issue" : "1", "issued" : { "date-parts" : [ [ "2012", "12", "18" ] ] }, "page" : "241", "title" : "Adjunctive rifampicin to reduce early mortality from Staphylococcus aureus bacteraemia (ARREST): study protocol for a randomised controlled trial", "type" : "article-journal", "volume" : "13" }, "uris" : [ "http://www.mendeley.com/documents/?uuid=735841cd-d763-3f25-98e5-84f3aeb9326c" ] } ], "mendeley" : { "formattedCitation" : "&lt;sup&gt;29&lt;/sup&gt;", "plainTextFormattedCitation" : "29", "previouslyFormattedCitation" : "&lt;sup&gt;29&lt;/sup&gt;" }, "properties" : { "noteIndex" : 0 }, "schema" : "https://github.com/citation-style-language/schema/raw/master/csl-citation.json" }</w:instrText>
      </w:r>
      <w:r w:rsidR="008E1373" w:rsidRPr="00886C9E">
        <w:rPr>
          <w:rFonts w:ascii="Times" w:hAnsi="Times" w:cs="Times New Roman"/>
        </w:rPr>
        <w:fldChar w:fldCharType="separate"/>
      </w:r>
      <w:r w:rsidR="00F3050A" w:rsidRPr="00886C9E">
        <w:rPr>
          <w:rFonts w:ascii="Times" w:hAnsi="Times" w:cs="Times New Roman"/>
          <w:noProof/>
          <w:vertAlign w:val="superscript"/>
        </w:rPr>
        <w:t>29</w:t>
      </w:r>
      <w:r w:rsidR="008E1373" w:rsidRPr="00886C9E">
        <w:rPr>
          <w:rFonts w:ascii="Times" w:hAnsi="Times" w:cs="Times New Roman"/>
        </w:rPr>
        <w:fldChar w:fldCharType="end"/>
      </w:r>
      <w:r w:rsidR="00143E3E" w:rsidRPr="00886C9E">
        <w:rPr>
          <w:rFonts w:ascii="Times" w:hAnsi="Times" w:cs="Times New Roman"/>
        </w:rPr>
        <w:t xml:space="preserve"> </w:t>
      </w:r>
      <w:r w:rsidR="005C582A" w:rsidRPr="00886C9E">
        <w:rPr>
          <w:rFonts w:ascii="Times" w:hAnsi="Times" w:cs="Times New Roman"/>
        </w:rPr>
        <w:t xml:space="preserve">and </w:t>
      </w:r>
      <w:r w:rsidR="00D13E5B" w:rsidRPr="00886C9E">
        <w:rPr>
          <w:rFonts w:ascii="Times" w:hAnsi="Times" w:cs="Times New Roman"/>
        </w:rPr>
        <w:t>CAMERA-2</w:t>
      </w:r>
      <w:r w:rsidR="006013BA" w:rsidRPr="00886C9E">
        <w:rPr>
          <w:rFonts w:ascii="Times" w:hAnsi="Times" w:cs="Times New Roman"/>
        </w:rPr>
        <w:t xml:space="preserve"> </w:t>
      </w:r>
      <w:r w:rsidR="006013BA" w:rsidRPr="00886C9E">
        <w:rPr>
          <w:rFonts w:ascii="Times New Roman" w:hAnsi="Times New Roman" w:cs="Times New Roman"/>
        </w:rPr>
        <w:t>(</w:t>
      </w:r>
      <w:r w:rsidR="00AD1F2F" w:rsidRPr="00886C9E">
        <w:rPr>
          <w:rFonts w:ascii="Times New Roman" w:hAnsi="Times New Roman" w:cs="Arial"/>
        </w:rPr>
        <w:t>NCT02365493</w:t>
      </w:r>
      <w:r w:rsidR="006013BA" w:rsidRPr="00886C9E">
        <w:rPr>
          <w:rFonts w:ascii="Times" w:hAnsi="Times" w:cs="Times New Roman"/>
        </w:rPr>
        <w:t>)</w:t>
      </w:r>
      <w:r w:rsidR="00A0562B" w:rsidRPr="00886C9E">
        <w:rPr>
          <w:rFonts w:ascii="Times" w:hAnsi="Times" w:cs="Times New Roman"/>
        </w:rPr>
        <w:t xml:space="preserve"> </w:t>
      </w:r>
      <w:r w:rsidR="006013BA" w:rsidRPr="00886C9E">
        <w:rPr>
          <w:rFonts w:ascii="Times" w:hAnsi="Times" w:cs="Times New Roman"/>
        </w:rPr>
        <w:t xml:space="preserve">is investigating </w:t>
      </w:r>
      <w:r w:rsidR="00A0562B" w:rsidRPr="00886C9E">
        <w:rPr>
          <w:rFonts w:ascii="Times" w:hAnsi="Times" w:cs="Times New Roman"/>
        </w:rPr>
        <w:t xml:space="preserve">the combination </w:t>
      </w:r>
      <w:r w:rsidR="006013BA" w:rsidRPr="00886C9E">
        <w:rPr>
          <w:rFonts w:ascii="Times" w:hAnsi="Times" w:cs="Times New Roman"/>
        </w:rPr>
        <w:t xml:space="preserve">of </w:t>
      </w:r>
      <w:proofErr w:type="spellStart"/>
      <w:r w:rsidR="006013BA" w:rsidRPr="00886C9E">
        <w:rPr>
          <w:rFonts w:ascii="Times" w:hAnsi="Times" w:cs="Times New Roman"/>
        </w:rPr>
        <w:t>glycopeptides</w:t>
      </w:r>
      <w:proofErr w:type="spellEnd"/>
      <w:r w:rsidR="006013BA" w:rsidRPr="00886C9E">
        <w:rPr>
          <w:rFonts w:ascii="Times" w:hAnsi="Times" w:cs="Times New Roman"/>
        </w:rPr>
        <w:t xml:space="preserve"> </w:t>
      </w:r>
      <w:r w:rsidR="00A0562B" w:rsidRPr="00886C9E">
        <w:rPr>
          <w:rFonts w:ascii="Times" w:hAnsi="Times" w:cs="Times New Roman"/>
        </w:rPr>
        <w:t xml:space="preserve">with </w:t>
      </w:r>
      <w:r w:rsidR="00A0562B" w:rsidRPr="00886C9E">
        <w:rPr>
          <w:rFonts w:ascii="Times" w:hAnsi="Times" w:cs="Times New Roman"/>
        </w:rPr>
        <w:sym w:font="Symbol" w:char="F062"/>
      </w:r>
      <w:r w:rsidR="00A0562B" w:rsidRPr="00886C9E">
        <w:rPr>
          <w:rFonts w:ascii="Times" w:hAnsi="Times" w:cs="Times New Roman"/>
        </w:rPr>
        <w:t>-lactams</w:t>
      </w:r>
      <w:r w:rsidR="00AD1F2F" w:rsidRPr="00886C9E">
        <w:rPr>
          <w:rFonts w:ascii="Times" w:hAnsi="Times" w:cs="Times New Roman"/>
        </w:rPr>
        <w:t xml:space="preserve"> to treat hospitalised patients</w:t>
      </w:r>
      <w:r w:rsidR="00A32605" w:rsidRPr="00886C9E">
        <w:rPr>
          <w:rFonts w:ascii="Times" w:hAnsi="Times" w:cs="Times New Roman"/>
        </w:rPr>
        <w:t xml:space="preserve"> with MRSA bacteraemia</w:t>
      </w:r>
      <w:r w:rsidR="006013BA" w:rsidRPr="00886C9E">
        <w:rPr>
          <w:rFonts w:ascii="Times" w:hAnsi="Times" w:cs="Times New Roman"/>
        </w:rPr>
        <w:t>.</w:t>
      </w:r>
      <w:r w:rsidR="00A0562B" w:rsidRPr="00886C9E">
        <w:rPr>
          <w:rFonts w:ascii="Times" w:hAnsi="Times" w:cs="Times New Roman"/>
        </w:rPr>
        <w:fldChar w:fldCharType="begin" w:fldLock="1"/>
      </w:r>
      <w:r w:rsidR="00942BBE" w:rsidRPr="00886C9E">
        <w:rPr>
          <w:rFonts w:ascii="Times" w:hAnsi="Times" w:cs="Times New Roman"/>
        </w:rPr>
        <w:instrText>ADDIN CSL_CITATION { "citationItems" : [ { "id" : "ITEM-1", "itemData" : { "DOI" : "10.1186/s13063-016-1295-3", "ISSN" : "1745-6215", "PMID" : "27029920", "abstract" : "BACKGROUND Methicillin-resistant Staphylococcus aureus (MRSA) bacteraemia is a serious infection resulting in 20-50 % 90-day mortality. The limitations of vancomycin, the current standard therapy for MRSA, make treatment difficult. The only other approved drug for treatment of MRSA bacteraemia, daptomycin, has not been shown to be superior to vancomycin. Surprisingly, there has been consistent in-vitro and in-vivo laboratory data demonstrating synergy between vancomycin or daptomycin and an anti-staphylococcal \u03b2-lactam antibiotic. There is also growing clinical data to support such combinations, including a recent pilot randomised controlled trial (RCT) that demonstrated a trend towards a reduction in the duration of bacteraemia in patients treated with vancomycin plus flucloxacillin compared to vancomycin alone. Our aim is to determine whether the addition of an anti-staphylococcal penicillin to standard therapy results in improved clinical outcomes in MRSA bacteraemia. METHODS/DESIGN We will perform an open-label, parallel-group, randomised (1:1) controlled trial at 29 sites in Australia, New Zealand, Singapore, and Israel. Adults (aged 18 years or older) with MRSA grown from at least one blood culture and able to be randomised within 72 hours of the index blood culture collection will be eligible for inclusion. Participants will be randomised to vancomycin or daptomycin (standard therapy) given intravenously or to standard therapy plus 7 days of an anti-staphylococcal \u03b2-lactam (flucloxacillin, cloxacillin, or cefazolin). The primary endpoint will be a composite outcome at 90 days of (1) all-cause mortality, (2) persistent bacteraemia at day 5 or beyond, (3) microbiological relapse, or (4) microbiological treatment failure. The recruitment target of 440 patients is based on an expected failure rate for the primary outcome of 30 % in the control arm and the ability to detect a clinically meaningful absolute decrease of 12.5 %, with a two-sided alpha of 0.05, a power of 80 %, and assuming 10 % of patients will not be evaluable for the primary endpoint. DISCUSSION Key potential advantages of adding anti-staphylococcal \u03b2-lactams to standard therapy for MRSA bacteraemia include their safety profile, low cost, and wide availability. TRIAL REGISTRATION ClinicalTrials.gov Identifier: NCT02365493 . Registered 24 February 2015.", "author" : [ { "dropping-particle" : "", "family" : "Tong", "given" : "Steven Y. C.", "non-dropping-particle" : "", "parse-names" : false, "suffix" : "" }, { "dropping-particle" : "", "family" : "Nelson", "given" : "Jane", "non-dropping-particle" : "", "parse-names" : false, "suffix" : "" }, { "dropping-particle" : "", "family" : "Paterson", "given" : "David L.", "non-dropping-particle" : "", "parse-names" : false, "suffix" : "" }, { "dropping-particle" : "", "family" : "Fowler", "given" : "Vance G.", "non-dropping-particle" : "", "parse-names" : false, "suffix" : "" }, { "dropping-particle" : "", "family" : "Howden", "given" : "Benjamin P.", "non-dropping-particle" : "", "parse-names" : false, "suffix" : "" }, { "dropping-particle" : "", "family" : "Cheng", "given" : "Allen C.", "non-dropping-particle" : "", "parse-names" : false, "suffix" : "" }, { "dropping-particle" : "", "family" : "Chatfield", "given" : "Mark", "non-dropping-particle" : "", "parse-names" : false, "suffix" : "" }, { "dropping-particle" : "", "family" : "Lipman", "given" : "Jeffrey", "non-dropping-particle" : "", "parse-names" : false, "suffix" : "" }, { "dropping-particle" : "", "family" : "Hal", "given" : "Sebastian", "non-dropping-particle" : "Van", "parse-names" : false, "suffix" : "" }, { "dropping-particle" : "", "family" : "O\u2019Sullivan", "given" : "Matthew", "non-dropping-particle" : "", "parse-names" : false, "suffix" : "" }, { "dropping-particle" : "", "family" : "Robinson", "given" : "James O.", "non-dropping-particle" : "", "parse-names" : false, "suffix" : "" }, { "dropping-particle" : "", "family" : "Yahav", "given" : "Dafna", "non-dropping-particle" : "", "parse-names" : false, "suffix" : "" }, { "dropping-particle" : "", "family" : "Lye", "given" : "David", "non-dropping-particle" : "", "parse-names" : false, "suffix" : "" }, { "dropping-particle" : "", "family" : "Davis", "given" : "Joshua S.", "non-dropping-particle" : "", "parse-names" : false, "suffix" : "" }, { "dropping-particle" : "", "family" : "CAMERA2 study group and the Australasian Society for Infectious Diseases Clinical Research Network", "given" : "", "non-dropping-particle" : "", "parse-names" : false, "suffix" : "" } ], "container-title" : "Trials", "id" : "ITEM-1", "issue" : "1", "issued" : { "date-parts" : [ [ "2016", "12", "31" ] ] }, "page" : "170", "title" : "CAMERA2 \u2013 combination antibiotic therapy for methicillin-resistant Staphylococcus aureus infection: study protocol for a randomised controlled trial", "type" : "article-journal", "volume" : "17" }, "uris" : [ "http://www.mendeley.com/documents/?uuid=a79c0f76-2608-3dd6-9f84-f047f68fc16e" ] } ], "mendeley" : { "formattedCitation" : "&lt;sup&gt;30&lt;/sup&gt;", "plainTextFormattedCitation" : "30", "previouslyFormattedCitation" : "&lt;sup&gt;30&lt;/sup&gt;" }, "properties" : { "noteIndex" : 0 }, "schema" : "https://github.com/citation-style-language/schema/raw/master/csl-citation.json" }</w:instrText>
      </w:r>
      <w:r w:rsidR="00A0562B" w:rsidRPr="00886C9E">
        <w:rPr>
          <w:rFonts w:ascii="Times" w:hAnsi="Times" w:cs="Times New Roman"/>
        </w:rPr>
        <w:fldChar w:fldCharType="separate"/>
      </w:r>
      <w:r w:rsidR="00F3050A" w:rsidRPr="00886C9E">
        <w:rPr>
          <w:rFonts w:ascii="Times" w:hAnsi="Times" w:cs="Times New Roman"/>
          <w:noProof/>
          <w:vertAlign w:val="superscript"/>
        </w:rPr>
        <w:t>30</w:t>
      </w:r>
      <w:r w:rsidR="00A0562B" w:rsidRPr="00886C9E">
        <w:rPr>
          <w:rFonts w:ascii="Times" w:hAnsi="Times" w:cs="Times New Roman"/>
        </w:rPr>
        <w:fldChar w:fldCharType="end"/>
      </w:r>
      <w:r w:rsidR="00D13E5B" w:rsidRPr="00886C9E">
        <w:rPr>
          <w:rFonts w:ascii="Times" w:hAnsi="Times" w:cs="Times New Roman"/>
        </w:rPr>
        <w:t xml:space="preserve"> </w:t>
      </w:r>
    </w:p>
    <w:p w14:paraId="64374B7E" w14:textId="60ABABB5" w:rsidR="00172679" w:rsidRPr="00886C9E" w:rsidDel="00DE6102" w:rsidRDefault="00172679" w:rsidP="00172679">
      <w:pPr>
        <w:spacing w:line="480" w:lineRule="auto"/>
        <w:ind w:firstLine="708"/>
        <w:jc w:val="both"/>
        <w:rPr>
          <w:rFonts w:ascii="Times" w:hAnsi="Times" w:cs="Times New Roman"/>
        </w:rPr>
      </w:pPr>
      <w:r w:rsidRPr="00886C9E" w:rsidDel="00DE6102">
        <w:rPr>
          <w:rFonts w:ascii="Times" w:hAnsi="Times" w:cs="Times New Roman"/>
        </w:rPr>
        <w:t xml:space="preserve">Monte Carlo simulations and </w:t>
      </w:r>
      <w:r w:rsidR="00222B31" w:rsidRPr="00886C9E">
        <w:rPr>
          <w:rFonts w:ascii="Times" w:hAnsi="Times" w:cs="Times New Roman"/>
        </w:rPr>
        <w:t xml:space="preserve">the </w:t>
      </w:r>
      <w:r w:rsidRPr="00886C9E" w:rsidDel="00DE6102">
        <w:rPr>
          <w:rFonts w:ascii="Times" w:hAnsi="Times" w:cs="Times New Roman"/>
        </w:rPr>
        <w:t xml:space="preserve">PTA analysis </w:t>
      </w:r>
      <w:r w:rsidR="00222B31" w:rsidRPr="00886C9E">
        <w:rPr>
          <w:rFonts w:ascii="Times" w:hAnsi="Times" w:cs="Times New Roman"/>
        </w:rPr>
        <w:t>suggest that patients infected with strains at the upper end of the wild type</w:t>
      </w:r>
      <w:r w:rsidR="00143E3E" w:rsidRPr="00886C9E">
        <w:rPr>
          <w:rFonts w:ascii="Times" w:hAnsi="Times" w:cs="Times New Roman"/>
        </w:rPr>
        <w:t xml:space="preserve"> distribution</w:t>
      </w:r>
      <w:r w:rsidR="00222B31" w:rsidRPr="00886C9E">
        <w:rPr>
          <w:rFonts w:ascii="Times" w:hAnsi="Times" w:cs="Times New Roman"/>
        </w:rPr>
        <w:t xml:space="preserve"> may be difficult to treat</w:t>
      </w:r>
      <w:r w:rsidRPr="00886C9E" w:rsidDel="00DE6102">
        <w:rPr>
          <w:rFonts w:ascii="Times" w:hAnsi="Times" w:cs="Times New Roman"/>
        </w:rPr>
        <w:t xml:space="preserve">. </w:t>
      </w:r>
      <w:r w:rsidR="00222B31" w:rsidRPr="00886C9E">
        <w:rPr>
          <w:rFonts w:ascii="Times" w:hAnsi="Times" w:cs="Times New Roman"/>
        </w:rPr>
        <w:t xml:space="preserve">This appears to be the case even </w:t>
      </w:r>
      <w:r w:rsidR="00FA621C" w:rsidRPr="00886C9E">
        <w:rPr>
          <w:rFonts w:ascii="Times" w:hAnsi="Times" w:cs="Times New Roman"/>
        </w:rPr>
        <w:t>i</w:t>
      </w:r>
      <w:r w:rsidR="00222B31" w:rsidRPr="00886C9E">
        <w:rPr>
          <w:rFonts w:ascii="Times" w:hAnsi="Times" w:cs="Times New Roman"/>
        </w:rPr>
        <w:t>f a stasis endpoint is used. The ECOFF using EUCAST methodology is 2 mg/L.</w:t>
      </w:r>
      <w:r w:rsidR="00A0562B" w:rsidRPr="00886C9E">
        <w:rPr>
          <w:rFonts w:ascii="Times" w:hAnsi="Times" w:cs="Times New Roman"/>
        </w:rPr>
        <w:fldChar w:fldCharType="begin" w:fldLock="1"/>
      </w:r>
      <w:r w:rsidR="00F3050A" w:rsidRPr="00886C9E">
        <w:rPr>
          <w:rFonts w:ascii="Times" w:hAnsi="Times" w:cs="Times New Roman"/>
        </w:rPr>
        <w:instrText>ADDIN CSL_CITATION { "citationItems" : [ { "id" : "ITEM-1", "itemData" : { "URL" : "http://www.eucast.org/fileadmin/src/media/PDFs/EUCAST_files/Rationale_documents/Teicoplanin_rationale_2.1.pdf", "author" : [ { "dropping-particle" : "", "family" : "European Committee on Antimicrobial Susceptibility Testing", "given" : "", "non-dropping-particle" : "", "parse-names" : false, "suffix" : "" } ], "container-title" : "EUCAST", "id" : "ITEM-1", "issue" : "June", "issued" : { "date-parts" : [ [ "2010" ] ] }, "title" : "Teicoplanin Rationale for the EUCAST clinical breakpoints , version 2.1", "type" : "webpage" }, "uris" : [ "http://www.mendeley.com/documents/?uuid=30c9df72-57de-46eb-8b21-5e3bc869a477" ] } ], "mendeley" : { "formattedCitation" : "&lt;sup&gt;12&lt;/sup&gt;", "plainTextFormattedCitation" : "12", "previouslyFormattedCitation" : "&lt;sup&gt;12&lt;/sup&gt;" }, "properties" : { "noteIndex" : 0 }, "schema" : "https://github.com/citation-style-language/schema/raw/master/csl-citation.json" }</w:instrText>
      </w:r>
      <w:r w:rsidR="00A0562B" w:rsidRPr="00886C9E">
        <w:rPr>
          <w:rFonts w:ascii="Times" w:hAnsi="Times" w:cs="Times New Roman"/>
        </w:rPr>
        <w:fldChar w:fldCharType="separate"/>
      </w:r>
      <w:r w:rsidR="00A0562B" w:rsidRPr="00886C9E">
        <w:rPr>
          <w:rFonts w:ascii="Times" w:hAnsi="Times" w:cs="Times New Roman"/>
          <w:noProof/>
          <w:vertAlign w:val="superscript"/>
        </w:rPr>
        <w:t>12</w:t>
      </w:r>
      <w:r w:rsidR="00A0562B" w:rsidRPr="00886C9E">
        <w:rPr>
          <w:rFonts w:ascii="Times" w:hAnsi="Times" w:cs="Times New Roman"/>
        </w:rPr>
        <w:fldChar w:fldCharType="end"/>
      </w:r>
      <w:r w:rsidR="00222B31" w:rsidRPr="00886C9E">
        <w:rPr>
          <w:rFonts w:ascii="Times" w:hAnsi="Times" w:cs="Times New Roman"/>
        </w:rPr>
        <w:t xml:space="preserve"> At this MIC, only </w:t>
      </w:r>
      <w:r w:rsidR="00143E3E" w:rsidRPr="00886C9E">
        <w:rPr>
          <w:rFonts w:ascii="Times" w:hAnsi="Times" w:cs="Times New Roman"/>
        </w:rPr>
        <w:t>60</w:t>
      </w:r>
      <w:r w:rsidR="00222B31" w:rsidRPr="00886C9E">
        <w:rPr>
          <w:rFonts w:ascii="Times" w:hAnsi="Times" w:cs="Times New Roman"/>
        </w:rPr>
        <w:t xml:space="preserve">% </w:t>
      </w:r>
      <w:r w:rsidR="006013BA" w:rsidRPr="00886C9E">
        <w:rPr>
          <w:rFonts w:ascii="Times" w:hAnsi="Times" w:cs="Times New Roman"/>
        </w:rPr>
        <w:t xml:space="preserve">and 70% </w:t>
      </w:r>
      <w:r w:rsidR="00222B31" w:rsidRPr="00886C9E">
        <w:rPr>
          <w:rFonts w:ascii="Times" w:hAnsi="Times" w:cs="Times New Roman"/>
        </w:rPr>
        <w:t>of children</w:t>
      </w:r>
      <w:r w:rsidR="006013BA" w:rsidRPr="00886C9E">
        <w:rPr>
          <w:rFonts w:ascii="Times" w:hAnsi="Times" w:cs="Times New Roman"/>
        </w:rPr>
        <w:t xml:space="preserve"> and adults</w:t>
      </w:r>
      <w:r w:rsidR="00143E3E" w:rsidRPr="00886C9E">
        <w:rPr>
          <w:rFonts w:ascii="Times" w:hAnsi="Times" w:cs="Times New Roman"/>
        </w:rPr>
        <w:t>, respectively,</w:t>
      </w:r>
      <w:r w:rsidR="00222B31" w:rsidRPr="00886C9E">
        <w:rPr>
          <w:rFonts w:ascii="Times" w:hAnsi="Times" w:cs="Times New Roman"/>
        </w:rPr>
        <w:t xml:space="preserve"> receiving a standard regimen are predicted to achieve a stasis target. This is strong evidence to consider a reduction in the breakpoint by at least a dilution to 1 </w:t>
      </w:r>
      <w:r w:rsidR="00222B31" w:rsidRPr="00886C9E">
        <w:rPr>
          <w:rFonts w:ascii="Times" w:hAnsi="Times" w:cs="Times New Roman"/>
        </w:rPr>
        <w:lastRenderedPageBreak/>
        <w:t>mg/L</w:t>
      </w:r>
      <w:r w:rsidR="002D536E" w:rsidRPr="00886C9E">
        <w:rPr>
          <w:rFonts w:ascii="Times" w:hAnsi="Times" w:cs="Times New Roman"/>
        </w:rPr>
        <w:t>.</w:t>
      </w:r>
      <w:r w:rsidR="00A0562B" w:rsidRPr="00886C9E">
        <w:rPr>
          <w:rFonts w:ascii="Times" w:hAnsi="Times" w:cs="Times New Roman"/>
        </w:rPr>
        <w:fldChar w:fldCharType="begin" w:fldLock="1"/>
      </w:r>
      <w:r w:rsidR="00942BBE" w:rsidRPr="00886C9E">
        <w:rPr>
          <w:rFonts w:ascii="Times" w:hAnsi="Times" w:cs="Times New Roman"/>
        </w:rPr>
        <w:instrText>ADDIN CSL_CITATION { "citationItems" : [ { "id" : "ITEM-1", "itemData" : { "DOI" : "10.1128/CMR.00047-06", "ISBN" : "08938512", "ISSN" : "08938512", "PMID" : "17630331", "abstract" : "Clinical microbiology laboratories need to communicate results of antibacterial susceptibility testing to prescribers. Sophisticated prescribers who are knowledgeable of the pharmacokinetics and pharmacodynamics of antibacterials may desire no more information than the MIC of the drug in question. However, most prescribers require interpretation of antibacterial susceptibility testing results. Breakpoints can assist in determining if an antibacterial is potentially useful in the treatment of a bacterial infection. Breakpoints should be set prior to an antibacterial being used clinically. Breakpoint setting requires integration of knowledge of the wild-type distribution of MICs, assessment of the pharmacokinetics/pharmacodynamics of the antibacterial, and study of the clinical outcome of infections when the antibacterial is used. It is mandatory that breakpoints be reviewed when antibacterial agents have been in clinical use for some time, particularly if mechanisms of bacterial resistance to the drug have been described. In general, greater amounts of information on the pharmacokinetics and pharmacodynamics of an antibacterial are available when breakpoints need to be revised. However, the opportunity to conduct randomized clinical studies of an antibacterial declines after the drug has been released commercially. Well-designed observational clinical studies are therefore necessary in order to provide reliable data to inform those reevaluating breakpoints. Breakpoint-setting organizations may also play a role in developing phenotypic tests for detection of resistance mechanisms, as this information may complement use of the breakpoint in some circumstances.", "author" : [ { "dropping-particle" : "", "family" : "Turnidge", "given" : "John", "non-dropping-particle" : "", "parse-names" : false, "suffix" : "" }, { "dropping-particle" : "", "family" : "Paterson", "given" : "David L.", "non-dropping-particle" : "", "parse-names" : false, "suffix" : "" } ], "container-title" : "Clinical Microbiology Reviews", "id" : "ITEM-1", "issue" : "3", "issued" : { "date-parts" : [ [ "2007" ] ] }, "page" : "391-408", "title" : "Setting and revising antibacterial susceptibility breakpoints", "type" : "article-journal", "volume" : "20" }, "uris" : [ "http://www.mendeley.com/documents/?uuid=8930e31e-9302-437b-9ccf-162e765c4387" ] } ], "mendeley" : { "formattedCitation" : "&lt;sup&gt;31&lt;/sup&gt;", "plainTextFormattedCitation" : "31", "previouslyFormattedCitation" : "&lt;sup&gt;31&lt;/sup&gt;" }, "properties" : { "noteIndex" : 0 }, "schema" : "https://github.com/citation-style-language/schema/raw/master/csl-citation.json" }</w:instrText>
      </w:r>
      <w:r w:rsidR="00A0562B" w:rsidRPr="00886C9E">
        <w:rPr>
          <w:rFonts w:ascii="Times" w:hAnsi="Times" w:cs="Times New Roman"/>
        </w:rPr>
        <w:fldChar w:fldCharType="separate"/>
      </w:r>
      <w:r w:rsidR="00F3050A" w:rsidRPr="00886C9E">
        <w:rPr>
          <w:rFonts w:ascii="Times" w:hAnsi="Times" w:cs="Times New Roman"/>
          <w:noProof/>
          <w:vertAlign w:val="superscript"/>
        </w:rPr>
        <w:t>31</w:t>
      </w:r>
      <w:r w:rsidR="00A0562B" w:rsidRPr="00886C9E">
        <w:rPr>
          <w:rFonts w:ascii="Times" w:hAnsi="Times" w:cs="Times New Roman"/>
        </w:rPr>
        <w:fldChar w:fldCharType="end"/>
      </w:r>
      <w:r w:rsidR="002D536E" w:rsidRPr="00886C9E">
        <w:rPr>
          <w:rFonts w:ascii="Times" w:hAnsi="Times" w:cs="Times New Roman"/>
        </w:rPr>
        <w:t xml:space="preserve"> For more serious infections that require higher pharmacodynamic targets the situation is worse </w:t>
      </w:r>
      <w:r w:rsidR="006013BA" w:rsidRPr="00886C9E">
        <w:rPr>
          <w:rFonts w:ascii="Times" w:hAnsi="Times" w:cs="Times New Roman"/>
        </w:rPr>
        <w:t>and</w:t>
      </w:r>
      <w:r w:rsidR="002D536E" w:rsidRPr="00886C9E">
        <w:rPr>
          <w:rFonts w:ascii="Times" w:hAnsi="Times" w:cs="Times New Roman"/>
        </w:rPr>
        <w:t xml:space="preserve"> the </w:t>
      </w:r>
      <w:r w:rsidR="000E13B3" w:rsidRPr="00886C9E">
        <w:rPr>
          <w:rFonts w:ascii="Times" w:hAnsi="Times" w:cs="Times New Roman"/>
        </w:rPr>
        <w:t>breakpoint</w:t>
      </w:r>
      <w:r w:rsidR="002D536E" w:rsidRPr="00886C9E">
        <w:rPr>
          <w:rFonts w:ascii="Times" w:hAnsi="Times" w:cs="Times New Roman"/>
        </w:rPr>
        <w:t xml:space="preserve"> </w:t>
      </w:r>
      <w:r w:rsidR="006013BA" w:rsidRPr="00886C9E">
        <w:rPr>
          <w:rFonts w:ascii="Times" w:hAnsi="Times" w:cs="Times New Roman"/>
        </w:rPr>
        <w:t xml:space="preserve">divides </w:t>
      </w:r>
      <w:r w:rsidR="002D536E" w:rsidRPr="00886C9E">
        <w:rPr>
          <w:rFonts w:ascii="Times" w:hAnsi="Times" w:cs="Times New Roman"/>
        </w:rPr>
        <w:t>the wild-type</w:t>
      </w:r>
      <w:r w:rsidR="00A0562B" w:rsidRPr="00886C9E">
        <w:rPr>
          <w:rFonts w:ascii="Times" w:hAnsi="Times" w:cs="Times New Roman"/>
        </w:rPr>
        <w:t xml:space="preserve"> population.</w:t>
      </w:r>
    </w:p>
    <w:p w14:paraId="671EE6F7" w14:textId="3C4F93D8" w:rsidR="002E5D50" w:rsidRPr="00886C9E" w:rsidRDefault="00222B31" w:rsidP="00FA7634">
      <w:pPr>
        <w:spacing w:line="480" w:lineRule="auto"/>
        <w:ind w:firstLine="708"/>
        <w:jc w:val="both"/>
        <w:rPr>
          <w:rFonts w:ascii="Times" w:hAnsi="Times" w:cs="Times New Roman"/>
        </w:rPr>
      </w:pPr>
      <w:r w:rsidRPr="00886C9E">
        <w:rPr>
          <w:rFonts w:ascii="Times" w:hAnsi="Times" w:cs="Times New Roman"/>
        </w:rPr>
        <w:t xml:space="preserve">We must acknowledge </w:t>
      </w:r>
      <w:r w:rsidR="00786604" w:rsidRPr="00886C9E">
        <w:rPr>
          <w:rFonts w:ascii="Times" w:hAnsi="Times" w:cs="Times New Roman"/>
        </w:rPr>
        <w:t>that only a single strain was studied in the murine model and HFIM</w:t>
      </w:r>
      <w:r w:rsidRPr="00886C9E">
        <w:rPr>
          <w:rFonts w:ascii="Times" w:hAnsi="Times" w:cs="Times New Roman"/>
        </w:rPr>
        <w:t xml:space="preserve">. </w:t>
      </w:r>
      <w:r w:rsidR="00786604" w:rsidRPr="00886C9E">
        <w:rPr>
          <w:rFonts w:ascii="Times" w:hAnsi="Times" w:cs="Times New Roman"/>
        </w:rPr>
        <w:t>Nevertheless, two experimental models were used that yielded</w:t>
      </w:r>
      <w:r w:rsidR="00A62FC4" w:rsidRPr="00886C9E">
        <w:rPr>
          <w:rFonts w:ascii="Times" w:hAnsi="Times" w:cs="Times New Roman"/>
        </w:rPr>
        <w:t xml:space="preserve"> complementary information</w:t>
      </w:r>
      <w:r w:rsidR="00786604" w:rsidRPr="00886C9E">
        <w:rPr>
          <w:rFonts w:ascii="Times" w:hAnsi="Times" w:cs="Times New Roman"/>
        </w:rPr>
        <w:t xml:space="preserve"> and allowed us to exploit the respective strengths of each</w:t>
      </w:r>
      <w:r w:rsidR="00A62FC4" w:rsidRPr="00886C9E">
        <w:rPr>
          <w:rFonts w:ascii="Times" w:hAnsi="Times" w:cs="Times New Roman"/>
        </w:rPr>
        <w:t xml:space="preserve">. </w:t>
      </w:r>
      <w:r w:rsidR="00675722" w:rsidRPr="00886C9E">
        <w:rPr>
          <w:rFonts w:ascii="Times" w:hAnsi="Times" w:cs="Times New Roman"/>
        </w:rPr>
        <w:t>T</w:t>
      </w:r>
      <w:r w:rsidR="00A62FC4" w:rsidRPr="00886C9E">
        <w:rPr>
          <w:rFonts w:ascii="Times" w:hAnsi="Times" w:cs="Times New Roman"/>
        </w:rPr>
        <w:t xml:space="preserve">he murine </w:t>
      </w:r>
      <w:r w:rsidR="00786604" w:rsidRPr="00886C9E">
        <w:rPr>
          <w:rFonts w:ascii="Times" w:hAnsi="Times" w:cs="Times New Roman"/>
        </w:rPr>
        <w:t xml:space="preserve">thigh </w:t>
      </w:r>
      <w:r w:rsidR="00A62FC4" w:rsidRPr="00886C9E">
        <w:rPr>
          <w:rFonts w:ascii="Times" w:hAnsi="Times" w:cs="Times New Roman"/>
        </w:rPr>
        <w:t>model</w:t>
      </w:r>
      <w:r w:rsidR="00675722" w:rsidRPr="00886C9E">
        <w:rPr>
          <w:rFonts w:ascii="Times" w:hAnsi="Times" w:cs="Times New Roman"/>
        </w:rPr>
        <w:t xml:space="preserve"> </w:t>
      </w:r>
      <w:r w:rsidR="00786604" w:rsidRPr="00886C9E">
        <w:rPr>
          <w:rFonts w:ascii="Times" w:hAnsi="Times" w:cs="Times New Roman"/>
        </w:rPr>
        <w:t>is well characterised</w:t>
      </w:r>
      <w:r w:rsidR="006013BA" w:rsidRPr="00886C9E">
        <w:rPr>
          <w:rFonts w:ascii="Times" w:hAnsi="Times" w:cs="Times New Roman"/>
        </w:rPr>
        <w:t>,</w:t>
      </w:r>
      <w:r w:rsidR="00786604" w:rsidRPr="00886C9E">
        <w:rPr>
          <w:rFonts w:ascii="Times" w:hAnsi="Times" w:cs="Times New Roman"/>
        </w:rPr>
        <w:t xml:space="preserve"> has the advantage of simulating</w:t>
      </w:r>
      <w:r w:rsidR="00A62FC4" w:rsidRPr="00886C9E">
        <w:rPr>
          <w:rFonts w:ascii="Times" w:hAnsi="Times" w:cs="Times New Roman"/>
        </w:rPr>
        <w:t xml:space="preserve"> protein binding</w:t>
      </w:r>
      <w:r w:rsidR="00786604" w:rsidRPr="00886C9E">
        <w:rPr>
          <w:rFonts w:ascii="Times" w:hAnsi="Times" w:cs="Times New Roman"/>
        </w:rPr>
        <w:t xml:space="preserve"> and </w:t>
      </w:r>
      <w:r w:rsidR="00FE4439" w:rsidRPr="00886C9E">
        <w:rPr>
          <w:rFonts w:ascii="Times" w:hAnsi="Times" w:cs="Times New Roman"/>
        </w:rPr>
        <w:t xml:space="preserve">is </w:t>
      </w:r>
      <w:r w:rsidR="00786604" w:rsidRPr="00886C9E">
        <w:rPr>
          <w:rFonts w:ascii="Times" w:hAnsi="Times" w:cs="Times New Roman"/>
        </w:rPr>
        <w:t xml:space="preserve">a mimic of complicated skin and skin structure infections that are </w:t>
      </w:r>
      <w:r w:rsidR="006013BA" w:rsidRPr="00886C9E">
        <w:rPr>
          <w:rFonts w:ascii="Times" w:hAnsi="Times" w:cs="Times New Roman"/>
        </w:rPr>
        <w:t>common clinical problems</w:t>
      </w:r>
      <w:r w:rsidR="00A62FC4" w:rsidRPr="00886C9E">
        <w:rPr>
          <w:rFonts w:ascii="Times" w:hAnsi="Times" w:cs="Times New Roman"/>
        </w:rPr>
        <w:t xml:space="preserve">. </w:t>
      </w:r>
      <w:r w:rsidR="002E5D50" w:rsidRPr="00886C9E">
        <w:rPr>
          <w:rFonts w:ascii="Times New Roman" w:hAnsi="Times New Roman" w:cs="Times New Roman"/>
        </w:rPr>
        <w:t>Nevertheless, the model implies some assumptions that need to be considered when interpreting the findings. Protein-binding in mice has been reported to be similar than in humans (</w:t>
      </w:r>
      <w:r w:rsidR="002E5D50" w:rsidRPr="00886C9E">
        <w:rPr>
          <w:rFonts w:ascii="Times New Roman" w:hAnsi="Times New Roman" w:cs="Times New Roman"/>
        </w:rPr>
        <w:sym w:font="Symbol" w:char="F07E"/>
      </w:r>
      <w:r w:rsidR="002E5D50" w:rsidRPr="00886C9E">
        <w:rPr>
          <w:rFonts w:ascii="Times New Roman" w:hAnsi="Times New Roman" w:cs="Times New Roman"/>
        </w:rPr>
        <w:t>90%) after a single dose</w:t>
      </w:r>
      <w:r w:rsidR="0031732F" w:rsidRPr="00886C9E">
        <w:rPr>
          <w:rFonts w:ascii="Times New Roman" w:hAnsi="Times New Roman" w:cs="Times New Roman"/>
        </w:rPr>
        <w:t>,</w:t>
      </w:r>
      <w:r w:rsidR="002E5D50" w:rsidRPr="00886C9E">
        <w:rPr>
          <w:rFonts w:ascii="Times New Roman" w:hAnsi="Times New Roman" w:cs="Times New Roman"/>
        </w:rPr>
        <w:fldChar w:fldCharType="begin" w:fldLock="1"/>
      </w:r>
      <w:r w:rsidR="0031732F" w:rsidRPr="00886C9E">
        <w:rPr>
          <w:rFonts w:ascii="Times New Roman" w:hAnsi="Times New Roman" w:cs="Times New Roman"/>
        </w:rPr>
        <w:instrText>ADDIN CSL_CITATION { "citationItems" : [ { "id" : "ITEM-1", "itemData" : { "ISSN" : "0066-4804", "PMID" : "9303383", "abstract" : "The activities of glycopeptides against pneumococci were studied in vitro and in vivo. The MICs of two glycopeptides, vancomycin and teicoplanin, in different media against 10 strains of pneumococci with different susceptibilities to penicillin were determined. The MICs of teicoplanin were four times lower than those of vancomycin in Mueller-Hinton media supplemented with 5% blood, but the MICs were similar in mouse and human sera supplemented with 5% blood. The serum protein binding levels in mouse and human sera were 90% for teicoplanin in both and 25 and 35%, respectively, for vancomycin. The MICs for vancomycin and teicoplanin were only correlated in human serum (P &lt; 0.001). The single doses giving protection to 50% of the animals in the mouse peritonitis model after a lethal challenge of pneumococci, the ED50s, were similar for vancomycin and teicoplanin, between 0.1 and 1 mg/kg of body weight for all 10 strains. The log ED50s were significantly correlated only to the log MICs of teicoplanin determined for mouse serum with 5% blood (P = 0.01) and to the log MICs of vancomycin determined by the E test (P = 0.03). Among the pharmacokinetic parameters analyzed at the ED50s, the most constant parameter was the time for which the drug concentration exceeded the MIC (T(&gt;MIC)) when each drug was considered separately; however, when both drugs were considered together, the maximum concentration of drug in serum (Cmax) varied the least. This indicates that both these parameters are of importance for predicting the effect of the drugs. We conclude that the effect of glycopeptides was not influenced by the penicillin resistance of the pneumococci, either in vitro or in vivo, and that the superior activity of teicoplanin over that of vancomycin in vitro was abolished in vivo, an effect which probably was due to the high serum protein binding of teicoplanin. Both the pharmacokinetic parameters T(&gt;MIC) and Cmax are important predicting the effect of glycopeptides, but the pharmacodynamics of glycopeptides are still not completely elucidated.", "author" : [ { "dropping-particle" : "", "family" : "Knudsen", "given" : "J D", "non-dropping-particle" : "", "parse-names" : false, "suffix" : "" }, { "dropping-particle" : "", "family" : "Fuursted", "given" : "K", "non-dropping-particle" : "", "parse-names" : false, "suffix" : "" }, { "dropping-particle" : "", "family" : "Espersen", "given" : "F", "non-dropping-particle" : "", "parse-names" : false, "suffix" : "" }, { "dropping-particle" : "", "family" : "Frimodt-M\u00f8ller", "given" : "N", "non-dropping-particle" : "", "parse-names" : false, "suffix" : "" } ], "container-title" : "Antimicrobial agents and chemotherapy", "id" : "ITEM-1", "issue" : "9", "issued" : { "date-parts" : [ [ "1997", "9" ] ] }, "page" : "1910-5", "title" : "Activities of vancomycin and teicoplanin against penicillin-resistant pneumococci in vitro and in vivo and correlation to pharmacokinetic parameters in the mouse peritonitis model.", "type" : "article-journal", "volume" : "41" }, "uris" : [ "http://www.mendeley.com/documents/?uuid=8e7a1081-7e3c-3ceb-92a6-2292360ed813" ] }, { "id" : "ITEM-2", "itemData" : { "author" : [ { "dropping-particle" : "", "family" : "Wilson", "given" : "A Peter R", "non-dropping-particle" : "", "parse-names" : false, "suffix" : "" } ], "container-title" : "Clinical Pharmacokinetics", "id" : "ITEM-2", "issue" : "3", "issued" : { "date-parts" : [ [ "2000" ] ] }, "page" : "167-183", "title" : "Clinical Pharmacokinetics of Teicoplanin", "type" : "article-journal", "volume" : "39" }, "uris" : [ "http://www.mendeley.com/documents/?uuid=5d90c991-5ad5-4aa3-9920-f6c66c6368c2" ] } ], "mendeley" : { "formattedCitation" : "&lt;sup&gt;3,32&lt;/sup&gt;", "plainTextFormattedCitation" : "3,32", "previouslyFormattedCitation" : "&lt;sup&gt;3,32&lt;/sup&gt;" }, "properties" : { "noteIndex" : 0 }, "schema" : "https://github.com/citation-style-language/schema/raw/master/csl-citation.json" }</w:instrText>
      </w:r>
      <w:r w:rsidR="002E5D50" w:rsidRPr="00886C9E">
        <w:rPr>
          <w:rFonts w:ascii="Times New Roman" w:hAnsi="Times New Roman" w:cs="Times New Roman"/>
        </w:rPr>
        <w:fldChar w:fldCharType="separate"/>
      </w:r>
      <w:r w:rsidR="002E5D50" w:rsidRPr="00886C9E">
        <w:rPr>
          <w:rFonts w:ascii="Times New Roman" w:hAnsi="Times New Roman" w:cs="Times New Roman"/>
          <w:noProof/>
          <w:vertAlign w:val="superscript"/>
        </w:rPr>
        <w:t>3,32</w:t>
      </w:r>
      <w:r w:rsidR="002E5D50" w:rsidRPr="00886C9E">
        <w:rPr>
          <w:rFonts w:ascii="Times New Roman" w:hAnsi="Times New Roman" w:cs="Times New Roman"/>
        </w:rPr>
        <w:fldChar w:fldCharType="end"/>
      </w:r>
      <w:r w:rsidR="002E5D50" w:rsidRPr="00886C9E">
        <w:rPr>
          <w:rFonts w:ascii="Times New Roman" w:hAnsi="Times New Roman" w:cs="Times New Roman"/>
        </w:rPr>
        <w:t xml:space="preserve">however, many factors can influence the degree of protein binding </w:t>
      </w:r>
      <w:r w:rsidR="002E5D50" w:rsidRPr="00886C9E">
        <w:rPr>
          <w:rFonts w:ascii="Times New Roman" w:hAnsi="Times New Roman" w:cs="Times New Roman"/>
          <w:i/>
        </w:rPr>
        <w:t>in vivo,</w:t>
      </w:r>
      <w:r w:rsidR="002E5D50" w:rsidRPr="00886C9E">
        <w:rPr>
          <w:rFonts w:ascii="Times New Roman" w:hAnsi="Times New Roman" w:cs="Times New Roman"/>
        </w:rPr>
        <w:t xml:space="preserve"> particularly in the patient (</w:t>
      </w:r>
      <w:proofErr w:type="spellStart"/>
      <w:r w:rsidR="002E5D50" w:rsidRPr="00886C9E">
        <w:rPr>
          <w:rFonts w:ascii="Times New Roman" w:hAnsi="Times New Roman" w:cs="Times New Roman"/>
        </w:rPr>
        <w:t>i.e</w:t>
      </w:r>
      <w:proofErr w:type="spellEnd"/>
      <w:r w:rsidR="002E5D50" w:rsidRPr="00886C9E">
        <w:rPr>
          <w:rFonts w:ascii="Times New Roman" w:hAnsi="Times New Roman" w:cs="Times New Roman"/>
        </w:rPr>
        <w:t xml:space="preserve"> disease status, drug concentration, nature and concentration of proteins, interaction with other drugs and endogenous substances, </w:t>
      </w:r>
      <w:proofErr w:type="spellStart"/>
      <w:r w:rsidR="002E5D50" w:rsidRPr="00886C9E">
        <w:rPr>
          <w:rFonts w:ascii="Times New Roman" w:hAnsi="Times New Roman" w:cs="Times New Roman"/>
        </w:rPr>
        <w:t>etc</w:t>
      </w:r>
      <w:proofErr w:type="spellEnd"/>
      <w:r w:rsidR="002E5D50" w:rsidRPr="00886C9E">
        <w:rPr>
          <w:rFonts w:ascii="Times New Roman" w:hAnsi="Times New Roman" w:cs="Times New Roman"/>
        </w:rPr>
        <w:t xml:space="preserve">). Its effect on the drug´s activity and tissue penetration in the murine model with respect to its clinical relevance, is still poorly understood and warrants further study </w:t>
      </w:r>
      <w:r w:rsidR="002E5D50" w:rsidRPr="00886C9E">
        <w:rPr>
          <w:rFonts w:ascii="Times New Roman" w:hAnsi="Times New Roman" w:cs="Times New Roman"/>
        </w:rPr>
        <w:fldChar w:fldCharType="begin" w:fldLock="1"/>
      </w:r>
      <w:r w:rsidR="0031732F" w:rsidRPr="00886C9E">
        <w:rPr>
          <w:rFonts w:ascii="Times New Roman" w:hAnsi="Times New Roman" w:cs="Times New Roman"/>
        </w:rPr>
        <w:instrText>ADDIN CSL_CITATION { "citationItems" : [ { "id" : "ITEM-1", "itemData" : { "DOI" : "10.1128/AAC.35.10.1953", "ISBN" : "0066-4804 (Print) 0066-4804", "ISSN" : "00664804", "PMID" : "1759813", "author" : [ { "dropping-particle" : "", "family" : "Nix", "given" : "D. E.", "non-dropping-particle" : "", "parse-names" : false, "suffix" : "" }, { "dropping-particle" : "", "family" : "Goodwin", "given" : "S. D.", "non-dropping-particle" : "", "parse-names" : false, "suffix" : "" }, { "dropping-particle" : "", "family" : "Peloquin", "given" : "C. A.", "non-dropping-particle" : "", "parse-names" : false, "suffix" : "" }, { "dropping-particle" : "", "family" : "Rotella", "given" : "D. L.", "non-dropping-particle" : "", "parse-names" : false, "suffix" : "" }, { "dropping-particle" : "", "family" : "Schentag", "given" : "J. J.", "non-dropping-particle" : "", "parse-names" : false, "suffix" : "" } ], "container-title" : "Antimicrobial Agents and Chemotherapy", "id" : "ITEM-1", "issue" : "10", "issued" : { "date-parts" : [ [ "1991" ] ] }, "page" : "1953-1959", "title" : "Antibiotic tissue penetration and its relevance: Impact of tissue penetration on infection response", "type" : "article-journal", "volume" : "35" }, "uris" : [ "http://www.mendeley.com/documents/?uuid=2f1ebd76-c9dd-460f-8a5a-00fd67a96ea7" ] } ], "mendeley" : { "formattedCitation" : "&lt;sup&gt;33&lt;/sup&gt;", "plainTextFormattedCitation" : "33", "previouslyFormattedCitation" : "&lt;sup&gt;33&lt;/sup&gt;" }, "properties" : { "noteIndex" : 0 }, "schema" : "https://github.com/citation-style-language/schema/raw/master/csl-citation.json" }</w:instrText>
      </w:r>
      <w:r w:rsidR="002E5D50" w:rsidRPr="00886C9E">
        <w:rPr>
          <w:rFonts w:ascii="Times New Roman" w:hAnsi="Times New Roman" w:cs="Times New Roman"/>
        </w:rPr>
        <w:fldChar w:fldCharType="separate"/>
      </w:r>
      <w:r w:rsidR="002E5D50" w:rsidRPr="00886C9E">
        <w:rPr>
          <w:rFonts w:ascii="Times New Roman" w:hAnsi="Times New Roman" w:cs="Times New Roman"/>
          <w:noProof/>
          <w:vertAlign w:val="superscript"/>
        </w:rPr>
        <w:t>33</w:t>
      </w:r>
      <w:r w:rsidR="002E5D50" w:rsidRPr="00886C9E">
        <w:rPr>
          <w:rFonts w:ascii="Times New Roman" w:hAnsi="Times New Roman" w:cs="Times New Roman"/>
        </w:rPr>
        <w:fldChar w:fldCharType="end"/>
      </w:r>
      <w:r w:rsidR="002E5D50" w:rsidRPr="00886C9E">
        <w:rPr>
          <w:rFonts w:ascii="Times New Roman" w:hAnsi="Times New Roman" w:cs="Times New Roman"/>
        </w:rPr>
        <w:t>.</w:t>
      </w:r>
      <w:r w:rsidR="00786604" w:rsidRPr="00886C9E">
        <w:rPr>
          <w:rFonts w:ascii="Times" w:hAnsi="Times" w:cs="Times New Roman"/>
        </w:rPr>
        <w:t>In contrast, the hollow fibre</w:t>
      </w:r>
      <w:r w:rsidR="002D536E" w:rsidRPr="00886C9E">
        <w:rPr>
          <w:rFonts w:ascii="Times" w:hAnsi="Times" w:cs="Times New Roman"/>
        </w:rPr>
        <w:t xml:space="preserve"> infection</w:t>
      </w:r>
      <w:r w:rsidR="00786604" w:rsidRPr="00886C9E">
        <w:rPr>
          <w:rFonts w:ascii="Times" w:hAnsi="Times" w:cs="Times New Roman"/>
        </w:rPr>
        <w:t xml:space="preserve"> model enabled us to explore the pharmacodynamic relationships important for the </w:t>
      </w:r>
      <w:r w:rsidR="00CC2810" w:rsidRPr="00886C9E">
        <w:rPr>
          <w:rFonts w:ascii="Times" w:hAnsi="Times" w:cs="Times New Roman"/>
        </w:rPr>
        <w:t>suppression</w:t>
      </w:r>
      <w:r w:rsidR="00786604" w:rsidRPr="00886C9E">
        <w:rPr>
          <w:rFonts w:ascii="Times" w:hAnsi="Times" w:cs="Times New Roman"/>
        </w:rPr>
        <w:t xml:space="preserve"> of resistance</w:t>
      </w:r>
      <w:r w:rsidR="002E5D50" w:rsidRPr="00886C9E">
        <w:rPr>
          <w:rFonts w:ascii="Times" w:hAnsi="Times" w:cs="Times New Roman"/>
        </w:rPr>
        <w:t xml:space="preserve"> by means of using a higher inoculum size</w:t>
      </w:r>
      <w:r w:rsidR="000B7C0A" w:rsidRPr="00886C9E">
        <w:rPr>
          <w:rFonts w:ascii="Times" w:hAnsi="Times" w:cs="Times New Roman"/>
        </w:rPr>
        <w:t xml:space="preserve"> (10^9 vs 10^6 CFU/mL or g, respectively)</w:t>
      </w:r>
      <w:r w:rsidR="002E5D50" w:rsidRPr="00886C9E">
        <w:rPr>
          <w:rFonts w:ascii="Times" w:hAnsi="Times" w:cs="Times New Roman"/>
        </w:rPr>
        <w:t xml:space="preserve"> and</w:t>
      </w:r>
      <w:r w:rsidR="000B7C0A" w:rsidRPr="00886C9E">
        <w:rPr>
          <w:rFonts w:ascii="Times" w:hAnsi="Times" w:cs="Times New Roman"/>
        </w:rPr>
        <w:t xml:space="preserve"> a</w:t>
      </w:r>
      <w:r w:rsidR="002E5D50" w:rsidRPr="00886C9E">
        <w:rPr>
          <w:rFonts w:ascii="Times" w:hAnsi="Times" w:cs="Times New Roman"/>
        </w:rPr>
        <w:t xml:space="preserve"> longer duration of therapy (7 days </w:t>
      </w:r>
      <w:r w:rsidR="002E5D50" w:rsidRPr="00886C9E">
        <w:rPr>
          <w:rFonts w:ascii="Times" w:hAnsi="Times" w:cs="Times New Roman"/>
          <w:i/>
        </w:rPr>
        <w:t>versus</w:t>
      </w:r>
      <w:r w:rsidR="002E5D50" w:rsidRPr="00886C9E">
        <w:rPr>
          <w:rFonts w:ascii="Times" w:hAnsi="Times" w:cs="Times New Roman"/>
        </w:rPr>
        <w:t xml:space="preserve"> 24 h)</w:t>
      </w:r>
      <w:r w:rsidR="00786604" w:rsidRPr="00886C9E">
        <w:rPr>
          <w:rFonts w:ascii="Times" w:hAnsi="Times" w:cs="Times New Roman"/>
        </w:rPr>
        <w:t xml:space="preserve">. </w:t>
      </w:r>
      <w:r w:rsidR="0031732F" w:rsidRPr="00886C9E">
        <w:rPr>
          <w:rFonts w:ascii="Times" w:hAnsi="Times" w:cs="Times New Roman"/>
        </w:rPr>
        <w:t xml:space="preserve">Notably, an </w:t>
      </w:r>
      <w:r w:rsidR="002E5D50" w:rsidRPr="00886C9E">
        <w:rPr>
          <w:rFonts w:ascii="Times New Roman" w:hAnsi="Times New Roman" w:cs="Times New Roman"/>
        </w:rPr>
        <w:t>inoculum effect</w:t>
      </w:r>
      <w:r w:rsidR="0031732F" w:rsidRPr="00886C9E">
        <w:rPr>
          <w:rFonts w:ascii="Times New Roman" w:hAnsi="Times New Roman" w:cs="Times New Roman"/>
        </w:rPr>
        <w:t xml:space="preserve"> needs to be taken into acc</w:t>
      </w:r>
      <w:r w:rsidR="000B7C0A" w:rsidRPr="00886C9E">
        <w:rPr>
          <w:rFonts w:ascii="Times New Roman" w:hAnsi="Times New Roman" w:cs="Times New Roman"/>
        </w:rPr>
        <w:t xml:space="preserve">ount </w:t>
      </w:r>
      <w:r w:rsidR="0031732F" w:rsidRPr="00886C9E">
        <w:rPr>
          <w:rFonts w:ascii="Times New Roman" w:hAnsi="Times New Roman" w:cs="Times New Roman"/>
        </w:rPr>
        <w:t>as it</w:t>
      </w:r>
      <w:r w:rsidR="002E5D50" w:rsidRPr="00886C9E">
        <w:rPr>
          <w:rFonts w:ascii="Times New Roman" w:hAnsi="Times New Roman" w:cs="Times New Roman"/>
        </w:rPr>
        <w:t xml:space="preserve"> has been shown to be particularly important in staphylococci, where 3-10 fold increase in drug exposures, were required for </w:t>
      </w:r>
      <w:r w:rsidR="000B7C0A" w:rsidRPr="00886C9E">
        <w:rPr>
          <w:rFonts w:ascii="Times New Roman" w:hAnsi="Times New Roman" w:cs="Times New Roman"/>
          <w:i/>
        </w:rPr>
        <w:t>in vivo</w:t>
      </w:r>
      <w:r w:rsidR="000B7C0A" w:rsidRPr="00886C9E">
        <w:rPr>
          <w:rFonts w:ascii="Times New Roman" w:hAnsi="Times New Roman" w:cs="Times New Roman"/>
        </w:rPr>
        <w:t xml:space="preserve"> </w:t>
      </w:r>
      <w:r w:rsidR="002E5D50" w:rsidRPr="00886C9E">
        <w:rPr>
          <w:rFonts w:ascii="Times New Roman" w:hAnsi="Times New Roman" w:cs="Times New Roman"/>
        </w:rPr>
        <w:t>stasis as the inoculum increased from 5 to 7 log</w:t>
      </w:r>
      <w:r w:rsidR="002E5D50" w:rsidRPr="00886C9E">
        <w:rPr>
          <w:rFonts w:ascii="Times New Roman" w:hAnsi="Times New Roman" w:cs="Times New Roman"/>
          <w:vertAlign w:val="subscript"/>
        </w:rPr>
        <w:t>10</w:t>
      </w:r>
      <w:r w:rsidR="0031732F" w:rsidRPr="00886C9E">
        <w:rPr>
          <w:rFonts w:ascii="Times New Roman" w:hAnsi="Times New Roman" w:cs="Times New Roman"/>
        </w:rPr>
        <w:t>.</w:t>
      </w:r>
      <w:r w:rsidR="0031732F" w:rsidRPr="00886C9E">
        <w:rPr>
          <w:rFonts w:ascii="Times New Roman" w:hAnsi="Times New Roman" w:cs="Times New Roman"/>
        </w:rPr>
        <w:fldChar w:fldCharType="begin" w:fldLock="1"/>
      </w:r>
      <w:r w:rsidR="0031732F" w:rsidRPr="00886C9E">
        <w:rPr>
          <w:rFonts w:ascii="Times New Roman" w:hAnsi="Times New Roman" w:cs="Times New Roman"/>
        </w:rPr>
        <w:instrText>ADDIN CSL_CITATION { "citationItems" : [ { "id" : "ITEM-1", "itemData" : { "DOI" : "10.1128/AAC.00362-12", "ISSN" : "00664804", "PMID" : "23295932", "abstract" : "Reduced bactericidal efficacy at a high inoculum is known as the inoculum effect (IE). We used neutropenic mice to compare the IEs of ceftobiprole (CFB), daptomycin (DAP), linezolid (LZD), and vancomycin (VAN) against 6 to 9 strains of Staphylococcus aureus and 4 strains of Streptococcus pneumoniae at 2 inocula in opposite thighs of the same mice. Neutropenic mice had 10(4.5) to 10(5.7) CFU/thigh (low inoculum [LI]) in one thigh and 10(6.4) to 10(7.2) CFU/thigh (high inoculum [HI]) in the opposite thigh when treated for 24 h with subcutaneous (s.c.) doses every 12 h of DAP at 0.024 to 100 mg/kg of body weight and LZD at 0.313 to 320 mg/kg and s.c. doses every 6 h of CFB at 0.003 to 160 mg/kg and VAN at 0.049 to 800 mg/kg. Dose-response data were analyzed by a maximum effect (E(max)) model using nonlinear regression. Static doses for each drug and at each inoculum were calculated, and the difference between HI and LI (IE index) gave the magnitude of IE for each drug-organism combination. Mean (range) IE indexes of S. aureus were 2.9 (1.7 to 4.6) for CFB, 4.1 (2.6 to 9.3) for DAP, 4.6 (1.7 to 7.1) for LZD, and 10.1 (6.3 to 20.3) for VAN. In S. pneumoniae, the IE indexes were 2.5 (1.3 to 3.3) for CFB, 2.0 (1.6 to 2.8) for DAP, 1.9 (1.7 to 2.2) for LZD, and 1.5 (0.8 to 3.2) for VAN; these values were similar for all drugs. In S. aureus, the IE was much larger with VAN than with CFB, DAM, and LZD (P &lt; 0.05). An in vivo time course of vancomycin activity showed initiation of killing at 4- to 16-fold-higher doses at HI than at LI despite similar initial growth of controls.", "author" : [ { "dropping-particle" : "", "family" : "Lee", "given" : "Dong Gun", "non-dropping-particle" : "", "parse-names" : false, "suffix" : "" }, { "dropping-particle" : "", "family" : "Murakami", "given" : "Yoichi", "non-dropping-particle" : "", "parse-names" : false, "suffix" : "" }, { "dropping-particle" : "", "family" : "Andes", "given" : "David R.", "non-dropping-particle" : "", "parse-names" : false, "suffix" : "" }, { "dropping-particle" : "", "family" : "Craig", "given" : "William A.", "non-dropping-particle" : "", "parse-names" : false, "suffix" : "" } ], "container-title" : "Antimicrobial Agents and Chemotherapy", "id" : "ITEM-1", "issue" : "3", "issued" : { "date-parts" : [ [ "2013" ] ] }, "page" : "1434-1441", "title" : "Inoculum effects of ceftobiprole, daptomycin, linezolid, and vancomycin with staphylococcus aureus and streptococcus pneumoniae at inocula of 10 5 and 107 CFU injected into opposite thighs of neutropenic mice", "type" : "article-journal", "volume" : "57" }, "uris" : [ "http://www.mendeley.com/documents/?uuid=df82964c-0379-483b-8ef2-16c0e8489e60" ] } ], "mendeley" : { "formattedCitation" : "&lt;sup&gt;34&lt;/sup&gt;", "plainTextFormattedCitation" : "34" }, "properties" : { "noteIndex" : 0 }, "schema" : "https://github.com/citation-style-language/schema/raw/master/csl-citation.json" }</w:instrText>
      </w:r>
      <w:r w:rsidR="0031732F" w:rsidRPr="00886C9E">
        <w:rPr>
          <w:rFonts w:ascii="Times New Roman" w:hAnsi="Times New Roman" w:cs="Times New Roman"/>
        </w:rPr>
        <w:fldChar w:fldCharType="separate"/>
      </w:r>
      <w:r w:rsidR="0031732F" w:rsidRPr="00886C9E">
        <w:rPr>
          <w:rFonts w:ascii="Times New Roman" w:hAnsi="Times New Roman" w:cs="Times New Roman"/>
          <w:noProof/>
          <w:vertAlign w:val="superscript"/>
        </w:rPr>
        <w:t>34</w:t>
      </w:r>
      <w:r w:rsidR="0031732F" w:rsidRPr="00886C9E">
        <w:rPr>
          <w:rFonts w:ascii="Times New Roman" w:hAnsi="Times New Roman" w:cs="Times New Roman"/>
        </w:rPr>
        <w:fldChar w:fldCharType="end"/>
      </w:r>
      <w:r w:rsidR="000B7C0A" w:rsidRPr="00886C9E">
        <w:rPr>
          <w:rFonts w:ascii="Times" w:hAnsi="Times" w:cs="Times New Roman"/>
        </w:rPr>
        <w:t xml:space="preserve">The clinical relevance of these higher </w:t>
      </w:r>
      <w:proofErr w:type="spellStart"/>
      <w:r w:rsidR="000B7C0A" w:rsidRPr="00886C9E">
        <w:rPr>
          <w:rFonts w:ascii="Times" w:hAnsi="Times" w:cs="Times New Roman"/>
        </w:rPr>
        <w:t>inocula</w:t>
      </w:r>
      <w:proofErr w:type="spellEnd"/>
      <w:r w:rsidR="000B7C0A" w:rsidRPr="00886C9E">
        <w:rPr>
          <w:rFonts w:ascii="Times" w:hAnsi="Times" w:cs="Times New Roman"/>
        </w:rPr>
        <w:t xml:space="preserve"> used to evaluate the emergence of resistance remains to be cross-validated.</w:t>
      </w:r>
    </w:p>
    <w:p w14:paraId="086A7AAF" w14:textId="53E78887" w:rsidR="009A520D" w:rsidRPr="00886C9E" w:rsidRDefault="00786604" w:rsidP="00FA7634">
      <w:pPr>
        <w:spacing w:line="480" w:lineRule="auto"/>
        <w:ind w:firstLine="708"/>
        <w:jc w:val="both"/>
        <w:rPr>
          <w:rFonts w:ascii="Times" w:hAnsi="Times" w:cs="Times New Roman"/>
        </w:rPr>
      </w:pPr>
      <w:r w:rsidRPr="00886C9E">
        <w:rPr>
          <w:rFonts w:ascii="Times" w:hAnsi="Times" w:cs="Times New Roman"/>
        </w:rPr>
        <w:t>Together, the findings from these</w:t>
      </w:r>
      <w:r w:rsidR="002D536E" w:rsidRPr="00886C9E">
        <w:rPr>
          <w:rFonts w:ascii="Times" w:hAnsi="Times" w:cs="Times New Roman"/>
        </w:rPr>
        <w:t xml:space="preserve"> two</w:t>
      </w:r>
      <w:r w:rsidRPr="00886C9E">
        <w:rPr>
          <w:rFonts w:ascii="Times" w:hAnsi="Times" w:cs="Times New Roman"/>
        </w:rPr>
        <w:t xml:space="preserve"> model systems and pharmacodynamic analyses suggest that </w:t>
      </w:r>
      <w:proofErr w:type="spellStart"/>
      <w:r w:rsidRPr="00886C9E">
        <w:rPr>
          <w:rFonts w:ascii="Times" w:hAnsi="Times" w:cs="Times New Roman"/>
        </w:rPr>
        <w:t>teicoplanin</w:t>
      </w:r>
      <w:proofErr w:type="spellEnd"/>
      <w:r w:rsidRPr="00886C9E">
        <w:rPr>
          <w:rFonts w:ascii="Times" w:hAnsi="Times" w:cs="Times New Roman"/>
        </w:rPr>
        <w:t xml:space="preserve"> should be used with some caution for the treatment of </w:t>
      </w:r>
      <w:r w:rsidRPr="00886C9E">
        <w:rPr>
          <w:rFonts w:ascii="Times" w:hAnsi="Times" w:cs="Times New Roman"/>
        </w:rPr>
        <w:lastRenderedPageBreak/>
        <w:t xml:space="preserve">strains with MICs at the upper </w:t>
      </w:r>
      <w:r w:rsidR="00942BBE" w:rsidRPr="00886C9E">
        <w:rPr>
          <w:rFonts w:ascii="Times" w:hAnsi="Times" w:cs="Times New Roman"/>
        </w:rPr>
        <w:t>edge</w:t>
      </w:r>
      <w:r w:rsidRPr="00886C9E">
        <w:rPr>
          <w:rFonts w:ascii="Times" w:hAnsi="Times" w:cs="Times New Roman"/>
        </w:rPr>
        <w:t xml:space="preserve"> of the wild type population. Therapeutic drug monitoring is a require</w:t>
      </w:r>
      <w:r w:rsidR="0070293F" w:rsidRPr="00886C9E">
        <w:rPr>
          <w:rFonts w:ascii="Times" w:hAnsi="Times" w:cs="Times New Roman"/>
        </w:rPr>
        <w:t>ment</w:t>
      </w:r>
      <w:r w:rsidRPr="00886C9E">
        <w:rPr>
          <w:rFonts w:ascii="Times" w:hAnsi="Times" w:cs="Times New Roman"/>
        </w:rPr>
        <w:t xml:space="preserve"> for </w:t>
      </w:r>
      <w:r w:rsidR="0070293F" w:rsidRPr="00886C9E">
        <w:rPr>
          <w:rFonts w:ascii="Times" w:hAnsi="Times" w:cs="Times New Roman"/>
        </w:rPr>
        <w:t xml:space="preserve">the treatment of </w:t>
      </w:r>
      <w:r w:rsidRPr="00886C9E">
        <w:rPr>
          <w:rFonts w:ascii="Times" w:hAnsi="Times" w:cs="Times New Roman"/>
        </w:rPr>
        <w:t xml:space="preserve">serious infections to </w:t>
      </w:r>
      <w:r w:rsidR="0070293F" w:rsidRPr="00886C9E">
        <w:rPr>
          <w:rFonts w:ascii="Times" w:hAnsi="Times" w:cs="Times New Roman"/>
        </w:rPr>
        <w:t>minimise the probability of concentration depend</w:t>
      </w:r>
      <w:r w:rsidR="00FA621C" w:rsidRPr="00886C9E">
        <w:rPr>
          <w:rFonts w:ascii="Times" w:hAnsi="Times" w:cs="Times New Roman"/>
        </w:rPr>
        <w:t>e</w:t>
      </w:r>
      <w:r w:rsidR="0070293F" w:rsidRPr="00886C9E">
        <w:rPr>
          <w:rFonts w:ascii="Times" w:hAnsi="Times" w:cs="Times New Roman"/>
        </w:rPr>
        <w:t xml:space="preserve">nt therapeutic failure. </w:t>
      </w:r>
      <w:r w:rsidRPr="00886C9E">
        <w:rPr>
          <w:rFonts w:ascii="Times" w:hAnsi="Times" w:cs="Times New Roman"/>
        </w:rPr>
        <w:t xml:space="preserve"> </w:t>
      </w:r>
    </w:p>
    <w:p w14:paraId="7F8AB59C" w14:textId="1900A302" w:rsidR="009C05AE" w:rsidRPr="00886C9E" w:rsidRDefault="009C05AE" w:rsidP="00B92EF8">
      <w:pPr>
        <w:spacing w:line="480" w:lineRule="auto"/>
        <w:ind w:firstLine="708"/>
        <w:jc w:val="both"/>
        <w:rPr>
          <w:rFonts w:ascii="Times" w:hAnsi="Times" w:cs="Times New Roman"/>
        </w:rPr>
      </w:pPr>
    </w:p>
    <w:p w14:paraId="7635CD1D" w14:textId="77777777" w:rsidR="005A0A63" w:rsidRPr="00886C9E" w:rsidRDefault="005A0A63" w:rsidP="00B92EF8">
      <w:pPr>
        <w:spacing w:line="480" w:lineRule="auto"/>
        <w:jc w:val="both"/>
        <w:rPr>
          <w:rFonts w:ascii="Times" w:hAnsi="Times" w:cs="Times New Roman"/>
        </w:rPr>
      </w:pPr>
    </w:p>
    <w:p w14:paraId="090AD14B" w14:textId="77777777" w:rsidR="00023ED4" w:rsidRPr="00886C9E" w:rsidRDefault="00023ED4">
      <w:pPr>
        <w:spacing w:line="480" w:lineRule="auto"/>
        <w:jc w:val="both"/>
        <w:rPr>
          <w:rFonts w:ascii="Times" w:hAnsi="Times" w:cs="Times New Roman"/>
        </w:rPr>
        <w:sectPr w:rsidR="00023ED4" w:rsidRPr="00886C9E" w:rsidSect="001105B2">
          <w:pgSz w:w="11900" w:h="16840"/>
          <w:pgMar w:top="1417" w:right="1701" w:bottom="1417" w:left="1701" w:header="708" w:footer="708" w:gutter="0"/>
          <w:lnNumType w:countBy="1" w:restart="continuous"/>
          <w:cols w:space="708"/>
          <w:docGrid w:linePitch="360"/>
        </w:sectPr>
      </w:pPr>
    </w:p>
    <w:p w14:paraId="59DB06D4" w14:textId="42A1CEE1" w:rsidR="00942BBE" w:rsidRPr="00886C9E" w:rsidRDefault="00942BBE" w:rsidP="00CF4DDF">
      <w:pPr>
        <w:spacing w:line="480" w:lineRule="auto"/>
        <w:jc w:val="both"/>
        <w:rPr>
          <w:rFonts w:ascii="Times" w:hAnsi="Times" w:cs="Times New Roman"/>
        </w:rPr>
      </w:pPr>
      <w:r w:rsidRPr="00886C9E">
        <w:rPr>
          <w:rFonts w:ascii="Times" w:hAnsi="Times" w:cs="Times New Roman"/>
        </w:rPr>
        <w:lastRenderedPageBreak/>
        <w:t>ACKNOWLEDGEMENTS</w:t>
      </w:r>
    </w:p>
    <w:p w14:paraId="548A5BBD" w14:textId="0B8B8B95" w:rsidR="00942BBE" w:rsidRPr="00886C9E" w:rsidRDefault="00942BBE" w:rsidP="00CF4DDF">
      <w:pPr>
        <w:spacing w:line="480" w:lineRule="auto"/>
        <w:ind w:firstLine="708"/>
        <w:jc w:val="both"/>
        <w:rPr>
          <w:rFonts w:ascii="Times New Roman" w:hAnsi="Times New Roman" w:cs="Times New Roman"/>
          <w:color w:val="262626"/>
        </w:rPr>
      </w:pPr>
      <w:r w:rsidRPr="00886C9E">
        <w:rPr>
          <w:rFonts w:ascii="Times" w:hAnsi="Times" w:cs="Times New Roman"/>
        </w:rPr>
        <w:t xml:space="preserve">We would like to thank the </w:t>
      </w:r>
      <w:r w:rsidR="00FF03B5" w:rsidRPr="00886C9E">
        <w:rPr>
          <w:rFonts w:ascii="Times" w:hAnsi="Times" w:cs="Times New Roman"/>
        </w:rPr>
        <w:t xml:space="preserve">team </w:t>
      </w:r>
      <w:r w:rsidRPr="00886C9E">
        <w:rPr>
          <w:rFonts w:ascii="Times" w:hAnsi="Times" w:cs="Times New Roman"/>
        </w:rPr>
        <w:t xml:space="preserve">of </w:t>
      </w:r>
      <w:r w:rsidR="00FF03B5" w:rsidRPr="00886C9E">
        <w:rPr>
          <w:rFonts w:ascii="Times New Roman" w:hAnsi="Times New Roman" w:cs="Times New Roman"/>
          <w:color w:val="262626"/>
        </w:rPr>
        <w:t xml:space="preserve">EUCAST Development Laboratory (Clinical Microbiology), </w:t>
      </w:r>
      <w:proofErr w:type="spellStart"/>
      <w:r w:rsidR="00FF03B5" w:rsidRPr="00886C9E">
        <w:rPr>
          <w:rFonts w:ascii="Times New Roman" w:hAnsi="Times New Roman" w:cs="Times New Roman"/>
          <w:color w:val="262626"/>
        </w:rPr>
        <w:t>Växjö</w:t>
      </w:r>
      <w:proofErr w:type="spellEnd"/>
      <w:r w:rsidR="00FF03B5" w:rsidRPr="00886C9E">
        <w:rPr>
          <w:rFonts w:ascii="Times New Roman" w:hAnsi="Times New Roman" w:cs="Times New Roman"/>
          <w:color w:val="262626"/>
        </w:rPr>
        <w:t xml:space="preserve">, Sweden and especially: Erika </w:t>
      </w:r>
      <w:proofErr w:type="spellStart"/>
      <w:r w:rsidR="00FF03B5" w:rsidRPr="00886C9E">
        <w:rPr>
          <w:rFonts w:ascii="Times New Roman" w:hAnsi="Times New Roman" w:cs="Times New Roman"/>
          <w:color w:val="262626"/>
        </w:rPr>
        <w:t>Matuschek</w:t>
      </w:r>
      <w:proofErr w:type="spellEnd"/>
      <w:r w:rsidR="00FF03B5" w:rsidRPr="00886C9E">
        <w:rPr>
          <w:rFonts w:ascii="Times New Roman" w:hAnsi="Times New Roman" w:cs="Times New Roman"/>
          <w:color w:val="262626"/>
        </w:rPr>
        <w:t xml:space="preserve">, Jenny </w:t>
      </w:r>
      <w:proofErr w:type="spellStart"/>
      <w:r w:rsidR="00FF03B5" w:rsidRPr="00886C9E">
        <w:rPr>
          <w:rFonts w:ascii="Times New Roman" w:hAnsi="Times New Roman" w:cs="Times New Roman"/>
          <w:color w:val="262626"/>
        </w:rPr>
        <w:t>Ahman</w:t>
      </w:r>
      <w:proofErr w:type="spellEnd"/>
      <w:r w:rsidR="00FF03B5" w:rsidRPr="00886C9E">
        <w:rPr>
          <w:rFonts w:ascii="Times New Roman" w:hAnsi="Times New Roman" w:cs="Times New Roman"/>
          <w:color w:val="262626"/>
        </w:rPr>
        <w:t xml:space="preserve"> and Gunnar </w:t>
      </w:r>
      <w:proofErr w:type="spellStart"/>
      <w:r w:rsidR="00FF03B5" w:rsidRPr="00886C9E">
        <w:rPr>
          <w:rFonts w:ascii="Times New Roman" w:hAnsi="Times New Roman" w:cs="Times New Roman"/>
          <w:color w:val="262626"/>
        </w:rPr>
        <w:t>Kahlmeter</w:t>
      </w:r>
      <w:proofErr w:type="spellEnd"/>
      <w:r w:rsidR="00FF03B5" w:rsidRPr="00886C9E">
        <w:rPr>
          <w:rFonts w:ascii="Times New Roman" w:hAnsi="Times New Roman" w:cs="Times New Roman"/>
          <w:color w:val="262626"/>
        </w:rPr>
        <w:t xml:space="preserve">, for determining the </w:t>
      </w:r>
      <w:proofErr w:type="spellStart"/>
      <w:r w:rsidR="00FF03B5" w:rsidRPr="00886C9E">
        <w:rPr>
          <w:rFonts w:ascii="Times New Roman" w:hAnsi="Times New Roman" w:cs="Times New Roman"/>
          <w:color w:val="262626"/>
        </w:rPr>
        <w:t>teicoplanin</w:t>
      </w:r>
      <w:proofErr w:type="spellEnd"/>
      <w:r w:rsidR="00FF03B5" w:rsidRPr="00886C9E">
        <w:rPr>
          <w:rFonts w:ascii="Times New Roman" w:hAnsi="Times New Roman" w:cs="Times New Roman"/>
          <w:color w:val="262626"/>
        </w:rPr>
        <w:t xml:space="preserve"> MIC of the study strain in the reported work.</w:t>
      </w:r>
    </w:p>
    <w:p w14:paraId="5C7F3622" w14:textId="77777777" w:rsidR="00FF03B5" w:rsidRPr="00886C9E" w:rsidRDefault="00FF03B5" w:rsidP="00CF4DDF">
      <w:pPr>
        <w:spacing w:line="480" w:lineRule="auto"/>
        <w:ind w:firstLine="708"/>
        <w:jc w:val="both"/>
        <w:rPr>
          <w:rFonts w:ascii="Times New Roman" w:hAnsi="Times New Roman" w:cs="Times New Roman"/>
        </w:rPr>
      </w:pPr>
    </w:p>
    <w:p w14:paraId="00EEC95B" w14:textId="5A3A7E39" w:rsidR="00942BBE" w:rsidRPr="00886C9E" w:rsidRDefault="00942BBE" w:rsidP="00CF4DDF">
      <w:pPr>
        <w:spacing w:line="480" w:lineRule="auto"/>
        <w:jc w:val="both"/>
        <w:rPr>
          <w:rFonts w:ascii="Times" w:hAnsi="Times" w:cs="Times New Roman"/>
        </w:rPr>
      </w:pPr>
      <w:r w:rsidRPr="00886C9E">
        <w:rPr>
          <w:rFonts w:ascii="Times" w:hAnsi="Times" w:cs="Times New Roman"/>
        </w:rPr>
        <w:t>FUNDING</w:t>
      </w:r>
    </w:p>
    <w:p w14:paraId="7163C107" w14:textId="7EED9A62" w:rsidR="00FF03B5" w:rsidRPr="00886C9E" w:rsidRDefault="00656699" w:rsidP="00CF4DDF">
      <w:pPr>
        <w:spacing w:line="480" w:lineRule="auto"/>
        <w:ind w:firstLine="708"/>
        <w:jc w:val="both"/>
        <w:rPr>
          <w:rFonts w:ascii="Times New Roman" w:hAnsi="Times New Roman" w:cs="Times New Roman"/>
        </w:rPr>
      </w:pPr>
      <w:r w:rsidRPr="00886C9E">
        <w:rPr>
          <w:rFonts w:ascii="Times New Roman" w:hAnsi="Times New Roman" w:cs="Times New Roman"/>
        </w:rPr>
        <w:t>This study was supported by internal funding.</w:t>
      </w:r>
    </w:p>
    <w:p w14:paraId="033AB991" w14:textId="77777777" w:rsidR="00656699" w:rsidRPr="00886C9E" w:rsidRDefault="00656699" w:rsidP="00CF4DDF">
      <w:pPr>
        <w:spacing w:line="480" w:lineRule="auto"/>
        <w:ind w:firstLine="708"/>
        <w:jc w:val="both"/>
        <w:rPr>
          <w:rFonts w:ascii="Times" w:hAnsi="Times" w:cs="Times New Roman"/>
        </w:rPr>
      </w:pPr>
    </w:p>
    <w:p w14:paraId="63AF6174" w14:textId="2C4C9982" w:rsidR="00942BBE" w:rsidRPr="00886C9E" w:rsidRDefault="00942BBE" w:rsidP="00CF4DDF">
      <w:pPr>
        <w:spacing w:line="480" w:lineRule="auto"/>
        <w:jc w:val="both"/>
        <w:rPr>
          <w:rFonts w:ascii="Times" w:hAnsi="Times" w:cs="Times New Roman"/>
        </w:rPr>
      </w:pPr>
      <w:r w:rsidRPr="00886C9E">
        <w:rPr>
          <w:rFonts w:ascii="Times" w:hAnsi="Times" w:cs="Times New Roman"/>
        </w:rPr>
        <w:t>TRANSPARENCY DECLARATIONS</w:t>
      </w:r>
    </w:p>
    <w:p w14:paraId="108C1AE4" w14:textId="77777777" w:rsidR="00942BBE" w:rsidRPr="00886C9E" w:rsidRDefault="00942BBE" w:rsidP="00CF4DDF">
      <w:pPr>
        <w:spacing w:line="480" w:lineRule="auto"/>
        <w:ind w:firstLine="708"/>
        <w:jc w:val="both"/>
        <w:rPr>
          <w:rFonts w:ascii="Times" w:hAnsi="Times" w:cs="Calibri Bold Italic"/>
        </w:rPr>
      </w:pPr>
      <w:r w:rsidRPr="00886C9E">
        <w:rPr>
          <w:rFonts w:ascii="Times" w:hAnsi="Times" w:cs="Calibri Bold Italic"/>
        </w:rPr>
        <w:t xml:space="preserve">WWH has received research funding from Pfizer, Gilead, </w:t>
      </w:r>
      <w:proofErr w:type="spellStart"/>
      <w:r w:rsidRPr="00886C9E">
        <w:rPr>
          <w:rFonts w:ascii="Times" w:hAnsi="Times" w:cs="Calibri Bold Italic"/>
        </w:rPr>
        <w:t>Astellas</w:t>
      </w:r>
      <w:proofErr w:type="spellEnd"/>
      <w:r w:rsidRPr="00886C9E">
        <w:rPr>
          <w:rFonts w:ascii="Times" w:hAnsi="Times" w:cs="Calibri Bold Italic"/>
        </w:rPr>
        <w:t xml:space="preserve">, </w:t>
      </w:r>
      <w:proofErr w:type="spellStart"/>
      <w:r w:rsidRPr="00886C9E">
        <w:rPr>
          <w:rFonts w:ascii="Times" w:hAnsi="Times" w:cs="Calibri Bold Italic"/>
        </w:rPr>
        <w:t>AiCuris</w:t>
      </w:r>
      <w:proofErr w:type="spellEnd"/>
      <w:r w:rsidRPr="00886C9E">
        <w:rPr>
          <w:rFonts w:ascii="Times" w:hAnsi="Times" w:cs="Calibri Bold Italic"/>
        </w:rPr>
        <w:t xml:space="preserve">, </w:t>
      </w:r>
      <w:proofErr w:type="spellStart"/>
      <w:r w:rsidRPr="00886C9E">
        <w:rPr>
          <w:rFonts w:ascii="Times" w:hAnsi="Times" w:cs="Calibri Bold Italic"/>
        </w:rPr>
        <w:t>Amplyx</w:t>
      </w:r>
      <w:proofErr w:type="spellEnd"/>
      <w:r w:rsidRPr="00886C9E">
        <w:rPr>
          <w:rFonts w:ascii="Times" w:hAnsi="Times" w:cs="Calibri Bold Italic"/>
        </w:rPr>
        <w:t xml:space="preserve">, </w:t>
      </w:r>
      <w:proofErr w:type="spellStart"/>
      <w:r w:rsidRPr="00886C9E">
        <w:rPr>
          <w:rFonts w:ascii="Times" w:hAnsi="Times" w:cs="Calibri Bold Italic"/>
        </w:rPr>
        <w:t>Spero</w:t>
      </w:r>
      <w:proofErr w:type="spellEnd"/>
      <w:r w:rsidRPr="00886C9E">
        <w:rPr>
          <w:rFonts w:ascii="Times" w:hAnsi="Times" w:cs="Calibri Bold Italic"/>
        </w:rPr>
        <w:t xml:space="preserve"> Therapeutics and F2G, and acted as a consultant and/or given talks for Pfizer, </w:t>
      </w:r>
      <w:proofErr w:type="spellStart"/>
      <w:r w:rsidRPr="00886C9E">
        <w:rPr>
          <w:rFonts w:ascii="Times" w:hAnsi="Times" w:cs="Calibri Bold Italic"/>
        </w:rPr>
        <w:t>Basilea</w:t>
      </w:r>
      <w:proofErr w:type="spellEnd"/>
      <w:r w:rsidRPr="00886C9E">
        <w:rPr>
          <w:rFonts w:ascii="Times" w:hAnsi="Times" w:cs="Calibri Bold Italic"/>
        </w:rPr>
        <w:t xml:space="preserve">, </w:t>
      </w:r>
      <w:proofErr w:type="spellStart"/>
      <w:r w:rsidRPr="00886C9E">
        <w:rPr>
          <w:rFonts w:ascii="Times" w:hAnsi="Times" w:cs="Calibri Bold Italic"/>
        </w:rPr>
        <w:t>Astellas</w:t>
      </w:r>
      <w:proofErr w:type="spellEnd"/>
      <w:r w:rsidRPr="00886C9E">
        <w:rPr>
          <w:rFonts w:ascii="Times" w:hAnsi="Times" w:cs="Calibri Bold Italic"/>
        </w:rPr>
        <w:t xml:space="preserve">, F2G, Nordic </w:t>
      </w:r>
      <w:proofErr w:type="gramStart"/>
      <w:r w:rsidRPr="00886C9E">
        <w:rPr>
          <w:rFonts w:ascii="Times" w:hAnsi="Times" w:cs="Calibri Bold Italic"/>
        </w:rPr>
        <w:t>Pharma,  Medicines</w:t>
      </w:r>
      <w:proofErr w:type="gramEnd"/>
      <w:r w:rsidRPr="00886C9E">
        <w:rPr>
          <w:rFonts w:ascii="Times" w:hAnsi="Times" w:cs="Calibri Bold Italic"/>
        </w:rPr>
        <w:t xml:space="preserve"> Company, </w:t>
      </w:r>
      <w:proofErr w:type="spellStart"/>
      <w:r w:rsidRPr="00886C9E">
        <w:rPr>
          <w:rFonts w:ascii="Times" w:hAnsi="Times" w:cs="Calibri Bold Italic"/>
        </w:rPr>
        <w:t>Amplyx</w:t>
      </w:r>
      <w:proofErr w:type="spellEnd"/>
      <w:r w:rsidRPr="00886C9E">
        <w:rPr>
          <w:rFonts w:ascii="Times" w:hAnsi="Times" w:cs="Calibri Bold Italic"/>
        </w:rPr>
        <w:t xml:space="preserve">, Mayne Pharma, </w:t>
      </w:r>
      <w:proofErr w:type="spellStart"/>
      <w:r w:rsidRPr="00886C9E">
        <w:rPr>
          <w:rFonts w:ascii="Times" w:hAnsi="Times" w:cs="Calibri Bold Italic"/>
        </w:rPr>
        <w:t>Spero</w:t>
      </w:r>
      <w:proofErr w:type="spellEnd"/>
      <w:r w:rsidRPr="00886C9E">
        <w:rPr>
          <w:rFonts w:ascii="Times" w:hAnsi="Times" w:cs="Calibri Bold Italic"/>
        </w:rPr>
        <w:t xml:space="preserve"> Therapeutics, </w:t>
      </w:r>
      <w:proofErr w:type="spellStart"/>
      <w:r w:rsidRPr="00886C9E">
        <w:rPr>
          <w:rFonts w:ascii="Times" w:hAnsi="Times" w:cs="Calibri Bold Italic"/>
        </w:rPr>
        <w:t>Auspherix</w:t>
      </w:r>
      <w:proofErr w:type="spellEnd"/>
      <w:r w:rsidRPr="00886C9E">
        <w:rPr>
          <w:rFonts w:ascii="Times" w:hAnsi="Times" w:cs="Calibri Bold Italic"/>
        </w:rPr>
        <w:t xml:space="preserve">, </w:t>
      </w:r>
      <w:proofErr w:type="spellStart"/>
      <w:r w:rsidRPr="00886C9E">
        <w:rPr>
          <w:rFonts w:ascii="Times" w:hAnsi="Times" w:cs="Calibri Bold Italic"/>
        </w:rPr>
        <w:t>Cardeas</w:t>
      </w:r>
      <w:proofErr w:type="spellEnd"/>
      <w:r w:rsidRPr="00886C9E">
        <w:rPr>
          <w:rFonts w:ascii="Times" w:hAnsi="Times" w:cs="Calibri Bold Italic"/>
        </w:rPr>
        <w:t xml:space="preserve"> and </w:t>
      </w:r>
      <w:proofErr w:type="spellStart"/>
      <w:r w:rsidRPr="00886C9E">
        <w:rPr>
          <w:rFonts w:ascii="Times" w:hAnsi="Times" w:cs="Calibri Bold Italic"/>
        </w:rPr>
        <w:t>Pulmocide</w:t>
      </w:r>
      <w:proofErr w:type="spellEnd"/>
      <w:r w:rsidRPr="00886C9E">
        <w:rPr>
          <w:rFonts w:ascii="Calibri Bold Italic" w:hAnsi="Calibri Bold Italic" w:cs="Calibri Bold Italic"/>
          <w:sz w:val="29"/>
          <w:szCs w:val="29"/>
        </w:rPr>
        <w:t>.</w:t>
      </w:r>
    </w:p>
    <w:p w14:paraId="11094945" w14:textId="77777777" w:rsidR="00942BBE" w:rsidRPr="00886C9E" w:rsidRDefault="00942BBE" w:rsidP="00CF4DDF">
      <w:pPr>
        <w:spacing w:line="480" w:lineRule="auto"/>
        <w:jc w:val="both"/>
        <w:rPr>
          <w:rFonts w:ascii="Times" w:hAnsi="Times" w:cs="Times New Roman"/>
        </w:rPr>
      </w:pPr>
    </w:p>
    <w:p w14:paraId="11A9E7F9" w14:textId="77777777" w:rsidR="00942BBE" w:rsidRPr="00886C9E" w:rsidRDefault="00942BBE" w:rsidP="00CF4DDF">
      <w:pPr>
        <w:spacing w:line="480" w:lineRule="auto"/>
        <w:jc w:val="both"/>
        <w:rPr>
          <w:rFonts w:ascii="Times" w:hAnsi="Times" w:cs="Times New Roman"/>
        </w:rPr>
      </w:pPr>
    </w:p>
    <w:p w14:paraId="3E34E378" w14:textId="77777777" w:rsidR="00942BBE" w:rsidRPr="00886C9E" w:rsidRDefault="00942BBE" w:rsidP="00CF4DDF">
      <w:pPr>
        <w:spacing w:line="480" w:lineRule="auto"/>
        <w:jc w:val="both"/>
        <w:rPr>
          <w:rFonts w:ascii="Times" w:hAnsi="Times" w:cs="Times New Roman"/>
        </w:rPr>
      </w:pPr>
    </w:p>
    <w:p w14:paraId="1241AF3F" w14:textId="77777777" w:rsidR="00942BBE" w:rsidRPr="00886C9E" w:rsidRDefault="00942BBE" w:rsidP="00CF4DDF">
      <w:pPr>
        <w:spacing w:line="480" w:lineRule="auto"/>
        <w:jc w:val="both"/>
        <w:rPr>
          <w:rFonts w:ascii="Times" w:hAnsi="Times" w:cs="Times New Roman"/>
        </w:rPr>
        <w:sectPr w:rsidR="00942BBE" w:rsidRPr="00886C9E" w:rsidSect="001105B2">
          <w:pgSz w:w="11900" w:h="16840"/>
          <w:pgMar w:top="1417" w:right="1701" w:bottom="1417" w:left="1701" w:header="708" w:footer="708" w:gutter="0"/>
          <w:lnNumType w:countBy="1" w:restart="continuous"/>
          <w:cols w:space="708"/>
          <w:docGrid w:linePitch="360"/>
        </w:sectPr>
      </w:pPr>
    </w:p>
    <w:p w14:paraId="7F0BD22E" w14:textId="77777777" w:rsidR="005A0A63" w:rsidRPr="00886C9E" w:rsidRDefault="005A0A63" w:rsidP="00CF4DDF">
      <w:pPr>
        <w:spacing w:line="480" w:lineRule="auto"/>
        <w:jc w:val="both"/>
        <w:rPr>
          <w:rFonts w:ascii="Times" w:hAnsi="Times" w:cs="Times New Roman"/>
        </w:rPr>
      </w:pPr>
      <w:r w:rsidRPr="00886C9E">
        <w:rPr>
          <w:rFonts w:ascii="Times" w:hAnsi="Times" w:cs="Times New Roman"/>
        </w:rPr>
        <w:lastRenderedPageBreak/>
        <w:t>REFERENCES</w:t>
      </w:r>
    </w:p>
    <w:p w14:paraId="038B27CD" w14:textId="77777777" w:rsidR="005A0A63" w:rsidRPr="00886C9E" w:rsidRDefault="005A0A63" w:rsidP="00CF4DDF">
      <w:pPr>
        <w:spacing w:line="480" w:lineRule="auto"/>
        <w:jc w:val="both"/>
        <w:rPr>
          <w:rFonts w:ascii="Times" w:hAnsi="Times" w:cs="Times New Roman"/>
        </w:rPr>
      </w:pPr>
    </w:p>
    <w:p w14:paraId="5B770218" w14:textId="4DB3C62F" w:rsidR="0031732F" w:rsidRPr="00886C9E" w:rsidRDefault="00877357" w:rsidP="0031732F">
      <w:pPr>
        <w:widowControl w:val="0"/>
        <w:autoSpaceDE w:val="0"/>
        <w:autoSpaceDN w:val="0"/>
        <w:adjustRightInd w:val="0"/>
        <w:spacing w:line="480" w:lineRule="auto"/>
        <w:rPr>
          <w:rFonts w:ascii="Times" w:hAnsi="Times"/>
          <w:noProof/>
          <w:lang w:val="es-ES"/>
        </w:rPr>
      </w:pPr>
      <w:r w:rsidRPr="00886C9E">
        <w:rPr>
          <w:rFonts w:ascii="Times" w:hAnsi="Times" w:cs="Times New Roman"/>
        </w:rPr>
        <w:fldChar w:fldCharType="begin" w:fldLock="1"/>
      </w:r>
      <w:r w:rsidRPr="00886C9E">
        <w:rPr>
          <w:rFonts w:ascii="Times" w:hAnsi="Times" w:cs="Times New Roman"/>
        </w:rPr>
        <w:instrText xml:space="preserve">ADDIN Mendeley Bibliography CSL_BIBLIOGRAPHY </w:instrText>
      </w:r>
      <w:r w:rsidRPr="00886C9E">
        <w:rPr>
          <w:rFonts w:ascii="Times" w:hAnsi="Times" w:cs="Times New Roman"/>
        </w:rPr>
        <w:fldChar w:fldCharType="separate"/>
      </w:r>
      <w:r w:rsidR="0031732F" w:rsidRPr="00886C9E">
        <w:rPr>
          <w:rFonts w:ascii="Times" w:hAnsi="Times"/>
          <w:noProof/>
          <w:lang w:val="es-ES"/>
        </w:rPr>
        <w:t>1. The Electronic Medicines Compendium. Targocid 200mg - Summary of Product Characteristics (SPC) - (eMC). 2014. Available at: http://www.medicines.org.uk/emc/medicine/27319/SPC. Accessed January 19, 2016.</w:t>
      </w:r>
    </w:p>
    <w:p w14:paraId="7F983612"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2. Cavalcanti AB, Goncalves  a. R, Almeida CS, Gomes DB, Silva E. Teicoplanin versus vancomycin for proven or suspected infection. </w:t>
      </w:r>
      <w:r w:rsidRPr="00886C9E">
        <w:rPr>
          <w:rFonts w:ascii="Times" w:hAnsi="Times"/>
          <w:i/>
          <w:iCs/>
          <w:noProof/>
          <w:lang w:val="es-ES"/>
        </w:rPr>
        <w:t>Cochrane Database Syst Rev</w:t>
      </w:r>
      <w:r w:rsidRPr="00886C9E">
        <w:rPr>
          <w:rFonts w:ascii="Times" w:hAnsi="Times"/>
          <w:noProof/>
          <w:lang w:val="es-ES"/>
        </w:rPr>
        <w:t xml:space="preserve"> 2010.</w:t>
      </w:r>
    </w:p>
    <w:p w14:paraId="0D5F4B33"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3. Wilson APR. Clinical Pharmacokinetics of Teicoplanin. </w:t>
      </w:r>
      <w:r w:rsidRPr="00886C9E">
        <w:rPr>
          <w:rFonts w:ascii="Times" w:hAnsi="Times"/>
          <w:i/>
          <w:iCs/>
          <w:noProof/>
          <w:lang w:val="es-ES"/>
        </w:rPr>
        <w:t>Clin Pharmacokinet</w:t>
      </w:r>
      <w:r w:rsidRPr="00886C9E">
        <w:rPr>
          <w:rFonts w:ascii="Times" w:hAnsi="Times"/>
          <w:noProof/>
          <w:lang w:val="es-ES"/>
        </w:rPr>
        <w:t xml:space="preserve"> 2000; </w:t>
      </w:r>
      <w:r w:rsidRPr="00886C9E">
        <w:rPr>
          <w:rFonts w:ascii="Times" w:hAnsi="Times"/>
          <w:b/>
          <w:bCs/>
          <w:noProof/>
          <w:lang w:val="es-ES"/>
        </w:rPr>
        <w:t>39</w:t>
      </w:r>
      <w:r w:rsidRPr="00886C9E">
        <w:rPr>
          <w:rFonts w:ascii="Times" w:hAnsi="Times"/>
          <w:noProof/>
          <w:lang w:val="es-ES"/>
        </w:rPr>
        <w:t>: 167–83.</w:t>
      </w:r>
    </w:p>
    <w:p w14:paraId="1BD4A458"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4. Harding I, MacGowan  a P, White LO, Darley ES, Reed V. Teicoplanin therapy for Staphylococcus aureus septicaemia: relationship between pre-dose serum concentrations and outcome. </w:t>
      </w:r>
      <w:r w:rsidRPr="00886C9E">
        <w:rPr>
          <w:rFonts w:ascii="Times" w:hAnsi="Times"/>
          <w:i/>
          <w:iCs/>
          <w:noProof/>
          <w:lang w:val="es-ES"/>
        </w:rPr>
        <w:t>J Antimicrob Chemother</w:t>
      </w:r>
      <w:r w:rsidRPr="00886C9E">
        <w:rPr>
          <w:rFonts w:ascii="Times" w:hAnsi="Times"/>
          <w:noProof/>
          <w:lang w:val="es-ES"/>
        </w:rPr>
        <w:t xml:space="preserve"> 2000; </w:t>
      </w:r>
      <w:r w:rsidRPr="00886C9E">
        <w:rPr>
          <w:rFonts w:ascii="Times" w:hAnsi="Times"/>
          <w:b/>
          <w:bCs/>
          <w:noProof/>
          <w:lang w:val="es-ES"/>
        </w:rPr>
        <w:t>45</w:t>
      </w:r>
      <w:r w:rsidRPr="00886C9E">
        <w:rPr>
          <w:rFonts w:ascii="Times" w:hAnsi="Times"/>
          <w:noProof/>
          <w:lang w:val="es-ES"/>
        </w:rPr>
        <w:t>: 835–41. Available at: http://www.ncbi.nlm.nih.gov/pubmed/10837438.</w:t>
      </w:r>
    </w:p>
    <w:p w14:paraId="47B17C04"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5. Ueda T, Takesue Y, Nakajima K, </w:t>
      </w:r>
      <w:r w:rsidRPr="00886C9E">
        <w:rPr>
          <w:rFonts w:ascii="Times" w:hAnsi="Times"/>
          <w:i/>
          <w:iCs/>
          <w:noProof/>
          <w:lang w:val="es-ES"/>
        </w:rPr>
        <w:t>et al.</w:t>
      </w:r>
      <w:r w:rsidRPr="00886C9E">
        <w:rPr>
          <w:rFonts w:ascii="Times" w:hAnsi="Times"/>
          <w:noProof/>
          <w:lang w:val="es-ES"/>
        </w:rPr>
        <w:t xml:space="preserve"> Evaluation of teicoplanin dosing designs to achieve a new target trough concentration. </w:t>
      </w:r>
      <w:r w:rsidRPr="00886C9E">
        <w:rPr>
          <w:rFonts w:ascii="Times" w:hAnsi="Times"/>
          <w:i/>
          <w:iCs/>
          <w:noProof/>
          <w:lang w:val="es-ES"/>
        </w:rPr>
        <w:t>J Infect Chemother</w:t>
      </w:r>
      <w:r w:rsidRPr="00886C9E">
        <w:rPr>
          <w:rFonts w:ascii="Times" w:hAnsi="Times"/>
          <w:noProof/>
          <w:lang w:val="es-ES"/>
        </w:rPr>
        <w:t xml:space="preserve"> 2012; </w:t>
      </w:r>
      <w:r w:rsidRPr="00886C9E">
        <w:rPr>
          <w:rFonts w:ascii="Times" w:hAnsi="Times"/>
          <w:b/>
          <w:bCs/>
          <w:noProof/>
          <w:lang w:val="es-ES"/>
        </w:rPr>
        <w:t>18</w:t>
      </w:r>
      <w:r w:rsidRPr="00886C9E">
        <w:rPr>
          <w:rFonts w:ascii="Times" w:hAnsi="Times"/>
          <w:noProof/>
          <w:lang w:val="es-ES"/>
        </w:rPr>
        <w:t>: 296–302. Available at: http://www.ncbi.nlm.nih.gov/pubmed/22065089. Accessed February 9, 2016.</w:t>
      </w:r>
    </w:p>
    <w:p w14:paraId="7EEF7A32"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6. European Committee on Antimicrobial Susceptibility Testing. Determination of minimum inhibitory concentrations (MICs) of antibacterial agents by broth dilution. </w:t>
      </w:r>
      <w:r w:rsidRPr="00886C9E">
        <w:rPr>
          <w:rFonts w:ascii="Times" w:hAnsi="Times"/>
          <w:i/>
          <w:iCs/>
          <w:noProof/>
          <w:lang w:val="es-ES"/>
        </w:rPr>
        <w:t>Clin Microbiol Infect</w:t>
      </w:r>
      <w:r w:rsidRPr="00886C9E">
        <w:rPr>
          <w:rFonts w:ascii="Times" w:hAnsi="Times"/>
          <w:noProof/>
          <w:lang w:val="es-ES"/>
        </w:rPr>
        <w:t xml:space="preserve"> 2003; </w:t>
      </w:r>
      <w:r w:rsidRPr="00886C9E">
        <w:rPr>
          <w:rFonts w:ascii="Times" w:hAnsi="Times"/>
          <w:b/>
          <w:bCs/>
          <w:noProof/>
          <w:lang w:val="es-ES"/>
        </w:rPr>
        <w:t>9</w:t>
      </w:r>
      <w:r w:rsidRPr="00886C9E">
        <w:rPr>
          <w:rFonts w:ascii="Times" w:hAnsi="Times"/>
          <w:noProof/>
          <w:lang w:val="es-ES"/>
        </w:rPr>
        <w:t>: 1–7.</w:t>
      </w:r>
    </w:p>
    <w:p w14:paraId="442FBAB6"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7. Nicasio AM, Bulitta JB, Lodise TP, </w:t>
      </w:r>
      <w:r w:rsidRPr="00886C9E">
        <w:rPr>
          <w:rFonts w:ascii="Times" w:hAnsi="Times"/>
          <w:i/>
          <w:iCs/>
          <w:noProof/>
          <w:lang w:val="es-ES"/>
        </w:rPr>
        <w:t>et al.</w:t>
      </w:r>
      <w:r w:rsidRPr="00886C9E">
        <w:rPr>
          <w:rFonts w:ascii="Times" w:hAnsi="Times"/>
          <w:noProof/>
          <w:lang w:val="es-ES"/>
        </w:rPr>
        <w:t xml:space="preserve"> Evaluation of once-daily vancomycin against methicillin-resistant staphylococcus aureus in a hollow-fiber infection model. </w:t>
      </w:r>
      <w:r w:rsidRPr="00886C9E">
        <w:rPr>
          <w:rFonts w:ascii="Times" w:hAnsi="Times"/>
          <w:i/>
          <w:iCs/>
          <w:noProof/>
          <w:lang w:val="es-ES"/>
        </w:rPr>
        <w:t>Antimicrob Agents Chemother</w:t>
      </w:r>
      <w:r w:rsidRPr="00886C9E">
        <w:rPr>
          <w:rFonts w:ascii="Times" w:hAnsi="Times"/>
          <w:noProof/>
          <w:lang w:val="es-ES"/>
        </w:rPr>
        <w:t xml:space="preserve"> 2012; </w:t>
      </w:r>
      <w:r w:rsidRPr="00886C9E">
        <w:rPr>
          <w:rFonts w:ascii="Times" w:hAnsi="Times"/>
          <w:b/>
          <w:bCs/>
          <w:noProof/>
          <w:lang w:val="es-ES"/>
        </w:rPr>
        <w:t>56</w:t>
      </w:r>
      <w:r w:rsidRPr="00886C9E">
        <w:rPr>
          <w:rFonts w:ascii="Times" w:hAnsi="Times"/>
          <w:noProof/>
          <w:lang w:val="es-ES"/>
        </w:rPr>
        <w:t>: 682–6.</w:t>
      </w:r>
    </w:p>
    <w:p w14:paraId="761ABD58"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8. Ramos-Martin V, Paulus S, Siner S, </w:t>
      </w:r>
      <w:r w:rsidRPr="00886C9E">
        <w:rPr>
          <w:rFonts w:ascii="Times" w:hAnsi="Times"/>
          <w:i/>
          <w:iCs/>
          <w:noProof/>
          <w:lang w:val="es-ES"/>
        </w:rPr>
        <w:t>et al.</w:t>
      </w:r>
      <w:r w:rsidRPr="00886C9E">
        <w:rPr>
          <w:rFonts w:ascii="Times" w:hAnsi="Times"/>
          <w:noProof/>
          <w:lang w:val="es-ES"/>
        </w:rPr>
        <w:t xml:space="preserve"> Population Pharmacokinetics of </w:t>
      </w:r>
      <w:r w:rsidRPr="00886C9E">
        <w:rPr>
          <w:rFonts w:ascii="Times" w:hAnsi="Times"/>
          <w:noProof/>
          <w:lang w:val="es-ES"/>
        </w:rPr>
        <w:lastRenderedPageBreak/>
        <w:t xml:space="preserve">Teicoplanin in Children. </w:t>
      </w:r>
      <w:r w:rsidRPr="00886C9E">
        <w:rPr>
          <w:rFonts w:ascii="Times" w:hAnsi="Times"/>
          <w:i/>
          <w:iCs/>
          <w:noProof/>
          <w:lang w:val="es-ES"/>
        </w:rPr>
        <w:t>Antimicrob Agents Chemother</w:t>
      </w:r>
      <w:r w:rsidRPr="00886C9E">
        <w:rPr>
          <w:rFonts w:ascii="Times" w:hAnsi="Times"/>
          <w:noProof/>
          <w:lang w:val="es-ES"/>
        </w:rPr>
        <w:t xml:space="preserve"> 2014; </w:t>
      </w:r>
      <w:r w:rsidRPr="00886C9E">
        <w:rPr>
          <w:rFonts w:ascii="Times" w:hAnsi="Times"/>
          <w:b/>
          <w:bCs/>
          <w:noProof/>
          <w:lang w:val="es-ES"/>
        </w:rPr>
        <w:t>58</w:t>
      </w:r>
      <w:r w:rsidRPr="00886C9E">
        <w:rPr>
          <w:rFonts w:ascii="Times" w:hAnsi="Times"/>
          <w:noProof/>
          <w:lang w:val="es-ES"/>
        </w:rPr>
        <w:t>: 6920–7. Available at: http://aac.asm.org/cgi/doi/10.1128/AAC.03685-14.</w:t>
      </w:r>
    </w:p>
    <w:p w14:paraId="7ADEC204"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9. Zuluaga AF, Salazar BE, Rodriguez CA, Zapata AX, Agudelo M, Vesga O. Neutropenia induced in outbred mice by a simplified low-dose cyclophosphamide regimen: characterization and applicability to diverse experimental models of infectious diseases. </w:t>
      </w:r>
      <w:r w:rsidRPr="00886C9E">
        <w:rPr>
          <w:rFonts w:ascii="Times" w:hAnsi="Times"/>
          <w:i/>
          <w:iCs/>
          <w:noProof/>
          <w:lang w:val="es-ES"/>
        </w:rPr>
        <w:t>BMC Infect Dis</w:t>
      </w:r>
      <w:r w:rsidRPr="00886C9E">
        <w:rPr>
          <w:rFonts w:ascii="Times" w:hAnsi="Times"/>
          <w:noProof/>
          <w:lang w:val="es-ES"/>
        </w:rPr>
        <w:t xml:space="preserve"> 2006; </w:t>
      </w:r>
      <w:r w:rsidRPr="00886C9E">
        <w:rPr>
          <w:rFonts w:ascii="Times" w:hAnsi="Times"/>
          <w:b/>
          <w:bCs/>
          <w:noProof/>
          <w:lang w:val="es-ES"/>
        </w:rPr>
        <w:t>6</w:t>
      </w:r>
      <w:r w:rsidRPr="00886C9E">
        <w:rPr>
          <w:rFonts w:ascii="Times" w:hAnsi="Times"/>
          <w:noProof/>
          <w:lang w:val="es-ES"/>
        </w:rPr>
        <w:t>: 55. Available at: http://bmcinfectdis.biomedcentral.com/articles/10.1186/1471-2334-6-55. Accessed January 27, 2017.</w:t>
      </w:r>
    </w:p>
    <w:p w14:paraId="4EC606C4"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10. Neely MN, van Guilder MG, Yamada WM, Schumitzky A, Jelliffe RW. Accurate Detection of Outliers and Subpopulations With Pmetrics, a Nonparametric and Parametric Pharmacometric Modeling and Simulation Package for R. </w:t>
      </w:r>
      <w:r w:rsidRPr="00886C9E">
        <w:rPr>
          <w:rFonts w:ascii="Times" w:hAnsi="Times"/>
          <w:i/>
          <w:iCs/>
          <w:noProof/>
          <w:lang w:val="es-ES"/>
        </w:rPr>
        <w:t>Ther Drug Monit</w:t>
      </w:r>
      <w:r w:rsidRPr="00886C9E">
        <w:rPr>
          <w:rFonts w:ascii="Times" w:hAnsi="Times"/>
          <w:noProof/>
          <w:lang w:val="es-ES"/>
        </w:rPr>
        <w:t xml:space="preserve"> 2012; </w:t>
      </w:r>
      <w:r w:rsidRPr="00886C9E">
        <w:rPr>
          <w:rFonts w:ascii="Times" w:hAnsi="Times"/>
          <w:b/>
          <w:bCs/>
          <w:noProof/>
          <w:lang w:val="es-ES"/>
        </w:rPr>
        <w:t>34</w:t>
      </w:r>
      <w:r w:rsidRPr="00886C9E">
        <w:rPr>
          <w:rFonts w:ascii="Times" w:hAnsi="Times"/>
          <w:noProof/>
          <w:lang w:val="es-ES"/>
        </w:rPr>
        <w:t>: 467–76.</w:t>
      </w:r>
    </w:p>
    <w:p w14:paraId="1DFE7C06"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11. R Team R. R Development Core Team. </w:t>
      </w:r>
      <w:r w:rsidRPr="00886C9E">
        <w:rPr>
          <w:rFonts w:ascii="Times" w:hAnsi="Times"/>
          <w:i/>
          <w:iCs/>
          <w:noProof/>
          <w:lang w:val="es-ES"/>
        </w:rPr>
        <w:t>R A Lang Environ Stat Comput</w:t>
      </w:r>
      <w:r w:rsidRPr="00886C9E">
        <w:rPr>
          <w:rFonts w:ascii="Times" w:hAnsi="Times"/>
          <w:noProof/>
          <w:lang w:val="es-ES"/>
        </w:rPr>
        <w:t xml:space="preserve"> 2013. Available at: http://www.mendeley.com/research/r-language-environment-statistical-computing-96/%5Cnpapers2://publication/uuid/A1207DAB-22D3-4A04-82FB-D4DD5AD57C28.</w:t>
      </w:r>
    </w:p>
    <w:p w14:paraId="46E8BE75"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12. European Committee on Antimicrobial Susceptibility Testing. Teicoplanin Rationale for the EUCAST clinical breakpoints , version 2.1. </w:t>
      </w:r>
      <w:r w:rsidRPr="00886C9E">
        <w:rPr>
          <w:rFonts w:ascii="Times" w:hAnsi="Times"/>
          <w:i/>
          <w:iCs/>
          <w:noProof/>
          <w:lang w:val="es-ES"/>
        </w:rPr>
        <w:t>EUCAST</w:t>
      </w:r>
      <w:r w:rsidRPr="00886C9E">
        <w:rPr>
          <w:rFonts w:ascii="Times" w:hAnsi="Times"/>
          <w:noProof/>
          <w:lang w:val="es-ES"/>
        </w:rPr>
        <w:t xml:space="preserve"> 2010. Available at: http://www.eucast.org/fileadmin/src/media/PDFs/EUCAST_files/Rationale_documents/Teicoplanin_rationale_2.1.pdf.</w:t>
      </w:r>
    </w:p>
    <w:p w14:paraId="69DF64E5"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13. Knudsen JD, Fuursted K, Raber S, Espersen F, Frimodt-Moller N. Pharmacodynamics of glycopeptides in the mouse peritonitis model of Streptococcus pneumoniae or Staphylococcus aureus infection. </w:t>
      </w:r>
      <w:r w:rsidRPr="00886C9E">
        <w:rPr>
          <w:rFonts w:ascii="Times" w:hAnsi="Times"/>
          <w:i/>
          <w:iCs/>
          <w:noProof/>
          <w:lang w:val="es-ES"/>
        </w:rPr>
        <w:t>Antimicrob Agents Chemother</w:t>
      </w:r>
      <w:r w:rsidRPr="00886C9E">
        <w:rPr>
          <w:rFonts w:ascii="Times" w:hAnsi="Times"/>
          <w:noProof/>
          <w:lang w:val="es-ES"/>
        </w:rPr>
        <w:t xml:space="preserve"> 2000; </w:t>
      </w:r>
      <w:r w:rsidRPr="00886C9E">
        <w:rPr>
          <w:rFonts w:ascii="Times" w:hAnsi="Times"/>
          <w:b/>
          <w:bCs/>
          <w:noProof/>
          <w:lang w:val="es-ES"/>
        </w:rPr>
        <w:t>44</w:t>
      </w:r>
      <w:r w:rsidRPr="00886C9E">
        <w:rPr>
          <w:rFonts w:ascii="Times" w:hAnsi="Times"/>
          <w:noProof/>
          <w:lang w:val="es-ES"/>
        </w:rPr>
        <w:t xml:space="preserve">: 1247–54. Available at: </w:t>
      </w:r>
      <w:r w:rsidRPr="00886C9E">
        <w:rPr>
          <w:rFonts w:ascii="Times" w:hAnsi="Times"/>
          <w:noProof/>
          <w:lang w:val="es-ES"/>
        </w:rPr>
        <w:lastRenderedPageBreak/>
        <w:t>http://www.pubmedcentral.nih.gov/articlerender.fcgi?artid=89852&amp;tool=pmcentrez&amp;rendertype=abstract. Accessed January 20, 2016.</w:t>
      </w:r>
    </w:p>
    <w:p w14:paraId="3A2E8F97"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14. Bhavnani SM, Passarell JA, Owen JS, Loutit JS, Porter SB, Ambrose PG. Pharmacokinetic-Pharmacodynamic Relationships Describing the Efficacy of Oritavancin in Patients with Staphylococcus aureus Bacteremia. </w:t>
      </w:r>
      <w:r w:rsidRPr="00886C9E">
        <w:rPr>
          <w:rFonts w:ascii="Times" w:hAnsi="Times"/>
          <w:i/>
          <w:iCs/>
          <w:noProof/>
          <w:lang w:val="es-ES"/>
        </w:rPr>
        <w:t>Antimicrob Agents Chemother</w:t>
      </w:r>
      <w:r w:rsidRPr="00886C9E">
        <w:rPr>
          <w:rFonts w:ascii="Times" w:hAnsi="Times"/>
          <w:noProof/>
          <w:lang w:val="es-ES"/>
        </w:rPr>
        <w:t xml:space="preserve"> 2006; </w:t>
      </w:r>
      <w:r w:rsidRPr="00886C9E">
        <w:rPr>
          <w:rFonts w:ascii="Times" w:hAnsi="Times"/>
          <w:b/>
          <w:bCs/>
          <w:noProof/>
          <w:lang w:val="es-ES"/>
        </w:rPr>
        <w:t>50</w:t>
      </w:r>
      <w:r w:rsidRPr="00886C9E">
        <w:rPr>
          <w:rFonts w:ascii="Times" w:hAnsi="Times"/>
          <w:noProof/>
          <w:lang w:val="es-ES"/>
        </w:rPr>
        <w:t>: 994–1000. Available at: http://www.ncbi.nlm.nih.gov/pubmed/16495262. Accessed April 2, 2017.</w:t>
      </w:r>
    </w:p>
    <w:p w14:paraId="27476B00"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15. Boylan CJ, Campanale K, Iversen PW, Phillips DL, Zeckel ML, Parr TR. Pharmacodynamics of oritavancin (LY333328) in a neutropenic-mouse thigh model of Staphylococcus aureus infection. </w:t>
      </w:r>
      <w:r w:rsidRPr="00886C9E">
        <w:rPr>
          <w:rFonts w:ascii="Times" w:hAnsi="Times"/>
          <w:i/>
          <w:iCs/>
          <w:noProof/>
          <w:lang w:val="es-ES"/>
        </w:rPr>
        <w:t>Antimicrob Agents Chemother</w:t>
      </w:r>
      <w:r w:rsidRPr="00886C9E">
        <w:rPr>
          <w:rFonts w:ascii="Times" w:hAnsi="Times"/>
          <w:noProof/>
          <w:lang w:val="es-ES"/>
        </w:rPr>
        <w:t xml:space="preserve"> 2003; </w:t>
      </w:r>
      <w:r w:rsidRPr="00886C9E">
        <w:rPr>
          <w:rFonts w:ascii="Times" w:hAnsi="Times"/>
          <w:b/>
          <w:bCs/>
          <w:noProof/>
          <w:lang w:val="es-ES"/>
        </w:rPr>
        <w:t>47</w:t>
      </w:r>
      <w:r w:rsidRPr="00886C9E">
        <w:rPr>
          <w:rFonts w:ascii="Times" w:hAnsi="Times"/>
          <w:noProof/>
          <w:lang w:val="es-ES"/>
        </w:rPr>
        <w:t>: 1700–6. Available at: http://www.ncbi.nlm.nih.gov/pubmed/12709343. Accessed April 2, 2017.</w:t>
      </w:r>
    </w:p>
    <w:p w14:paraId="79E09BFD"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16. Rayner CR, Forrest A, Meagher AK, Birmingham MC, Schentag JJ. Clinical Pharmacodynamics of Linezolid in Seriously Ill Patients Treated in a Compassionate Use Programme. </w:t>
      </w:r>
      <w:r w:rsidRPr="00886C9E">
        <w:rPr>
          <w:rFonts w:ascii="Times" w:hAnsi="Times"/>
          <w:i/>
          <w:iCs/>
          <w:noProof/>
          <w:lang w:val="es-ES"/>
        </w:rPr>
        <w:t>Clin Pharmacokinet</w:t>
      </w:r>
      <w:r w:rsidRPr="00886C9E">
        <w:rPr>
          <w:rFonts w:ascii="Times" w:hAnsi="Times"/>
          <w:noProof/>
          <w:lang w:val="es-ES"/>
        </w:rPr>
        <w:t xml:space="preserve"> 2003; </w:t>
      </w:r>
      <w:r w:rsidRPr="00886C9E">
        <w:rPr>
          <w:rFonts w:ascii="Times" w:hAnsi="Times"/>
          <w:b/>
          <w:bCs/>
          <w:noProof/>
          <w:lang w:val="es-ES"/>
        </w:rPr>
        <w:t>42</w:t>
      </w:r>
      <w:r w:rsidRPr="00886C9E">
        <w:rPr>
          <w:rFonts w:ascii="Times" w:hAnsi="Times"/>
          <w:noProof/>
          <w:lang w:val="es-ES"/>
        </w:rPr>
        <w:t>: 1411–23. Available at: http://www.ncbi.nlm.nih.gov/pubmed/14674791. Accessed April 2, 2017.</w:t>
      </w:r>
    </w:p>
    <w:p w14:paraId="38CD3392"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17. Andes D, van Ogtrop ML, Peng J, Craig WA. In vivo pharmacodynamics of a new oxazolidinone (linezolid). </w:t>
      </w:r>
      <w:r w:rsidRPr="00886C9E">
        <w:rPr>
          <w:rFonts w:ascii="Times" w:hAnsi="Times"/>
          <w:i/>
          <w:iCs/>
          <w:noProof/>
          <w:lang w:val="es-ES"/>
        </w:rPr>
        <w:t>Antimicrob Agents Chemother</w:t>
      </w:r>
      <w:r w:rsidRPr="00886C9E">
        <w:rPr>
          <w:rFonts w:ascii="Times" w:hAnsi="Times"/>
          <w:noProof/>
          <w:lang w:val="es-ES"/>
        </w:rPr>
        <w:t xml:space="preserve"> 2002; </w:t>
      </w:r>
      <w:r w:rsidRPr="00886C9E">
        <w:rPr>
          <w:rFonts w:ascii="Times" w:hAnsi="Times"/>
          <w:b/>
          <w:bCs/>
          <w:noProof/>
          <w:lang w:val="es-ES"/>
        </w:rPr>
        <w:t>46</w:t>
      </w:r>
      <w:r w:rsidRPr="00886C9E">
        <w:rPr>
          <w:rFonts w:ascii="Times" w:hAnsi="Times"/>
          <w:noProof/>
          <w:lang w:val="es-ES"/>
        </w:rPr>
        <w:t>: 3484–9. Available at: http://www.ncbi.nlm.nih.gov/pubmed/12384354. Accessed April 2, 2017.</w:t>
      </w:r>
    </w:p>
    <w:p w14:paraId="334028DA"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18. Ambrose PG, Bhavnani SM, Rubino CM, </w:t>
      </w:r>
      <w:r w:rsidRPr="00886C9E">
        <w:rPr>
          <w:rFonts w:ascii="Times" w:hAnsi="Times"/>
          <w:i/>
          <w:iCs/>
          <w:noProof/>
          <w:lang w:val="es-ES"/>
        </w:rPr>
        <w:t>et al.</w:t>
      </w:r>
      <w:r w:rsidRPr="00886C9E">
        <w:rPr>
          <w:rFonts w:ascii="Times" w:hAnsi="Times"/>
          <w:noProof/>
          <w:lang w:val="es-ES"/>
        </w:rPr>
        <w:t xml:space="preserve"> Pharmacokinetics-pharmacodynamics of antimicrobial therapy: it’s not just for mice anymore. </w:t>
      </w:r>
      <w:r w:rsidRPr="00886C9E">
        <w:rPr>
          <w:rFonts w:ascii="Times" w:hAnsi="Times"/>
          <w:i/>
          <w:iCs/>
          <w:noProof/>
          <w:lang w:val="es-ES"/>
        </w:rPr>
        <w:t>Clin Infect Dis</w:t>
      </w:r>
      <w:r w:rsidRPr="00886C9E">
        <w:rPr>
          <w:rFonts w:ascii="Times" w:hAnsi="Times"/>
          <w:noProof/>
          <w:lang w:val="es-ES"/>
        </w:rPr>
        <w:t xml:space="preserve"> 2007; </w:t>
      </w:r>
      <w:r w:rsidRPr="00886C9E">
        <w:rPr>
          <w:rFonts w:ascii="Times" w:hAnsi="Times"/>
          <w:b/>
          <w:bCs/>
          <w:noProof/>
          <w:lang w:val="es-ES"/>
        </w:rPr>
        <w:t>44</w:t>
      </w:r>
      <w:r w:rsidRPr="00886C9E">
        <w:rPr>
          <w:rFonts w:ascii="Times" w:hAnsi="Times"/>
          <w:noProof/>
          <w:lang w:val="es-ES"/>
        </w:rPr>
        <w:t>: 79–86.</w:t>
      </w:r>
    </w:p>
    <w:p w14:paraId="3F6C119B"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19. van Ogtrop ML, Andes D, Stamstad TJ, </w:t>
      </w:r>
      <w:r w:rsidRPr="00886C9E">
        <w:rPr>
          <w:rFonts w:ascii="Times" w:hAnsi="Times"/>
          <w:i/>
          <w:iCs/>
          <w:noProof/>
          <w:lang w:val="es-ES"/>
        </w:rPr>
        <w:t>et al.</w:t>
      </w:r>
      <w:r w:rsidRPr="00886C9E">
        <w:rPr>
          <w:rFonts w:ascii="Times" w:hAnsi="Times"/>
          <w:noProof/>
          <w:lang w:val="es-ES"/>
        </w:rPr>
        <w:t xml:space="preserve"> In vivo pharmacodynamic activities of two glycylcyclines (GAR-936 and WAY 152,288) against various gram-positive and gram-negative bacteria. </w:t>
      </w:r>
      <w:r w:rsidRPr="00886C9E">
        <w:rPr>
          <w:rFonts w:ascii="Times" w:hAnsi="Times"/>
          <w:i/>
          <w:iCs/>
          <w:noProof/>
          <w:lang w:val="es-ES"/>
        </w:rPr>
        <w:t>Antimicrob Agents Chemother</w:t>
      </w:r>
      <w:r w:rsidRPr="00886C9E">
        <w:rPr>
          <w:rFonts w:ascii="Times" w:hAnsi="Times"/>
          <w:noProof/>
          <w:lang w:val="es-ES"/>
        </w:rPr>
        <w:t xml:space="preserve"> 2000; </w:t>
      </w:r>
      <w:r w:rsidRPr="00886C9E">
        <w:rPr>
          <w:rFonts w:ascii="Times" w:hAnsi="Times"/>
          <w:b/>
          <w:bCs/>
          <w:noProof/>
          <w:lang w:val="es-ES"/>
        </w:rPr>
        <w:t>44</w:t>
      </w:r>
      <w:r w:rsidRPr="00886C9E">
        <w:rPr>
          <w:rFonts w:ascii="Times" w:hAnsi="Times"/>
          <w:noProof/>
          <w:lang w:val="es-ES"/>
        </w:rPr>
        <w:t>: 943–9. Available at: http://www.ncbi.nlm.nih.gov/pubmed/10722495. Accessed April 2, 2017.</w:t>
      </w:r>
    </w:p>
    <w:p w14:paraId="2FEC3C0E"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lastRenderedPageBreak/>
        <w:t xml:space="preserve">20. Ambrose PG, Bhavnani SM, Owens RC. Clinical pharmacodynamics of quinolones. </w:t>
      </w:r>
      <w:r w:rsidRPr="00886C9E">
        <w:rPr>
          <w:rFonts w:ascii="Times" w:hAnsi="Times"/>
          <w:i/>
          <w:iCs/>
          <w:noProof/>
          <w:lang w:val="es-ES"/>
        </w:rPr>
        <w:t>Infect Dis Clin North Am</w:t>
      </w:r>
      <w:r w:rsidRPr="00886C9E">
        <w:rPr>
          <w:rFonts w:ascii="Times" w:hAnsi="Times"/>
          <w:noProof/>
          <w:lang w:val="es-ES"/>
        </w:rPr>
        <w:t xml:space="preserve"> 2003; </w:t>
      </w:r>
      <w:r w:rsidRPr="00886C9E">
        <w:rPr>
          <w:rFonts w:ascii="Times" w:hAnsi="Times"/>
          <w:b/>
          <w:bCs/>
          <w:noProof/>
          <w:lang w:val="es-ES"/>
        </w:rPr>
        <w:t>17</w:t>
      </w:r>
      <w:r w:rsidRPr="00886C9E">
        <w:rPr>
          <w:rFonts w:ascii="Times" w:hAnsi="Times"/>
          <w:noProof/>
          <w:lang w:val="es-ES"/>
        </w:rPr>
        <w:t>: 529–43. Available at: http://www.ncbi.nlm.nih.gov/pubmed/14711075. Accessed April 2, 2017.</w:t>
      </w:r>
    </w:p>
    <w:p w14:paraId="14C8A946"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21. Hagihara M, Umemura T, Kimura M, Mori T, Hasegawa T, Mikamo H. Exploration of optimal teicoplanin dosage based on pharmacokinetic parameters for the treatment of intensive care unit patients infected with methicillin-resistant Staphylococcus aureus. </w:t>
      </w:r>
      <w:r w:rsidRPr="00886C9E">
        <w:rPr>
          <w:rFonts w:ascii="Times" w:hAnsi="Times"/>
          <w:i/>
          <w:iCs/>
          <w:noProof/>
          <w:lang w:val="es-ES"/>
        </w:rPr>
        <w:t>J Infect Chemother</w:t>
      </w:r>
      <w:r w:rsidRPr="00886C9E">
        <w:rPr>
          <w:rFonts w:ascii="Times" w:hAnsi="Times"/>
          <w:noProof/>
          <w:lang w:val="es-ES"/>
        </w:rPr>
        <w:t xml:space="preserve"> 2012; </w:t>
      </w:r>
      <w:r w:rsidRPr="00886C9E">
        <w:rPr>
          <w:rFonts w:ascii="Times" w:hAnsi="Times"/>
          <w:b/>
          <w:bCs/>
          <w:noProof/>
          <w:lang w:val="es-ES"/>
        </w:rPr>
        <w:t>18</w:t>
      </w:r>
      <w:r w:rsidRPr="00886C9E">
        <w:rPr>
          <w:rFonts w:ascii="Times" w:hAnsi="Times"/>
          <w:noProof/>
          <w:lang w:val="es-ES"/>
        </w:rPr>
        <w:t>: 10–6.</w:t>
      </w:r>
    </w:p>
    <w:p w14:paraId="7112A124"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22. Takeda Y, Matsumoto K, Watanabe E, </w:t>
      </w:r>
      <w:r w:rsidRPr="00886C9E">
        <w:rPr>
          <w:rFonts w:ascii="Times" w:hAnsi="Times"/>
          <w:i/>
          <w:iCs/>
          <w:noProof/>
          <w:lang w:val="es-ES"/>
        </w:rPr>
        <w:t>et al.</w:t>
      </w:r>
      <w:r w:rsidRPr="00886C9E">
        <w:rPr>
          <w:rFonts w:ascii="Times" w:hAnsi="Times"/>
          <w:noProof/>
          <w:lang w:val="es-ES"/>
        </w:rPr>
        <w:t xml:space="preserve"> Pharmacokinetic / pharmacodynamic analysis of teicoplanin in patients with MRSA infections. </w:t>
      </w:r>
      <w:r w:rsidRPr="00886C9E">
        <w:rPr>
          <w:rFonts w:ascii="Times" w:hAnsi="Times"/>
          <w:i/>
          <w:iCs/>
          <w:noProof/>
          <w:lang w:val="es-ES"/>
        </w:rPr>
        <w:t>Clin Pharmacol Adv Appl</w:t>
      </w:r>
      <w:r w:rsidRPr="00886C9E">
        <w:rPr>
          <w:rFonts w:ascii="Times" w:hAnsi="Times"/>
          <w:noProof/>
          <w:lang w:val="es-ES"/>
        </w:rPr>
        <w:t xml:space="preserve"> 2016: 15–8. Available at: https://www.dovepress.com/pharmacokineticpharmacodynamic-analysis-of-teicoplanin-in-patients-wit-peer-reviewed-article-CPAA.</w:t>
      </w:r>
    </w:p>
    <w:p w14:paraId="72BCE38D"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23. Kanazawa N, Matsumoto K, Fukamizu T, </w:t>
      </w:r>
      <w:r w:rsidRPr="00886C9E">
        <w:rPr>
          <w:rFonts w:ascii="Times" w:hAnsi="Times"/>
          <w:i/>
          <w:iCs/>
          <w:noProof/>
          <w:lang w:val="es-ES"/>
        </w:rPr>
        <w:t>et al.</w:t>
      </w:r>
      <w:r w:rsidRPr="00886C9E">
        <w:rPr>
          <w:rFonts w:ascii="Times" w:hAnsi="Times"/>
          <w:noProof/>
          <w:lang w:val="es-ES"/>
        </w:rPr>
        <w:t xml:space="preserve"> An initial dosing method for teicoplanin based on the area under the serum concentration time curve required for MRSA eradication. </w:t>
      </w:r>
      <w:r w:rsidRPr="00886C9E">
        <w:rPr>
          <w:rFonts w:ascii="Times" w:hAnsi="Times"/>
          <w:i/>
          <w:iCs/>
          <w:noProof/>
          <w:lang w:val="es-ES"/>
        </w:rPr>
        <w:t>J Infect Chemother</w:t>
      </w:r>
      <w:r w:rsidRPr="00886C9E">
        <w:rPr>
          <w:rFonts w:ascii="Times" w:hAnsi="Times"/>
          <w:noProof/>
          <w:lang w:val="es-ES"/>
        </w:rPr>
        <w:t xml:space="preserve"> 2011; </w:t>
      </w:r>
      <w:r w:rsidRPr="00886C9E">
        <w:rPr>
          <w:rFonts w:ascii="Times" w:hAnsi="Times"/>
          <w:b/>
          <w:bCs/>
          <w:noProof/>
          <w:lang w:val="es-ES"/>
        </w:rPr>
        <w:t>17</w:t>
      </w:r>
      <w:r w:rsidRPr="00886C9E">
        <w:rPr>
          <w:rFonts w:ascii="Times" w:hAnsi="Times"/>
          <w:noProof/>
          <w:lang w:val="es-ES"/>
        </w:rPr>
        <w:t>: 297–300. Available at: http://linkinghub.elsevier.com/retrieve/pii/S1341321X11705335. Accessed November 19, 2016.</w:t>
      </w:r>
    </w:p>
    <w:p w14:paraId="537293A1"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24. de Matos PDM, Sedaca S, Ferreira DC, </w:t>
      </w:r>
      <w:r w:rsidRPr="00886C9E">
        <w:rPr>
          <w:rFonts w:ascii="Times" w:hAnsi="Times"/>
          <w:i/>
          <w:iCs/>
          <w:noProof/>
          <w:lang w:val="es-ES"/>
        </w:rPr>
        <w:t>et al.</w:t>
      </w:r>
      <w:r w:rsidRPr="00886C9E">
        <w:rPr>
          <w:rFonts w:ascii="Times" w:hAnsi="Times"/>
          <w:noProof/>
          <w:lang w:val="es-ES"/>
        </w:rPr>
        <w:t xml:space="preserve"> Antimicrobial synergism against different lineages of methicillin-resistant Staphylococcus aureus carrying SCCmec IV. </w:t>
      </w:r>
      <w:r w:rsidRPr="00886C9E">
        <w:rPr>
          <w:rFonts w:ascii="Times" w:hAnsi="Times"/>
          <w:i/>
          <w:iCs/>
          <w:noProof/>
          <w:lang w:val="es-ES"/>
        </w:rPr>
        <w:t>J Appl Microbiol</w:t>
      </w:r>
      <w:r w:rsidRPr="00886C9E">
        <w:rPr>
          <w:rFonts w:ascii="Times" w:hAnsi="Times"/>
          <w:noProof/>
          <w:lang w:val="es-ES"/>
        </w:rPr>
        <w:t xml:space="preserve"> 2014; </w:t>
      </w:r>
      <w:r w:rsidRPr="00886C9E">
        <w:rPr>
          <w:rFonts w:ascii="Times" w:hAnsi="Times"/>
          <w:b/>
          <w:bCs/>
          <w:noProof/>
          <w:lang w:val="es-ES"/>
        </w:rPr>
        <w:t>116</w:t>
      </w:r>
      <w:r w:rsidRPr="00886C9E">
        <w:rPr>
          <w:rFonts w:ascii="Times" w:hAnsi="Times"/>
          <w:noProof/>
          <w:lang w:val="es-ES"/>
        </w:rPr>
        <w:t>: 1418–26. Available at: http://doi.wiley.com/10.1111/jam.12472. Accessed April 7, 2017.</w:t>
      </w:r>
    </w:p>
    <w:p w14:paraId="6D96679E"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25. Tang H-J, Chen C-C, Cheng K-C, </w:t>
      </w:r>
      <w:r w:rsidRPr="00886C9E">
        <w:rPr>
          <w:rFonts w:ascii="Times" w:hAnsi="Times"/>
          <w:i/>
          <w:iCs/>
          <w:noProof/>
          <w:lang w:val="es-ES"/>
        </w:rPr>
        <w:t>et al.</w:t>
      </w:r>
      <w:r w:rsidRPr="00886C9E">
        <w:rPr>
          <w:rFonts w:ascii="Times" w:hAnsi="Times"/>
          <w:noProof/>
          <w:lang w:val="es-ES"/>
        </w:rPr>
        <w:t xml:space="preserve"> In vitro efficacy of fosfomycin-containing regimens against methicillin-resistant Staphylococcus aureus in biofilms. </w:t>
      </w:r>
      <w:r w:rsidRPr="00886C9E">
        <w:rPr>
          <w:rFonts w:ascii="Times" w:hAnsi="Times"/>
          <w:i/>
          <w:iCs/>
          <w:noProof/>
          <w:lang w:val="es-ES"/>
        </w:rPr>
        <w:t>J Antimicrob Chemother</w:t>
      </w:r>
      <w:r w:rsidRPr="00886C9E">
        <w:rPr>
          <w:rFonts w:ascii="Times" w:hAnsi="Times"/>
          <w:noProof/>
          <w:lang w:val="es-ES"/>
        </w:rPr>
        <w:t xml:space="preserve"> 2012; </w:t>
      </w:r>
      <w:r w:rsidRPr="00886C9E">
        <w:rPr>
          <w:rFonts w:ascii="Times" w:hAnsi="Times"/>
          <w:b/>
          <w:bCs/>
          <w:noProof/>
          <w:lang w:val="es-ES"/>
        </w:rPr>
        <w:t>67</w:t>
      </w:r>
      <w:r w:rsidRPr="00886C9E">
        <w:rPr>
          <w:rFonts w:ascii="Times" w:hAnsi="Times"/>
          <w:noProof/>
          <w:lang w:val="es-ES"/>
        </w:rPr>
        <w:t>: 944–50. Available at: http://www.ncbi.nlm.nih.gov/pubmed/22258931. Accessed April 3, 2017.</w:t>
      </w:r>
    </w:p>
    <w:p w14:paraId="3E121A53"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lastRenderedPageBreak/>
        <w:t xml:space="preserve">26. Leonard SN. Synergy between Vancomycin and Nafcillin against Staphylococcus aureus in an In Vitro Pharmacokinetic/Pharmacodynamic Model Rottman M, ed. </w:t>
      </w:r>
      <w:r w:rsidRPr="00886C9E">
        <w:rPr>
          <w:rFonts w:ascii="Times" w:hAnsi="Times"/>
          <w:i/>
          <w:iCs/>
          <w:noProof/>
          <w:lang w:val="es-ES"/>
        </w:rPr>
        <w:t>PLoS One</w:t>
      </w:r>
      <w:r w:rsidRPr="00886C9E">
        <w:rPr>
          <w:rFonts w:ascii="Times" w:hAnsi="Times"/>
          <w:noProof/>
          <w:lang w:val="es-ES"/>
        </w:rPr>
        <w:t xml:space="preserve"> 2012; </w:t>
      </w:r>
      <w:r w:rsidRPr="00886C9E">
        <w:rPr>
          <w:rFonts w:ascii="Times" w:hAnsi="Times"/>
          <w:b/>
          <w:bCs/>
          <w:noProof/>
          <w:lang w:val="es-ES"/>
        </w:rPr>
        <w:t>7</w:t>
      </w:r>
      <w:r w:rsidRPr="00886C9E">
        <w:rPr>
          <w:rFonts w:ascii="Times" w:hAnsi="Times"/>
          <w:noProof/>
          <w:lang w:val="es-ES"/>
        </w:rPr>
        <w:t>: e42103. Available at: http://www.ncbi.nlm.nih.gov/pubmed/22848719. Accessed April 7, 2017.</w:t>
      </w:r>
    </w:p>
    <w:p w14:paraId="5788BACB"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27. Werth BJ, Vidaillac C, Murray KP, </w:t>
      </w:r>
      <w:r w:rsidRPr="00886C9E">
        <w:rPr>
          <w:rFonts w:ascii="Times" w:hAnsi="Times"/>
          <w:i/>
          <w:iCs/>
          <w:noProof/>
          <w:lang w:val="es-ES"/>
        </w:rPr>
        <w:t>et al.</w:t>
      </w:r>
      <w:r w:rsidRPr="00886C9E">
        <w:rPr>
          <w:rFonts w:ascii="Times" w:hAnsi="Times"/>
          <w:noProof/>
          <w:lang w:val="es-ES"/>
        </w:rPr>
        <w:t xml:space="preserve"> Novel Combinations of Vancomycin plus Ceftaroline or Oxacillin against Methicillin-Resistant Vancomycin-Intermediate Staphylococcus aureus (VISA) and Heterogeneous VISA. </w:t>
      </w:r>
      <w:r w:rsidRPr="00886C9E">
        <w:rPr>
          <w:rFonts w:ascii="Times" w:hAnsi="Times"/>
          <w:i/>
          <w:iCs/>
          <w:noProof/>
          <w:lang w:val="es-ES"/>
        </w:rPr>
        <w:t>Antimicrob Agents Chemother</w:t>
      </w:r>
      <w:r w:rsidRPr="00886C9E">
        <w:rPr>
          <w:rFonts w:ascii="Times" w:hAnsi="Times"/>
          <w:noProof/>
          <w:lang w:val="es-ES"/>
        </w:rPr>
        <w:t xml:space="preserve"> 2013; </w:t>
      </w:r>
      <w:r w:rsidRPr="00886C9E">
        <w:rPr>
          <w:rFonts w:ascii="Times" w:hAnsi="Times"/>
          <w:b/>
          <w:bCs/>
          <w:noProof/>
          <w:lang w:val="es-ES"/>
        </w:rPr>
        <w:t>57</w:t>
      </w:r>
      <w:r w:rsidRPr="00886C9E">
        <w:rPr>
          <w:rFonts w:ascii="Times" w:hAnsi="Times"/>
          <w:noProof/>
          <w:lang w:val="es-ES"/>
        </w:rPr>
        <w:t>: 2376–9. Available at: http://www.ncbi.nlm.nih.gov/pubmed/23422917. Accessed April 7, 2017.</w:t>
      </w:r>
    </w:p>
    <w:p w14:paraId="3372D304"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28. Dilworth TJ, Sliwinski J, Ryan K, Dodd M, Mercier R-C. Evaluation of Vancomycin in Combination with Piperacillin-Tazobactam or Oxacillin against Clinical Methicillin-Resistant Staphylococcus aureus Isolates and Vancomycin-Intermediate S. aureus Isolates In Vitro. </w:t>
      </w:r>
      <w:r w:rsidRPr="00886C9E">
        <w:rPr>
          <w:rFonts w:ascii="Times" w:hAnsi="Times"/>
          <w:i/>
          <w:iCs/>
          <w:noProof/>
          <w:lang w:val="es-ES"/>
        </w:rPr>
        <w:t>Antimicrob Agents Chemother</w:t>
      </w:r>
      <w:r w:rsidRPr="00886C9E">
        <w:rPr>
          <w:rFonts w:ascii="Times" w:hAnsi="Times"/>
          <w:noProof/>
          <w:lang w:val="es-ES"/>
        </w:rPr>
        <w:t xml:space="preserve"> 2014; </w:t>
      </w:r>
      <w:r w:rsidRPr="00886C9E">
        <w:rPr>
          <w:rFonts w:ascii="Times" w:hAnsi="Times"/>
          <w:b/>
          <w:bCs/>
          <w:noProof/>
          <w:lang w:val="es-ES"/>
        </w:rPr>
        <w:t>58</w:t>
      </w:r>
      <w:r w:rsidRPr="00886C9E">
        <w:rPr>
          <w:rFonts w:ascii="Times" w:hAnsi="Times"/>
          <w:noProof/>
          <w:lang w:val="es-ES"/>
        </w:rPr>
        <w:t>: 1028–33. Available at: http://www.ncbi.nlm.nih.gov/pubmed/24277036. Accessed April 7, 2017.</w:t>
      </w:r>
    </w:p>
    <w:p w14:paraId="57160F0D"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29. Thwaites G, Auckland C, Barlow G, </w:t>
      </w:r>
      <w:r w:rsidRPr="00886C9E">
        <w:rPr>
          <w:rFonts w:ascii="Times" w:hAnsi="Times"/>
          <w:i/>
          <w:iCs/>
          <w:noProof/>
          <w:lang w:val="es-ES"/>
        </w:rPr>
        <w:t>et al.</w:t>
      </w:r>
      <w:r w:rsidRPr="00886C9E">
        <w:rPr>
          <w:rFonts w:ascii="Times" w:hAnsi="Times"/>
          <w:noProof/>
          <w:lang w:val="es-ES"/>
        </w:rPr>
        <w:t xml:space="preserve"> Adjunctive rifampicin to reduce early mortality from Staphylococcus aureus bacteraemia (ARREST): study protocol for a randomised controlled trial. </w:t>
      </w:r>
      <w:r w:rsidRPr="00886C9E">
        <w:rPr>
          <w:rFonts w:ascii="Times" w:hAnsi="Times"/>
          <w:i/>
          <w:iCs/>
          <w:noProof/>
          <w:lang w:val="es-ES"/>
        </w:rPr>
        <w:t>Trials</w:t>
      </w:r>
      <w:r w:rsidRPr="00886C9E">
        <w:rPr>
          <w:rFonts w:ascii="Times" w:hAnsi="Times"/>
          <w:noProof/>
          <w:lang w:val="es-ES"/>
        </w:rPr>
        <w:t xml:space="preserve"> 2012; </w:t>
      </w:r>
      <w:r w:rsidRPr="00886C9E">
        <w:rPr>
          <w:rFonts w:ascii="Times" w:hAnsi="Times"/>
          <w:b/>
          <w:bCs/>
          <w:noProof/>
          <w:lang w:val="es-ES"/>
        </w:rPr>
        <w:t>13</w:t>
      </w:r>
      <w:r w:rsidRPr="00886C9E">
        <w:rPr>
          <w:rFonts w:ascii="Times" w:hAnsi="Times"/>
          <w:noProof/>
          <w:lang w:val="es-ES"/>
        </w:rPr>
        <w:t>: 241. Available at: http://www.ncbi.nlm.nih.gov/pubmed/23249501. Accessed April 7, 2017.</w:t>
      </w:r>
    </w:p>
    <w:p w14:paraId="044C5452"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30. Tong SYC, Nelson J, Paterson DL, </w:t>
      </w:r>
      <w:r w:rsidRPr="00886C9E">
        <w:rPr>
          <w:rFonts w:ascii="Times" w:hAnsi="Times"/>
          <w:i/>
          <w:iCs/>
          <w:noProof/>
          <w:lang w:val="es-ES"/>
        </w:rPr>
        <w:t>et al.</w:t>
      </w:r>
      <w:r w:rsidRPr="00886C9E">
        <w:rPr>
          <w:rFonts w:ascii="Times" w:hAnsi="Times"/>
          <w:noProof/>
          <w:lang w:val="es-ES"/>
        </w:rPr>
        <w:t xml:space="preserve"> CAMERA2 – combination antibiotic therapy for methicillin-resistant Staphylococcus aureus infection: study protocol for a randomised controlled trial. </w:t>
      </w:r>
      <w:r w:rsidRPr="00886C9E">
        <w:rPr>
          <w:rFonts w:ascii="Times" w:hAnsi="Times"/>
          <w:i/>
          <w:iCs/>
          <w:noProof/>
          <w:lang w:val="es-ES"/>
        </w:rPr>
        <w:t>Trials</w:t>
      </w:r>
      <w:r w:rsidRPr="00886C9E">
        <w:rPr>
          <w:rFonts w:ascii="Times" w:hAnsi="Times"/>
          <w:noProof/>
          <w:lang w:val="es-ES"/>
        </w:rPr>
        <w:t xml:space="preserve"> 2016; </w:t>
      </w:r>
      <w:r w:rsidRPr="00886C9E">
        <w:rPr>
          <w:rFonts w:ascii="Times" w:hAnsi="Times"/>
          <w:b/>
          <w:bCs/>
          <w:noProof/>
          <w:lang w:val="es-ES"/>
        </w:rPr>
        <w:t>17</w:t>
      </w:r>
      <w:r w:rsidRPr="00886C9E">
        <w:rPr>
          <w:rFonts w:ascii="Times" w:hAnsi="Times"/>
          <w:noProof/>
          <w:lang w:val="es-ES"/>
        </w:rPr>
        <w:t>: 170. Available at: http://www.ncbi.nlm.nih.gov/pubmed/27029920. Accessed April 7, 2017.</w:t>
      </w:r>
    </w:p>
    <w:p w14:paraId="7F4B8528"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31. Turnidge J, Paterson DL. Setting and revising antibacterial susceptibility breakpoints. </w:t>
      </w:r>
      <w:r w:rsidRPr="00886C9E">
        <w:rPr>
          <w:rFonts w:ascii="Times" w:hAnsi="Times"/>
          <w:i/>
          <w:iCs/>
          <w:noProof/>
          <w:lang w:val="es-ES"/>
        </w:rPr>
        <w:t>Clin Microbiol Rev</w:t>
      </w:r>
      <w:r w:rsidRPr="00886C9E">
        <w:rPr>
          <w:rFonts w:ascii="Times" w:hAnsi="Times"/>
          <w:noProof/>
          <w:lang w:val="es-ES"/>
        </w:rPr>
        <w:t xml:space="preserve"> 2007; </w:t>
      </w:r>
      <w:r w:rsidRPr="00886C9E">
        <w:rPr>
          <w:rFonts w:ascii="Times" w:hAnsi="Times"/>
          <w:b/>
          <w:bCs/>
          <w:noProof/>
          <w:lang w:val="es-ES"/>
        </w:rPr>
        <w:t>20</w:t>
      </w:r>
      <w:r w:rsidRPr="00886C9E">
        <w:rPr>
          <w:rFonts w:ascii="Times" w:hAnsi="Times"/>
          <w:noProof/>
          <w:lang w:val="es-ES"/>
        </w:rPr>
        <w:t>: 391–408.</w:t>
      </w:r>
    </w:p>
    <w:p w14:paraId="0F4058A7"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32. Knudsen JD, Fuursted K, Espersen F, Frimodt-Møller N. Activities of vancomycin </w:t>
      </w:r>
      <w:r w:rsidRPr="00886C9E">
        <w:rPr>
          <w:rFonts w:ascii="Times" w:hAnsi="Times"/>
          <w:noProof/>
          <w:lang w:val="es-ES"/>
        </w:rPr>
        <w:lastRenderedPageBreak/>
        <w:t xml:space="preserve">and teicoplanin against penicillin-resistant pneumococci in vitro and in vivo and correlation to pharmacokinetic parameters in the mouse peritonitis model. </w:t>
      </w:r>
      <w:r w:rsidRPr="00886C9E">
        <w:rPr>
          <w:rFonts w:ascii="Times" w:hAnsi="Times"/>
          <w:i/>
          <w:iCs/>
          <w:noProof/>
          <w:lang w:val="es-ES"/>
        </w:rPr>
        <w:t>Antimicrob Agents Chemother</w:t>
      </w:r>
      <w:r w:rsidRPr="00886C9E">
        <w:rPr>
          <w:rFonts w:ascii="Times" w:hAnsi="Times"/>
          <w:noProof/>
          <w:lang w:val="es-ES"/>
        </w:rPr>
        <w:t xml:space="preserve"> 1997; </w:t>
      </w:r>
      <w:r w:rsidRPr="00886C9E">
        <w:rPr>
          <w:rFonts w:ascii="Times" w:hAnsi="Times"/>
          <w:b/>
          <w:bCs/>
          <w:noProof/>
          <w:lang w:val="es-ES"/>
        </w:rPr>
        <w:t>41</w:t>
      </w:r>
      <w:r w:rsidRPr="00886C9E">
        <w:rPr>
          <w:rFonts w:ascii="Times" w:hAnsi="Times"/>
          <w:noProof/>
          <w:lang w:val="es-ES"/>
        </w:rPr>
        <w:t>: 1910–5. Available at: http://www.ncbi.nlm.nih.gov/pubmed/9303383. Accessed September 19, 2016.</w:t>
      </w:r>
    </w:p>
    <w:p w14:paraId="3295C1BB" w14:textId="77777777" w:rsidR="0031732F" w:rsidRPr="00886C9E" w:rsidRDefault="0031732F" w:rsidP="0031732F">
      <w:pPr>
        <w:widowControl w:val="0"/>
        <w:autoSpaceDE w:val="0"/>
        <w:autoSpaceDN w:val="0"/>
        <w:adjustRightInd w:val="0"/>
        <w:spacing w:line="480" w:lineRule="auto"/>
        <w:rPr>
          <w:rFonts w:ascii="Times" w:hAnsi="Times"/>
          <w:noProof/>
          <w:lang w:val="es-ES"/>
        </w:rPr>
      </w:pPr>
      <w:r w:rsidRPr="00886C9E">
        <w:rPr>
          <w:rFonts w:ascii="Times" w:hAnsi="Times"/>
          <w:noProof/>
          <w:lang w:val="es-ES"/>
        </w:rPr>
        <w:t xml:space="preserve">33. Nix DE, Goodwin SD, Peloquin CA, Rotella DL, Schentag JJ. Antibiotic tissue penetration and its relevance: Impact of tissue penetration on infection response. </w:t>
      </w:r>
      <w:r w:rsidRPr="00886C9E">
        <w:rPr>
          <w:rFonts w:ascii="Times" w:hAnsi="Times"/>
          <w:i/>
          <w:iCs/>
          <w:noProof/>
          <w:lang w:val="es-ES"/>
        </w:rPr>
        <w:t>Antimicrob Agents Chemother</w:t>
      </w:r>
      <w:r w:rsidRPr="00886C9E">
        <w:rPr>
          <w:rFonts w:ascii="Times" w:hAnsi="Times"/>
          <w:noProof/>
          <w:lang w:val="es-ES"/>
        </w:rPr>
        <w:t xml:space="preserve"> 1991; </w:t>
      </w:r>
      <w:r w:rsidRPr="00886C9E">
        <w:rPr>
          <w:rFonts w:ascii="Times" w:hAnsi="Times"/>
          <w:b/>
          <w:bCs/>
          <w:noProof/>
          <w:lang w:val="es-ES"/>
        </w:rPr>
        <w:t>35</w:t>
      </w:r>
      <w:r w:rsidRPr="00886C9E">
        <w:rPr>
          <w:rFonts w:ascii="Times" w:hAnsi="Times"/>
          <w:noProof/>
          <w:lang w:val="es-ES"/>
        </w:rPr>
        <w:t>: 1953–9.</w:t>
      </w:r>
    </w:p>
    <w:p w14:paraId="3635EC37" w14:textId="77777777" w:rsidR="0031732F" w:rsidRPr="00886C9E" w:rsidRDefault="0031732F" w:rsidP="0031732F">
      <w:pPr>
        <w:widowControl w:val="0"/>
        <w:autoSpaceDE w:val="0"/>
        <w:autoSpaceDN w:val="0"/>
        <w:adjustRightInd w:val="0"/>
        <w:spacing w:line="480" w:lineRule="auto"/>
        <w:rPr>
          <w:rFonts w:ascii="Times" w:hAnsi="Times"/>
          <w:noProof/>
        </w:rPr>
      </w:pPr>
      <w:r w:rsidRPr="00886C9E">
        <w:rPr>
          <w:rFonts w:ascii="Times" w:hAnsi="Times"/>
          <w:noProof/>
          <w:lang w:val="es-ES"/>
        </w:rPr>
        <w:t xml:space="preserve">34. Lee DG, Murakami Y, Andes DR, Craig WA. Inoculum effects of ceftobiprole, daptomycin, linezolid, and vancomycin with staphylococcus aureus and streptococcus pneumoniae at inocula of 10 5 and 107 CFU injected into opposite thighs of neutropenic mice. </w:t>
      </w:r>
      <w:r w:rsidRPr="00886C9E">
        <w:rPr>
          <w:rFonts w:ascii="Times" w:hAnsi="Times"/>
          <w:i/>
          <w:iCs/>
          <w:noProof/>
          <w:lang w:val="es-ES"/>
        </w:rPr>
        <w:t>Antimicrob Agents Chemother</w:t>
      </w:r>
      <w:r w:rsidRPr="00886C9E">
        <w:rPr>
          <w:rFonts w:ascii="Times" w:hAnsi="Times"/>
          <w:noProof/>
          <w:lang w:val="es-ES"/>
        </w:rPr>
        <w:t xml:space="preserve"> 2013; </w:t>
      </w:r>
      <w:r w:rsidRPr="00886C9E">
        <w:rPr>
          <w:rFonts w:ascii="Times" w:hAnsi="Times"/>
          <w:b/>
          <w:bCs/>
          <w:noProof/>
          <w:lang w:val="es-ES"/>
        </w:rPr>
        <w:t>57</w:t>
      </w:r>
      <w:r w:rsidRPr="00886C9E">
        <w:rPr>
          <w:rFonts w:ascii="Times" w:hAnsi="Times"/>
          <w:noProof/>
          <w:lang w:val="es-ES"/>
        </w:rPr>
        <w:t>: 1434–41.</w:t>
      </w:r>
    </w:p>
    <w:p w14:paraId="596A2681" w14:textId="16E149FF" w:rsidR="00877357" w:rsidRPr="00886C9E" w:rsidRDefault="00877357" w:rsidP="0031732F">
      <w:pPr>
        <w:widowControl w:val="0"/>
        <w:autoSpaceDE w:val="0"/>
        <w:autoSpaceDN w:val="0"/>
        <w:adjustRightInd w:val="0"/>
        <w:spacing w:line="480" w:lineRule="auto"/>
        <w:rPr>
          <w:rFonts w:ascii="Times" w:hAnsi="Times" w:cs="Times New Roman"/>
        </w:rPr>
      </w:pPr>
      <w:r w:rsidRPr="00886C9E">
        <w:rPr>
          <w:rFonts w:ascii="Times" w:hAnsi="Times" w:cs="Times New Roman"/>
        </w:rPr>
        <w:fldChar w:fldCharType="end"/>
      </w:r>
    </w:p>
    <w:p w14:paraId="33217BDC" w14:textId="17307F8D" w:rsidR="00023ED4" w:rsidRPr="00886C9E" w:rsidRDefault="00023ED4" w:rsidP="00CF4DDF">
      <w:pPr>
        <w:spacing w:line="480" w:lineRule="auto"/>
        <w:jc w:val="both"/>
        <w:rPr>
          <w:rFonts w:ascii="Times" w:hAnsi="Times" w:cs="Times New Roman"/>
        </w:rPr>
        <w:sectPr w:rsidR="00023ED4" w:rsidRPr="00886C9E" w:rsidSect="001105B2">
          <w:pgSz w:w="11900" w:h="16840"/>
          <w:pgMar w:top="1417" w:right="1701" w:bottom="1417" w:left="1701" w:header="708" w:footer="708" w:gutter="0"/>
          <w:lnNumType w:countBy="1" w:restart="continuous"/>
          <w:cols w:space="708"/>
          <w:docGrid w:linePitch="360"/>
        </w:sectPr>
      </w:pPr>
    </w:p>
    <w:p w14:paraId="59D4134D" w14:textId="10535F69" w:rsidR="0072297B" w:rsidRPr="00886C9E" w:rsidRDefault="00877357" w:rsidP="00CF4DDF">
      <w:pPr>
        <w:spacing w:line="480" w:lineRule="auto"/>
        <w:jc w:val="both"/>
        <w:rPr>
          <w:rFonts w:ascii="Times" w:hAnsi="Times" w:cs="Times New Roman"/>
        </w:rPr>
      </w:pPr>
      <w:r w:rsidRPr="00886C9E">
        <w:rPr>
          <w:rFonts w:ascii="Times" w:hAnsi="Times" w:cs="Times New Roman"/>
        </w:rPr>
        <w:lastRenderedPageBreak/>
        <w:t>TABLES</w:t>
      </w:r>
      <w:r w:rsidR="0072297B" w:rsidRPr="00886C9E">
        <w:rPr>
          <w:rFonts w:ascii="Times" w:hAnsi="Times" w:cs="Times New Roman"/>
        </w:rPr>
        <w:t xml:space="preserve"> and FIGURES</w:t>
      </w:r>
    </w:p>
    <w:tbl>
      <w:tblPr>
        <w:tblStyle w:val="TableGrid"/>
        <w:tblW w:w="0" w:type="auto"/>
        <w:tblLayout w:type="fixed"/>
        <w:tblLook w:val="04A0" w:firstRow="1" w:lastRow="0" w:firstColumn="1" w:lastColumn="0" w:noHBand="0" w:noVBand="1"/>
      </w:tblPr>
      <w:tblGrid>
        <w:gridCol w:w="2327"/>
        <w:gridCol w:w="1467"/>
        <w:gridCol w:w="1134"/>
        <w:gridCol w:w="2126"/>
        <w:gridCol w:w="1660"/>
      </w:tblGrid>
      <w:tr w:rsidR="00EE0EE0" w:rsidRPr="00886C9E" w14:paraId="0DFEC2A4" w14:textId="77777777" w:rsidTr="00EE0EE0">
        <w:tc>
          <w:tcPr>
            <w:tcW w:w="4928" w:type="dxa"/>
            <w:gridSpan w:val="3"/>
          </w:tcPr>
          <w:p w14:paraId="1C1B992B" w14:textId="77777777" w:rsidR="00EE0EE0" w:rsidRPr="00886C9E" w:rsidRDefault="00EE0EE0" w:rsidP="00CF4DDF">
            <w:pPr>
              <w:spacing w:line="480" w:lineRule="auto"/>
              <w:jc w:val="both"/>
              <w:rPr>
                <w:rFonts w:ascii="Times" w:hAnsi="Times" w:cs="Times New Roman"/>
                <w:sz w:val="20"/>
                <w:szCs w:val="20"/>
              </w:rPr>
            </w:pPr>
            <w:r w:rsidRPr="00886C9E">
              <w:rPr>
                <w:rFonts w:ascii="Times" w:hAnsi="Times" w:cs="Times New Roman"/>
                <w:sz w:val="20"/>
                <w:szCs w:val="20"/>
              </w:rPr>
              <w:t>Population PK parameter in vitro model</w:t>
            </w:r>
          </w:p>
          <w:p w14:paraId="1E01234E" w14:textId="218EAE97" w:rsidR="00707D88" w:rsidRPr="00886C9E" w:rsidRDefault="00707D88" w:rsidP="00CF4DDF">
            <w:pPr>
              <w:spacing w:line="480" w:lineRule="auto"/>
              <w:jc w:val="both"/>
              <w:rPr>
                <w:rFonts w:ascii="Times" w:hAnsi="Times" w:cs="Times New Roman"/>
                <w:sz w:val="20"/>
                <w:szCs w:val="20"/>
              </w:rPr>
            </w:pPr>
            <w:r w:rsidRPr="00886C9E">
              <w:rPr>
                <w:rFonts w:ascii="Times" w:hAnsi="Times" w:cs="Times New Roman"/>
                <w:sz w:val="20"/>
                <w:szCs w:val="20"/>
              </w:rPr>
              <w:t>(free drug concentrations)</w:t>
            </w:r>
          </w:p>
        </w:tc>
        <w:tc>
          <w:tcPr>
            <w:tcW w:w="3786" w:type="dxa"/>
            <w:gridSpan w:val="2"/>
          </w:tcPr>
          <w:p w14:paraId="79CC992A" w14:textId="77777777" w:rsidR="00EE0EE0" w:rsidRPr="00886C9E" w:rsidRDefault="00EE0EE0" w:rsidP="00CF4DDF">
            <w:pPr>
              <w:spacing w:line="480" w:lineRule="auto"/>
              <w:jc w:val="both"/>
              <w:rPr>
                <w:rFonts w:ascii="Times" w:hAnsi="Times" w:cs="Times New Roman"/>
                <w:sz w:val="20"/>
                <w:szCs w:val="20"/>
              </w:rPr>
            </w:pPr>
            <w:r w:rsidRPr="00886C9E">
              <w:rPr>
                <w:rFonts w:ascii="Times" w:hAnsi="Times" w:cs="Times New Roman"/>
                <w:sz w:val="20"/>
                <w:szCs w:val="20"/>
              </w:rPr>
              <w:t>Population PK parameter in vivo model</w:t>
            </w:r>
          </w:p>
          <w:p w14:paraId="13CBD6DE" w14:textId="391CD6F2" w:rsidR="00707D88" w:rsidRPr="00886C9E" w:rsidRDefault="00707D88" w:rsidP="00CF4DDF">
            <w:pPr>
              <w:spacing w:line="480" w:lineRule="auto"/>
              <w:jc w:val="both"/>
              <w:rPr>
                <w:rFonts w:ascii="Times" w:hAnsi="Times" w:cs="Times New Roman"/>
                <w:sz w:val="20"/>
                <w:szCs w:val="20"/>
              </w:rPr>
            </w:pPr>
            <w:r w:rsidRPr="00886C9E">
              <w:rPr>
                <w:rFonts w:ascii="Times" w:hAnsi="Times" w:cs="Times New Roman"/>
                <w:sz w:val="20"/>
                <w:szCs w:val="20"/>
              </w:rPr>
              <w:t>(total drug concentrations)</w:t>
            </w:r>
          </w:p>
        </w:tc>
      </w:tr>
      <w:tr w:rsidR="00EE0EE0" w:rsidRPr="00886C9E" w14:paraId="06178239" w14:textId="77777777" w:rsidTr="00A116AC">
        <w:trPr>
          <w:trHeight w:val="187"/>
        </w:trPr>
        <w:tc>
          <w:tcPr>
            <w:tcW w:w="2327" w:type="dxa"/>
          </w:tcPr>
          <w:p w14:paraId="017DC5B4" w14:textId="14BA6B6A" w:rsidR="00EE0EE0" w:rsidRPr="00886C9E" w:rsidRDefault="00EE0EE0" w:rsidP="00CF4DDF">
            <w:pPr>
              <w:spacing w:line="480" w:lineRule="auto"/>
              <w:jc w:val="both"/>
              <w:rPr>
                <w:rFonts w:ascii="Times" w:hAnsi="Times" w:cs="Times New Roman"/>
                <w:sz w:val="20"/>
                <w:szCs w:val="20"/>
              </w:rPr>
            </w:pPr>
          </w:p>
        </w:tc>
        <w:tc>
          <w:tcPr>
            <w:tcW w:w="1467" w:type="dxa"/>
          </w:tcPr>
          <w:p w14:paraId="7B7551C9" w14:textId="3542D307" w:rsidR="00EE0EE0" w:rsidRPr="00886C9E" w:rsidRDefault="00EE0EE0" w:rsidP="00CF4DDF">
            <w:pPr>
              <w:spacing w:line="480" w:lineRule="auto"/>
              <w:jc w:val="both"/>
              <w:rPr>
                <w:rFonts w:ascii="Times" w:hAnsi="Times" w:cs="Times New Roman"/>
                <w:sz w:val="20"/>
                <w:szCs w:val="20"/>
              </w:rPr>
            </w:pPr>
            <w:r w:rsidRPr="00886C9E">
              <w:rPr>
                <w:rFonts w:ascii="Times" w:hAnsi="Times" w:cs="Times New Roman"/>
                <w:sz w:val="20"/>
                <w:szCs w:val="20"/>
              </w:rPr>
              <w:t>Mean (SD)</w:t>
            </w:r>
          </w:p>
        </w:tc>
        <w:tc>
          <w:tcPr>
            <w:tcW w:w="1134" w:type="dxa"/>
          </w:tcPr>
          <w:p w14:paraId="51163FBD" w14:textId="2B855289" w:rsidR="00EE0EE0" w:rsidRPr="00886C9E" w:rsidRDefault="00EE0EE0" w:rsidP="00CF4DDF">
            <w:pPr>
              <w:spacing w:line="480" w:lineRule="auto"/>
              <w:jc w:val="both"/>
              <w:rPr>
                <w:rFonts w:ascii="Times" w:hAnsi="Times" w:cs="Times New Roman"/>
                <w:sz w:val="20"/>
                <w:szCs w:val="20"/>
              </w:rPr>
            </w:pPr>
            <w:r w:rsidRPr="00886C9E">
              <w:rPr>
                <w:rFonts w:ascii="Times" w:hAnsi="Times" w:cs="Times New Roman"/>
                <w:sz w:val="20"/>
                <w:szCs w:val="20"/>
              </w:rPr>
              <w:t>Median</w:t>
            </w:r>
          </w:p>
        </w:tc>
        <w:tc>
          <w:tcPr>
            <w:tcW w:w="2126" w:type="dxa"/>
          </w:tcPr>
          <w:p w14:paraId="5D981C16" w14:textId="0A48CE87" w:rsidR="00EE0EE0" w:rsidRPr="00886C9E" w:rsidRDefault="00EE0EE0" w:rsidP="00CF4DDF">
            <w:pPr>
              <w:spacing w:line="480" w:lineRule="auto"/>
              <w:jc w:val="both"/>
              <w:rPr>
                <w:rFonts w:ascii="Times" w:hAnsi="Times" w:cs="Times New Roman"/>
                <w:sz w:val="20"/>
                <w:szCs w:val="20"/>
              </w:rPr>
            </w:pPr>
            <w:r w:rsidRPr="00886C9E">
              <w:rPr>
                <w:rFonts w:ascii="Times" w:hAnsi="Times" w:cs="Times New Roman"/>
                <w:sz w:val="20"/>
                <w:szCs w:val="20"/>
              </w:rPr>
              <w:t>Mean (SD)</w:t>
            </w:r>
          </w:p>
        </w:tc>
        <w:tc>
          <w:tcPr>
            <w:tcW w:w="1660" w:type="dxa"/>
          </w:tcPr>
          <w:p w14:paraId="2F7A68E9" w14:textId="2627DA79" w:rsidR="00EE0EE0" w:rsidRPr="00886C9E" w:rsidRDefault="00EE0EE0" w:rsidP="00CF4DDF">
            <w:pPr>
              <w:spacing w:line="480" w:lineRule="auto"/>
              <w:jc w:val="both"/>
              <w:rPr>
                <w:rFonts w:ascii="Times" w:hAnsi="Times" w:cs="Times New Roman"/>
                <w:sz w:val="20"/>
                <w:szCs w:val="20"/>
              </w:rPr>
            </w:pPr>
            <w:r w:rsidRPr="00886C9E">
              <w:rPr>
                <w:rFonts w:ascii="Times" w:hAnsi="Times" w:cs="Times New Roman"/>
                <w:sz w:val="20"/>
                <w:szCs w:val="20"/>
              </w:rPr>
              <w:t>Median</w:t>
            </w:r>
          </w:p>
        </w:tc>
      </w:tr>
      <w:tr w:rsidR="00EE0EE0" w:rsidRPr="00886C9E" w14:paraId="52636A90" w14:textId="77777777" w:rsidTr="00A116AC">
        <w:trPr>
          <w:trHeight w:val="186"/>
        </w:trPr>
        <w:tc>
          <w:tcPr>
            <w:tcW w:w="2327" w:type="dxa"/>
          </w:tcPr>
          <w:p w14:paraId="3F7ACF04" w14:textId="4EB77EE0" w:rsidR="00EE0EE0" w:rsidRPr="00886C9E" w:rsidRDefault="00EE0EE0" w:rsidP="00CF4DDF">
            <w:pPr>
              <w:spacing w:line="480" w:lineRule="auto"/>
              <w:jc w:val="both"/>
              <w:rPr>
                <w:rFonts w:ascii="Times" w:hAnsi="Times" w:cs="Times New Roman"/>
                <w:sz w:val="20"/>
                <w:szCs w:val="20"/>
              </w:rPr>
            </w:pPr>
            <w:r w:rsidRPr="00886C9E">
              <w:rPr>
                <w:rFonts w:ascii="Times" w:hAnsi="Times" w:cs="Times New Roman"/>
                <w:sz w:val="20"/>
                <w:szCs w:val="20"/>
              </w:rPr>
              <w:t>Cl (L/h)</w:t>
            </w:r>
          </w:p>
        </w:tc>
        <w:tc>
          <w:tcPr>
            <w:tcW w:w="1467" w:type="dxa"/>
          </w:tcPr>
          <w:p w14:paraId="656491E9" w14:textId="5C9E2102" w:rsidR="00EE0EE0" w:rsidRPr="00886C9E" w:rsidRDefault="00EE0EE0" w:rsidP="00CF4DDF">
            <w:pPr>
              <w:spacing w:line="480" w:lineRule="auto"/>
              <w:jc w:val="both"/>
              <w:rPr>
                <w:rFonts w:ascii="Times" w:hAnsi="Times" w:cs="Times New Roman"/>
                <w:sz w:val="20"/>
                <w:szCs w:val="20"/>
              </w:rPr>
            </w:pPr>
            <w:r w:rsidRPr="00886C9E">
              <w:rPr>
                <w:rFonts w:ascii="Times" w:hAnsi="Times" w:cs="Times New Roman"/>
                <w:sz w:val="20"/>
                <w:szCs w:val="20"/>
              </w:rPr>
              <w:t>0.04 (0.02)</w:t>
            </w:r>
          </w:p>
        </w:tc>
        <w:tc>
          <w:tcPr>
            <w:tcW w:w="1134" w:type="dxa"/>
          </w:tcPr>
          <w:p w14:paraId="5E3E8018" w14:textId="4208B734" w:rsidR="00EE0EE0" w:rsidRPr="00886C9E" w:rsidRDefault="00EE0EE0" w:rsidP="00CF4DDF">
            <w:pPr>
              <w:spacing w:line="480" w:lineRule="auto"/>
              <w:jc w:val="both"/>
              <w:rPr>
                <w:rFonts w:ascii="Times" w:hAnsi="Times" w:cs="Times New Roman"/>
                <w:sz w:val="20"/>
                <w:szCs w:val="20"/>
              </w:rPr>
            </w:pPr>
            <w:r w:rsidRPr="00886C9E">
              <w:rPr>
                <w:rFonts w:ascii="Times" w:hAnsi="Times" w:cs="Times New Roman"/>
                <w:sz w:val="20"/>
                <w:szCs w:val="20"/>
              </w:rPr>
              <w:t>0.04</w:t>
            </w:r>
          </w:p>
        </w:tc>
        <w:tc>
          <w:tcPr>
            <w:tcW w:w="2126" w:type="dxa"/>
          </w:tcPr>
          <w:p w14:paraId="1EC4FA81" w14:textId="187C8610" w:rsidR="00EE0EE0" w:rsidRPr="00886C9E" w:rsidRDefault="00EE0EE0" w:rsidP="00CF4DDF">
            <w:pPr>
              <w:spacing w:line="480" w:lineRule="auto"/>
              <w:jc w:val="both"/>
              <w:rPr>
                <w:rFonts w:ascii="Times" w:hAnsi="Times" w:cs="Times New Roman"/>
                <w:sz w:val="20"/>
                <w:szCs w:val="20"/>
              </w:rPr>
            </w:pPr>
            <w:r w:rsidRPr="00886C9E">
              <w:rPr>
                <w:rFonts w:ascii="Times" w:hAnsi="Times" w:cs="Times New Roman"/>
                <w:sz w:val="20"/>
                <w:szCs w:val="20"/>
              </w:rPr>
              <w:t>0.08 (0.05)</w:t>
            </w:r>
          </w:p>
        </w:tc>
        <w:tc>
          <w:tcPr>
            <w:tcW w:w="1660" w:type="dxa"/>
          </w:tcPr>
          <w:p w14:paraId="05CADBEB" w14:textId="7C2FC3D7" w:rsidR="00EE0EE0" w:rsidRPr="00886C9E" w:rsidRDefault="00EE0EE0" w:rsidP="00CF4DDF">
            <w:pPr>
              <w:spacing w:line="480" w:lineRule="auto"/>
              <w:jc w:val="both"/>
              <w:rPr>
                <w:rFonts w:ascii="Times" w:hAnsi="Times" w:cs="Times New Roman"/>
                <w:sz w:val="20"/>
                <w:szCs w:val="20"/>
              </w:rPr>
            </w:pPr>
            <w:r w:rsidRPr="00886C9E">
              <w:rPr>
                <w:rFonts w:ascii="Times" w:hAnsi="Times" w:cs="Times New Roman"/>
                <w:sz w:val="20"/>
                <w:szCs w:val="20"/>
              </w:rPr>
              <w:t>0.06</w:t>
            </w:r>
          </w:p>
        </w:tc>
      </w:tr>
      <w:tr w:rsidR="00EE0EE0" w:rsidRPr="00886C9E" w14:paraId="05E2459F" w14:textId="77777777" w:rsidTr="00A116AC">
        <w:tc>
          <w:tcPr>
            <w:tcW w:w="2327" w:type="dxa"/>
          </w:tcPr>
          <w:p w14:paraId="4EEB7470" w14:textId="77777777" w:rsidR="007E7EDE" w:rsidRPr="00886C9E" w:rsidRDefault="007E7EDE" w:rsidP="00CF4DDF">
            <w:pPr>
              <w:spacing w:line="480" w:lineRule="auto"/>
              <w:jc w:val="both"/>
              <w:rPr>
                <w:rFonts w:ascii="Times" w:hAnsi="Times" w:cs="Times New Roman"/>
                <w:sz w:val="20"/>
                <w:szCs w:val="20"/>
              </w:rPr>
            </w:pPr>
            <w:proofErr w:type="spellStart"/>
            <w:r w:rsidRPr="00886C9E">
              <w:rPr>
                <w:rFonts w:ascii="Times" w:hAnsi="Times" w:cs="Times New Roman"/>
                <w:sz w:val="20"/>
                <w:szCs w:val="20"/>
              </w:rPr>
              <w:t>Vc</w:t>
            </w:r>
            <w:proofErr w:type="spellEnd"/>
            <w:r w:rsidRPr="00886C9E">
              <w:rPr>
                <w:rFonts w:ascii="Times" w:hAnsi="Times" w:cs="Times New Roman"/>
                <w:sz w:val="20"/>
                <w:szCs w:val="20"/>
              </w:rPr>
              <w:t xml:space="preserve"> (L)</w:t>
            </w:r>
          </w:p>
        </w:tc>
        <w:tc>
          <w:tcPr>
            <w:tcW w:w="1467" w:type="dxa"/>
          </w:tcPr>
          <w:p w14:paraId="0BF6C45D" w14:textId="410633F1"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0.5</w:t>
            </w:r>
            <w:r w:rsidR="0026510A" w:rsidRPr="00886C9E">
              <w:rPr>
                <w:rFonts w:ascii="Times" w:hAnsi="Times" w:cs="Times New Roman"/>
                <w:sz w:val="20"/>
                <w:szCs w:val="20"/>
              </w:rPr>
              <w:t xml:space="preserve"> </w:t>
            </w:r>
            <w:r w:rsidRPr="00886C9E">
              <w:rPr>
                <w:rFonts w:ascii="Times" w:hAnsi="Times" w:cs="Times New Roman"/>
                <w:sz w:val="20"/>
                <w:szCs w:val="20"/>
              </w:rPr>
              <w:t>(0.2)</w:t>
            </w:r>
          </w:p>
        </w:tc>
        <w:tc>
          <w:tcPr>
            <w:tcW w:w="1134" w:type="dxa"/>
          </w:tcPr>
          <w:p w14:paraId="39DEBB37" w14:textId="2CA4DE46"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0.5</w:t>
            </w:r>
          </w:p>
        </w:tc>
        <w:tc>
          <w:tcPr>
            <w:tcW w:w="2126" w:type="dxa"/>
          </w:tcPr>
          <w:p w14:paraId="30C0EE3F" w14:textId="4F78F981" w:rsidR="007E7EDE" w:rsidRPr="00886C9E" w:rsidRDefault="00EE0EE0" w:rsidP="00CF4DDF">
            <w:pPr>
              <w:spacing w:line="480" w:lineRule="auto"/>
              <w:jc w:val="both"/>
              <w:rPr>
                <w:rFonts w:ascii="Times" w:hAnsi="Times" w:cs="Times New Roman"/>
                <w:sz w:val="20"/>
                <w:szCs w:val="20"/>
              </w:rPr>
            </w:pPr>
            <w:r w:rsidRPr="00886C9E">
              <w:rPr>
                <w:rFonts w:ascii="Times" w:hAnsi="Times" w:cs="Times New Roman"/>
                <w:sz w:val="20"/>
                <w:szCs w:val="20"/>
              </w:rPr>
              <w:t>0.6 (0.4)</w:t>
            </w:r>
          </w:p>
        </w:tc>
        <w:tc>
          <w:tcPr>
            <w:tcW w:w="1660" w:type="dxa"/>
          </w:tcPr>
          <w:p w14:paraId="7480A260" w14:textId="6F08A101" w:rsidR="007E7EDE" w:rsidRPr="00886C9E" w:rsidRDefault="00EE0EE0" w:rsidP="00CF4DDF">
            <w:pPr>
              <w:spacing w:line="480" w:lineRule="auto"/>
              <w:jc w:val="both"/>
              <w:rPr>
                <w:rFonts w:ascii="Times" w:hAnsi="Times" w:cs="Times New Roman"/>
                <w:sz w:val="20"/>
                <w:szCs w:val="20"/>
              </w:rPr>
            </w:pPr>
            <w:r w:rsidRPr="00886C9E">
              <w:rPr>
                <w:rFonts w:ascii="Times" w:hAnsi="Times" w:cs="Times New Roman"/>
                <w:sz w:val="20"/>
                <w:szCs w:val="20"/>
              </w:rPr>
              <w:t>0.34</w:t>
            </w:r>
          </w:p>
        </w:tc>
      </w:tr>
      <w:tr w:rsidR="00EE0EE0" w:rsidRPr="00886C9E" w14:paraId="506BD339" w14:textId="77777777" w:rsidTr="00EE0EE0">
        <w:trPr>
          <w:trHeight w:val="562"/>
        </w:trPr>
        <w:tc>
          <w:tcPr>
            <w:tcW w:w="4928" w:type="dxa"/>
            <w:gridSpan w:val="3"/>
          </w:tcPr>
          <w:p w14:paraId="293A367E" w14:textId="1AC21B1B" w:rsidR="00EE0EE0" w:rsidRPr="00886C9E" w:rsidRDefault="00EE0EE0" w:rsidP="00CF4DDF">
            <w:pPr>
              <w:spacing w:line="480" w:lineRule="auto"/>
              <w:jc w:val="both"/>
              <w:rPr>
                <w:rFonts w:ascii="Times" w:hAnsi="Times" w:cs="Times New Roman"/>
                <w:sz w:val="20"/>
                <w:szCs w:val="20"/>
              </w:rPr>
            </w:pPr>
            <w:r w:rsidRPr="00886C9E">
              <w:rPr>
                <w:rFonts w:ascii="Times" w:hAnsi="Times" w:cs="Times New Roman"/>
                <w:sz w:val="20"/>
                <w:szCs w:val="20"/>
              </w:rPr>
              <w:t>Population PD parameter in vitro model</w:t>
            </w:r>
          </w:p>
        </w:tc>
        <w:tc>
          <w:tcPr>
            <w:tcW w:w="3786" w:type="dxa"/>
            <w:gridSpan w:val="2"/>
          </w:tcPr>
          <w:p w14:paraId="7807704B" w14:textId="1545568F" w:rsidR="00EE0EE0" w:rsidRPr="00886C9E" w:rsidRDefault="00EE0EE0" w:rsidP="00CF4DDF">
            <w:pPr>
              <w:spacing w:line="480" w:lineRule="auto"/>
              <w:jc w:val="both"/>
              <w:rPr>
                <w:rFonts w:ascii="Times" w:hAnsi="Times" w:cs="Times New Roman"/>
                <w:sz w:val="20"/>
                <w:szCs w:val="20"/>
              </w:rPr>
            </w:pPr>
            <w:r w:rsidRPr="00886C9E">
              <w:rPr>
                <w:rFonts w:ascii="Times" w:hAnsi="Times" w:cs="Times New Roman"/>
                <w:sz w:val="20"/>
                <w:szCs w:val="20"/>
              </w:rPr>
              <w:t>Population PD parameter in vivo model</w:t>
            </w:r>
          </w:p>
        </w:tc>
      </w:tr>
      <w:tr w:rsidR="00EE0EE0" w:rsidRPr="00886C9E" w14:paraId="083BF456" w14:textId="77777777" w:rsidTr="00A116AC">
        <w:tc>
          <w:tcPr>
            <w:tcW w:w="2327" w:type="dxa"/>
          </w:tcPr>
          <w:p w14:paraId="3A113553" w14:textId="02229922" w:rsidR="007E7EDE" w:rsidRPr="00886C9E" w:rsidRDefault="007E7EDE" w:rsidP="00CF4DDF">
            <w:pPr>
              <w:spacing w:line="480" w:lineRule="auto"/>
              <w:jc w:val="both"/>
              <w:rPr>
                <w:rFonts w:ascii="Times" w:hAnsi="Times" w:cs="Times New Roman"/>
                <w:sz w:val="20"/>
                <w:szCs w:val="20"/>
              </w:rPr>
            </w:pPr>
            <w:proofErr w:type="spellStart"/>
            <w:r w:rsidRPr="00886C9E">
              <w:rPr>
                <w:rFonts w:ascii="Times" w:hAnsi="Times" w:cs="Times New Roman"/>
                <w:sz w:val="20"/>
                <w:szCs w:val="20"/>
              </w:rPr>
              <w:t>KgmaxS</w:t>
            </w:r>
            <w:proofErr w:type="spellEnd"/>
            <w:r w:rsidRPr="00886C9E">
              <w:rPr>
                <w:rFonts w:ascii="Times" w:hAnsi="Times" w:cs="Times New Roman"/>
                <w:sz w:val="20"/>
                <w:szCs w:val="20"/>
              </w:rPr>
              <w:t xml:space="preserve"> (mg/L*h</w:t>
            </w:r>
            <w:r w:rsidRPr="00886C9E">
              <w:rPr>
                <w:rFonts w:ascii="Times" w:hAnsi="Times" w:cs="Times New Roman"/>
                <w:sz w:val="20"/>
                <w:szCs w:val="20"/>
                <w:vertAlign w:val="superscript"/>
              </w:rPr>
              <w:t>-1</w:t>
            </w:r>
            <w:r w:rsidRPr="00886C9E">
              <w:rPr>
                <w:rFonts w:ascii="Times" w:hAnsi="Times" w:cs="Times New Roman"/>
                <w:sz w:val="20"/>
                <w:szCs w:val="20"/>
              </w:rPr>
              <w:t>)</w:t>
            </w:r>
          </w:p>
        </w:tc>
        <w:tc>
          <w:tcPr>
            <w:tcW w:w="1467" w:type="dxa"/>
          </w:tcPr>
          <w:p w14:paraId="4FB3CBB9" w14:textId="77777777"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0.62 (0.19)</w:t>
            </w:r>
          </w:p>
        </w:tc>
        <w:tc>
          <w:tcPr>
            <w:tcW w:w="1134" w:type="dxa"/>
          </w:tcPr>
          <w:p w14:paraId="413779E8" w14:textId="4BEFE032"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0.68</w:t>
            </w:r>
          </w:p>
        </w:tc>
        <w:tc>
          <w:tcPr>
            <w:tcW w:w="2126" w:type="dxa"/>
          </w:tcPr>
          <w:p w14:paraId="084CA16F" w14:textId="391586B8" w:rsidR="007E7EDE" w:rsidRPr="00886C9E" w:rsidRDefault="00EE0EE0" w:rsidP="00CF4DDF">
            <w:pPr>
              <w:spacing w:line="480" w:lineRule="auto"/>
              <w:jc w:val="both"/>
              <w:rPr>
                <w:rFonts w:ascii="Times" w:hAnsi="Times" w:cs="Times New Roman"/>
                <w:sz w:val="20"/>
                <w:szCs w:val="20"/>
              </w:rPr>
            </w:pPr>
            <w:r w:rsidRPr="00886C9E">
              <w:rPr>
                <w:rFonts w:ascii="Times" w:hAnsi="Times" w:cs="Times New Roman"/>
                <w:sz w:val="20"/>
                <w:szCs w:val="20"/>
              </w:rPr>
              <w:t>0.42 (0.03)</w:t>
            </w:r>
          </w:p>
        </w:tc>
        <w:tc>
          <w:tcPr>
            <w:tcW w:w="1660" w:type="dxa"/>
          </w:tcPr>
          <w:p w14:paraId="7ED9E53B" w14:textId="09DE154B" w:rsidR="007E7EDE" w:rsidRPr="00886C9E" w:rsidRDefault="00EE0EE0" w:rsidP="00CF4DDF">
            <w:pPr>
              <w:spacing w:line="480" w:lineRule="auto"/>
              <w:jc w:val="both"/>
              <w:rPr>
                <w:rFonts w:ascii="Times" w:hAnsi="Times" w:cs="Times New Roman"/>
                <w:sz w:val="20"/>
                <w:szCs w:val="20"/>
              </w:rPr>
            </w:pPr>
            <w:r w:rsidRPr="00886C9E">
              <w:rPr>
                <w:rFonts w:ascii="Times" w:hAnsi="Times" w:cs="Times New Roman"/>
                <w:sz w:val="20"/>
                <w:szCs w:val="20"/>
              </w:rPr>
              <w:t>0.4</w:t>
            </w:r>
          </w:p>
        </w:tc>
      </w:tr>
      <w:tr w:rsidR="00EE0EE0" w:rsidRPr="00886C9E" w14:paraId="0D5DA80C" w14:textId="77777777" w:rsidTr="00A116AC">
        <w:tc>
          <w:tcPr>
            <w:tcW w:w="2327" w:type="dxa"/>
          </w:tcPr>
          <w:p w14:paraId="7F1929EE" w14:textId="7FB88B3B" w:rsidR="007E7EDE" w:rsidRPr="00886C9E" w:rsidRDefault="007E7EDE" w:rsidP="00CF4DDF">
            <w:pPr>
              <w:spacing w:line="480" w:lineRule="auto"/>
              <w:jc w:val="both"/>
              <w:rPr>
                <w:rFonts w:ascii="Times" w:hAnsi="Times" w:cs="Times New Roman"/>
                <w:sz w:val="20"/>
                <w:szCs w:val="20"/>
              </w:rPr>
            </w:pPr>
            <w:proofErr w:type="spellStart"/>
            <w:r w:rsidRPr="00886C9E">
              <w:rPr>
                <w:rFonts w:ascii="Times" w:hAnsi="Times" w:cs="Times New Roman"/>
                <w:sz w:val="20"/>
                <w:szCs w:val="20"/>
              </w:rPr>
              <w:t>KgmaxR</w:t>
            </w:r>
            <w:proofErr w:type="spellEnd"/>
            <w:r w:rsidRPr="00886C9E">
              <w:rPr>
                <w:rFonts w:ascii="Times" w:hAnsi="Times" w:cs="Times New Roman"/>
                <w:sz w:val="20"/>
                <w:szCs w:val="20"/>
              </w:rPr>
              <w:t xml:space="preserve"> (mg/L*h</w:t>
            </w:r>
            <w:r w:rsidRPr="00886C9E">
              <w:rPr>
                <w:rFonts w:ascii="Times" w:hAnsi="Times" w:cs="Times New Roman"/>
                <w:sz w:val="20"/>
                <w:szCs w:val="20"/>
                <w:vertAlign w:val="superscript"/>
              </w:rPr>
              <w:t>-1</w:t>
            </w:r>
            <w:r w:rsidRPr="00886C9E">
              <w:rPr>
                <w:rFonts w:ascii="Times" w:hAnsi="Times" w:cs="Times New Roman"/>
                <w:sz w:val="20"/>
                <w:szCs w:val="20"/>
              </w:rPr>
              <w:t>)</w:t>
            </w:r>
          </w:p>
        </w:tc>
        <w:tc>
          <w:tcPr>
            <w:tcW w:w="1467" w:type="dxa"/>
          </w:tcPr>
          <w:p w14:paraId="04E6BCBC" w14:textId="77777777"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0.15 (0.09)</w:t>
            </w:r>
          </w:p>
        </w:tc>
        <w:tc>
          <w:tcPr>
            <w:tcW w:w="1134" w:type="dxa"/>
          </w:tcPr>
          <w:p w14:paraId="036A937D" w14:textId="4C78C3EB"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0.2</w:t>
            </w:r>
          </w:p>
        </w:tc>
        <w:tc>
          <w:tcPr>
            <w:tcW w:w="2126" w:type="dxa"/>
          </w:tcPr>
          <w:p w14:paraId="2AA8D7FC" w14:textId="27E3868F" w:rsidR="007E7EDE" w:rsidRPr="00886C9E" w:rsidRDefault="00EE0EE0" w:rsidP="00CF4DDF">
            <w:pPr>
              <w:spacing w:line="480" w:lineRule="auto"/>
              <w:jc w:val="both"/>
              <w:rPr>
                <w:rFonts w:ascii="Times" w:hAnsi="Times" w:cs="Times New Roman"/>
                <w:sz w:val="20"/>
                <w:szCs w:val="20"/>
              </w:rPr>
            </w:pPr>
            <w:r w:rsidRPr="00886C9E">
              <w:rPr>
                <w:rFonts w:ascii="Times" w:hAnsi="Times" w:cs="Times New Roman"/>
                <w:sz w:val="20"/>
                <w:szCs w:val="20"/>
              </w:rPr>
              <w:t>0.09 (0.06)</w:t>
            </w:r>
          </w:p>
        </w:tc>
        <w:tc>
          <w:tcPr>
            <w:tcW w:w="1660" w:type="dxa"/>
          </w:tcPr>
          <w:p w14:paraId="2A72B384" w14:textId="5EADEB26" w:rsidR="007E7EDE" w:rsidRPr="00886C9E" w:rsidRDefault="00EE0EE0" w:rsidP="00CF4DDF">
            <w:pPr>
              <w:spacing w:line="480" w:lineRule="auto"/>
              <w:jc w:val="both"/>
              <w:rPr>
                <w:rFonts w:ascii="Times" w:hAnsi="Times" w:cs="Times New Roman"/>
                <w:sz w:val="20"/>
                <w:szCs w:val="20"/>
              </w:rPr>
            </w:pPr>
            <w:r w:rsidRPr="00886C9E">
              <w:rPr>
                <w:rFonts w:ascii="Times" w:hAnsi="Times" w:cs="Times New Roman"/>
                <w:sz w:val="20"/>
                <w:szCs w:val="20"/>
              </w:rPr>
              <w:t>0.06</w:t>
            </w:r>
          </w:p>
        </w:tc>
      </w:tr>
      <w:tr w:rsidR="00EE0EE0" w:rsidRPr="00886C9E" w14:paraId="7601AFDF" w14:textId="77777777" w:rsidTr="00A116AC">
        <w:tc>
          <w:tcPr>
            <w:tcW w:w="2327" w:type="dxa"/>
          </w:tcPr>
          <w:p w14:paraId="5D0486B6" w14:textId="77777777" w:rsidR="007E7EDE" w:rsidRPr="00886C9E" w:rsidRDefault="007E7EDE" w:rsidP="00CF4DDF">
            <w:pPr>
              <w:spacing w:line="480" w:lineRule="auto"/>
              <w:jc w:val="both"/>
              <w:rPr>
                <w:rFonts w:ascii="Times" w:hAnsi="Times" w:cs="Times New Roman"/>
                <w:sz w:val="20"/>
                <w:szCs w:val="20"/>
              </w:rPr>
            </w:pPr>
            <w:proofErr w:type="spellStart"/>
            <w:r w:rsidRPr="00886C9E">
              <w:rPr>
                <w:rFonts w:ascii="Times" w:hAnsi="Times" w:cs="Times New Roman"/>
                <w:sz w:val="20"/>
                <w:szCs w:val="20"/>
              </w:rPr>
              <w:t>Popmax</w:t>
            </w:r>
            <w:proofErr w:type="spellEnd"/>
            <w:r w:rsidRPr="00886C9E">
              <w:rPr>
                <w:rFonts w:ascii="Times" w:hAnsi="Times" w:cs="Times New Roman"/>
                <w:sz w:val="20"/>
                <w:szCs w:val="20"/>
              </w:rPr>
              <w:t xml:space="preserve"> (mg/L)</w:t>
            </w:r>
          </w:p>
        </w:tc>
        <w:tc>
          <w:tcPr>
            <w:tcW w:w="1467" w:type="dxa"/>
          </w:tcPr>
          <w:p w14:paraId="77DAA915" w14:textId="77777777"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1.6^10</w:t>
            </w:r>
            <w:r w:rsidRPr="00886C9E">
              <w:rPr>
                <w:rFonts w:ascii="Times" w:hAnsi="Times" w:cs="Times New Roman"/>
                <w:sz w:val="20"/>
                <w:szCs w:val="20"/>
                <w:vertAlign w:val="superscript"/>
              </w:rPr>
              <w:t xml:space="preserve">9 </w:t>
            </w:r>
            <w:r w:rsidRPr="00886C9E">
              <w:rPr>
                <w:rFonts w:ascii="Times" w:hAnsi="Times" w:cs="Times New Roman"/>
                <w:sz w:val="20"/>
                <w:szCs w:val="20"/>
              </w:rPr>
              <w:t>(1.2^10</w:t>
            </w:r>
            <w:r w:rsidRPr="00886C9E">
              <w:rPr>
                <w:rFonts w:ascii="Times" w:hAnsi="Times" w:cs="Times New Roman"/>
                <w:sz w:val="20"/>
                <w:szCs w:val="20"/>
                <w:vertAlign w:val="superscript"/>
              </w:rPr>
              <w:t>9</w:t>
            </w:r>
            <w:r w:rsidRPr="00886C9E">
              <w:rPr>
                <w:rFonts w:ascii="Times" w:hAnsi="Times" w:cs="Times New Roman"/>
                <w:sz w:val="20"/>
                <w:szCs w:val="20"/>
              </w:rPr>
              <w:t>)</w:t>
            </w:r>
          </w:p>
        </w:tc>
        <w:tc>
          <w:tcPr>
            <w:tcW w:w="1134" w:type="dxa"/>
          </w:tcPr>
          <w:p w14:paraId="11B0D05B" w14:textId="5770B22F"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1.3^10</w:t>
            </w:r>
            <w:r w:rsidRPr="00886C9E">
              <w:rPr>
                <w:rFonts w:ascii="Times" w:hAnsi="Times" w:cs="Times New Roman"/>
                <w:sz w:val="20"/>
                <w:szCs w:val="20"/>
                <w:vertAlign w:val="superscript"/>
              </w:rPr>
              <w:t>9</w:t>
            </w:r>
          </w:p>
        </w:tc>
        <w:tc>
          <w:tcPr>
            <w:tcW w:w="2126" w:type="dxa"/>
          </w:tcPr>
          <w:p w14:paraId="4735FD8A" w14:textId="33E2958D" w:rsidR="007E7EDE" w:rsidRPr="00886C9E" w:rsidRDefault="00EE0EE0" w:rsidP="00CF4DDF">
            <w:pPr>
              <w:spacing w:line="480" w:lineRule="auto"/>
              <w:jc w:val="both"/>
              <w:rPr>
                <w:rFonts w:ascii="Times" w:hAnsi="Times" w:cs="Times New Roman"/>
                <w:sz w:val="20"/>
                <w:szCs w:val="20"/>
              </w:rPr>
            </w:pPr>
            <w:r w:rsidRPr="00886C9E">
              <w:rPr>
                <w:rFonts w:ascii="Times" w:hAnsi="Times" w:cs="Times New Roman"/>
                <w:sz w:val="20"/>
                <w:szCs w:val="20"/>
              </w:rPr>
              <w:t>1.3^10</w:t>
            </w:r>
            <w:r w:rsidRPr="00886C9E">
              <w:rPr>
                <w:rFonts w:ascii="Times" w:hAnsi="Times" w:cs="Times New Roman"/>
                <w:sz w:val="20"/>
                <w:szCs w:val="20"/>
                <w:vertAlign w:val="superscript"/>
              </w:rPr>
              <w:t>8</w:t>
            </w:r>
            <w:r w:rsidR="00A116AC" w:rsidRPr="00886C9E">
              <w:rPr>
                <w:rFonts w:ascii="Times" w:hAnsi="Times" w:cs="Times New Roman"/>
                <w:sz w:val="20"/>
                <w:szCs w:val="20"/>
              </w:rPr>
              <w:t>(8</w:t>
            </w:r>
            <w:r w:rsidRPr="00886C9E">
              <w:rPr>
                <w:rFonts w:ascii="Times" w:hAnsi="Times" w:cs="Times New Roman"/>
                <w:sz w:val="20"/>
                <w:szCs w:val="20"/>
              </w:rPr>
              <w:t>^10</w:t>
            </w:r>
            <w:r w:rsidRPr="00886C9E">
              <w:rPr>
                <w:rFonts w:ascii="Times" w:hAnsi="Times" w:cs="Times New Roman"/>
                <w:sz w:val="20"/>
                <w:szCs w:val="20"/>
                <w:vertAlign w:val="superscript"/>
              </w:rPr>
              <w:t>7</w:t>
            </w:r>
            <w:r w:rsidRPr="00886C9E">
              <w:rPr>
                <w:rFonts w:ascii="Times" w:hAnsi="Times" w:cs="Times New Roman"/>
                <w:sz w:val="20"/>
                <w:szCs w:val="20"/>
              </w:rPr>
              <w:t>)</w:t>
            </w:r>
          </w:p>
        </w:tc>
        <w:tc>
          <w:tcPr>
            <w:tcW w:w="1660" w:type="dxa"/>
          </w:tcPr>
          <w:p w14:paraId="7D4C5FBC" w14:textId="2FE516C1" w:rsidR="007E7EDE" w:rsidRPr="00886C9E" w:rsidRDefault="00A116AC" w:rsidP="00CF4DDF">
            <w:pPr>
              <w:spacing w:line="480" w:lineRule="auto"/>
              <w:jc w:val="both"/>
              <w:rPr>
                <w:rFonts w:ascii="Times" w:hAnsi="Times" w:cs="Times New Roman"/>
                <w:sz w:val="20"/>
                <w:szCs w:val="20"/>
                <w:vertAlign w:val="superscript"/>
              </w:rPr>
            </w:pPr>
            <w:r w:rsidRPr="00886C9E">
              <w:rPr>
                <w:rFonts w:ascii="Times" w:hAnsi="Times" w:cs="Times New Roman"/>
                <w:sz w:val="20"/>
                <w:szCs w:val="20"/>
              </w:rPr>
              <w:t>2</w:t>
            </w:r>
            <w:r w:rsidR="00EE0EE0" w:rsidRPr="00886C9E">
              <w:rPr>
                <w:rFonts w:ascii="Times" w:hAnsi="Times" w:cs="Times New Roman"/>
                <w:sz w:val="20"/>
                <w:szCs w:val="20"/>
              </w:rPr>
              <w:t>^10</w:t>
            </w:r>
            <w:r w:rsidR="00EE0EE0" w:rsidRPr="00886C9E">
              <w:rPr>
                <w:rFonts w:ascii="Times" w:hAnsi="Times" w:cs="Times New Roman"/>
                <w:sz w:val="20"/>
                <w:szCs w:val="20"/>
                <w:vertAlign w:val="superscript"/>
              </w:rPr>
              <w:t>8</w:t>
            </w:r>
          </w:p>
        </w:tc>
      </w:tr>
      <w:tr w:rsidR="007E7EDE" w:rsidRPr="00886C9E" w14:paraId="10190D3E" w14:textId="77777777" w:rsidTr="00A116AC">
        <w:trPr>
          <w:trHeight w:val="94"/>
        </w:trPr>
        <w:tc>
          <w:tcPr>
            <w:tcW w:w="2327" w:type="dxa"/>
          </w:tcPr>
          <w:p w14:paraId="39C4F287" w14:textId="77777777"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H</w:t>
            </w:r>
          </w:p>
        </w:tc>
        <w:tc>
          <w:tcPr>
            <w:tcW w:w="1467" w:type="dxa"/>
          </w:tcPr>
          <w:p w14:paraId="7116BCE2" w14:textId="77777777"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8.6 (2.6)</w:t>
            </w:r>
          </w:p>
        </w:tc>
        <w:tc>
          <w:tcPr>
            <w:tcW w:w="1134" w:type="dxa"/>
          </w:tcPr>
          <w:p w14:paraId="5398E9E7" w14:textId="1970980F"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9.9</w:t>
            </w:r>
          </w:p>
        </w:tc>
        <w:tc>
          <w:tcPr>
            <w:tcW w:w="2126" w:type="dxa"/>
          </w:tcPr>
          <w:p w14:paraId="2C5219FC" w14:textId="06F13AB0" w:rsidR="007E7EDE" w:rsidRPr="00886C9E" w:rsidRDefault="00EE0EE0" w:rsidP="00CF4DDF">
            <w:pPr>
              <w:spacing w:line="480" w:lineRule="auto"/>
              <w:jc w:val="both"/>
              <w:rPr>
                <w:rFonts w:ascii="Times" w:hAnsi="Times" w:cs="Times New Roman"/>
                <w:sz w:val="20"/>
                <w:szCs w:val="20"/>
              </w:rPr>
            </w:pPr>
            <w:r w:rsidRPr="00886C9E">
              <w:rPr>
                <w:rFonts w:ascii="Times" w:hAnsi="Times" w:cs="Times New Roman"/>
                <w:sz w:val="20"/>
                <w:szCs w:val="20"/>
              </w:rPr>
              <w:t>13.7 (3.7)</w:t>
            </w:r>
          </w:p>
        </w:tc>
        <w:tc>
          <w:tcPr>
            <w:tcW w:w="1660" w:type="dxa"/>
          </w:tcPr>
          <w:p w14:paraId="64BBB4EE" w14:textId="6F652CAE" w:rsidR="007E7EDE" w:rsidRPr="00886C9E" w:rsidRDefault="00EE0EE0" w:rsidP="00CF4DDF">
            <w:pPr>
              <w:spacing w:line="480" w:lineRule="auto"/>
              <w:jc w:val="both"/>
              <w:rPr>
                <w:rFonts w:ascii="Times" w:hAnsi="Times" w:cs="Times New Roman"/>
                <w:sz w:val="20"/>
                <w:szCs w:val="20"/>
              </w:rPr>
            </w:pPr>
            <w:r w:rsidRPr="00886C9E">
              <w:rPr>
                <w:rFonts w:ascii="Times" w:hAnsi="Times" w:cs="Times New Roman"/>
                <w:sz w:val="20"/>
                <w:szCs w:val="20"/>
              </w:rPr>
              <w:t>15.1</w:t>
            </w:r>
          </w:p>
        </w:tc>
      </w:tr>
      <w:tr w:rsidR="007E7EDE" w:rsidRPr="00886C9E" w14:paraId="0AF44C66" w14:textId="77777777" w:rsidTr="00A116AC">
        <w:trPr>
          <w:trHeight w:val="93"/>
        </w:trPr>
        <w:tc>
          <w:tcPr>
            <w:tcW w:w="2327" w:type="dxa"/>
          </w:tcPr>
          <w:p w14:paraId="44A8F800" w14:textId="5985B4F6"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HR</w:t>
            </w:r>
          </w:p>
        </w:tc>
        <w:tc>
          <w:tcPr>
            <w:tcW w:w="1467" w:type="dxa"/>
          </w:tcPr>
          <w:p w14:paraId="53C81C40" w14:textId="77777777"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13.9 (2.6)</w:t>
            </w:r>
          </w:p>
        </w:tc>
        <w:tc>
          <w:tcPr>
            <w:tcW w:w="1134" w:type="dxa"/>
          </w:tcPr>
          <w:p w14:paraId="213EF1B1" w14:textId="0F8628E8"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16</w:t>
            </w:r>
          </w:p>
        </w:tc>
        <w:tc>
          <w:tcPr>
            <w:tcW w:w="2126" w:type="dxa"/>
          </w:tcPr>
          <w:p w14:paraId="06CAD70A" w14:textId="176FF8A3" w:rsidR="007E7EDE" w:rsidRPr="00886C9E" w:rsidRDefault="00EE0EE0" w:rsidP="00CF4DDF">
            <w:pPr>
              <w:spacing w:line="480" w:lineRule="auto"/>
              <w:jc w:val="both"/>
              <w:rPr>
                <w:rFonts w:ascii="Times" w:hAnsi="Times" w:cs="Times New Roman"/>
                <w:sz w:val="20"/>
                <w:szCs w:val="20"/>
              </w:rPr>
            </w:pPr>
            <w:r w:rsidRPr="00886C9E">
              <w:rPr>
                <w:rFonts w:ascii="Times" w:hAnsi="Times" w:cs="Times New Roman"/>
                <w:sz w:val="20"/>
                <w:szCs w:val="20"/>
              </w:rPr>
              <w:t>14.1 (5.2)</w:t>
            </w:r>
          </w:p>
        </w:tc>
        <w:tc>
          <w:tcPr>
            <w:tcW w:w="1660" w:type="dxa"/>
          </w:tcPr>
          <w:p w14:paraId="2EA855E7" w14:textId="076D84ED" w:rsidR="007E7EDE" w:rsidRPr="00886C9E" w:rsidRDefault="00A116AC" w:rsidP="00CF4DDF">
            <w:pPr>
              <w:spacing w:line="480" w:lineRule="auto"/>
              <w:jc w:val="both"/>
              <w:rPr>
                <w:rFonts w:ascii="Times" w:hAnsi="Times" w:cs="Times New Roman"/>
                <w:sz w:val="20"/>
                <w:szCs w:val="20"/>
              </w:rPr>
            </w:pPr>
            <w:r w:rsidRPr="00886C9E">
              <w:rPr>
                <w:rFonts w:ascii="Times" w:hAnsi="Times" w:cs="Times New Roman"/>
                <w:sz w:val="20"/>
                <w:szCs w:val="20"/>
              </w:rPr>
              <w:t>17.1</w:t>
            </w:r>
          </w:p>
        </w:tc>
      </w:tr>
      <w:tr w:rsidR="007E7EDE" w:rsidRPr="00886C9E" w14:paraId="6D48692A" w14:textId="77777777" w:rsidTr="00A116AC">
        <w:trPr>
          <w:trHeight w:val="94"/>
        </w:trPr>
        <w:tc>
          <w:tcPr>
            <w:tcW w:w="2327" w:type="dxa"/>
          </w:tcPr>
          <w:p w14:paraId="2C1DC3E3" w14:textId="0C5EC4AE" w:rsidR="007E7EDE" w:rsidRPr="00886C9E" w:rsidRDefault="007E7EDE" w:rsidP="00CF4DDF">
            <w:pPr>
              <w:spacing w:line="480" w:lineRule="auto"/>
              <w:jc w:val="both"/>
              <w:rPr>
                <w:rFonts w:ascii="Times" w:hAnsi="Times" w:cs="Times New Roman"/>
                <w:sz w:val="20"/>
                <w:szCs w:val="20"/>
              </w:rPr>
            </w:pPr>
            <w:proofErr w:type="spellStart"/>
            <w:r w:rsidRPr="00886C9E">
              <w:rPr>
                <w:rFonts w:ascii="Times" w:hAnsi="Times" w:cs="Times New Roman"/>
                <w:sz w:val="20"/>
                <w:szCs w:val="20"/>
              </w:rPr>
              <w:t>KkmaxS</w:t>
            </w:r>
            <w:proofErr w:type="spellEnd"/>
            <w:r w:rsidRPr="00886C9E">
              <w:rPr>
                <w:rFonts w:ascii="Times" w:hAnsi="Times" w:cs="Times New Roman"/>
                <w:sz w:val="20"/>
                <w:szCs w:val="20"/>
              </w:rPr>
              <w:t xml:space="preserve"> (mg/L*h</w:t>
            </w:r>
            <w:r w:rsidRPr="00886C9E">
              <w:rPr>
                <w:rFonts w:ascii="Times" w:hAnsi="Times" w:cs="Times New Roman"/>
                <w:sz w:val="20"/>
                <w:szCs w:val="20"/>
                <w:vertAlign w:val="superscript"/>
              </w:rPr>
              <w:t>-1</w:t>
            </w:r>
            <w:r w:rsidRPr="00886C9E">
              <w:rPr>
                <w:rFonts w:ascii="Times" w:hAnsi="Times" w:cs="Times New Roman"/>
                <w:sz w:val="20"/>
                <w:szCs w:val="20"/>
              </w:rPr>
              <w:t>)</w:t>
            </w:r>
          </w:p>
        </w:tc>
        <w:tc>
          <w:tcPr>
            <w:tcW w:w="1467" w:type="dxa"/>
          </w:tcPr>
          <w:p w14:paraId="6D5C3BE7" w14:textId="77777777"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0.7 (0.2)</w:t>
            </w:r>
          </w:p>
        </w:tc>
        <w:tc>
          <w:tcPr>
            <w:tcW w:w="1134" w:type="dxa"/>
          </w:tcPr>
          <w:p w14:paraId="0CF0B66E" w14:textId="28DBFB43"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0.7</w:t>
            </w:r>
          </w:p>
        </w:tc>
        <w:tc>
          <w:tcPr>
            <w:tcW w:w="2126" w:type="dxa"/>
          </w:tcPr>
          <w:p w14:paraId="09936112" w14:textId="0F911A45" w:rsidR="007E7EDE" w:rsidRPr="00886C9E" w:rsidRDefault="00A116AC" w:rsidP="00CF4DDF">
            <w:pPr>
              <w:spacing w:line="480" w:lineRule="auto"/>
              <w:jc w:val="both"/>
              <w:rPr>
                <w:rFonts w:ascii="Times" w:hAnsi="Times" w:cs="Times New Roman"/>
                <w:sz w:val="20"/>
                <w:szCs w:val="20"/>
              </w:rPr>
            </w:pPr>
            <w:r w:rsidRPr="00886C9E">
              <w:rPr>
                <w:rFonts w:ascii="Times" w:hAnsi="Times" w:cs="Times New Roman"/>
                <w:sz w:val="20"/>
                <w:szCs w:val="20"/>
              </w:rPr>
              <w:t>0.52 (0.06)</w:t>
            </w:r>
          </w:p>
        </w:tc>
        <w:tc>
          <w:tcPr>
            <w:tcW w:w="1660" w:type="dxa"/>
          </w:tcPr>
          <w:p w14:paraId="75FFB179" w14:textId="4CA975F3" w:rsidR="007E7EDE" w:rsidRPr="00886C9E" w:rsidRDefault="00A116AC" w:rsidP="00CF4DDF">
            <w:pPr>
              <w:spacing w:line="480" w:lineRule="auto"/>
              <w:jc w:val="both"/>
              <w:rPr>
                <w:rFonts w:ascii="Times" w:hAnsi="Times" w:cs="Times New Roman"/>
                <w:sz w:val="20"/>
                <w:szCs w:val="20"/>
              </w:rPr>
            </w:pPr>
            <w:r w:rsidRPr="00886C9E">
              <w:rPr>
                <w:rFonts w:ascii="Times" w:hAnsi="Times" w:cs="Times New Roman"/>
                <w:sz w:val="20"/>
                <w:szCs w:val="20"/>
              </w:rPr>
              <w:t>0.51</w:t>
            </w:r>
          </w:p>
        </w:tc>
      </w:tr>
      <w:tr w:rsidR="007E7EDE" w:rsidRPr="00886C9E" w14:paraId="1A2A40C7" w14:textId="77777777" w:rsidTr="00A116AC">
        <w:trPr>
          <w:trHeight w:val="93"/>
        </w:trPr>
        <w:tc>
          <w:tcPr>
            <w:tcW w:w="2327" w:type="dxa"/>
          </w:tcPr>
          <w:p w14:paraId="1D87DCB3" w14:textId="5800F069" w:rsidR="007E7EDE" w:rsidRPr="00886C9E" w:rsidRDefault="007E7EDE" w:rsidP="00CF4DDF">
            <w:pPr>
              <w:spacing w:line="480" w:lineRule="auto"/>
              <w:jc w:val="both"/>
              <w:rPr>
                <w:rFonts w:ascii="Times" w:hAnsi="Times" w:cs="Times New Roman"/>
                <w:sz w:val="20"/>
                <w:szCs w:val="20"/>
              </w:rPr>
            </w:pPr>
            <w:proofErr w:type="spellStart"/>
            <w:r w:rsidRPr="00886C9E">
              <w:rPr>
                <w:rFonts w:ascii="Times" w:hAnsi="Times" w:cs="Times New Roman"/>
                <w:sz w:val="20"/>
                <w:szCs w:val="20"/>
              </w:rPr>
              <w:t>KkmaxR</w:t>
            </w:r>
            <w:proofErr w:type="spellEnd"/>
            <w:r w:rsidRPr="00886C9E">
              <w:rPr>
                <w:rFonts w:ascii="Times" w:hAnsi="Times" w:cs="Times New Roman"/>
                <w:sz w:val="20"/>
                <w:szCs w:val="20"/>
              </w:rPr>
              <w:t xml:space="preserve"> (mg/L*h</w:t>
            </w:r>
            <w:r w:rsidRPr="00886C9E">
              <w:rPr>
                <w:rFonts w:ascii="Times" w:hAnsi="Times" w:cs="Times New Roman"/>
                <w:sz w:val="20"/>
                <w:szCs w:val="20"/>
                <w:vertAlign w:val="superscript"/>
              </w:rPr>
              <w:t>-1</w:t>
            </w:r>
            <w:r w:rsidRPr="00886C9E">
              <w:rPr>
                <w:rFonts w:ascii="Times" w:hAnsi="Times" w:cs="Times New Roman"/>
                <w:sz w:val="20"/>
                <w:szCs w:val="20"/>
              </w:rPr>
              <w:t>)</w:t>
            </w:r>
          </w:p>
        </w:tc>
        <w:tc>
          <w:tcPr>
            <w:tcW w:w="1467" w:type="dxa"/>
          </w:tcPr>
          <w:p w14:paraId="75176ADB" w14:textId="77777777"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0.7 (0.4)</w:t>
            </w:r>
          </w:p>
        </w:tc>
        <w:tc>
          <w:tcPr>
            <w:tcW w:w="1134" w:type="dxa"/>
          </w:tcPr>
          <w:p w14:paraId="002A7F2C" w14:textId="1A430EE9"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0.4</w:t>
            </w:r>
          </w:p>
        </w:tc>
        <w:tc>
          <w:tcPr>
            <w:tcW w:w="2126" w:type="dxa"/>
          </w:tcPr>
          <w:p w14:paraId="795D5AAD" w14:textId="1C1EBD8D" w:rsidR="007E7EDE" w:rsidRPr="00886C9E" w:rsidRDefault="00A116AC" w:rsidP="00CF4DDF">
            <w:pPr>
              <w:spacing w:line="480" w:lineRule="auto"/>
              <w:jc w:val="both"/>
              <w:rPr>
                <w:rFonts w:ascii="Times" w:hAnsi="Times" w:cs="Times New Roman"/>
                <w:sz w:val="20"/>
                <w:szCs w:val="20"/>
              </w:rPr>
            </w:pPr>
            <w:r w:rsidRPr="00886C9E">
              <w:rPr>
                <w:rFonts w:ascii="Times" w:hAnsi="Times" w:cs="Times New Roman"/>
                <w:sz w:val="20"/>
                <w:szCs w:val="20"/>
              </w:rPr>
              <w:t>0.75 (0.15)</w:t>
            </w:r>
          </w:p>
        </w:tc>
        <w:tc>
          <w:tcPr>
            <w:tcW w:w="1660" w:type="dxa"/>
          </w:tcPr>
          <w:p w14:paraId="0D6C98B0" w14:textId="625A8EA1" w:rsidR="007E7EDE" w:rsidRPr="00886C9E" w:rsidRDefault="00A116AC" w:rsidP="00CF4DDF">
            <w:pPr>
              <w:spacing w:line="480" w:lineRule="auto"/>
              <w:jc w:val="both"/>
              <w:rPr>
                <w:rFonts w:ascii="Times" w:hAnsi="Times" w:cs="Times New Roman"/>
                <w:sz w:val="20"/>
                <w:szCs w:val="20"/>
              </w:rPr>
            </w:pPr>
            <w:r w:rsidRPr="00886C9E">
              <w:rPr>
                <w:rFonts w:ascii="Times" w:hAnsi="Times" w:cs="Times New Roman"/>
                <w:sz w:val="20"/>
                <w:szCs w:val="20"/>
              </w:rPr>
              <w:t>0.79</w:t>
            </w:r>
          </w:p>
        </w:tc>
      </w:tr>
      <w:tr w:rsidR="007E7EDE" w:rsidRPr="00886C9E" w14:paraId="1BE33906" w14:textId="77777777" w:rsidTr="00A116AC">
        <w:trPr>
          <w:trHeight w:val="94"/>
        </w:trPr>
        <w:tc>
          <w:tcPr>
            <w:tcW w:w="2327" w:type="dxa"/>
          </w:tcPr>
          <w:p w14:paraId="0DF753FE" w14:textId="0515F5F4"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EC50S (mg/L)</w:t>
            </w:r>
          </w:p>
        </w:tc>
        <w:tc>
          <w:tcPr>
            <w:tcW w:w="1467" w:type="dxa"/>
          </w:tcPr>
          <w:p w14:paraId="7087D25A" w14:textId="77777777"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11.6 (3.6)</w:t>
            </w:r>
          </w:p>
        </w:tc>
        <w:tc>
          <w:tcPr>
            <w:tcW w:w="1134" w:type="dxa"/>
          </w:tcPr>
          <w:p w14:paraId="645DE1C2" w14:textId="199FC4C2"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11.8</w:t>
            </w:r>
          </w:p>
        </w:tc>
        <w:tc>
          <w:tcPr>
            <w:tcW w:w="2126" w:type="dxa"/>
          </w:tcPr>
          <w:p w14:paraId="00AAA8F2" w14:textId="471EB079" w:rsidR="007E7EDE" w:rsidRPr="00886C9E" w:rsidRDefault="00A116AC" w:rsidP="00CF4DDF">
            <w:pPr>
              <w:spacing w:line="480" w:lineRule="auto"/>
              <w:jc w:val="both"/>
              <w:rPr>
                <w:rFonts w:ascii="Times" w:hAnsi="Times" w:cs="Times New Roman"/>
                <w:sz w:val="20"/>
                <w:szCs w:val="20"/>
              </w:rPr>
            </w:pPr>
            <w:r w:rsidRPr="00886C9E">
              <w:rPr>
                <w:rFonts w:ascii="Times" w:hAnsi="Times" w:cs="Times New Roman"/>
                <w:sz w:val="20"/>
                <w:szCs w:val="20"/>
              </w:rPr>
              <w:t>1.2 (0.3)</w:t>
            </w:r>
          </w:p>
        </w:tc>
        <w:tc>
          <w:tcPr>
            <w:tcW w:w="1660" w:type="dxa"/>
          </w:tcPr>
          <w:p w14:paraId="2E1FFABF" w14:textId="7F64E0B4" w:rsidR="007E7EDE" w:rsidRPr="00886C9E" w:rsidRDefault="00A116AC" w:rsidP="00CF4DDF">
            <w:pPr>
              <w:spacing w:line="480" w:lineRule="auto"/>
              <w:jc w:val="both"/>
              <w:rPr>
                <w:rFonts w:ascii="Times" w:hAnsi="Times" w:cs="Times New Roman"/>
                <w:sz w:val="20"/>
                <w:szCs w:val="20"/>
              </w:rPr>
            </w:pPr>
            <w:r w:rsidRPr="00886C9E">
              <w:rPr>
                <w:rFonts w:ascii="Times" w:hAnsi="Times" w:cs="Times New Roman"/>
                <w:sz w:val="20"/>
                <w:szCs w:val="20"/>
              </w:rPr>
              <w:t>1.2</w:t>
            </w:r>
          </w:p>
        </w:tc>
      </w:tr>
      <w:tr w:rsidR="007E7EDE" w:rsidRPr="00886C9E" w14:paraId="1AEA9F22" w14:textId="77777777" w:rsidTr="00A116AC">
        <w:trPr>
          <w:trHeight w:val="93"/>
        </w:trPr>
        <w:tc>
          <w:tcPr>
            <w:tcW w:w="2327" w:type="dxa"/>
          </w:tcPr>
          <w:p w14:paraId="1668006E" w14:textId="36894DF5"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EC50R (mg/L)</w:t>
            </w:r>
          </w:p>
        </w:tc>
        <w:tc>
          <w:tcPr>
            <w:tcW w:w="1467" w:type="dxa"/>
          </w:tcPr>
          <w:p w14:paraId="3B4C0322" w14:textId="77777777"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40.2 (9.9)</w:t>
            </w:r>
          </w:p>
        </w:tc>
        <w:tc>
          <w:tcPr>
            <w:tcW w:w="1134" w:type="dxa"/>
          </w:tcPr>
          <w:p w14:paraId="2EE54385" w14:textId="214BFE3A"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38.03</w:t>
            </w:r>
          </w:p>
        </w:tc>
        <w:tc>
          <w:tcPr>
            <w:tcW w:w="2126" w:type="dxa"/>
          </w:tcPr>
          <w:p w14:paraId="2C5C0AB4" w14:textId="5C0D55EC" w:rsidR="007E7EDE" w:rsidRPr="00886C9E" w:rsidRDefault="00A116AC" w:rsidP="00CF4DDF">
            <w:pPr>
              <w:spacing w:line="480" w:lineRule="auto"/>
              <w:jc w:val="both"/>
              <w:rPr>
                <w:rFonts w:ascii="Times" w:hAnsi="Times" w:cs="Times New Roman"/>
                <w:sz w:val="20"/>
                <w:szCs w:val="20"/>
              </w:rPr>
            </w:pPr>
            <w:r w:rsidRPr="00886C9E">
              <w:rPr>
                <w:rFonts w:ascii="Times" w:hAnsi="Times" w:cs="Times New Roman"/>
                <w:sz w:val="20"/>
                <w:szCs w:val="20"/>
              </w:rPr>
              <w:t>64.1 (9.8)</w:t>
            </w:r>
          </w:p>
        </w:tc>
        <w:tc>
          <w:tcPr>
            <w:tcW w:w="1660" w:type="dxa"/>
          </w:tcPr>
          <w:p w14:paraId="62135682" w14:textId="06A61462" w:rsidR="007E7EDE" w:rsidRPr="00886C9E" w:rsidRDefault="00A116AC" w:rsidP="00CF4DDF">
            <w:pPr>
              <w:spacing w:line="480" w:lineRule="auto"/>
              <w:jc w:val="both"/>
              <w:rPr>
                <w:rFonts w:ascii="Times" w:hAnsi="Times" w:cs="Times New Roman"/>
                <w:sz w:val="20"/>
                <w:szCs w:val="20"/>
              </w:rPr>
            </w:pPr>
            <w:r w:rsidRPr="00886C9E">
              <w:rPr>
                <w:rFonts w:ascii="Times" w:hAnsi="Times" w:cs="Times New Roman"/>
                <w:sz w:val="20"/>
                <w:szCs w:val="20"/>
              </w:rPr>
              <w:t>70</w:t>
            </w:r>
          </w:p>
        </w:tc>
      </w:tr>
      <w:tr w:rsidR="007E7EDE" w:rsidRPr="00886C9E" w14:paraId="6CF60785" w14:textId="77777777" w:rsidTr="00A116AC">
        <w:trPr>
          <w:trHeight w:val="94"/>
        </w:trPr>
        <w:tc>
          <w:tcPr>
            <w:tcW w:w="2327" w:type="dxa"/>
          </w:tcPr>
          <w:p w14:paraId="770F4CAB" w14:textId="3618D0AC"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IC1 (mg/L)</w:t>
            </w:r>
          </w:p>
        </w:tc>
        <w:tc>
          <w:tcPr>
            <w:tcW w:w="1467" w:type="dxa"/>
          </w:tcPr>
          <w:p w14:paraId="1E364612" w14:textId="77777777"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9.8^10</w:t>
            </w:r>
            <w:r w:rsidRPr="00886C9E">
              <w:rPr>
                <w:rFonts w:ascii="Times" w:hAnsi="Times" w:cs="Times New Roman"/>
                <w:sz w:val="20"/>
                <w:szCs w:val="20"/>
                <w:vertAlign w:val="superscript"/>
              </w:rPr>
              <w:t xml:space="preserve">4 </w:t>
            </w:r>
            <w:r w:rsidRPr="00886C9E">
              <w:rPr>
                <w:rFonts w:ascii="Times" w:hAnsi="Times" w:cs="Times New Roman"/>
                <w:sz w:val="20"/>
                <w:szCs w:val="20"/>
              </w:rPr>
              <w:t>(9.4^10</w:t>
            </w:r>
            <w:r w:rsidRPr="00886C9E">
              <w:rPr>
                <w:rFonts w:ascii="Times" w:hAnsi="Times" w:cs="Times New Roman"/>
                <w:sz w:val="20"/>
                <w:szCs w:val="20"/>
                <w:vertAlign w:val="superscript"/>
              </w:rPr>
              <w:t>4</w:t>
            </w:r>
            <w:r w:rsidRPr="00886C9E">
              <w:rPr>
                <w:rFonts w:ascii="Times" w:hAnsi="Times" w:cs="Times New Roman"/>
                <w:sz w:val="20"/>
                <w:szCs w:val="20"/>
              </w:rPr>
              <w:t>)</w:t>
            </w:r>
          </w:p>
        </w:tc>
        <w:tc>
          <w:tcPr>
            <w:tcW w:w="1134" w:type="dxa"/>
          </w:tcPr>
          <w:p w14:paraId="20FD2822" w14:textId="73423EAC"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10^10</w:t>
            </w:r>
            <w:r w:rsidRPr="00886C9E">
              <w:rPr>
                <w:rFonts w:ascii="Times" w:hAnsi="Times" w:cs="Times New Roman"/>
                <w:sz w:val="20"/>
                <w:szCs w:val="20"/>
                <w:vertAlign w:val="superscript"/>
              </w:rPr>
              <w:t>3</w:t>
            </w:r>
          </w:p>
        </w:tc>
        <w:tc>
          <w:tcPr>
            <w:tcW w:w="2126" w:type="dxa"/>
          </w:tcPr>
          <w:p w14:paraId="2AF960B7" w14:textId="14BCD5C3" w:rsidR="007E7EDE" w:rsidRPr="00886C9E" w:rsidRDefault="00A116AC" w:rsidP="00CF4DDF">
            <w:pPr>
              <w:spacing w:line="480" w:lineRule="auto"/>
              <w:jc w:val="both"/>
              <w:rPr>
                <w:rFonts w:ascii="Times" w:hAnsi="Times" w:cs="Times New Roman"/>
                <w:sz w:val="20"/>
                <w:szCs w:val="20"/>
              </w:rPr>
            </w:pPr>
            <w:r w:rsidRPr="00886C9E">
              <w:rPr>
                <w:rFonts w:ascii="Times" w:hAnsi="Times" w:cs="Times New Roman"/>
                <w:sz w:val="20"/>
                <w:szCs w:val="20"/>
              </w:rPr>
              <w:t>4^10</w:t>
            </w:r>
            <w:r w:rsidRPr="00886C9E">
              <w:rPr>
                <w:rFonts w:ascii="Times" w:hAnsi="Times" w:cs="Times New Roman"/>
                <w:sz w:val="20"/>
                <w:szCs w:val="20"/>
                <w:vertAlign w:val="superscript"/>
              </w:rPr>
              <w:t xml:space="preserve">4 </w:t>
            </w:r>
            <w:r w:rsidRPr="00886C9E">
              <w:rPr>
                <w:rFonts w:ascii="Times" w:hAnsi="Times" w:cs="Times New Roman"/>
                <w:sz w:val="20"/>
                <w:szCs w:val="20"/>
              </w:rPr>
              <w:t>(8^10</w:t>
            </w:r>
            <w:r w:rsidRPr="00886C9E">
              <w:rPr>
                <w:rFonts w:ascii="Times" w:hAnsi="Times" w:cs="Times New Roman"/>
                <w:sz w:val="20"/>
                <w:szCs w:val="20"/>
                <w:vertAlign w:val="superscript"/>
              </w:rPr>
              <w:t>3</w:t>
            </w:r>
            <w:r w:rsidRPr="00886C9E">
              <w:rPr>
                <w:rFonts w:ascii="Times" w:hAnsi="Times" w:cs="Times New Roman"/>
                <w:sz w:val="20"/>
                <w:szCs w:val="20"/>
              </w:rPr>
              <w:t>)</w:t>
            </w:r>
          </w:p>
        </w:tc>
        <w:tc>
          <w:tcPr>
            <w:tcW w:w="1660" w:type="dxa"/>
          </w:tcPr>
          <w:p w14:paraId="3C002772" w14:textId="2E5C58DC" w:rsidR="007E7EDE" w:rsidRPr="00886C9E" w:rsidRDefault="00A116AC" w:rsidP="00CF4DDF">
            <w:pPr>
              <w:spacing w:line="480" w:lineRule="auto"/>
              <w:jc w:val="both"/>
              <w:rPr>
                <w:rFonts w:ascii="Times" w:hAnsi="Times" w:cs="Times New Roman"/>
                <w:sz w:val="20"/>
                <w:szCs w:val="20"/>
                <w:vertAlign w:val="superscript"/>
              </w:rPr>
            </w:pPr>
            <w:r w:rsidRPr="00886C9E">
              <w:rPr>
                <w:rFonts w:ascii="Times" w:hAnsi="Times" w:cs="Times New Roman"/>
                <w:sz w:val="20"/>
                <w:szCs w:val="20"/>
              </w:rPr>
              <w:t>3.6^10</w:t>
            </w:r>
            <w:r w:rsidRPr="00886C9E">
              <w:rPr>
                <w:rFonts w:ascii="Times" w:hAnsi="Times" w:cs="Times New Roman"/>
                <w:sz w:val="20"/>
                <w:szCs w:val="20"/>
                <w:vertAlign w:val="superscript"/>
              </w:rPr>
              <w:t>4</w:t>
            </w:r>
          </w:p>
        </w:tc>
      </w:tr>
      <w:tr w:rsidR="007E7EDE" w:rsidRPr="00886C9E" w14:paraId="6BB40A61" w14:textId="77777777" w:rsidTr="00A116AC">
        <w:trPr>
          <w:trHeight w:val="93"/>
        </w:trPr>
        <w:tc>
          <w:tcPr>
            <w:tcW w:w="2327" w:type="dxa"/>
          </w:tcPr>
          <w:p w14:paraId="20BF907B" w14:textId="710A1CD7"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IC2 (mg/L)</w:t>
            </w:r>
          </w:p>
        </w:tc>
        <w:tc>
          <w:tcPr>
            <w:tcW w:w="1467" w:type="dxa"/>
          </w:tcPr>
          <w:p w14:paraId="157742D4" w14:textId="77777777"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20.2 (15.2)</w:t>
            </w:r>
          </w:p>
        </w:tc>
        <w:tc>
          <w:tcPr>
            <w:tcW w:w="1134" w:type="dxa"/>
          </w:tcPr>
          <w:p w14:paraId="70168E54" w14:textId="4F6B4558" w:rsidR="007E7EDE" w:rsidRPr="00886C9E" w:rsidRDefault="007E7EDE" w:rsidP="00CF4DDF">
            <w:pPr>
              <w:spacing w:line="480" w:lineRule="auto"/>
              <w:jc w:val="both"/>
              <w:rPr>
                <w:rFonts w:ascii="Times" w:hAnsi="Times" w:cs="Times New Roman"/>
                <w:sz w:val="20"/>
                <w:szCs w:val="20"/>
              </w:rPr>
            </w:pPr>
            <w:r w:rsidRPr="00886C9E">
              <w:rPr>
                <w:rFonts w:ascii="Times" w:hAnsi="Times" w:cs="Times New Roman"/>
                <w:sz w:val="20"/>
                <w:szCs w:val="20"/>
              </w:rPr>
              <w:t>13.04</w:t>
            </w:r>
          </w:p>
        </w:tc>
        <w:tc>
          <w:tcPr>
            <w:tcW w:w="2126" w:type="dxa"/>
          </w:tcPr>
          <w:p w14:paraId="2C5F2FF1" w14:textId="5388E68A" w:rsidR="007E7EDE" w:rsidRPr="00886C9E" w:rsidRDefault="00A116AC" w:rsidP="00CF4DDF">
            <w:pPr>
              <w:spacing w:line="480" w:lineRule="auto"/>
              <w:jc w:val="both"/>
              <w:rPr>
                <w:rFonts w:ascii="Times" w:hAnsi="Times" w:cs="Times New Roman"/>
                <w:sz w:val="20"/>
                <w:szCs w:val="20"/>
              </w:rPr>
            </w:pPr>
            <w:r w:rsidRPr="00886C9E">
              <w:rPr>
                <w:rFonts w:ascii="Times" w:hAnsi="Times" w:cs="Times New Roman"/>
                <w:sz w:val="20"/>
                <w:szCs w:val="20"/>
              </w:rPr>
              <w:t>159 (162)</w:t>
            </w:r>
          </w:p>
        </w:tc>
        <w:tc>
          <w:tcPr>
            <w:tcW w:w="1660" w:type="dxa"/>
          </w:tcPr>
          <w:p w14:paraId="5ABEFB1A" w14:textId="7933F823" w:rsidR="007E7EDE" w:rsidRPr="00886C9E" w:rsidRDefault="00A116AC" w:rsidP="00CF4DDF">
            <w:pPr>
              <w:spacing w:line="480" w:lineRule="auto"/>
              <w:jc w:val="both"/>
              <w:rPr>
                <w:rFonts w:ascii="Times" w:hAnsi="Times" w:cs="Times New Roman"/>
                <w:sz w:val="20"/>
                <w:szCs w:val="20"/>
              </w:rPr>
            </w:pPr>
            <w:r w:rsidRPr="00886C9E">
              <w:rPr>
                <w:rFonts w:ascii="Times" w:hAnsi="Times" w:cs="Times New Roman"/>
                <w:sz w:val="20"/>
                <w:szCs w:val="20"/>
              </w:rPr>
              <w:t>206</w:t>
            </w:r>
          </w:p>
        </w:tc>
      </w:tr>
    </w:tbl>
    <w:p w14:paraId="7D523730" w14:textId="6CC24A67" w:rsidR="000049EA" w:rsidRPr="00886C9E" w:rsidRDefault="000049EA" w:rsidP="00CF4DDF">
      <w:pPr>
        <w:spacing w:line="480" w:lineRule="auto"/>
        <w:jc w:val="both"/>
        <w:rPr>
          <w:rFonts w:ascii="Times" w:hAnsi="Times" w:cs="Times New Roman"/>
          <w:sz w:val="20"/>
          <w:szCs w:val="20"/>
        </w:rPr>
      </w:pPr>
      <w:r w:rsidRPr="00886C9E">
        <w:rPr>
          <w:rFonts w:ascii="Times" w:hAnsi="Times" w:cs="Times New Roman"/>
          <w:sz w:val="20"/>
          <w:szCs w:val="20"/>
        </w:rPr>
        <w:t xml:space="preserve">Cl= </w:t>
      </w:r>
      <w:proofErr w:type="gramStart"/>
      <w:r w:rsidRPr="00886C9E">
        <w:rPr>
          <w:rFonts w:ascii="Times" w:hAnsi="Times" w:cs="Times New Roman"/>
          <w:sz w:val="20"/>
          <w:szCs w:val="20"/>
        </w:rPr>
        <w:t>Clearance ;</w:t>
      </w:r>
      <w:proofErr w:type="gramEnd"/>
      <w:r w:rsidRPr="00886C9E">
        <w:rPr>
          <w:rFonts w:ascii="Times" w:hAnsi="Times" w:cs="Times New Roman"/>
          <w:sz w:val="20"/>
          <w:szCs w:val="20"/>
        </w:rPr>
        <w:t xml:space="preserve"> </w:t>
      </w:r>
      <w:proofErr w:type="spellStart"/>
      <w:r w:rsidRPr="00886C9E">
        <w:rPr>
          <w:rFonts w:ascii="Times" w:hAnsi="Times" w:cs="Times New Roman"/>
          <w:sz w:val="20"/>
          <w:szCs w:val="20"/>
        </w:rPr>
        <w:t>Vc</w:t>
      </w:r>
      <w:proofErr w:type="spellEnd"/>
      <w:r w:rsidRPr="00886C9E">
        <w:rPr>
          <w:rFonts w:ascii="Times" w:hAnsi="Times" w:cs="Times New Roman"/>
          <w:sz w:val="20"/>
          <w:szCs w:val="20"/>
        </w:rPr>
        <w:t xml:space="preserve">=Volume of distribution in the central compartment; </w:t>
      </w:r>
      <w:proofErr w:type="spellStart"/>
      <w:r w:rsidRPr="00886C9E">
        <w:rPr>
          <w:rFonts w:ascii="Times" w:hAnsi="Times" w:cs="Times New Roman"/>
          <w:sz w:val="20"/>
          <w:szCs w:val="20"/>
        </w:rPr>
        <w:t>Kgmax</w:t>
      </w:r>
      <w:proofErr w:type="spellEnd"/>
      <w:r w:rsidRPr="00886C9E">
        <w:rPr>
          <w:rFonts w:ascii="Times" w:hAnsi="Times" w:cs="Times New Roman"/>
          <w:sz w:val="20"/>
          <w:szCs w:val="20"/>
        </w:rPr>
        <w:t xml:space="preserve">= maximum rate of bacterial growth; </w:t>
      </w:r>
      <w:proofErr w:type="spellStart"/>
      <w:r w:rsidRPr="00886C9E">
        <w:rPr>
          <w:rFonts w:ascii="Times" w:hAnsi="Times" w:cs="Times New Roman"/>
          <w:sz w:val="20"/>
          <w:szCs w:val="20"/>
        </w:rPr>
        <w:t>Popmax</w:t>
      </w:r>
      <w:proofErr w:type="spellEnd"/>
      <w:r w:rsidRPr="00886C9E">
        <w:rPr>
          <w:rFonts w:ascii="Times" w:hAnsi="Times" w:cs="Times New Roman"/>
          <w:sz w:val="20"/>
          <w:szCs w:val="20"/>
        </w:rPr>
        <w:t xml:space="preserve">= theoretical maximum bacterial density; H=Hill slope; C50= </w:t>
      </w:r>
      <w:proofErr w:type="spellStart"/>
      <w:r w:rsidRPr="00886C9E">
        <w:rPr>
          <w:rFonts w:ascii="Times" w:hAnsi="Times" w:cs="Times New Roman"/>
          <w:sz w:val="20"/>
          <w:szCs w:val="20"/>
        </w:rPr>
        <w:t>Teicoplanin</w:t>
      </w:r>
      <w:proofErr w:type="spellEnd"/>
      <w:r w:rsidRPr="00886C9E">
        <w:rPr>
          <w:rFonts w:ascii="Times" w:hAnsi="Times" w:cs="Times New Roman"/>
          <w:sz w:val="20"/>
          <w:szCs w:val="20"/>
        </w:rPr>
        <w:t xml:space="preserve"> concentration producing half-maximal bacterial kill; IC= initial condition in bacterial density</w:t>
      </w:r>
      <w:r w:rsidR="001F0647" w:rsidRPr="00886C9E">
        <w:rPr>
          <w:rFonts w:ascii="Times" w:hAnsi="Times" w:cs="Times New Roman"/>
          <w:sz w:val="20"/>
          <w:szCs w:val="20"/>
        </w:rPr>
        <w:t xml:space="preserve"> (1 for the susceptible population and 2 for the resistant </w:t>
      </w:r>
      <w:r w:rsidR="00E86EF5" w:rsidRPr="00886C9E">
        <w:rPr>
          <w:rFonts w:ascii="Times" w:hAnsi="Times" w:cs="Times New Roman"/>
          <w:sz w:val="20"/>
          <w:szCs w:val="20"/>
        </w:rPr>
        <w:t>population).</w:t>
      </w:r>
      <w:r w:rsidRPr="00886C9E">
        <w:rPr>
          <w:rFonts w:ascii="Times" w:hAnsi="Times" w:cs="Times New Roman"/>
          <w:sz w:val="20"/>
          <w:szCs w:val="20"/>
        </w:rPr>
        <w:t xml:space="preserve"> S and R correspond to the total susceptible population and the resistant bacterial population, respectively.</w:t>
      </w:r>
      <w:r w:rsidR="009D7CA0" w:rsidRPr="00886C9E">
        <w:rPr>
          <w:rFonts w:ascii="Times" w:hAnsi="Times" w:cs="Times New Roman"/>
          <w:sz w:val="20"/>
          <w:szCs w:val="20"/>
        </w:rPr>
        <w:t xml:space="preserve"> </w:t>
      </w:r>
    </w:p>
    <w:p w14:paraId="11F38650" w14:textId="77777777" w:rsidR="003F2EA4" w:rsidRPr="00886C9E" w:rsidRDefault="003F2EA4" w:rsidP="00CF4DDF">
      <w:pPr>
        <w:spacing w:line="480" w:lineRule="auto"/>
        <w:jc w:val="both"/>
        <w:rPr>
          <w:rFonts w:ascii="Times" w:hAnsi="Times" w:cs="Times New Roman"/>
        </w:rPr>
      </w:pPr>
    </w:p>
    <w:p w14:paraId="0A60B970" w14:textId="77777777" w:rsidR="0055634D" w:rsidRPr="00886C9E" w:rsidRDefault="009878AC" w:rsidP="0055634D">
      <w:pPr>
        <w:spacing w:line="480" w:lineRule="auto"/>
        <w:jc w:val="both"/>
        <w:rPr>
          <w:rFonts w:ascii="Times" w:hAnsi="Times" w:cs="Times New Roman"/>
        </w:rPr>
      </w:pPr>
      <w:r w:rsidRPr="00886C9E">
        <w:rPr>
          <w:rFonts w:ascii="Times" w:hAnsi="Times" w:cs="Times New Roman"/>
        </w:rPr>
        <w:t>Table 1. Population PK and PD parameter estimates from the HFIM and the neutropenic mice thigh model.</w:t>
      </w:r>
    </w:p>
    <w:p w14:paraId="497290FD" w14:textId="6E78097B" w:rsidR="00F05144" w:rsidRPr="00886C9E" w:rsidRDefault="00674D88" w:rsidP="0055634D">
      <w:pPr>
        <w:spacing w:line="480" w:lineRule="auto"/>
        <w:rPr>
          <w:rFonts w:ascii="Times" w:hAnsi="Times" w:cs="Times New Roman"/>
        </w:rPr>
      </w:pPr>
      <w:r w:rsidRPr="00886C9E">
        <w:rPr>
          <w:rFonts w:ascii="Times" w:hAnsi="Times" w:cs="Times New Roman"/>
        </w:rPr>
        <w:t xml:space="preserve"> </w:t>
      </w:r>
    </w:p>
    <w:tbl>
      <w:tblPr>
        <w:tblStyle w:val="TableGrid"/>
        <w:tblW w:w="0" w:type="auto"/>
        <w:tblLook w:val="04A0" w:firstRow="1" w:lastRow="0" w:firstColumn="1" w:lastColumn="0" w:noHBand="0" w:noVBand="1"/>
      </w:tblPr>
      <w:tblGrid>
        <w:gridCol w:w="2879"/>
        <w:gridCol w:w="2879"/>
        <w:gridCol w:w="2880"/>
      </w:tblGrid>
      <w:tr w:rsidR="007F35BB" w:rsidRPr="00886C9E" w14:paraId="43C707D3" w14:textId="77777777" w:rsidTr="007F35BB">
        <w:tc>
          <w:tcPr>
            <w:tcW w:w="2879" w:type="dxa"/>
          </w:tcPr>
          <w:p w14:paraId="0BADFCEB" w14:textId="4E19BCEA" w:rsidR="007F35BB" w:rsidRPr="00886C9E" w:rsidRDefault="007F35BB" w:rsidP="00CF4DDF">
            <w:pPr>
              <w:spacing w:line="480" w:lineRule="auto"/>
              <w:jc w:val="both"/>
              <w:rPr>
                <w:rFonts w:ascii="Times" w:hAnsi="Times" w:cs="Times New Roman"/>
                <w:sz w:val="20"/>
                <w:szCs w:val="20"/>
              </w:rPr>
            </w:pPr>
            <w:r w:rsidRPr="00886C9E">
              <w:rPr>
                <w:rFonts w:ascii="Times" w:hAnsi="Times" w:cs="Times New Roman"/>
                <w:sz w:val="20"/>
                <w:szCs w:val="20"/>
              </w:rPr>
              <w:lastRenderedPageBreak/>
              <w:t>Dosage regimen</w:t>
            </w:r>
            <w:r w:rsidR="00C77A38" w:rsidRPr="00886C9E">
              <w:rPr>
                <w:rFonts w:ascii="Times" w:hAnsi="Times" w:cs="Times New Roman"/>
                <w:sz w:val="20"/>
                <w:szCs w:val="20"/>
              </w:rPr>
              <w:t xml:space="preserve"> simulated</w:t>
            </w:r>
          </w:p>
        </w:tc>
        <w:tc>
          <w:tcPr>
            <w:tcW w:w="2879" w:type="dxa"/>
          </w:tcPr>
          <w:p w14:paraId="2CCC6970" w14:textId="51BB611E" w:rsidR="007F35BB" w:rsidRPr="00886C9E" w:rsidRDefault="007F35BB" w:rsidP="00CF4DDF">
            <w:pPr>
              <w:spacing w:line="480" w:lineRule="auto"/>
              <w:jc w:val="both"/>
              <w:rPr>
                <w:rFonts w:ascii="Times" w:hAnsi="Times" w:cs="Times New Roman"/>
                <w:sz w:val="20"/>
                <w:szCs w:val="20"/>
              </w:rPr>
            </w:pPr>
            <w:r w:rsidRPr="00886C9E">
              <w:rPr>
                <w:rFonts w:ascii="Times" w:hAnsi="Times" w:cs="Times New Roman"/>
                <w:sz w:val="20"/>
                <w:szCs w:val="20"/>
              </w:rPr>
              <w:t>AUC</w:t>
            </w:r>
            <w:r w:rsidRPr="00886C9E">
              <w:rPr>
                <w:rFonts w:ascii="Times" w:hAnsi="Times" w:cs="Times New Roman"/>
                <w:sz w:val="20"/>
                <w:szCs w:val="20"/>
                <w:vertAlign w:val="subscript"/>
              </w:rPr>
              <w:t xml:space="preserve">72-96 </w:t>
            </w:r>
            <w:r w:rsidR="00C77A38" w:rsidRPr="00886C9E">
              <w:rPr>
                <w:rFonts w:ascii="Times" w:hAnsi="Times" w:cs="Times New Roman"/>
                <w:sz w:val="20"/>
                <w:szCs w:val="20"/>
              </w:rPr>
              <w:t xml:space="preserve">median (IQR) </w:t>
            </w:r>
            <w:r w:rsidR="007F18C9" w:rsidRPr="00886C9E">
              <w:rPr>
                <w:rFonts w:ascii="Times" w:hAnsi="Times" w:cs="Times New Roman"/>
                <w:sz w:val="20"/>
                <w:szCs w:val="20"/>
              </w:rPr>
              <w:t>(</w:t>
            </w:r>
            <w:r w:rsidR="00C77A38" w:rsidRPr="00886C9E">
              <w:rPr>
                <w:rFonts w:ascii="Times" w:hAnsi="Times" w:cs="Times New Roman"/>
                <w:sz w:val="20"/>
                <w:szCs w:val="20"/>
              </w:rPr>
              <w:t>mg*h/L</w:t>
            </w:r>
            <w:r w:rsidR="007F18C9" w:rsidRPr="00886C9E">
              <w:rPr>
                <w:rFonts w:ascii="Times" w:hAnsi="Times" w:cs="Times New Roman"/>
                <w:sz w:val="20"/>
                <w:szCs w:val="20"/>
              </w:rPr>
              <w:t>)</w:t>
            </w:r>
          </w:p>
        </w:tc>
        <w:tc>
          <w:tcPr>
            <w:tcW w:w="2880" w:type="dxa"/>
          </w:tcPr>
          <w:p w14:paraId="38F5ABA7" w14:textId="64BE0B47" w:rsidR="007F35BB" w:rsidRPr="00886C9E" w:rsidRDefault="007F35BB" w:rsidP="00CF4DDF">
            <w:pPr>
              <w:spacing w:line="480" w:lineRule="auto"/>
              <w:jc w:val="both"/>
              <w:rPr>
                <w:rFonts w:ascii="Times" w:hAnsi="Times" w:cs="Times New Roman"/>
                <w:sz w:val="20"/>
                <w:szCs w:val="20"/>
              </w:rPr>
            </w:pPr>
            <w:proofErr w:type="spellStart"/>
            <w:r w:rsidRPr="00886C9E">
              <w:rPr>
                <w:rFonts w:ascii="Times" w:hAnsi="Times" w:cs="Times New Roman"/>
                <w:sz w:val="20"/>
                <w:szCs w:val="20"/>
              </w:rPr>
              <w:t>C</w:t>
            </w:r>
            <w:r w:rsidRPr="00886C9E">
              <w:rPr>
                <w:rFonts w:ascii="Times" w:hAnsi="Times" w:cs="Times New Roman"/>
                <w:sz w:val="20"/>
                <w:szCs w:val="20"/>
                <w:vertAlign w:val="subscript"/>
              </w:rPr>
              <w:t>min</w:t>
            </w:r>
            <w:proofErr w:type="spellEnd"/>
            <w:r w:rsidRPr="00886C9E">
              <w:rPr>
                <w:rFonts w:ascii="Times" w:hAnsi="Times" w:cs="Times New Roman"/>
                <w:sz w:val="20"/>
                <w:szCs w:val="20"/>
                <w:vertAlign w:val="subscript"/>
              </w:rPr>
              <w:t xml:space="preserve"> </w:t>
            </w:r>
            <w:r w:rsidR="00C77A38" w:rsidRPr="00886C9E">
              <w:rPr>
                <w:rFonts w:ascii="Times" w:hAnsi="Times" w:cs="Times New Roman"/>
                <w:sz w:val="20"/>
                <w:szCs w:val="20"/>
              </w:rPr>
              <w:t xml:space="preserve">96 h median (IQR) </w:t>
            </w:r>
            <w:r w:rsidR="007F18C9" w:rsidRPr="00886C9E">
              <w:rPr>
                <w:rFonts w:ascii="Times" w:hAnsi="Times" w:cs="Times New Roman"/>
                <w:sz w:val="20"/>
                <w:szCs w:val="20"/>
              </w:rPr>
              <w:t>(</w:t>
            </w:r>
            <w:r w:rsidR="00C77A38" w:rsidRPr="00886C9E">
              <w:rPr>
                <w:rFonts w:ascii="Times" w:hAnsi="Times" w:cs="Times New Roman"/>
                <w:sz w:val="20"/>
                <w:szCs w:val="20"/>
              </w:rPr>
              <w:t>mg/L</w:t>
            </w:r>
            <w:r w:rsidR="007F18C9" w:rsidRPr="00886C9E">
              <w:rPr>
                <w:rFonts w:ascii="Times" w:hAnsi="Times" w:cs="Times New Roman"/>
                <w:sz w:val="20"/>
                <w:szCs w:val="20"/>
              </w:rPr>
              <w:t>)</w:t>
            </w:r>
          </w:p>
        </w:tc>
      </w:tr>
      <w:tr w:rsidR="00C77A38" w:rsidRPr="00886C9E" w14:paraId="479597DD" w14:textId="77777777" w:rsidTr="00C77A38">
        <w:tc>
          <w:tcPr>
            <w:tcW w:w="8638" w:type="dxa"/>
            <w:gridSpan w:val="3"/>
          </w:tcPr>
          <w:p w14:paraId="3EEA8FA6" w14:textId="53CD4819" w:rsidR="00C77A38" w:rsidRPr="00886C9E" w:rsidRDefault="00CB6601" w:rsidP="00CF4DDF">
            <w:pPr>
              <w:spacing w:line="480" w:lineRule="auto"/>
              <w:jc w:val="both"/>
              <w:rPr>
                <w:rFonts w:ascii="Times" w:hAnsi="Times" w:cs="Times New Roman"/>
                <w:sz w:val="20"/>
                <w:szCs w:val="20"/>
              </w:rPr>
            </w:pPr>
            <w:r w:rsidRPr="00886C9E">
              <w:rPr>
                <w:rFonts w:ascii="Times" w:hAnsi="Times" w:cs="Times New Roman"/>
                <w:sz w:val="20"/>
                <w:szCs w:val="20"/>
              </w:rPr>
              <w:t>Children</w:t>
            </w:r>
          </w:p>
        </w:tc>
      </w:tr>
      <w:tr w:rsidR="007F35BB" w:rsidRPr="00886C9E" w14:paraId="1EE1A01D" w14:textId="77777777" w:rsidTr="007F35BB">
        <w:tc>
          <w:tcPr>
            <w:tcW w:w="2879" w:type="dxa"/>
          </w:tcPr>
          <w:p w14:paraId="50EFDAD7" w14:textId="31686D1C" w:rsidR="007F35BB" w:rsidRPr="00886C9E" w:rsidRDefault="00CB6601" w:rsidP="00CB6601">
            <w:pPr>
              <w:spacing w:line="480" w:lineRule="auto"/>
              <w:jc w:val="both"/>
              <w:rPr>
                <w:rFonts w:ascii="Times" w:hAnsi="Times" w:cs="Times New Roman"/>
                <w:sz w:val="20"/>
                <w:szCs w:val="20"/>
              </w:rPr>
            </w:pPr>
            <w:r w:rsidRPr="00886C9E">
              <w:rPr>
                <w:rFonts w:ascii="Times" w:hAnsi="Times" w:cs="Times New Roman"/>
                <w:sz w:val="20"/>
                <w:szCs w:val="20"/>
              </w:rPr>
              <w:t xml:space="preserve">1) Standard: 10 mg/kg x 3LD q12 + 10 mg/kg q24h </w:t>
            </w:r>
          </w:p>
        </w:tc>
        <w:tc>
          <w:tcPr>
            <w:tcW w:w="2879" w:type="dxa"/>
          </w:tcPr>
          <w:p w14:paraId="1CAB56FB" w14:textId="78673EAC" w:rsidR="007F35BB" w:rsidRPr="00886C9E" w:rsidRDefault="00C77A38" w:rsidP="00CF4DDF">
            <w:pPr>
              <w:spacing w:line="480" w:lineRule="auto"/>
              <w:jc w:val="both"/>
              <w:rPr>
                <w:rFonts w:ascii="Times" w:hAnsi="Times" w:cs="Times New Roman"/>
                <w:sz w:val="20"/>
                <w:szCs w:val="20"/>
              </w:rPr>
            </w:pPr>
            <w:r w:rsidRPr="00886C9E">
              <w:rPr>
                <w:rFonts w:ascii="Times" w:hAnsi="Times" w:cs="Times New Roman"/>
                <w:sz w:val="20"/>
                <w:szCs w:val="20"/>
              </w:rPr>
              <w:t>237.4</w:t>
            </w:r>
            <w:r w:rsidR="00E64E94" w:rsidRPr="00886C9E">
              <w:rPr>
                <w:rFonts w:ascii="Times" w:hAnsi="Times" w:cs="Times New Roman"/>
                <w:sz w:val="20"/>
                <w:szCs w:val="20"/>
              </w:rPr>
              <w:t xml:space="preserve"> (114-475.5</w:t>
            </w:r>
            <w:r w:rsidR="00F023CB" w:rsidRPr="00886C9E">
              <w:rPr>
                <w:rFonts w:ascii="Times" w:hAnsi="Times" w:cs="Times New Roman"/>
                <w:sz w:val="20"/>
                <w:szCs w:val="20"/>
              </w:rPr>
              <w:t>)</w:t>
            </w:r>
          </w:p>
        </w:tc>
        <w:tc>
          <w:tcPr>
            <w:tcW w:w="2880" w:type="dxa"/>
          </w:tcPr>
          <w:p w14:paraId="74348BBC" w14:textId="735E9A17" w:rsidR="007F35BB" w:rsidRPr="00886C9E" w:rsidRDefault="00C77A38" w:rsidP="00CF4DDF">
            <w:pPr>
              <w:spacing w:line="480" w:lineRule="auto"/>
              <w:jc w:val="both"/>
              <w:rPr>
                <w:rFonts w:ascii="Times" w:hAnsi="Times" w:cs="Times New Roman"/>
                <w:sz w:val="20"/>
                <w:szCs w:val="20"/>
              </w:rPr>
            </w:pPr>
            <w:r w:rsidRPr="00886C9E">
              <w:rPr>
                <w:rFonts w:ascii="Times" w:hAnsi="Times" w:cs="Times New Roman"/>
                <w:sz w:val="20"/>
                <w:szCs w:val="20"/>
              </w:rPr>
              <w:t>5.4</w:t>
            </w:r>
            <w:r w:rsidR="00CB6601" w:rsidRPr="00886C9E">
              <w:rPr>
                <w:rFonts w:ascii="Times" w:hAnsi="Times" w:cs="Times New Roman"/>
                <w:sz w:val="20"/>
                <w:szCs w:val="20"/>
              </w:rPr>
              <w:t xml:space="preserve"> (1.7-13.4</w:t>
            </w:r>
            <w:r w:rsidR="00F023CB" w:rsidRPr="00886C9E">
              <w:rPr>
                <w:rFonts w:ascii="Times" w:hAnsi="Times" w:cs="Times New Roman"/>
                <w:sz w:val="20"/>
                <w:szCs w:val="20"/>
              </w:rPr>
              <w:t>)</w:t>
            </w:r>
          </w:p>
        </w:tc>
      </w:tr>
      <w:tr w:rsidR="007F35BB" w:rsidRPr="00886C9E" w14:paraId="3612DB94" w14:textId="77777777" w:rsidTr="007F35BB">
        <w:tc>
          <w:tcPr>
            <w:tcW w:w="2879" w:type="dxa"/>
          </w:tcPr>
          <w:p w14:paraId="4922D818" w14:textId="70EE4DD8" w:rsidR="007F35BB" w:rsidRPr="00886C9E" w:rsidRDefault="00CB6601" w:rsidP="00CB6601">
            <w:pPr>
              <w:spacing w:line="480" w:lineRule="auto"/>
              <w:jc w:val="both"/>
              <w:rPr>
                <w:rFonts w:ascii="Times" w:hAnsi="Times" w:cs="Times New Roman"/>
                <w:sz w:val="20"/>
                <w:szCs w:val="20"/>
              </w:rPr>
            </w:pPr>
            <w:r w:rsidRPr="00886C9E">
              <w:rPr>
                <w:rFonts w:ascii="Times" w:hAnsi="Times" w:cs="Times New Roman"/>
                <w:sz w:val="20"/>
                <w:szCs w:val="20"/>
              </w:rPr>
              <w:t xml:space="preserve">2) 30 mg/kg x 3LD q12h+30 mg/kg q24h </w:t>
            </w:r>
          </w:p>
        </w:tc>
        <w:tc>
          <w:tcPr>
            <w:tcW w:w="2879" w:type="dxa"/>
          </w:tcPr>
          <w:p w14:paraId="58C8F32C" w14:textId="3B231119" w:rsidR="007F35BB" w:rsidRPr="00886C9E" w:rsidRDefault="00C77A38" w:rsidP="00CF4DDF">
            <w:pPr>
              <w:spacing w:line="480" w:lineRule="auto"/>
              <w:jc w:val="both"/>
              <w:rPr>
                <w:rFonts w:ascii="Times" w:hAnsi="Times" w:cs="Times New Roman"/>
                <w:sz w:val="20"/>
                <w:szCs w:val="20"/>
              </w:rPr>
            </w:pPr>
            <w:r w:rsidRPr="00886C9E">
              <w:rPr>
                <w:rFonts w:ascii="Times" w:hAnsi="Times" w:cs="Times New Roman"/>
                <w:sz w:val="20"/>
                <w:szCs w:val="20"/>
              </w:rPr>
              <w:t>711.4</w:t>
            </w:r>
            <w:r w:rsidR="00E64E94" w:rsidRPr="00886C9E">
              <w:rPr>
                <w:rFonts w:ascii="Times" w:hAnsi="Times" w:cs="Times New Roman"/>
                <w:sz w:val="20"/>
                <w:szCs w:val="20"/>
              </w:rPr>
              <w:t xml:space="preserve"> (342.1-1426.2</w:t>
            </w:r>
            <w:r w:rsidR="00F023CB" w:rsidRPr="00886C9E">
              <w:rPr>
                <w:rFonts w:ascii="Times" w:hAnsi="Times" w:cs="Times New Roman"/>
                <w:sz w:val="20"/>
                <w:szCs w:val="20"/>
              </w:rPr>
              <w:t>)</w:t>
            </w:r>
          </w:p>
        </w:tc>
        <w:tc>
          <w:tcPr>
            <w:tcW w:w="2880" w:type="dxa"/>
          </w:tcPr>
          <w:p w14:paraId="3025D2C0" w14:textId="0240B736" w:rsidR="007F35BB" w:rsidRPr="00886C9E" w:rsidRDefault="00C77A38" w:rsidP="00CF4DDF">
            <w:pPr>
              <w:spacing w:line="480" w:lineRule="auto"/>
              <w:jc w:val="both"/>
              <w:rPr>
                <w:rFonts w:ascii="Times" w:hAnsi="Times" w:cs="Times New Roman"/>
                <w:sz w:val="20"/>
                <w:szCs w:val="20"/>
              </w:rPr>
            </w:pPr>
            <w:r w:rsidRPr="00886C9E">
              <w:rPr>
                <w:rFonts w:ascii="Times" w:hAnsi="Times" w:cs="Times New Roman"/>
                <w:sz w:val="20"/>
                <w:szCs w:val="20"/>
              </w:rPr>
              <w:t>16.2</w:t>
            </w:r>
            <w:r w:rsidR="00CB6601" w:rsidRPr="00886C9E">
              <w:rPr>
                <w:rFonts w:ascii="Times" w:hAnsi="Times" w:cs="Times New Roman"/>
                <w:sz w:val="20"/>
                <w:szCs w:val="20"/>
              </w:rPr>
              <w:t xml:space="preserve"> (5.1-40.1</w:t>
            </w:r>
            <w:r w:rsidR="00F023CB" w:rsidRPr="00886C9E">
              <w:rPr>
                <w:rFonts w:ascii="Times" w:hAnsi="Times" w:cs="Times New Roman"/>
                <w:sz w:val="20"/>
                <w:szCs w:val="20"/>
              </w:rPr>
              <w:t>)</w:t>
            </w:r>
          </w:p>
        </w:tc>
      </w:tr>
      <w:tr w:rsidR="007F35BB" w:rsidRPr="00886C9E" w14:paraId="30A3720D" w14:textId="77777777" w:rsidTr="007F35BB">
        <w:tc>
          <w:tcPr>
            <w:tcW w:w="2879" w:type="dxa"/>
          </w:tcPr>
          <w:p w14:paraId="0C7E8FB7" w14:textId="056395CE" w:rsidR="007F35BB" w:rsidRPr="00886C9E" w:rsidRDefault="00CB6601" w:rsidP="00CB6601">
            <w:pPr>
              <w:spacing w:line="480" w:lineRule="auto"/>
              <w:jc w:val="both"/>
              <w:rPr>
                <w:rFonts w:ascii="Times" w:hAnsi="Times" w:cs="Times New Roman"/>
                <w:sz w:val="20"/>
                <w:szCs w:val="20"/>
              </w:rPr>
            </w:pPr>
            <w:r w:rsidRPr="00886C9E">
              <w:rPr>
                <w:rFonts w:ascii="Times" w:hAnsi="Times" w:cs="Times New Roman"/>
                <w:sz w:val="20"/>
                <w:szCs w:val="20"/>
              </w:rPr>
              <w:t xml:space="preserve">3) 30 mg/kg x 3LD q12h+15 mg/kg q12h </w:t>
            </w:r>
          </w:p>
        </w:tc>
        <w:tc>
          <w:tcPr>
            <w:tcW w:w="2879" w:type="dxa"/>
          </w:tcPr>
          <w:p w14:paraId="6E5C15E0" w14:textId="108F26B4" w:rsidR="007F35BB" w:rsidRPr="00886C9E" w:rsidRDefault="00C77A38" w:rsidP="00CF4DDF">
            <w:pPr>
              <w:spacing w:line="480" w:lineRule="auto"/>
              <w:jc w:val="both"/>
              <w:rPr>
                <w:rFonts w:ascii="Times" w:hAnsi="Times" w:cs="Times New Roman"/>
                <w:sz w:val="20"/>
                <w:szCs w:val="20"/>
              </w:rPr>
            </w:pPr>
            <w:r w:rsidRPr="00886C9E">
              <w:rPr>
                <w:rFonts w:ascii="Times" w:hAnsi="Times" w:cs="Times New Roman"/>
                <w:sz w:val="20"/>
                <w:szCs w:val="20"/>
              </w:rPr>
              <w:t>560.05</w:t>
            </w:r>
            <w:r w:rsidR="00E64E94" w:rsidRPr="00886C9E">
              <w:rPr>
                <w:rFonts w:ascii="Times" w:hAnsi="Times" w:cs="Times New Roman"/>
                <w:sz w:val="20"/>
                <w:szCs w:val="20"/>
              </w:rPr>
              <w:t xml:space="preserve"> (258.7-1298.6</w:t>
            </w:r>
            <w:r w:rsidR="00F023CB" w:rsidRPr="00886C9E">
              <w:rPr>
                <w:rFonts w:ascii="Times" w:hAnsi="Times" w:cs="Times New Roman"/>
                <w:sz w:val="20"/>
                <w:szCs w:val="20"/>
              </w:rPr>
              <w:t>)</w:t>
            </w:r>
          </w:p>
        </w:tc>
        <w:tc>
          <w:tcPr>
            <w:tcW w:w="2880" w:type="dxa"/>
          </w:tcPr>
          <w:p w14:paraId="5DC02DA1" w14:textId="07C2A584" w:rsidR="007F35BB" w:rsidRPr="00886C9E" w:rsidRDefault="00C77A38" w:rsidP="00CF4DDF">
            <w:pPr>
              <w:spacing w:line="480" w:lineRule="auto"/>
              <w:jc w:val="both"/>
              <w:rPr>
                <w:rFonts w:ascii="Times" w:hAnsi="Times" w:cs="Times New Roman"/>
                <w:sz w:val="20"/>
                <w:szCs w:val="20"/>
              </w:rPr>
            </w:pPr>
            <w:r w:rsidRPr="00886C9E">
              <w:rPr>
                <w:rFonts w:ascii="Times" w:hAnsi="Times" w:cs="Times New Roman"/>
                <w:sz w:val="20"/>
                <w:szCs w:val="20"/>
              </w:rPr>
              <w:t>19.7</w:t>
            </w:r>
            <w:r w:rsidR="00CB6601" w:rsidRPr="00886C9E">
              <w:rPr>
                <w:rFonts w:ascii="Times" w:hAnsi="Times" w:cs="Times New Roman"/>
                <w:sz w:val="20"/>
                <w:szCs w:val="20"/>
              </w:rPr>
              <w:t xml:space="preserve"> (7.9-47.7</w:t>
            </w:r>
            <w:r w:rsidR="00F023CB" w:rsidRPr="00886C9E">
              <w:rPr>
                <w:rFonts w:ascii="Times" w:hAnsi="Times" w:cs="Times New Roman"/>
                <w:sz w:val="20"/>
                <w:szCs w:val="20"/>
              </w:rPr>
              <w:t>)</w:t>
            </w:r>
          </w:p>
        </w:tc>
      </w:tr>
      <w:tr w:rsidR="00C77A38" w:rsidRPr="00886C9E" w14:paraId="1E4B0F91" w14:textId="77777777" w:rsidTr="00C77A38">
        <w:tc>
          <w:tcPr>
            <w:tcW w:w="8638" w:type="dxa"/>
            <w:gridSpan w:val="3"/>
          </w:tcPr>
          <w:p w14:paraId="48EBEF60" w14:textId="6BA4763F" w:rsidR="00C77A38" w:rsidRPr="00886C9E" w:rsidRDefault="00CB6601" w:rsidP="00CF4DDF">
            <w:pPr>
              <w:spacing w:line="480" w:lineRule="auto"/>
              <w:jc w:val="both"/>
              <w:rPr>
                <w:rFonts w:ascii="Times" w:hAnsi="Times" w:cs="Times New Roman"/>
                <w:sz w:val="20"/>
                <w:szCs w:val="20"/>
              </w:rPr>
            </w:pPr>
            <w:r w:rsidRPr="00886C9E">
              <w:rPr>
                <w:rFonts w:ascii="Times" w:hAnsi="Times" w:cs="Times New Roman"/>
                <w:sz w:val="20"/>
                <w:szCs w:val="20"/>
              </w:rPr>
              <w:t>Adults</w:t>
            </w:r>
          </w:p>
        </w:tc>
      </w:tr>
      <w:tr w:rsidR="007F35BB" w:rsidRPr="00886C9E" w14:paraId="7C0D1582" w14:textId="77777777" w:rsidTr="007F35BB">
        <w:tc>
          <w:tcPr>
            <w:tcW w:w="2879" w:type="dxa"/>
          </w:tcPr>
          <w:p w14:paraId="40A0F169" w14:textId="0A59E428" w:rsidR="007F35BB" w:rsidRPr="00886C9E" w:rsidRDefault="00CB6601" w:rsidP="00CF4DDF">
            <w:pPr>
              <w:spacing w:line="480" w:lineRule="auto"/>
              <w:jc w:val="both"/>
              <w:rPr>
                <w:rFonts w:ascii="Times" w:hAnsi="Times" w:cs="Times New Roman"/>
                <w:sz w:val="20"/>
                <w:szCs w:val="20"/>
              </w:rPr>
            </w:pPr>
            <w:r w:rsidRPr="00886C9E">
              <w:rPr>
                <w:rFonts w:ascii="Times" w:hAnsi="Times" w:cs="Times New Roman"/>
                <w:sz w:val="20"/>
                <w:szCs w:val="20"/>
              </w:rPr>
              <w:t>1) Standard: 400 mg x 3LD q12 +400 mg q24h</w:t>
            </w:r>
          </w:p>
        </w:tc>
        <w:tc>
          <w:tcPr>
            <w:tcW w:w="2879" w:type="dxa"/>
          </w:tcPr>
          <w:p w14:paraId="795A2AC6" w14:textId="0852A6BA" w:rsidR="007F35BB" w:rsidRPr="00886C9E" w:rsidRDefault="00C77A38" w:rsidP="00CF4DDF">
            <w:pPr>
              <w:spacing w:line="480" w:lineRule="auto"/>
              <w:jc w:val="both"/>
              <w:rPr>
                <w:rFonts w:ascii="Times" w:hAnsi="Times" w:cs="Times New Roman"/>
                <w:sz w:val="20"/>
                <w:szCs w:val="20"/>
              </w:rPr>
            </w:pPr>
            <w:r w:rsidRPr="00886C9E">
              <w:rPr>
                <w:rFonts w:ascii="Times" w:hAnsi="Times" w:cs="Times New Roman"/>
                <w:sz w:val="20"/>
                <w:szCs w:val="20"/>
              </w:rPr>
              <w:t>205</w:t>
            </w:r>
            <w:r w:rsidR="00EA7330" w:rsidRPr="00886C9E">
              <w:rPr>
                <w:rFonts w:ascii="Times" w:hAnsi="Times" w:cs="Times New Roman"/>
                <w:sz w:val="20"/>
                <w:szCs w:val="20"/>
              </w:rPr>
              <w:t xml:space="preserve"> (170.9-254.4</w:t>
            </w:r>
            <w:r w:rsidR="00040735" w:rsidRPr="00886C9E">
              <w:rPr>
                <w:rFonts w:ascii="Times" w:hAnsi="Times" w:cs="Times New Roman"/>
                <w:sz w:val="20"/>
                <w:szCs w:val="20"/>
              </w:rPr>
              <w:t>)</w:t>
            </w:r>
          </w:p>
        </w:tc>
        <w:tc>
          <w:tcPr>
            <w:tcW w:w="2880" w:type="dxa"/>
          </w:tcPr>
          <w:p w14:paraId="1327E1C6" w14:textId="5CD80D94" w:rsidR="007F35BB" w:rsidRPr="00886C9E" w:rsidRDefault="00C77A38" w:rsidP="00CF4DDF">
            <w:pPr>
              <w:spacing w:line="480" w:lineRule="auto"/>
              <w:jc w:val="both"/>
              <w:rPr>
                <w:rFonts w:ascii="Times" w:hAnsi="Times" w:cs="Times New Roman"/>
                <w:sz w:val="20"/>
                <w:szCs w:val="20"/>
              </w:rPr>
            </w:pPr>
            <w:r w:rsidRPr="00886C9E">
              <w:rPr>
                <w:rFonts w:ascii="Times" w:hAnsi="Times" w:cs="Times New Roman"/>
                <w:sz w:val="20"/>
                <w:szCs w:val="20"/>
              </w:rPr>
              <w:t>8.72</w:t>
            </w:r>
            <w:r w:rsidR="00CB6601" w:rsidRPr="00886C9E">
              <w:rPr>
                <w:rFonts w:ascii="Times" w:hAnsi="Times" w:cs="Times New Roman"/>
                <w:sz w:val="20"/>
                <w:szCs w:val="20"/>
              </w:rPr>
              <w:t xml:space="preserve"> (7.23-10.8</w:t>
            </w:r>
            <w:r w:rsidR="00A55C29" w:rsidRPr="00886C9E">
              <w:rPr>
                <w:rFonts w:ascii="Times" w:hAnsi="Times" w:cs="Times New Roman"/>
                <w:sz w:val="20"/>
                <w:szCs w:val="20"/>
              </w:rPr>
              <w:t>)</w:t>
            </w:r>
          </w:p>
        </w:tc>
      </w:tr>
      <w:tr w:rsidR="00C77A38" w:rsidRPr="00886C9E" w14:paraId="23B47AFE" w14:textId="77777777" w:rsidTr="00C77A38">
        <w:trPr>
          <w:trHeight w:val="74"/>
        </w:trPr>
        <w:tc>
          <w:tcPr>
            <w:tcW w:w="2879" w:type="dxa"/>
          </w:tcPr>
          <w:p w14:paraId="0EE44D4E" w14:textId="4A85B3B0" w:rsidR="00C77A38" w:rsidRPr="00886C9E" w:rsidRDefault="00CB6601" w:rsidP="00CF4DDF">
            <w:pPr>
              <w:spacing w:line="480" w:lineRule="auto"/>
              <w:jc w:val="both"/>
              <w:rPr>
                <w:rFonts w:ascii="Times" w:hAnsi="Times" w:cs="Times New Roman"/>
                <w:sz w:val="20"/>
                <w:szCs w:val="20"/>
              </w:rPr>
            </w:pPr>
            <w:r w:rsidRPr="00886C9E">
              <w:rPr>
                <w:rFonts w:ascii="Times" w:hAnsi="Times" w:cs="Times New Roman"/>
                <w:sz w:val="20"/>
                <w:szCs w:val="20"/>
              </w:rPr>
              <w:t>2) 800 mg x 3LD q12h + 800 mg q24h</w:t>
            </w:r>
          </w:p>
        </w:tc>
        <w:tc>
          <w:tcPr>
            <w:tcW w:w="2879" w:type="dxa"/>
          </w:tcPr>
          <w:p w14:paraId="6776673A" w14:textId="1511A883" w:rsidR="00C77A38" w:rsidRPr="00886C9E" w:rsidRDefault="00C77A38" w:rsidP="00CF4DDF">
            <w:pPr>
              <w:spacing w:line="480" w:lineRule="auto"/>
              <w:jc w:val="both"/>
              <w:rPr>
                <w:rFonts w:ascii="Times" w:hAnsi="Times" w:cs="Times New Roman"/>
                <w:sz w:val="20"/>
                <w:szCs w:val="20"/>
              </w:rPr>
            </w:pPr>
            <w:r w:rsidRPr="00886C9E">
              <w:rPr>
                <w:rFonts w:ascii="Times" w:hAnsi="Times" w:cs="Times New Roman"/>
                <w:sz w:val="20"/>
                <w:szCs w:val="20"/>
              </w:rPr>
              <w:t>410.7</w:t>
            </w:r>
            <w:r w:rsidR="00EA7330" w:rsidRPr="00886C9E">
              <w:rPr>
                <w:rFonts w:ascii="Times" w:hAnsi="Times" w:cs="Times New Roman"/>
                <w:sz w:val="20"/>
                <w:szCs w:val="20"/>
              </w:rPr>
              <w:t xml:space="preserve"> (342.1-509.6</w:t>
            </w:r>
            <w:r w:rsidR="00040735" w:rsidRPr="00886C9E">
              <w:rPr>
                <w:rFonts w:ascii="Times" w:hAnsi="Times" w:cs="Times New Roman"/>
                <w:sz w:val="20"/>
                <w:szCs w:val="20"/>
              </w:rPr>
              <w:t>)</w:t>
            </w:r>
          </w:p>
        </w:tc>
        <w:tc>
          <w:tcPr>
            <w:tcW w:w="2880" w:type="dxa"/>
          </w:tcPr>
          <w:p w14:paraId="4462F742" w14:textId="4C104280" w:rsidR="00C77A38" w:rsidRPr="00886C9E" w:rsidRDefault="00C77A38" w:rsidP="00CF4DDF">
            <w:pPr>
              <w:spacing w:line="480" w:lineRule="auto"/>
              <w:jc w:val="both"/>
              <w:rPr>
                <w:rFonts w:ascii="Times" w:hAnsi="Times" w:cs="Times New Roman"/>
                <w:sz w:val="20"/>
                <w:szCs w:val="20"/>
              </w:rPr>
            </w:pPr>
            <w:r w:rsidRPr="00886C9E">
              <w:rPr>
                <w:rFonts w:ascii="Times" w:hAnsi="Times" w:cs="Times New Roman"/>
                <w:sz w:val="20"/>
                <w:szCs w:val="20"/>
              </w:rPr>
              <w:t>17.4</w:t>
            </w:r>
            <w:r w:rsidR="00CB6601" w:rsidRPr="00886C9E">
              <w:rPr>
                <w:rFonts w:ascii="Times" w:hAnsi="Times" w:cs="Times New Roman"/>
                <w:sz w:val="20"/>
                <w:szCs w:val="20"/>
              </w:rPr>
              <w:t xml:space="preserve"> (14.5-21.6</w:t>
            </w:r>
            <w:r w:rsidR="00A55C29" w:rsidRPr="00886C9E">
              <w:rPr>
                <w:rFonts w:ascii="Times" w:hAnsi="Times" w:cs="Times New Roman"/>
                <w:sz w:val="20"/>
                <w:szCs w:val="20"/>
              </w:rPr>
              <w:t>)</w:t>
            </w:r>
          </w:p>
        </w:tc>
      </w:tr>
      <w:tr w:rsidR="00C77A38" w:rsidRPr="00886C9E" w14:paraId="5077CC00" w14:textId="77777777" w:rsidTr="007F35BB">
        <w:trPr>
          <w:trHeight w:val="73"/>
        </w:trPr>
        <w:tc>
          <w:tcPr>
            <w:tcW w:w="2879" w:type="dxa"/>
          </w:tcPr>
          <w:p w14:paraId="0C6813F6" w14:textId="646CB2C0" w:rsidR="00C77A38" w:rsidRPr="00886C9E" w:rsidRDefault="00CB6601" w:rsidP="00CF4DDF">
            <w:pPr>
              <w:spacing w:line="480" w:lineRule="auto"/>
              <w:jc w:val="both"/>
              <w:rPr>
                <w:rFonts w:ascii="Times" w:hAnsi="Times" w:cs="Times New Roman"/>
                <w:sz w:val="20"/>
                <w:szCs w:val="20"/>
              </w:rPr>
            </w:pPr>
            <w:r w:rsidRPr="00886C9E">
              <w:rPr>
                <w:rFonts w:ascii="Times" w:hAnsi="Times" w:cs="Times New Roman"/>
                <w:sz w:val="20"/>
                <w:szCs w:val="20"/>
              </w:rPr>
              <w:t>3) 800 mg x 3LD q12h + 400 mg q12h</w:t>
            </w:r>
          </w:p>
        </w:tc>
        <w:tc>
          <w:tcPr>
            <w:tcW w:w="2879" w:type="dxa"/>
          </w:tcPr>
          <w:p w14:paraId="0FD27B98" w14:textId="6D2921F0" w:rsidR="00C77A38" w:rsidRPr="00886C9E" w:rsidRDefault="00C77A38" w:rsidP="00CF4DDF">
            <w:pPr>
              <w:spacing w:line="480" w:lineRule="auto"/>
              <w:jc w:val="both"/>
              <w:rPr>
                <w:rFonts w:ascii="Times" w:hAnsi="Times" w:cs="Times New Roman"/>
                <w:sz w:val="20"/>
                <w:szCs w:val="20"/>
              </w:rPr>
            </w:pPr>
            <w:r w:rsidRPr="00886C9E">
              <w:rPr>
                <w:rFonts w:ascii="Times" w:hAnsi="Times" w:cs="Times New Roman"/>
                <w:sz w:val="20"/>
                <w:szCs w:val="20"/>
              </w:rPr>
              <w:t>499.03</w:t>
            </w:r>
            <w:r w:rsidR="00EA7330" w:rsidRPr="00886C9E">
              <w:rPr>
                <w:rFonts w:ascii="Times" w:hAnsi="Times" w:cs="Times New Roman"/>
                <w:sz w:val="20"/>
                <w:szCs w:val="20"/>
              </w:rPr>
              <w:t xml:space="preserve"> (413.4-600.4)</w:t>
            </w:r>
          </w:p>
        </w:tc>
        <w:tc>
          <w:tcPr>
            <w:tcW w:w="2880" w:type="dxa"/>
          </w:tcPr>
          <w:p w14:paraId="18DC24AD" w14:textId="735502A1" w:rsidR="00C77A38" w:rsidRPr="00886C9E" w:rsidRDefault="00C77A38" w:rsidP="00CF4DDF">
            <w:pPr>
              <w:spacing w:line="480" w:lineRule="auto"/>
              <w:jc w:val="both"/>
              <w:rPr>
                <w:rFonts w:ascii="Times" w:hAnsi="Times" w:cs="Times New Roman"/>
                <w:sz w:val="20"/>
                <w:szCs w:val="20"/>
              </w:rPr>
            </w:pPr>
            <w:r w:rsidRPr="00886C9E">
              <w:rPr>
                <w:rFonts w:ascii="Times" w:hAnsi="Times" w:cs="Times New Roman"/>
                <w:sz w:val="20"/>
                <w:szCs w:val="20"/>
              </w:rPr>
              <w:t>20.96</w:t>
            </w:r>
            <w:r w:rsidR="00CB6601" w:rsidRPr="00886C9E">
              <w:rPr>
                <w:rFonts w:ascii="Times" w:hAnsi="Times" w:cs="Times New Roman"/>
                <w:sz w:val="20"/>
                <w:szCs w:val="20"/>
              </w:rPr>
              <w:t xml:space="preserve"> (17.2-25.5</w:t>
            </w:r>
            <w:r w:rsidR="00A55C29" w:rsidRPr="00886C9E">
              <w:rPr>
                <w:rFonts w:ascii="Times" w:hAnsi="Times" w:cs="Times New Roman"/>
                <w:sz w:val="20"/>
                <w:szCs w:val="20"/>
              </w:rPr>
              <w:t>)</w:t>
            </w:r>
          </w:p>
        </w:tc>
      </w:tr>
    </w:tbl>
    <w:p w14:paraId="107465D6" w14:textId="77777777" w:rsidR="00F05144" w:rsidRPr="00886C9E" w:rsidRDefault="00F05144" w:rsidP="00CF4DDF">
      <w:pPr>
        <w:spacing w:line="480" w:lineRule="auto"/>
        <w:jc w:val="both"/>
        <w:rPr>
          <w:rFonts w:ascii="Times" w:hAnsi="Times" w:cs="Times New Roman"/>
        </w:rPr>
      </w:pPr>
    </w:p>
    <w:p w14:paraId="30445DE2" w14:textId="2685653B" w:rsidR="00F05144" w:rsidRPr="00886C9E" w:rsidRDefault="00076776" w:rsidP="00CF4DDF">
      <w:pPr>
        <w:spacing w:line="480" w:lineRule="auto"/>
        <w:jc w:val="both"/>
        <w:rPr>
          <w:rFonts w:ascii="Times" w:hAnsi="Times" w:cs="Times New Roman"/>
        </w:rPr>
      </w:pPr>
      <w:r w:rsidRPr="00886C9E">
        <w:rPr>
          <w:rFonts w:ascii="Times" w:hAnsi="Times" w:cs="Times New Roman"/>
        </w:rPr>
        <w:t>Table 2</w:t>
      </w:r>
      <w:r w:rsidR="007F18C9" w:rsidRPr="00886C9E">
        <w:rPr>
          <w:rFonts w:ascii="Times" w:hAnsi="Times" w:cs="Times New Roman"/>
        </w:rPr>
        <w:t>. Simulated drug exposures (AUC</w:t>
      </w:r>
      <w:r w:rsidR="007F18C9" w:rsidRPr="00886C9E">
        <w:rPr>
          <w:rFonts w:ascii="Times" w:hAnsi="Times" w:cs="Times New Roman"/>
          <w:vertAlign w:val="subscript"/>
        </w:rPr>
        <w:t xml:space="preserve">72-96 </w:t>
      </w:r>
      <w:r w:rsidR="007F18C9" w:rsidRPr="00886C9E">
        <w:rPr>
          <w:rFonts w:ascii="Times" w:hAnsi="Times" w:cs="Times New Roman"/>
        </w:rPr>
        <w:t xml:space="preserve">and </w:t>
      </w:r>
      <w:proofErr w:type="spellStart"/>
      <w:r w:rsidR="007F18C9" w:rsidRPr="00886C9E">
        <w:rPr>
          <w:rFonts w:ascii="Times" w:hAnsi="Times" w:cs="Times New Roman"/>
        </w:rPr>
        <w:t>C</w:t>
      </w:r>
      <w:r w:rsidR="007F18C9" w:rsidRPr="00886C9E">
        <w:rPr>
          <w:rFonts w:ascii="Times" w:hAnsi="Times" w:cs="Times New Roman"/>
          <w:vertAlign w:val="subscript"/>
        </w:rPr>
        <w:t>min</w:t>
      </w:r>
      <w:proofErr w:type="spellEnd"/>
      <w:r w:rsidR="007F18C9" w:rsidRPr="00886C9E">
        <w:rPr>
          <w:rFonts w:ascii="Times" w:hAnsi="Times" w:cs="Times New Roman"/>
          <w:vertAlign w:val="subscript"/>
        </w:rPr>
        <w:t xml:space="preserve"> 96</w:t>
      </w:r>
      <w:r w:rsidR="00EA7330" w:rsidRPr="00886C9E">
        <w:rPr>
          <w:rFonts w:ascii="Times" w:hAnsi="Times" w:cs="Times New Roman"/>
        </w:rPr>
        <w:t xml:space="preserve">) in </w:t>
      </w:r>
      <w:r w:rsidR="007F18C9" w:rsidRPr="00886C9E">
        <w:rPr>
          <w:rFonts w:ascii="Times" w:hAnsi="Times" w:cs="Times New Roman"/>
        </w:rPr>
        <w:t>children</w:t>
      </w:r>
      <w:r w:rsidR="00EA7330" w:rsidRPr="00886C9E">
        <w:rPr>
          <w:rFonts w:ascii="Times" w:hAnsi="Times" w:cs="Times New Roman"/>
        </w:rPr>
        <w:t xml:space="preserve"> and adults</w:t>
      </w:r>
      <w:r w:rsidR="007F18C9" w:rsidRPr="00886C9E">
        <w:rPr>
          <w:rFonts w:ascii="Times" w:hAnsi="Times" w:cs="Times New Roman"/>
        </w:rPr>
        <w:t xml:space="preserve"> between days 3 and 4 of </w:t>
      </w:r>
      <w:proofErr w:type="spellStart"/>
      <w:r w:rsidR="007F18C9" w:rsidRPr="00886C9E">
        <w:rPr>
          <w:rFonts w:ascii="Times" w:hAnsi="Times" w:cs="Times New Roman"/>
        </w:rPr>
        <w:t>teicoplanin</w:t>
      </w:r>
      <w:proofErr w:type="spellEnd"/>
      <w:r w:rsidR="007F18C9" w:rsidRPr="00886C9E">
        <w:rPr>
          <w:rFonts w:ascii="Times" w:hAnsi="Times" w:cs="Times New Roman"/>
        </w:rPr>
        <w:t xml:space="preserve"> therapy for standar</w:t>
      </w:r>
      <w:r w:rsidR="00AB13F3" w:rsidRPr="00886C9E">
        <w:rPr>
          <w:rFonts w:ascii="Times" w:hAnsi="Times" w:cs="Times New Roman"/>
        </w:rPr>
        <w:t>d and dosage increased regimens.</w:t>
      </w:r>
    </w:p>
    <w:p w14:paraId="404B9FF5" w14:textId="77777777" w:rsidR="00AE1F4B" w:rsidRPr="00886C9E" w:rsidRDefault="00AE1F4B" w:rsidP="00CF4DDF">
      <w:pPr>
        <w:spacing w:line="480" w:lineRule="auto"/>
        <w:jc w:val="both"/>
        <w:rPr>
          <w:rFonts w:ascii="Times" w:hAnsi="Times" w:cs="Times New Roman"/>
        </w:rPr>
        <w:sectPr w:rsidR="00AE1F4B" w:rsidRPr="00886C9E" w:rsidSect="001105B2">
          <w:pgSz w:w="11900" w:h="16840"/>
          <w:pgMar w:top="1417" w:right="1701" w:bottom="1417" w:left="1701" w:header="708" w:footer="708" w:gutter="0"/>
          <w:lnNumType w:countBy="1" w:restart="continuous"/>
          <w:cols w:space="708"/>
          <w:docGrid w:linePitch="360"/>
        </w:sectPr>
      </w:pPr>
    </w:p>
    <w:p w14:paraId="3E8F1FA5" w14:textId="3E7F9D13" w:rsidR="003E1266" w:rsidRPr="00886C9E" w:rsidRDefault="00B3339E" w:rsidP="00CF4DDF">
      <w:pPr>
        <w:spacing w:line="480" w:lineRule="auto"/>
        <w:jc w:val="both"/>
        <w:rPr>
          <w:rFonts w:ascii="Times" w:hAnsi="Times" w:cs="Times New Roman"/>
        </w:rPr>
      </w:pPr>
      <w:r w:rsidRPr="00886C9E">
        <w:rPr>
          <w:rFonts w:ascii="Times" w:hAnsi="Times" w:cs="Times New Roman"/>
          <w:noProof/>
          <w:lang w:eastAsia="en-GB"/>
        </w:rPr>
        <w:lastRenderedPageBreak/>
        <w:drawing>
          <wp:inline distT="0" distB="0" distL="0" distR="0" wp14:anchorId="40B9BB97" wp14:editId="305E79F5">
            <wp:extent cx="5105400" cy="6248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x.pdf"/>
                    <pic:cNvPicPr/>
                  </pic:nvPicPr>
                  <pic:blipFill>
                    <a:blip r:embed="rId10">
                      <a:extLst>
                        <a:ext uri="{28A0092B-C50C-407E-A947-70E740481C1C}">
                          <a14:useLocalDpi xmlns:a14="http://schemas.microsoft.com/office/drawing/2010/main" val="0"/>
                        </a:ext>
                      </a:extLst>
                    </a:blip>
                    <a:stretch>
                      <a:fillRect/>
                    </a:stretch>
                  </pic:blipFill>
                  <pic:spPr>
                    <a:xfrm>
                      <a:off x="0" y="0"/>
                      <a:ext cx="5105400" cy="6248400"/>
                    </a:xfrm>
                    <a:prstGeom prst="rect">
                      <a:avLst/>
                    </a:prstGeom>
                  </pic:spPr>
                </pic:pic>
              </a:graphicData>
            </a:graphic>
          </wp:inline>
        </w:drawing>
      </w:r>
    </w:p>
    <w:p w14:paraId="434FDAA1" w14:textId="4C07803A" w:rsidR="004302A6" w:rsidRPr="00886C9E" w:rsidRDefault="00F97E67" w:rsidP="00CF4DDF">
      <w:pPr>
        <w:spacing w:line="480" w:lineRule="auto"/>
        <w:jc w:val="both"/>
        <w:rPr>
          <w:rFonts w:ascii="Times" w:hAnsi="Times" w:cs="Times New Roman"/>
        </w:rPr>
      </w:pPr>
      <w:r w:rsidRPr="00886C9E">
        <w:rPr>
          <w:rFonts w:ascii="Times" w:hAnsi="Times" w:cs="Times New Roman"/>
        </w:rPr>
        <w:t xml:space="preserve">Figure </w:t>
      </w:r>
      <w:r w:rsidR="00707D88" w:rsidRPr="00886C9E">
        <w:rPr>
          <w:rFonts w:ascii="Times" w:hAnsi="Times" w:cs="Times New Roman"/>
        </w:rPr>
        <w:t>1</w:t>
      </w:r>
      <w:r w:rsidR="000049EA" w:rsidRPr="00886C9E">
        <w:rPr>
          <w:rFonts w:ascii="Times" w:hAnsi="Times" w:cs="Times New Roman"/>
        </w:rPr>
        <w:t xml:space="preserve">. </w:t>
      </w:r>
      <w:proofErr w:type="spellStart"/>
      <w:r w:rsidR="000049EA" w:rsidRPr="00886C9E">
        <w:rPr>
          <w:rFonts w:ascii="Times" w:hAnsi="Times" w:cs="Times New Roman"/>
        </w:rPr>
        <w:t>Teicoplanin</w:t>
      </w:r>
      <w:proofErr w:type="spellEnd"/>
      <w:r w:rsidR="000049EA" w:rsidRPr="00886C9E">
        <w:rPr>
          <w:rFonts w:ascii="Times" w:hAnsi="Times" w:cs="Times New Roman"/>
        </w:rPr>
        <w:t xml:space="preserve"> pharmacodynamics against MRSA</w:t>
      </w:r>
      <w:r w:rsidR="00275C8F" w:rsidRPr="00886C9E">
        <w:rPr>
          <w:rFonts w:ascii="Times" w:hAnsi="Times" w:cs="Times New Roman"/>
        </w:rPr>
        <w:t xml:space="preserve"> in the HFIM. An </w:t>
      </w:r>
      <w:proofErr w:type="spellStart"/>
      <w:r w:rsidR="00275C8F" w:rsidRPr="00886C9E">
        <w:rPr>
          <w:rFonts w:ascii="Times" w:hAnsi="Times" w:cs="Times New Roman"/>
        </w:rPr>
        <w:t>Emax</w:t>
      </w:r>
      <w:proofErr w:type="spellEnd"/>
      <w:r w:rsidR="00275C8F" w:rsidRPr="00886C9E">
        <w:rPr>
          <w:rFonts w:ascii="Times" w:hAnsi="Times" w:cs="Times New Roman"/>
        </w:rPr>
        <w:t xml:space="preserve"> sigmoid model was fitted to the data</w:t>
      </w:r>
      <w:r w:rsidR="0065324A" w:rsidRPr="00886C9E">
        <w:rPr>
          <w:rFonts w:ascii="Times" w:hAnsi="Times" w:cs="Times New Roman"/>
        </w:rPr>
        <w:t xml:space="preserve"> (Bayesian individual posterior estimates from the population PK-PD model). a</w:t>
      </w:r>
      <w:r w:rsidR="00275C8F" w:rsidRPr="00886C9E">
        <w:rPr>
          <w:rFonts w:ascii="Times" w:hAnsi="Times" w:cs="Times New Roman"/>
        </w:rPr>
        <w:t xml:space="preserve">) </w:t>
      </w:r>
      <w:proofErr w:type="spellStart"/>
      <w:r w:rsidR="00275C8F" w:rsidRPr="00886C9E">
        <w:rPr>
          <w:rFonts w:ascii="Times" w:hAnsi="Times" w:cs="Times New Roman"/>
          <w:i/>
        </w:rPr>
        <w:t>f</w:t>
      </w:r>
      <w:r w:rsidR="00275C8F" w:rsidRPr="00886C9E">
        <w:rPr>
          <w:rFonts w:ascii="Times" w:hAnsi="Times" w:cs="Times New Roman"/>
        </w:rPr>
        <w:t>AUC</w:t>
      </w:r>
      <w:proofErr w:type="spellEnd"/>
      <w:r w:rsidR="00275C8F" w:rsidRPr="00886C9E">
        <w:rPr>
          <w:rFonts w:ascii="Times" w:hAnsi="Times" w:cs="Times New Roman"/>
        </w:rPr>
        <w:t xml:space="preserve"> </w:t>
      </w:r>
      <w:r w:rsidR="0065324A" w:rsidRPr="00886C9E">
        <w:rPr>
          <w:rFonts w:ascii="Times" w:hAnsi="Times" w:cs="Times New Roman"/>
        </w:rPr>
        <w:t xml:space="preserve">(144-168 h) </w:t>
      </w:r>
      <w:r w:rsidR="00275C8F" w:rsidRPr="00886C9E">
        <w:rPr>
          <w:rFonts w:ascii="Times" w:hAnsi="Times" w:cs="Times New Roman"/>
        </w:rPr>
        <w:t xml:space="preserve">vs total and resistant bacterial density </w:t>
      </w:r>
      <w:r w:rsidR="0065324A" w:rsidRPr="00886C9E">
        <w:rPr>
          <w:rFonts w:ascii="Times" w:hAnsi="Times" w:cs="Times New Roman"/>
        </w:rPr>
        <w:t>at the end of therapy (168 h); b</w:t>
      </w:r>
      <w:r w:rsidR="00275C8F" w:rsidRPr="00886C9E">
        <w:rPr>
          <w:rFonts w:ascii="Times" w:hAnsi="Times" w:cs="Times New Roman"/>
        </w:rPr>
        <w:t xml:space="preserve">) </w:t>
      </w:r>
      <w:proofErr w:type="spellStart"/>
      <w:r w:rsidR="00275C8F" w:rsidRPr="00886C9E">
        <w:rPr>
          <w:rFonts w:ascii="Times" w:hAnsi="Times" w:cs="Times New Roman"/>
          <w:i/>
        </w:rPr>
        <w:t>f</w:t>
      </w:r>
      <w:r w:rsidR="00275C8F" w:rsidRPr="00886C9E">
        <w:rPr>
          <w:rFonts w:ascii="Times" w:hAnsi="Times" w:cs="Times New Roman"/>
        </w:rPr>
        <w:t>C</w:t>
      </w:r>
      <w:r w:rsidR="00275C8F" w:rsidRPr="00886C9E">
        <w:rPr>
          <w:rFonts w:ascii="Times" w:hAnsi="Times" w:cs="Times New Roman"/>
          <w:vertAlign w:val="subscript"/>
        </w:rPr>
        <w:t>max</w:t>
      </w:r>
      <w:proofErr w:type="spellEnd"/>
      <w:r w:rsidR="00275C8F" w:rsidRPr="00886C9E">
        <w:rPr>
          <w:rFonts w:ascii="Times" w:hAnsi="Times" w:cs="Times New Roman"/>
        </w:rPr>
        <w:t xml:space="preserve"> </w:t>
      </w:r>
      <w:r w:rsidR="0065324A" w:rsidRPr="00886C9E">
        <w:rPr>
          <w:rFonts w:ascii="Times" w:hAnsi="Times" w:cs="Times New Roman"/>
        </w:rPr>
        <w:t xml:space="preserve">(145 h) </w:t>
      </w:r>
      <w:r w:rsidR="00275C8F" w:rsidRPr="00886C9E">
        <w:rPr>
          <w:rFonts w:ascii="Times" w:hAnsi="Times" w:cs="Times New Roman"/>
        </w:rPr>
        <w:t>vs total and resistant bacterial den</w:t>
      </w:r>
      <w:r w:rsidR="0065324A" w:rsidRPr="00886C9E">
        <w:rPr>
          <w:rFonts w:ascii="Times" w:hAnsi="Times" w:cs="Times New Roman"/>
        </w:rPr>
        <w:t>sity at the end of therapy and c</w:t>
      </w:r>
      <w:r w:rsidR="00275C8F" w:rsidRPr="00886C9E">
        <w:rPr>
          <w:rFonts w:ascii="Times" w:hAnsi="Times" w:cs="Times New Roman"/>
        </w:rPr>
        <w:t xml:space="preserve">) </w:t>
      </w:r>
      <w:proofErr w:type="spellStart"/>
      <w:r w:rsidR="00275C8F" w:rsidRPr="00886C9E">
        <w:rPr>
          <w:rFonts w:ascii="Times" w:hAnsi="Times" w:cs="Times New Roman"/>
          <w:i/>
        </w:rPr>
        <w:t>f</w:t>
      </w:r>
      <w:r w:rsidR="00275C8F" w:rsidRPr="00886C9E">
        <w:rPr>
          <w:rFonts w:ascii="Times" w:hAnsi="Times" w:cs="Times New Roman"/>
        </w:rPr>
        <w:t>C</w:t>
      </w:r>
      <w:r w:rsidR="00275C8F" w:rsidRPr="00886C9E">
        <w:rPr>
          <w:rFonts w:ascii="Times" w:hAnsi="Times" w:cs="Times New Roman"/>
          <w:vertAlign w:val="subscript"/>
        </w:rPr>
        <w:t>min</w:t>
      </w:r>
      <w:proofErr w:type="spellEnd"/>
      <w:r w:rsidR="00275C8F" w:rsidRPr="00886C9E">
        <w:rPr>
          <w:rFonts w:ascii="Times" w:hAnsi="Times" w:cs="Times New Roman"/>
        </w:rPr>
        <w:t xml:space="preserve"> </w:t>
      </w:r>
      <w:r w:rsidR="0065324A" w:rsidRPr="00886C9E">
        <w:rPr>
          <w:rFonts w:ascii="Times" w:hAnsi="Times" w:cs="Times New Roman"/>
        </w:rPr>
        <w:t xml:space="preserve">(144 h) </w:t>
      </w:r>
      <w:r w:rsidR="00275C8F" w:rsidRPr="00886C9E">
        <w:rPr>
          <w:rFonts w:ascii="Times" w:hAnsi="Times" w:cs="Times New Roman"/>
        </w:rPr>
        <w:t>vs total and resistant bacterial density at the end of therapy.</w:t>
      </w:r>
      <w:r w:rsidR="0065324A" w:rsidRPr="00886C9E">
        <w:rPr>
          <w:rFonts w:ascii="Times" w:hAnsi="Times" w:cs="Times New Roman"/>
        </w:rPr>
        <w:t xml:space="preserve"> On the right </w:t>
      </w:r>
      <w:proofErr w:type="spellStart"/>
      <w:r w:rsidR="0065324A" w:rsidRPr="00886C9E">
        <w:rPr>
          <w:rFonts w:ascii="Times" w:hAnsi="Times" w:cs="Times New Roman"/>
        </w:rPr>
        <w:t>colum</w:t>
      </w:r>
      <w:proofErr w:type="spellEnd"/>
      <w:r w:rsidR="0065324A" w:rsidRPr="00886C9E">
        <w:rPr>
          <w:rFonts w:ascii="Times" w:hAnsi="Times" w:cs="Times New Roman"/>
        </w:rPr>
        <w:t>, the effect against the resistant bacterial populations is shown. A dashed line shows the limit of quantification (LOQ) for bacterial load.</w:t>
      </w:r>
    </w:p>
    <w:p w14:paraId="7EE5813E" w14:textId="77777777" w:rsidR="00AE1F4B" w:rsidRPr="00886C9E" w:rsidRDefault="00AE1F4B" w:rsidP="00CF4DDF">
      <w:pPr>
        <w:spacing w:line="480" w:lineRule="auto"/>
        <w:jc w:val="both"/>
        <w:rPr>
          <w:rFonts w:ascii="Times" w:hAnsi="Times" w:cs="Times New Roman"/>
        </w:rPr>
        <w:sectPr w:rsidR="00AE1F4B" w:rsidRPr="00886C9E" w:rsidSect="001105B2">
          <w:pgSz w:w="11900" w:h="16840"/>
          <w:pgMar w:top="1417" w:right="1701" w:bottom="1417" w:left="1701" w:header="708" w:footer="708" w:gutter="0"/>
          <w:lnNumType w:countBy="1" w:restart="continuous"/>
          <w:cols w:space="708"/>
          <w:docGrid w:linePitch="360"/>
        </w:sectPr>
      </w:pPr>
    </w:p>
    <w:p w14:paraId="76213861" w14:textId="0FC57EFF" w:rsidR="0022141E" w:rsidRPr="00886C9E" w:rsidRDefault="003F3AF8" w:rsidP="00CF4DDF">
      <w:pPr>
        <w:spacing w:line="480" w:lineRule="auto"/>
        <w:jc w:val="both"/>
        <w:rPr>
          <w:rFonts w:ascii="Times" w:hAnsi="Times" w:cs="Times New Roman"/>
        </w:rPr>
      </w:pPr>
      <w:r w:rsidRPr="00886C9E">
        <w:rPr>
          <w:rFonts w:ascii="Times" w:hAnsi="Times" w:cs="Times New Roman"/>
          <w:noProof/>
          <w:lang w:eastAsia="en-GB"/>
        </w:rPr>
        <w:lastRenderedPageBreak/>
        <w:drawing>
          <wp:inline distT="0" distB="0" distL="0" distR="0" wp14:anchorId="7E5E6E21" wp14:editId="29BB4151">
            <wp:extent cx="5393055" cy="2133600"/>
            <wp:effectExtent l="0" t="0" r="0" b="0"/>
            <wp:docPr id="4" name="Imagen 1" descr="Macintosh HD:Users:virginiaramos:Dropbox:Figure 2 Paper_JAC resubmiss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rginiaramos:Dropbox:Figure 2 Paper_JAC resubmission.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3055" cy="2133600"/>
                    </a:xfrm>
                    <a:prstGeom prst="rect">
                      <a:avLst/>
                    </a:prstGeom>
                    <a:noFill/>
                    <a:ln>
                      <a:noFill/>
                    </a:ln>
                  </pic:spPr>
                </pic:pic>
              </a:graphicData>
            </a:graphic>
          </wp:inline>
        </w:drawing>
      </w:r>
    </w:p>
    <w:p w14:paraId="76BE801A" w14:textId="77777777" w:rsidR="00185296" w:rsidRPr="00886C9E" w:rsidRDefault="00185296" w:rsidP="00CF4DDF">
      <w:pPr>
        <w:spacing w:line="480" w:lineRule="auto"/>
        <w:jc w:val="both"/>
        <w:rPr>
          <w:rFonts w:ascii="Times" w:hAnsi="Times" w:cs="Times New Roman"/>
        </w:rPr>
      </w:pPr>
    </w:p>
    <w:p w14:paraId="4B5D925B" w14:textId="77777777" w:rsidR="00674D88" w:rsidRPr="00886C9E" w:rsidRDefault="00F97E67" w:rsidP="00CF4DDF">
      <w:pPr>
        <w:spacing w:line="480" w:lineRule="auto"/>
        <w:jc w:val="both"/>
        <w:rPr>
          <w:rFonts w:ascii="Times" w:hAnsi="Times" w:cs="Times New Roman"/>
        </w:rPr>
      </w:pPr>
      <w:r w:rsidRPr="00886C9E">
        <w:rPr>
          <w:rFonts w:ascii="Times" w:hAnsi="Times" w:cs="Times New Roman"/>
        </w:rPr>
        <w:t xml:space="preserve">Figure </w:t>
      </w:r>
      <w:r w:rsidR="00707D88" w:rsidRPr="00886C9E">
        <w:rPr>
          <w:rFonts w:ascii="Times" w:hAnsi="Times" w:cs="Times New Roman"/>
        </w:rPr>
        <w:t>2</w:t>
      </w:r>
      <w:r w:rsidR="0091576D" w:rsidRPr="00886C9E">
        <w:rPr>
          <w:rFonts w:ascii="Times" w:hAnsi="Times" w:cs="Times New Roman"/>
        </w:rPr>
        <w:t xml:space="preserve">. </w:t>
      </w:r>
      <w:proofErr w:type="spellStart"/>
      <w:r w:rsidR="0091576D" w:rsidRPr="00886C9E">
        <w:rPr>
          <w:rFonts w:ascii="Times" w:hAnsi="Times" w:cs="Times New Roman"/>
        </w:rPr>
        <w:t>Teicoplanin</w:t>
      </w:r>
      <w:proofErr w:type="spellEnd"/>
      <w:r w:rsidR="0091576D" w:rsidRPr="00886C9E">
        <w:rPr>
          <w:rFonts w:ascii="Times" w:hAnsi="Times" w:cs="Times New Roman"/>
        </w:rPr>
        <w:t xml:space="preserve"> </w:t>
      </w:r>
      <w:r w:rsidRPr="00886C9E">
        <w:rPr>
          <w:rFonts w:ascii="Times" w:hAnsi="Times" w:cs="Times New Roman"/>
        </w:rPr>
        <w:t xml:space="preserve">total </w:t>
      </w:r>
      <w:r w:rsidR="0091576D" w:rsidRPr="00886C9E">
        <w:rPr>
          <w:rFonts w:ascii="Times" w:hAnsi="Times" w:cs="Times New Roman"/>
        </w:rPr>
        <w:t>AUC/MIC ratio against MRSA total and resistant bacterial density from the 26 h mouse thigh infection model.</w:t>
      </w:r>
      <w:r w:rsidR="007755EA" w:rsidRPr="00886C9E">
        <w:rPr>
          <w:rFonts w:ascii="Times" w:hAnsi="Times" w:cs="Times New Roman"/>
        </w:rPr>
        <w:t xml:space="preserve"> </w:t>
      </w:r>
    </w:p>
    <w:p w14:paraId="1FEE072A" w14:textId="746D92AF" w:rsidR="0022141E" w:rsidRPr="00886C9E" w:rsidRDefault="00AF4C74" w:rsidP="00CF4DDF">
      <w:pPr>
        <w:spacing w:line="480" w:lineRule="auto"/>
        <w:jc w:val="both"/>
        <w:rPr>
          <w:rFonts w:ascii="Times" w:hAnsi="Times" w:cs="Times New Roman"/>
        </w:rPr>
      </w:pPr>
      <w:r w:rsidRPr="00886C9E">
        <w:rPr>
          <w:rFonts w:ascii="Times" w:hAnsi="Times" w:cs="Times New Roman"/>
        </w:rPr>
        <w:t>Effect=8.23-((5.24x (</w:t>
      </w:r>
      <w:proofErr w:type="gramStart"/>
      <w:r w:rsidRPr="00886C9E">
        <w:rPr>
          <w:rFonts w:ascii="Times" w:hAnsi="Times" w:cs="Times New Roman"/>
        </w:rPr>
        <w:t>AUC:MIC</w:t>
      </w:r>
      <w:proofErr w:type="gramEnd"/>
      <w:r w:rsidRPr="00886C9E">
        <w:rPr>
          <w:rFonts w:ascii="Times" w:hAnsi="Times" w:cs="Times New Roman"/>
        </w:rPr>
        <w:t>)</w:t>
      </w:r>
      <w:r w:rsidRPr="00886C9E">
        <w:rPr>
          <w:rFonts w:ascii="Times" w:hAnsi="Times" w:cs="Times New Roman"/>
          <w:vertAlign w:val="superscript"/>
        </w:rPr>
        <w:t xml:space="preserve">0.94 </w:t>
      </w:r>
      <w:r w:rsidRPr="00886C9E">
        <w:rPr>
          <w:rFonts w:ascii="Times" w:hAnsi="Times" w:cs="Times New Roman"/>
        </w:rPr>
        <w:t>)/((AUC:MIC)</w:t>
      </w:r>
      <w:r w:rsidRPr="00886C9E">
        <w:rPr>
          <w:rFonts w:ascii="Times" w:hAnsi="Times" w:cs="Times New Roman"/>
          <w:vertAlign w:val="superscript"/>
        </w:rPr>
        <w:t xml:space="preserve">0.94 </w:t>
      </w:r>
      <w:r w:rsidRPr="00886C9E">
        <w:rPr>
          <w:rFonts w:ascii="Times" w:hAnsi="Times" w:cs="Times New Roman"/>
        </w:rPr>
        <w:t>+98.5</w:t>
      </w:r>
      <w:r w:rsidRPr="00886C9E">
        <w:rPr>
          <w:rFonts w:ascii="Times" w:hAnsi="Times" w:cs="Times New Roman"/>
          <w:vertAlign w:val="superscript"/>
        </w:rPr>
        <w:t>0.94</w:t>
      </w:r>
      <w:r w:rsidR="007755EA" w:rsidRPr="00886C9E">
        <w:rPr>
          <w:rFonts w:ascii="Times" w:hAnsi="Times" w:cs="Times New Roman"/>
        </w:rPr>
        <w:t xml:space="preserve">). </w:t>
      </w:r>
      <w:r w:rsidR="0022141E" w:rsidRPr="00886C9E">
        <w:rPr>
          <w:rFonts w:ascii="Times" w:hAnsi="Times" w:cs="Times New Roman"/>
        </w:rPr>
        <w:t>Each symbol (filled circle) represents the mean of data for three mice.</w:t>
      </w:r>
      <w:r w:rsidR="00F97E67" w:rsidRPr="00886C9E">
        <w:rPr>
          <w:rFonts w:ascii="Times" w:hAnsi="Times" w:cs="Times New Roman"/>
        </w:rPr>
        <w:t xml:space="preserve"> Figure </w:t>
      </w:r>
      <w:r w:rsidR="007A39BD" w:rsidRPr="00886C9E">
        <w:rPr>
          <w:rFonts w:ascii="Times" w:hAnsi="Times" w:cs="Times New Roman"/>
        </w:rPr>
        <w:t>2</w:t>
      </w:r>
      <w:r w:rsidR="00F97E67" w:rsidRPr="00886C9E">
        <w:rPr>
          <w:rFonts w:ascii="Times" w:hAnsi="Times" w:cs="Times New Roman"/>
        </w:rPr>
        <w:t>(a) shows the concentration-dependent decline</w:t>
      </w:r>
      <w:r w:rsidR="00C802A8" w:rsidRPr="00886C9E">
        <w:rPr>
          <w:rFonts w:ascii="Times" w:hAnsi="Times" w:cs="Times New Roman"/>
        </w:rPr>
        <w:t xml:space="preserve"> in the total bacterial density reaching </w:t>
      </w:r>
      <w:r w:rsidR="00C802A8" w:rsidRPr="00886C9E">
        <w:rPr>
          <w:rFonts w:ascii="Times" w:hAnsi="Times" w:cs="Times New Roman"/>
        </w:rPr>
        <w:sym w:font="Symbol" w:char="F0B3"/>
      </w:r>
      <w:r w:rsidR="00C802A8" w:rsidRPr="00886C9E">
        <w:rPr>
          <w:rFonts w:ascii="Times" w:hAnsi="Times" w:cs="Times New Roman"/>
        </w:rPr>
        <w:t xml:space="preserve"> 2 log</w:t>
      </w:r>
      <w:r w:rsidR="00C802A8" w:rsidRPr="00886C9E">
        <w:rPr>
          <w:rFonts w:ascii="Times" w:hAnsi="Times" w:cs="Times New Roman"/>
          <w:vertAlign w:val="subscript"/>
        </w:rPr>
        <w:t xml:space="preserve">10 </w:t>
      </w:r>
      <w:r w:rsidR="00C802A8" w:rsidRPr="00886C9E">
        <w:rPr>
          <w:rFonts w:ascii="Times" w:hAnsi="Times" w:cs="Times New Roman"/>
        </w:rPr>
        <w:t xml:space="preserve">cell kill </w:t>
      </w:r>
      <w:r w:rsidR="003B17D4" w:rsidRPr="00886C9E">
        <w:rPr>
          <w:rFonts w:ascii="Times" w:hAnsi="Times" w:cs="Times New Roman"/>
        </w:rPr>
        <w:t>CFU/</w:t>
      </w:r>
      <w:r w:rsidR="003F3AF8" w:rsidRPr="00886C9E">
        <w:rPr>
          <w:rFonts w:ascii="Times" w:hAnsi="Times" w:cs="Times New Roman"/>
        </w:rPr>
        <w:t>g</w:t>
      </w:r>
      <w:r w:rsidR="003B17D4" w:rsidRPr="00886C9E">
        <w:rPr>
          <w:rFonts w:ascii="Times" w:hAnsi="Times" w:cs="Times New Roman"/>
        </w:rPr>
        <w:t xml:space="preserve"> after AUC/MIC ratios of 6</w:t>
      </w:r>
      <w:r w:rsidR="00C802A8" w:rsidRPr="00886C9E">
        <w:rPr>
          <w:rFonts w:ascii="Times" w:hAnsi="Times" w:cs="Times New Roman"/>
        </w:rPr>
        <w:t>00 mg*h/L. Thin dashed lines represent the mean bacterial load at the start of therapy</w:t>
      </w:r>
      <w:r w:rsidR="003B17D4" w:rsidRPr="00886C9E">
        <w:rPr>
          <w:rFonts w:ascii="Times" w:hAnsi="Times" w:cs="Times New Roman"/>
        </w:rPr>
        <w:t xml:space="preserve"> (stasis)</w:t>
      </w:r>
      <w:r w:rsidR="00C802A8" w:rsidRPr="00886C9E">
        <w:rPr>
          <w:rFonts w:ascii="Times" w:hAnsi="Times" w:cs="Times New Roman"/>
        </w:rPr>
        <w:t xml:space="preserve"> and 1 and 2 log</w:t>
      </w:r>
      <w:r w:rsidR="00C802A8" w:rsidRPr="00886C9E">
        <w:rPr>
          <w:rFonts w:ascii="Times" w:hAnsi="Times" w:cs="Times New Roman"/>
          <w:vertAlign w:val="subscript"/>
        </w:rPr>
        <w:t xml:space="preserve">10 </w:t>
      </w:r>
      <w:r w:rsidR="00C802A8" w:rsidRPr="00886C9E">
        <w:rPr>
          <w:rFonts w:ascii="Times" w:hAnsi="Times" w:cs="Times New Roman"/>
        </w:rPr>
        <w:t xml:space="preserve">drop cell kill. Thick dash line represents the LOQ. Figure </w:t>
      </w:r>
      <w:r w:rsidR="007A39BD" w:rsidRPr="00886C9E">
        <w:rPr>
          <w:rFonts w:ascii="Times" w:hAnsi="Times" w:cs="Times New Roman"/>
        </w:rPr>
        <w:t>2</w:t>
      </w:r>
      <w:r w:rsidR="00C802A8" w:rsidRPr="00886C9E">
        <w:rPr>
          <w:rFonts w:ascii="Times" w:hAnsi="Times" w:cs="Times New Roman"/>
        </w:rPr>
        <w:t>(b) shows the characteristic “Inverted U” phenomenon in the resistant subpopulation with amplification of resist</w:t>
      </w:r>
      <w:r w:rsidR="00B3339E" w:rsidRPr="00886C9E">
        <w:rPr>
          <w:rFonts w:ascii="Times" w:hAnsi="Times" w:cs="Times New Roman"/>
        </w:rPr>
        <w:t xml:space="preserve">ance at AUC/MIC ratios between </w:t>
      </w:r>
      <w:r w:rsidR="00B3339E" w:rsidRPr="00886C9E">
        <w:rPr>
          <w:rFonts w:ascii="Times" w:hAnsi="Times" w:cs="Times New Roman"/>
        </w:rPr>
        <w:sym w:font="Symbol" w:char="F07E"/>
      </w:r>
      <w:r w:rsidR="00B3339E" w:rsidRPr="00886C9E">
        <w:rPr>
          <w:rFonts w:ascii="Times" w:hAnsi="Times" w:cs="Times New Roman"/>
        </w:rPr>
        <w:t>500-7</w:t>
      </w:r>
      <w:r w:rsidR="00C802A8" w:rsidRPr="00886C9E">
        <w:rPr>
          <w:rFonts w:ascii="Times" w:hAnsi="Times" w:cs="Times New Roman"/>
        </w:rPr>
        <w:t xml:space="preserve">00 mg*h/L and near maximal effect at </w:t>
      </w:r>
      <w:r w:rsidR="00185296" w:rsidRPr="00886C9E">
        <w:rPr>
          <w:rFonts w:ascii="Times" w:hAnsi="Times" w:cs="Times New Roman"/>
        </w:rPr>
        <w:sym w:font="Symbol" w:char="F0B3"/>
      </w:r>
      <w:r w:rsidR="003B17D4" w:rsidRPr="00886C9E">
        <w:rPr>
          <w:rFonts w:ascii="Times" w:hAnsi="Times" w:cs="Times New Roman"/>
        </w:rPr>
        <w:t>15</w:t>
      </w:r>
      <w:r w:rsidR="00C802A8" w:rsidRPr="00886C9E">
        <w:rPr>
          <w:rFonts w:ascii="Times" w:hAnsi="Times" w:cs="Times New Roman"/>
        </w:rPr>
        <w:t>00 mg*h/L.</w:t>
      </w:r>
    </w:p>
    <w:p w14:paraId="09270522" w14:textId="7EABCD40" w:rsidR="0091576D" w:rsidRPr="00886C9E" w:rsidRDefault="0091576D" w:rsidP="00CF4DDF">
      <w:pPr>
        <w:spacing w:line="480" w:lineRule="auto"/>
        <w:jc w:val="both"/>
        <w:rPr>
          <w:rFonts w:ascii="Times" w:hAnsi="Times" w:cs="Times New Roman"/>
        </w:rPr>
      </w:pPr>
    </w:p>
    <w:p w14:paraId="4DF65871" w14:textId="77777777" w:rsidR="0022141E" w:rsidRPr="00886C9E" w:rsidRDefault="0022141E" w:rsidP="00CF4DDF">
      <w:pPr>
        <w:spacing w:line="480" w:lineRule="auto"/>
        <w:jc w:val="both"/>
        <w:rPr>
          <w:rFonts w:ascii="Times" w:hAnsi="Times" w:cs="Times New Roman"/>
        </w:rPr>
      </w:pPr>
    </w:p>
    <w:p w14:paraId="5B0E0FFE" w14:textId="77777777" w:rsidR="00AE1F4B" w:rsidRPr="00886C9E" w:rsidRDefault="00AE1F4B" w:rsidP="00CF4DDF">
      <w:pPr>
        <w:spacing w:line="480" w:lineRule="auto"/>
        <w:jc w:val="both"/>
        <w:rPr>
          <w:rFonts w:ascii="Times" w:hAnsi="Times" w:cs="Times New Roman"/>
        </w:rPr>
        <w:sectPr w:rsidR="00AE1F4B" w:rsidRPr="00886C9E" w:rsidSect="001105B2">
          <w:pgSz w:w="11900" w:h="16840"/>
          <w:pgMar w:top="1417" w:right="1701" w:bottom="1417" w:left="1701" w:header="708" w:footer="708" w:gutter="0"/>
          <w:lnNumType w:countBy="1" w:restart="continuous"/>
          <w:cols w:space="708"/>
          <w:docGrid w:linePitch="360"/>
        </w:sectPr>
      </w:pPr>
    </w:p>
    <w:p w14:paraId="39B692D1" w14:textId="0EF10CBC" w:rsidR="00D11093" w:rsidRPr="00886C9E" w:rsidRDefault="009F5EA3" w:rsidP="00CF4DDF">
      <w:pPr>
        <w:spacing w:line="480" w:lineRule="auto"/>
        <w:jc w:val="both"/>
        <w:rPr>
          <w:rFonts w:ascii="Times" w:hAnsi="Times" w:cs="Times New Roman"/>
        </w:rPr>
      </w:pPr>
      <w:r w:rsidRPr="00886C9E">
        <w:rPr>
          <w:rFonts w:ascii="Times" w:hAnsi="Times" w:cs="Times New Roman"/>
          <w:noProof/>
          <w:lang w:eastAsia="en-GB"/>
        </w:rPr>
        <w:lastRenderedPageBreak/>
        <w:drawing>
          <wp:inline distT="0" distB="0" distL="0" distR="0" wp14:anchorId="6E23CA15" wp14:editId="3453D3CC">
            <wp:extent cx="5393055" cy="4512945"/>
            <wp:effectExtent l="0" t="0" r="0" b="0"/>
            <wp:docPr id="5" name="Imagen 2" descr="Macintosh HD:Users:virginiaramos:Dropbox:Figure 3_PTA_JAC Resubmiss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irginiaramos:Dropbox:Figure 3_PTA_JAC Resubmission.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3055" cy="4512945"/>
                    </a:xfrm>
                    <a:prstGeom prst="rect">
                      <a:avLst/>
                    </a:prstGeom>
                    <a:noFill/>
                    <a:ln>
                      <a:noFill/>
                    </a:ln>
                  </pic:spPr>
                </pic:pic>
              </a:graphicData>
            </a:graphic>
          </wp:inline>
        </w:drawing>
      </w:r>
    </w:p>
    <w:p w14:paraId="07921104" w14:textId="254FA8DF" w:rsidR="00FF1D5E" w:rsidRPr="00C6502E" w:rsidRDefault="00696B65" w:rsidP="00CF4DDF">
      <w:pPr>
        <w:spacing w:line="480" w:lineRule="auto"/>
        <w:jc w:val="both"/>
        <w:rPr>
          <w:rFonts w:ascii="Times" w:hAnsi="Times" w:cs="Times New Roman"/>
        </w:rPr>
      </w:pPr>
      <w:r w:rsidRPr="00886C9E">
        <w:rPr>
          <w:rFonts w:ascii="Times" w:hAnsi="Times" w:cs="Times New Roman"/>
        </w:rPr>
        <w:t xml:space="preserve">Figure </w:t>
      </w:r>
      <w:r w:rsidR="00707D88" w:rsidRPr="00886C9E">
        <w:rPr>
          <w:rFonts w:ascii="Times" w:hAnsi="Times" w:cs="Times New Roman"/>
        </w:rPr>
        <w:t>3</w:t>
      </w:r>
      <w:r w:rsidR="00FF1D5E" w:rsidRPr="00886C9E">
        <w:rPr>
          <w:rFonts w:ascii="Times" w:hAnsi="Times" w:cs="Times New Roman"/>
        </w:rPr>
        <w:t xml:space="preserve">. </w:t>
      </w:r>
      <w:r w:rsidR="00545CA1" w:rsidRPr="00886C9E">
        <w:rPr>
          <w:rFonts w:ascii="Times" w:hAnsi="Times" w:cs="Times New Roman"/>
        </w:rPr>
        <w:t>Monte Carlo Simulations and PTA analysis</w:t>
      </w:r>
      <w:r w:rsidR="00BA295A" w:rsidRPr="00886C9E">
        <w:rPr>
          <w:rFonts w:ascii="Times" w:hAnsi="Times" w:cs="Times New Roman"/>
        </w:rPr>
        <w:t>: a</w:t>
      </w:r>
      <w:r w:rsidR="00D11093" w:rsidRPr="00886C9E">
        <w:rPr>
          <w:rFonts w:ascii="Times" w:hAnsi="Times" w:cs="Times New Roman"/>
        </w:rPr>
        <w:t xml:space="preserve">) </w:t>
      </w:r>
      <w:r w:rsidR="00BA295A" w:rsidRPr="00886C9E">
        <w:rPr>
          <w:rFonts w:ascii="Times" w:hAnsi="Times" w:cs="Times New Roman"/>
        </w:rPr>
        <w:t>PTA in adult patients receiving standard and increased dosage regimens for a target AUC</w:t>
      </w:r>
      <w:r w:rsidR="004D552B" w:rsidRPr="00886C9E">
        <w:rPr>
          <w:rFonts w:ascii="Times" w:hAnsi="Times" w:cs="Times New Roman"/>
        </w:rPr>
        <w:t xml:space="preserve">/MIC of </w:t>
      </w:r>
      <w:r w:rsidR="007A39BD" w:rsidRPr="00886C9E">
        <w:rPr>
          <w:rFonts w:ascii="Times" w:hAnsi="Times" w:cs="Times New Roman"/>
        </w:rPr>
        <w:t xml:space="preserve">88.8 and 610.4 </w:t>
      </w:r>
      <w:r w:rsidR="00A62FC4" w:rsidRPr="00886C9E">
        <w:rPr>
          <w:rFonts w:ascii="Times" w:hAnsi="Times" w:cs="Times New Roman"/>
        </w:rPr>
        <w:t>mg*h/L by day 3-4 of therapy</w:t>
      </w:r>
      <w:r w:rsidR="00455CC8" w:rsidRPr="00886C9E">
        <w:rPr>
          <w:rFonts w:ascii="Times" w:hAnsi="Times" w:cs="Times New Roman"/>
        </w:rPr>
        <w:t>;</w:t>
      </w:r>
      <w:r w:rsidR="00AD6B65" w:rsidRPr="00886C9E">
        <w:rPr>
          <w:rFonts w:ascii="Times" w:hAnsi="Times" w:cs="Times New Roman"/>
        </w:rPr>
        <w:t xml:space="preserve"> b</w:t>
      </w:r>
      <w:r w:rsidR="00455CC8" w:rsidRPr="00886C9E">
        <w:rPr>
          <w:rFonts w:ascii="Times" w:hAnsi="Times" w:cs="Times New Roman"/>
        </w:rPr>
        <w:t xml:space="preserve">) PTA in paediatric patients (1-16 years old) with standard and increased dosage regimens for a </w:t>
      </w:r>
      <w:r w:rsidR="00D11093" w:rsidRPr="00886C9E">
        <w:rPr>
          <w:rFonts w:ascii="Times" w:hAnsi="Times" w:cs="Times New Roman"/>
        </w:rPr>
        <w:t>tar</w:t>
      </w:r>
      <w:r w:rsidR="004D552B" w:rsidRPr="00886C9E">
        <w:rPr>
          <w:rFonts w:ascii="Times" w:hAnsi="Times" w:cs="Times New Roman"/>
        </w:rPr>
        <w:t>get AUC/MIC of 88.8</w:t>
      </w:r>
      <w:r w:rsidR="007A39BD" w:rsidRPr="00886C9E">
        <w:rPr>
          <w:rFonts w:ascii="Times" w:hAnsi="Times" w:cs="Times New Roman"/>
        </w:rPr>
        <w:t xml:space="preserve"> and 610.4</w:t>
      </w:r>
      <w:r w:rsidR="004D552B" w:rsidRPr="00886C9E">
        <w:rPr>
          <w:rFonts w:ascii="Times" w:hAnsi="Times" w:cs="Times New Roman"/>
        </w:rPr>
        <w:t xml:space="preserve"> mg*h/L</w:t>
      </w:r>
      <w:r w:rsidR="009756F3" w:rsidRPr="00886C9E">
        <w:rPr>
          <w:rFonts w:ascii="Times" w:hAnsi="Times" w:cs="Times New Roman"/>
        </w:rPr>
        <w:t>.</w:t>
      </w:r>
      <w:r w:rsidR="00B97D25" w:rsidRPr="00886C9E">
        <w:rPr>
          <w:rFonts w:ascii="Times" w:hAnsi="Times" w:cs="Times New Roman"/>
        </w:rPr>
        <w:t xml:space="preserve"> The underlying continuous gre</w:t>
      </w:r>
      <w:r w:rsidR="00A62FC4" w:rsidRPr="00886C9E">
        <w:rPr>
          <w:rFonts w:ascii="Times" w:hAnsi="Times" w:cs="Times New Roman"/>
        </w:rPr>
        <w:t>y line on each plot represents the wild-type EUCAST</w:t>
      </w:r>
      <w:r w:rsidR="00B97D25" w:rsidRPr="00886C9E">
        <w:rPr>
          <w:rFonts w:ascii="Times" w:hAnsi="Times" w:cs="Times New Roman"/>
        </w:rPr>
        <w:t xml:space="preserve"> reported distribution for </w:t>
      </w:r>
      <w:proofErr w:type="spellStart"/>
      <w:r w:rsidR="00B97D25" w:rsidRPr="00886C9E">
        <w:rPr>
          <w:rFonts w:ascii="Times" w:hAnsi="Times" w:cs="Times New Roman"/>
        </w:rPr>
        <w:t>teicoplanin</w:t>
      </w:r>
      <w:proofErr w:type="spellEnd"/>
      <w:r w:rsidR="00B97D25" w:rsidRPr="00886C9E">
        <w:rPr>
          <w:rFonts w:ascii="Times" w:hAnsi="Times" w:cs="Times New Roman"/>
        </w:rPr>
        <w:t xml:space="preserve"> against MRSA.</w:t>
      </w:r>
      <w:r w:rsidR="00E86EF5" w:rsidRPr="00886C9E">
        <w:rPr>
          <w:rFonts w:ascii="Times" w:hAnsi="Times" w:cs="Times New Roman"/>
        </w:rPr>
        <w:t xml:space="preserve"> The tables show </w:t>
      </w:r>
      <w:r w:rsidR="00707D88" w:rsidRPr="00886C9E">
        <w:rPr>
          <w:rFonts w:ascii="Times" w:hAnsi="Times" w:cs="Times New Roman"/>
        </w:rPr>
        <w:t>the fractional target attainment for</w:t>
      </w:r>
      <w:r w:rsidR="00E86EF5" w:rsidRPr="00886C9E">
        <w:rPr>
          <w:rFonts w:ascii="Times" w:hAnsi="Times" w:cs="Times New Roman"/>
        </w:rPr>
        <w:t xml:space="preserve"> each of the simulated dosage regimens</w:t>
      </w:r>
      <w:r w:rsidR="00707D88" w:rsidRPr="00886C9E">
        <w:rPr>
          <w:rFonts w:ascii="Times" w:hAnsi="Times" w:cs="Times New Roman"/>
        </w:rPr>
        <w:t xml:space="preserve"> against the MRSA </w:t>
      </w:r>
      <w:proofErr w:type="spellStart"/>
      <w:r w:rsidR="00707D88" w:rsidRPr="00886C9E">
        <w:rPr>
          <w:rFonts w:ascii="Times" w:hAnsi="Times" w:cs="Times New Roman"/>
        </w:rPr>
        <w:t>teicoplanin</w:t>
      </w:r>
      <w:proofErr w:type="spellEnd"/>
      <w:r w:rsidR="00707D88" w:rsidRPr="00886C9E">
        <w:rPr>
          <w:rFonts w:ascii="Times" w:hAnsi="Times" w:cs="Times New Roman"/>
        </w:rPr>
        <w:t xml:space="preserve"> MIC distribution.</w:t>
      </w:r>
      <w:bookmarkStart w:id="0" w:name="_GoBack"/>
      <w:bookmarkEnd w:id="0"/>
    </w:p>
    <w:sectPr w:rsidR="00FF1D5E" w:rsidRPr="00C6502E" w:rsidSect="001105B2">
      <w:pgSz w:w="11900" w:h="16840"/>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7ADA8" w14:textId="77777777" w:rsidR="003D643F" w:rsidRDefault="003D643F" w:rsidP="00AD0D91">
      <w:r>
        <w:separator/>
      </w:r>
    </w:p>
  </w:endnote>
  <w:endnote w:type="continuationSeparator" w:id="0">
    <w:p w14:paraId="4EDA120C" w14:textId="77777777" w:rsidR="003D643F" w:rsidRDefault="003D643F" w:rsidP="00AD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MS Gothic">
    <w:panose1 w:val="020B0609070205080204"/>
    <w:charset w:val="80"/>
    <w:family w:val="auto"/>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Bold Italic">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C7882" w14:textId="77777777" w:rsidR="00EA7330" w:rsidRDefault="00EA7330" w:rsidP="00AD0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4048FB" w14:textId="77777777" w:rsidR="00EA7330" w:rsidRDefault="00EA7330" w:rsidP="00AD0D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E51CA" w14:textId="77777777" w:rsidR="00EA7330" w:rsidRDefault="00EA7330" w:rsidP="00AD0D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57937" w14:textId="77777777" w:rsidR="003D643F" w:rsidRDefault="003D643F" w:rsidP="00AD0D91">
      <w:r>
        <w:separator/>
      </w:r>
    </w:p>
  </w:footnote>
  <w:footnote w:type="continuationSeparator" w:id="0">
    <w:p w14:paraId="54910D89" w14:textId="77777777" w:rsidR="003D643F" w:rsidRDefault="003D643F" w:rsidP="00AD0D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72D8B"/>
    <w:multiLevelType w:val="hybridMultilevel"/>
    <w:tmpl w:val="A0EE5F9A"/>
    <w:lvl w:ilvl="0" w:tplc="0E0430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DC3AD7"/>
    <w:multiLevelType w:val="hybridMultilevel"/>
    <w:tmpl w:val="E07694E2"/>
    <w:lvl w:ilvl="0" w:tplc="C7EAE1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8A0880"/>
    <w:multiLevelType w:val="hybridMultilevel"/>
    <w:tmpl w:val="159EC8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15"/>
    <w:rsid w:val="000049EA"/>
    <w:rsid w:val="000071E5"/>
    <w:rsid w:val="00011B90"/>
    <w:rsid w:val="00012D79"/>
    <w:rsid w:val="000168E1"/>
    <w:rsid w:val="00023ED4"/>
    <w:rsid w:val="000248D2"/>
    <w:rsid w:val="00024BB0"/>
    <w:rsid w:val="00025199"/>
    <w:rsid w:val="00025D29"/>
    <w:rsid w:val="000262CE"/>
    <w:rsid w:val="0003186C"/>
    <w:rsid w:val="00034544"/>
    <w:rsid w:val="000351C1"/>
    <w:rsid w:val="00040034"/>
    <w:rsid w:val="00040735"/>
    <w:rsid w:val="00040BC6"/>
    <w:rsid w:val="00041CA9"/>
    <w:rsid w:val="00045E12"/>
    <w:rsid w:val="00052F58"/>
    <w:rsid w:val="000567B8"/>
    <w:rsid w:val="00066927"/>
    <w:rsid w:val="00076776"/>
    <w:rsid w:val="00092AD1"/>
    <w:rsid w:val="00096206"/>
    <w:rsid w:val="00097D2E"/>
    <w:rsid w:val="000A0C31"/>
    <w:rsid w:val="000A1647"/>
    <w:rsid w:val="000B0779"/>
    <w:rsid w:val="000B7C0A"/>
    <w:rsid w:val="000C1E7E"/>
    <w:rsid w:val="000C2E2A"/>
    <w:rsid w:val="000D0F4C"/>
    <w:rsid w:val="000D1189"/>
    <w:rsid w:val="000D51D1"/>
    <w:rsid w:val="000D7C9C"/>
    <w:rsid w:val="000E13B3"/>
    <w:rsid w:val="000F085A"/>
    <w:rsid w:val="000F6992"/>
    <w:rsid w:val="00101950"/>
    <w:rsid w:val="00104388"/>
    <w:rsid w:val="0010623E"/>
    <w:rsid w:val="001105B2"/>
    <w:rsid w:val="0011197F"/>
    <w:rsid w:val="001141CA"/>
    <w:rsid w:val="00115B77"/>
    <w:rsid w:val="001175D8"/>
    <w:rsid w:val="00117A8B"/>
    <w:rsid w:val="00122E54"/>
    <w:rsid w:val="00133FF5"/>
    <w:rsid w:val="001431E7"/>
    <w:rsid w:val="00143E3E"/>
    <w:rsid w:val="00172679"/>
    <w:rsid w:val="0017745A"/>
    <w:rsid w:val="001841A5"/>
    <w:rsid w:val="00185296"/>
    <w:rsid w:val="0018667C"/>
    <w:rsid w:val="0018720C"/>
    <w:rsid w:val="001A0D35"/>
    <w:rsid w:val="001A0E00"/>
    <w:rsid w:val="001A0F8B"/>
    <w:rsid w:val="001A7CFE"/>
    <w:rsid w:val="001B224A"/>
    <w:rsid w:val="001B295B"/>
    <w:rsid w:val="001B372B"/>
    <w:rsid w:val="001B7A0D"/>
    <w:rsid w:val="001B7CFC"/>
    <w:rsid w:val="001C007B"/>
    <w:rsid w:val="001C6E57"/>
    <w:rsid w:val="001C78B2"/>
    <w:rsid w:val="001C79B2"/>
    <w:rsid w:val="001D5BA8"/>
    <w:rsid w:val="001E143E"/>
    <w:rsid w:val="001F0647"/>
    <w:rsid w:val="001F4345"/>
    <w:rsid w:val="0020409A"/>
    <w:rsid w:val="00204F67"/>
    <w:rsid w:val="002070B6"/>
    <w:rsid w:val="00212222"/>
    <w:rsid w:val="002148CA"/>
    <w:rsid w:val="00215D9F"/>
    <w:rsid w:val="0022141E"/>
    <w:rsid w:val="00221B8C"/>
    <w:rsid w:val="00222B31"/>
    <w:rsid w:val="002238CE"/>
    <w:rsid w:val="00225660"/>
    <w:rsid w:val="00243D44"/>
    <w:rsid w:val="00243D86"/>
    <w:rsid w:val="002444BF"/>
    <w:rsid w:val="00244644"/>
    <w:rsid w:val="0024493B"/>
    <w:rsid w:val="002528AF"/>
    <w:rsid w:val="00255646"/>
    <w:rsid w:val="00262BB6"/>
    <w:rsid w:val="0026510A"/>
    <w:rsid w:val="00267A5B"/>
    <w:rsid w:val="002753FD"/>
    <w:rsid w:val="00275C8F"/>
    <w:rsid w:val="00282FDD"/>
    <w:rsid w:val="00283072"/>
    <w:rsid w:val="00287689"/>
    <w:rsid w:val="00291A6A"/>
    <w:rsid w:val="00292CFB"/>
    <w:rsid w:val="002A30CB"/>
    <w:rsid w:val="002A43B0"/>
    <w:rsid w:val="002A74B5"/>
    <w:rsid w:val="002B3AD2"/>
    <w:rsid w:val="002B4AE9"/>
    <w:rsid w:val="002B6B41"/>
    <w:rsid w:val="002B7B9E"/>
    <w:rsid w:val="002C0BF0"/>
    <w:rsid w:val="002C405E"/>
    <w:rsid w:val="002C7777"/>
    <w:rsid w:val="002D27B4"/>
    <w:rsid w:val="002D536E"/>
    <w:rsid w:val="002E4A11"/>
    <w:rsid w:val="002E5D50"/>
    <w:rsid w:val="002F231B"/>
    <w:rsid w:val="002F2AB9"/>
    <w:rsid w:val="002F66AF"/>
    <w:rsid w:val="00305D87"/>
    <w:rsid w:val="0031732F"/>
    <w:rsid w:val="003204E1"/>
    <w:rsid w:val="00320930"/>
    <w:rsid w:val="00320CB7"/>
    <w:rsid w:val="0032262F"/>
    <w:rsid w:val="00330A3F"/>
    <w:rsid w:val="00332FCF"/>
    <w:rsid w:val="00333B14"/>
    <w:rsid w:val="00341D37"/>
    <w:rsid w:val="00342361"/>
    <w:rsid w:val="003440D5"/>
    <w:rsid w:val="003547BC"/>
    <w:rsid w:val="00357B18"/>
    <w:rsid w:val="00361C17"/>
    <w:rsid w:val="003628F6"/>
    <w:rsid w:val="00362CF8"/>
    <w:rsid w:val="003674A7"/>
    <w:rsid w:val="00372288"/>
    <w:rsid w:val="00377E64"/>
    <w:rsid w:val="00380568"/>
    <w:rsid w:val="003827DE"/>
    <w:rsid w:val="003969B6"/>
    <w:rsid w:val="003A7868"/>
    <w:rsid w:val="003B17D4"/>
    <w:rsid w:val="003B2743"/>
    <w:rsid w:val="003B356E"/>
    <w:rsid w:val="003B6DC9"/>
    <w:rsid w:val="003C5ED2"/>
    <w:rsid w:val="003D5541"/>
    <w:rsid w:val="003D643F"/>
    <w:rsid w:val="003D6C30"/>
    <w:rsid w:val="003E1266"/>
    <w:rsid w:val="003E3542"/>
    <w:rsid w:val="003E603F"/>
    <w:rsid w:val="003E7456"/>
    <w:rsid w:val="003F073B"/>
    <w:rsid w:val="003F2EA4"/>
    <w:rsid w:val="003F3AF8"/>
    <w:rsid w:val="00403C12"/>
    <w:rsid w:val="00410B35"/>
    <w:rsid w:val="00411065"/>
    <w:rsid w:val="00420A4E"/>
    <w:rsid w:val="004302A6"/>
    <w:rsid w:val="00443227"/>
    <w:rsid w:val="0044460D"/>
    <w:rsid w:val="004554E5"/>
    <w:rsid w:val="00455CC8"/>
    <w:rsid w:val="0046728C"/>
    <w:rsid w:val="00475519"/>
    <w:rsid w:val="0048386D"/>
    <w:rsid w:val="00483C15"/>
    <w:rsid w:val="004911D2"/>
    <w:rsid w:val="00493241"/>
    <w:rsid w:val="0049667E"/>
    <w:rsid w:val="004969E7"/>
    <w:rsid w:val="004A3241"/>
    <w:rsid w:val="004A6B7E"/>
    <w:rsid w:val="004B6B4F"/>
    <w:rsid w:val="004B7C0F"/>
    <w:rsid w:val="004C3766"/>
    <w:rsid w:val="004C3AAB"/>
    <w:rsid w:val="004C44BA"/>
    <w:rsid w:val="004C52CF"/>
    <w:rsid w:val="004D12F0"/>
    <w:rsid w:val="004D552B"/>
    <w:rsid w:val="004E4879"/>
    <w:rsid w:val="004E679A"/>
    <w:rsid w:val="004F39CC"/>
    <w:rsid w:val="005107FF"/>
    <w:rsid w:val="0051596D"/>
    <w:rsid w:val="00516D42"/>
    <w:rsid w:val="00522B5C"/>
    <w:rsid w:val="0052584F"/>
    <w:rsid w:val="00526DAD"/>
    <w:rsid w:val="00527770"/>
    <w:rsid w:val="0054045E"/>
    <w:rsid w:val="005442FF"/>
    <w:rsid w:val="00544E74"/>
    <w:rsid w:val="00545CA1"/>
    <w:rsid w:val="00545DB8"/>
    <w:rsid w:val="00547D49"/>
    <w:rsid w:val="0055634D"/>
    <w:rsid w:val="005707B3"/>
    <w:rsid w:val="0057469C"/>
    <w:rsid w:val="0057730C"/>
    <w:rsid w:val="00577F46"/>
    <w:rsid w:val="00586A63"/>
    <w:rsid w:val="005929BD"/>
    <w:rsid w:val="00592B2A"/>
    <w:rsid w:val="005A0A63"/>
    <w:rsid w:val="005A1B0C"/>
    <w:rsid w:val="005B02B3"/>
    <w:rsid w:val="005B2782"/>
    <w:rsid w:val="005B68F0"/>
    <w:rsid w:val="005C582A"/>
    <w:rsid w:val="005D0A14"/>
    <w:rsid w:val="005D3D19"/>
    <w:rsid w:val="005E0523"/>
    <w:rsid w:val="005E4663"/>
    <w:rsid w:val="005F1F8E"/>
    <w:rsid w:val="005F51D3"/>
    <w:rsid w:val="006013BA"/>
    <w:rsid w:val="00601DE9"/>
    <w:rsid w:val="00605D26"/>
    <w:rsid w:val="00614022"/>
    <w:rsid w:val="0061417A"/>
    <w:rsid w:val="00621869"/>
    <w:rsid w:val="006273B5"/>
    <w:rsid w:val="006403B3"/>
    <w:rsid w:val="00640F30"/>
    <w:rsid w:val="0064365C"/>
    <w:rsid w:val="00645CFB"/>
    <w:rsid w:val="0065324A"/>
    <w:rsid w:val="0065460A"/>
    <w:rsid w:val="00656699"/>
    <w:rsid w:val="00674D88"/>
    <w:rsid w:val="00675243"/>
    <w:rsid w:val="00675722"/>
    <w:rsid w:val="00676D56"/>
    <w:rsid w:val="00676FA4"/>
    <w:rsid w:val="0068754F"/>
    <w:rsid w:val="00696B65"/>
    <w:rsid w:val="00697745"/>
    <w:rsid w:val="006A24A3"/>
    <w:rsid w:val="006A3E2E"/>
    <w:rsid w:val="006A3F86"/>
    <w:rsid w:val="006B0E4D"/>
    <w:rsid w:val="006B4D5F"/>
    <w:rsid w:val="006B6F37"/>
    <w:rsid w:val="006C05D2"/>
    <w:rsid w:val="006C1FA5"/>
    <w:rsid w:val="006C75F8"/>
    <w:rsid w:val="006D2D37"/>
    <w:rsid w:val="006D58B3"/>
    <w:rsid w:val="006D594C"/>
    <w:rsid w:val="006D6D5C"/>
    <w:rsid w:val="006E67A8"/>
    <w:rsid w:val="006F2859"/>
    <w:rsid w:val="006F35D5"/>
    <w:rsid w:val="0070293F"/>
    <w:rsid w:val="007035B5"/>
    <w:rsid w:val="00707D88"/>
    <w:rsid w:val="007201F3"/>
    <w:rsid w:val="0072297B"/>
    <w:rsid w:val="00722C80"/>
    <w:rsid w:val="0072391E"/>
    <w:rsid w:val="00731BB6"/>
    <w:rsid w:val="0073242E"/>
    <w:rsid w:val="00734FEF"/>
    <w:rsid w:val="007372BA"/>
    <w:rsid w:val="00740ADF"/>
    <w:rsid w:val="00744AFA"/>
    <w:rsid w:val="0075448C"/>
    <w:rsid w:val="00756D65"/>
    <w:rsid w:val="00764992"/>
    <w:rsid w:val="00767DEF"/>
    <w:rsid w:val="007738F9"/>
    <w:rsid w:val="007755EA"/>
    <w:rsid w:val="00775D9A"/>
    <w:rsid w:val="00776359"/>
    <w:rsid w:val="00777D02"/>
    <w:rsid w:val="007803FF"/>
    <w:rsid w:val="00783CA1"/>
    <w:rsid w:val="00786604"/>
    <w:rsid w:val="00787171"/>
    <w:rsid w:val="00792EEE"/>
    <w:rsid w:val="007A39BD"/>
    <w:rsid w:val="007A73AC"/>
    <w:rsid w:val="007B2B8E"/>
    <w:rsid w:val="007B7E99"/>
    <w:rsid w:val="007C0494"/>
    <w:rsid w:val="007C7360"/>
    <w:rsid w:val="007D4BCA"/>
    <w:rsid w:val="007E327E"/>
    <w:rsid w:val="007E7EDE"/>
    <w:rsid w:val="007F00B4"/>
    <w:rsid w:val="007F15B1"/>
    <w:rsid w:val="007F18C9"/>
    <w:rsid w:val="007F35BB"/>
    <w:rsid w:val="007F4AF8"/>
    <w:rsid w:val="00803D5F"/>
    <w:rsid w:val="00805276"/>
    <w:rsid w:val="008057DC"/>
    <w:rsid w:val="00805CBF"/>
    <w:rsid w:val="0081045D"/>
    <w:rsid w:val="0081145E"/>
    <w:rsid w:val="00812864"/>
    <w:rsid w:val="00813046"/>
    <w:rsid w:val="0081633A"/>
    <w:rsid w:val="00820B4B"/>
    <w:rsid w:val="00823B42"/>
    <w:rsid w:val="00826010"/>
    <w:rsid w:val="00826A15"/>
    <w:rsid w:val="00833C0D"/>
    <w:rsid w:val="0083719C"/>
    <w:rsid w:val="00843A11"/>
    <w:rsid w:val="008442A9"/>
    <w:rsid w:val="008531A6"/>
    <w:rsid w:val="00855315"/>
    <w:rsid w:val="00856C57"/>
    <w:rsid w:val="00864197"/>
    <w:rsid w:val="00865AE0"/>
    <w:rsid w:val="00877357"/>
    <w:rsid w:val="00885519"/>
    <w:rsid w:val="00886C9E"/>
    <w:rsid w:val="0089034B"/>
    <w:rsid w:val="008941AB"/>
    <w:rsid w:val="00897399"/>
    <w:rsid w:val="008A2625"/>
    <w:rsid w:val="008A3035"/>
    <w:rsid w:val="008B0382"/>
    <w:rsid w:val="008B1122"/>
    <w:rsid w:val="008B122F"/>
    <w:rsid w:val="008B1634"/>
    <w:rsid w:val="008B2023"/>
    <w:rsid w:val="008B2CA5"/>
    <w:rsid w:val="008B4EAC"/>
    <w:rsid w:val="008B67FA"/>
    <w:rsid w:val="008C284D"/>
    <w:rsid w:val="008D198F"/>
    <w:rsid w:val="008E1373"/>
    <w:rsid w:val="008F1706"/>
    <w:rsid w:val="008F609F"/>
    <w:rsid w:val="008F7D6F"/>
    <w:rsid w:val="00905836"/>
    <w:rsid w:val="009125AD"/>
    <w:rsid w:val="00912D14"/>
    <w:rsid w:val="00913BB9"/>
    <w:rsid w:val="0091576D"/>
    <w:rsid w:val="009162AC"/>
    <w:rsid w:val="00935CEE"/>
    <w:rsid w:val="0093615E"/>
    <w:rsid w:val="00940003"/>
    <w:rsid w:val="0094092B"/>
    <w:rsid w:val="00942BBE"/>
    <w:rsid w:val="009439BE"/>
    <w:rsid w:val="00954BD4"/>
    <w:rsid w:val="009601FD"/>
    <w:rsid w:val="009756F3"/>
    <w:rsid w:val="00980F94"/>
    <w:rsid w:val="00983539"/>
    <w:rsid w:val="00983795"/>
    <w:rsid w:val="009878AC"/>
    <w:rsid w:val="009A2D33"/>
    <w:rsid w:val="009A520D"/>
    <w:rsid w:val="009A7C5A"/>
    <w:rsid w:val="009B1009"/>
    <w:rsid w:val="009B49C8"/>
    <w:rsid w:val="009C05AE"/>
    <w:rsid w:val="009C0D59"/>
    <w:rsid w:val="009C1EEC"/>
    <w:rsid w:val="009C2F70"/>
    <w:rsid w:val="009C4CFF"/>
    <w:rsid w:val="009C7220"/>
    <w:rsid w:val="009D64B0"/>
    <w:rsid w:val="009D6F77"/>
    <w:rsid w:val="009D7548"/>
    <w:rsid w:val="009D7CA0"/>
    <w:rsid w:val="009E417B"/>
    <w:rsid w:val="009E4449"/>
    <w:rsid w:val="009E64C0"/>
    <w:rsid w:val="009F39BC"/>
    <w:rsid w:val="009F3C3A"/>
    <w:rsid w:val="009F5EA3"/>
    <w:rsid w:val="00A02CD7"/>
    <w:rsid w:val="00A0562B"/>
    <w:rsid w:val="00A07C30"/>
    <w:rsid w:val="00A116AC"/>
    <w:rsid w:val="00A11EE8"/>
    <w:rsid w:val="00A25720"/>
    <w:rsid w:val="00A31BD5"/>
    <w:rsid w:val="00A32605"/>
    <w:rsid w:val="00A3533E"/>
    <w:rsid w:val="00A43B3A"/>
    <w:rsid w:val="00A47832"/>
    <w:rsid w:val="00A55C29"/>
    <w:rsid w:val="00A62FC4"/>
    <w:rsid w:val="00A633D5"/>
    <w:rsid w:val="00A634CD"/>
    <w:rsid w:val="00A70074"/>
    <w:rsid w:val="00A71BCB"/>
    <w:rsid w:val="00A73A58"/>
    <w:rsid w:val="00A772AA"/>
    <w:rsid w:val="00A91461"/>
    <w:rsid w:val="00A92717"/>
    <w:rsid w:val="00AA31C9"/>
    <w:rsid w:val="00AB13F3"/>
    <w:rsid w:val="00AB6B6E"/>
    <w:rsid w:val="00AC2116"/>
    <w:rsid w:val="00AC249D"/>
    <w:rsid w:val="00AD0D91"/>
    <w:rsid w:val="00AD1F2F"/>
    <w:rsid w:val="00AD40A8"/>
    <w:rsid w:val="00AD6B3B"/>
    <w:rsid w:val="00AD6B65"/>
    <w:rsid w:val="00AE10E2"/>
    <w:rsid w:val="00AE1F4B"/>
    <w:rsid w:val="00AF4C74"/>
    <w:rsid w:val="00B01B3E"/>
    <w:rsid w:val="00B0459C"/>
    <w:rsid w:val="00B04DFF"/>
    <w:rsid w:val="00B05F37"/>
    <w:rsid w:val="00B1663C"/>
    <w:rsid w:val="00B23E1C"/>
    <w:rsid w:val="00B3339E"/>
    <w:rsid w:val="00B34543"/>
    <w:rsid w:val="00B37E54"/>
    <w:rsid w:val="00B4257E"/>
    <w:rsid w:val="00B52675"/>
    <w:rsid w:val="00B55522"/>
    <w:rsid w:val="00B65A74"/>
    <w:rsid w:val="00B751A7"/>
    <w:rsid w:val="00B76400"/>
    <w:rsid w:val="00B83827"/>
    <w:rsid w:val="00B92EF8"/>
    <w:rsid w:val="00B97D25"/>
    <w:rsid w:val="00BA09E3"/>
    <w:rsid w:val="00BA295A"/>
    <w:rsid w:val="00BA2B62"/>
    <w:rsid w:val="00BA2F0B"/>
    <w:rsid w:val="00BA65C5"/>
    <w:rsid w:val="00BA7AE2"/>
    <w:rsid w:val="00BB03BD"/>
    <w:rsid w:val="00BB4139"/>
    <w:rsid w:val="00BB7157"/>
    <w:rsid w:val="00BC0CAF"/>
    <w:rsid w:val="00BC2013"/>
    <w:rsid w:val="00BC21BD"/>
    <w:rsid w:val="00BF17D6"/>
    <w:rsid w:val="00C046FD"/>
    <w:rsid w:val="00C074FC"/>
    <w:rsid w:val="00C10BE4"/>
    <w:rsid w:val="00C16DF2"/>
    <w:rsid w:val="00C210E9"/>
    <w:rsid w:val="00C2526A"/>
    <w:rsid w:val="00C30D01"/>
    <w:rsid w:val="00C33DE4"/>
    <w:rsid w:val="00C34A64"/>
    <w:rsid w:val="00C42D37"/>
    <w:rsid w:val="00C5163A"/>
    <w:rsid w:val="00C5390C"/>
    <w:rsid w:val="00C647D4"/>
    <w:rsid w:val="00C6502E"/>
    <w:rsid w:val="00C77A38"/>
    <w:rsid w:val="00C802A8"/>
    <w:rsid w:val="00C8281E"/>
    <w:rsid w:val="00C83883"/>
    <w:rsid w:val="00C95E82"/>
    <w:rsid w:val="00CA3023"/>
    <w:rsid w:val="00CB6601"/>
    <w:rsid w:val="00CB6DD5"/>
    <w:rsid w:val="00CC1C78"/>
    <w:rsid w:val="00CC2810"/>
    <w:rsid w:val="00CC2937"/>
    <w:rsid w:val="00CC525D"/>
    <w:rsid w:val="00CC6FD2"/>
    <w:rsid w:val="00CD5C92"/>
    <w:rsid w:val="00CD7AA0"/>
    <w:rsid w:val="00CE43EC"/>
    <w:rsid w:val="00CF4DDF"/>
    <w:rsid w:val="00CF4F50"/>
    <w:rsid w:val="00CF696A"/>
    <w:rsid w:val="00D11093"/>
    <w:rsid w:val="00D13E5B"/>
    <w:rsid w:val="00D16578"/>
    <w:rsid w:val="00D20EB6"/>
    <w:rsid w:val="00D24E48"/>
    <w:rsid w:val="00D276FC"/>
    <w:rsid w:val="00D36B57"/>
    <w:rsid w:val="00D41FA8"/>
    <w:rsid w:val="00D4612A"/>
    <w:rsid w:val="00D4683F"/>
    <w:rsid w:val="00D50402"/>
    <w:rsid w:val="00D5321E"/>
    <w:rsid w:val="00D541BC"/>
    <w:rsid w:val="00D553CA"/>
    <w:rsid w:val="00D62091"/>
    <w:rsid w:val="00D648DF"/>
    <w:rsid w:val="00D6610A"/>
    <w:rsid w:val="00D6662C"/>
    <w:rsid w:val="00D85CCF"/>
    <w:rsid w:val="00D86CBC"/>
    <w:rsid w:val="00D92796"/>
    <w:rsid w:val="00D94B57"/>
    <w:rsid w:val="00DA116A"/>
    <w:rsid w:val="00DA4EB8"/>
    <w:rsid w:val="00DA5521"/>
    <w:rsid w:val="00DA7336"/>
    <w:rsid w:val="00DB228A"/>
    <w:rsid w:val="00DB304B"/>
    <w:rsid w:val="00DC64EB"/>
    <w:rsid w:val="00DC751E"/>
    <w:rsid w:val="00DD676E"/>
    <w:rsid w:val="00DD7DF7"/>
    <w:rsid w:val="00DE013D"/>
    <w:rsid w:val="00DE6102"/>
    <w:rsid w:val="00E105C4"/>
    <w:rsid w:val="00E10F8B"/>
    <w:rsid w:val="00E12F3A"/>
    <w:rsid w:val="00E20B7B"/>
    <w:rsid w:val="00E217E0"/>
    <w:rsid w:val="00E27159"/>
    <w:rsid w:val="00E32960"/>
    <w:rsid w:val="00E33A51"/>
    <w:rsid w:val="00E34AF0"/>
    <w:rsid w:val="00E41958"/>
    <w:rsid w:val="00E500AF"/>
    <w:rsid w:val="00E61E21"/>
    <w:rsid w:val="00E61EFE"/>
    <w:rsid w:val="00E63A8C"/>
    <w:rsid w:val="00E63DA9"/>
    <w:rsid w:val="00E64044"/>
    <w:rsid w:val="00E64E94"/>
    <w:rsid w:val="00E67C79"/>
    <w:rsid w:val="00E71546"/>
    <w:rsid w:val="00E86EF5"/>
    <w:rsid w:val="00E873BD"/>
    <w:rsid w:val="00E94C5C"/>
    <w:rsid w:val="00EA177A"/>
    <w:rsid w:val="00EA191B"/>
    <w:rsid w:val="00EA7330"/>
    <w:rsid w:val="00EC1860"/>
    <w:rsid w:val="00EC5DCC"/>
    <w:rsid w:val="00EE0241"/>
    <w:rsid w:val="00EE0EE0"/>
    <w:rsid w:val="00EE1210"/>
    <w:rsid w:val="00EE1D78"/>
    <w:rsid w:val="00EF03B5"/>
    <w:rsid w:val="00EF2F65"/>
    <w:rsid w:val="00EF498E"/>
    <w:rsid w:val="00EF5673"/>
    <w:rsid w:val="00EF5CD3"/>
    <w:rsid w:val="00EF78E9"/>
    <w:rsid w:val="00EF7D2B"/>
    <w:rsid w:val="00F023CB"/>
    <w:rsid w:val="00F05144"/>
    <w:rsid w:val="00F06DC9"/>
    <w:rsid w:val="00F1015B"/>
    <w:rsid w:val="00F12305"/>
    <w:rsid w:val="00F23262"/>
    <w:rsid w:val="00F3050A"/>
    <w:rsid w:val="00F3119E"/>
    <w:rsid w:val="00F333D1"/>
    <w:rsid w:val="00F349CF"/>
    <w:rsid w:val="00F3599F"/>
    <w:rsid w:val="00F35B2D"/>
    <w:rsid w:val="00F438CB"/>
    <w:rsid w:val="00F54C1C"/>
    <w:rsid w:val="00F5554B"/>
    <w:rsid w:val="00F609A7"/>
    <w:rsid w:val="00F75AFD"/>
    <w:rsid w:val="00F75DB5"/>
    <w:rsid w:val="00F75FE6"/>
    <w:rsid w:val="00F80CB1"/>
    <w:rsid w:val="00F84042"/>
    <w:rsid w:val="00F9177D"/>
    <w:rsid w:val="00F95EDF"/>
    <w:rsid w:val="00F971FC"/>
    <w:rsid w:val="00F97E67"/>
    <w:rsid w:val="00FA621C"/>
    <w:rsid w:val="00FA7634"/>
    <w:rsid w:val="00FB74BB"/>
    <w:rsid w:val="00FB7A66"/>
    <w:rsid w:val="00FD7A81"/>
    <w:rsid w:val="00FE4439"/>
    <w:rsid w:val="00FE4B7A"/>
    <w:rsid w:val="00FF03B5"/>
    <w:rsid w:val="00FF10F2"/>
    <w:rsid w:val="00FF1D5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367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0CB"/>
    <w:rPr>
      <w:color w:val="0000FF" w:themeColor="hyperlink"/>
      <w:u w:val="single"/>
    </w:rPr>
  </w:style>
  <w:style w:type="paragraph" w:styleId="BalloonText">
    <w:name w:val="Balloon Text"/>
    <w:basedOn w:val="Normal"/>
    <w:link w:val="BalloonTextChar"/>
    <w:uiPriority w:val="99"/>
    <w:semiHidden/>
    <w:unhideWhenUsed/>
    <w:rsid w:val="002A3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0CB"/>
    <w:rPr>
      <w:rFonts w:ascii="Lucida Grande" w:hAnsi="Lucida Grande" w:cs="Lucida Grande"/>
      <w:sz w:val="18"/>
      <w:szCs w:val="18"/>
      <w:lang w:val="en-GB"/>
    </w:rPr>
  </w:style>
  <w:style w:type="paragraph" w:styleId="Footer">
    <w:name w:val="footer"/>
    <w:basedOn w:val="Normal"/>
    <w:link w:val="FooterChar"/>
    <w:uiPriority w:val="99"/>
    <w:unhideWhenUsed/>
    <w:rsid w:val="00AD0D91"/>
    <w:pPr>
      <w:tabs>
        <w:tab w:val="center" w:pos="4419"/>
        <w:tab w:val="right" w:pos="8838"/>
      </w:tabs>
    </w:pPr>
  </w:style>
  <w:style w:type="character" w:customStyle="1" w:styleId="FooterChar">
    <w:name w:val="Footer Char"/>
    <w:basedOn w:val="DefaultParagraphFont"/>
    <w:link w:val="Footer"/>
    <w:uiPriority w:val="99"/>
    <w:rsid w:val="00AD0D91"/>
    <w:rPr>
      <w:lang w:val="en-GB"/>
    </w:rPr>
  </w:style>
  <w:style w:type="character" w:styleId="PageNumber">
    <w:name w:val="page number"/>
    <w:basedOn w:val="DefaultParagraphFont"/>
    <w:uiPriority w:val="99"/>
    <w:semiHidden/>
    <w:unhideWhenUsed/>
    <w:rsid w:val="00AD0D91"/>
  </w:style>
  <w:style w:type="paragraph" w:styleId="ListParagraph">
    <w:name w:val="List Paragraph"/>
    <w:basedOn w:val="Normal"/>
    <w:uiPriority w:val="34"/>
    <w:qFormat/>
    <w:rsid w:val="00913BB9"/>
    <w:pPr>
      <w:spacing w:after="200" w:line="276" w:lineRule="auto"/>
      <w:ind w:left="720"/>
      <w:contextualSpacing/>
    </w:pPr>
    <w:rPr>
      <w:rFonts w:eastAsiaTheme="minorHAnsi"/>
      <w:sz w:val="22"/>
      <w:szCs w:val="22"/>
      <w:lang w:eastAsia="en-US"/>
    </w:rPr>
  </w:style>
  <w:style w:type="table" w:styleId="TableGrid">
    <w:name w:val="Table Grid"/>
    <w:basedOn w:val="TableNormal"/>
    <w:uiPriority w:val="59"/>
    <w:rsid w:val="00722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4C5C"/>
    <w:pPr>
      <w:tabs>
        <w:tab w:val="center" w:pos="4419"/>
        <w:tab w:val="right" w:pos="8838"/>
      </w:tabs>
    </w:pPr>
  </w:style>
  <w:style w:type="character" w:customStyle="1" w:styleId="HeaderChar">
    <w:name w:val="Header Char"/>
    <w:basedOn w:val="DefaultParagraphFont"/>
    <w:link w:val="Header"/>
    <w:uiPriority w:val="99"/>
    <w:rsid w:val="00E94C5C"/>
    <w:rPr>
      <w:lang w:val="en-GB"/>
    </w:rPr>
  </w:style>
  <w:style w:type="character" w:styleId="CommentReference">
    <w:name w:val="annotation reference"/>
    <w:basedOn w:val="DefaultParagraphFont"/>
    <w:uiPriority w:val="99"/>
    <w:semiHidden/>
    <w:unhideWhenUsed/>
    <w:rsid w:val="00FE4B7A"/>
    <w:rPr>
      <w:sz w:val="18"/>
      <w:szCs w:val="18"/>
    </w:rPr>
  </w:style>
  <w:style w:type="paragraph" w:styleId="CommentText">
    <w:name w:val="annotation text"/>
    <w:basedOn w:val="Normal"/>
    <w:link w:val="CommentTextChar"/>
    <w:uiPriority w:val="99"/>
    <w:semiHidden/>
    <w:unhideWhenUsed/>
    <w:rsid w:val="00FE4B7A"/>
  </w:style>
  <w:style w:type="character" w:customStyle="1" w:styleId="CommentTextChar">
    <w:name w:val="Comment Text Char"/>
    <w:basedOn w:val="DefaultParagraphFont"/>
    <w:link w:val="CommentText"/>
    <w:uiPriority w:val="99"/>
    <w:semiHidden/>
    <w:rsid w:val="00FE4B7A"/>
    <w:rPr>
      <w:lang w:val="en-GB"/>
    </w:rPr>
  </w:style>
  <w:style w:type="paragraph" w:styleId="CommentSubject">
    <w:name w:val="annotation subject"/>
    <w:basedOn w:val="CommentText"/>
    <w:next w:val="CommentText"/>
    <w:link w:val="CommentSubjectChar"/>
    <w:uiPriority w:val="99"/>
    <w:semiHidden/>
    <w:unhideWhenUsed/>
    <w:rsid w:val="00FE4B7A"/>
    <w:rPr>
      <w:b/>
      <w:bCs/>
      <w:sz w:val="20"/>
      <w:szCs w:val="20"/>
    </w:rPr>
  </w:style>
  <w:style w:type="character" w:customStyle="1" w:styleId="CommentSubjectChar">
    <w:name w:val="Comment Subject Char"/>
    <w:basedOn w:val="CommentTextChar"/>
    <w:link w:val="CommentSubject"/>
    <w:uiPriority w:val="99"/>
    <w:semiHidden/>
    <w:rsid w:val="00FE4B7A"/>
    <w:rPr>
      <w:b/>
      <w:bCs/>
      <w:sz w:val="20"/>
      <w:szCs w:val="20"/>
      <w:lang w:val="en-GB"/>
    </w:rPr>
  </w:style>
  <w:style w:type="paragraph" w:styleId="Revision">
    <w:name w:val="Revision"/>
    <w:hidden/>
    <w:uiPriority w:val="99"/>
    <w:semiHidden/>
    <w:rsid w:val="00380568"/>
    <w:rPr>
      <w:lang w:val="en-GB"/>
    </w:rPr>
  </w:style>
  <w:style w:type="character" w:styleId="LineNumber">
    <w:name w:val="line number"/>
    <w:basedOn w:val="DefaultParagraphFont"/>
    <w:uiPriority w:val="99"/>
    <w:semiHidden/>
    <w:unhideWhenUsed/>
    <w:rsid w:val="00110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William.Hope@liverpool.ac.uk"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22379</Words>
  <Characters>127565</Characters>
  <Application>Microsoft Macintosh Word</Application>
  <DocSecurity>0</DocSecurity>
  <Lines>1063</Lines>
  <Paragraphs>299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Ramos Martin</dc:creator>
  <cp:keywords/>
  <dc:description/>
  <cp:lastModifiedBy>Hope, William</cp:lastModifiedBy>
  <cp:revision>2</cp:revision>
  <dcterms:created xsi:type="dcterms:W3CDTF">2017-10-04T08:24:00Z</dcterms:created>
  <dcterms:modified xsi:type="dcterms:W3CDTF">2017-10-04T08:24:00Z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http://www.zotero.org/styles/journal-of-antimicrobial-chemotherapy</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http://www.zotero.org/styles/antimicrobial-agents-and-chemotherapy</vt:lpwstr>
  </property>
  <property fmtid="{D5CDD505-2E9C-101B-9397-08002B2CF9AE}" pid="9" name="Mendeley Recent Style Name 2_1">
    <vt:lpwstr>Antimicrobial Agents and Chemotherapy</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http://www.zotero.org/styles/current-opinion-in-pharmacology</vt:lpwstr>
  </property>
  <property fmtid="{D5CDD505-2E9C-101B-9397-08002B2CF9AE}" pid="13" name="Mendeley Recent Style Name 4_1">
    <vt:lpwstr>Current Opinion in Pharmacology</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http://www.zotero.org/styles/intensive-care-medicine</vt:lpwstr>
  </property>
  <property fmtid="{D5CDD505-2E9C-101B-9397-08002B2CF9AE}" pid="19" name="Mendeley Recent Style Name 7_1">
    <vt:lpwstr>Intensive Care Medicine</vt:lpwstr>
  </property>
  <property fmtid="{D5CDD505-2E9C-101B-9397-08002B2CF9AE}" pid="20" name="Mendeley Recent Style Id 8_1">
    <vt:lpwstr>http://www.zotero.org/styles/international-journal-of-antimicrobial-agents</vt:lpwstr>
  </property>
  <property fmtid="{D5CDD505-2E9C-101B-9397-08002B2CF9AE}" pid="21" name="Mendeley Recent Style Name 8_1">
    <vt:lpwstr>International Journal of Antimicrobial Agents</vt:lpwstr>
  </property>
  <property fmtid="{D5CDD505-2E9C-101B-9397-08002B2CF9AE}" pid="22" name="Mendeley Recent Style Id 9_1">
    <vt:lpwstr>http://www.zotero.org/styles/journal-of-antimicrobial-chemotherapy</vt:lpwstr>
  </property>
  <property fmtid="{D5CDD505-2E9C-101B-9397-08002B2CF9AE}" pid="23" name="Mendeley Recent Style Name 9_1">
    <vt:lpwstr>Journal of Antimicrobial Chemotherapy</vt:lpwstr>
  </property>
  <property fmtid="{D5CDD505-2E9C-101B-9397-08002B2CF9AE}" pid="24" name="Mendeley Unique User Id_1">
    <vt:lpwstr>24fccfcf-4244-32d8-a610-f9fbea6dc76c</vt:lpwstr>
  </property>
</Properties>
</file>