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F4" w:rsidRPr="007667DC" w:rsidRDefault="00D4404C" w:rsidP="00F84F78">
      <w:pPr>
        <w:spacing w:line="480" w:lineRule="auto"/>
        <w:contextualSpacing/>
        <w:rPr>
          <w:sz w:val="28"/>
          <w:vertAlign w:val="superscript"/>
        </w:rPr>
      </w:pPr>
      <w:r w:rsidRPr="007667DC">
        <w:rPr>
          <w:b/>
          <w:bCs/>
          <w:sz w:val="28"/>
        </w:rPr>
        <w:t xml:space="preserve">Full Title- </w:t>
      </w:r>
      <w:r w:rsidR="00BF002B" w:rsidRPr="007667DC">
        <w:rPr>
          <w:b/>
          <w:bCs/>
          <w:sz w:val="28"/>
        </w:rPr>
        <w:t>Neonatal and Maternal Outcomes of S</w:t>
      </w:r>
      <w:r w:rsidR="00DC55F4" w:rsidRPr="007667DC">
        <w:rPr>
          <w:b/>
          <w:bCs/>
          <w:sz w:val="28"/>
        </w:rPr>
        <w:t xml:space="preserve">uccessful Manual </w:t>
      </w:r>
      <w:r w:rsidR="00BF002B" w:rsidRPr="007667DC">
        <w:rPr>
          <w:b/>
          <w:bCs/>
          <w:sz w:val="28"/>
        </w:rPr>
        <w:t>Rotation to C</w:t>
      </w:r>
      <w:r w:rsidR="006007A0" w:rsidRPr="007667DC">
        <w:rPr>
          <w:b/>
          <w:bCs/>
          <w:sz w:val="28"/>
        </w:rPr>
        <w:t>orrec</w:t>
      </w:r>
      <w:r w:rsidR="00BF002B" w:rsidRPr="007667DC">
        <w:rPr>
          <w:b/>
          <w:bCs/>
          <w:sz w:val="28"/>
        </w:rPr>
        <w:t>t Malposition of the Fetal H</w:t>
      </w:r>
      <w:r w:rsidR="00DC55F4" w:rsidRPr="007667DC">
        <w:rPr>
          <w:b/>
          <w:bCs/>
          <w:sz w:val="28"/>
        </w:rPr>
        <w:t>ead</w:t>
      </w:r>
      <w:r w:rsidR="00DC55F4" w:rsidRPr="007667DC">
        <w:rPr>
          <w:sz w:val="28"/>
        </w:rPr>
        <w:t xml:space="preserve">; </w:t>
      </w:r>
      <w:r w:rsidR="00A60854" w:rsidRPr="007667DC">
        <w:rPr>
          <w:sz w:val="28"/>
        </w:rPr>
        <w:t>A</w:t>
      </w:r>
      <w:r w:rsidRPr="007667DC">
        <w:rPr>
          <w:sz w:val="28"/>
        </w:rPr>
        <w:t xml:space="preserve"> R</w:t>
      </w:r>
      <w:r w:rsidR="00B53515" w:rsidRPr="007667DC">
        <w:rPr>
          <w:sz w:val="28"/>
        </w:rPr>
        <w:t xml:space="preserve">etrospective </w:t>
      </w:r>
      <w:r w:rsidR="00A60854" w:rsidRPr="007667DC">
        <w:rPr>
          <w:sz w:val="28"/>
        </w:rPr>
        <w:t xml:space="preserve">and </w:t>
      </w:r>
      <w:r w:rsidRPr="007667DC">
        <w:rPr>
          <w:sz w:val="28"/>
        </w:rPr>
        <w:t>P</w:t>
      </w:r>
      <w:r w:rsidR="00B53515" w:rsidRPr="007667DC">
        <w:rPr>
          <w:sz w:val="28"/>
        </w:rPr>
        <w:t xml:space="preserve">rospective </w:t>
      </w:r>
      <w:r w:rsidRPr="007667DC">
        <w:rPr>
          <w:sz w:val="28"/>
        </w:rPr>
        <w:t>Observational S</w:t>
      </w:r>
      <w:r w:rsidR="00A60854" w:rsidRPr="007667DC">
        <w:rPr>
          <w:sz w:val="28"/>
        </w:rPr>
        <w:t>tudy.</w:t>
      </w:r>
      <w:r w:rsidR="00B53515" w:rsidRPr="007667DC">
        <w:rPr>
          <w:sz w:val="28"/>
        </w:rPr>
        <w:t xml:space="preserve"> </w:t>
      </w:r>
    </w:p>
    <w:p w:rsidR="00D4404C" w:rsidRDefault="00D4404C">
      <w:pPr>
        <w:spacing w:line="480" w:lineRule="auto"/>
        <w:contextualSpacing/>
        <w:rPr>
          <w:i/>
          <w:iCs/>
        </w:rPr>
      </w:pPr>
      <w:r w:rsidRPr="003C4C12">
        <w:rPr>
          <w:b/>
          <w:iCs/>
        </w:rPr>
        <w:t>Short Title-</w:t>
      </w:r>
      <w:r w:rsidRPr="00967C33">
        <w:rPr>
          <w:iCs/>
        </w:rPr>
        <w:t xml:space="preserve"> </w:t>
      </w:r>
      <w:r w:rsidR="00171BD3" w:rsidRPr="00171BD3">
        <w:rPr>
          <w:iCs/>
        </w:rPr>
        <w:t xml:space="preserve">Instrumental delivery with </w:t>
      </w:r>
      <w:r w:rsidRPr="00967C33">
        <w:t>Manual rotation to Correct</w:t>
      </w:r>
      <w:r>
        <w:t xml:space="preserve"> Fetal</w:t>
      </w:r>
      <w:r w:rsidRPr="00451069">
        <w:t xml:space="preserve"> </w:t>
      </w:r>
      <w:r>
        <w:t>Malposition.</w:t>
      </w:r>
    </w:p>
    <w:p w:rsidR="003C4C12" w:rsidRDefault="003C4C12">
      <w:pPr>
        <w:spacing w:line="480" w:lineRule="auto"/>
        <w:contextualSpacing/>
        <w:rPr>
          <w:i/>
          <w:iCs/>
        </w:rPr>
      </w:pPr>
    </w:p>
    <w:p w:rsidR="00DC55F4" w:rsidRPr="00451069" w:rsidRDefault="00DC55F4">
      <w:pPr>
        <w:spacing w:line="480" w:lineRule="auto"/>
        <w:contextualSpacing/>
        <w:rPr>
          <w:i/>
          <w:vertAlign w:val="superscript"/>
        </w:rPr>
      </w:pPr>
      <w:r w:rsidRPr="00451069">
        <w:rPr>
          <w:i/>
          <w:iCs/>
        </w:rPr>
        <w:t xml:space="preserve">Nicola </w:t>
      </w:r>
      <w:r w:rsidR="007D028A">
        <w:rPr>
          <w:i/>
          <w:iCs/>
        </w:rPr>
        <w:t xml:space="preserve">TEMPEST </w:t>
      </w:r>
      <w:r w:rsidR="00EE3B09" w:rsidRPr="00451069">
        <w:rPr>
          <w:i/>
          <w:iCs/>
        </w:rPr>
        <w:t>MRCOG</w:t>
      </w:r>
      <w:r w:rsidRPr="00451069">
        <w:rPr>
          <w:i/>
          <w:iCs/>
          <w:vertAlign w:val="superscript"/>
        </w:rPr>
        <w:t>1,2</w:t>
      </w:r>
      <w:r w:rsidRPr="00451069">
        <w:rPr>
          <w:i/>
          <w:iCs/>
        </w:rPr>
        <w:t xml:space="preserve">, Naomi </w:t>
      </w:r>
      <w:r w:rsidR="007D028A">
        <w:rPr>
          <w:i/>
          <w:iCs/>
        </w:rPr>
        <w:t xml:space="preserve">MCGUINNESS </w:t>
      </w:r>
      <w:r w:rsidR="00EE3B09" w:rsidRPr="00451069">
        <w:rPr>
          <w:i/>
          <w:iCs/>
        </w:rPr>
        <w:t>MRCOG</w:t>
      </w:r>
      <w:r w:rsidRPr="00451069">
        <w:rPr>
          <w:i/>
          <w:iCs/>
          <w:vertAlign w:val="superscript"/>
        </w:rPr>
        <w:t>1</w:t>
      </w:r>
      <w:r w:rsidR="00EE3B09" w:rsidRPr="00451069">
        <w:rPr>
          <w:i/>
          <w:iCs/>
        </w:rPr>
        <w:t xml:space="preserve">, </w:t>
      </w:r>
      <w:r w:rsidRPr="00451069">
        <w:rPr>
          <w:i/>
          <w:iCs/>
        </w:rPr>
        <w:t xml:space="preserve">Steven </w:t>
      </w:r>
      <w:r w:rsidR="007D028A">
        <w:rPr>
          <w:i/>
          <w:iCs/>
        </w:rPr>
        <w:t>LANE</w:t>
      </w:r>
      <w:r w:rsidR="00F84315" w:rsidRPr="00451069">
        <w:rPr>
          <w:i/>
          <w:iCs/>
        </w:rPr>
        <w:t xml:space="preserve"> PhD</w:t>
      </w:r>
      <w:r w:rsidRPr="00451069">
        <w:rPr>
          <w:i/>
          <w:iCs/>
          <w:vertAlign w:val="superscript"/>
        </w:rPr>
        <w:t>3</w:t>
      </w:r>
      <w:r w:rsidRPr="00451069">
        <w:rPr>
          <w:i/>
          <w:iCs/>
        </w:rPr>
        <w:t>, Dharani K</w:t>
      </w:r>
      <w:r w:rsidR="00A22885">
        <w:rPr>
          <w:i/>
          <w:iCs/>
        </w:rPr>
        <w:t>.</w:t>
      </w:r>
      <w:r w:rsidRPr="00451069">
        <w:rPr>
          <w:i/>
          <w:iCs/>
        </w:rPr>
        <w:t xml:space="preserve"> </w:t>
      </w:r>
      <w:r w:rsidR="007D028A">
        <w:rPr>
          <w:i/>
          <w:iCs/>
        </w:rPr>
        <w:t>HAPANGAMA</w:t>
      </w:r>
      <w:r w:rsidR="00EE3B09" w:rsidRPr="00451069">
        <w:rPr>
          <w:i/>
          <w:iCs/>
        </w:rPr>
        <w:t xml:space="preserve"> MD</w:t>
      </w:r>
      <w:r w:rsidRPr="00451069">
        <w:rPr>
          <w:i/>
          <w:iCs/>
          <w:vertAlign w:val="superscript"/>
        </w:rPr>
        <w:t>1,2</w:t>
      </w:r>
    </w:p>
    <w:p w:rsidR="00DC55F4" w:rsidRPr="00451069" w:rsidRDefault="00DC55F4">
      <w:pPr>
        <w:spacing w:line="480" w:lineRule="auto"/>
        <w:contextualSpacing/>
        <w:rPr>
          <w:vertAlign w:val="superscript"/>
        </w:rPr>
      </w:pPr>
      <w:r w:rsidRPr="00451069">
        <w:rPr>
          <w:vertAlign w:val="superscript"/>
        </w:rPr>
        <w:t>1</w:t>
      </w:r>
      <w:r w:rsidRPr="00451069">
        <w:t>Liverpool Women’s Hospital NHS Foundation Trust, Liverpool, UK</w:t>
      </w:r>
    </w:p>
    <w:p w:rsidR="00DC55F4" w:rsidRPr="00451069" w:rsidRDefault="00DC55F4">
      <w:pPr>
        <w:spacing w:line="480" w:lineRule="auto"/>
        <w:contextualSpacing/>
      </w:pPr>
      <w:r w:rsidRPr="00451069">
        <w:rPr>
          <w:vertAlign w:val="superscript"/>
        </w:rPr>
        <w:t>2</w:t>
      </w:r>
      <w:r w:rsidRPr="00451069">
        <w:t>Department of Women’s and Children’s Health, Institute of Translational Medicine, University of Liverpool, Liverpool, UK</w:t>
      </w:r>
    </w:p>
    <w:p w:rsidR="00DC55F4" w:rsidRPr="00451069" w:rsidRDefault="00DC55F4">
      <w:pPr>
        <w:spacing w:line="480" w:lineRule="auto"/>
        <w:contextualSpacing/>
        <w:rPr>
          <w:i/>
          <w:iCs/>
        </w:rPr>
      </w:pPr>
      <w:r w:rsidRPr="00451069">
        <w:rPr>
          <w:vertAlign w:val="superscript"/>
        </w:rPr>
        <w:t>3</w:t>
      </w:r>
      <w:r w:rsidRPr="00451069">
        <w:t>Department of Biostatistics, Institute of Translational Medicine, University of Liverpool, UK</w:t>
      </w:r>
    </w:p>
    <w:p w:rsidR="003C4C12" w:rsidRDefault="003C4C12">
      <w:pPr>
        <w:spacing w:line="480" w:lineRule="auto"/>
        <w:contextualSpacing/>
        <w:rPr>
          <w:b/>
          <w:iCs/>
        </w:rPr>
      </w:pPr>
    </w:p>
    <w:p w:rsidR="00A22885" w:rsidRPr="00451069" w:rsidRDefault="00A22885">
      <w:pPr>
        <w:spacing w:line="480" w:lineRule="auto"/>
        <w:contextualSpacing/>
        <w:rPr>
          <w:i/>
          <w:iCs/>
        </w:rPr>
      </w:pPr>
      <w:r w:rsidRPr="009D1159">
        <w:rPr>
          <w:b/>
          <w:iCs/>
        </w:rPr>
        <w:t>Corresponding author:</w:t>
      </w:r>
      <w:r w:rsidRPr="00451069">
        <w:rPr>
          <w:i/>
          <w:iCs/>
        </w:rPr>
        <w:t xml:space="preserve"> D</w:t>
      </w:r>
      <w:r w:rsidR="009D1159">
        <w:rPr>
          <w:i/>
          <w:iCs/>
        </w:rPr>
        <w:t xml:space="preserve">harani </w:t>
      </w:r>
      <w:r w:rsidRPr="00451069">
        <w:rPr>
          <w:i/>
          <w:iCs/>
        </w:rPr>
        <w:t>K</w:t>
      </w:r>
      <w:r w:rsidR="009D1159">
        <w:rPr>
          <w:i/>
          <w:iCs/>
        </w:rPr>
        <w:t>.</w:t>
      </w:r>
      <w:r w:rsidRPr="00451069">
        <w:rPr>
          <w:i/>
          <w:iCs/>
        </w:rPr>
        <w:t xml:space="preserve"> </w:t>
      </w:r>
      <w:r w:rsidR="009D1159">
        <w:rPr>
          <w:i/>
          <w:iCs/>
        </w:rPr>
        <w:t>HAPANGAMA</w:t>
      </w:r>
      <w:r w:rsidRPr="00451069">
        <w:rPr>
          <w:i/>
          <w:iCs/>
        </w:rPr>
        <w:t xml:space="preserve">, </w:t>
      </w:r>
    </w:p>
    <w:p w:rsidR="00A22885" w:rsidRPr="00451069" w:rsidRDefault="00A22885">
      <w:pPr>
        <w:spacing w:line="480" w:lineRule="auto"/>
        <w:contextualSpacing/>
      </w:pPr>
      <w:r w:rsidRPr="00451069">
        <w:rPr>
          <w:i/>
          <w:iCs/>
        </w:rPr>
        <w:t xml:space="preserve">Address; </w:t>
      </w:r>
      <w:r w:rsidRPr="00451069">
        <w:t>Department of Women's and Children's Health, Institute of Translational Medicine</w:t>
      </w:r>
    </w:p>
    <w:p w:rsidR="00A22885" w:rsidRPr="00451069" w:rsidRDefault="00A22885">
      <w:pPr>
        <w:spacing w:line="480" w:lineRule="auto"/>
        <w:contextualSpacing/>
      </w:pPr>
      <w:r w:rsidRPr="00451069">
        <w:t>University Department, Liverpool Women's Hospital</w:t>
      </w:r>
    </w:p>
    <w:p w:rsidR="00A22885" w:rsidRPr="00451069" w:rsidRDefault="00A22885">
      <w:pPr>
        <w:spacing w:line="480" w:lineRule="auto"/>
        <w:contextualSpacing/>
      </w:pPr>
      <w:r w:rsidRPr="00451069">
        <w:t>Crown Street, Liverpool, L8 7SS, UK</w:t>
      </w:r>
    </w:p>
    <w:p w:rsidR="00A22885" w:rsidRPr="00451069" w:rsidRDefault="00A22885">
      <w:pPr>
        <w:spacing w:line="480" w:lineRule="auto"/>
        <w:contextualSpacing/>
        <w:rPr>
          <w:lang w:val="fr-FR"/>
        </w:rPr>
      </w:pPr>
      <w:r w:rsidRPr="00451069">
        <w:t> </w:t>
      </w:r>
      <w:r w:rsidRPr="00451069">
        <w:rPr>
          <w:lang w:val="fr-FR"/>
        </w:rPr>
        <w:t xml:space="preserve">T +44 151 795 9559   </w:t>
      </w:r>
      <w:r w:rsidRPr="00451069">
        <w:rPr>
          <w:i/>
          <w:iCs/>
          <w:lang w:val="fr-FR"/>
        </w:rPr>
        <w:t xml:space="preserve">e-mail: </w:t>
      </w:r>
      <w:hyperlink r:id="rId9" w:history="1">
        <w:r w:rsidRPr="00451069">
          <w:rPr>
            <w:rStyle w:val="Hyperlink"/>
            <w:i/>
            <w:iCs/>
            <w:lang w:val="fr-FR"/>
          </w:rPr>
          <w:t>dharani@liv.ac.uk</w:t>
        </w:r>
      </w:hyperlink>
    </w:p>
    <w:p w:rsidR="007667DC" w:rsidRDefault="007667DC">
      <w:pPr>
        <w:spacing w:line="480" w:lineRule="auto"/>
        <w:contextualSpacing/>
      </w:pPr>
    </w:p>
    <w:p w:rsidR="00DC55F4" w:rsidRPr="00451069" w:rsidRDefault="00DC55F4">
      <w:pPr>
        <w:spacing w:line="480" w:lineRule="auto"/>
        <w:contextualSpacing/>
      </w:pPr>
      <w:r w:rsidRPr="00451069">
        <w:t xml:space="preserve">Abstract </w:t>
      </w:r>
      <w:r w:rsidR="00400F71">
        <w:t>245</w:t>
      </w:r>
      <w:r w:rsidR="00400F71" w:rsidRPr="00451069">
        <w:t xml:space="preserve"> </w:t>
      </w:r>
      <w:r w:rsidRPr="00451069">
        <w:t xml:space="preserve">words, Text </w:t>
      </w:r>
      <w:r w:rsidR="007D7EDA">
        <w:t>3</w:t>
      </w:r>
      <w:r w:rsidR="00C42C94">
        <w:t>617</w:t>
      </w:r>
      <w:r w:rsidRPr="00451069">
        <w:t xml:space="preserve"> words, </w:t>
      </w:r>
      <w:r w:rsidR="000166FB" w:rsidRPr="00451069">
        <w:t>2</w:t>
      </w:r>
      <w:r w:rsidR="00BB58E9">
        <w:t>0</w:t>
      </w:r>
      <w:r w:rsidR="0011187B" w:rsidRPr="00451069">
        <w:t xml:space="preserve"> references, </w:t>
      </w:r>
      <w:r w:rsidR="00D535AE">
        <w:t>2</w:t>
      </w:r>
      <w:r w:rsidRPr="00451069">
        <w:t xml:space="preserve"> tables</w:t>
      </w:r>
      <w:r w:rsidR="00BB58E9">
        <w:t xml:space="preserve">, </w:t>
      </w:r>
      <w:r w:rsidR="00D535AE">
        <w:t>2</w:t>
      </w:r>
      <w:r w:rsidR="00BB58E9">
        <w:t xml:space="preserve"> figure</w:t>
      </w:r>
    </w:p>
    <w:p w:rsidR="0052547D" w:rsidRPr="00451069" w:rsidRDefault="0052547D" w:rsidP="00F84F78">
      <w:pPr>
        <w:pStyle w:val="NoSpacing"/>
        <w:spacing w:line="480" w:lineRule="auto"/>
        <w:contextualSpacing/>
        <w:rPr>
          <w:b/>
        </w:rPr>
      </w:pPr>
    </w:p>
    <w:p w:rsidR="00BA2424" w:rsidRDefault="00BA2424" w:rsidP="00451746">
      <w:pPr>
        <w:spacing w:line="480" w:lineRule="auto"/>
      </w:pPr>
    </w:p>
    <w:p w:rsidR="00BF654B" w:rsidRPr="00B4284E" w:rsidRDefault="00175F1C" w:rsidP="00F84F78">
      <w:pPr>
        <w:spacing w:after="200" w:line="480" w:lineRule="auto"/>
        <w:contextualSpacing/>
        <w:rPr>
          <w:b/>
          <w:lang w:eastAsia="en-US"/>
        </w:rPr>
      </w:pPr>
      <w:r w:rsidRPr="00451069">
        <w:rPr>
          <w:b/>
        </w:rPr>
        <w:br w:type="page"/>
      </w:r>
    </w:p>
    <w:p w:rsidR="004C356D" w:rsidRPr="00634229" w:rsidRDefault="004D3EF4" w:rsidP="000E6A38">
      <w:pPr>
        <w:pStyle w:val="Heading1"/>
        <w:rPr>
          <w:sz w:val="36"/>
        </w:rPr>
      </w:pPr>
      <w:r w:rsidRPr="00634229">
        <w:rPr>
          <w:sz w:val="36"/>
        </w:rPr>
        <w:lastRenderedPageBreak/>
        <w:t>Abstract</w:t>
      </w:r>
    </w:p>
    <w:p w:rsidR="005C3FE4" w:rsidRDefault="004D3EF4">
      <w:pPr>
        <w:pStyle w:val="NoSpacing"/>
        <w:spacing w:line="480" w:lineRule="auto"/>
        <w:contextualSpacing/>
        <w:rPr>
          <w:b/>
          <w:iCs/>
          <w:sz w:val="32"/>
        </w:rPr>
      </w:pPr>
      <w:r w:rsidRPr="005C3FE4">
        <w:rPr>
          <w:b/>
          <w:iCs/>
          <w:sz w:val="32"/>
        </w:rPr>
        <w:t>Objective</w:t>
      </w:r>
    </w:p>
    <w:p w:rsidR="001C31A3" w:rsidRPr="001822F1" w:rsidRDefault="0057756C" w:rsidP="00E75CCF">
      <w:pPr>
        <w:pStyle w:val="NoSpacing"/>
        <w:spacing w:line="480" w:lineRule="auto"/>
        <w:contextualSpacing/>
      </w:pPr>
      <w:r w:rsidRPr="001822F1">
        <w:t xml:space="preserve">To </w:t>
      </w:r>
      <w:r w:rsidR="009F0430" w:rsidRPr="001822F1">
        <w:t>evaluate</w:t>
      </w:r>
      <w:r w:rsidR="009F0430" w:rsidRPr="001822F1" w:rsidDel="009F0430">
        <w:t xml:space="preserve"> </w:t>
      </w:r>
      <w:r w:rsidRPr="001822F1">
        <w:t xml:space="preserve">the </w:t>
      </w:r>
      <w:r w:rsidR="007C17E3" w:rsidRPr="001822F1">
        <w:t>neonatal</w:t>
      </w:r>
      <w:r w:rsidR="001C31A3" w:rsidRPr="001822F1">
        <w:t xml:space="preserve"> and </w:t>
      </w:r>
      <w:r w:rsidR="007C17E3" w:rsidRPr="001822F1">
        <w:t>maternal</w:t>
      </w:r>
      <w:r w:rsidR="001C31A3" w:rsidRPr="001822F1">
        <w:t xml:space="preserve"> </w:t>
      </w:r>
      <w:r w:rsidR="003A1E16" w:rsidRPr="001822F1">
        <w:t>outcome</w:t>
      </w:r>
      <w:r w:rsidR="00DC4F70" w:rsidRPr="001822F1">
        <w:t>s</w:t>
      </w:r>
      <w:r w:rsidR="009F0430" w:rsidRPr="001822F1">
        <w:t xml:space="preserve"> </w:t>
      </w:r>
      <w:r w:rsidR="00802F57" w:rsidRPr="001822F1">
        <w:t>associated with</w:t>
      </w:r>
      <w:r w:rsidRPr="001822F1">
        <w:t xml:space="preserve"> </w:t>
      </w:r>
      <w:r w:rsidR="003A1E16" w:rsidRPr="001822F1">
        <w:t xml:space="preserve">successful operative vaginal </w:t>
      </w:r>
      <w:r w:rsidR="005B0C08" w:rsidRPr="001822F1">
        <w:t>births</w:t>
      </w:r>
      <w:r w:rsidR="002B2B28" w:rsidRPr="001822F1">
        <w:t xml:space="preserve"> </w:t>
      </w:r>
      <w:r w:rsidR="007772F6" w:rsidRPr="001822F1">
        <w:t>assisted</w:t>
      </w:r>
      <w:r w:rsidR="00DC4F70" w:rsidRPr="001822F1">
        <w:t xml:space="preserve"> by</w:t>
      </w:r>
      <w:r w:rsidR="0096229C" w:rsidRPr="001822F1">
        <w:t xml:space="preserve"> manual rotation</w:t>
      </w:r>
      <w:r w:rsidR="00774E9B" w:rsidRPr="001822F1">
        <w:t>.</w:t>
      </w:r>
      <w:r w:rsidR="00A5786F" w:rsidRPr="001822F1">
        <w:tab/>
      </w:r>
    </w:p>
    <w:p w:rsidR="005C3FE4" w:rsidRPr="005C3FE4" w:rsidRDefault="004E3406">
      <w:pPr>
        <w:spacing w:line="480" w:lineRule="auto"/>
        <w:contextualSpacing/>
        <w:rPr>
          <w:b/>
          <w:iCs/>
          <w:sz w:val="32"/>
        </w:rPr>
      </w:pPr>
      <w:r w:rsidRPr="005C3FE4">
        <w:rPr>
          <w:b/>
          <w:iCs/>
          <w:sz w:val="32"/>
        </w:rPr>
        <w:t>D</w:t>
      </w:r>
      <w:r w:rsidR="000733AC" w:rsidRPr="005C3FE4">
        <w:rPr>
          <w:b/>
          <w:iCs/>
          <w:sz w:val="32"/>
        </w:rPr>
        <w:t>esign</w:t>
      </w:r>
    </w:p>
    <w:p w:rsidR="00F066D0" w:rsidRPr="001822F1" w:rsidRDefault="00F066D0" w:rsidP="00E75CCF">
      <w:pPr>
        <w:spacing w:line="480" w:lineRule="auto"/>
        <w:contextualSpacing/>
        <w:rPr>
          <w:iCs/>
        </w:rPr>
      </w:pPr>
      <w:r w:rsidRPr="001822F1">
        <w:rPr>
          <w:iCs/>
        </w:rPr>
        <w:t>Prospective and retrospective observational study.</w:t>
      </w:r>
    </w:p>
    <w:p w:rsidR="005C3FE4" w:rsidRDefault="005C3FE4">
      <w:pPr>
        <w:spacing w:line="480" w:lineRule="auto"/>
        <w:contextualSpacing/>
        <w:rPr>
          <w:sz w:val="32"/>
        </w:rPr>
      </w:pPr>
      <w:r>
        <w:rPr>
          <w:b/>
          <w:sz w:val="32"/>
        </w:rPr>
        <w:t>Setting</w:t>
      </w:r>
      <w:r w:rsidR="00191266" w:rsidRPr="005C3FE4">
        <w:rPr>
          <w:sz w:val="32"/>
        </w:rPr>
        <w:t xml:space="preserve"> </w:t>
      </w:r>
    </w:p>
    <w:p w:rsidR="00191266" w:rsidRPr="001822F1" w:rsidRDefault="00191266" w:rsidP="00E75CCF">
      <w:pPr>
        <w:spacing w:line="480" w:lineRule="auto"/>
        <w:contextualSpacing/>
      </w:pPr>
      <w:r w:rsidRPr="001822F1">
        <w:t>Delivery suite in a tertiary referral teaching hospital</w:t>
      </w:r>
      <w:r w:rsidR="00732403" w:rsidRPr="001822F1">
        <w:t xml:space="preserve"> in England</w:t>
      </w:r>
      <w:r w:rsidRPr="001822F1">
        <w:t xml:space="preserve">. </w:t>
      </w:r>
    </w:p>
    <w:p w:rsidR="005C3FE4" w:rsidRDefault="005C3FE4" w:rsidP="0060391A">
      <w:pPr>
        <w:spacing w:line="480" w:lineRule="auto"/>
        <w:contextualSpacing/>
      </w:pPr>
      <w:r>
        <w:rPr>
          <w:b/>
          <w:sz w:val="32"/>
        </w:rPr>
        <w:t>Population</w:t>
      </w:r>
      <w:r w:rsidR="00273FC3" w:rsidRPr="005C3FE4">
        <w:rPr>
          <w:b/>
          <w:sz w:val="32"/>
        </w:rPr>
        <w:t xml:space="preserve"> </w:t>
      </w:r>
    </w:p>
    <w:p w:rsidR="0060391A" w:rsidRPr="001822F1" w:rsidRDefault="00AF278B" w:rsidP="00E75CCF">
      <w:pPr>
        <w:spacing w:line="480" w:lineRule="auto"/>
        <w:contextualSpacing/>
      </w:pPr>
      <w:r w:rsidRPr="001822F1">
        <w:t xml:space="preserve">A cohort of </w:t>
      </w:r>
      <w:r w:rsidR="00D01310" w:rsidRPr="001822F1">
        <w:t xml:space="preserve">2,426 </w:t>
      </w:r>
      <w:r w:rsidR="00D53A24" w:rsidRPr="001822F1">
        <w:t xml:space="preserve">consecutive </w:t>
      </w:r>
      <w:r w:rsidR="003A1E16" w:rsidRPr="001822F1">
        <w:t>operative births</w:t>
      </w:r>
      <w:r w:rsidR="0009632B" w:rsidRPr="001822F1">
        <w:t>,</w:t>
      </w:r>
      <w:r w:rsidR="00FF5F2A" w:rsidRPr="001822F1">
        <w:t xml:space="preserve"> </w:t>
      </w:r>
      <w:r w:rsidR="007B30E7" w:rsidRPr="001822F1">
        <w:t xml:space="preserve">in the second stage of labour, </w:t>
      </w:r>
      <w:r w:rsidR="00FF5F2A" w:rsidRPr="001822F1">
        <w:t>complicated with malposition of the fetal head</w:t>
      </w:r>
      <w:r w:rsidR="00D01310" w:rsidRPr="001822F1">
        <w:t xml:space="preserve"> </w:t>
      </w:r>
      <w:r w:rsidR="007B30E7" w:rsidRPr="001822F1">
        <w:t xml:space="preserve">during </w:t>
      </w:r>
      <w:r w:rsidRPr="001822F1">
        <w:t>2006-2013</w:t>
      </w:r>
      <w:r w:rsidR="004D4D90" w:rsidRPr="001822F1">
        <w:t>.</w:t>
      </w:r>
      <w:r w:rsidR="00BA078B" w:rsidRPr="001822F1">
        <w:t xml:space="preserve"> </w:t>
      </w:r>
    </w:p>
    <w:p w:rsidR="005C3FE4" w:rsidRDefault="005C3FE4" w:rsidP="0060391A">
      <w:pPr>
        <w:spacing w:line="480" w:lineRule="auto"/>
        <w:contextualSpacing/>
      </w:pPr>
      <w:r>
        <w:rPr>
          <w:b/>
          <w:sz w:val="32"/>
        </w:rPr>
        <w:t>Methods</w:t>
      </w:r>
      <w:r w:rsidR="00AF278B" w:rsidRPr="005C3FE4">
        <w:rPr>
          <w:sz w:val="32"/>
        </w:rPr>
        <w:t xml:space="preserve"> </w:t>
      </w:r>
    </w:p>
    <w:p w:rsidR="00AF278B" w:rsidRPr="001822F1" w:rsidRDefault="007B30E7" w:rsidP="00E75CCF">
      <w:pPr>
        <w:spacing w:line="480" w:lineRule="auto"/>
        <w:contextualSpacing/>
      </w:pPr>
      <w:r w:rsidRPr="001822F1">
        <w:t>O</w:t>
      </w:r>
      <w:r w:rsidR="00AF278B" w:rsidRPr="001822F1">
        <w:t xml:space="preserve">utcomes of all births </w:t>
      </w:r>
      <w:r w:rsidRPr="001822F1">
        <w:t xml:space="preserve">successfully </w:t>
      </w:r>
      <w:r w:rsidR="00AF278B" w:rsidRPr="001822F1">
        <w:t xml:space="preserve">assisted by </w:t>
      </w:r>
      <w:r w:rsidR="00C2134D">
        <w:t xml:space="preserve">manual rotation followed by </w:t>
      </w:r>
      <w:r w:rsidR="00171BD3">
        <w:t xml:space="preserve">direct traction instruments </w:t>
      </w:r>
      <w:r w:rsidR="00AF278B" w:rsidRPr="001822F1">
        <w:t xml:space="preserve">were compared with other methods of operative birth for </w:t>
      </w:r>
      <w:r w:rsidR="00171BD3">
        <w:t xml:space="preserve">fetal </w:t>
      </w:r>
      <w:r w:rsidR="00AF278B" w:rsidRPr="001822F1">
        <w:t>malposition in the second stage of labour (rotational ventouse, Kielland forceps and caesarean section).</w:t>
      </w:r>
    </w:p>
    <w:p w:rsidR="005C3FE4" w:rsidRDefault="005C3FE4" w:rsidP="00881101">
      <w:pPr>
        <w:spacing w:line="480" w:lineRule="auto"/>
        <w:contextualSpacing/>
        <w:rPr>
          <w:b/>
          <w:sz w:val="32"/>
        </w:rPr>
      </w:pPr>
      <w:r>
        <w:rPr>
          <w:b/>
          <w:sz w:val="32"/>
        </w:rPr>
        <w:t>Main outcome measures</w:t>
      </w:r>
    </w:p>
    <w:p w:rsidR="004D4D90" w:rsidRPr="001822F1" w:rsidRDefault="007B30E7" w:rsidP="00E75CCF">
      <w:pPr>
        <w:spacing w:line="480" w:lineRule="auto"/>
        <w:contextualSpacing/>
      </w:pPr>
      <w:r w:rsidRPr="001822F1">
        <w:t xml:space="preserve">Associated neonatal </w:t>
      </w:r>
      <w:r w:rsidR="004D4D90" w:rsidRPr="001822F1">
        <w:t xml:space="preserve">outcomes </w:t>
      </w:r>
      <w:r w:rsidRPr="001822F1">
        <w:t>(</w:t>
      </w:r>
      <w:r w:rsidR="004D4D90" w:rsidRPr="001822F1">
        <w:t>admission to the special care baby unit, low cord pH, low Apgar and shoulder dystocia</w:t>
      </w:r>
      <w:r w:rsidRPr="001822F1">
        <w:t>) and</w:t>
      </w:r>
      <w:r w:rsidR="0020175E" w:rsidRPr="001822F1">
        <w:t xml:space="preserve"> </w:t>
      </w:r>
      <w:r w:rsidRPr="001822F1">
        <w:t>m</w:t>
      </w:r>
      <w:r w:rsidR="004D4D90" w:rsidRPr="001822F1">
        <w:t>aternal ou</w:t>
      </w:r>
      <w:r w:rsidR="00FA163B" w:rsidRPr="001822F1">
        <w:t>t</w:t>
      </w:r>
      <w:r w:rsidR="004D4D90" w:rsidRPr="001822F1">
        <w:t xml:space="preserve">comes </w:t>
      </w:r>
      <w:r w:rsidRPr="001822F1">
        <w:t>(</w:t>
      </w:r>
      <w:r w:rsidR="004D4D90" w:rsidRPr="001822F1">
        <w:t>massive obstetric haemorrhage (blood loss of &gt;1500ml</w:t>
      </w:r>
      <w:r w:rsidR="0020175E" w:rsidRPr="001822F1">
        <w:t>)</w:t>
      </w:r>
      <w:r w:rsidR="004D4D90" w:rsidRPr="001822F1">
        <w:t xml:space="preserve"> and obstetric anal sphincter injury</w:t>
      </w:r>
      <w:r w:rsidRPr="001822F1">
        <w:t>)</w:t>
      </w:r>
      <w:r w:rsidR="004D4D90" w:rsidRPr="001822F1">
        <w:t>.</w:t>
      </w:r>
    </w:p>
    <w:p w:rsidR="005C3FE4" w:rsidRDefault="005C3FE4">
      <w:pPr>
        <w:spacing w:line="480" w:lineRule="auto"/>
        <w:contextualSpacing/>
      </w:pPr>
      <w:r>
        <w:rPr>
          <w:b/>
          <w:iCs/>
          <w:sz w:val="32"/>
        </w:rPr>
        <w:t>Results</w:t>
      </w:r>
      <w:r w:rsidR="00680711" w:rsidRPr="005C3FE4">
        <w:rPr>
          <w:sz w:val="32"/>
        </w:rPr>
        <w:t xml:space="preserve"> </w:t>
      </w:r>
    </w:p>
    <w:p w:rsidR="0060391A" w:rsidRPr="001822F1" w:rsidRDefault="0003646E" w:rsidP="00E75CCF">
      <w:pPr>
        <w:spacing w:line="480" w:lineRule="auto"/>
        <w:contextualSpacing/>
      </w:pPr>
      <w:r w:rsidRPr="001822F1">
        <w:t xml:space="preserve">Births </w:t>
      </w:r>
      <w:r w:rsidR="00497B16" w:rsidRPr="001822F1">
        <w:t xml:space="preserve">successfully </w:t>
      </w:r>
      <w:r w:rsidRPr="001822F1">
        <w:t xml:space="preserve">assisted with </w:t>
      </w:r>
      <w:r w:rsidR="00C2134D">
        <w:t xml:space="preserve">manual rotation followed by </w:t>
      </w:r>
      <w:r w:rsidR="00171BD3">
        <w:t>direct traction instruments</w:t>
      </w:r>
      <w:r w:rsidRPr="001822F1">
        <w:t xml:space="preserve">, resulted in 10% (36/346) of the babies being admitted to the Special Care Baby Unit, 4.9% </w:t>
      </w:r>
      <w:r w:rsidRPr="001822F1">
        <w:lastRenderedPageBreak/>
        <w:t xml:space="preserve">(17/349) shoulder dystocia, 2% (7/349) massive obstetric haemorrhage and 1.7% (6/349) </w:t>
      </w:r>
      <w:r w:rsidR="00820426" w:rsidRPr="001822F1">
        <w:t xml:space="preserve">obstetric </w:t>
      </w:r>
      <w:r w:rsidR="007C6778" w:rsidRPr="001822F1">
        <w:t xml:space="preserve">anal </w:t>
      </w:r>
      <w:r w:rsidRPr="001822F1">
        <w:t xml:space="preserve">sphincter </w:t>
      </w:r>
      <w:r w:rsidR="00820426" w:rsidRPr="001822F1">
        <w:t>injury</w:t>
      </w:r>
      <w:r w:rsidR="00EC3AEE" w:rsidRPr="001822F1">
        <w:t>,</w:t>
      </w:r>
      <w:r w:rsidRPr="001822F1">
        <w:t xml:space="preserve"> similar to other methods of rotational births. </w:t>
      </w:r>
    </w:p>
    <w:p w:rsidR="00E75CCF" w:rsidRDefault="00E75CCF">
      <w:pPr>
        <w:spacing w:line="480" w:lineRule="auto"/>
        <w:contextualSpacing/>
        <w:rPr>
          <w:b/>
          <w:iCs/>
          <w:sz w:val="32"/>
        </w:rPr>
      </w:pPr>
      <w:r>
        <w:rPr>
          <w:b/>
          <w:iCs/>
          <w:sz w:val="32"/>
        </w:rPr>
        <w:t>Conclusions</w:t>
      </w:r>
    </w:p>
    <w:p w:rsidR="00D53A24" w:rsidRPr="001822F1" w:rsidRDefault="003E67CF">
      <w:pPr>
        <w:spacing w:line="480" w:lineRule="auto"/>
        <w:contextualSpacing/>
      </w:pPr>
      <w:r w:rsidRPr="001822F1">
        <w:t xml:space="preserve">Adverse </w:t>
      </w:r>
      <w:r w:rsidR="0020175E" w:rsidRPr="001822F1">
        <w:t>neonatal and maternal</w:t>
      </w:r>
      <w:r w:rsidR="00802F57" w:rsidRPr="001822F1">
        <w:t xml:space="preserve"> outcome</w:t>
      </w:r>
      <w:r w:rsidR="0020175E" w:rsidRPr="001822F1">
        <w:t>s</w:t>
      </w:r>
      <w:r w:rsidR="00802F57" w:rsidRPr="001822F1">
        <w:t xml:space="preserve"> associated with </w:t>
      </w:r>
      <w:r w:rsidR="005132F1" w:rsidRPr="001822F1">
        <w:t xml:space="preserve">successful </w:t>
      </w:r>
      <w:r w:rsidR="00C2134D" w:rsidRPr="001822F1">
        <w:t xml:space="preserve">manual rotations </w:t>
      </w:r>
      <w:r w:rsidR="00C2134D">
        <w:t xml:space="preserve">followed by </w:t>
      </w:r>
      <w:r w:rsidR="00171BD3">
        <w:t xml:space="preserve">direct traction instruments </w:t>
      </w:r>
      <w:r w:rsidR="00A1065D" w:rsidRPr="001822F1">
        <w:t xml:space="preserve">were comparable to traditional methods of </w:t>
      </w:r>
      <w:r w:rsidR="003A1E16" w:rsidRPr="001822F1">
        <w:t>operative births</w:t>
      </w:r>
      <w:r w:rsidR="00A1065D" w:rsidRPr="001822F1">
        <w:t>. There</w:t>
      </w:r>
      <w:r w:rsidR="00D53A24" w:rsidRPr="001822F1">
        <w:t xml:space="preserve"> </w:t>
      </w:r>
      <w:r w:rsidR="00A1065D" w:rsidRPr="001822F1">
        <w:t xml:space="preserve">is an </w:t>
      </w:r>
      <w:r w:rsidR="00D53A24" w:rsidRPr="001822F1">
        <w:t>urgent need to standardise the practi</w:t>
      </w:r>
      <w:r w:rsidR="009808F7" w:rsidRPr="001822F1">
        <w:t>c</w:t>
      </w:r>
      <w:r w:rsidR="00D53A24" w:rsidRPr="001822F1">
        <w:t>e</w:t>
      </w:r>
      <w:r w:rsidR="00A1065D" w:rsidRPr="001822F1">
        <w:t xml:space="preserve"> (guidance, training)</w:t>
      </w:r>
      <w:r w:rsidR="00D53A24" w:rsidRPr="001822F1">
        <w:t xml:space="preserve"> and documentation</w:t>
      </w:r>
      <w:r w:rsidR="00A1065D" w:rsidRPr="001822F1">
        <w:t xml:space="preserve"> of</w:t>
      </w:r>
      <w:r w:rsidR="00CD1219" w:rsidRPr="001822F1">
        <w:t xml:space="preserve"> </w:t>
      </w:r>
      <w:r w:rsidR="00C2134D">
        <w:t xml:space="preserve">manual rotation followed by direct traction </w:t>
      </w:r>
      <w:r w:rsidR="00171BD3">
        <w:t>instrumental deliveries</w:t>
      </w:r>
      <w:r w:rsidR="00B06701" w:rsidRPr="001822F1">
        <w:t xml:space="preserve"> that will enable assessment of its efficacy</w:t>
      </w:r>
      <w:r w:rsidR="009808F7" w:rsidRPr="001822F1">
        <w:t xml:space="preserve"> and the absolute safety</w:t>
      </w:r>
      <w:r w:rsidR="005132F1" w:rsidRPr="001822F1">
        <w:t xml:space="preserve"> in achieving a vaginal birth</w:t>
      </w:r>
      <w:r w:rsidR="00A1065D" w:rsidRPr="001822F1">
        <w:t xml:space="preserve">. </w:t>
      </w:r>
      <w:r w:rsidR="00D53A24" w:rsidRPr="001822F1">
        <w:t xml:space="preserve"> </w:t>
      </w:r>
    </w:p>
    <w:p w:rsidR="00BA415B" w:rsidRPr="004D4D90" w:rsidRDefault="00197C17">
      <w:pPr>
        <w:tabs>
          <w:tab w:val="left" w:pos="2554"/>
        </w:tabs>
        <w:spacing w:line="480" w:lineRule="auto"/>
        <w:contextualSpacing/>
      </w:pPr>
      <w:r>
        <w:t>2</w:t>
      </w:r>
      <w:r w:rsidR="003D1263">
        <w:t>45</w:t>
      </w:r>
      <w:r w:rsidR="00DA145C">
        <w:t xml:space="preserve"> </w:t>
      </w:r>
      <w:r w:rsidR="001C2BE1">
        <w:t xml:space="preserve"> </w:t>
      </w:r>
      <w:r w:rsidR="00BA415B" w:rsidRPr="004D4D90">
        <w:t>Words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96229C" w:rsidRPr="004D4D90">
        <w:trPr>
          <w:tblCellSpacing w:w="15" w:type="dxa"/>
        </w:trPr>
        <w:tc>
          <w:tcPr>
            <w:tcW w:w="0" w:type="auto"/>
            <w:vAlign w:val="center"/>
            <w:hideMark/>
          </w:tcPr>
          <w:p w:rsidR="0096229C" w:rsidRPr="004D4D90" w:rsidRDefault="0096229C">
            <w:pPr>
              <w:spacing w:line="480" w:lineRule="auto"/>
              <w:contextualSpacing/>
              <w:rPr>
                <w:color w:val="0A0905"/>
              </w:rPr>
            </w:pPr>
          </w:p>
        </w:tc>
        <w:tc>
          <w:tcPr>
            <w:tcW w:w="0" w:type="auto"/>
            <w:vAlign w:val="center"/>
            <w:hideMark/>
          </w:tcPr>
          <w:p w:rsidR="0096229C" w:rsidRPr="004D4D90" w:rsidRDefault="0096229C">
            <w:pPr>
              <w:spacing w:line="480" w:lineRule="auto"/>
              <w:contextualSpacing/>
              <w:rPr>
                <w:color w:val="0A0905"/>
              </w:rPr>
            </w:pPr>
          </w:p>
        </w:tc>
      </w:tr>
      <w:tr w:rsidR="00BA415B" w:rsidRPr="004D4D90">
        <w:trPr>
          <w:tblCellSpacing w:w="15" w:type="dxa"/>
        </w:trPr>
        <w:tc>
          <w:tcPr>
            <w:tcW w:w="0" w:type="auto"/>
            <w:vAlign w:val="center"/>
            <w:hideMark/>
          </w:tcPr>
          <w:p w:rsidR="00BA415B" w:rsidRPr="004D4D90" w:rsidRDefault="00BA415B" w:rsidP="00F84F78">
            <w:pPr>
              <w:spacing w:line="480" w:lineRule="auto"/>
              <w:contextualSpacing/>
            </w:pPr>
          </w:p>
        </w:tc>
        <w:tc>
          <w:tcPr>
            <w:tcW w:w="0" w:type="auto"/>
            <w:vAlign w:val="center"/>
            <w:hideMark/>
          </w:tcPr>
          <w:p w:rsidR="00BA415B" w:rsidRPr="004D4D90" w:rsidRDefault="00BA415B">
            <w:pPr>
              <w:spacing w:line="480" w:lineRule="auto"/>
              <w:contextualSpacing/>
              <w:rPr>
                <w:color w:val="0A0905"/>
              </w:rPr>
            </w:pPr>
          </w:p>
        </w:tc>
      </w:tr>
      <w:tr w:rsidR="00BA2424" w:rsidRPr="004D4D90">
        <w:trPr>
          <w:tblCellSpacing w:w="15" w:type="dxa"/>
        </w:trPr>
        <w:tc>
          <w:tcPr>
            <w:tcW w:w="0" w:type="auto"/>
            <w:vAlign w:val="center"/>
            <w:hideMark/>
          </w:tcPr>
          <w:p w:rsidR="00BA2424" w:rsidRPr="004D4D90" w:rsidRDefault="00BA2424" w:rsidP="00F84F78">
            <w:pPr>
              <w:spacing w:line="480" w:lineRule="auto"/>
              <w:contextualSpacing/>
            </w:pPr>
          </w:p>
          <w:p w:rsidR="00BA2424" w:rsidRPr="004D4D90" w:rsidRDefault="00BA2424" w:rsidP="00F84F78">
            <w:pPr>
              <w:spacing w:line="480" w:lineRule="auto"/>
            </w:pPr>
          </w:p>
        </w:tc>
        <w:tc>
          <w:tcPr>
            <w:tcW w:w="0" w:type="auto"/>
            <w:vAlign w:val="center"/>
            <w:hideMark/>
          </w:tcPr>
          <w:p w:rsidR="00BA2424" w:rsidRPr="004D4D90" w:rsidRDefault="00BA2424" w:rsidP="00F84F78">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abstract"/>
              <w:spacing w:line="480" w:lineRule="auto"/>
              <w:contextualSpacing/>
              <w:rPr>
                <w:color w:val="0A0905"/>
              </w:rPr>
            </w:pPr>
            <w:bookmarkStart w:id="0" w:name="12"/>
            <w:bookmarkEnd w:id="0"/>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abstract"/>
              <w:spacing w:line="480" w:lineRule="auto"/>
              <w:contextualSpacing/>
              <w:rPr>
                <w:color w:val="0A0905"/>
              </w:rPr>
            </w:pPr>
            <w:bookmarkStart w:id="1" w:name="13"/>
            <w:bookmarkEnd w:id="1"/>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abstract"/>
              <w:spacing w:line="480" w:lineRule="auto"/>
              <w:contextualSpacing/>
              <w:rPr>
                <w:color w:val="0A0905"/>
              </w:rPr>
            </w:pPr>
            <w:bookmarkStart w:id="2" w:name="14"/>
            <w:bookmarkEnd w:id="2"/>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abstract"/>
              <w:spacing w:line="480" w:lineRule="auto"/>
              <w:contextualSpacing/>
              <w:rPr>
                <w:color w:val="0A0905"/>
              </w:rPr>
            </w:pPr>
            <w:bookmarkStart w:id="3" w:name="15"/>
            <w:bookmarkEnd w:id="3"/>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abstract"/>
              <w:spacing w:line="480" w:lineRule="auto"/>
              <w:contextualSpacing/>
              <w:rPr>
                <w:color w:val="0A0905"/>
              </w:rPr>
            </w:pPr>
            <w:bookmarkStart w:id="4" w:name="16"/>
            <w:bookmarkEnd w:id="4"/>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spacing w:line="480" w:lineRule="auto"/>
              <w:contextualSpacing/>
              <w:rPr>
                <w:color w:val="0A0905"/>
              </w:rPr>
            </w:pPr>
            <w:bookmarkStart w:id="5" w:name="17"/>
            <w:bookmarkEnd w:id="5"/>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text"/>
              <w:spacing w:line="480" w:lineRule="auto"/>
              <w:contextualSpacing/>
              <w:rPr>
                <w:color w:val="0A0905"/>
              </w:rPr>
            </w:pPr>
            <w:bookmarkStart w:id="6" w:name="18"/>
            <w:bookmarkEnd w:id="6"/>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text"/>
              <w:spacing w:line="480" w:lineRule="auto"/>
              <w:contextualSpacing/>
              <w:rPr>
                <w:color w:val="0A0905"/>
              </w:rPr>
            </w:pPr>
            <w:bookmarkStart w:id="7" w:name="19"/>
            <w:bookmarkEnd w:id="7"/>
          </w:p>
        </w:tc>
        <w:tc>
          <w:tcPr>
            <w:tcW w:w="0" w:type="auto"/>
            <w:vAlign w:val="center"/>
            <w:hideMark/>
          </w:tcPr>
          <w:p w:rsidR="0096229C" w:rsidRPr="004D4D90" w:rsidRDefault="0096229C">
            <w:pPr>
              <w:spacing w:line="480" w:lineRule="auto"/>
              <w:contextualSpacing/>
              <w:rPr>
                <w:color w:val="0A0905"/>
              </w:rPr>
            </w:pPr>
          </w:p>
        </w:tc>
      </w:tr>
      <w:tr w:rsidR="0096229C" w:rsidRPr="004D4D90">
        <w:trPr>
          <w:tblCellSpacing w:w="15" w:type="dxa"/>
        </w:trPr>
        <w:tc>
          <w:tcPr>
            <w:tcW w:w="0" w:type="auto"/>
            <w:vAlign w:val="center"/>
            <w:hideMark/>
          </w:tcPr>
          <w:p w:rsidR="0096229C" w:rsidRPr="004D4D90" w:rsidRDefault="0096229C" w:rsidP="00F84F78">
            <w:pPr>
              <w:pStyle w:val="fulltext-text"/>
              <w:spacing w:line="480" w:lineRule="auto"/>
              <w:contextualSpacing/>
              <w:rPr>
                <w:color w:val="0A0905"/>
              </w:rPr>
            </w:pPr>
            <w:bookmarkStart w:id="8" w:name="20"/>
            <w:bookmarkEnd w:id="8"/>
          </w:p>
        </w:tc>
        <w:tc>
          <w:tcPr>
            <w:tcW w:w="0" w:type="auto"/>
            <w:vAlign w:val="center"/>
            <w:hideMark/>
          </w:tcPr>
          <w:p w:rsidR="0096229C" w:rsidRPr="004D4D90" w:rsidRDefault="0096229C">
            <w:pPr>
              <w:spacing w:line="480" w:lineRule="auto"/>
              <w:contextualSpacing/>
            </w:pPr>
          </w:p>
        </w:tc>
      </w:tr>
    </w:tbl>
    <w:p w:rsidR="00FD6BA1" w:rsidRDefault="00FD6BA1" w:rsidP="000E6A38">
      <w:pPr>
        <w:pStyle w:val="Heading1"/>
        <w:rPr>
          <w:sz w:val="36"/>
        </w:rPr>
      </w:pPr>
    </w:p>
    <w:p w:rsidR="00FD6BA1" w:rsidRDefault="00FD6BA1">
      <w:pPr>
        <w:spacing w:after="200" w:line="276" w:lineRule="auto"/>
        <w:rPr>
          <w:b/>
          <w:bCs/>
          <w:color w:val="000000"/>
          <w:kern w:val="36"/>
          <w:sz w:val="36"/>
          <w:szCs w:val="33"/>
        </w:rPr>
      </w:pPr>
      <w:r>
        <w:rPr>
          <w:sz w:val="36"/>
        </w:rPr>
        <w:br w:type="page"/>
      </w:r>
    </w:p>
    <w:p w:rsidR="00BE7171" w:rsidRPr="00AE26CA" w:rsidRDefault="004D3EF4" w:rsidP="000E6A38">
      <w:pPr>
        <w:pStyle w:val="Heading1"/>
        <w:rPr>
          <w:sz w:val="36"/>
        </w:rPr>
      </w:pPr>
      <w:r w:rsidRPr="00AE26CA">
        <w:rPr>
          <w:sz w:val="36"/>
        </w:rPr>
        <w:lastRenderedPageBreak/>
        <w:t>Introduction</w:t>
      </w:r>
    </w:p>
    <w:p w:rsidR="00BE7171" w:rsidRDefault="00F03BA4" w:rsidP="006271D2">
      <w:pPr>
        <w:spacing w:after="200" w:line="480" w:lineRule="auto"/>
        <w:ind w:firstLine="720"/>
        <w:contextualSpacing/>
        <w:rPr>
          <w:b/>
        </w:rPr>
      </w:pPr>
      <w:r>
        <w:t xml:space="preserve">Malposition of the </w:t>
      </w:r>
      <w:r w:rsidR="00566578">
        <w:t xml:space="preserve">presenting </w:t>
      </w:r>
      <w:r>
        <w:t xml:space="preserve">fetal head </w:t>
      </w:r>
      <w:r w:rsidR="00E91494">
        <w:t xml:space="preserve">is </w:t>
      </w:r>
      <w:r>
        <w:t>defined a</w:t>
      </w:r>
      <w:r w:rsidR="00E91494">
        <w:t>s</w:t>
      </w:r>
      <w:r>
        <w:t xml:space="preserve"> </w:t>
      </w:r>
      <w:r w:rsidR="00E91494">
        <w:t xml:space="preserve">any position </w:t>
      </w:r>
      <w:r>
        <w:t>other than occiput anterior (eg. occip</w:t>
      </w:r>
      <w:r w:rsidR="002F3CE2">
        <w:t>ito-</w:t>
      </w:r>
      <w:r>
        <w:t>transverse (OT)</w:t>
      </w:r>
      <w:r w:rsidR="002F3CE2">
        <w:t xml:space="preserve"> or occipito-posterior (OP)</w:t>
      </w:r>
      <w:r w:rsidR="00E91494">
        <w:t xml:space="preserve">) and is </w:t>
      </w:r>
      <w:r w:rsidR="000D46E1" w:rsidRPr="00451069">
        <w:t xml:space="preserve">the commonest indication for </w:t>
      </w:r>
      <w:r w:rsidR="00955556" w:rsidRPr="00451069">
        <w:t>caesarean section</w:t>
      </w:r>
      <w:r w:rsidR="000D46E1" w:rsidRPr="00451069">
        <w:t xml:space="preserve"> </w:t>
      </w:r>
      <w:r w:rsidR="000401AB" w:rsidRPr="00451069">
        <w:t xml:space="preserve">(CS) </w:t>
      </w:r>
      <w:r w:rsidR="000D46E1" w:rsidRPr="00451069">
        <w:t>in the second stage of labour</w:t>
      </w:r>
      <w:r w:rsidR="00DE4642">
        <w:t xml:space="preserve"> [1]</w:t>
      </w:r>
      <w:r w:rsidR="000A5BC3" w:rsidRPr="00451069">
        <w:t xml:space="preserve">. There is a severe lack of </w:t>
      </w:r>
      <w:r w:rsidR="0010754B" w:rsidRPr="00451069">
        <w:t>contemporary</w:t>
      </w:r>
      <w:r w:rsidR="0010754B" w:rsidRPr="00451069" w:rsidDel="0010754B">
        <w:t xml:space="preserve"> </w:t>
      </w:r>
      <w:r w:rsidR="000D46E1" w:rsidRPr="00451069">
        <w:t xml:space="preserve">evidence from randomised trials to inform best practice for </w:t>
      </w:r>
      <w:r w:rsidR="001475EC" w:rsidRPr="00451069">
        <w:t>assisted operative birth</w:t>
      </w:r>
      <w:r w:rsidR="000D46E1" w:rsidRPr="00451069">
        <w:t xml:space="preserve"> when malposition complicates the second stage</w:t>
      </w:r>
      <w:r w:rsidR="000D3E54" w:rsidRPr="00451069">
        <w:t xml:space="preserve"> of labour</w:t>
      </w:r>
      <w:r w:rsidR="00DE4642">
        <w:t xml:space="preserve"> [2,3]</w:t>
      </w:r>
      <w:r w:rsidR="00063673" w:rsidRPr="00451069">
        <w:t>. T</w:t>
      </w:r>
      <w:r w:rsidR="00955556" w:rsidRPr="00451069">
        <w:t xml:space="preserve">he American </w:t>
      </w:r>
      <w:r w:rsidR="009808F7" w:rsidRPr="00451069">
        <w:t>C</w:t>
      </w:r>
      <w:r w:rsidR="00955556" w:rsidRPr="00451069">
        <w:t xml:space="preserve">ollege of </w:t>
      </w:r>
      <w:r w:rsidR="009808F7" w:rsidRPr="00451069">
        <w:t>O</w:t>
      </w:r>
      <w:r w:rsidR="00955556" w:rsidRPr="00451069">
        <w:t xml:space="preserve">bstetrics and </w:t>
      </w:r>
      <w:r w:rsidR="009808F7" w:rsidRPr="00451069">
        <w:t>G</w:t>
      </w:r>
      <w:r w:rsidR="00955556" w:rsidRPr="00451069">
        <w:t>ynecology advise</w:t>
      </w:r>
      <w:r w:rsidR="00603417" w:rsidRPr="00451069">
        <w:t>s</w:t>
      </w:r>
      <w:r w:rsidR="00955556" w:rsidRPr="00451069">
        <w:t xml:space="preserve"> that </w:t>
      </w:r>
      <w:r w:rsidR="00223BA0" w:rsidRPr="00451069">
        <w:t>o</w:t>
      </w:r>
      <w:r w:rsidR="00DD0679" w:rsidRPr="00451069">
        <w:t xml:space="preserve">perative vaginal </w:t>
      </w:r>
      <w:r w:rsidR="001475EC" w:rsidRPr="00451069">
        <w:t>birth</w:t>
      </w:r>
      <w:r w:rsidR="00DD0679" w:rsidRPr="00451069">
        <w:t xml:space="preserve"> in the second stage of </w:t>
      </w:r>
      <w:r w:rsidR="00E213EF" w:rsidRPr="00451069">
        <w:t>labour</w:t>
      </w:r>
      <w:r w:rsidR="00DD0679" w:rsidRPr="00451069">
        <w:t xml:space="preserve"> by experienced</w:t>
      </w:r>
      <w:r w:rsidR="004C29FF" w:rsidRPr="00451069">
        <w:t>,</w:t>
      </w:r>
      <w:r w:rsidR="00DD0679" w:rsidRPr="00451069">
        <w:t xml:space="preserve"> </w:t>
      </w:r>
      <w:r w:rsidR="00E7557F" w:rsidRPr="00451069">
        <w:t>proficiently</w:t>
      </w:r>
      <w:r w:rsidR="00E7557F" w:rsidRPr="00451069" w:rsidDel="00E7557F">
        <w:t xml:space="preserve"> </w:t>
      </w:r>
      <w:r w:rsidR="00DD0679" w:rsidRPr="00451069">
        <w:t xml:space="preserve">trained physicians should be considered </w:t>
      </w:r>
      <w:r w:rsidR="00FB5ADE" w:rsidRPr="00451069">
        <w:t xml:space="preserve">as </w:t>
      </w:r>
      <w:r w:rsidR="00DD0679" w:rsidRPr="00451069">
        <w:t>a safe</w:t>
      </w:r>
      <w:r w:rsidR="00E7557F" w:rsidRPr="00451069">
        <w:t xml:space="preserve"> and</w:t>
      </w:r>
      <w:r w:rsidR="00DD0679" w:rsidRPr="00451069">
        <w:t xml:space="preserve"> acceptable alternative to </w:t>
      </w:r>
      <w:r w:rsidR="001475EC" w:rsidRPr="00451069">
        <w:t>CS</w:t>
      </w:r>
      <w:r w:rsidR="00603417" w:rsidRPr="00451069">
        <w:t xml:space="preserve"> whilst</w:t>
      </w:r>
      <w:r w:rsidR="00652C22" w:rsidRPr="00451069">
        <w:t xml:space="preserve"> highlighting</w:t>
      </w:r>
      <w:r w:rsidR="00603417" w:rsidRPr="00451069">
        <w:t xml:space="preserve"> </w:t>
      </w:r>
      <w:r w:rsidR="00652C22" w:rsidRPr="00451069">
        <w:t xml:space="preserve">the need for </w:t>
      </w:r>
      <w:r w:rsidR="00E213EF" w:rsidRPr="00451069">
        <w:t>t</w:t>
      </w:r>
      <w:r w:rsidR="00DD0679" w:rsidRPr="00451069">
        <w:t>rain</w:t>
      </w:r>
      <w:r w:rsidR="004C29FF" w:rsidRPr="00451069">
        <w:t>ing, and ongoing maintenance of</w:t>
      </w:r>
      <w:r w:rsidR="00DD0679" w:rsidRPr="00451069">
        <w:t xml:space="preserve"> practical skills</w:t>
      </w:r>
      <w:r w:rsidR="00E7557F" w:rsidRPr="00451069">
        <w:t xml:space="preserve"> in this context</w:t>
      </w:r>
      <w:r w:rsidR="00DE4642">
        <w:t xml:space="preserve"> [4]</w:t>
      </w:r>
      <w:r w:rsidR="001475EC" w:rsidRPr="00451069">
        <w:t>.</w:t>
      </w:r>
    </w:p>
    <w:p w:rsidR="00BE7171" w:rsidRDefault="00C74E7E" w:rsidP="00E75CCF">
      <w:pPr>
        <w:spacing w:after="200" w:line="480" w:lineRule="auto"/>
        <w:ind w:firstLine="720"/>
        <w:contextualSpacing/>
        <w:rPr>
          <w:b/>
        </w:rPr>
      </w:pPr>
      <w:r w:rsidRPr="00451069">
        <w:t xml:space="preserve">Manual </w:t>
      </w:r>
      <w:r w:rsidR="00421043" w:rsidRPr="00451069">
        <w:t>rotation (</w:t>
      </w:r>
      <w:r w:rsidR="00672BB3" w:rsidRPr="00451069">
        <w:t>MROT</w:t>
      </w:r>
      <w:r w:rsidR="00421043" w:rsidRPr="00451069">
        <w:t>)</w:t>
      </w:r>
      <w:r w:rsidR="00672BB3" w:rsidRPr="00451069">
        <w:t xml:space="preserve"> </w:t>
      </w:r>
      <w:r w:rsidR="00C76CCA" w:rsidRPr="00451069">
        <w:t xml:space="preserve">where the fetal head is rotated and corrected by the operators’ hand, prior to completing the vaginal birth with </w:t>
      </w:r>
      <w:r w:rsidR="00BA1493">
        <w:t>direct</w:t>
      </w:r>
      <w:r w:rsidR="00497B16" w:rsidRPr="00451069">
        <w:t xml:space="preserve"> </w:t>
      </w:r>
      <w:r w:rsidR="00C76CCA" w:rsidRPr="00451069">
        <w:t xml:space="preserve">traction forceps or </w:t>
      </w:r>
      <w:r w:rsidR="00852012">
        <w:t>non-rotational</w:t>
      </w:r>
      <w:r w:rsidR="006B43EA">
        <w:t xml:space="preserve"> </w:t>
      </w:r>
      <w:r w:rsidR="00C76CCA" w:rsidRPr="00451069">
        <w:t>ventouse</w:t>
      </w:r>
      <w:r w:rsidR="00293AA9">
        <w:t xml:space="preserve"> </w:t>
      </w:r>
      <w:r w:rsidR="00CC640B" w:rsidRPr="00451069">
        <w:t xml:space="preserve">is increasingly </w:t>
      </w:r>
      <w:r w:rsidR="00C76CCA" w:rsidRPr="00451069">
        <w:t xml:space="preserve">being </w:t>
      </w:r>
      <w:r w:rsidR="00CC640B" w:rsidRPr="00451069">
        <w:t xml:space="preserve">used </w:t>
      </w:r>
      <w:r w:rsidR="002B4233" w:rsidRPr="00451069">
        <w:t xml:space="preserve">in the second stage of </w:t>
      </w:r>
      <w:r w:rsidR="00652C22" w:rsidRPr="00451069">
        <w:t>labour</w:t>
      </w:r>
      <w:r w:rsidR="002D4601">
        <w:t>s complicated with fetal malposition</w:t>
      </w:r>
      <w:r w:rsidR="006C414F">
        <w:t xml:space="preserve"> where a prior requirement for expedited delivery exists </w:t>
      </w:r>
      <w:r w:rsidR="00DE4642">
        <w:t>[5]</w:t>
      </w:r>
      <w:r w:rsidR="00B53BEF" w:rsidRPr="00451069">
        <w:t xml:space="preserve">. </w:t>
      </w:r>
      <w:r w:rsidR="002B4233" w:rsidRPr="00451069">
        <w:t>M</w:t>
      </w:r>
      <w:r w:rsidR="00672BB3" w:rsidRPr="00451069">
        <w:t xml:space="preserve">ost regulatory authorities </w:t>
      </w:r>
      <w:r w:rsidR="009F3148">
        <w:t>in</w:t>
      </w:r>
      <w:r w:rsidR="00672BB3" w:rsidRPr="00451069">
        <w:t xml:space="preserve"> the western world, either endorse the routine use</w:t>
      </w:r>
      <w:r w:rsidR="00F9344C" w:rsidRPr="00451069">
        <w:t xml:space="preserve"> or initial c</w:t>
      </w:r>
      <w:r w:rsidR="00672BB3" w:rsidRPr="00451069">
        <w:t xml:space="preserve">onsideration of </w:t>
      </w:r>
      <w:r w:rsidR="00616A35" w:rsidRPr="00451069">
        <w:t>MROT</w:t>
      </w:r>
      <w:r w:rsidR="00672BB3" w:rsidRPr="00451069">
        <w:t xml:space="preserve"> </w:t>
      </w:r>
      <w:r w:rsidR="00C51CE9">
        <w:t xml:space="preserve">followed by direct traction instruments </w:t>
      </w:r>
      <w:r w:rsidR="002D4601">
        <w:t xml:space="preserve">in such labours </w:t>
      </w:r>
      <w:r w:rsidR="00672BB3" w:rsidRPr="00451069">
        <w:t xml:space="preserve">prior to embarking on a </w:t>
      </w:r>
      <w:r w:rsidR="00E7557F" w:rsidRPr="00451069">
        <w:t xml:space="preserve">traditional </w:t>
      </w:r>
      <w:r w:rsidR="001475EC" w:rsidRPr="00451069">
        <w:t>rotational instrumental birth</w:t>
      </w:r>
      <w:r w:rsidR="00672BB3" w:rsidRPr="00451069">
        <w:t xml:space="preserve"> or </w:t>
      </w:r>
      <w:r w:rsidR="005B0C08" w:rsidRPr="00451069">
        <w:t>CS</w:t>
      </w:r>
      <w:r w:rsidR="00DE4642">
        <w:t xml:space="preserve"> [4,6]</w:t>
      </w:r>
      <w:r w:rsidR="00672BB3" w:rsidRPr="00451069">
        <w:t xml:space="preserve">. </w:t>
      </w:r>
      <w:r w:rsidR="00B153F4" w:rsidRPr="00451069">
        <w:t>However, o</w:t>
      </w:r>
      <w:r w:rsidR="00C76CCA" w:rsidRPr="00451069">
        <w:t xml:space="preserve">utcome data on morbidity and mortality associated with MROT </w:t>
      </w:r>
      <w:r w:rsidR="00C51CE9">
        <w:t xml:space="preserve">(which includes subsequent direct traction instruments to complete birth as a single entity) </w:t>
      </w:r>
      <w:r w:rsidR="001005AD">
        <w:t xml:space="preserve">in this context </w:t>
      </w:r>
      <w:r w:rsidR="00C76CCA" w:rsidRPr="00451069">
        <w:t>are scarce</w:t>
      </w:r>
      <w:r w:rsidR="00DE4642">
        <w:t xml:space="preserve"> [7]</w:t>
      </w:r>
      <w:r w:rsidR="00C76CCA" w:rsidRPr="00451069">
        <w:t xml:space="preserve">. </w:t>
      </w:r>
      <w:r w:rsidR="00672BB3" w:rsidRPr="00451069">
        <w:t xml:space="preserve">Some </w:t>
      </w:r>
      <w:r w:rsidR="00CC640B" w:rsidRPr="00451069">
        <w:t>authors</w:t>
      </w:r>
      <w:r w:rsidR="00DF5D07" w:rsidRPr="00451069">
        <w:t xml:space="preserve"> </w:t>
      </w:r>
      <w:r w:rsidR="00672BB3" w:rsidRPr="00451069">
        <w:t>refer to anecdotal evidence of efficacy and safety</w:t>
      </w:r>
      <w:r w:rsidR="00DE4642">
        <w:t xml:space="preserve"> [8]</w:t>
      </w:r>
      <w:r w:rsidR="00672BB3" w:rsidRPr="00451069">
        <w:t>, whilst others seem to rely on the</w:t>
      </w:r>
      <w:r w:rsidR="0091016D" w:rsidRPr="00451069">
        <w:t>ir</w:t>
      </w:r>
      <w:r w:rsidR="00672BB3" w:rsidRPr="00451069">
        <w:t xml:space="preserve"> </w:t>
      </w:r>
      <w:r w:rsidR="0091016D" w:rsidRPr="00451069">
        <w:t>personal</w:t>
      </w:r>
      <w:r w:rsidR="00672BB3" w:rsidRPr="00451069">
        <w:t xml:space="preserve"> perception that MROT is a safe procedure</w:t>
      </w:r>
      <w:r w:rsidR="00DE4642">
        <w:t xml:space="preserve"> [9]</w:t>
      </w:r>
      <w:r w:rsidR="00CB3FA5" w:rsidRPr="00451069">
        <w:fldChar w:fldCharType="begin"/>
      </w:r>
      <w:r w:rsidR="00672BB3" w:rsidRPr="00451069">
        <w:instrText xml:space="preserve"> ADDIN EN.CITE &lt;EndNote&gt;&lt;Cite&gt;&lt;Author&gt;Phipps H&lt;/Author&gt;&lt;Year&gt;2014&lt;/Year&gt;&lt;RecNum&gt;35&lt;/RecNum&gt;&lt;DisplayText&gt;(Phipps H 2014)&lt;/DisplayText&gt;&lt;record&gt;&lt;rec-number&gt;35&lt;/rec-number&gt;&lt;foreign-keys&gt;&lt;key app="EN" db-id="e0x20avep0stvjedzw8xwef55t0rst5zrxd9"&gt;35&lt;/key&gt;&lt;/foreign-keys&gt;&lt;ref-type name="Journal Article"&gt;17&lt;/ref-type&gt;&lt;contributors&gt;&lt;authors&gt;&lt;author&gt;Phipps H, de Vries B, Hyett J, Osborn DA.&lt;/author&gt;&lt;/authors&gt;&lt;/contributors&gt;&lt;titles&gt;&lt;title&gt;Prophylactic manual rotation for fetal malposition to reduce operative delivery.&lt;/title&gt;&lt;secondary-title&gt;Cochrane Database Syst Rev&lt;/secondary-title&gt;&lt;/titles&gt;&lt;periodical&gt;&lt;full-title&gt;Cochrane Database Syst Rev&lt;/full-title&gt;&lt;/periodical&gt;&lt;volume&gt;12&lt;/volume&gt;&lt;dates&gt;&lt;year&gt;2014&lt;/year&gt;&lt;pub-dates&gt;&lt;date&gt;Dec&lt;/date&gt;&lt;/pub-dates&gt;&lt;/dates&gt;&lt;urls&gt;&lt;/urls&gt;&lt;/record&gt;&lt;/Cite&gt;&lt;/EndNote&gt;</w:instrText>
      </w:r>
      <w:r w:rsidR="00CB3FA5" w:rsidRPr="00451069">
        <w:fldChar w:fldCharType="end"/>
      </w:r>
      <w:r w:rsidR="00704D5F" w:rsidRPr="00451069">
        <w:t>.</w:t>
      </w:r>
      <w:r w:rsidR="007B2D2B" w:rsidRPr="00451069">
        <w:t xml:space="preserve"> </w:t>
      </w:r>
    </w:p>
    <w:p w:rsidR="00BE7171" w:rsidRDefault="003D7EFE" w:rsidP="00E75CCF">
      <w:pPr>
        <w:spacing w:after="200" w:line="480" w:lineRule="auto"/>
        <w:ind w:firstLine="720"/>
        <w:contextualSpacing/>
        <w:rPr>
          <w:color w:val="000000"/>
        </w:rPr>
      </w:pPr>
      <w:r w:rsidRPr="00451069">
        <w:t xml:space="preserve">There are </w:t>
      </w:r>
      <w:r w:rsidR="006E4491" w:rsidRPr="00451069">
        <w:t xml:space="preserve">many described </w:t>
      </w:r>
      <w:r w:rsidRPr="00451069">
        <w:t>method</w:t>
      </w:r>
      <w:r w:rsidR="006E4491" w:rsidRPr="00451069">
        <w:t>s</w:t>
      </w:r>
      <w:r w:rsidRPr="00451069">
        <w:t xml:space="preserve"> of MROT</w:t>
      </w:r>
      <w:r w:rsidR="00EA745A">
        <w:t xml:space="preserve"> [8-10]</w:t>
      </w:r>
      <w:r w:rsidRPr="00451069">
        <w:t xml:space="preserve"> and reports suggest</w:t>
      </w:r>
      <w:r w:rsidR="0091016D" w:rsidRPr="00451069">
        <w:t xml:space="preserve"> that</w:t>
      </w:r>
      <w:r w:rsidRPr="00451069">
        <w:t xml:space="preserve"> </w:t>
      </w:r>
      <w:r w:rsidR="00BA4F0A" w:rsidRPr="00451069">
        <w:t>correct</w:t>
      </w:r>
      <w:r w:rsidRPr="00451069">
        <w:t>ing</w:t>
      </w:r>
      <w:r w:rsidR="00BA4F0A" w:rsidRPr="00451069">
        <w:t xml:space="preserve"> malposition of the fetal head </w:t>
      </w:r>
      <w:r w:rsidR="001F381B" w:rsidRPr="00451069">
        <w:t>with MROT</w:t>
      </w:r>
      <w:r w:rsidRPr="00451069">
        <w:t xml:space="preserve"> </w:t>
      </w:r>
      <w:r w:rsidR="00C51CE9">
        <w:t xml:space="preserve">even without immediately completing the delivery with the use of a direct traction instrument </w:t>
      </w:r>
      <w:r w:rsidRPr="00451069">
        <w:t>may</w:t>
      </w:r>
      <w:r w:rsidR="008B12FF" w:rsidRPr="00451069">
        <w:t xml:space="preserve"> decrease the rates of </w:t>
      </w:r>
      <w:r w:rsidR="00A345E1" w:rsidRPr="00451069">
        <w:t xml:space="preserve">both </w:t>
      </w:r>
      <w:r w:rsidR="008B12FF" w:rsidRPr="00451069">
        <w:t xml:space="preserve">instrumental </w:t>
      </w:r>
      <w:r w:rsidR="005B0C08" w:rsidRPr="00451069">
        <w:t>births</w:t>
      </w:r>
      <w:r w:rsidR="008B12FF" w:rsidRPr="00451069">
        <w:t xml:space="preserve"> and </w:t>
      </w:r>
      <w:r w:rsidR="00DF5D07" w:rsidRPr="00451069">
        <w:t>CS</w:t>
      </w:r>
      <w:r w:rsidR="00EA745A">
        <w:t xml:space="preserve"> [9,11-14]</w:t>
      </w:r>
      <w:r w:rsidR="006C4A98" w:rsidRPr="00451069">
        <w:t>.</w:t>
      </w:r>
      <w:r w:rsidRPr="00451069">
        <w:t xml:space="preserve"> </w:t>
      </w:r>
      <w:r w:rsidR="004C0215" w:rsidRPr="00451069">
        <w:rPr>
          <w:color w:val="000000"/>
        </w:rPr>
        <w:t xml:space="preserve">A </w:t>
      </w:r>
      <w:r w:rsidR="0091016D" w:rsidRPr="00451069">
        <w:rPr>
          <w:color w:val="000000"/>
        </w:rPr>
        <w:t xml:space="preserve">recent </w:t>
      </w:r>
      <w:r w:rsidR="004C0215" w:rsidRPr="00451069">
        <w:rPr>
          <w:color w:val="000000"/>
        </w:rPr>
        <w:t xml:space="preserve">Cochrane systematic review </w:t>
      </w:r>
      <w:r w:rsidR="007B2D2B" w:rsidRPr="00451069">
        <w:rPr>
          <w:color w:val="000000"/>
        </w:rPr>
        <w:t xml:space="preserve">highlighted the </w:t>
      </w:r>
      <w:r w:rsidR="007B2D2B" w:rsidRPr="00451069">
        <w:rPr>
          <w:color w:val="000000"/>
        </w:rPr>
        <w:lastRenderedPageBreak/>
        <w:t xml:space="preserve">need for </w:t>
      </w:r>
      <w:r w:rsidR="004C0215" w:rsidRPr="00451069">
        <w:rPr>
          <w:color w:val="000000"/>
        </w:rPr>
        <w:t>f</w:t>
      </w:r>
      <w:r w:rsidR="004C0215" w:rsidRPr="00451069">
        <w:t xml:space="preserve">urther appropriately designed trials to determine the efficacy of </w:t>
      </w:r>
      <w:r w:rsidR="00BC6A00" w:rsidRPr="00451069">
        <w:t>MROT</w:t>
      </w:r>
      <w:r w:rsidR="00EA745A">
        <w:t xml:space="preserve"> [9]</w:t>
      </w:r>
      <w:r w:rsidR="005B0C08" w:rsidRPr="00451069">
        <w:t>.</w:t>
      </w:r>
      <w:r w:rsidR="004C0215" w:rsidRPr="00451069">
        <w:rPr>
          <w:color w:val="000000"/>
        </w:rPr>
        <w:t xml:space="preserve"> </w:t>
      </w:r>
      <w:r w:rsidR="003D2932" w:rsidRPr="00451069">
        <w:t>Compared with the explicit and formal guidance provided by the regulatory authorities on performing, documenting and training for other operative methods of births</w:t>
      </w:r>
      <w:r w:rsidR="00EA745A">
        <w:t xml:space="preserve"> [2,6,8]</w:t>
      </w:r>
      <w:r w:rsidR="003D2932" w:rsidRPr="00451069">
        <w:t>, similar guidance is not available for MROT</w:t>
      </w:r>
      <w:r w:rsidR="00833193">
        <w:t>. T</w:t>
      </w:r>
      <w:r w:rsidR="00062BE0">
        <w:t>his</w:t>
      </w:r>
      <w:r w:rsidR="00833193">
        <w:t>,</w:t>
      </w:r>
      <w:r w:rsidR="00062BE0">
        <w:t xml:space="preserve"> </w:t>
      </w:r>
      <w:r w:rsidR="00833193">
        <w:t xml:space="preserve">when </w:t>
      </w:r>
      <w:r w:rsidR="00062BE0">
        <w:t>combined with the different</w:t>
      </w:r>
      <w:r w:rsidR="00431BA0">
        <w:t xml:space="preserve"> </w:t>
      </w:r>
      <w:r w:rsidR="00062BE0">
        <w:t>methods described to complete a MROT</w:t>
      </w:r>
      <w:r w:rsidR="00EA745A">
        <w:t xml:space="preserve"> [8-10]</w:t>
      </w:r>
      <w:r w:rsidR="00062BE0">
        <w:t xml:space="preserve"> </w:t>
      </w:r>
      <w:r w:rsidR="00833193">
        <w:t>may result in a</w:t>
      </w:r>
      <w:r w:rsidR="00EA745A">
        <w:t xml:space="preserve"> potentially highly unregulated</w:t>
      </w:r>
      <w:r w:rsidR="00062BE0">
        <w:t xml:space="preserve"> procedure</w:t>
      </w:r>
      <w:r w:rsidR="003D2932" w:rsidRPr="00451069">
        <w:t xml:space="preserve">. </w:t>
      </w:r>
      <w:r w:rsidR="003D2932" w:rsidRPr="00451069">
        <w:rPr>
          <w:color w:val="000000"/>
        </w:rPr>
        <w:t xml:space="preserve"> </w:t>
      </w:r>
    </w:p>
    <w:p w:rsidR="00E47E24" w:rsidRDefault="003D2932" w:rsidP="00E75CCF">
      <w:pPr>
        <w:spacing w:after="200" w:line="480" w:lineRule="auto"/>
        <w:ind w:firstLine="720"/>
        <w:contextualSpacing/>
        <w:rPr>
          <w:b/>
        </w:rPr>
      </w:pPr>
      <w:r w:rsidRPr="00451069">
        <w:t>Considering this paucity of evidence and the absence of guidance, our primary aim was to test the hypothesis that the successful use of MROT</w:t>
      </w:r>
      <w:r w:rsidR="0087005E">
        <w:t xml:space="preserve"> </w:t>
      </w:r>
      <w:r w:rsidR="00714DE2">
        <w:t xml:space="preserve">(a method which includes the immediate use of direct traction forceps/ventouse to complete the delivery) </w:t>
      </w:r>
      <w:r w:rsidR="0087005E">
        <w:t>would be</w:t>
      </w:r>
      <w:r w:rsidRPr="00451069">
        <w:t xml:space="preserve"> </w:t>
      </w:r>
      <w:r w:rsidR="0087005E" w:rsidRPr="00451069">
        <w:t xml:space="preserve">associated with comparable </w:t>
      </w:r>
      <w:r w:rsidR="0087005E">
        <w:t xml:space="preserve">neonatal and </w:t>
      </w:r>
      <w:r w:rsidR="0087005E" w:rsidRPr="00451069">
        <w:t xml:space="preserve">maternal outcomes </w:t>
      </w:r>
      <w:r w:rsidR="005277B2">
        <w:t>to</w:t>
      </w:r>
      <w:r w:rsidR="0087005E" w:rsidRPr="00451069">
        <w:t xml:space="preserve"> all other established methods of operative births </w:t>
      </w:r>
      <w:r w:rsidR="00F87E2F">
        <w:t xml:space="preserve">that can be employed </w:t>
      </w:r>
      <w:r w:rsidR="00812E06">
        <w:t xml:space="preserve">to deliver a </w:t>
      </w:r>
      <w:r w:rsidR="00812E06" w:rsidRPr="00451069">
        <w:t>malposition</w:t>
      </w:r>
      <w:r w:rsidR="00812E06">
        <w:t>ed fetus</w:t>
      </w:r>
      <w:r w:rsidR="0087005E" w:rsidRPr="00451069">
        <w:t xml:space="preserve"> </w:t>
      </w:r>
      <w:r w:rsidR="00812E06">
        <w:t>in</w:t>
      </w:r>
      <w:r w:rsidR="0087005E" w:rsidRPr="00451069">
        <w:t xml:space="preserve"> the second stage of labour</w:t>
      </w:r>
      <w:r w:rsidR="005277B2">
        <w:t>.</w:t>
      </w:r>
      <w:r w:rsidR="0087005E" w:rsidRPr="00451069">
        <w:t xml:space="preserve"> </w:t>
      </w:r>
      <w:r w:rsidR="00E47E24" w:rsidRPr="00451069">
        <w:t xml:space="preserve">The other operative methods considered included rotational ventouse (RV), Kielland forceps (KF) and primary emergency caesarean section in the second stage of labour without a trial of instrumental birth (pEMCS). </w:t>
      </w:r>
    </w:p>
    <w:p w:rsidR="00BE7171" w:rsidRPr="00DF4A96" w:rsidRDefault="0011105A" w:rsidP="000E6A38">
      <w:pPr>
        <w:pStyle w:val="Heading1"/>
        <w:rPr>
          <w:sz w:val="36"/>
          <w:szCs w:val="36"/>
        </w:rPr>
      </w:pPr>
      <w:r w:rsidRPr="00DF4A96">
        <w:rPr>
          <w:sz w:val="36"/>
          <w:szCs w:val="36"/>
        </w:rPr>
        <w:t xml:space="preserve">Materials and </w:t>
      </w:r>
      <w:r w:rsidR="007D6CA5" w:rsidRPr="00DF4A96">
        <w:rPr>
          <w:sz w:val="36"/>
          <w:szCs w:val="36"/>
        </w:rPr>
        <w:t>M</w:t>
      </w:r>
      <w:r w:rsidR="003D2932" w:rsidRPr="00DF4A96">
        <w:rPr>
          <w:sz w:val="36"/>
          <w:szCs w:val="36"/>
        </w:rPr>
        <w:t xml:space="preserve">ethods </w:t>
      </w:r>
    </w:p>
    <w:p w:rsidR="009616F5" w:rsidRPr="00BE7171" w:rsidRDefault="003D2932" w:rsidP="001D35E8">
      <w:pPr>
        <w:spacing w:after="200" w:line="480" w:lineRule="auto"/>
        <w:ind w:firstLine="720"/>
        <w:contextualSpacing/>
        <w:rPr>
          <w:b/>
        </w:rPr>
      </w:pPr>
      <w:r w:rsidRPr="00451069">
        <w:t>Liverpool Women's Hospital (LWH) has approximately 8</w:t>
      </w:r>
      <w:r w:rsidR="00E92C40" w:rsidRPr="00451069">
        <w:t>,</w:t>
      </w:r>
      <w:r w:rsidRPr="00451069">
        <w:t xml:space="preserve">500 births per annum and is a tertiary referral centre with level three neonatal intensive care facilities. The LWH labour ward is directly supervised by a senior registrar in obstetrics (with at least 6–7 years of specialist training) 24 hours a day. In addition, there is at least one junior registrar (with a minimum of 3 years of specialist training) and an early career trainee with less than 3 years </w:t>
      </w:r>
      <w:r w:rsidR="0012312B">
        <w:t xml:space="preserve">of </w:t>
      </w:r>
      <w:r w:rsidRPr="00451069">
        <w:t>specialist training. Throughout the study period, there was 90 hours per week of</w:t>
      </w:r>
      <w:r w:rsidR="00F46C88" w:rsidRPr="00451069">
        <w:t xml:space="preserve"> direct consultant presence, whilst</w:t>
      </w:r>
      <w:r w:rsidRPr="00451069">
        <w:t xml:space="preserve"> indirect consultant supervision (consultant contactable by telephone</w:t>
      </w:r>
      <w:r w:rsidR="00C01AF9" w:rsidRPr="00451069">
        <w:t xml:space="preserve"> for advice and to attend on demand as required</w:t>
      </w:r>
      <w:r w:rsidRPr="00451069">
        <w:t xml:space="preserve">) </w:t>
      </w:r>
      <w:r w:rsidR="00C01AF9" w:rsidRPr="00451069">
        <w:t>was a</w:t>
      </w:r>
      <w:r w:rsidR="00F46C88" w:rsidRPr="00451069">
        <w:t>vailable at</w:t>
      </w:r>
      <w:r w:rsidR="00C01AF9" w:rsidRPr="00451069">
        <w:t xml:space="preserve"> all other times</w:t>
      </w:r>
      <w:r w:rsidRPr="00451069">
        <w:t xml:space="preserve">. In addition, local guidelines mandated that all births for malposition in the second stage of labour should be directly supervised or conducted by an experienced obstetrician (senior </w:t>
      </w:r>
      <w:r w:rsidRPr="00451069">
        <w:lastRenderedPageBreak/>
        <w:t xml:space="preserve">registrar with at least 6–7 years of specialist training in obstetrics or a consultant). All senior trainees were initially directly supervised in performing operative rotational vaginal births and subsequently deemed </w:t>
      </w:r>
      <w:r w:rsidR="00157F1E" w:rsidRPr="00451069">
        <w:t>c</w:t>
      </w:r>
      <w:r w:rsidRPr="00451069">
        <w:t>ompetent by consultant staff before being permitted for independent practi</w:t>
      </w:r>
      <w:r w:rsidR="006225E0">
        <w:t>c</w:t>
      </w:r>
      <w:r w:rsidRPr="00451069">
        <w:t>e or to supervise other trainees.</w:t>
      </w:r>
    </w:p>
    <w:p w:rsidR="004A3518" w:rsidRDefault="003D2932" w:rsidP="00E75CCF">
      <w:pPr>
        <w:spacing w:before="100" w:beforeAutospacing="1" w:after="100" w:afterAutospacing="1" w:line="480" w:lineRule="auto"/>
        <w:ind w:firstLine="720"/>
        <w:contextualSpacing/>
      </w:pPr>
      <w:r w:rsidRPr="00451069">
        <w:t xml:space="preserve">For the purpose of our study, MROT births were defined as births where malposition was identified in </w:t>
      </w:r>
      <w:r w:rsidR="0012312B">
        <w:t xml:space="preserve">the </w:t>
      </w:r>
      <w:r w:rsidRPr="00451069">
        <w:t xml:space="preserve">second stage of labour and MROT was employed to correct malposition followed by the immediate use of either </w:t>
      </w:r>
      <w:r w:rsidR="008A466A">
        <w:t>direct</w:t>
      </w:r>
      <w:r w:rsidRPr="00451069">
        <w:t xml:space="preserve"> traction forceps or </w:t>
      </w:r>
      <w:r w:rsidR="00ED3575">
        <w:t>non-rotational</w:t>
      </w:r>
      <w:r w:rsidR="008A466A">
        <w:t xml:space="preserve"> </w:t>
      </w:r>
      <w:r w:rsidRPr="00451069">
        <w:t>ventouse to complete the vaginal birth.</w:t>
      </w:r>
      <w:r w:rsidR="008A466A">
        <w:t xml:space="preserve"> The deliveries were assisted by direct traction forceps or </w:t>
      </w:r>
      <w:r w:rsidR="00322BDD">
        <w:t>non-rotational</w:t>
      </w:r>
      <w:r w:rsidR="008A466A">
        <w:t xml:space="preserve"> ventouse </w:t>
      </w:r>
      <w:r w:rsidR="00322BDD">
        <w:t>since</w:t>
      </w:r>
      <w:r w:rsidR="008A466A">
        <w:t xml:space="preserve"> expedit</w:t>
      </w:r>
      <w:r w:rsidR="00322BDD">
        <w:t>ion of</w:t>
      </w:r>
      <w:r w:rsidR="008A466A">
        <w:t xml:space="preserve"> </w:t>
      </w:r>
      <w:r w:rsidR="00322BDD">
        <w:t>birth</w:t>
      </w:r>
      <w:r w:rsidR="008A466A">
        <w:t xml:space="preserve"> had been deemed necessary due to fetal distress or delay.</w:t>
      </w:r>
      <w:r w:rsidRPr="00451069">
        <w:t xml:space="preserve"> </w:t>
      </w:r>
    </w:p>
    <w:p w:rsidR="009616F5" w:rsidRPr="00451069" w:rsidRDefault="004A3518" w:rsidP="00E75CCF">
      <w:pPr>
        <w:spacing w:before="100" w:beforeAutospacing="1" w:after="100" w:afterAutospacing="1" w:line="480" w:lineRule="auto"/>
        <w:ind w:firstLine="720"/>
        <w:contextualSpacing/>
      </w:pPr>
      <w:r>
        <w:t>N</w:t>
      </w:r>
      <w:r w:rsidRPr="00451069">
        <w:t xml:space="preserve">eonatal and maternal outcome data in all successful MROT births and all other successful traditional operative methods of assisting birth for a malpositioned fetal head in the second stage (RV, KF and pEMCS) were collected during the period from </w:t>
      </w:r>
      <w:r w:rsidR="00596B7E">
        <w:t xml:space="preserve">the </w:t>
      </w:r>
      <w:r w:rsidRPr="00451069">
        <w:t>2</w:t>
      </w:r>
      <w:r w:rsidRPr="00451069">
        <w:rPr>
          <w:vertAlign w:val="superscript"/>
        </w:rPr>
        <w:t>nd</w:t>
      </w:r>
      <w:r w:rsidRPr="00451069">
        <w:t xml:space="preserve"> November 2006-31</w:t>
      </w:r>
      <w:r w:rsidRPr="00451069">
        <w:rPr>
          <w:vertAlign w:val="superscript"/>
        </w:rPr>
        <w:t>st</w:t>
      </w:r>
      <w:r w:rsidRPr="00451069">
        <w:t xml:space="preserve"> of August 2013</w:t>
      </w:r>
      <w:r w:rsidR="00104D6F">
        <w:t xml:space="preserve"> and reported as per STROBE gui</w:t>
      </w:r>
      <w:r w:rsidR="00210096">
        <w:t>delines</w:t>
      </w:r>
      <w:r w:rsidR="00DF3165">
        <w:t xml:space="preserve"> (</w:t>
      </w:r>
      <w:r w:rsidR="002F42EE">
        <w:t>15</w:t>
      </w:r>
      <w:bookmarkStart w:id="9" w:name="_GoBack"/>
      <w:bookmarkEnd w:id="9"/>
      <w:r w:rsidR="00DF3165">
        <w:t>)</w:t>
      </w:r>
      <w:r w:rsidRPr="00451069">
        <w:t>.</w:t>
      </w:r>
      <w:r>
        <w:t xml:space="preserve"> </w:t>
      </w:r>
      <w:r w:rsidR="003D2932" w:rsidRPr="00451069">
        <w:t xml:space="preserve">All assisted rotational vaginal operative births and </w:t>
      </w:r>
      <w:r w:rsidR="00A940F9" w:rsidRPr="00451069">
        <w:t>p</w:t>
      </w:r>
      <w:r w:rsidR="003D2932" w:rsidRPr="00451069">
        <w:t>EMCS (n=2058) were identified retrospectively from the hospital database for the 60 month period from the 2</w:t>
      </w:r>
      <w:r w:rsidR="003D2932" w:rsidRPr="00451069">
        <w:rPr>
          <w:vertAlign w:val="superscript"/>
        </w:rPr>
        <w:t>nd</w:t>
      </w:r>
      <w:r w:rsidR="003D2932" w:rsidRPr="00451069">
        <w:t xml:space="preserve"> of November 2006 to the 31</w:t>
      </w:r>
      <w:r w:rsidR="003D2932" w:rsidRPr="00451069">
        <w:rPr>
          <w:vertAlign w:val="superscript"/>
        </w:rPr>
        <w:t>st</w:t>
      </w:r>
      <w:r w:rsidR="003D2932" w:rsidRPr="00451069">
        <w:t xml:space="preserve"> of August 2012, and reviewed. From the 1</w:t>
      </w:r>
      <w:r w:rsidR="003D2932" w:rsidRPr="00451069">
        <w:rPr>
          <w:vertAlign w:val="superscript"/>
        </w:rPr>
        <w:t>st</w:t>
      </w:r>
      <w:r w:rsidR="003D2932" w:rsidRPr="00451069">
        <w:t xml:space="preserve"> of September 2012 to the 31</w:t>
      </w:r>
      <w:r w:rsidR="003D2932" w:rsidRPr="00451069">
        <w:rPr>
          <w:vertAlign w:val="superscript"/>
        </w:rPr>
        <w:t>st</w:t>
      </w:r>
      <w:r w:rsidR="003D2932" w:rsidRPr="00451069">
        <w:t xml:space="preserve"> of august 2013 we prospectively collected outcome data, using a paper based proforma, (n=368). </w:t>
      </w:r>
      <w:r w:rsidR="00506EBA">
        <w:t xml:space="preserve">After each delivery complicated by malposition at full dilatation, the operating surgeon completed a paper based proforma during the prospective part of the audit. These proformas were collected by the clinical team completing the study and the data (no patient identifiable data was collected or retained) was input into an EXCEL file. </w:t>
      </w:r>
      <w:r w:rsidR="003D2932" w:rsidRPr="00451069">
        <w:t xml:space="preserve">Data from the retrospective database or paper-based proformas were verified against the information in the computerised hospital notes system used at LWH (Meditech), the paper based hospital clinical records, the LWH risk management database, transfusion database, postnatal perineal </w:t>
      </w:r>
      <w:r w:rsidR="003D2932" w:rsidRPr="00451069">
        <w:lastRenderedPageBreak/>
        <w:t>clinic data, neonatal computerised notes database (BADGER; for all neonatal outcomes)</w:t>
      </w:r>
      <w:r w:rsidR="0012312B">
        <w:t xml:space="preserve"> </w:t>
      </w:r>
      <w:r w:rsidR="003D2932" w:rsidRPr="00451069">
        <w:t>before tabulating. When collecting demographic data, we considered the factors that may have influenced both the choice and the potential outcomes of the method employed to assist birth. For example, when the indication to assist birth is a diagnosis of potential fetal compromise, it may affect neonatal outcomes, as well as the decision making process regarding the method of birth. The operator seniority is expected to influence failure rates and outcomes; and there is prior evidence that epidural analgesia during labour increases vaginal operative birth rates</w:t>
      </w:r>
      <w:r w:rsidR="00EA745A">
        <w:t xml:space="preserve"> [1</w:t>
      </w:r>
      <w:r w:rsidR="009716DB">
        <w:t>6</w:t>
      </w:r>
      <w:r w:rsidR="00EA745A">
        <w:t>]</w:t>
      </w:r>
      <w:r w:rsidR="003D2932" w:rsidRPr="00451069">
        <w:t xml:space="preserve">. </w:t>
      </w:r>
      <w:r w:rsidR="002A5663">
        <w:t>A p</w:t>
      </w:r>
      <w:r w:rsidR="003D2932" w:rsidRPr="00451069">
        <w:t xml:space="preserve">rolonged second stage of labour, has been associated with reduced </w:t>
      </w:r>
      <w:r w:rsidR="00413A2E">
        <w:t xml:space="preserve">umbilical </w:t>
      </w:r>
      <w:r w:rsidR="003D2932" w:rsidRPr="00451069">
        <w:t>cord pH values and Apgar scores</w:t>
      </w:r>
      <w:r w:rsidR="00EA745A">
        <w:t xml:space="preserve"> [1</w:t>
      </w:r>
      <w:r w:rsidR="009716DB">
        <w:t>7</w:t>
      </w:r>
      <w:r w:rsidR="00EA745A">
        <w:t>,1</w:t>
      </w:r>
      <w:r w:rsidR="009716DB">
        <w:t>8</w:t>
      </w:r>
      <w:r w:rsidR="00EA745A">
        <w:t>]</w:t>
      </w:r>
      <w:r w:rsidR="003D2932" w:rsidRPr="00451069">
        <w:t>.</w:t>
      </w:r>
      <w:r w:rsidR="00EA745A">
        <w:t xml:space="preserve"> Birth weight impacts </w:t>
      </w:r>
      <w:r w:rsidR="003D2932" w:rsidRPr="00451069">
        <w:t>on success rates of operative vaginal</w:t>
      </w:r>
      <w:r w:rsidR="00FA5AB5" w:rsidRPr="00451069">
        <w:t xml:space="preserve"> birth</w:t>
      </w:r>
      <w:r w:rsidR="00EA745A">
        <w:t xml:space="preserve"> [1</w:t>
      </w:r>
      <w:r w:rsidR="009716DB">
        <w:t>9</w:t>
      </w:r>
      <w:r w:rsidR="00EA745A">
        <w:t>]</w:t>
      </w:r>
      <w:r w:rsidR="003D2932" w:rsidRPr="00451069">
        <w:t xml:space="preserve">, in addition to increasing the risk for other outcome measures such as shoulder dystocia, </w:t>
      </w:r>
      <w:r w:rsidR="004E2443">
        <w:t xml:space="preserve">obstetric anal </w:t>
      </w:r>
      <w:r w:rsidR="003D2932" w:rsidRPr="00451069">
        <w:t xml:space="preserve">sphincter injury </w:t>
      </w:r>
      <w:r w:rsidR="004E2443">
        <w:t xml:space="preserve">(OASI) </w:t>
      </w:r>
      <w:r w:rsidR="003D2932" w:rsidRPr="00451069">
        <w:t xml:space="preserve">and </w:t>
      </w:r>
      <w:r w:rsidR="00705B3A">
        <w:t>massive obstetric haemorrhage</w:t>
      </w:r>
      <w:r w:rsidR="003D2932" w:rsidRPr="00451069">
        <w:t>.</w:t>
      </w:r>
    </w:p>
    <w:p w:rsidR="009616F5" w:rsidRPr="00451069" w:rsidRDefault="003D2932" w:rsidP="00E75CCF">
      <w:pPr>
        <w:spacing w:before="100" w:beforeAutospacing="1" w:after="100" w:afterAutospacing="1" w:line="480" w:lineRule="auto"/>
        <w:ind w:firstLine="720"/>
        <w:contextualSpacing/>
        <w:rPr>
          <w:b/>
          <w:bCs/>
          <w:color w:val="000000"/>
        </w:rPr>
      </w:pPr>
      <w:r w:rsidRPr="00451069">
        <w:t>Maternal and neonatal outcomes were chosen for their important clinical relevance, associated morbidity for the mother and baby and cost implications for the health care provider (N</w:t>
      </w:r>
      <w:r w:rsidR="007C0414" w:rsidRPr="00451069">
        <w:t xml:space="preserve">ational </w:t>
      </w:r>
      <w:r w:rsidRPr="00451069">
        <w:t>H</w:t>
      </w:r>
      <w:r w:rsidR="007C0414" w:rsidRPr="00451069">
        <w:t xml:space="preserve">ealth </w:t>
      </w:r>
      <w:r w:rsidRPr="00451069">
        <w:t>S</w:t>
      </w:r>
      <w:r w:rsidR="007C0414" w:rsidRPr="00451069">
        <w:t>ervice</w:t>
      </w:r>
      <w:r w:rsidRPr="00451069">
        <w:t xml:space="preserve">) and society. Admission to special care baby unit (SCBU), incidence of babies with cord pH &lt;7.1 at birth, Apgar score &lt;5 at 5 minutes, </w:t>
      </w:r>
      <w:r w:rsidR="003E706A" w:rsidRPr="00451069">
        <w:t xml:space="preserve">and the </w:t>
      </w:r>
      <w:r w:rsidRPr="00451069">
        <w:t>incidence of shoulder dystocia</w:t>
      </w:r>
      <w:r w:rsidR="003E706A" w:rsidRPr="00451069">
        <w:t xml:space="preserve"> </w:t>
      </w:r>
      <w:r w:rsidR="00987356">
        <w:t>(</w:t>
      </w:r>
      <w:r w:rsidR="006B2DF8">
        <w:t xml:space="preserve">defined as a vaginal cephalic delivery that requires additional obstetric manoeuvres to deliver the fetus after the head has delivered and gentle traction has failed </w:t>
      </w:r>
      <w:r w:rsidR="000C030D">
        <w:t>[</w:t>
      </w:r>
      <w:r w:rsidR="008C41BA">
        <w:t>20</w:t>
      </w:r>
      <w:r w:rsidR="000C030D">
        <w:t>]</w:t>
      </w:r>
      <w:r w:rsidR="00987356">
        <w:t xml:space="preserve">) </w:t>
      </w:r>
      <w:r w:rsidRPr="00451069">
        <w:t xml:space="preserve">were the neonatal outcomes collected. Maternal outcome variables collected were; </w:t>
      </w:r>
      <w:r w:rsidR="00705B3A">
        <w:t>massive obstetric</w:t>
      </w:r>
      <w:r w:rsidR="00705B3A" w:rsidRPr="00451069">
        <w:t xml:space="preserve"> </w:t>
      </w:r>
      <w:r w:rsidRPr="00451069">
        <w:t>haemorrhage (blood loss of &gt;1500 ml</w:t>
      </w:r>
      <w:r w:rsidR="00987356">
        <w:t>, estimated or weighed following delivery</w:t>
      </w:r>
      <w:r w:rsidRPr="00451069">
        <w:t xml:space="preserve">) and </w:t>
      </w:r>
      <w:r w:rsidR="00705B3A">
        <w:t>OASI</w:t>
      </w:r>
      <w:r w:rsidR="00A81A19">
        <w:t xml:space="preserve"> (3</w:t>
      </w:r>
      <w:r w:rsidR="00582FE1" w:rsidRPr="00582FE1">
        <w:rPr>
          <w:vertAlign w:val="superscript"/>
        </w:rPr>
        <w:t>rd</w:t>
      </w:r>
      <w:r w:rsidR="00A81A19">
        <w:t xml:space="preserve"> or 4</w:t>
      </w:r>
      <w:r w:rsidR="00582FE1" w:rsidRPr="00582FE1">
        <w:rPr>
          <w:vertAlign w:val="superscript"/>
        </w:rPr>
        <w:t>th</w:t>
      </w:r>
      <w:r w:rsidR="00A81A19">
        <w:t xml:space="preserve"> degree tear)</w:t>
      </w:r>
      <w:r w:rsidRPr="00451069">
        <w:t xml:space="preserve">. </w:t>
      </w:r>
    </w:p>
    <w:p w:rsidR="00F2402A" w:rsidRPr="00451069" w:rsidRDefault="003D2932" w:rsidP="00E75CCF">
      <w:pPr>
        <w:spacing w:before="100" w:beforeAutospacing="1" w:after="100" w:afterAutospacing="1" w:line="480" w:lineRule="auto"/>
        <w:ind w:firstLine="720"/>
        <w:contextualSpacing/>
      </w:pPr>
      <w:r w:rsidRPr="00451069">
        <w:t>The finalised dataset of 2,426 singleton births at 36 weeks or more gestation was entered in</w:t>
      </w:r>
      <w:r w:rsidR="008269D7" w:rsidRPr="00451069">
        <w:t xml:space="preserve">to </w:t>
      </w:r>
      <w:r w:rsidR="008269D7" w:rsidRPr="00451069">
        <w:rPr>
          <w:rStyle w:val="smallcaps2"/>
        </w:rPr>
        <w:t>excel</w:t>
      </w:r>
      <w:r w:rsidR="008269D7" w:rsidRPr="00451069">
        <w:t xml:space="preserve"> spreadsheets</w:t>
      </w:r>
      <w:r w:rsidR="00506EBA">
        <w:t xml:space="preserve"> (all patient identifiable data were excluded)</w:t>
      </w:r>
      <w:r w:rsidR="008269D7" w:rsidRPr="00451069">
        <w:t xml:space="preserve"> and migrated into SPSS version 22 for analysis. Ethical approval was not required for these audits, </w:t>
      </w:r>
      <w:r w:rsidR="00E7249C">
        <w:t xml:space="preserve">(no patient identifiable data was collected) </w:t>
      </w:r>
      <w:r w:rsidR="008269D7" w:rsidRPr="00451069">
        <w:t xml:space="preserve">for which approval was granted by the directorate </w:t>
      </w:r>
      <w:r w:rsidR="008269D7" w:rsidRPr="00451069">
        <w:lastRenderedPageBreak/>
        <w:t xml:space="preserve">audit committee at LWH. No formal sample size was calculated as we collected data on all cases over a specified time period. Continuous variables were reported using means and standard deviations, categorical variables were reported using counts and percentages. Between group differences were initially </w:t>
      </w:r>
      <w:r w:rsidR="006A4E8B">
        <w:t>assessed</w:t>
      </w:r>
      <w:r w:rsidR="008269D7" w:rsidRPr="00451069">
        <w:t xml:space="preserve"> using analysis of variance and chi-squared tests. If a difference was detected between the four groups, pairwise post-hoc tests, with Bonferroni correction, were used to identify which groups were responsible for the differences.  </w:t>
      </w:r>
    </w:p>
    <w:p w:rsidR="00471B56" w:rsidRPr="00DF4A96" w:rsidRDefault="00897264" w:rsidP="000E6A38">
      <w:pPr>
        <w:pStyle w:val="Heading1"/>
        <w:rPr>
          <w:sz w:val="36"/>
        </w:rPr>
      </w:pPr>
      <w:r w:rsidRPr="00DF4A96">
        <w:rPr>
          <w:sz w:val="36"/>
        </w:rPr>
        <w:t>R</w:t>
      </w:r>
      <w:r w:rsidR="004D3EF4" w:rsidRPr="00DF4A96">
        <w:rPr>
          <w:sz w:val="36"/>
        </w:rPr>
        <w:t>esults</w:t>
      </w:r>
    </w:p>
    <w:p w:rsidR="000706D6" w:rsidRDefault="006309D7" w:rsidP="001D35E8">
      <w:pPr>
        <w:spacing w:before="100" w:beforeAutospacing="1" w:after="100" w:afterAutospacing="1" w:line="480" w:lineRule="auto"/>
        <w:ind w:firstLine="720"/>
        <w:contextualSpacing/>
      </w:pPr>
      <w:r w:rsidRPr="00451069">
        <w:t xml:space="preserve">There were </w:t>
      </w:r>
      <w:r w:rsidR="008C0785" w:rsidRPr="00451069">
        <w:t>56,001</w:t>
      </w:r>
      <w:r w:rsidRPr="00451069">
        <w:t xml:space="preserve"> babies born at the </w:t>
      </w:r>
      <w:r w:rsidR="0024371D" w:rsidRPr="00451069">
        <w:t>LWH</w:t>
      </w:r>
      <w:r w:rsidRPr="00451069">
        <w:t xml:space="preserve"> </w:t>
      </w:r>
      <w:r w:rsidR="007F78E2" w:rsidRPr="00451069">
        <w:t>from the 2</w:t>
      </w:r>
      <w:r w:rsidR="007F78E2" w:rsidRPr="00451069">
        <w:rPr>
          <w:vertAlign w:val="superscript"/>
        </w:rPr>
        <w:t>nd</w:t>
      </w:r>
      <w:r w:rsidR="007F78E2" w:rsidRPr="00451069">
        <w:t xml:space="preserve"> Nov 2006 until the 31</w:t>
      </w:r>
      <w:r w:rsidR="007F78E2" w:rsidRPr="00451069">
        <w:rPr>
          <w:vertAlign w:val="superscript"/>
        </w:rPr>
        <w:t>st</w:t>
      </w:r>
      <w:r w:rsidR="007F78E2" w:rsidRPr="00451069">
        <w:t xml:space="preserve"> Aug 2013</w:t>
      </w:r>
      <w:r w:rsidRPr="00451069">
        <w:t>, of these,</w:t>
      </w:r>
      <w:r w:rsidR="00063D72">
        <w:t xml:space="preserve"> </w:t>
      </w:r>
      <w:r w:rsidR="004956C8">
        <w:t xml:space="preserve">42,079 </w:t>
      </w:r>
      <w:r w:rsidR="00063D72">
        <w:t xml:space="preserve">were vaginal births, </w:t>
      </w:r>
      <w:r w:rsidR="00C02E3D" w:rsidRPr="00451069">
        <w:t xml:space="preserve">34,414 </w:t>
      </w:r>
      <w:r w:rsidRPr="00451069">
        <w:t xml:space="preserve">were normal </w:t>
      </w:r>
      <w:r w:rsidR="00F95376">
        <w:t xml:space="preserve">spontaneous </w:t>
      </w:r>
      <w:r w:rsidRPr="00451069">
        <w:t>vaginal births, not requiring assistance (6</w:t>
      </w:r>
      <w:r w:rsidR="00A66262" w:rsidRPr="00451069">
        <w:t>1.5</w:t>
      </w:r>
      <w:r w:rsidRPr="00451069">
        <w:t>%)</w:t>
      </w:r>
      <w:r w:rsidR="001509F2">
        <w:t xml:space="preserve"> and </w:t>
      </w:r>
      <w:r w:rsidR="001509F2" w:rsidRPr="00451069">
        <w:t>7,</w:t>
      </w:r>
      <w:r w:rsidR="00A13B26">
        <w:t>665</w:t>
      </w:r>
      <w:r w:rsidR="001509F2" w:rsidRPr="00451069">
        <w:t xml:space="preserve"> </w:t>
      </w:r>
      <w:r w:rsidR="00F95376">
        <w:t xml:space="preserve">vaginal births </w:t>
      </w:r>
      <w:r w:rsidR="001509F2">
        <w:t xml:space="preserve">required </w:t>
      </w:r>
      <w:r w:rsidR="001509F2" w:rsidRPr="00451069">
        <w:t xml:space="preserve">operative </w:t>
      </w:r>
      <w:r w:rsidR="001509F2">
        <w:t xml:space="preserve">assistance </w:t>
      </w:r>
      <w:r w:rsidR="001509F2" w:rsidRPr="00451069">
        <w:t>(1</w:t>
      </w:r>
      <w:r w:rsidR="00D42B3D">
        <w:t>3.7</w:t>
      </w:r>
      <w:r w:rsidR="001509F2" w:rsidRPr="00451069">
        <w:t>%)</w:t>
      </w:r>
      <w:r w:rsidR="00FD3E85">
        <w:t xml:space="preserve">. </w:t>
      </w:r>
      <w:r w:rsidR="00E02191">
        <w:t>6122</w:t>
      </w:r>
      <w:r w:rsidRPr="00451069">
        <w:t xml:space="preserve"> </w:t>
      </w:r>
      <w:r w:rsidR="00F67665" w:rsidRPr="00451069">
        <w:t>births were</w:t>
      </w:r>
      <w:r w:rsidRPr="00451069">
        <w:t xml:space="preserve"> by planned elective caesarean sections (10.</w:t>
      </w:r>
      <w:r w:rsidR="00E02191">
        <w:t>9</w:t>
      </w:r>
      <w:r w:rsidRPr="00451069">
        <w:t xml:space="preserve">%); </w:t>
      </w:r>
      <w:r w:rsidR="001A59D0">
        <w:t xml:space="preserve"> </w:t>
      </w:r>
      <w:r w:rsidR="00A13B26">
        <w:t>7800</w:t>
      </w:r>
      <w:r w:rsidRPr="00451069">
        <w:t xml:space="preserve"> births were by emergency caesarean section (</w:t>
      </w:r>
      <w:r w:rsidR="00D42B3D">
        <w:t>13.9</w:t>
      </w:r>
      <w:r w:rsidRPr="00451069">
        <w:t xml:space="preserve">%), </w:t>
      </w:r>
      <w:r w:rsidR="00E07385" w:rsidRPr="00451069">
        <w:t>790</w:t>
      </w:r>
      <w:r w:rsidRPr="00451069">
        <w:t xml:space="preserve"> of those were performed at full dilatation (1.</w:t>
      </w:r>
      <w:r w:rsidR="00E07385" w:rsidRPr="00451069">
        <w:t>4%</w:t>
      </w:r>
      <w:r w:rsidRPr="00451069">
        <w:t xml:space="preserve">); out of which </w:t>
      </w:r>
      <w:r w:rsidR="00E07385" w:rsidRPr="00451069">
        <w:t>263</w:t>
      </w:r>
      <w:r w:rsidRPr="00451069">
        <w:t xml:space="preserve"> were performed for the primary indication of delay in second stage of labour due to fetal malposition without a</w:t>
      </w:r>
      <w:r w:rsidR="0011752B" w:rsidRPr="00451069">
        <w:t xml:space="preserve"> trial </w:t>
      </w:r>
      <w:r w:rsidR="00394683" w:rsidRPr="00451069">
        <w:t>of</w:t>
      </w:r>
      <w:r w:rsidR="0011752B" w:rsidRPr="00451069">
        <w:t xml:space="preserve"> instrumental </w:t>
      </w:r>
      <w:r w:rsidR="0024371D" w:rsidRPr="00451069">
        <w:t>birth</w:t>
      </w:r>
      <w:r w:rsidR="00B015FA" w:rsidRPr="00451069">
        <w:t xml:space="preserve"> (pEMCS)</w:t>
      </w:r>
      <w:r w:rsidR="00EB5C24" w:rsidRPr="00451069">
        <w:t>.</w:t>
      </w:r>
      <w:r w:rsidRPr="00451069">
        <w:t xml:space="preserve"> </w:t>
      </w:r>
      <w:r w:rsidR="00EB5C24" w:rsidRPr="00451069">
        <w:t>There were</w:t>
      </w:r>
      <w:r w:rsidR="001B0A59" w:rsidRPr="00451069">
        <w:t xml:space="preserve"> 2</w:t>
      </w:r>
      <w:r w:rsidR="00C664D7" w:rsidRPr="00451069">
        <w:t>,</w:t>
      </w:r>
      <w:r w:rsidR="001B0A59" w:rsidRPr="00451069">
        <w:t xml:space="preserve">426 consecutive full term singleton cephalic births between </w:t>
      </w:r>
      <w:r w:rsidR="00FE0B32" w:rsidRPr="00451069">
        <w:t>the 2</w:t>
      </w:r>
      <w:r w:rsidR="00FE0B32" w:rsidRPr="00451069">
        <w:rPr>
          <w:vertAlign w:val="superscript"/>
        </w:rPr>
        <w:t>nd</w:t>
      </w:r>
      <w:r w:rsidR="00FE0B32" w:rsidRPr="00451069">
        <w:t xml:space="preserve"> of Nov 2006 and the 31</w:t>
      </w:r>
      <w:r w:rsidR="00FE0B32" w:rsidRPr="00451069">
        <w:rPr>
          <w:vertAlign w:val="superscript"/>
        </w:rPr>
        <w:t>st</w:t>
      </w:r>
      <w:r w:rsidR="00FE0B32" w:rsidRPr="00451069">
        <w:t xml:space="preserve"> of Aug 2013</w:t>
      </w:r>
      <w:r w:rsidR="001B0A59" w:rsidRPr="00451069">
        <w:t xml:space="preserve"> with malposition of the fetal head during the 2</w:t>
      </w:r>
      <w:r w:rsidR="001B0A59" w:rsidRPr="00451069">
        <w:rPr>
          <w:vertAlign w:val="superscript"/>
        </w:rPr>
        <w:t>nd</w:t>
      </w:r>
      <w:r w:rsidR="001B0A59" w:rsidRPr="00451069">
        <w:t xml:space="preserve"> stage of labour</w:t>
      </w:r>
      <w:r w:rsidR="00F646CC">
        <w:t xml:space="preserve"> leading to a successful rotational delivery or pEMCS</w:t>
      </w:r>
      <w:r w:rsidR="001B0A59" w:rsidRPr="00451069">
        <w:t xml:space="preserve">. </w:t>
      </w:r>
      <w:r w:rsidR="00EB5C24" w:rsidRPr="00451069">
        <w:t xml:space="preserve">Our </w:t>
      </w:r>
      <w:r w:rsidR="00A05116" w:rsidRPr="00451069">
        <w:t xml:space="preserve">final </w:t>
      </w:r>
      <w:r w:rsidR="00EB5C24" w:rsidRPr="00451069">
        <w:t>dataset included</w:t>
      </w:r>
      <w:r w:rsidR="001B0A59" w:rsidRPr="00451069">
        <w:t xml:space="preserve"> </w:t>
      </w:r>
      <w:r w:rsidR="0013081A" w:rsidRPr="00451069">
        <w:t>349 successful MROT (</w:t>
      </w:r>
      <w:r w:rsidR="007F3164" w:rsidRPr="00451069">
        <w:t>0.62</w:t>
      </w:r>
      <w:r w:rsidR="0013081A" w:rsidRPr="00451069">
        <w:t>%)</w:t>
      </w:r>
      <w:r w:rsidR="00D93075" w:rsidRPr="00451069">
        <w:t xml:space="preserve"> </w:t>
      </w:r>
      <w:r w:rsidR="00E4261D" w:rsidRPr="00451069">
        <w:t>171 successful RV (</w:t>
      </w:r>
      <w:r w:rsidR="007F3164" w:rsidRPr="00451069">
        <w:t>0.31%</w:t>
      </w:r>
      <w:r w:rsidR="00E4261D" w:rsidRPr="00451069">
        <w:t>),</w:t>
      </w:r>
      <w:r w:rsidR="0013081A" w:rsidRPr="00451069">
        <w:t xml:space="preserve"> 1</w:t>
      </w:r>
      <w:r w:rsidR="00C664D7" w:rsidRPr="00451069">
        <w:t>,</w:t>
      </w:r>
      <w:r w:rsidR="0013081A" w:rsidRPr="00451069">
        <w:t>643</w:t>
      </w:r>
      <w:r w:rsidR="001B0A59" w:rsidRPr="00451069">
        <w:t xml:space="preserve"> </w:t>
      </w:r>
      <w:r w:rsidR="0013081A" w:rsidRPr="00451069">
        <w:t>successful</w:t>
      </w:r>
      <w:r w:rsidR="001B0A59" w:rsidRPr="00451069">
        <w:t xml:space="preserve"> KF (</w:t>
      </w:r>
      <w:r w:rsidR="00176A67" w:rsidRPr="00451069">
        <w:t>2.93</w:t>
      </w:r>
      <w:r w:rsidR="002153C1" w:rsidRPr="00451069">
        <w:t xml:space="preserve">%) </w:t>
      </w:r>
      <w:r w:rsidR="001B0A59" w:rsidRPr="00451069">
        <w:t xml:space="preserve">and </w:t>
      </w:r>
      <w:r w:rsidR="0013081A" w:rsidRPr="00451069">
        <w:t>263</w:t>
      </w:r>
      <w:r w:rsidR="001B0A59" w:rsidRPr="00451069">
        <w:t xml:space="preserve"> pEMCS (</w:t>
      </w:r>
      <w:r w:rsidR="00176A67" w:rsidRPr="00451069">
        <w:t>0.47</w:t>
      </w:r>
      <w:r w:rsidR="001B0A59" w:rsidRPr="00451069">
        <w:t>%)</w:t>
      </w:r>
      <w:r w:rsidR="00D42556">
        <w:t xml:space="preserve"> (</w:t>
      </w:r>
      <w:r w:rsidR="000706D6">
        <w:t>F</w:t>
      </w:r>
      <w:r w:rsidR="00D42556">
        <w:t>ig</w:t>
      </w:r>
      <w:r w:rsidR="003212B6">
        <w:t>ure</w:t>
      </w:r>
      <w:r w:rsidR="00D42556">
        <w:t xml:space="preserve"> 1)</w:t>
      </w:r>
      <w:r w:rsidR="001B0A59" w:rsidRPr="00451069">
        <w:t>.</w:t>
      </w:r>
    </w:p>
    <w:p w:rsidR="00BE7171" w:rsidRDefault="00FE798E" w:rsidP="00FE798E">
      <w:pPr>
        <w:spacing w:line="480" w:lineRule="auto"/>
        <w:contextualSpacing/>
      </w:pPr>
      <w:r>
        <w:rPr>
          <w:b/>
        </w:rPr>
        <w:t>Figure 1.</w:t>
      </w:r>
      <w:r w:rsidRPr="00E9450F">
        <w:rPr>
          <w:b/>
        </w:rPr>
        <w:t xml:space="preserve"> </w:t>
      </w:r>
      <w:r>
        <w:rPr>
          <w:b/>
        </w:rPr>
        <w:t xml:space="preserve">A </w:t>
      </w:r>
      <w:r w:rsidR="00541CF1">
        <w:rPr>
          <w:b/>
        </w:rPr>
        <w:t xml:space="preserve">Flowchart </w:t>
      </w:r>
      <w:r w:rsidR="00550560">
        <w:rPr>
          <w:b/>
        </w:rPr>
        <w:t xml:space="preserve">demonstrating </w:t>
      </w:r>
      <w:r w:rsidR="003E7C3E">
        <w:rPr>
          <w:b/>
        </w:rPr>
        <w:t>how our final data set was captured</w:t>
      </w:r>
      <w:r w:rsidR="00541CF1">
        <w:rPr>
          <w:b/>
        </w:rPr>
        <w:t xml:space="preserve">. </w:t>
      </w:r>
    </w:p>
    <w:p w:rsidR="005C532E" w:rsidRPr="00451069" w:rsidRDefault="007E27D0" w:rsidP="00E75CCF">
      <w:pPr>
        <w:spacing w:line="480" w:lineRule="auto"/>
        <w:ind w:firstLine="720"/>
        <w:contextualSpacing/>
        <w:rPr>
          <w:vanish/>
        </w:rPr>
      </w:pPr>
      <w:r w:rsidRPr="00451069">
        <w:t>T</w:t>
      </w:r>
      <w:r w:rsidR="00EB5C24" w:rsidRPr="00451069">
        <w:t>he m</w:t>
      </w:r>
      <w:r w:rsidR="00F8201B" w:rsidRPr="00451069">
        <w:t xml:space="preserve">aternal age, induction of labour and seniority of doctor </w:t>
      </w:r>
      <w:r w:rsidR="00EB5C24" w:rsidRPr="00451069">
        <w:t xml:space="preserve">did not </w:t>
      </w:r>
      <w:r w:rsidR="00F8201B" w:rsidRPr="00451069">
        <w:t>differ</w:t>
      </w:r>
      <w:r w:rsidR="00EB5C24" w:rsidRPr="00451069">
        <w:t xml:space="preserve"> among the pati</w:t>
      </w:r>
      <w:r w:rsidR="00F8201B" w:rsidRPr="00451069">
        <w:t>ent groups</w:t>
      </w:r>
      <w:r w:rsidR="00954F7B" w:rsidRPr="00451069">
        <w:t xml:space="preserve"> (Table</w:t>
      </w:r>
      <w:r w:rsidR="005F0A12">
        <w:t xml:space="preserve"> 1</w:t>
      </w:r>
      <w:r w:rsidR="00EB5C24" w:rsidRPr="00451069">
        <w:t xml:space="preserve">). </w:t>
      </w:r>
      <w:bookmarkStart w:id="10" w:name="35"/>
      <w:bookmarkStart w:id="11" w:name="39"/>
      <w:bookmarkEnd w:id="10"/>
      <w:bookmarkEnd w:id="11"/>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66"/>
      </w:tblGrid>
      <w:tr w:rsidR="005C532E" w:rsidRPr="00451069" w:rsidTr="005C532E">
        <w:trPr>
          <w:tblCellSpacing w:w="15" w:type="dxa"/>
        </w:trPr>
        <w:tc>
          <w:tcPr>
            <w:tcW w:w="0" w:type="auto"/>
            <w:shd w:val="clear" w:color="auto" w:fill="FFFFFF"/>
            <w:hideMark/>
          </w:tcPr>
          <w:p w:rsidR="000C481A" w:rsidRPr="00451069" w:rsidRDefault="000C481A">
            <w:pPr>
              <w:pStyle w:val="fulltext-text"/>
              <w:spacing w:before="0" w:beforeAutospacing="0" w:after="0" w:line="480" w:lineRule="auto"/>
              <w:contextualSpacing/>
              <w:rPr>
                <w:color w:val="2D2D2D"/>
              </w:rPr>
            </w:pPr>
            <w:bookmarkStart w:id="12" w:name="40"/>
            <w:bookmarkEnd w:id="12"/>
          </w:p>
        </w:tc>
      </w:tr>
    </w:tbl>
    <w:p w:rsidR="00AA09EA" w:rsidRPr="001C43C7" w:rsidRDefault="0011258A" w:rsidP="00AA09EA">
      <w:pPr>
        <w:spacing w:before="100" w:beforeAutospacing="1" w:after="100" w:afterAutospacing="1" w:line="480" w:lineRule="auto"/>
        <w:contextualSpacing/>
        <w:rPr>
          <w:b/>
        </w:rPr>
      </w:pPr>
      <w:r w:rsidRPr="001C43C7">
        <w:rPr>
          <w:b/>
        </w:rPr>
        <w:t>T</w:t>
      </w:r>
      <w:r w:rsidR="00AA09EA" w:rsidRPr="001C43C7">
        <w:rPr>
          <w:b/>
        </w:rPr>
        <w:t>able 1</w:t>
      </w:r>
      <w:r w:rsidR="001C43C7">
        <w:rPr>
          <w:b/>
        </w:rPr>
        <w:t xml:space="preserve">. </w:t>
      </w:r>
      <w:r w:rsidR="00AA09EA" w:rsidRPr="001C43C7">
        <w:rPr>
          <w:b/>
        </w:rPr>
        <w:t>Demographics</w:t>
      </w:r>
    </w:p>
    <w:tbl>
      <w:tblPr>
        <w:tblStyle w:val="TableGrid"/>
        <w:tblW w:w="10490" w:type="dxa"/>
        <w:tblLayout w:type="fixed"/>
        <w:tblLook w:val="04A0" w:firstRow="1" w:lastRow="0" w:firstColumn="1" w:lastColumn="0" w:noHBand="0" w:noVBand="1"/>
      </w:tblPr>
      <w:tblGrid>
        <w:gridCol w:w="2694"/>
        <w:gridCol w:w="1696"/>
        <w:gridCol w:w="1423"/>
        <w:gridCol w:w="1559"/>
        <w:gridCol w:w="1559"/>
        <w:gridCol w:w="1559"/>
      </w:tblGrid>
      <w:tr w:rsidR="00AA09EA" w:rsidRPr="00332124" w:rsidTr="00975079">
        <w:tc>
          <w:tcPr>
            <w:tcW w:w="2694" w:type="dxa"/>
          </w:tcPr>
          <w:p w:rsidR="00AA09EA" w:rsidRPr="00332124" w:rsidRDefault="00AA09EA" w:rsidP="00635187">
            <w:pPr>
              <w:spacing w:line="480" w:lineRule="auto"/>
              <w:contextualSpacing/>
              <w:rPr>
                <w:b/>
              </w:rPr>
            </w:pPr>
            <w:r w:rsidRPr="00332124">
              <w:rPr>
                <w:b/>
              </w:rPr>
              <w:lastRenderedPageBreak/>
              <w:t>Variable</w:t>
            </w:r>
          </w:p>
        </w:tc>
        <w:tc>
          <w:tcPr>
            <w:tcW w:w="1696" w:type="dxa"/>
          </w:tcPr>
          <w:p w:rsidR="005509E6" w:rsidRDefault="005509E6" w:rsidP="005509E6">
            <w:pPr>
              <w:spacing w:line="480" w:lineRule="auto"/>
              <w:contextualSpacing/>
              <w:jc w:val="center"/>
              <w:rPr>
                <w:b/>
              </w:rPr>
            </w:pPr>
            <w:r>
              <w:rPr>
                <w:b/>
              </w:rPr>
              <w:t>MROT</w:t>
            </w:r>
          </w:p>
          <w:p w:rsidR="00AA09EA" w:rsidRPr="00332124" w:rsidRDefault="00AA09EA" w:rsidP="005509E6">
            <w:pPr>
              <w:spacing w:line="480" w:lineRule="auto"/>
              <w:contextualSpacing/>
              <w:jc w:val="center"/>
              <w:rPr>
                <w:b/>
              </w:rPr>
            </w:pPr>
            <w:r w:rsidRPr="00332124">
              <w:rPr>
                <w:b/>
              </w:rPr>
              <w:t>(n=349)</w:t>
            </w:r>
          </w:p>
        </w:tc>
        <w:tc>
          <w:tcPr>
            <w:tcW w:w="1423" w:type="dxa"/>
          </w:tcPr>
          <w:p w:rsidR="005509E6" w:rsidRDefault="005509E6" w:rsidP="005509E6">
            <w:pPr>
              <w:spacing w:line="480" w:lineRule="auto"/>
              <w:contextualSpacing/>
              <w:jc w:val="center"/>
              <w:rPr>
                <w:b/>
              </w:rPr>
            </w:pPr>
            <w:r>
              <w:rPr>
                <w:b/>
              </w:rPr>
              <w:t>RV</w:t>
            </w:r>
          </w:p>
          <w:p w:rsidR="00AA09EA" w:rsidRPr="00332124" w:rsidRDefault="00AA09EA" w:rsidP="005509E6">
            <w:pPr>
              <w:spacing w:line="480" w:lineRule="auto"/>
              <w:contextualSpacing/>
              <w:jc w:val="center"/>
              <w:rPr>
                <w:b/>
              </w:rPr>
            </w:pPr>
            <w:r w:rsidRPr="00332124">
              <w:rPr>
                <w:b/>
              </w:rPr>
              <w:t>(n=171)</w:t>
            </w:r>
          </w:p>
        </w:tc>
        <w:tc>
          <w:tcPr>
            <w:tcW w:w="1559" w:type="dxa"/>
          </w:tcPr>
          <w:p w:rsidR="00CE60CE" w:rsidRDefault="005509E6" w:rsidP="00CE60CE">
            <w:pPr>
              <w:spacing w:line="480" w:lineRule="auto"/>
              <w:contextualSpacing/>
              <w:jc w:val="center"/>
              <w:rPr>
                <w:b/>
              </w:rPr>
            </w:pPr>
            <w:r>
              <w:rPr>
                <w:b/>
              </w:rPr>
              <w:t>KF</w:t>
            </w:r>
          </w:p>
          <w:p w:rsidR="00AA09EA" w:rsidRPr="00332124" w:rsidRDefault="005509E6" w:rsidP="00CE60CE">
            <w:pPr>
              <w:spacing w:line="480" w:lineRule="auto"/>
              <w:contextualSpacing/>
              <w:jc w:val="center"/>
              <w:rPr>
                <w:b/>
              </w:rPr>
            </w:pPr>
            <w:r>
              <w:rPr>
                <w:b/>
              </w:rPr>
              <w:t xml:space="preserve"> </w:t>
            </w:r>
            <w:r w:rsidR="00AA09EA" w:rsidRPr="00332124">
              <w:rPr>
                <w:b/>
              </w:rPr>
              <w:t>(n=1643)</w:t>
            </w:r>
          </w:p>
        </w:tc>
        <w:tc>
          <w:tcPr>
            <w:tcW w:w="1559" w:type="dxa"/>
          </w:tcPr>
          <w:p w:rsidR="00AA09EA" w:rsidRPr="00332124" w:rsidRDefault="00AA09EA" w:rsidP="005509E6">
            <w:pPr>
              <w:spacing w:line="480" w:lineRule="auto"/>
              <w:contextualSpacing/>
              <w:jc w:val="center"/>
              <w:rPr>
                <w:b/>
              </w:rPr>
            </w:pPr>
            <w:r w:rsidRPr="00332124">
              <w:rPr>
                <w:b/>
              </w:rPr>
              <w:t>pEMCS (n=263)</w:t>
            </w:r>
          </w:p>
        </w:tc>
        <w:tc>
          <w:tcPr>
            <w:tcW w:w="1559" w:type="dxa"/>
          </w:tcPr>
          <w:p w:rsidR="00AA09EA" w:rsidRPr="00332124" w:rsidRDefault="00AA09EA" w:rsidP="005509E6">
            <w:pPr>
              <w:spacing w:line="480" w:lineRule="auto"/>
              <w:contextualSpacing/>
              <w:jc w:val="center"/>
              <w:rPr>
                <w:b/>
              </w:rPr>
            </w:pPr>
            <w:r w:rsidRPr="00332124">
              <w:rPr>
                <w:b/>
              </w:rPr>
              <w:t>Significance</w:t>
            </w:r>
          </w:p>
        </w:tc>
      </w:tr>
      <w:tr w:rsidR="00AA09EA" w:rsidRPr="00332124" w:rsidTr="00975079">
        <w:tc>
          <w:tcPr>
            <w:tcW w:w="2694" w:type="dxa"/>
          </w:tcPr>
          <w:p w:rsidR="00AA09EA" w:rsidRPr="00332124" w:rsidRDefault="00AA09EA" w:rsidP="00635187">
            <w:pPr>
              <w:spacing w:line="480" w:lineRule="auto"/>
              <w:contextualSpacing/>
              <w:rPr>
                <w:vertAlign w:val="superscript"/>
              </w:rPr>
            </w:pPr>
            <w:r w:rsidRPr="00332124">
              <w:t>Age (yrs)</w:t>
            </w:r>
            <w:r w:rsidRPr="00332124">
              <w:rPr>
                <w:vertAlign w:val="superscript"/>
              </w:rPr>
              <w:t xml:space="preserve">1 </w:t>
            </w:r>
            <w:r w:rsidRPr="00332124">
              <w:t>mean (st. dev)</w:t>
            </w:r>
          </w:p>
        </w:tc>
        <w:tc>
          <w:tcPr>
            <w:tcW w:w="1696" w:type="dxa"/>
          </w:tcPr>
          <w:p w:rsidR="00AA09EA" w:rsidRPr="00332124" w:rsidRDefault="00AA09EA" w:rsidP="00635187">
            <w:pPr>
              <w:spacing w:line="480" w:lineRule="auto"/>
              <w:contextualSpacing/>
            </w:pPr>
            <w:r w:rsidRPr="00332124">
              <w:t>29.25</w:t>
            </w:r>
            <w:r w:rsidR="00526730">
              <w:t xml:space="preserve"> </w:t>
            </w:r>
            <w:r w:rsidRPr="00332124">
              <w:t>(5.73)</w:t>
            </w:r>
          </w:p>
        </w:tc>
        <w:tc>
          <w:tcPr>
            <w:tcW w:w="1423" w:type="dxa"/>
          </w:tcPr>
          <w:p w:rsidR="00AA09EA" w:rsidRPr="00332124" w:rsidRDefault="00AA09EA" w:rsidP="00635187">
            <w:pPr>
              <w:spacing w:line="480" w:lineRule="auto"/>
              <w:contextualSpacing/>
            </w:pPr>
            <w:r w:rsidRPr="00332124">
              <w:t>29.35</w:t>
            </w:r>
            <w:r w:rsidR="00526730">
              <w:t xml:space="preserve"> </w:t>
            </w:r>
            <w:r w:rsidRPr="00332124">
              <w:t>(5.97)</w:t>
            </w:r>
          </w:p>
        </w:tc>
        <w:tc>
          <w:tcPr>
            <w:tcW w:w="1559" w:type="dxa"/>
          </w:tcPr>
          <w:p w:rsidR="00AA09EA" w:rsidRPr="00332124" w:rsidRDefault="00AA09EA" w:rsidP="00635187">
            <w:pPr>
              <w:spacing w:line="480" w:lineRule="auto"/>
              <w:contextualSpacing/>
            </w:pPr>
            <w:r w:rsidRPr="00332124">
              <w:t>29.25</w:t>
            </w:r>
            <w:r w:rsidR="00526730">
              <w:t xml:space="preserve"> </w:t>
            </w:r>
            <w:r w:rsidRPr="00332124">
              <w:t>(5.78)</w:t>
            </w:r>
          </w:p>
        </w:tc>
        <w:tc>
          <w:tcPr>
            <w:tcW w:w="1559" w:type="dxa"/>
          </w:tcPr>
          <w:p w:rsidR="00AA09EA" w:rsidRPr="00332124" w:rsidRDefault="00AA09EA" w:rsidP="00635187">
            <w:pPr>
              <w:spacing w:line="480" w:lineRule="auto"/>
              <w:contextualSpacing/>
            </w:pPr>
            <w:r w:rsidRPr="00332124">
              <w:t>30.29</w:t>
            </w:r>
            <w:r w:rsidR="00526730">
              <w:t xml:space="preserve"> </w:t>
            </w:r>
            <w:r w:rsidRPr="00332124">
              <w:t>(5.96)</w:t>
            </w:r>
          </w:p>
        </w:tc>
        <w:tc>
          <w:tcPr>
            <w:tcW w:w="1559" w:type="dxa"/>
          </w:tcPr>
          <w:p w:rsidR="00AA09EA" w:rsidRPr="00332124" w:rsidRDefault="00AA09EA" w:rsidP="00635187">
            <w:pPr>
              <w:spacing w:line="480" w:lineRule="auto"/>
              <w:contextualSpacing/>
              <w:rPr>
                <w:vertAlign w:val="superscript"/>
              </w:rPr>
            </w:pPr>
            <w:r w:rsidRPr="00332124">
              <w:t>P=0.06</w:t>
            </w:r>
          </w:p>
        </w:tc>
      </w:tr>
      <w:tr w:rsidR="00AA09EA" w:rsidRPr="00332124" w:rsidTr="00975079">
        <w:tc>
          <w:tcPr>
            <w:tcW w:w="2694" w:type="dxa"/>
          </w:tcPr>
          <w:p w:rsidR="00AA09EA" w:rsidRPr="00332124" w:rsidRDefault="00AA09EA" w:rsidP="0008210B">
            <w:pPr>
              <w:spacing w:line="480" w:lineRule="auto"/>
              <w:contextualSpacing/>
            </w:pPr>
            <w:r w:rsidRPr="00332124">
              <w:t>BMI</w:t>
            </w:r>
            <w:r w:rsidRPr="00332124">
              <w:rPr>
                <w:vertAlign w:val="superscript"/>
              </w:rPr>
              <w:t>1</w:t>
            </w:r>
            <w:r w:rsidR="0008210B">
              <w:rPr>
                <w:vertAlign w:val="superscript"/>
              </w:rPr>
              <w:t xml:space="preserve"> </w:t>
            </w:r>
            <w:r w:rsidRPr="0008210B">
              <w:t>mean(st.dev)</w:t>
            </w:r>
          </w:p>
        </w:tc>
        <w:tc>
          <w:tcPr>
            <w:tcW w:w="1696" w:type="dxa"/>
          </w:tcPr>
          <w:p w:rsidR="00AA09EA" w:rsidRPr="00332124" w:rsidRDefault="00D7321F" w:rsidP="00635187">
            <w:pPr>
              <w:spacing w:line="480" w:lineRule="auto"/>
              <w:contextualSpacing/>
              <w:rPr>
                <w:vertAlign w:val="superscript"/>
              </w:rPr>
            </w:pPr>
            <w:r>
              <w:t>24.89</w:t>
            </w:r>
            <w:r w:rsidR="00526730">
              <w:t xml:space="preserve"> </w:t>
            </w:r>
            <w:r w:rsidR="00AA09EA" w:rsidRPr="00332124">
              <w:t>(4.79)</w:t>
            </w:r>
          </w:p>
        </w:tc>
        <w:tc>
          <w:tcPr>
            <w:tcW w:w="1423" w:type="dxa"/>
          </w:tcPr>
          <w:p w:rsidR="00AA09EA" w:rsidRPr="00332124" w:rsidRDefault="00D7321F" w:rsidP="00635187">
            <w:pPr>
              <w:spacing w:line="480" w:lineRule="auto"/>
              <w:contextualSpacing/>
              <w:rPr>
                <w:vertAlign w:val="superscript"/>
              </w:rPr>
            </w:pPr>
            <w:r>
              <w:t>24.48</w:t>
            </w:r>
            <w:r w:rsidR="00526730">
              <w:t xml:space="preserve"> </w:t>
            </w:r>
            <w:r w:rsidR="00AA09EA" w:rsidRPr="00332124">
              <w:t>(5.18)</w:t>
            </w:r>
          </w:p>
        </w:tc>
        <w:tc>
          <w:tcPr>
            <w:tcW w:w="1559" w:type="dxa"/>
          </w:tcPr>
          <w:p w:rsidR="00AA09EA" w:rsidRPr="00332124" w:rsidRDefault="00D7321F" w:rsidP="00635187">
            <w:pPr>
              <w:spacing w:line="480" w:lineRule="auto"/>
              <w:contextualSpacing/>
              <w:rPr>
                <w:vertAlign w:val="superscript"/>
              </w:rPr>
            </w:pPr>
            <w:r>
              <w:t>25.26</w:t>
            </w:r>
            <w:r w:rsidR="00526730">
              <w:t xml:space="preserve"> </w:t>
            </w:r>
            <w:r w:rsidR="00AA09EA" w:rsidRPr="00332124">
              <w:t>(4.89)</w:t>
            </w:r>
          </w:p>
        </w:tc>
        <w:tc>
          <w:tcPr>
            <w:tcW w:w="1559" w:type="dxa"/>
          </w:tcPr>
          <w:p w:rsidR="00AA09EA" w:rsidRPr="00332124" w:rsidRDefault="00D7321F" w:rsidP="00635187">
            <w:pPr>
              <w:spacing w:line="480" w:lineRule="auto"/>
              <w:contextualSpacing/>
              <w:rPr>
                <w:vertAlign w:val="superscript"/>
              </w:rPr>
            </w:pPr>
            <w:r>
              <w:t>26.83</w:t>
            </w:r>
            <w:r w:rsidR="00526730">
              <w:t xml:space="preserve"> </w:t>
            </w:r>
            <w:r w:rsidR="00AA09EA" w:rsidRPr="00332124">
              <w:t>(6.27)</w:t>
            </w:r>
          </w:p>
        </w:tc>
        <w:tc>
          <w:tcPr>
            <w:tcW w:w="1559" w:type="dxa"/>
          </w:tcPr>
          <w:p w:rsidR="00AA09EA" w:rsidRPr="00332124" w:rsidRDefault="00AA09EA" w:rsidP="00635187">
            <w:pPr>
              <w:spacing w:line="480" w:lineRule="auto"/>
              <w:contextualSpacing/>
              <w:rPr>
                <w:vertAlign w:val="superscript"/>
              </w:rPr>
            </w:pPr>
            <w:r w:rsidRPr="00332124">
              <w:t>P&lt;0.001</w:t>
            </w:r>
          </w:p>
        </w:tc>
      </w:tr>
      <w:tr w:rsidR="00AA09EA" w:rsidRPr="00332124" w:rsidTr="00975079">
        <w:tc>
          <w:tcPr>
            <w:tcW w:w="2694" w:type="dxa"/>
          </w:tcPr>
          <w:p w:rsidR="00AA09EA" w:rsidRPr="00332124" w:rsidRDefault="00AA09EA" w:rsidP="00635187">
            <w:pPr>
              <w:spacing w:line="480" w:lineRule="auto"/>
              <w:contextualSpacing/>
              <w:rPr>
                <w:vertAlign w:val="superscript"/>
              </w:rPr>
            </w:pPr>
            <w:r w:rsidRPr="00332124">
              <w:t>Multiparity</w:t>
            </w:r>
            <w:r w:rsidRPr="00332124">
              <w:rPr>
                <w:vertAlign w:val="superscript"/>
              </w:rPr>
              <w:t xml:space="preserve">2 </w:t>
            </w:r>
            <w:r w:rsidRPr="00332124">
              <w:t>N(%)</w:t>
            </w:r>
          </w:p>
        </w:tc>
        <w:tc>
          <w:tcPr>
            <w:tcW w:w="1696" w:type="dxa"/>
          </w:tcPr>
          <w:p w:rsidR="00AA09EA" w:rsidRPr="00332124" w:rsidRDefault="00AA09EA" w:rsidP="00635187">
            <w:pPr>
              <w:spacing w:line="480" w:lineRule="auto"/>
              <w:contextualSpacing/>
            </w:pPr>
            <w:r w:rsidRPr="00332124">
              <w:t>56(16.0)</w:t>
            </w:r>
          </w:p>
        </w:tc>
        <w:tc>
          <w:tcPr>
            <w:tcW w:w="1423" w:type="dxa"/>
          </w:tcPr>
          <w:p w:rsidR="00AA09EA" w:rsidRPr="00332124" w:rsidRDefault="00AA09EA" w:rsidP="00635187">
            <w:pPr>
              <w:spacing w:line="480" w:lineRule="auto"/>
              <w:contextualSpacing/>
            </w:pPr>
            <w:r w:rsidRPr="00332124">
              <w:t>49(28.8)</w:t>
            </w:r>
          </w:p>
        </w:tc>
        <w:tc>
          <w:tcPr>
            <w:tcW w:w="1559" w:type="dxa"/>
          </w:tcPr>
          <w:p w:rsidR="00AA09EA" w:rsidRPr="00332124" w:rsidRDefault="00AA09EA" w:rsidP="00635187">
            <w:pPr>
              <w:spacing w:line="480" w:lineRule="auto"/>
              <w:contextualSpacing/>
            </w:pPr>
            <w:r w:rsidRPr="00332124">
              <w:t>289 (17.6)</w:t>
            </w:r>
          </w:p>
        </w:tc>
        <w:tc>
          <w:tcPr>
            <w:tcW w:w="1559" w:type="dxa"/>
          </w:tcPr>
          <w:p w:rsidR="00AA09EA" w:rsidRPr="00332124" w:rsidRDefault="00AA09EA" w:rsidP="00635187">
            <w:pPr>
              <w:spacing w:line="480" w:lineRule="auto"/>
              <w:contextualSpacing/>
            </w:pPr>
            <w:r w:rsidRPr="00332124">
              <w:t>49(18.6)</w:t>
            </w:r>
          </w:p>
        </w:tc>
        <w:tc>
          <w:tcPr>
            <w:tcW w:w="1559" w:type="dxa"/>
          </w:tcPr>
          <w:p w:rsidR="00AA09EA" w:rsidRPr="00332124" w:rsidRDefault="00AA09EA" w:rsidP="00635187">
            <w:pPr>
              <w:spacing w:line="480" w:lineRule="auto"/>
              <w:contextualSpacing/>
              <w:rPr>
                <w:vertAlign w:val="superscript"/>
              </w:rPr>
            </w:pPr>
            <w:r w:rsidRPr="00332124">
              <w:t>P=0.002</w:t>
            </w:r>
          </w:p>
        </w:tc>
      </w:tr>
      <w:tr w:rsidR="00AA09EA" w:rsidRPr="00332124" w:rsidTr="00975079">
        <w:tc>
          <w:tcPr>
            <w:tcW w:w="2694" w:type="dxa"/>
          </w:tcPr>
          <w:p w:rsidR="00AA09EA" w:rsidRPr="00332124" w:rsidRDefault="00AA09EA" w:rsidP="00635187">
            <w:pPr>
              <w:spacing w:line="480" w:lineRule="auto"/>
              <w:contextualSpacing/>
            </w:pPr>
            <w:r w:rsidRPr="00332124">
              <w:t>Induction</w:t>
            </w:r>
            <w:r w:rsidRPr="00332124">
              <w:rPr>
                <w:vertAlign w:val="superscript"/>
              </w:rPr>
              <w:t>2</w:t>
            </w:r>
            <w:r w:rsidRPr="00332124">
              <w:t xml:space="preserve">  N(%)</w:t>
            </w:r>
          </w:p>
        </w:tc>
        <w:tc>
          <w:tcPr>
            <w:tcW w:w="1696" w:type="dxa"/>
          </w:tcPr>
          <w:p w:rsidR="00AA09EA" w:rsidRPr="00332124" w:rsidRDefault="00AA09EA" w:rsidP="00635187">
            <w:pPr>
              <w:spacing w:line="480" w:lineRule="auto"/>
              <w:contextualSpacing/>
            </w:pPr>
            <w:r w:rsidRPr="00332124">
              <w:t>115 (33.0)</w:t>
            </w:r>
          </w:p>
        </w:tc>
        <w:tc>
          <w:tcPr>
            <w:tcW w:w="1423" w:type="dxa"/>
          </w:tcPr>
          <w:p w:rsidR="00AA09EA" w:rsidRPr="00332124" w:rsidRDefault="00AA09EA" w:rsidP="00635187">
            <w:pPr>
              <w:spacing w:line="480" w:lineRule="auto"/>
              <w:contextualSpacing/>
            </w:pPr>
            <w:r w:rsidRPr="00332124">
              <w:t>59 (34.5)</w:t>
            </w:r>
          </w:p>
        </w:tc>
        <w:tc>
          <w:tcPr>
            <w:tcW w:w="1559" w:type="dxa"/>
          </w:tcPr>
          <w:p w:rsidR="00AA09EA" w:rsidRPr="00332124" w:rsidRDefault="00AA09EA" w:rsidP="00635187">
            <w:pPr>
              <w:spacing w:line="480" w:lineRule="auto"/>
              <w:contextualSpacing/>
            </w:pPr>
            <w:r w:rsidRPr="00332124">
              <w:t>573 (34.9)</w:t>
            </w:r>
          </w:p>
        </w:tc>
        <w:tc>
          <w:tcPr>
            <w:tcW w:w="1559" w:type="dxa"/>
          </w:tcPr>
          <w:p w:rsidR="00AA09EA" w:rsidRPr="00332124" w:rsidRDefault="00AA09EA" w:rsidP="00635187">
            <w:pPr>
              <w:spacing w:line="480" w:lineRule="auto"/>
              <w:contextualSpacing/>
            </w:pPr>
            <w:r w:rsidRPr="00332124">
              <w:t>92 (35.0)</w:t>
            </w:r>
          </w:p>
        </w:tc>
        <w:tc>
          <w:tcPr>
            <w:tcW w:w="1559" w:type="dxa"/>
          </w:tcPr>
          <w:p w:rsidR="00AA09EA" w:rsidRPr="00332124" w:rsidRDefault="00AA09EA" w:rsidP="00635187">
            <w:pPr>
              <w:spacing w:line="480" w:lineRule="auto"/>
              <w:contextualSpacing/>
            </w:pPr>
            <w:r w:rsidRPr="00332124">
              <w:t>P=0.92</w:t>
            </w:r>
          </w:p>
        </w:tc>
      </w:tr>
      <w:tr w:rsidR="00AA09EA" w:rsidRPr="00332124" w:rsidTr="00975079">
        <w:tc>
          <w:tcPr>
            <w:tcW w:w="2694" w:type="dxa"/>
          </w:tcPr>
          <w:p w:rsidR="00512FFE" w:rsidRDefault="00AA09EA" w:rsidP="00635187">
            <w:pPr>
              <w:spacing w:line="480" w:lineRule="auto"/>
              <w:contextualSpacing/>
            </w:pPr>
            <w:r w:rsidRPr="00332124">
              <w:t>Epidural</w:t>
            </w:r>
            <w:r w:rsidRPr="00332124">
              <w:rPr>
                <w:vertAlign w:val="superscript"/>
              </w:rPr>
              <w:t>2</w:t>
            </w:r>
            <w:r w:rsidRPr="00332124">
              <w:t xml:space="preserve">  </w:t>
            </w:r>
            <w:r w:rsidR="00107C23">
              <w:t xml:space="preserve"> N</w:t>
            </w:r>
          </w:p>
          <w:p w:rsidR="00AA09EA" w:rsidRPr="00332124" w:rsidRDefault="00512FFE" w:rsidP="00635187">
            <w:pPr>
              <w:spacing w:line="480" w:lineRule="auto"/>
              <w:contextualSpacing/>
            </w:pPr>
            <w:r w:rsidRPr="00332124">
              <w:t xml:space="preserve"> </w:t>
            </w:r>
            <w:r w:rsidR="00AA09EA" w:rsidRPr="00332124">
              <w:t>(%)</w:t>
            </w:r>
          </w:p>
        </w:tc>
        <w:tc>
          <w:tcPr>
            <w:tcW w:w="1696" w:type="dxa"/>
          </w:tcPr>
          <w:p w:rsidR="00DC25F3" w:rsidRDefault="00AA09EA" w:rsidP="00635187">
            <w:pPr>
              <w:spacing w:line="480" w:lineRule="auto"/>
              <w:contextualSpacing/>
            </w:pPr>
            <w:r w:rsidRPr="00332124">
              <w:t>169</w:t>
            </w:r>
            <w:r w:rsidR="00DC25F3">
              <w:t>/348</w:t>
            </w:r>
          </w:p>
          <w:p w:rsidR="00AA09EA" w:rsidRPr="00332124" w:rsidRDefault="00512FFE" w:rsidP="00635187">
            <w:pPr>
              <w:spacing w:line="480" w:lineRule="auto"/>
              <w:contextualSpacing/>
              <w:rPr>
                <w:vertAlign w:val="superscript"/>
              </w:rPr>
            </w:pPr>
            <w:r>
              <w:t>(</w:t>
            </w:r>
            <w:r w:rsidR="00AA09EA" w:rsidRPr="00332124">
              <w:t>48.6)</w:t>
            </w:r>
          </w:p>
        </w:tc>
        <w:tc>
          <w:tcPr>
            <w:tcW w:w="1423" w:type="dxa"/>
          </w:tcPr>
          <w:p w:rsidR="00DC25F3" w:rsidRDefault="00AA09EA" w:rsidP="00635187">
            <w:pPr>
              <w:spacing w:line="480" w:lineRule="auto"/>
              <w:contextualSpacing/>
            </w:pPr>
            <w:r w:rsidRPr="00332124">
              <w:t>89</w:t>
            </w:r>
            <w:r w:rsidR="00DC25F3">
              <w:t>/171</w:t>
            </w:r>
          </w:p>
          <w:p w:rsidR="00AA09EA" w:rsidRPr="00332124" w:rsidRDefault="00AA09EA" w:rsidP="00635187">
            <w:pPr>
              <w:spacing w:line="480" w:lineRule="auto"/>
              <w:contextualSpacing/>
            </w:pPr>
            <w:r w:rsidRPr="00332124">
              <w:t>(49.7)</w:t>
            </w:r>
          </w:p>
        </w:tc>
        <w:tc>
          <w:tcPr>
            <w:tcW w:w="1559" w:type="dxa"/>
          </w:tcPr>
          <w:p w:rsidR="00DC25F3" w:rsidRDefault="00AA09EA" w:rsidP="00635187">
            <w:pPr>
              <w:spacing w:line="480" w:lineRule="auto"/>
              <w:contextualSpacing/>
            </w:pPr>
            <w:r w:rsidRPr="00332124">
              <w:t>833</w:t>
            </w:r>
            <w:r w:rsidR="00DC25F3">
              <w:t>/1642</w:t>
            </w:r>
          </w:p>
          <w:p w:rsidR="00AA09EA" w:rsidRPr="00332124" w:rsidRDefault="00AA09EA" w:rsidP="00635187">
            <w:pPr>
              <w:spacing w:line="480" w:lineRule="auto"/>
              <w:contextualSpacing/>
              <w:rPr>
                <w:vertAlign w:val="superscript"/>
              </w:rPr>
            </w:pPr>
            <w:r w:rsidRPr="00332124">
              <w:t>(50.7)</w:t>
            </w:r>
          </w:p>
        </w:tc>
        <w:tc>
          <w:tcPr>
            <w:tcW w:w="1559" w:type="dxa"/>
          </w:tcPr>
          <w:p w:rsidR="00DC25F3" w:rsidRDefault="00AA09EA" w:rsidP="00635187">
            <w:pPr>
              <w:spacing w:line="480" w:lineRule="auto"/>
              <w:contextualSpacing/>
            </w:pPr>
            <w:r w:rsidRPr="00332124">
              <w:t>59</w:t>
            </w:r>
            <w:r w:rsidR="00DC25F3">
              <w:t>/263</w:t>
            </w:r>
          </w:p>
          <w:p w:rsidR="00AA09EA" w:rsidRPr="00332124" w:rsidRDefault="00AA09EA" w:rsidP="00635187">
            <w:pPr>
              <w:spacing w:line="480" w:lineRule="auto"/>
              <w:contextualSpacing/>
            </w:pPr>
            <w:r w:rsidRPr="00332124">
              <w:t>(22.4)</w:t>
            </w:r>
          </w:p>
        </w:tc>
        <w:tc>
          <w:tcPr>
            <w:tcW w:w="1559" w:type="dxa"/>
          </w:tcPr>
          <w:p w:rsidR="00AA09EA" w:rsidRPr="00332124" w:rsidRDefault="00AA09EA" w:rsidP="00635187">
            <w:pPr>
              <w:spacing w:line="480" w:lineRule="auto"/>
              <w:contextualSpacing/>
              <w:rPr>
                <w:vertAlign w:val="superscript"/>
              </w:rPr>
            </w:pPr>
            <w:r w:rsidRPr="00332124">
              <w:t>P&lt;0.001</w:t>
            </w:r>
          </w:p>
        </w:tc>
      </w:tr>
      <w:tr w:rsidR="00AA09EA" w:rsidRPr="00332124" w:rsidTr="00975079">
        <w:tc>
          <w:tcPr>
            <w:tcW w:w="2694" w:type="dxa"/>
          </w:tcPr>
          <w:p w:rsidR="00AA09EA" w:rsidRPr="00975079" w:rsidRDefault="00AA09EA" w:rsidP="00635187">
            <w:pPr>
              <w:spacing w:line="480" w:lineRule="auto"/>
              <w:contextualSpacing/>
            </w:pPr>
            <w:r w:rsidRPr="00332124">
              <w:t>Duration 1</w:t>
            </w:r>
            <w:r w:rsidRPr="00332124">
              <w:rPr>
                <w:vertAlign w:val="superscript"/>
              </w:rPr>
              <w:t>st</w:t>
            </w:r>
            <w:r w:rsidRPr="00332124">
              <w:t xml:space="preserve"> stage</w:t>
            </w:r>
            <w:r w:rsidRPr="00332124">
              <w:rPr>
                <w:vertAlign w:val="superscript"/>
              </w:rPr>
              <w:t>1</w:t>
            </w:r>
            <w:r w:rsidR="001C09A6">
              <w:rPr>
                <w:vertAlign w:val="superscript"/>
              </w:rPr>
              <w:t>*</w:t>
            </w:r>
          </w:p>
          <w:p w:rsidR="00AA09EA" w:rsidRPr="00332124" w:rsidRDefault="00AA09EA" w:rsidP="00635187">
            <w:pPr>
              <w:spacing w:line="480" w:lineRule="auto"/>
              <w:contextualSpacing/>
            </w:pPr>
            <w:r w:rsidRPr="00332124">
              <w:t>Mean (st. dev)</w:t>
            </w:r>
          </w:p>
        </w:tc>
        <w:tc>
          <w:tcPr>
            <w:tcW w:w="1696" w:type="dxa"/>
          </w:tcPr>
          <w:p w:rsidR="00AE3E92" w:rsidRDefault="00975079" w:rsidP="00635187">
            <w:pPr>
              <w:spacing w:line="480" w:lineRule="auto"/>
              <w:contextualSpacing/>
            </w:pPr>
            <w:r>
              <w:t>530.87</w:t>
            </w:r>
          </w:p>
          <w:p w:rsidR="00AA09EA" w:rsidRPr="00AE3E92" w:rsidRDefault="00AE3E92" w:rsidP="00635187">
            <w:pPr>
              <w:spacing w:line="480" w:lineRule="auto"/>
              <w:contextualSpacing/>
            </w:pPr>
            <w:r>
              <w:t xml:space="preserve"> </w:t>
            </w:r>
            <w:r w:rsidR="00AA09EA" w:rsidRPr="00332124">
              <w:t>(306.48)</w:t>
            </w:r>
          </w:p>
        </w:tc>
        <w:tc>
          <w:tcPr>
            <w:tcW w:w="1423" w:type="dxa"/>
          </w:tcPr>
          <w:p w:rsidR="00AE3E92" w:rsidRDefault="00AA09EA" w:rsidP="00AE3E92">
            <w:pPr>
              <w:spacing w:line="480" w:lineRule="auto"/>
              <w:contextualSpacing/>
            </w:pPr>
            <w:r w:rsidRPr="00332124">
              <w:t>442.62</w:t>
            </w:r>
          </w:p>
          <w:p w:rsidR="00AA09EA" w:rsidRPr="00332124" w:rsidRDefault="00AA09EA" w:rsidP="00AE3E92">
            <w:pPr>
              <w:spacing w:line="480" w:lineRule="auto"/>
              <w:contextualSpacing/>
              <w:rPr>
                <w:vertAlign w:val="superscript"/>
              </w:rPr>
            </w:pPr>
            <w:r w:rsidRPr="00332124">
              <w:t>(269.73)</w:t>
            </w:r>
          </w:p>
        </w:tc>
        <w:tc>
          <w:tcPr>
            <w:tcW w:w="1559" w:type="dxa"/>
          </w:tcPr>
          <w:p w:rsidR="00AA09EA" w:rsidRPr="00332124" w:rsidRDefault="00AA09EA" w:rsidP="00AE3E92">
            <w:pPr>
              <w:spacing w:line="480" w:lineRule="auto"/>
              <w:contextualSpacing/>
              <w:rPr>
                <w:vertAlign w:val="superscript"/>
              </w:rPr>
            </w:pPr>
            <w:r w:rsidRPr="00332124">
              <w:t>556.71 (322.64)</w:t>
            </w:r>
          </w:p>
        </w:tc>
        <w:tc>
          <w:tcPr>
            <w:tcW w:w="1559" w:type="dxa"/>
          </w:tcPr>
          <w:p w:rsidR="00AA09EA" w:rsidRPr="00332124" w:rsidRDefault="00AA09EA" w:rsidP="00AE3E92">
            <w:pPr>
              <w:spacing w:line="480" w:lineRule="auto"/>
              <w:contextualSpacing/>
              <w:rPr>
                <w:vertAlign w:val="superscript"/>
              </w:rPr>
            </w:pPr>
            <w:r w:rsidRPr="00332124">
              <w:t>574.45 (291.34)</w:t>
            </w:r>
          </w:p>
        </w:tc>
        <w:tc>
          <w:tcPr>
            <w:tcW w:w="1559" w:type="dxa"/>
          </w:tcPr>
          <w:p w:rsidR="00AA09EA" w:rsidRPr="00332124" w:rsidRDefault="00AA09EA" w:rsidP="00635187">
            <w:pPr>
              <w:spacing w:line="480" w:lineRule="auto"/>
              <w:contextualSpacing/>
              <w:rPr>
                <w:vertAlign w:val="superscript"/>
              </w:rPr>
            </w:pPr>
            <w:r w:rsidRPr="00332124">
              <w:t>P&lt;0.001</w:t>
            </w:r>
          </w:p>
        </w:tc>
      </w:tr>
      <w:tr w:rsidR="00AA09EA" w:rsidRPr="00332124" w:rsidTr="00975079">
        <w:tc>
          <w:tcPr>
            <w:tcW w:w="2694" w:type="dxa"/>
          </w:tcPr>
          <w:p w:rsidR="00AA09EA" w:rsidRPr="00332124" w:rsidRDefault="00AA09EA" w:rsidP="00635187">
            <w:pPr>
              <w:spacing w:line="480" w:lineRule="auto"/>
              <w:contextualSpacing/>
              <w:rPr>
                <w:vertAlign w:val="superscript"/>
              </w:rPr>
            </w:pPr>
            <w:r w:rsidRPr="00332124">
              <w:t>Duration 2</w:t>
            </w:r>
            <w:r w:rsidRPr="00332124">
              <w:rPr>
                <w:vertAlign w:val="superscript"/>
              </w:rPr>
              <w:t>nd</w:t>
            </w:r>
            <w:r w:rsidRPr="00332124">
              <w:t xml:space="preserve"> stage</w:t>
            </w:r>
            <w:r w:rsidRPr="00332124">
              <w:rPr>
                <w:vertAlign w:val="superscript"/>
              </w:rPr>
              <w:t>1</w:t>
            </w:r>
            <w:r w:rsidR="00AE3E92">
              <w:rPr>
                <w:vertAlign w:val="superscript"/>
              </w:rPr>
              <w:t>*</w:t>
            </w:r>
          </w:p>
          <w:p w:rsidR="00AA09EA" w:rsidRPr="00332124" w:rsidRDefault="00AA09EA" w:rsidP="00635187">
            <w:pPr>
              <w:spacing w:line="480" w:lineRule="auto"/>
              <w:contextualSpacing/>
            </w:pPr>
            <w:r w:rsidRPr="00332124">
              <w:t>Mean (st. dev)</w:t>
            </w:r>
          </w:p>
        </w:tc>
        <w:tc>
          <w:tcPr>
            <w:tcW w:w="1696" w:type="dxa"/>
          </w:tcPr>
          <w:p w:rsidR="00732FB5" w:rsidRDefault="00AA09EA" w:rsidP="00732FB5">
            <w:pPr>
              <w:spacing w:line="480" w:lineRule="auto"/>
              <w:contextualSpacing/>
            </w:pPr>
            <w:r w:rsidRPr="00332124">
              <w:t>160.70</w:t>
            </w:r>
          </w:p>
          <w:p w:rsidR="00AA09EA" w:rsidRPr="00332124" w:rsidRDefault="00AA09EA" w:rsidP="00732FB5">
            <w:pPr>
              <w:spacing w:line="480" w:lineRule="auto"/>
              <w:contextualSpacing/>
              <w:rPr>
                <w:vertAlign w:val="superscript"/>
              </w:rPr>
            </w:pPr>
            <w:r w:rsidRPr="00332124">
              <w:t xml:space="preserve"> (141.29)</w:t>
            </w:r>
          </w:p>
        </w:tc>
        <w:tc>
          <w:tcPr>
            <w:tcW w:w="1423" w:type="dxa"/>
          </w:tcPr>
          <w:p w:rsidR="00732FB5" w:rsidRDefault="00975079" w:rsidP="00635187">
            <w:pPr>
              <w:spacing w:line="480" w:lineRule="auto"/>
              <w:contextualSpacing/>
            </w:pPr>
            <w:r>
              <w:t>119.51</w:t>
            </w:r>
          </w:p>
          <w:p w:rsidR="00AA09EA" w:rsidRPr="00332124" w:rsidRDefault="00AA09EA" w:rsidP="00635187">
            <w:pPr>
              <w:spacing w:line="480" w:lineRule="auto"/>
              <w:contextualSpacing/>
              <w:rPr>
                <w:vertAlign w:val="superscript"/>
              </w:rPr>
            </w:pPr>
            <w:r w:rsidRPr="00332124">
              <w:t>(77.33)</w:t>
            </w:r>
          </w:p>
        </w:tc>
        <w:tc>
          <w:tcPr>
            <w:tcW w:w="1559" w:type="dxa"/>
          </w:tcPr>
          <w:p w:rsidR="00732FB5" w:rsidRDefault="00975079" w:rsidP="00732FB5">
            <w:pPr>
              <w:spacing w:line="480" w:lineRule="auto"/>
              <w:contextualSpacing/>
            </w:pPr>
            <w:r>
              <w:t>194.27</w:t>
            </w:r>
          </w:p>
          <w:p w:rsidR="00AA09EA" w:rsidRPr="00332124" w:rsidRDefault="00732FB5" w:rsidP="00732FB5">
            <w:pPr>
              <w:spacing w:line="480" w:lineRule="auto"/>
              <w:contextualSpacing/>
              <w:rPr>
                <w:vertAlign w:val="superscript"/>
              </w:rPr>
            </w:pPr>
            <w:r>
              <w:t>(</w:t>
            </w:r>
            <w:r w:rsidR="00AA09EA" w:rsidRPr="00332124">
              <w:t>77.33)</w:t>
            </w:r>
          </w:p>
        </w:tc>
        <w:tc>
          <w:tcPr>
            <w:tcW w:w="1559" w:type="dxa"/>
          </w:tcPr>
          <w:p w:rsidR="00732FB5" w:rsidRDefault="00975079" w:rsidP="00635187">
            <w:pPr>
              <w:spacing w:line="480" w:lineRule="auto"/>
              <w:contextualSpacing/>
            </w:pPr>
            <w:r>
              <w:t>213.84</w:t>
            </w:r>
          </w:p>
          <w:p w:rsidR="00AA09EA" w:rsidRPr="00332124" w:rsidRDefault="00AA09EA" w:rsidP="00635187">
            <w:pPr>
              <w:spacing w:line="480" w:lineRule="auto"/>
              <w:contextualSpacing/>
              <w:rPr>
                <w:vertAlign w:val="superscript"/>
              </w:rPr>
            </w:pPr>
            <w:r w:rsidRPr="00332124">
              <w:t>(83.91)</w:t>
            </w:r>
          </w:p>
        </w:tc>
        <w:tc>
          <w:tcPr>
            <w:tcW w:w="1559" w:type="dxa"/>
          </w:tcPr>
          <w:p w:rsidR="00AA09EA" w:rsidRPr="00332124" w:rsidRDefault="00AA09EA" w:rsidP="00635187">
            <w:pPr>
              <w:spacing w:line="480" w:lineRule="auto"/>
              <w:contextualSpacing/>
              <w:rPr>
                <w:vertAlign w:val="superscript"/>
              </w:rPr>
            </w:pPr>
            <w:r w:rsidRPr="00332124">
              <w:t>P=0.001</w:t>
            </w:r>
          </w:p>
        </w:tc>
      </w:tr>
      <w:tr w:rsidR="00AA09EA" w:rsidRPr="00332124" w:rsidTr="00975079">
        <w:tc>
          <w:tcPr>
            <w:tcW w:w="2694" w:type="dxa"/>
          </w:tcPr>
          <w:p w:rsidR="00AA09EA" w:rsidRPr="00332124" w:rsidRDefault="00AA09EA" w:rsidP="00635187">
            <w:pPr>
              <w:spacing w:line="480" w:lineRule="auto"/>
              <w:contextualSpacing/>
            </w:pPr>
            <w:r w:rsidRPr="00332124">
              <w:t>Fetal compromise as indication</w:t>
            </w:r>
            <w:r w:rsidRPr="00332124">
              <w:rPr>
                <w:vertAlign w:val="superscript"/>
              </w:rPr>
              <w:t>2</w:t>
            </w:r>
            <w:r w:rsidRPr="00332124">
              <w:t xml:space="preserve"> N(%)</w:t>
            </w:r>
          </w:p>
        </w:tc>
        <w:tc>
          <w:tcPr>
            <w:tcW w:w="1696" w:type="dxa"/>
          </w:tcPr>
          <w:p w:rsidR="00412242" w:rsidRDefault="00AA09EA" w:rsidP="00635187">
            <w:pPr>
              <w:spacing w:line="480" w:lineRule="auto"/>
              <w:contextualSpacing/>
            </w:pPr>
            <w:r w:rsidRPr="00332124">
              <w:t xml:space="preserve">101 </w:t>
            </w:r>
          </w:p>
          <w:p w:rsidR="00AA09EA" w:rsidRPr="00332124" w:rsidRDefault="00AA09EA" w:rsidP="00635187">
            <w:pPr>
              <w:spacing w:line="480" w:lineRule="auto"/>
              <w:contextualSpacing/>
            </w:pPr>
            <w:r w:rsidRPr="00332124">
              <w:t>(28.9)</w:t>
            </w:r>
          </w:p>
        </w:tc>
        <w:tc>
          <w:tcPr>
            <w:tcW w:w="1423" w:type="dxa"/>
          </w:tcPr>
          <w:p w:rsidR="00412242" w:rsidRDefault="00AA09EA" w:rsidP="00635187">
            <w:pPr>
              <w:spacing w:line="480" w:lineRule="auto"/>
              <w:contextualSpacing/>
            </w:pPr>
            <w:r w:rsidRPr="00332124">
              <w:t xml:space="preserve">88 </w:t>
            </w:r>
          </w:p>
          <w:p w:rsidR="00AA09EA" w:rsidRPr="00332124" w:rsidRDefault="00AA09EA" w:rsidP="00635187">
            <w:pPr>
              <w:spacing w:line="480" w:lineRule="auto"/>
              <w:contextualSpacing/>
            </w:pPr>
            <w:r w:rsidRPr="00332124">
              <w:t>(51.5)</w:t>
            </w:r>
          </w:p>
        </w:tc>
        <w:tc>
          <w:tcPr>
            <w:tcW w:w="1559" w:type="dxa"/>
          </w:tcPr>
          <w:p w:rsidR="00412242" w:rsidRDefault="00AA09EA" w:rsidP="00635187">
            <w:pPr>
              <w:spacing w:line="480" w:lineRule="auto"/>
              <w:contextualSpacing/>
            </w:pPr>
            <w:r w:rsidRPr="00332124">
              <w:t xml:space="preserve">264 </w:t>
            </w:r>
          </w:p>
          <w:p w:rsidR="00AA09EA" w:rsidRPr="00332124" w:rsidRDefault="00AA09EA" w:rsidP="00635187">
            <w:pPr>
              <w:spacing w:line="480" w:lineRule="auto"/>
              <w:contextualSpacing/>
            </w:pPr>
            <w:r w:rsidRPr="00332124">
              <w:t>(16.1)</w:t>
            </w:r>
          </w:p>
        </w:tc>
        <w:tc>
          <w:tcPr>
            <w:tcW w:w="1559" w:type="dxa"/>
          </w:tcPr>
          <w:p w:rsidR="00412242" w:rsidRDefault="00AA09EA" w:rsidP="00635187">
            <w:pPr>
              <w:spacing w:line="480" w:lineRule="auto"/>
              <w:contextualSpacing/>
            </w:pPr>
            <w:r w:rsidRPr="00332124">
              <w:t xml:space="preserve">33 </w:t>
            </w:r>
          </w:p>
          <w:p w:rsidR="00AA09EA" w:rsidRPr="00332124" w:rsidRDefault="00AA09EA" w:rsidP="00635187">
            <w:pPr>
              <w:spacing w:line="480" w:lineRule="auto"/>
              <w:contextualSpacing/>
            </w:pPr>
            <w:r w:rsidRPr="00332124">
              <w:t>(12.5)</w:t>
            </w:r>
          </w:p>
        </w:tc>
        <w:tc>
          <w:tcPr>
            <w:tcW w:w="1559" w:type="dxa"/>
          </w:tcPr>
          <w:p w:rsidR="00AA09EA" w:rsidRPr="00332124" w:rsidRDefault="00AA09EA" w:rsidP="00635187">
            <w:pPr>
              <w:spacing w:line="480" w:lineRule="auto"/>
              <w:contextualSpacing/>
              <w:rPr>
                <w:vertAlign w:val="superscript"/>
              </w:rPr>
            </w:pPr>
            <w:r w:rsidRPr="00332124">
              <w:t>P&lt;0.001</w:t>
            </w:r>
          </w:p>
        </w:tc>
      </w:tr>
      <w:tr w:rsidR="00AA09EA" w:rsidRPr="00332124" w:rsidTr="00975079">
        <w:tc>
          <w:tcPr>
            <w:tcW w:w="2694" w:type="dxa"/>
          </w:tcPr>
          <w:p w:rsidR="00AA09EA" w:rsidRPr="00332124" w:rsidRDefault="00AA09EA" w:rsidP="00635187">
            <w:pPr>
              <w:spacing w:line="480" w:lineRule="auto"/>
              <w:contextualSpacing/>
            </w:pPr>
            <w:r w:rsidRPr="00332124">
              <w:t>Operator ST6 or above</w:t>
            </w:r>
            <w:r w:rsidRPr="00332124">
              <w:rPr>
                <w:vertAlign w:val="superscript"/>
              </w:rPr>
              <w:t>2</w:t>
            </w:r>
            <w:r w:rsidRPr="00332124">
              <w:t xml:space="preserve"> N(%)</w:t>
            </w:r>
          </w:p>
        </w:tc>
        <w:tc>
          <w:tcPr>
            <w:tcW w:w="1696" w:type="dxa"/>
          </w:tcPr>
          <w:p w:rsidR="00F60EC3" w:rsidRDefault="00AA09EA" w:rsidP="00635187">
            <w:pPr>
              <w:spacing w:line="480" w:lineRule="auto"/>
              <w:contextualSpacing/>
            </w:pPr>
            <w:r w:rsidRPr="00332124">
              <w:t>203</w:t>
            </w:r>
            <w:r w:rsidR="00F60EC3">
              <w:t>/346</w:t>
            </w:r>
          </w:p>
          <w:p w:rsidR="00AA09EA" w:rsidRPr="00332124" w:rsidRDefault="00AA09EA" w:rsidP="00635187">
            <w:pPr>
              <w:spacing w:line="480" w:lineRule="auto"/>
              <w:contextualSpacing/>
              <w:rPr>
                <w:vertAlign w:val="superscript"/>
              </w:rPr>
            </w:pPr>
            <w:r w:rsidRPr="00332124">
              <w:t>(58.7)</w:t>
            </w:r>
          </w:p>
        </w:tc>
        <w:tc>
          <w:tcPr>
            <w:tcW w:w="1423" w:type="dxa"/>
          </w:tcPr>
          <w:p w:rsidR="00F60EC3" w:rsidRDefault="00AA09EA" w:rsidP="00635187">
            <w:pPr>
              <w:spacing w:line="480" w:lineRule="auto"/>
              <w:contextualSpacing/>
            </w:pPr>
            <w:r w:rsidRPr="00332124">
              <w:t>99</w:t>
            </w:r>
            <w:r w:rsidR="00F60EC3">
              <w:t>/171</w:t>
            </w:r>
          </w:p>
          <w:p w:rsidR="00AA09EA" w:rsidRPr="00332124" w:rsidRDefault="00AA09EA" w:rsidP="00635187">
            <w:pPr>
              <w:spacing w:line="480" w:lineRule="auto"/>
              <w:contextualSpacing/>
            </w:pPr>
            <w:r w:rsidRPr="00332124">
              <w:t>(58.2)</w:t>
            </w:r>
          </w:p>
        </w:tc>
        <w:tc>
          <w:tcPr>
            <w:tcW w:w="1559" w:type="dxa"/>
          </w:tcPr>
          <w:p w:rsidR="00F60EC3" w:rsidRDefault="00AA09EA" w:rsidP="00635187">
            <w:pPr>
              <w:spacing w:line="480" w:lineRule="auto"/>
              <w:contextualSpacing/>
            </w:pPr>
            <w:r w:rsidRPr="00332124">
              <w:t>1049</w:t>
            </w:r>
            <w:r w:rsidR="00F60EC3">
              <w:t>/</w:t>
            </w:r>
            <w:r w:rsidR="002D1254">
              <w:t>1639</w:t>
            </w:r>
          </w:p>
          <w:p w:rsidR="00AA09EA" w:rsidRPr="00332124" w:rsidRDefault="00AA09EA" w:rsidP="00635187">
            <w:pPr>
              <w:spacing w:line="480" w:lineRule="auto"/>
              <w:contextualSpacing/>
              <w:rPr>
                <w:vertAlign w:val="superscript"/>
              </w:rPr>
            </w:pPr>
            <w:r w:rsidRPr="00332124">
              <w:t>(63.5)</w:t>
            </w:r>
          </w:p>
        </w:tc>
        <w:tc>
          <w:tcPr>
            <w:tcW w:w="1559" w:type="dxa"/>
          </w:tcPr>
          <w:p w:rsidR="00F60EC3" w:rsidRDefault="00AA09EA" w:rsidP="00635187">
            <w:pPr>
              <w:spacing w:line="480" w:lineRule="auto"/>
              <w:contextualSpacing/>
            </w:pPr>
            <w:r w:rsidRPr="00332124">
              <w:t>157</w:t>
            </w:r>
            <w:r w:rsidR="00F60EC3">
              <w:t>/</w:t>
            </w:r>
            <w:r w:rsidR="00806308">
              <w:t>259</w:t>
            </w:r>
          </w:p>
          <w:p w:rsidR="00AA09EA" w:rsidRPr="00332124" w:rsidRDefault="00AA09EA" w:rsidP="00635187">
            <w:pPr>
              <w:spacing w:line="480" w:lineRule="auto"/>
              <w:contextualSpacing/>
              <w:rPr>
                <w:vertAlign w:val="superscript"/>
              </w:rPr>
            </w:pPr>
            <w:r w:rsidRPr="00332124">
              <w:t>(60.6)</w:t>
            </w:r>
          </w:p>
        </w:tc>
        <w:tc>
          <w:tcPr>
            <w:tcW w:w="1559" w:type="dxa"/>
          </w:tcPr>
          <w:p w:rsidR="00AA09EA" w:rsidRPr="00332124" w:rsidRDefault="00AA09EA" w:rsidP="00635187">
            <w:pPr>
              <w:spacing w:line="480" w:lineRule="auto"/>
              <w:contextualSpacing/>
            </w:pPr>
            <w:r w:rsidRPr="00332124">
              <w:t>P=0.23</w:t>
            </w:r>
          </w:p>
        </w:tc>
      </w:tr>
      <w:tr w:rsidR="00AA09EA" w:rsidRPr="00332124" w:rsidTr="00975079">
        <w:tc>
          <w:tcPr>
            <w:tcW w:w="2694" w:type="dxa"/>
          </w:tcPr>
          <w:p w:rsidR="00AA09EA" w:rsidRPr="00332124" w:rsidRDefault="00AA09EA" w:rsidP="00635187">
            <w:pPr>
              <w:spacing w:line="480" w:lineRule="auto"/>
              <w:contextualSpacing/>
              <w:rPr>
                <w:vertAlign w:val="superscript"/>
              </w:rPr>
            </w:pPr>
            <w:r w:rsidRPr="00332124">
              <w:t>Birth Weight</w:t>
            </w:r>
            <w:r w:rsidRPr="00332124">
              <w:rPr>
                <w:vertAlign w:val="superscript"/>
              </w:rPr>
              <w:t>1</w:t>
            </w:r>
          </w:p>
          <w:p w:rsidR="00AA09EA" w:rsidRPr="00332124" w:rsidRDefault="00AA09EA" w:rsidP="00635187">
            <w:pPr>
              <w:spacing w:line="480" w:lineRule="auto"/>
              <w:contextualSpacing/>
            </w:pPr>
            <w:r w:rsidRPr="00332124">
              <w:t>Mean (st. dev)</w:t>
            </w:r>
          </w:p>
        </w:tc>
        <w:tc>
          <w:tcPr>
            <w:tcW w:w="1696" w:type="dxa"/>
          </w:tcPr>
          <w:p w:rsidR="00AA09EA" w:rsidRPr="00332124" w:rsidRDefault="00AA09EA" w:rsidP="00635187">
            <w:pPr>
              <w:spacing w:line="480" w:lineRule="auto"/>
              <w:contextualSpacing/>
            </w:pPr>
            <w:r w:rsidRPr="00332124">
              <w:t>3419.05 (545.24)</w:t>
            </w:r>
          </w:p>
        </w:tc>
        <w:tc>
          <w:tcPr>
            <w:tcW w:w="1423" w:type="dxa"/>
          </w:tcPr>
          <w:p w:rsidR="00AA09EA" w:rsidRPr="00332124" w:rsidRDefault="00AA09EA" w:rsidP="00635187">
            <w:pPr>
              <w:spacing w:line="480" w:lineRule="auto"/>
              <w:contextualSpacing/>
            </w:pPr>
            <w:r w:rsidRPr="00332124">
              <w:t>3394.71 (508.22)</w:t>
            </w:r>
          </w:p>
        </w:tc>
        <w:tc>
          <w:tcPr>
            <w:tcW w:w="1559" w:type="dxa"/>
          </w:tcPr>
          <w:p w:rsidR="00AA09EA" w:rsidRPr="00332124" w:rsidRDefault="00AA09EA" w:rsidP="00635187">
            <w:pPr>
              <w:spacing w:line="480" w:lineRule="auto"/>
              <w:contextualSpacing/>
            </w:pPr>
            <w:r w:rsidRPr="00332124">
              <w:t>3542.54 (499.94)</w:t>
            </w:r>
          </w:p>
        </w:tc>
        <w:tc>
          <w:tcPr>
            <w:tcW w:w="1559" w:type="dxa"/>
          </w:tcPr>
          <w:p w:rsidR="00AA09EA" w:rsidRPr="00332124" w:rsidRDefault="00AA09EA" w:rsidP="00635187">
            <w:pPr>
              <w:spacing w:line="480" w:lineRule="auto"/>
              <w:contextualSpacing/>
            </w:pPr>
            <w:r w:rsidRPr="00332124">
              <w:t>3682.62 (559.50)</w:t>
            </w:r>
          </w:p>
        </w:tc>
        <w:tc>
          <w:tcPr>
            <w:tcW w:w="1559" w:type="dxa"/>
          </w:tcPr>
          <w:p w:rsidR="00AA09EA" w:rsidRPr="00332124" w:rsidRDefault="00AA09EA" w:rsidP="00635187">
            <w:pPr>
              <w:spacing w:line="480" w:lineRule="auto"/>
              <w:contextualSpacing/>
              <w:rPr>
                <w:vertAlign w:val="superscript"/>
              </w:rPr>
            </w:pPr>
            <w:r w:rsidRPr="00332124">
              <w:t>P&lt;0.001</w:t>
            </w:r>
          </w:p>
        </w:tc>
      </w:tr>
    </w:tbl>
    <w:p w:rsidR="006616A2" w:rsidRDefault="00AA09EA" w:rsidP="00AA3189">
      <w:pPr>
        <w:spacing w:line="480" w:lineRule="auto"/>
        <w:ind w:left="720"/>
        <w:contextualSpacing/>
      </w:pPr>
      <w:r w:rsidRPr="00332124">
        <w:rPr>
          <w:vertAlign w:val="superscript"/>
        </w:rPr>
        <w:t>1</w:t>
      </w:r>
      <w:r w:rsidRPr="00332124">
        <w:t xml:space="preserve"> </w:t>
      </w:r>
      <w:r w:rsidR="00C322F1">
        <w:t>ANOVA</w:t>
      </w:r>
      <w:r w:rsidRPr="00332124">
        <w:t xml:space="preserve"> </w:t>
      </w:r>
      <w:r w:rsidRPr="00332124">
        <w:rPr>
          <w:vertAlign w:val="superscript"/>
        </w:rPr>
        <w:t>2</w:t>
      </w:r>
      <w:r w:rsidRPr="00332124">
        <w:t xml:space="preserve"> Chi-squared test </w:t>
      </w:r>
    </w:p>
    <w:p w:rsidR="00AA3189" w:rsidRDefault="00666421" w:rsidP="00AA3189">
      <w:pPr>
        <w:spacing w:line="480" w:lineRule="auto"/>
        <w:ind w:left="720"/>
        <w:contextualSpacing/>
      </w:pPr>
      <w:r>
        <w:t>*</w:t>
      </w:r>
      <w:r w:rsidR="008A4D1C">
        <w:t>Data</w:t>
      </w:r>
      <w:r>
        <w:t xml:space="preserve"> incomplete </w:t>
      </w:r>
      <w:r w:rsidR="006616A2">
        <w:t xml:space="preserve">(343 and 345 MROT, 168 and 170 RV, 1638 and 1626 KF, 185 and 185 pEMCS). </w:t>
      </w:r>
      <w:r w:rsidR="007D6EC5">
        <w:t xml:space="preserve"> </w:t>
      </w:r>
    </w:p>
    <w:p w:rsidR="00AA3189" w:rsidRPr="00332124" w:rsidRDefault="00AA3189" w:rsidP="00AA09EA">
      <w:pPr>
        <w:spacing w:line="480" w:lineRule="auto"/>
        <w:ind w:left="720"/>
        <w:contextualSpacing/>
      </w:pPr>
    </w:p>
    <w:p w:rsidR="003077BD" w:rsidRPr="00451069" w:rsidRDefault="003077BD" w:rsidP="00E75CCF">
      <w:pPr>
        <w:spacing w:before="100" w:beforeAutospacing="1" w:after="100" w:afterAutospacing="1" w:line="480" w:lineRule="auto"/>
        <w:ind w:firstLine="720"/>
        <w:contextualSpacing/>
        <w:rPr>
          <w:vanish/>
        </w:rPr>
      </w:pPr>
      <w:r w:rsidRPr="00451069">
        <w:t xml:space="preserve">However, there were statistically significant differences between the study groups in the following variables; BMI, multi-parity, rate of epidural, duration of first and second stage of labour, evidence of coexisting fetal compromise as a secondary indication for birth and birth weight. </w:t>
      </w:r>
    </w:p>
    <w:p w:rsidR="003077BD" w:rsidRPr="00451069" w:rsidRDefault="003077BD" w:rsidP="003077BD">
      <w:pPr>
        <w:spacing w:line="480" w:lineRule="auto"/>
        <w:contextualSpacing/>
        <w:rPr>
          <w:vanish/>
        </w:rPr>
      </w:pPr>
      <w:bookmarkStart w:id="13" w:name="31"/>
      <w:bookmarkEnd w:id="13"/>
    </w:p>
    <w:p w:rsidR="003077BD" w:rsidRPr="00451069" w:rsidRDefault="003077BD" w:rsidP="003077BD">
      <w:pPr>
        <w:spacing w:line="480" w:lineRule="auto"/>
        <w:contextualSpacing/>
        <w:rPr>
          <w:vanish/>
        </w:rPr>
      </w:pPr>
      <w:bookmarkStart w:id="14" w:name="32"/>
      <w:bookmarkEnd w:id="14"/>
    </w:p>
    <w:p w:rsidR="003077BD" w:rsidRPr="00451069" w:rsidRDefault="003077BD" w:rsidP="003077BD">
      <w:pPr>
        <w:spacing w:line="480" w:lineRule="auto"/>
        <w:contextualSpacing/>
        <w:rPr>
          <w:vanish/>
        </w:rPr>
      </w:pPr>
      <w:bookmarkStart w:id="15" w:name="33"/>
      <w:bookmarkEnd w:id="15"/>
    </w:p>
    <w:p w:rsidR="003077BD" w:rsidRPr="00451069" w:rsidRDefault="003077BD" w:rsidP="003077BD">
      <w:pPr>
        <w:spacing w:line="480" w:lineRule="auto"/>
        <w:contextualSpacing/>
        <w:rPr>
          <w:vanish/>
        </w:rPr>
      </w:pPr>
    </w:p>
    <w:p w:rsidR="003077BD" w:rsidRDefault="003077BD" w:rsidP="00AA09EA">
      <w:pPr>
        <w:spacing w:line="480" w:lineRule="auto"/>
        <w:contextualSpacing/>
      </w:pPr>
    </w:p>
    <w:p w:rsidR="00471B56" w:rsidRDefault="00EB5C24" w:rsidP="00E75CCF">
      <w:pPr>
        <w:spacing w:line="480" w:lineRule="auto"/>
        <w:ind w:firstLine="720"/>
        <w:contextualSpacing/>
      </w:pPr>
      <w:r w:rsidRPr="00451069">
        <w:lastRenderedPageBreak/>
        <w:t xml:space="preserve">Considering neonatal outcomes, </w:t>
      </w:r>
      <w:r w:rsidR="004D45FC" w:rsidRPr="00451069">
        <w:t xml:space="preserve">admission to the </w:t>
      </w:r>
      <w:r w:rsidR="003E706A" w:rsidRPr="00451069">
        <w:t>SCBU</w:t>
      </w:r>
      <w:r w:rsidR="004D45FC" w:rsidRPr="00451069">
        <w:t xml:space="preserve"> after MROT was not significantly different from </w:t>
      </w:r>
      <w:r w:rsidRPr="00451069">
        <w:t>that</w:t>
      </w:r>
      <w:r w:rsidR="004D45FC" w:rsidRPr="00451069">
        <w:t xml:space="preserve"> </w:t>
      </w:r>
      <w:r w:rsidR="005B31FD">
        <w:t>of</w:t>
      </w:r>
      <w:r w:rsidR="004D45FC" w:rsidRPr="00451069">
        <w:t xml:space="preserve"> other</w:t>
      </w:r>
      <w:r w:rsidR="00F67665" w:rsidRPr="00451069">
        <w:t xml:space="preserve"> modes of birth</w:t>
      </w:r>
      <w:r w:rsidR="00954F7B" w:rsidRPr="00451069">
        <w:t xml:space="preserve"> (Table </w:t>
      </w:r>
      <w:r w:rsidR="00C2134D">
        <w:t>2</w:t>
      </w:r>
      <w:r w:rsidR="00900CF1" w:rsidRPr="00451069">
        <w:t>)</w:t>
      </w:r>
      <w:r w:rsidR="005D2DDC" w:rsidRPr="00451069">
        <w:t xml:space="preserve">. </w:t>
      </w:r>
      <w:r w:rsidR="00D060E1" w:rsidRPr="00451069">
        <w:t>Similar to the rates observed with KF births (9.9%, 163 out of 1</w:t>
      </w:r>
      <w:r w:rsidR="00542EDC" w:rsidRPr="00451069">
        <w:t>,</w:t>
      </w:r>
      <w:r w:rsidR="00D060E1" w:rsidRPr="00451069">
        <w:t xml:space="preserve">643), </w:t>
      </w:r>
      <w:r w:rsidR="005D2DDC" w:rsidRPr="00451069">
        <w:t>MROT was associated with</w:t>
      </w:r>
      <w:r w:rsidR="004D45FC" w:rsidRPr="00451069">
        <w:t xml:space="preserve"> </w:t>
      </w:r>
      <w:r w:rsidR="005D2DDC" w:rsidRPr="00451069">
        <w:t xml:space="preserve">a </w:t>
      </w:r>
      <w:r w:rsidR="00D060E1" w:rsidRPr="00451069">
        <w:t xml:space="preserve">10.3% (36/349) </w:t>
      </w:r>
      <w:r w:rsidR="00A05116" w:rsidRPr="00451069">
        <w:t>rate of</w:t>
      </w:r>
      <w:r w:rsidR="004D45FC" w:rsidRPr="00451069">
        <w:t xml:space="preserve"> admission to the </w:t>
      </w:r>
      <w:r w:rsidR="005F0A12">
        <w:t>SCBU</w:t>
      </w:r>
      <w:r w:rsidR="00D060E1" w:rsidRPr="00451069">
        <w:t xml:space="preserve">.  </w:t>
      </w:r>
      <w:r w:rsidR="005D2DDC" w:rsidRPr="00451069">
        <w:t xml:space="preserve">The babies born </w:t>
      </w:r>
      <w:r w:rsidR="002D5191" w:rsidRPr="00451069">
        <w:t>by</w:t>
      </w:r>
      <w:r w:rsidR="005D2DDC" w:rsidRPr="00451069">
        <w:t xml:space="preserve"> </w:t>
      </w:r>
      <w:r w:rsidR="004D45FC" w:rsidRPr="00451069">
        <w:t>pEMCS carried the highest rate of admission to the</w:t>
      </w:r>
      <w:r w:rsidR="003D7935">
        <w:t xml:space="preserve"> SCBU</w:t>
      </w:r>
      <w:r w:rsidR="005D2DDC" w:rsidRPr="00451069">
        <w:t xml:space="preserve"> at 12.5% (33 </w:t>
      </w:r>
      <w:r w:rsidR="00D060E1" w:rsidRPr="00451069">
        <w:t xml:space="preserve">out </w:t>
      </w:r>
      <w:r w:rsidR="005D2DDC" w:rsidRPr="00451069">
        <w:t>of 263</w:t>
      </w:r>
      <w:r w:rsidR="00D060E1" w:rsidRPr="00451069">
        <w:t xml:space="preserve"> births</w:t>
      </w:r>
      <w:r w:rsidR="005D2DDC" w:rsidRPr="00451069">
        <w:t>) whilst RV use was associated with</w:t>
      </w:r>
      <w:r w:rsidR="004D45FC" w:rsidRPr="00451069">
        <w:t xml:space="preserve"> a much lower admission </w:t>
      </w:r>
      <w:r w:rsidR="00D060E1" w:rsidRPr="00451069">
        <w:t>rate of</w:t>
      </w:r>
      <w:r w:rsidR="004D45FC" w:rsidRPr="00451069">
        <w:t xml:space="preserve"> 6.4% (11 of 171</w:t>
      </w:r>
      <w:r w:rsidR="00905D48" w:rsidRPr="00451069">
        <w:t xml:space="preserve"> births</w:t>
      </w:r>
      <w:r w:rsidR="004D45FC" w:rsidRPr="00451069">
        <w:t xml:space="preserve">). </w:t>
      </w:r>
    </w:p>
    <w:p w:rsidR="005D1BC6" w:rsidRPr="00EA745A" w:rsidRDefault="005D1BC6" w:rsidP="005D1BC6">
      <w:pPr>
        <w:spacing w:before="100" w:beforeAutospacing="1" w:after="100" w:afterAutospacing="1" w:line="480" w:lineRule="auto"/>
        <w:contextualSpacing/>
        <w:rPr>
          <w:b/>
        </w:rPr>
      </w:pPr>
      <w:r w:rsidRPr="00EA745A">
        <w:rPr>
          <w:b/>
        </w:rPr>
        <w:t xml:space="preserve">Table </w:t>
      </w:r>
      <w:r w:rsidR="00C2134D">
        <w:rPr>
          <w:b/>
        </w:rPr>
        <w:t>2</w:t>
      </w:r>
      <w:r w:rsidRPr="00EA745A">
        <w:rPr>
          <w:b/>
        </w:rPr>
        <w:t xml:space="preserve"> –Neonatal and maternal outcomes</w:t>
      </w:r>
    </w:p>
    <w:tbl>
      <w:tblPr>
        <w:tblStyle w:val="TableGrid"/>
        <w:tblW w:w="9606" w:type="dxa"/>
        <w:tblLayout w:type="fixed"/>
        <w:tblLook w:val="04A0" w:firstRow="1" w:lastRow="0" w:firstColumn="1" w:lastColumn="0" w:noHBand="0" w:noVBand="1"/>
      </w:tblPr>
      <w:tblGrid>
        <w:gridCol w:w="2865"/>
        <w:gridCol w:w="1332"/>
        <w:gridCol w:w="1332"/>
        <w:gridCol w:w="1333"/>
        <w:gridCol w:w="1332"/>
        <w:gridCol w:w="1412"/>
      </w:tblGrid>
      <w:tr w:rsidR="005D1BC6" w:rsidRPr="00332124" w:rsidTr="006616A2">
        <w:tc>
          <w:tcPr>
            <w:tcW w:w="2865" w:type="dxa"/>
          </w:tcPr>
          <w:p w:rsidR="005D1BC6" w:rsidRPr="00332124" w:rsidRDefault="005D1BC6" w:rsidP="00635187">
            <w:pPr>
              <w:spacing w:line="480" w:lineRule="auto"/>
              <w:contextualSpacing/>
              <w:rPr>
                <w:b/>
              </w:rPr>
            </w:pPr>
            <w:r w:rsidRPr="00332124">
              <w:rPr>
                <w:b/>
              </w:rPr>
              <w:t>Variable</w:t>
            </w:r>
          </w:p>
        </w:tc>
        <w:tc>
          <w:tcPr>
            <w:tcW w:w="1332" w:type="dxa"/>
          </w:tcPr>
          <w:p w:rsidR="006B6DAD" w:rsidRDefault="005D1BC6" w:rsidP="006B6DAD">
            <w:pPr>
              <w:spacing w:line="480" w:lineRule="auto"/>
              <w:contextualSpacing/>
              <w:rPr>
                <w:b/>
              </w:rPr>
            </w:pPr>
            <w:r w:rsidRPr="00332124">
              <w:rPr>
                <w:b/>
              </w:rPr>
              <w:t>M</w:t>
            </w:r>
            <w:r w:rsidR="006B6DAD">
              <w:rPr>
                <w:b/>
              </w:rPr>
              <w:t>ROT</w:t>
            </w:r>
          </w:p>
          <w:p w:rsidR="005D1BC6" w:rsidRPr="00332124" w:rsidRDefault="005D1BC6" w:rsidP="006B6DAD">
            <w:pPr>
              <w:spacing w:line="480" w:lineRule="auto"/>
              <w:contextualSpacing/>
              <w:rPr>
                <w:b/>
              </w:rPr>
            </w:pPr>
            <w:r w:rsidRPr="00332124">
              <w:rPr>
                <w:b/>
              </w:rPr>
              <w:t>(n=349)</w:t>
            </w:r>
          </w:p>
        </w:tc>
        <w:tc>
          <w:tcPr>
            <w:tcW w:w="1332" w:type="dxa"/>
          </w:tcPr>
          <w:p w:rsidR="006B6DAD" w:rsidRDefault="005D1BC6" w:rsidP="006B6DAD">
            <w:pPr>
              <w:spacing w:line="480" w:lineRule="auto"/>
              <w:contextualSpacing/>
              <w:rPr>
                <w:b/>
              </w:rPr>
            </w:pPr>
            <w:r w:rsidRPr="00332124">
              <w:rPr>
                <w:b/>
              </w:rPr>
              <w:t>R</w:t>
            </w:r>
            <w:r w:rsidR="006B6DAD">
              <w:rPr>
                <w:b/>
              </w:rPr>
              <w:t>V</w:t>
            </w:r>
          </w:p>
          <w:p w:rsidR="005D1BC6" w:rsidRPr="00332124" w:rsidRDefault="005D1BC6" w:rsidP="006B6DAD">
            <w:pPr>
              <w:spacing w:line="480" w:lineRule="auto"/>
              <w:contextualSpacing/>
              <w:rPr>
                <w:b/>
              </w:rPr>
            </w:pPr>
            <w:r w:rsidRPr="00332124">
              <w:rPr>
                <w:b/>
              </w:rPr>
              <w:t>(n=171)</w:t>
            </w:r>
          </w:p>
        </w:tc>
        <w:tc>
          <w:tcPr>
            <w:tcW w:w="1333" w:type="dxa"/>
          </w:tcPr>
          <w:p w:rsidR="005D1BC6" w:rsidRPr="00332124" w:rsidRDefault="005D1BC6" w:rsidP="006B6DAD">
            <w:pPr>
              <w:spacing w:line="480" w:lineRule="auto"/>
              <w:contextualSpacing/>
              <w:rPr>
                <w:b/>
              </w:rPr>
            </w:pPr>
            <w:r w:rsidRPr="00332124">
              <w:rPr>
                <w:b/>
              </w:rPr>
              <w:t>K</w:t>
            </w:r>
            <w:r w:rsidR="006B6DAD">
              <w:rPr>
                <w:b/>
              </w:rPr>
              <w:t>F</w:t>
            </w:r>
            <w:r w:rsidRPr="00332124">
              <w:rPr>
                <w:b/>
              </w:rPr>
              <w:t xml:space="preserve"> (n=1643)</w:t>
            </w:r>
          </w:p>
        </w:tc>
        <w:tc>
          <w:tcPr>
            <w:tcW w:w="1332" w:type="dxa"/>
          </w:tcPr>
          <w:p w:rsidR="005D1BC6" w:rsidRPr="00332124" w:rsidRDefault="005D1BC6" w:rsidP="006B6DAD">
            <w:pPr>
              <w:spacing w:line="480" w:lineRule="auto"/>
              <w:contextualSpacing/>
              <w:rPr>
                <w:b/>
              </w:rPr>
            </w:pPr>
            <w:r w:rsidRPr="00332124">
              <w:rPr>
                <w:b/>
              </w:rPr>
              <w:t>pEMCS  (n=263)</w:t>
            </w:r>
          </w:p>
        </w:tc>
        <w:tc>
          <w:tcPr>
            <w:tcW w:w="1412" w:type="dxa"/>
          </w:tcPr>
          <w:p w:rsidR="005D1BC6" w:rsidRPr="00332124" w:rsidRDefault="005D1BC6" w:rsidP="00635187">
            <w:pPr>
              <w:spacing w:line="480" w:lineRule="auto"/>
              <w:contextualSpacing/>
              <w:rPr>
                <w:b/>
              </w:rPr>
            </w:pPr>
            <w:r w:rsidRPr="00332124">
              <w:rPr>
                <w:b/>
              </w:rPr>
              <w:t>Significance</w:t>
            </w:r>
          </w:p>
        </w:tc>
      </w:tr>
      <w:tr w:rsidR="005D1BC6" w:rsidRPr="00332124" w:rsidTr="006616A2">
        <w:tc>
          <w:tcPr>
            <w:tcW w:w="2865" w:type="dxa"/>
          </w:tcPr>
          <w:p w:rsidR="005D1BC6" w:rsidRPr="00332124" w:rsidRDefault="005D1BC6" w:rsidP="006F1BEC">
            <w:pPr>
              <w:spacing w:line="480" w:lineRule="auto"/>
              <w:contextualSpacing/>
              <w:rPr>
                <w:vertAlign w:val="superscript"/>
              </w:rPr>
            </w:pPr>
            <w:r w:rsidRPr="00332124">
              <w:t>Neonatal admission N(%)</w:t>
            </w:r>
            <w:r w:rsidR="006F1BEC">
              <w:rPr>
                <w:vertAlign w:val="superscript"/>
              </w:rPr>
              <w:t>1</w:t>
            </w:r>
          </w:p>
        </w:tc>
        <w:tc>
          <w:tcPr>
            <w:tcW w:w="1332" w:type="dxa"/>
          </w:tcPr>
          <w:p w:rsidR="007631ED" w:rsidRDefault="005D1BC6" w:rsidP="00635187">
            <w:pPr>
              <w:spacing w:line="480" w:lineRule="auto"/>
              <w:contextualSpacing/>
            </w:pPr>
            <w:r w:rsidRPr="00332124">
              <w:t>36</w:t>
            </w:r>
            <w:r w:rsidR="007631ED">
              <w:t>/349</w:t>
            </w:r>
          </w:p>
          <w:p w:rsidR="005D1BC6" w:rsidRPr="00332124" w:rsidRDefault="005D1BC6" w:rsidP="00635187">
            <w:pPr>
              <w:spacing w:line="480" w:lineRule="auto"/>
              <w:contextualSpacing/>
            </w:pPr>
            <w:r w:rsidRPr="00332124">
              <w:t>(10.3)</w:t>
            </w:r>
          </w:p>
        </w:tc>
        <w:tc>
          <w:tcPr>
            <w:tcW w:w="1332" w:type="dxa"/>
          </w:tcPr>
          <w:p w:rsidR="009D423A" w:rsidRDefault="005D1BC6" w:rsidP="00635187">
            <w:pPr>
              <w:spacing w:line="480" w:lineRule="auto"/>
              <w:contextualSpacing/>
            </w:pPr>
            <w:r w:rsidRPr="00332124">
              <w:t>11</w:t>
            </w:r>
            <w:r w:rsidR="009D423A">
              <w:t>/171</w:t>
            </w:r>
          </w:p>
          <w:p w:rsidR="005D1BC6" w:rsidRPr="00332124" w:rsidRDefault="005D1BC6" w:rsidP="00635187">
            <w:pPr>
              <w:spacing w:line="480" w:lineRule="auto"/>
              <w:contextualSpacing/>
            </w:pPr>
            <w:r w:rsidRPr="00332124">
              <w:t>(6.4)</w:t>
            </w:r>
          </w:p>
        </w:tc>
        <w:tc>
          <w:tcPr>
            <w:tcW w:w="1333" w:type="dxa"/>
          </w:tcPr>
          <w:p w:rsidR="009D423A" w:rsidRDefault="005D1BC6" w:rsidP="00635187">
            <w:pPr>
              <w:spacing w:line="480" w:lineRule="auto"/>
              <w:contextualSpacing/>
            </w:pPr>
            <w:r w:rsidRPr="00332124">
              <w:t>163</w:t>
            </w:r>
            <w:r w:rsidR="009D423A">
              <w:t>/1643</w:t>
            </w:r>
          </w:p>
          <w:p w:rsidR="005D1BC6" w:rsidRPr="00332124" w:rsidRDefault="005D1BC6" w:rsidP="00635187">
            <w:pPr>
              <w:spacing w:line="480" w:lineRule="auto"/>
              <w:contextualSpacing/>
            </w:pPr>
            <w:r w:rsidRPr="00332124">
              <w:t>(9.9)</w:t>
            </w:r>
          </w:p>
        </w:tc>
        <w:tc>
          <w:tcPr>
            <w:tcW w:w="1332" w:type="dxa"/>
          </w:tcPr>
          <w:p w:rsidR="009D423A" w:rsidRDefault="005D1BC6" w:rsidP="009D423A">
            <w:pPr>
              <w:spacing w:line="480" w:lineRule="auto"/>
              <w:contextualSpacing/>
            </w:pPr>
            <w:r w:rsidRPr="00332124">
              <w:t>33</w:t>
            </w:r>
            <w:r w:rsidR="009D423A">
              <w:t>/263</w:t>
            </w:r>
          </w:p>
          <w:p w:rsidR="005D1BC6" w:rsidRPr="00332124" w:rsidRDefault="009D423A" w:rsidP="009D423A">
            <w:pPr>
              <w:spacing w:line="480" w:lineRule="auto"/>
              <w:contextualSpacing/>
            </w:pPr>
            <w:r>
              <w:t>(</w:t>
            </w:r>
            <w:r w:rsidR="005D1BC6" w:rsidRPr="00332124">
              <w:t>12.5)</w:t>
            </w:r>
          </w:p>
        </w:tc>
        <w:tc>
          <w:tcPr>
            <w:tcW w:w="1412" w:type="dxa"/>
          </w:tcPr>
          <w:p w:rsidR="005D1BC6" w:rsidRPr="00332124" w:rsidRDefault="005D1BC6" w:rsidP="00635187">
            <w:pPr>
              <w:spacing w:line="480" w:lineRule="auto"/>
              <w:contextualSpacing/>
            </w:pPr>
            <w:r w:rsidRPr="00332124">
              <w:t>P=0.23</w:t>
            </w:r>
          </w:p>
        </w:tc>
      </w:tr>
      <w:tr w:rsidR="005D1BC6" w:rsidRPr="00332124" w:rsidTr="006616A2">
        <w:tc>
          <w:tcPr>
            <w:tcW w:w="2865" w:type="dxa"/>
          </w:tcPr>
          <w:p w:rsidR="005D1BC6" w:rsidRPr="00332124" w:rsidRDefault="005D1BC6" w:rsidP="00635187">
            <w:pPr>
              <w:spacing w:line="480" w:lineRule="auto"/>
              <w:contextualSpacing/>
              <w:rPr>
                <w:vertAlign w:val="superscript"/>
              </w:rPr>
            </w:pPr>
            <w:r w:rsidRPr="00332124">
              <w:t>Shoulder Dystocia N(%)</w:t>
            </w:r>
            <w:r w:rsidR="006F1BEC">
              <w:rPr>
                <w:vertAlign w:val="superscript"/>
              </w:rPr>
              <w:t>1</w:t>
            </w:r>
          </w:p>
        </w:tc>
        <w:tc>
          <w:tcPr>
            <w:tcW w:w="1332" w:type="dxa"/>
          </w:tcPr>
          <w:p w:rsidR="007631ED" w:rsidRDefault="005D1BC6" w:rsidP="00635187">
            <w:pPr>
              <w:spacing w:line="480" w:lineRule="auto"/>
              <w:contextualSpacing/>
            </w:pPr>
            <w:r w:rsidRPr="00332124">
              <w:t>17</w:t>
            </w:r>
            <w:r w:rsidR="007631ED">
              <w:t>/349</w:t>
            </w:r>
          </w:p>
          <w:p w:rsidR="005D1BC6" w:rsidRPr="00332124" w:rsidRDefault="005D1BC6" w:rsidP="00635187">
            <w:pPr>
              <w:spacing w:line="480" w:lineRule="auto"/>
              <w:contextualSpacing/>
            </w:pPr>
            <w:r w:rsidRPr="00332124">
              <w:t>(4.9)</w:t>
            </w:r>
          </w:p>
        </w:tc>
        <w:tc>
          <w:tcPr>
            <w:tcW w:w="1332" w:type="dxa"/>
          </w:tcPr>
          <w:p w:rsidR="009D423A" w:rsidRDefault="005D1BC6" w:rsidP="00635187">
            <w:pPr>
              <w:spacing w:line="480" w:lineRule="auto"/>
              <w:contextualSpacing/>
            </w:pPr>
            <w:r w:rsidRPr="00332124">
              <w:t>6/</w:t>
            </w:r>
            <w:r w:rsidR="009D423A">
              <w:t>171</w:t>
            </w:r>
          </w:p>
          <w:p w:rsidR="005D1BC6" w:rsidRPr="00332124" w:rsidRDefault="005D1BC6" w:rsidP="00635187">
            <w:pPr>
              <w:spacing w:line="480" w:lineRule="auto"/>
              <w:contextualSpacing/>
            </w:pPr>
            <w:r w:rsidRPr="00332124">
              <w:t>(3.5)</w:t>
            </w:r>
          </w:p>
        </w:tc>
        <w:tc>
          <w:tcPr>
            <w:tcW w:w="1333" w:type="dxa"/>
          </w:tcPr>
          <w:p w:rsidR="009D423A" w:rsidRDefault="005D1BC6" w:rsidP="00635187">
            <w:pPr>
              <w:spacing w:line="480" w:lineRule="auto"/>
              <w:contextualSpacing/>
            </w:pPr>
            <w:r w:rsidRPr="00332124">
              <w:t>95</w:t>
            </w:r>
            <w:r w:rsidR="009D423A">
              <w:t>/1643</w:t>
            </w:r>
          </w:p>
          <w:p w:rsidR="005D1BC6" w:rsidRPr="00332124" w:rsidRDefault="005D1BC6" w:rsidP="00635187">
            <w:pPr>
              <w:spacing w:line="480" w:lineRule="auto"/>
              <w:contextualSpacing/>
            </w:pPr>
            <w:r w:rsidRPr="00332124">
              <w:t>(5.8)</w:t>
            </w:r>
          </w:p>
        </w:tc>
        <w:tc>
          <w:tcPr>
            <w:tcW w:w="1332" w:type="dxa"/>
          </w:tcPr>
          <w:p w:rsidR="005D1BC6" w:rsidRPr="00332124" w:rsidRDefault="005D1BC6" w:rsidP="00635187">
            <w:pPr>
              <w:spacing w:line="480" w:lineRule="auto"/>
              <w:contextualSpacing/>
            </w:pPr>
            <w:r w:rsidRPr="00332124">
              <w:t xml:space="preserve">NA  </w:t>
            </w:r>
          </w:p>
        </w:tc>
        <w:tc>
          <w:tcPr>
            <w:tcW w:w="1412" w:type="dxa"/>
          </w:tcPr>
          <w:p w:rsidR="005D1BC6" w:rsidRPr="00332124" w:rsidRDefault="005D1BC6" w:rsidP="00635187">
            <w:pPr>
              <w:spacing w:line="480" w:lineRule="auto"/>
              <w:contextualSpacing/>
            </w:pPr>
            <w:r w:rsidRPr="00332124">
              <w:t>P=0.24</w:t>
            </w:r>
          </w:p>
        </w:tc>
      </w:tr>
      <w:tr w:rsidR="005D1BC6" w:rsidRPr="00332124" w:rsidTr="006616A2">
        <w:tc>
          <w:tcPr>
            <w:tcW w:w="2865" w:type="dxa"/>
          </w:tcPr>
          <w:p w:rsidR="005D1BC6" w:rsidRPr="00332124" w:rsidRDefault="005D1BC6" w:rsidP="00635187">
            <w:pPr>
              <w:spacing w:line="480" w:lineRule="auto"/>
              <w:contextualSpacing/>
              <w:rPr>
                <w:vertAlign w:val="superscript"/>
              </w:rPr>
            </w:pPr>
            <w:r w:rsidRPr="00332124">
              <w:t>Apgar&lt;5 at 5 mins N(%)</w:t>
            </w:r>
            <w:r w:rsidR="006F1BEC">
              <w:rPr>
                <w:vertAlign w:val="superscript"/>
              </w:rPr>
              <w:t>1</w:t>
            </w:r>
          </w:p>
        </w:tc>
        <w:tc>
          <w:tcPr>
            <w:tcW w:w="1332" w:type="dxa"/>
          </w:tcPr>
          <w:p w:rsidR="007631ED" w:rsidRDefault="005D1BC6" w:rsidP="00635187">
            <w:pPr>
              <w:spacing w:line="480" w:lineRule="auto"/>
              <w:contextualSpacing/>
            </w:pPr>
            <w:r w:rsidRPr="00332124">
              <w:t>1</w:t>
            </w:r>
            <w:r w:rsidR="007631ED">
              <w:t>/348</w:t>
            </w:r>
          </w:p>
          <w:p w:rsidR="005D1BC6" w:rsidRPr="00332124" w:rsidRDefault="005D1BC6" w:rsidP="00635187">
            <w:pPr>
              <w:spacing w:line="480" w:lineRule="auto"/>
              <w:contextualSpacing/>
              <w:rPr>
                <w:vertAlign w:val="superscript"/>
              </w:rPr>
            </w:pPr>
            <w:r w:rsidRPr="00332124">
              <w:t>(0.3)</w:t>
            </w:r>
          </w:p>
        </w:tc>
        <w:tc>
          <w:tcPr>
            <w:tcW w:w="1332" w:type="dxa"/>
          </w:tcPr>
          <w:p w:rsidR="009D423A" w:rsidRDefault="005D1BC6" w:rsidP="00635187">
            <w:pPr>
              <w:spacing w:line="480" w:lineRule="auto"/>
              <w:contextualSpacing/>
            </w:pPr>
            <w:r w:rsidRPr="00332124">
              <w:t>0</w:t>
            </w:r>
            <w:r w:rsidR="009D423A">
              <w:t>/170</w:t>
            </w:r>
          </w:p>
          <w:p w:rsidR="005D1BC6" w:rsidRPr="00332124" w:rsidRDefault="005D1BC6" w:rsidP="00635187">
            <w:pPr>
              <w:spacing w:line="480" w:lineRule="auto"/>
              <w:contextualSpacing/>
              <w:rPr>
                <w:vertAlign w:val="superscript"/>
              </w:rPr>
            </w:pPr>
            <w:r w:rsidRPr="00332124">
              <w:t>(0)</w:t>
            </w:r>
          </w:p>
        </w:tc>
        <w:tc>
          <w:tcPr>
            <w:tcW w:w="1333" w:type="dxa"/>
          </w:tcPr>
          <w:p w:rsidR="003044D1" w:rsidRDefault="005D1BC6" w:rsidP="00635187">
            <w:pPr>
              <w:spacing w:line="480" w:lineRule="auto"/>
              <w:contextualSpacing/>
            </w:pPr>
            <w:r w:rsidRPr="00332124">
              <w:t>6</w:t>
            </w:r>
            <w:r w:rsidR="003044D1">
              <w:t>/1640</w:t>
            </w:r>
          </w:p>
          <w:p w:rsidR="005D1BC6" w:rsidRPr="00332124" w:rsidRDefault="005D1BC6" w:rsidP="00635187">
            <w:pPr>
              <w:spacing w:line="480" w:lineRule="auto"/>
              <w:contextualSpacing/>
              <w:rPr>
                <w:vertAlign w:val="superscript"/>
              </w:rPr>
            </w:pPr>
            <w:r w:rsidRPr="00332124">
              <w:t>(0.4)</w:t>
            </w:r>
          </w:p>
        </w:tc>
        <w:tc>
          <w:tcPr>
            <w:tcW w:w="1332" w:type="dxa"/>
          </w:tcPr>
          <w:p w:rsidR="003044D1" w:rsidRDefault="005D1BC6" w:rsidP="00635187">
            <w:pPr>
              <w:spacing w:line="480" w:lineRule="auto"/>
              <w:contextualSpacing/>
            </w:pPr>
            <w:r w:rsidRPr="00332124">
              <w:t>3</w:t>
            </w:r>
            <w:r w:rsidR="003044D1">
              <w:t>/263</w:t>
            </w:r>
          </w:p>
          <w:p w:rsidR="005D1BC6" w:rsidRPr="00332124" w:rsidRDefault="005D1BC6" w:rsidP="00635187">
            <w:pPr>
              <w:spacing w:line="480" w:lineRule="auto"/>
              <w:contextualSpacing/>
            </w:pPr>
            <w:r w:rsidRPr="00332124">
              <w:t>(1.1)</w:t>
            </w:r>
          </w:p>
        </w:tc>
        <w:tc>
          <w:tcPr>
            <w:tcW w:w="1412" w:type="dxa"/>
          </w:tcPr>
          <w:p w:rsidR="005D1BC6" w:rsidRPr="00332124" w:rsidRDefault="005D1BC6" w:rsidP="00635187">
            <w:pPr>
              <w:spacing w:line="480" w:lineRule="auto"/>
              <w:contextualSpacing/>
            </w:pPr>
          </w:p>
        </w:tc>
      </w:tr>
      <w:tr w:rsidR="005D1BC6" w:rsidRPr="00332124" w:rsidTr="006616A2">
        <w:tc>
          <w:tcPr>
            <w:tcW w:w="2865" w:type="dxa"/>
          </w:tcPr>
          <w:p w:rsidR="005D1BC6" w:rsidRPr="00332124" w:rsidRDefault="005D1BC6" w:rsidP="008766C4">
            <w:pPr>
              <w:spacing w:line="480" w:lineRule="auto"/>
              <w:contextualSpacing/>
              <w:rPr>
                <w:vertAlign w:val="superscript"/>
              </w:rPr>
            </w:pPr>
            <w:r w:rsidRPr="00332124">
              <w:t>A</w:t>
            </w:r>
            <w:r w:rsidR="008766C4">
              <w:t>p</w:t>
            </w:r>
            <w:r w:rsidRPr="00332124">
              <w:t xml:space="preserve">H &lt;7.1 </w:t>
            </w:r>
            <w:r w:rsidR="008766C4">
              <w:t>N</w:t>
            </w:r>
            <w:r w:rsidRPr="00332124">
              <w:t>(%)</w:t>
            </w:r>
            <w:r w:rsidR="006F1BEC">
              <w:rPr>
                <w:vertAlign w:val="superscript"/>
              </w:rPr>
              <w:t>1</w:t>
            </w:r>
          </w:p>
        </w:tc>
        <w:tc>
          <w:tcPr>
            <w:tcW w:w="1332" w:type="dxa"/>
          </w:tcPr>
          <w:p w:rsidR="00F66F13" w:rsidRDefault="005D1BC6" w:rsidP="00635187">
            <w:pPr>
              <w:spacing w:line="480" w:lineRule="auto"/>
              <w:contextualSpacing/>
            </w:pPr>
            <w:r w:rsidRPr="00332124">
              <w:t>14</w:t>
            </w:r>
            <w:r w:rsidR="00F66F13">
              <w:t>/</w:t>
            </w:r>
            <w:r w:rsidR="00470BC5">
              <w:t>296</w:t>
            </w:r>
          </w:p>
          <w:p w:rsidR="005D1BC6" w:rsidRPr="00332124" w:rsidRDefault="005D1BC6" w:rsidP="00635187">
            <w:pPr>
              <w:spacing w:line="480" w:lineRule="auto"/>
              <w:contextualSpacing/>
              <w:rPr>
                <w:vertAlign w:val="superscript"/>
              </w:rPr>
            </w:pPr>
            <w:r w:rsidRPr="00332124">
              <w:t xml:space="preserve"> (4.7)</w:t>
            </w:r>
          </w:p>
        </w:tc>
        <w:tc>
          <w:tcPr>
            <w:tcW w:w="1332" w:type="dxa"/>
          </w:tcPr>
          <w:p w:rsidR="00F66F13" w:rsidRDefault="005D1BC6" w:rsidP="00635187">
            <w:pPr>
              <w:spacing w:line="480" w:lineRule="auto"/>
              <w:contextualSpacing/>
            </w:pPr>
            <w:r w:rsidRPr="00332124">
              <w:t>9</w:t>
            </w:r>
            <w:r w:rsidR="00F66F13">
              <w:t>/</w:t>
            </w:r>
            <w:r w:rsidR="00470BC5">
              <w:t>135</w:t>
            </w:r>
          </w:p>
          <w:p w:rsidR="005D1BC6" w:rsidRPr="00332124" w:rsidRDefault="005D1BC6" w:rsidP="00635187">
            <w:pPr>
              <w:spacing w:line="480" w:lineRule="auto"/>
              <w:contextualSpacing/>
              <w:rPr>
                <w:vertAlign w:val="superscript"/>
              </w:rPr>
            </w:pPr>
            <w:r w:rsidRPr="00332124">
              <w:t>(6.7)</w:t>
            </w:r>
          </w:p>
        </w:tc>
        <w:tc>
          <w:tcPr>
            <w:tcW w:w="1333" w:type="dxa"/>
          </w:tcPr>
          <w:p w:rsidR="00F66F13" w:rsidRDefault="005D1BC6" w:rsidP="00635187">
            <w:pPr>
              <w:spacing w:line="480" w:lineRule="auto"/>
              <w:contextualSpacing/>
            </w:pPr>
            <w:r w:rsidRPr="00332124">
              <w:t>89</w:t>
            </w:r>
            <w:r w:rsidR="00F66F13">
              <w:t>/</w:t>
            </w:r>
            <w:r w:rsidR="00470BC5">
              <w:t>1401</w:t>
            </w:r>
          </w:p>
          <w:p w:rsidR="005D1BC6" w:rsidRPr="00332124" w:rsidRDefault="005D1BC6" w:rsidP="00635187">
            <w:pPr>
              <w:spacing w:line="480" w:lineRule="auto"/>
              <w:contextualSpacing/>
              <w:rPr>
                <w:vertAlign w:val="superscript"/>
              </w:rPr>
            </w:pPr>
            <w:r w:rsidRPr="00332124">
              <w:t>(6.4)</w:t>
            </w:r>
          </w:p>
        </w:tc>
        <w:tc>
          <w:tcPr>
            <w:tcW w:w="1332" w:type="dxa"/>
          </w:tcPr>
          <w:p w:rsidR="00F66F13" w:rsidRDefault="005D1BC6" w:rsidP="00635187">
            <w:pPr>
              <w:spacing w:line="480" w:lineRule="auto"/>
              <w:contextualSpacing/>
            </w:pPr>
            <w:r w:rsidRPr="00332124">
              <w:t>13</w:t>
            </w:r>
            <w:r w:rsidR="00F66F13">
              <w:t>/</w:t>
            </w:r>
            <w:r w:rsidR="00C72463">
              <w:t>235</w:t>
            </w:r>
          </w:p>
          <w:p w:rsidR="005D1BC6" w:rsidRPr="00332124" w:rsidRDefault="005D1BC6" w:rsidP="00635187">
            <w:pPr>
              <w:spacing w:line="480" w:lineRule="auto"/>
              <w:contextualSpacing/>
              <w:rPr>
                <w:vertAlign w:val="superscript"/>
              </w:rPr>
            </w:pPr>
            <w:r w:rsidRPr="00332124">
              <w:t>(5.5)</w:t>
            </w:r>
          </w:p>
        </w:tc>
        <w:tc>
          <w:tcPr>
            <w:tcW w:w="1412" w:type="dxa"/>
          </w:tcPr>
          <w:p w:rsidR="005D1BC6" w:rsidRPr="00332124" w:rsidRDefault="005D1BC6" w:rsidP="00635187">
            <w:pPr>
              <w:spacing w:line="480" w:lineRule="auto"/>
              <w:contextualSpacing/>
            </w:pPr>
            <w:r w:rsidRPr="00332124">
              <w:t>P=0.72</w:t>
            </w:r>
          </w:p>
        </w:tc>
      </w:tr>
      <w:tr w:rsidR="005D1BC6" w:rsidRPr="00332124" w:rsidTr="006616A2">
        <w:tc>
          <w:tcPr>
            <w:tcW w:w="2865" w:type="dxa"/>
          </w:tcPr>
          <w:p w:rsidR="005D1BC6" w:rsidRPr="00332124" w:rsidRDefault="005D1BC6" w:rsidP="00635187">
            <w:pPr>
              <w:spacing w:line="480" w:lineRule="auto"/>
              <w:contextualSpacing/>
              <w:rPr>
                <w:vertAlign w:val="superscript"/>
              </w:rPr>
            </w:pPr>
            <w:r w:rsidRPr="00332124">
              <w:t>EBL &gt;1.5</w:t>
            </w:r>
            <w:r w:rsidR="008766C4">
              <w:t>L</w:t>
            </w:r>
            <w:r w:rsidRPr="00332124">
              <w:t xml:space="preserve"> N(%)</w:t>
            </w:r>
            <w:r w:rsidR="006F1BEC">
              <w:rPr>
                <w:vertAlign w:val="superscript"/>
              </w:rPr>
              <w:t>1</w:t>
            </w:r>
          </w:p>
        </w:tc>
        <w:tc>
          <w:tcPr>
            <w:tcW w:w="1332" w:type="dxa"/>
          </w:tcPr>
          <w:p w:rsidR="00F66F13" w:rsidRDefault="005D1BC6" w:rsidP="00635187">
            <w:pPr>
              <w:spacing w:line="480" w:lineRule="auto"/>
              <w:contextualSpacing/>
            </w:pPr>
            <w:r w:rsidRPr="00332124">
              <w:t>7</w:t>
            </w:r>
            <w:r w:rsidR="00F66F13">
              <w:t>/349</w:t>
            </w:r>
          </w:p>
          <w:p w:rsidR="005D1BC6" w:rsidRPr="00332124" w:rsidRDefault="005D1BC6" w:rsidP="00635187">
            <w:pPr>
              <w:spacing w:line="480" w:lineRule="auto"/>
              <w:contextualSpacing/>
            </w:pPr>
            <w:r w:rsidRPr="00332124">
              <w:t>(2.0)</w:t>
            </w:r>
          </w:p>
        </w:tc>
        <w:tc>
          <w:tcPr>
            <w:tcW w:w="1332" w:type="dxa"/>
          </w:tcPr>
          <w:p w:rsidR="00F66F13" w:rsidRDefault="005D1BC6" w:rsidP="00635187">
            <w:pPr>
              <w:spacing w:line="480" w:lineRule="auto"/>
              <w:contextualSpacing/>
            </w:pPr>
            <w:r w:rsidRPr="00332124">
              <w:t>4</w:t>
            </w:r>
            <w:r w:rsidR="00F66F13">
              <w:t>/171</w:t>
            </w:r>
          </w:p>
          <w:p w:rsidR="005D1BC6" w:rsidRPr="00332124" w:rsidRDefault="005D1BC6" w:rsidP="00635187">
            <w:pPr>
              <w:spacing w:line="480" w:lineRule="auto"/>
              <w:contextualSpacing/>
            </w:pPr>
            <w:r w:rsidRPr="00332124">
              <w:t>(2.3)</w:t>
            </w:r>
          </w:p>
        </w:tc>
        <w:tc>
          <w:tcPr>
            <w:tcW w:w="1333" w:type="dxa"/>
          </w:tcPr>
          <w:p w:rsidR="00F66F13" w:rsidRDefault="005D1BC6" w:rsidP="00635187">
            <w:pPr>
              <w:spacing w:line="480" w:lineRule="auto"/>
              <w:contextualSpacing/>
            </w:pPr>
            <w:r w:rsidRPr="00332124">
              <w:t>38</w:t>
            </w:r>
            <w:r w:rsidR="00F66F13">
              <w:t>/1642</w:t>
            </w:r>
          </w:p>
          <w:p w:rsidR="005D1BC6" w:rsidRPr="00332124" w:rsidRDefault="005D1BC6" w:rsidP="00635187">
            <w:pPr>
              <w:spacing w:line="480" w:lineRule="auto"/>
              <w:contextualSpacing/>
              <w:rPr>
                <w:vertAlign w:val="superscript"/>
              </w:rPr>
            </w:pPr>
            <w:r w:rsidRPr="00332124">
              <w:t>(2.3)</w:t>
            </w:r>
          </w:p>
        </w:tc>
        <w:tc>
          <w:tcPr>
            <w:tcW w:w="1332" w:type="dxa"/>
          </w:tcPr>
          <w:p w:rsidR="00F66F13" w:rsidRDefault="005D1BC6" w:rsidP="00635187">
            <w:pPr>
              <w:spacing w:line="480" w:lineRule="auto"/>
              <w:contextualSpacing/>
            </w:pPr>
            <w:r w:rsidRPr="00332124">
              <w:t>13</w:t>
            </w:r>
            <w:r w:rsidR="00F66F13">
              <w:t>/263</w:t>
            </w:r>
          </w:p>
          <w:p w:rsidR="005D1BC6" w:rsidRPr="00332124" w:rsidRDefault="005D1BC6" w:rsidP="00635187">
            <w:pPr>
              <w:spacing w:line="480" w:lineRule="auto"/>
              <w:contextualSpacing/>
            </w:pPr>
            <w:r w:rsidRPr="00332124">
              <w:t>(4.9)</w:t>
            </w:r>
          </w:p>
        </w:tc>
        <w:tc>
          <w:tcPr>
            <w:tcW w:w="1412" w:type="dxa"/>
          </w:tcPr>
          <w:p w:rsidR="005D1BC6" w:rsidRPr="00332124" w:rsidRDefault="005D1BC6" w:rsidP="00635187">
            <w:pPr>
              <w:spacing w:line="480" w:lineRule="auto"/>
              <w:contextualSpacing/>
              <w:rPr>
                <w:vertAlign w:val="superscript"/>
              </w:rPr>
            </w:pPr>
            <w:r w:rsidRPr="00332124">
              <w:t>P=0.08</w:t>
            </w:r>
          </w:p>
        </w:tc>
      </w:tr>
      <w:tr w:rsidR="005D1BC6" w:rsidRPr="00332124" w:rsidTr="006616A2">
        <w:tc>
          <w:tcPr>
            <w:tcW w:w="2865" w:type="dxa"/>
          </w:tcPr>
          <w:p w:rsidR="005D1BC6" w:rsidRPr="00332124" w:rsidRDefault="005D1BC6" w:rsidP="00635187">
            <w:pPr>
              <w:spacing w:line="480" w:lineRule="auto"/>
              <w:contextualSpacing/>
              <w:rPr>
                <w:vertAlign w:val="superscript"/>
              </w:rPr>
            </w:pPr>
            <w:r w:rsidRPr="00332124">
              <w:t>Sphincter injury N(%)</w:t>
            </w:r>
            <w:r w:rsidR="006F1BEC">
              <w:rPr>
                <w:vertAlign w:val="superscript"/>
              </w:rPr>
              <w:t>1</w:t>
            </w:r>
          </w:p>
        </w:tc>
        <w:tc>
          <w:tcPr>
            <w:tcW w:w="1332" w:type="dxa"/>
          </w:tcPr>
          <w:p w:rsidR="00F66F13" w:rsidRDefault="005D1BC6" w:rsidP="00635187">
            <w:pPr>
              <w:spacing w:line="480" w:lineRule="auto"/>
              <w:contextualSpacing/>
            </w:pPr>
            <w:r w:rsidRPr="00332124">
              <w:t>6</w:t>
            </w:r>
            <w:r w:rsidR="00F66F13">
              <w:t>/349</w:t>
            </w:r>
          </w:p>
          <w:p w:rsidR="005D1BC6" w:rsidRPr="00332124" w:rsidRDefault="005D1BC6" w:rsidP="00635187">
            <w:pPr>
              <w:spacing w:line="480" w:lineRule="auto"/>
              <w:contextualSpacing/>
            </w:pPr>
            <w:r w:rsidRPr="00332124">
              <w:t>(1.7)</w:t>
            </w:r>
          </w:p>
        </w:tc>
        <w:tc>
          <w:tcPr>
            <w:tcW w:w="1332" w:type="dxa"/>
          </w:tcPr>
          <w:p w:rsidR="00F66F13" w:rsidRDefault="005D1BC6" w:rsidP="00635187">
            <w:pPr>
              <w:spacing w:line="480" w:lineRule="auto"/>
              <w:contextualSpacing/>
            </w:pPr>
            <w:r w:rsidRPr="00332124">
              <w:t>1</w:t>
            </w:r>
            <w:r w:rsidR="00F66F13">
              <w:t>/171</w:t>
            </w:r>
          </w:p>
          <w:p w:rsidR="005D1BC6" w:rsidRPr="00332124" w:rsidRDefault="005D1BC6" w:rsidP="00635187">
            <w:pPr>
              <w:spacing w:line="480" w:lineRule="auto"/>
              <w:contextualSpacing/>
            </w:pPr>
            <w:r w:rsidRPr="00332124">
              <w:t>(0.6)</w:t>
            </w:r>
          </w:p>
        </w:tc>
        <w:tc>
          <w:tcPr>
            <w:tcW w:w="1333" w:type="dxa"/>
          </w:tcPr>
          <w:p w:rsidR="00F66F13" w:rsidRDefault="005D1BC6" w:rsidP="00635187">
            <w:pPr>
              <w:spacing w:line="480" w:lineRule="auto"/>
              <w:contextualSpacing/>
            </w:pPr>
            <w:r w:rsidRPr="00332124">
              <w:t>48</w:t>
            </w:r>
            <w:r w:rsidR="00F66F13">
              <w:t>/1642</w:t>
            </w:r>
          </w:p>
          <w:p w:rsidR="005D1BC6" w:rsidRPr="00332124" w:rsidRDefault="005D1BC6" w:rsidP="00635187">
            <w:pPr>
              <w:spacing w:line="480" w:lineRule="auto"/>
              <w:contextualSpacing/>
              <w:rPr>
                <w:vertAlign w:val="superscript"/>
              </w:rPr>
            </w:pPr>
            <w:r w:rsidRPr="00332124">
              <w:t>(2.9)</w:t>
            </w:r>
          </w:p>
        </w:tc>
        <w:tc>
          <w:tcPr>
            <w:tcW w:w="1332" w:type="dxa"/>
          </w:tcPr>
          <w:p w:rsidR="005D1BC6" w:rsidRPr="00332124" w:rsidRDefault="005D1BC6" w:rsidP="00635187">
            <w:pPr>
              <w:spacing w:line="480" w:lineRule="auto"/>
              <w:contextualSpacing/>
            </w:pPr>
            <w:r w:rsidRPr="00332124">
              <w:t>NA</w:t>
            </w:r>
          </w:p>
        </w:tc>
        <w:tc>
          <w:tcPr>
            <w:tcW w:w="1412" w:type="dxa"/>
          </w:tcPr>
          <w:p w:rsidR="005D1BC6" w:rsidRPr="00332124" w:rsidRDefault="005D1BC6" w:rsidP="00635187">
            <w:pPr>
              <w:spacing w:line="480" w:lineRule="auto"/>
              <w:contextualSpacing/>
            </w:pPr>
            <w:r w:rsidRPr="00332124">
              <w:t>P=0.10</w:t>
            </w:r>
          </w:p>
        </w:tc>
      </w:tr>
    </w:tbl>
    <w:p w:rsidR="004227FB" w:rsidRPr="00451069" w:rsidRDefault="00D8042C" w:rsidP="00AA09EA">
      <w:pPr>
        <w:spacing w:line="480" w:lineRule="auto"/>
        <w:contextualSpacing/>
      </w:pPr>
      <w:r w:rsidRPr="00D8042C">
        <w:t xml:space="preserve"> </w:t>
      </w:r>
      <w:r w:rsidR="006F1BEC" w:rsidRPr="00181E8B">
        <w:rPr>
          <w:vertAlign w:val="superscript"/>
        </w:rPr>
        <w:t>1</w:t>
      </w:r>
      <w:r w:rsidRPr="00D8042C">
        <w:t xml:space="preserve"> Chi-squared</w:t>
      </w:r>
    </w:p>
    <w:p w:rsidR="00471B56" w:rsidRPr="00451069" w:rsidRDefault="005D2DDC" w:rsidP="00E75CCF">
      <w:pPr>
        <w:spacing w:before="100" w:beforeAutospacing="1" w:after="100" w:afterAutospacing="1" w:line="480" w:lineRule="auto"/>
        <w:ind w:firstLine="720"/>
        <w:contextualSpacing/>
      </w:pPr>
      <w:r w:rsidRPr="00451069">
        <w:t>Only a very small number of babi</w:t>
      </w:r>
      <w:r w:rsidR="00F67665" w:rsidRPr="00451069">
        <w:t>es in our dataset were born</w:t>
      </w:r>
      <w:r w:rsidRPr="00451069">
        <w:t xml:space="preserve"> with Apgar scores </w:t>
      </w:r>
      <w:r w:rsidR="004D45FC" w:rsidRPr="00451069">
        <w:t>less than</w:t>
      </w:r>
      <w:r w:rsidRPr="00451069">
        <w:t xml:space="preserve"> </w:t>
      </w:r>
      <w:r w:rsidR="004D45FC" w:rsidRPr="00451069">
        <w:t>5 at 5 min</w:t>
      </w:r>
      <w:r w:rsidRPr="00451069">
        <w:t>ute</w:t>
      </w:r>
      <w:r w:rsidR="004D45FC" w:rsidRPr="00451069">
        <w:t>s across all of the groups</w:t>
      </w:r>
      <w:r w:rsidRPr="00451069">
        <w:t xml:space="preserve">, </w:t>
      </w:r>
      <w:r w:rsidR="00E068EE" w:rsidRPr="00451069">
        <w:t>and</w:t>
      </w:r>
      <w:r w:rsidRPr="00451069">
        <w:t xml:space="preserve"> </w:t>
      </w:r>
      <w:r w:rsidR="004D45FC" w:rsidRPr="00451069">
        <w:t>no statistical differences</w:t>
      </w:r>
      <w:r w:rsidRPr="00451069">
        <w:t xml:space="preserve"> were noted. For example, only o</w:t>
      </w:r>
      <w:r w:rsidR="00414106" w:rsidRPr="00451069">
        <w:t>ne baby had an A</w:t>
      </w:r>
      <w:r w:rsidR="004D45FC" w:rsidRPr="00451069">
        <w:t>pgar recorded of less than 5 at 5 min</w:t>
      </w:r>
      <w:r w:rsidR="00414106" w:rsidRPr="00451069">
        <w:t>ute</w:t>
      </w:r>
      <w:r w:rsidR="004D45FC" w:rsidRPr="00451069">
        <w:t>s (0.3%)</w:t>
      </w:r>
      <w:r w:rsidR="00905D48" w:rsidRPr="00451069">
        <w:t xml:space="preserve"> in the MROT group</w:t>
      </w:r>
      <w:r w:rsidRPr="00451069">
        <w:t>.</w:t>
      </w:r>
      <w:r w:rsidR="004D45FC" w:rsidRPr="00451069">
        <w:t xml:space="preserve"> This figure compared f</w:t>
      </w:r>
      <w:r w:rsidR="00414106" w:rsidRPr="00451069">
        <w:t xml:space="preserve">avourably with babies born </w:t>
      </w:r>
      <w:r w:rsidR="00905D48" w:rsidRPr="00451069">
        <w:t>in the</w:t>
      </w:r>
      <w:r w:rsidR="00414106" w:rsidRPr="00451069">
        <w:t xml:space="preserve"> </w:t>
      </w:r>
      <w:r w:rsidR="004D45FC" w:rsidRPr="00451069">
        <w:t xml:space="preserve">KF </w:t>
      </w:r>
      <w:r w:rsidR="00905D48" w:rsidRPr="00451069">
        <w:t xml:space="preserve">group (0.4%, 6 of </w:t>
      </w:r>
      <w:r w:rsidR="00905D48" w:rsidRPr="00451069">
        <w:lastRenderedPageBreak/>
        <w:t>1640) and in our</w:t>
      </w:r>
      <w:r w:rsidR="004D45FC" w:rsidRPr="00451069">
        <w:t xml:space="preserve"> cohort </w:t>
      </w:r>
      <w:r w:rsidR="00905D48" w:rsidRPr="00451069">
        <w:t xml:space="preserve">there were </w:t>
      </w:r>
      <w:r w:rsidR="004D45FC" w:rsidRPr="00451069">
        <w:t xml:space="preserve">no babies </w:t>
      </w:r>
      <w:r w:rsidR="00414106" w:rsidRPr="00451069">
        <w:t xml:space="preserve">born </w:t>
      </w:r>
      <w:r w:rsidR="00905D48" w:rsidRPr="00451069">
        <w:t xml:space="preserve">with </w:t>
      </w:r>
      <w:r w:rsidR="00414106" w:rsidRPr="00451069">
        <w:t>an A</w:t>
      </w:r>
      <w:r w:rsidR="004D45FC" w:rsidRPr="00451069">
        <w:t xml:space="preserve">pgar </w:t>
      </w:r>
      <w:r w:rsidR="00414106" w:rsidRPr="00451069">
        <w:t xml:space="preserve">score </w:t>
      </w:r>
      <w:r w:rsidR="004D45FC" w:rsidRPr="00451069">
        <w:t>of less than 5 at 5 min</w:t>
      </w:r>
      <w:r w:rsidR="00414106" w:rsidRPr="00451069">
        <w:t>ute</w:t>
      </w:r>
      <w:r w:rsidR="004D45FC" w:rsidRPr="00451069">
        <w:t>s</w:t>
      </w:r>
      <w:r w:rsidR="00905D48" w:rsidRPr="00451069">
        <w:t xml:space="preserve"> in the RV group</w:t>
      </w:r>
      <w:r w:rsidR="004D45FC" w:rsidRPr="00451069">
        <w:t xml:space="preserve">. </w:t>
      </w:r>
      <w:r w:rsidR="00414106" w:rsidRPr="00451069">
        <w:t>Compared t</w:t>
      </w:r>
      <w:r w:rsidR="00F67665" w:rsidRPr="00451069">
        <w:t xml:space="preserve">o the </w:t>
      </w:r>
      <w:r w:rsidR="007D48F2">
        <w:t xml:space="preserve">rotational </w:t>
      </w:r>
      <w:r w:rsidR="00F67665" w:rsidRPr="00451069">
        <w:t>vaginal operative birth</w:t>
      </w:r>
      <w:r w:rsidR="00414106" w:rsidRPr="00451069">
        <w:t>s, 3 out of 263 (1.1%) of t</w:t>
      </w:r>
      <w:r w:rsidR="004D45FC" w:rsidRPr="00451069">
        <w:t xml:space="preserve">he pEMCS </w:t>
      </w:r>
      <w:r w:rsidR="00414106" w:rsidRPr="00451069">
        <w:t xml:space="preserve">births were associated with </w:t>
      </w:r>
      <w:r w:rsidR="00905D48" w:rsidRPr="00451069">
        <w:t xml:space="preserve">babies having </w:t>
      </w:r>
      <w:r w:rsidR="00D86256">
        <w:t xml:space="preserve">a </w:t>
      </w:r>
      <w:r w:rsidR="00414106" w:rsidRPr="00451069">
        <w:t>low A</w:t>
      </w:r>
      <w:r w:rsidR="004D45FC" w:rsidRPr="00451069">
        <w:t>pgar</w:t>
      </w:r>
      <w:r w:rsidR="004D704A" w:rsidRPr="00451069">
        <w:t xml:space="preserve"> score</w:t>
      </w:r>
      <w:r w:rsidR="00414106" w:rsidRPr="00451069">
        <w:t xml:space="preserve"> at 5 minutes. </w:t>
      </w:r>
    </w:p>
    <w:p w:rsidR="00471B56" w:rsidRPr="00451069" w:rsidRDefault="00E068EE" w:rsidP="00E75CCF">
      <w:pPr>
        <w:spacing w:before="100" w:beforeAutospacing="1" w:after="100" w:afterAutospacing="1" w:line="480" w:lineRule="auto"/>
        <w:ind w:firstLine="720"/>
        <w:contextualSpacing/>
      </w:pPr>
      <w:r w:rsidRPr="00451069">
        <w:t>The rate of</w:t>
      </w:r>
      <w:r w:rsidR="007D48F2">
        <w:t xml:space="preserve"> umbilical</w:t>
      </w:r>
      <w:r w:rsidR="00414106" w:rsidRPr="00451069">
        <w:t xml:space="preserve"> a</w:t>
      </w:r>
      <w:r w:rsidR="004D45FC" w:rsidRPr="00451069">
        <w:t>rterial cord pH &lt;7.1</w:t>
      </w:r>
      <w:r w:rsidR="00414106" w:rsidRPr="00451069">
        <w:t>,</w:t>
      </w:r>
      <w:r w:rsidR="004D45FC" w:rsidRPr="00451069">
        <w:t xml:space="preserve"> was </w:t>
      </w:r>
      <w:r w:rsidR="00414106" w:rsidRPr="00451069">
        <w:t>also comparable in all groups</w:t>
      </w:r>
      <w:r w:rsidR="0074536A" w:rsidRPr="00451069">
        <w:t xml:space="preserve"> and</w:t>
      </w:r>
      <w:r w:rsidR="00D42F5C">
        <w:t xml:space="preserve"> MROT had </w:t>
      </w:r>
      <w:r w:rsidR="00414106" w:rsidRPr="00451069">
        <w:t>the lowest rates</w:t>
      </w:r>
      <w:r w:rsidR="005A6BB4" w:rsidRPr="00451069">
        <w:t xml:space="preserve"> at</w:t>
      </w:r>
      <w:r w:rsidR="00A76B9D" w:rsidRPr="00451069">
        <w:t xml:space="preserve"> </w:t>
      </w:r>
      <w:r w:rsidR="004D45FC" w:rsidRPr="00451069">
        <w:t>4.7%</w:t>
      </w:r>
      <w:r w:rsidR="00414106" w:rsidRPr="00451069">
        <w:t xml:space="preserve">, </w:t>
      </w:r>
      <w:r w:rsidR="00905D48" w:rsidRPr="00451069">
        <w:t>(</w:t>
      </w:r>
      <w:r w:rsidR="00414106" w:rsidRPr="00451069">
        <w:t>14 of 296</w:t>
      </w:r>
      <w:r w:rsidR="004D45FC" w:rsidRPr="00451069">
        <w:t xml:space="preserve"> babies</w:t>
      </w:r>
      <w:r w:rsidR="00414106" w:rsidRPr="00451069">
        <w:t>)</w:t>
      </w:r>
      <w:r w:rsidR="005A6BB4" w:rsidRPr="00451069">
        <w:t xml:space="preserve">, </w:t>
      </w:r>
      <w:r w:rsidR="004D45FC" w:rsidRPr="00451069">
        <w:t>5.5%</w:t>
      </w:r>
      <w:r w:rsidR="00414106" w:rsidRPr="00451069">
        <w:t>,</w:t>
      </w:r>
      <w:r w:rsidR="00123715" w:rsidRPr="00451069">
        <w:t xml:space="preserve"> </w:t>
      </w:r>
      <w:r w:rsidR="00905D48" w:rsidRPr="00451069">
        <w:t>(</w:t>
      </w:r>
      <w:r w:rsidR="004D45FC" w:rsidRPr="00451069">
        <w:t>13 of 235</w:t>
      </w:r>
      <w:r w:rsidR="00414106" w:rsidRPr="00451069">
        <w:t xml:space="preserve"> babies</w:t>
      </w:r>
      <w:r w:rsidR="004D45FC" w:rsidRPr="00451069">
        <w:t xml:space="preserve">) </w:t>
      </w:r>
      <w:r w:rsidR="00905D48" w:rsidRPr="00451069">
        <w:t>in the pEMCS group;</w:t>
      </w:r>
      <w:r w:rsidR="004D45FC" w:rsidRPr="00451069">
        <w:t xml:space="preserve"> </w:t>
      </w:r>
      <w:r w:rsidR="00905D48" w:rsidRPr="00451069">
        <w:t xml:space="preserve">6.4% (89 of 1401 babies) in the KF group; </w:t>
      </w:r>
      <w:r w:rsidR="002226E5" w:rsidRPr="00451069">
        <w:t xml:space="preserve">and </w:t>
      </w:r>
      <w:r w:rsidR="00AA6C9A" w:rsidRPr="00451069">
        <w:t xml:space="preserve">RV births were associated with </w:t>
      </w:r>
      <w:r w:rsidR="00905D48" w:rsidRPr="00451069">
        <w:t>6.7%</w:t>
      </w:r>
      <w:r w:rsidR="00AA6C9A" w:rsidRPr="00451069">
        <w:t xml:space="preserve"> (</w:t>
      </w:r>
      <w:r w:rsidR="00905D48" w:rsidRPr="00451069">
        <w:t>9 of 135 babies</w:t>
      </w:r>
      <w:r w:rsidR="00AA6C9A" w:rsidRPr="00451069">
        <w:t xml:space="preserve">) low </w:t>
      </w:r>
      <w:r w:rsidR="007D48F2">
        <w:t xml:space="preserve">umbilical </w:t>
      </w:r>
      <w:r w:rsidR="00AA6C9A" w:rsidRPr="00451069">
        <w:t>arterial pH</w:t>
      </w:r>
      <w:r w:rsidR="004D45FC" w:rsidRPr="00451069">
        <w:t>.</w:t>
      </w:r>
      <w:r w:rsidR="004338FA" w:rsidRPr="00451069">
        <w:t xml:space="preserve"> </w:t>
      </w:r>
    </w:p>
    <w:p w:rsidR="00A047DB" w:rsidRPr="00451069" w:rsidRDefault="00A047DB" w:rsidP="00E75CCF">
      <w:pPr>
        <w:spacing w:before="100" w:beforeAutospacing="1" w:after="100" w:afterAutospacing="1" w:line="480" w:lineRule="auto"/>
        <w:ind w:firstLine="720"/>
        <w:contextualSpacing/>
      </w:pPr>
      <w:r w:rsidRPr="00451069">
        <w:t xml:space="preserve">The rate of shoulder dystocia following MROT was similar to the rates associated with either RV or KF. The overall rate of shoulder dystocia with MROT was 4.9% (17 of 349), whilst it was 3.5% (6 of 171) with RV, and conversely KF births were associated with a slightly higher rate of 5.8% (95 of 1643). </w:t>
      </w:r>
    </w:p>
    <w:p w:rsidR="00471B56" w:rsidRPr="00451069" w:rsidRDefault="002226E5" w:rsidP="00E75CCF">
      <w:pPr>
        <w:spacing w:before="100" w:beforeAutospacing="1" w:after="100" w:afterAutospacing="1" w:line="480" w:lineRule="auto"/>
        <w:ind w:firstLine="720"/>
        <w:contextualSpacing/>
      </w:pPr>
      <w:r w:rsidRPr="00451069">
        <w:t>Out of the 349 births assisted</w:t>
      </w:r>
      <w:r w:rsidR="003454F5" w:rsidRPr="00451069">
        <w:t xml:space="preserve"> </w:t>
      </w:r>
      <w:r w:rsidRPr="00451069">
        <w:t>with</w:t>
      </w:r>
      <w:r w:rsidR="003454F5" w:rsidRPr="00451069">
        <w:t xml:space="preserve"> MROT</w:t>
      </w:r>
      <w:r w:rsidRPr="00451069">
        <w:t>,</w:t>
      </w:r>
      <w:r w:rsidR="003454F5" w:rsidRPr="00451069">
        <w:t xml:space="preserve"> 7 mothers (2%) had a m</w:t>
      </w:r>
      <w:r w:rsidR="00155B40" w:rsidRPr="00451069">
        <w:t xml:space="preserve">assive obstetric haemorrhage </w:t>
      </w:r>
      <w:r w:rsidR="00900CF1" w:rsidRPr="00451069">
        <w:t>(Table 2)</w:t>
      </w:r>
      <w:r w:rsidR="00CE17B9" w:rsidRPr="00451069">
        <w:t>. This</w:t>
      </w:r>
      <w:r w:rsidR="007726B0" w:rsidRPr="00451069">
        <w:t xml:space="preserve"> </w:t>
      </w:r>
      <w:r w:rsidR="00C54F57" w:rsidRPr="00451069">
        <w:t>compares wi</w:t>
      </w:r>
      <w:r w:rsidR="00AD67F6" w:rsidRPr="00451069">
        <w:t xml:space="preserve">th </w:t>
      </w:r>
      <w:r w:rsidRPr="00451069">
        <w:t xml:space="preserve">the rates observed in </w:t>
      </w:r>
      <w:r w:rsidR="00AD67F6" w:rsidRPr="00451069">
        <w:t>both RV and KF</w:t>
      </w:r>
      <w:r w:rsidRPr="00451069">
        <w:t xml:space="preserve"> groups</w:t>
      </w:r>
      <w:r w:rsidR="00AD67F6" w:rsidRPr="00451069">
        <w:t xml:space="preserve">, which in </w:t>
      </w:r>
      <w:r w:rsidRPr="00451069">
        <w:t xml:space="preserve">our </w:t>
      </w:r>
      <w:r w:rsidR="00CE17B9" w:rsidRPr="00451069">
        <w:t>cohort</w:t>
      </w:r>
      <w:r w:rsidR="00AD67F6" w:rsidRPr="00451069">
        <w:t xml:space="preserve"> </w:t>
      </w:r>
      <w:r w:rsidR="00CE17B9" w:rsidRPr="00451069">
        <w:t xml:space="preserve">also </w:t>
      </w:r>
      <w:r w:rsidR="00C54F57" w:rsidRPr="00451069">
        <w:t>carri</w:t>
      </w:r>
      <w:r w:rsidR="00AD67F6" w:rsidRPr="00451069">
        <w:t>ed</w:t>
      </w:r>
      <w:r w:rsidRPr="00451069">
        <w:t xml:space="preserve"> a similar</w:t>
      </w:r>
      <w:r w:rsidR="00C54F57" w:rsidRPr="00451069">
        <w:t xml:space="preserve"> risk of </w:t>
      </w:r>
      <w:r w:rsidR="005A3F68" w:rsidRPr="00451069">
        <w:t>massive obstetric haemorrhage</w:t>
      </w:r>
      <w:r w:rsidR="00C54F57" w:rsidRPr="00451069">
        <w:t xml:space="preserve">, </w:t>
      </w:r>
      <w:r w:rsidRPr="00451069">
        <w:t>at 2.3%. Conversely, the 263 women</w:t>
      </w:r>
      <w:r w:rsidR="00C54F57" w:rsidRPr="00451069">
        <w:t xml:space="preserve"> who underwent </w:t>
      </w:r>
      <w:r w:rsidR="00155B40" w:rsidRPr="00451069">
        <w:t xml:space="preserve">pEMCS </w:t>
      </w:r>
      <w:r w:rsidR="00C54F57" w:rsidRPr="00451069">
        <w:t xml:space="preserve">had </w:t>
      </w:r>
      <w:r w:rsidRPr="00451069">
        <w:t xml:space="preserve">an approximately doubled rate </w:t>
      </w:r>
      <w:r w:rsidR="00C54F57" w:rsidRPr="00451069">
        <w:t xml:space="preserve">of </w:t>
      </w:r>
      <w:r w:rsidR="005A3F68" w:rsidRPr="00451069">
        <w:t xml:space="preserve">massive obstetric haemorrhage </w:t>
      </w:r>
      <w:r w:rsidR="00C54F57" w:rsidRPr="00451069">
        <w:t xml:space="preserve">at </w:t>
      </w:r>
      <w:r w:rsidR="00155B40" w:rsidRPr="00451069">
        <w:t>4.9%</w:t>
      </w:r>
      <w:r w:rsidR="00B178F5" w:rsidRPr="00451069">
        <w:t xml:space="preserve"> </w:t>
      </w:r>
      <w:r w:rsidR="005A6BB4" w:rsidRPr="00451069">
        <w:t>yet</w:t>
      </w:r>
      <w:r w:rsidR="00B178F5" w:rsidRPr="00451069">
        <w:t xml:space="preserve"> this did not reach </w:t>
      </w:r>
      <w:r w:rsidR="005A6BB4" w:rsidRPr="00451069">
        <w:t xml:space="preserve">a </w:t>
      </w:r>
      <w:r w:rsidR="00B178F5" w:rsidRPr="00451069">
        <w:t>statistical significance</w:t>
      </w:r>
      <w:r w:rsidR="00155B40" w:rsidRPr="00451069">
        <w:t xml:space="preserve">.  </w:t>
      </w:r>
    </w:p>
    <w:p w:rsidR="00471B56" w:rsidRPr="00451069" w:rsidRDefault="00A50848">
      <w:pPr>
        <w:spacing w:before="100" w:beforeAutospacing="1" w:after="100" w:afterAutospacing="1" w:line="480" w:lineRule="auto"/>
        <w:contextualSpacing/>
      </w:pPr>
      <w:r w:rsidRPr="00451069">
        <w:t>I</w:t>
      </w:r>
      <w:r w:rsidR="00085944" w:rsidRPr="00451069">
        <w:t xml:space="preserve">n </w:t>
      </w:r>
      <w:r w:rsidR="002226E5" w:rsidRPr="00451069">
        <w:t>our patient</w:t>
      </w:r>
      <w:r w:rsidR="00085944" w:rsidRPr="00451069">
        <w:t xml:space="preserve"> cohort, 55 out of </w:t>
      </w:r>
      <w:r w:rsidR="00CE17B9" w:rsidRPr="00451069">
        <w:t xml:space="preserve">all </w:t>
      </w:r>
      <w:r w:rsidRPr="00451069">
        <w:t>2</w:t>
      </w:r>
      <w:r w:rsidR="00F84A57" w:rsidRPr="00451069">
        <w:t>,</w:t>
      </w:r>
      <w:r w:rsidRPr="00451069">
        <w:t xml:space="preserve">162 </w:t>
      </w:r>
      <w:r w:rsidR="00CE17B9" w:rsidRPr="00451069">
        <w:t>women</w:t>
      </w:r>
      <w:r w:rsidR="00085944" w:rsidRPr="00451069">
        <w:t xml:space="preserve"> </w:t>
      </w:r>
      <w:r w:rsidR="00CE17B9" w:rsidRPr="00451069">
        <w:t xml:space="preserve">who experienced a </w:t>
      </w:r>
      <w:r w:rsidR="00116676" w:rsidRPr="00451069">
        <w:t xml:space="preserve">successful </w:t>
      </w:r>
      <w:r w:rsidR="00CE17B9" w:rsidRPr="00451069">
        <w:t xml:space="preserve">vaginal operative </w:t>
      </w:r>
      <w:r w:rsidR="00F67665" w:rsidRPr="00451069">
        <w:t>birth</w:t>
      </w:r>
      <w:r w:rsidR="00116676" w:rsidRPr="00451069">
        <w:t xml:space="preserve"> </w:t>
      </w:r>
      <w:r w:rsidR="00085944" w:rsidRPr="00451069">
        <w:t xml:space="preserve">had </w:t>
      </w:r>
      <w:r w:rsidR="00116676" w:rsidRPr="00451069">
        <w:t xml:space="preserve">an </w:t>
      </w:r>
      <w:r w:rsidR="003B4AC7" w:rsidRPr="00451069">
        <w:t xml:space="preserve">OASI </w:t>
      </w:r>
      <w:r w:rsidR="00CE17B9" w:rsidRPr="00451069">
        <w:t>with an overall rate of 2.5%.</w:t>
      </w:r>
      <w:r w:rsidR="00085944" w:rsidRPr="00451069" w:rsidDel="00085944">
        <w:t xml:space="preserve"> </w:t>
      </w:r>
      <w:r w:rsidR="00192481" w:rsidRPr="00451069">
        <w:t xml:space="preserve">The incidence of </w:t>
      </w:r>
      <w:r w:rsidR="002C640A" w:rsidRPr="00451069">
        <w:t xml:space="preserve">OASI </w:t>
      </w:r>
      <w:r w:rsidR="00CE17B9" w:rsidRPr="00451069">
        <w:t>specific to</w:t>
      </w:r>
      <w:r w:rsidR="00192481" w:rsidRPr="00451069">
        <w:t xml:space="preserve"> </w:t>
      </w:r>
      <w:r w:rsidR="003A75A2">
        <w:t xml:space="preserve">the </w:t>
      </w:r>
      <w:r w:rsidR="00192481" w:rsidRPr="00451069">
        <w:t>MROT</w:t>
      </w:r>
      <w:r w:rsidR="00CB6BA2" w:rsidRPr="00451069">
        <w:t xml:space="preserve"> </w:t>
      </w:r>
      <w:r w:rsidR="00CE17B9" w:rsidRPr="00451069">
        <w:t xml:space="preserve">group </w:t>
      </w:r>
      <w:r w:rsidR="00192481" w:rsidRPr="00451069">
        <w:t xml:space="preserve">was </w:t>
      </w:r>
      <w:r w:rsidR="001540D3" w:rsidRPr="00451069">
        <w:t>1.7% (</w:t>
      </w:r>
      <w:r w:rsidR="00CB6BA2" w:rsidRPr="00451069">
        <w:t>6</w:t>
      </w:r>
      <w:r w:rsidR="001540D3" w:rsidRPr="00451069">
        <w:t xml:space="preserve"> of 349)</w:t>
      </w:r>
      <w:r w:rsidR="00192481" w:rsidRPr="00451069">
        <w:t>, higher than</w:t>
      </w:r>
      <w:r w:rsidR="00116676" w:rsidRPr="00451069">
        <w:t xml:space="preserve"> that associated with RV of</w:t>
      </w:r>
      <w:r w:rsidR="00192481" w:rsidRPr="00451069">
        <w:t xml:space="preserve"> </w:t>
      </w:r>
      <w:r w:rsidR="001540D3" w:rsidRPr="00451069">
        <w:t>0.6%</w:t>
      </w:r>
      <w:r w:rsidR="00CB6BA2" w:rsidRPr="00451069">
        <w:t xml:space="preserve"> (</w:t>
      </w:r>
      <w:r w:rsidR="001540D3" w:rsidRPr="00451069">
        <w:t>1 of 171</w:t>
      </w:r>
      <w:r w:rsidR="00116676" w:rsidRPr="00451069">
        <w:t xml:space="preserve"> births</w:t>
      </w:r>
      <w:r w:rsidR="00CB6BA2" w:rsidRPr="00451069">
        <w:t>) and</w:t>
      </w:r>
      <w:r w:rsidR="00192481" w:rsidRPr="00451069">
        <w:t xml:space="preserve"> </w:t>
      </w:r>
      <w:r w:rsidR="005A6BB4" w:rsidRPr="00451069">
        <w:t>although not</w:t>
      </w:r>
      <w:r w:rsidRPr="00451069">
        <w:t xml:space="preserve"> statistically</w:t>
      </w:r>
      <w:r w:rsidR="005A6BB4" w:rsidRPr="00451069">
        <w:t xml:space="preserve"> different,</w:t>
      </w:r>
      <w:r w:rsidRPr="00451069">
        <w:t xml:space="preserve"> </w:t>
      </w:r>
      <w:r w:rsidR="00192481" w:rsidRPr="00451069">
        <w:t>lower than</w:t>
      </w:r>
      <w:r w:rsidR="00CB6BA2" w:rsidRPr="00451069">
        <w:t xml:space="preserve"> </w:t>
      </w:r>
      <w:r w:rsidR="00116676" w:rsidRPr="00451069">
        <w:t xml:space="preserve">that of the KF group at </w:t>
      </w:r>
      <w:r w:rsidR="001540D3" w:rsidRPr="00451069">
        <w:t>2.9% (</w:t>
      </w:r>
      <w:r w:rsidR="00CB6BA2" w:rsidRPr="00451069">
        <w:t>48</w:t>
      </w:r>
      <w:r w:rsidR="001540D3" w:rsidRPr="00451069">
        <w:t xml:space="preserve"> of 1642</w:t>
      </w:r>
      <w:r w:rsidR="00116676" w:rsidRPr="00451069">
        <w:t>)</w:t>
      </w:r>
      <w:r w:rsidR="00CB6BA2" w:rsidRPr="00451069">
        <w:t>.</w:t>
      </w:r>
    </w:p>
    <w:p w:rsidR="007D6CA5" w:rsidRPr="001641E5" w:rsidRDefault="007D6CA5" w:rsidP="000E6A38">
      <w:pPr>
        <w:pStyle w:val="Heading1"/>
      </w:pPr>
      <w:r w:rsidRPr="00AE26CA">
        <w:rPr>
          <w:sz w:val="36"/>
        </w:rPr>
        <w:t>Discussion</w:t>
      </w:r>
    </w:p>
    <w:p w:rsidR="002A04EC" w:rsidRPr="00DF4A96" w:rsidRDefault="008A3FB2" w:rsidP="000E6A38">
      <w:pPr>
        <w:pStyle w:val="Heading2"/>
        <w:rPr>
          <w:rFonts w:ascii="Times New Roman" w:hAnsi="Times New Roman" w:cs="Times New Roman"/>
          <w:color w:val="auto"/>
          <w:sz w:val="32"/>
          <w:szCs w:val="32"/>
        </w:rPr>
      </w:pPr>
      <w:r w:rsidRPr="00DF4A96">
        <w:rPr>
          <w:rFonts w:ascii="Times New Roman" w:hAnsi="Times New Roman" w:cs="Times New Roman"/>
          <w:color w:val="auto"/>
          <w:sz w:val="32"/>
          <w:szCs w:val="32"/>
        </w:rPr>
        <w:lastRenderedPageBreak/>
        <w:t>Main findings</w:t>
      </w:r>
    </w:p>
    <w:p w:rsidR="002A04EC" w:rsidRDefault="00D728C3" w:rsidP="001606A2">
      <w:pPr>
        <w:spacing w:line="480" w:lineRule="auto"/>
        <w:ind w:firstLine="720"/>
        <w:contextualSpacing/>
      </w:pPr>
      <w:r w:rsidRPr="00451069">
        <w:t>Our data suggest</w:t>
      </w:r>
      <w:r>
        <w:t>s</w:t>
      </w:r>
      <w:r w:rsidRPr="00451069">
        <w:t xml:space="preserve"> that successful use of MROT is associated with comparable neonatal and maternal complication rates to all other established methods of </w:t>
      </w:r>
      <w:r w:rsidR="00171BD3">
        <w:t xml:space="preserve">rotational </w:t>
      </w:r>
      <w:r w:rsidRPr="00451069">
        <w:t xml:space="preserve">operative births </w:t>
      </w:r>
      <w:r>
        <w:t xml:space="preserve">suitable </w:t>
      </w:r>
      <w:r w:rsidRPr="00451069">
        <w:t xml:space="preserve">for a malpositioned fetal head. </w:t>
      </w:r>
      <w:r w:rsidR="0047197A">
        <w:t>There were no</w:t>
      </w:r>
      <w:r w:rsidR="002A04EC" w:rsidRPr="00451069">
        <w:t xml:space="preserve"> statistically different neonatal or maternal outcomes between all four modes of birth, confirming that all methods are equally acceptable to be utilised in clinical practise.  </w:t>
      </w:r>
    </w:p>
    <w:p w:rsidR="00A962E5" w:rsidRPr="00451069" w:rsidRDefault="00A962E5" w:rsidP="00E75CCF">
      <w:pPr>
        <w:spacing w:line="480" w:lineRule="auto"/>
        <w:ind w:firstLine="720"/>
        <w:contextualSpacing/>
      </w:pPr>
      <w:r w:rsidRPr="00451069">
        <w:t>Considering most demographic features studied, MROT offered an intermediate alternative to both RV and KF; in that, comparing with RV, MROT was the choice in nulliparous women with slightly longer labours (1</w:t>
      </w:r>
      <w:r w:rsidRPr="00451069">
        <w:rPr>
          <w:vertAlign w:val="superscript"/>
        </w:rPr>
        <w:t>st</w:t>
      </w:r>
      <w:r w:rsidRPr="00451069">
        <w:t xml:space="preserve"> and 2</w:t>
      </w:r>
      <w:r w:rsidRPr="00451069">
        <w:rPr>
          <w:vertAlign w:val="superscript"/>
        </w:rPr>
        <w:t>nd</w:t>
      </w:r>
      <w:r w:rsidRPr="00451069">
        <w:t xml:space="preserve"> stage), whilst, RV was preferred when there was evidence of fetal compromise. The opposite was true for the comparison between MROT and KF. Finally, when compared with the pEMCS group, MROT was the method of choice for women with epidurals and a higher rate of fetal compromise but pEMCS appears to be preferentially used when a woman had a higher BMI, a longer second stage or a larger baby.  </w:t>
      </w:r>
      <w:r w:rsidR="006A4E8B">
        <w:t>Furthermore, factors</w:t>
      </w:r>
      <w:r w:rsidR="008766C4">
        <w:t xml:space="preserve"> that</w:t>
      </w:r>
      <w:r w:rsidR="006A4E8B">
        <w:t xml:space="preserve"> are well known to be associated with </w:t>
      </w:r>
      <w:r w:rsidR="008766C4">
        <w:t xml:space="preserve">an increased risk of </w:t>
      </w:r>
      <w:r w:rsidR="006A4E8B">
        <w:t xml:space="preserve">caesarean section in general such as </w:t>
      </w:r>
      <w:r w:rsidR="008766C4">
        <w:t xml:space="preserve">higher </w:t>
      </w:r>
      <w:r w:rsidR="006A4E8B">
        <w:t>BMI, birth weight and age were also associated with 2</w:t>
      </w:r>
      <w:r w:rsidR="00CB3FA5" w:rsidRPr="00CB3FA5">
        <w:rPr>
          <w:vertAlign w:val="superscript"/>
        </w:rPr>
        <w:t>nd</w:t>
      </w:r>
      <w:r w:rsidR="006A4E8B">
        <w:t xml:space="preserve"> stage pEMCS group compared with the operative deliveries</w:t>
      </w:r>
      <w:r w:rsidR="008766C4">
        <w:t>.</w:t>
      </w:r>
      <w:r w:rsidR="006A4E8B">
        <w:t xml:space="preserve">  </w:t>
      </w:r>
    </w:p>
    <w:p w:rsidR="00AD6FA2" w:rsidRDefault="00AD6FA2" w:rsidP="00E75CCF">
      <w:pPr>
        <w:spacing w:line="480" w:lineRule="auto"/>
        <w:ind w:firstLine="720"/>
        <w:contextualSpacing/>
      </w:pPr>
      <w:r w:rsidRPr="00451069">
        <w:t xml:space="preserve">If MROT is to be utilised as a formal method of rotational vaginal birth, it must be comparable in neonatal and maternal safety parameters with all other available modes of operative births.  When we considered subtle trends in safety data, similar to the demographic features, MROT occupied an equidistant position between RV and KF, in shoulder dystocia and </w:t>
      </w:r>
      <w:r>
        <w:t>OASI</w:t>
      </w:r>
      <w:r w:rsidRPr="00451069">
        <w:t>, where higher rates were seen with KF. MROT however was associated with slightly higher number</w:t>
      </w:r>
      <w:r w:rsidR="00076161">
        <w:t>s</w:t>
      </w:r>
      <w:r w:rsidRPr="00451069">
        <w:t xml:space="preserve"> of neonatal admissions to SCBU but had similar rates of massive obstetric haemorrhage compared with both KF and RV.</w:t>
      </w:r>
      <w:r w:rsidR="00076161">
        <w:t xml:space="preserve"> A</w:t>
      </w:r>
      <w:r w:rsidRPr="00451069">
        <w:t>greeing with previous publications</w:t>
      </w:r>
      <w:r w:rsidR="00786590">
        <w:t xml:space="preserve"> [</w:t>
      </w:r>
      <w:r w:rsidR="00C82FCC">
        <w:t>2</w:t>
      </w:r>
      <w:r w:rsidR="008C41BA">
        <w:t>1</w:t>
      </w:r>
      <w:r w:rsidR="00786590">
        <w:t>,2</w:t>
      </w:r>
      <w:r w:rsidR="008C41BA">
        <w:t>2</w:t>
      </w:r>
      <w:r w:rsidR="00786590">
        <w:t>]</w:t>
      </w:r>
      <w:r>
        <w:t xml:space="preserve"> </w:t>
      </w:r>
      <w:r w:rsidRPr="00451069">
        <w:t xml:space="preserve">pEMCS carried the highest risk of  massive obstetric haemorrhage and rates of neonatal SCBU admission. Therefore, although these trends are not statistically significant, we have not observed convincing data to conclude the perceived superiority of MROT use for </w:t>
      </w:r>
      <w:r w:rsidRPr="00451069">
        <w:lastRenderedPageBreak/>
        <w:t xml:space="preserve">neonatal or maternal safety against other methods of rotational births. Taken together our data suggest </w:t>
      </w:r>
      <w:r w:rsidR="00CE5349">
        <w:t xml:space="preserve">fetal and </w:t>
      </w:r>
      <w:r w:rsidRPr="00451069">
        <w:t xml:space="preserve">maternal outcomes associated with successful MROT were comparable with all other methods of </w:t>
      </w:r>
      <w:r w:rsidR="00171BD3">
        <w:t xml:space="preserve">rotational </w:t>
      </w:r>
      <w:r w:rsidRPr="00451069">
        <w:t>operative births at best</w:t>
      </w:r>
      <w:r>
        <w:t xml:space="preserve"> (when successful)</w:t>
      </w:r>
      <w:r w:rsidRPr="00451069">
        <w:t xml:space="preserve">, when malposition complicates the second stage of labour. </w:t>
      </w:r>
    </w:p>
    <w:p w:rsidR="00041B54" w:rsidRPr="000F1FA7" w:rsidRDefault="007D6CA5" w:rsidP="0061789B">
      <w:pPr>
        <w:pStyle w:val="Heading2"/>
        <w:spacing w:line="480" w:lineRule="auto"/>
        <w:rPr>
          <w:rFonts w:ascii="Times New Roman" w:hAnsi="Times New Roman" w:cs="Times New Roman"/>
          <w:color w:val="auto"/>
          <w:sz w:val="32"/>
          <w:szCs w:val="32"/>
        </w:rPr>
      </w:pPr>
      <w:r w:rsidRPr="000F1FA7">
        <w:rPr>
          <w:rFonts w:ascii="Times New Roman" w:hAnsi="Times New Roman" w:cs="Times New Roman"/>
          <w:color w:val="auto"/>
          <w:sz w:val="32"/>
          <w:szCs w:val="32"/>
        </w:rPr>
        <w:t>Strengths and limitations</w:t>
      </w:r>
    </w:p>
    <w:p w:rsidR="00041B54" w:rsidRDefault="00041B54" w:rsidP="0061789B">
      <w:pPr>
        <w:spacing w:line="480" w:lineRule="auto"/>
        <w:ind w:firstLine="720"/>
        <w:contextualSpacing/>
      </w:pPr>
      <w:r>
        <w:t xml:space="preserve">This is the </w:t>
      </w:r>
      <w:r w:rsidRPr="00451069">
        <w:t xml:space="preserve">largest </w:t>
      </w:r>
      <w:r>
        <w:t xml:space="preserve">reported </w:t>
      </w:r>
      <w:r w:rsidRPr="00451069">
        <w:t>series of consecutive operative rotational vaginal births successfully assisted by MROT to be reported from a single, busy, modern, tertiary referral hospital</w:t>
      </w:r>
      <w:r w:rsidR="00372E5D">
        <w:t>.</w:t>
      </w:r>
      <w:r w:rsidRPr="00451069">
        <w:t xml:space="preserve"> Although our study was primarily designed to describe the outcomes of births assisted by MROT, our case series of rotational operative vaginal births is also the largest consecutive series ever published to include all available methods when malposition complicates the second stage of labour.  </w:t>
      </w:r>
      <w:r w:rsidR="00376671">
        <w:t>Despite</w:t>
      </w:r>
      <w:r w:rsidR="0047197A">
        <w:t xml:space="preserve"> the above, </w:t>
      </w:r>
      <w:r w:rsidR="0047197A" w:rsidRPr="00451069">
        <w:t>this study was not powered to examine extremely rare cases of outcomes such as neonatal death</w:t>
      </w:r>
      <w:r w:rsidR="0047197A">
        <w:t>.</w:t>
      </w:r>
    </w:p>
    <w:p w:rsidR="00041B54" w:rsidRDefault="002A04EC" w:rsidP="00E75CCF">
      <w:pPr>
        <w:spacing w:line="480" w:lineRule="auto"/>
        <w:ind w:firstLine="720"/>
        <w:contextualSpacing/>
      </w:pPr>
      <w:r w:rsidRPr="00451069">
        <w:t>Since in our unit, all obstetricians practising MROT were proficient in the use of at least one other (some all) methods of rotational operative births, our data highlight the specific demographic features that may lead clinicians to favour the choice of MROT over other methods of vaginal operative births.</w:t>
      </w:r>
      <w:r w:rsidR="00041B54" w:rsidRPr="00041B54">
        <w:t xml:space="preserve"> </w:t>
      </w:r>
    </w:p>
    <w:p w:rsidR="00B5673B" w:rsidRDefault="0049588D" w:rsidP="00E75CCF">
      <w:pPr>
        <w:spacing w:line="480" w:lineRule="auto"/>
        <w:ind w:firstLine="720"/>
        <w:contextualSpacing/>
      </w:pPr>
      <w:r w:rsidRPr="00451069">
        <w:t xml:space="preserve">The main drawback of our study is the retrospective nature of data collection employed during the first part of the </w:t>
      </w:r>
      <w:r>
        <w:t>study</w:t>
      </w:r>
      <w:r w:rsidR="00B5673B">
        <w:t>. In our unit,</w:t>
      </w:r>
      <w:r w:rsidRPr="00451069">
        <w:t xml:space="preserve"> routine documentation of successful MROTs was similar to other operative rotational vaginal births</w:t>
      </w:r>
      <w:r w:rsidR="00635187">
        <w:t xml:space="preserve"> </w:t>
      </w:r>
      <w:r w:rsidR="00E616FE">
        <w:t>(</w:t>
      </w:r>
      <w:r w:rsidR="00635187">
        <w:t xml:space="preserve">therefore we consider that almost all </w:t>
      </w:r>
      <w:r w:rsidR="00E616FE">
        <w:t>successful attempts with MROT were documented)</w:t>
      </w:r>
      <w:r w:rsidR="00635187">
        <w:t>,</w:t>
      </w:r>
      <w:r w:rsidRPr="00451069">
        <w:t xml:space="preserve"> yet failed attempts were not consistently documented. Consequently, reliable data retrieval was only possible on unsuccessful MROT </w:t>
      </w:r>
      <w:r w:rsidR="00B5673B">
        <w:t xml:space="preserve">during the prospective study. A </w:t>
      </w:r>
      <w:r w:rsidRPr="00451069">
        <w:t xml:space="preserve">similar practise of inconsistent documentation is expected to prevail in other units; therefore, our data underscores the urgent need to standardise documentation for this high risk obstetrics practise. Furthermore, the inconsistent documentation of unsuccessful MROT may also be a major obstacle in assessing </w:t>
      </w:r>
      <w:r w:rsidRPr="00451069">
        <w:lastRenderedPageBreak/>
        <w:t>the “true” effectiveness and safety of any other operative vaginal birth. We would add a caveat, that the outcomes we report for successful MROTs may be different in births that are unsuccessfully assisted by MROT.</w:t>
      </w:r>
    </w:p>
    <w:p w:rsidR="00B23C41" w:rsidRPr="00181E8B" w:rsidRDefault="00B23C41" w:rsidP="00E75CCF">
      <w:pPr>
        <w:spacing w:line="480" w:lineRule="auto"/>
        <w:ind w:firstLine="720"/>
        <w:contextualSpacing/>
      </w:pPr>
      <w:r>
        <w:t xml:space="preserve">Our study examined MROT </w:t>
      </w:r>
      <w:r w:rsidR="0044203B">
        <w:t xml:space="preserve">as </w:t>
      </w:r>
      <w:r w:rsidRPr="00181E8B">
        <w:t>a single entity, defined as the rotation of the fetal head to correct malposition by hand and the immediate subsequent application of direct traction for</w:t>
      </w:r>
      <w:r w:rsidR="0044203B" w:rsidRPr="00181E8B">
        <w:t>ceps/ventouse to complete birth. Our</w:t>
      </w:r>
      <w:r w:rsidRPr="00181E8B">
        <w:t xml:space="preserve"> study did not intend to examine the different outcomes associated with the </w:t>
      </w:r>
      <w:r w:rsidR="0044203B" w:rsidRPr="00181E8B">
        <w:t xml:space="preserve">non-rotational, </w:t>
      </w:r>
      <w:r w:rsidRPr="00181E8B">
        <w:t xml:space="preserve">direct traction </w:t>
      </w:r>
      <w:r w:rsidR="0044203B" w:rsidRPr="00181E8B">
        <w:t>instruments used after the MROT</w:t>
      </w:r>
      <w:r w:rsidRPr="00181E8B">
        <w:t>.</w:t>
      </w:r>
      <w:r w:rsidR="0044203B" w:rsidRPr="00181E8B">
        <w:t xml:space="preserve"> </w:t>
      </w:r>
      <w:r w:rsidR="00477774" w:rsidRPr="00181E8B">
        <w:t xml:space="preserve">There are many previous publications describing the outcomes associated with non-rotational direct traction forceps vs. ventouse and future well powered studies can examine the influence of post MROT traction instruments on the clinical outcomes. </w:t>
      </w:r>
    </w:p>
    <w:p w:rsidR="00FF18D6" w:rsidRDefault="00041B54" w:rsidP="00E75CCF">
      <w:pPr>
        <w:spacing w:line="480" w:lineRule="auto"/>
        <w:ind w:firstLine="720"/>
        <w:contextualSpacing/>
      </w:pPr>
      <w:r>
        <w:t>A further deficiency of this study is the lack of information on the subjective but important information on the station of fetal head, presence of caput, strength of uterine contractions and findings of the abdominal examination. This information should be collected in future prospective multicentre cohort studies to assess the best method of birth for malposition.</w:t>
      </w:r>
    </w:p>
    <w:p w:rsidR="007D6CA5" w:rsidRPr="00F36AB3" w:rsidRDefault="007D6CA5" w:rsidP="000E6A38">
      <w:pPr>
        <w:pStyle w:val="Heading2"/>
        <w:rPr>
          <w:rFonts w:ascii="Times New Roman" w:hAnsi="Times New Roman" w:cs="Times New Roman"/>
          <w:color w:val="auto"/>
          <w:sz w:val="32"/>
          <w:szCs w:val="32"/>
        </w:rPr>
      </w:pPr>
      <w:r w:rsidRPr="00F36AB3">
        <w:rPr>
          <w:rFonts w:ascii="Times New Roman" w:hAnsi="Times New Roman" w:cs="Times New Roman"/>
          <w:color w:val="auto"/>
          <w:sz w:val="32"/>
          <w:szCs w:val="32"/>
        </w:rPr>
        <w:t xml:space="preserve">Interpretation </w:t>
      </w:r>
    </w:p>
    <w:p w:rsidR="00444C80" w:rsidRDefault="006D1DE9" w:rsidP="00BA6964">
      <w:pPr>
        <w:pStyle w:val="NormalWeb"/>
        <w:spacing w:line="480" w:lineRule="auto"/>
        <w:ind w:firstLine="720"/>
        <w:rPr>
          <w:vertAlign w:val="superscript"/>
        </w:rPr>
      </w:pPr>
      <w:r>
        <w:t xml:space="preserve">Our data show that the use of MROT is associated with a low incidence of complications for both the infant and the woman and compares </w:t>
      </w:r>
      <w:r w:rsidR="00147A2C">
        <w:t>favourably</w:t>
      </w:r>
      <w:r>
        <w:t xml:space="preserve"> with other techniques. </w:t>
      </w:r>
      <w:r w:rsidR="00EF0430">
        <w:t xml:space="preserve">However, these complications need to be carefully considered when another consecutive rotational operative vaginal delivery method is attempted in instances when MROT </w:t>
      </w:r>
      <w:r w:rsidR="00C0648F">
        <w:t>is unsuccessfu</w:t>
      </w:r>
      <w:r w:rsidR="008F75F3">
        <w:t>l</w:t>
      </w:r>
      <w:r w:rsidR="00786590">
        <w:t xml:space="preserve"> [6]</w:t>
      </w:r>
      <w:r w:rsidR="008F75F3">
        <w:t xml:space="preserve">. </w:t>
      </w:r>
      <w:r w:rsidR="0047197A">
        <w:t xml:space="preserve">Our large dataset provide information on outcomes associated with the general use of the method, </w:t>
      </w:r>
      <w:r w:rsidR="00477774" w:rsidRPr="00181E8B">
        <w:t xml:space="preserve">however these observations will still be subjected to </w:t>
      </w:r>
      <w:r>
        <w:t xml:space="preserve">selection bias </w:t>
      </w:r>
      <w:r w:rsidR="0047197A">
        <w:t>and</w:t>
      </w:r>
      <w:r>
        <w:t xml:space="preserve"> the </w:t>
      </w:r>
      <w:r w:rsidR="0047197A">
        <w:t xml:space="preserve">influence of </w:t>
      </w:r>
      <w:r>
        <w:t xml:space="preserve">skills of </w:t>
      </w:r>
      <w:r w:rsidR="0047197A">
        <w:t>highly selected</w:t>
      </w:r>
      <w:r>
        <w:t xml:space="preserve"> individuals</w:t>
      </w:r>
      <w:r w:rsidR="00345E08">
        <w:t>. O</w:t>
      </w:r>
      <w:r>
        <w:t>ur findings are observed within a specific setting where all operative techniques were either performed or directly</w:t>
      </w:r>
      <w:r w:rsidR="00F3257A">
        <w:t>/</w:t>
      </w:r>
      <w:r>
        <w:t xml:space="preserve">indirectly supervised by a group of UK consultants, most whole time obstetricians </w:t>
      </w:r>
      <w:r>
        <w:lastRenderedPageBreak/>
        <w:t>providing ongoing support and training for trainees. The low rate of sphincter damage</w:t>
      </w:r>
      <w:r w:rsidR="00DD3CB2">
        <w:t xml:space="preserve"> we observe in our dataset compared with previous reports</w:t>
      </w:r>
      <w:r>
        <w:t xml:space="preserve"> may be another consequence of this degree of senior supervision</w:t>
      </w:r>
      <w:r w:rsidR="00786590">
        <w:t xml:space="preserve"> [2]</w:t>
      </w:r>
      <w:r>
        <w:t>.</w:t>
      </w:r>
    </w:p>
    <w:p w:rsidR="00444C80" w:rsidRPr="00EE1C77" w:rsidRDefault="007D6CA5" w:rsidP="000E6A38">
      <w:pPr>
        <w:pStyle w:val="Heading2"/>
        <w:rPr>
          <w:rFonts w:ascii="Times New Roman" w:hAnsi="Times New Roman" w:cs="Times New Roman"/>
          <w:color w:val="auto"/>
          <w:sz w:val="32"/>
          <w:szCs w:val="32"/>
        </w:rPr>
      </w:pPr>
      <w:r w:rsidRPr="00EE1C77">
        <w:rPr>
          <w:rFonts w:ascii="Times New Roman" w:hAnsi="Times New Roman" w:cs="Times New Roman"/>
          <w:color w:val="auto"/>
          <w:sz w:val="32"/>
          <w:szCs w:val="32"/>
        </w:rPr>
        <w:t>Conclusion – practical and research recommendations</w:t>
      </w:r>
    </w:p>
    <w:p w:rsidR="004127C8" w:rsidRDefault="003935A0" w:rsidP="001606A2">
      <w:pPr>
        <w:pStyle w:val="NormalWeb"/>
        <w:spacing w:line="480" w:lineRule="auto"/>
        <w:ind w:firstLine="720"/>
      </w:pPr>
      <w:r w:rsidRPr="00451069">
        <w:t>We present here the largest series of consecutive operative rotational vaginal births successfully assisted by MROT</w:t>
      </w:r>
      <w:r w:rsidR="008100A1">
        <w:t xml:space="preserve">, suggesting </w:t>
      </w:r>
      <w:r w:rsidR="008100A1" w:rsidRPr="00451069">
        <w:t xml:space="preserve">that successful use of MROT is associated with comparable neonatal and maternal complication rates to all other established methods of operative births </w:t>
      </w:r>
      <w:r w:rsidR="008100A1">
        <w:t xml:space="preserve">suitable </w:t>
      </w:r>
      <w:r w:rsidR="008100A1" w:rsidRPr="00451069">
        <w:t xml:space="preserve">for a malpositioned fetal head. </w:t>
      </w:r>
    </w:p>
    <w:p w:rsidR="004127C8" w:rsidRDefault="00637D51" w:rsidP="00E75CCF">
      <w:pPr>
        <w:pStyle w:val="NormalWeb"/>
        <w:spacing w:line="480" w:lineRule="auto"/>
        <w:ind w:firstLine="720"/>
      </w:pPr>
      <w:r w:rsidRPr="00451069">
        <w:t>MROT is increasingly being employed for assisting births throughout the world, yet there is a lack of published data on safety and efficacy. Our data highlights that MROT has a role in the management of malposition at full dilatation, with comparable outcomes to traditional methods such as RV and KF. It also provides the initial evidence to encourage obstetricians and the regulating authorities to formally recognise MROT</w:t>
      </w:r>
      <w:r w:rsidR="005B64CD">
        <w:t>,</w:t>
      </w:r>
      <w:r w:rsidRPr="00451069">
        <w:t xml:space="preserve"> as a high risk, practical obstetrics procedure </w:t>
      </w:r>
      <w:r w:rsidR="00357011">
        <w:t xml:space="preserve">similar to the other methods of traditional rotational operative deliveries, </w:t>
      </w:r>
      <w:r w:rsidRPr="00451069">
        <w:t xml:space="preserve">and formulate the fundamentally essential, yet presently non-existing guidance (including documentation), training and governance process for MROT which </w:t>
      </w:r>
      <w:r w:rsidR="005B64CD">
        <w:t xml:space="preserve">in parallel with other traditional methods </w:t>
      </w:r>
      <w:r w:rsidRPr="00451069">
        <w:t>requires the highest level of skill in acute obstetric practise. Clinicians and units that encourage the use of MROT have a responsibility</w:t>
      </w:r>
      <w:r w:rsidRPr="00451069" w:rsidDel="004E1432">
        <w:t xml:space="preserve"> </w:t>
      </w:r>
      <w:r w:rsidRPr="00451069">
        <w:t xml:space="preserve">to collect morbidity data which allows women and clinicians to make informed choices.  </w:t>
      </w:r>
    </w:p>
    <w:p w:rsidR="008100A1" w:rsidRDefault="00637D51" w:rsidP="00E75CCF">
      <w:pPr>
        <w:pStyle w:val="NormalWeb"/>
        <w:spacing w:line="480" w:lineRule="auto"/>
        <w:ind w:firstLine="720"/>
      </w:pPr>
      <w:r w:rsidRPr="00451069">
        <w:t>Formal documentation of MROT is necessary to assess the true efficacy of all rotational delivery methods, and more importantly to assess the complication rates associated with unsuccessful attempts of using all methods.</w:t>
      </w:r>
      <w:r w:rsidR="004127C8">
        <w:t xml:space="preserve"> </w:t>
      </w:r>
      <w:r w:rsidR="008100A1" w:rsidRPr="00451069">
        <w:t>We propose that standardised documentation</w:t>
      </w:r>
      <w:r w:rsidR="00436D79">
        <w:t xml:space="preserve"> (</w:t>
      </w:r>
      <w:r w:rsidR="00F345ED">
        <w:t>Fig</w:t>
      </w:r>
      <w:r w:rsidR="008100A1" w:rsidRPr="00451069">
        <w:t xml:space="preserve"> </w:t>
      </w:r>
      <w:r w:rsidR="000706D6">
        <w:t>2</w:t>
      </w:r>
      <w:r w:rsidR="008100A1" w:rsidRPr="00451069">
        <w:t>) will not only facilitate collating data from various studies as well as reducing bias in any future prospective trials</w:t>
      </w:r>
      <w:r w:rsidR="008100A1">
        <w:t>.</w:t>
      </w:r>
    </w:p>
    <w:p w:rsidR="00743CA3" w:rsidRPr="00743CA3" w:rsidRDefault="00743CA3" w:rsidP="00743CA3">
      <w:pPr>
        <w:spacing w:line="480" w:lineRule="auto"/>
        <w:contextualSpacing/>
      </w:pPr>
      <w:r>
        <w:rPr>
          <w:b/>
        </w:rPr>
        <w:lastRenderedPageBreak/>
        <w:t>Figure</w:t>
      </w:r>
      <w:r w:rsidR="0081661C">
        <w:rPr>
          <w:b/>
        </w:rPr>
        <w:t xml:space="preserve"> </w:t>
      </w:r>
      <w:r w:rsidR="000706D6">
        <w:rPr>
          <w:b/>
        </w:rPr>
        <w:t>2</w:t>
      </w:r>
      <w:r w:rsidR="0081661C">
        <w:rPr>
          <w:b/>
        </w:rPr>
        <w:t>.</w:t>
      </w:r>
      <w:r w:rsidRPr="00E9450F">
        <w:rPr>
          <w:b/>
        </w:rPr>
        <w:t xml:space="preserve"> </w:t>
      </w:r>
      <w:r w:rsidR="003842AB">
        <w:rPr>
          <w:b/>
        </w:rPr>
        <w:t xml:space="preserve">A Sample </w:t>
      </w:r>
      <w:r w:rsidR="00C558FE">
        <w:rPr>
          <w:b/>
        </w:rPr>
        <w:t xml:space="preserve">Standard </w:t>
      </w:r>
      <w:r w:rsidR="005111D3">
        <w:rPr>
          <w:b/>
        </w:rPr>
        <w:t xml:space="preserve">Operative </w:t>
      </w:r>
      <w:r w:rsidR="0081661C">
        <w:rPr>
          <w:b/>
        </w:rPr>
        <w:t>Rotation Vaginal Delivery</w:t>
      </w:r>
      <w:r w:rsidR="00C558FE">
        <w:rPr>
          <w:b/>
        </w:rPr>
        <w:t xml:space="preserve"> Documentation Template</w:t>
      </w:r>
      <w:r w:rsidR="0081661C">
        <w:rPr>
          <w:b/>
        </w:rPr>
        <w:t xml:space="preserve">. </w:t>
      </w:r>
      <w:r w:rsidR="003842AB">
        <w:t xml:space="preserve">Proposed </w:t>
      </w:r>
      <w:r w:rsidRPr="00E9450F">
        <w:t xml:space="preserve">documentation proforma to record essential </w:t>
      </w:r>
      <w:r w:rsidR="005111D3">
        <w:t xml:space="preserve">data that can be used in </w:t>
      </w:r>
      <w:r w:rsidRPr="00E9450F">
        <w:t xml:space="preserve">all </w:t>
      </w:r>
      <w:r w:rsidR="005111D3">
        <w:t xml:space="preserve">operative </w:t>
      </w:r>
      <w:r w:rsidRPr="00E9450F">
        <w:t xml:space="preserve">methods </w:t>
      </w:r>
      <w:r w:rsidR="005111D3">
        <w:t xml:space="preserve">to expedite delivery in </w:t>
      </w:r>
      <w:r w:rsidRPr="00E9450F">
        <w:t xml:space="preserve">second stage </w:t>
      </w:r>
      <w:r w:rsidR="005111D3">
        <w:t>labours complicated with</w:t>
      </w:r>
      <w:r w:rsidRPr="00E9450F">
        <w:t xml:space="preserve"> fetal malposition.</w:t>
      </w:r>
    </w:p>
    <w:p w:rsidR="00637D51" w:rsidRDefault="00637D51" w:rsidP="00E75CCF">
      <w:pPr>
        <w:spacing w:line="480" w:lineRule="auto"/>
        <w:ind w:firstLine="720"/>
        <w:contextualSpacing/>
      </w:pPr>
      <w:r w:rsidRPr="00451069">
        <w:t xml:space="preserve">We conclude that our study highlights the urgent need to standardise the practice and documentation of operative births when malposition of the fetal head complicates the second stage of labour. A national, regulated prospective data collection of the outcomes of high-risk obstetric interventions including rotational births and EMCS in the second stage of labour is necessary and overdue. A reliable and standard system of reporting the </w:t>
      </w:r>
      <w:r w:rsidR="00852012" w:rsidRPr="00451069">
        <w:t>efficacy</w:t>
      </w:r>
      <w:r w:rsidRPr="00451069">
        <w:t xml:space="preserve"> and safety outcomes of these high risk births will ensure the maintenance of high standards hence quality assurance, service improvement,</w:t>
      </w:r>
      <w:r w:rsidR="0016434D">
        <w:t xml:space="preserve"> a</w:t>
      </w:r>
      <w:r w:rsidRPr="00451069">
        <w:t xml:space="preserve"> benchmark</w:t>
      </w:r>
      <w:r w:rsidRPr="00451069" w:rsidDel="00E408CE">
        <w:t xml:space="preserve"> </w:t>
      </w:r>
      <w:r w:rsidR="0016434D">
        <w:t xml:space="preserve">for </w:t>
      </w:r>
      <w:r w:rsidRPr="00451069">
        <w:t>the production of formal training programmes and guidelines, assist greater public transparency and accountability in obstetric practise through a public reporting system similar to other surgical outcomes.  We believe these essential changes will ensure babies and mothers receiv</w:t>
      </w:r>
      <w:r w:rsidR="00720990">
        <w:t>e</w:t>
      </w:r>
      <w:r w:rsidRPr="00451069">
        <w:t xml:space="preserve"> the most appropriate and highest level of care when labour is complicated by malposition. </w:t>
      </w:r>
    </w:p>
    <w:p w:rsidR="005029DE" w:rsidRPr="005029DE" w:rsidRDefault="00666151" w:rsidP="000E6A38">
      <w:pPr>
        <w:pStyle w:val="Heading1"/>
      </w:pPr>
      <w:r w:rsidRPr="006A780B">
        <w:rPr>
          <w:sz w:val="36"/>
          <w:szCs w:val="36"/>
        </w:rPr>
        <w:t>Acknowledgement</w:t>
      </w:r>
      <w:r w:rsidR="000707E4" w:rsidRPr="006A780B">
        <w:rPr>
          <w:sz w:val="36"/>
          <w:szCs w:val="36"/>
        </w:rPr>
        <w:t>s</w:t>
      </w:r>
      <w:r w:rsidRPr="005029DE">
        <w:t xml:space="preserve"> </w:t>
      </w:r>
    </w:p>
    <w:p w:rsidR="00462DB8" w:rsidRDefault="00666151" w:rsidP="00723532">
      <w:pPr>
        <w:spacing w:before="100" w:beforeAutospacing="1" w:after="100" w:afterAutospacing="1" w:line="480" w:lineRule="auto"/>
        <w:ind w:firstLine="720"/>
        <w:jc w:val="both"/>
      </w:pPr>
      <w:r w:rsidRPr="008D6952">
        <w:t>Authors are grateful to Mrs Sandra Drummond (Information technology project midwife</w:t>
      </w:r>
      <w:r w:rsidR="008233F1">
        <w:t xml:space="preserve"> LWH</w:t>
      </w:r>
      <w:r w:rsidRPr="008D6952">
        <w:t>), Mrs Jane Saltmarsh (Information technology, BADGER system</w:t>
      </w:r>
      <w:r w:rsidR="008233F1">
        <w:t xml:space="preserve"> LWH</w:t>
      </w:r>
      <w:r w:rsidRPr="008D6952">
        <w:t>), Risk management lead</w:t>
      </w:r>
      <w:r>
        <w:t xml:space="preserve">s </w:t>
      </w:r>
      <w:r w:rsidR="002255D2">
        <w:t>at LWH</w:t>
      </w:r>
      <w:r w:rsidRPr="008D6952">
        <w:t xml:space="preserve">, </w:t>
      </w:r>
      <w:r w:rsidR="002255D2">
        <w:t xml:space="preserve">Drs </w:t>
      </w:r>
      <w:r w:rsidRPr="008D6952">
        <w:t xml:space="preserve">Aileen Cope, </w:t>
      </w:r>
      <w:r>
        <w:t xml:space="preserve">and </w:t>
      </w:r>
      <w:r w:rsidR="002255D2">
        <w:t>Ausha De Silva</w:t>
      </w:r>
      <w:r w:rsidRPr="008D6952">
        <w:t xml:space="preserve"> </w:t>
      </w:r>
      <w:r w:rsidR="00C9112C">
        <w:t xml:space="preserve">(LWH) </w:t>
      </w:r>
      <w:r w:rsidRPr="008D6952">
        <w:t xml:space="preserve">for their assistance in data collection. The authors also wish to acknowledge the constructive comments on the manuscript by Professors Zarko Alfirevic and </w:t>
      </w:r>
      <w:r>
        <w:t>Andrew Weeks</w:t>
      </w:r>
      <w:r w:rsidR="00C9112C">
        <w:t xml:space="preserve"> (University of Liverpool)</w:t>
      </w:r>
      <w:r w:rsidRPr="008D6952">
        <w:t>.</w:t>
      </w:r>
      <w:r>
        <w:t xml:space="preserve"> </w:t>
      </w:r>
      <w:r w:rsidR="00C9112C">
        <w:t xml:space="preserve">Patient and staff at </w:t>
      </w:r>
      <w:r>
        <w:t xml:space="preserve">Liverpool Women’s Hospital NHS Foundation Trust </w:t>
      </w:r>
      <w:r w:rsidR="00C9112C">
        <w:t>are</w:t>
      </w:r>
      <w:r>
        <w:t xml:space="preserve"> also acknowledged. </w:t>
      </w:r>
    </w:p>
    <w:p w:rsidR="001924C8" w:rsidRPr="00451069" w:rsidRDefault="001924C8" w:rsidP="000E6A38"/>
    <w:p w:rsidR="00181E8B" w:rsidRDefault="00181E8B" w:rsidP="00325A9C">
      <w:pPr>
        <w:pStyle w:val="Heading1"/>
        <w:spacing w:line="480" w:lineRule="auto"/>
        <w:rPr>
          <w:sz w:val="36"/>
          <w:szCs w:val="36"/>
        </w:rPr>
      </w:pPr>
      <w:bookmarkStart w:id="16" w:name="42"/>
      <w:bookmarkStart w:id="17" w:name="43"/>
      <w:bookmarkStart w:id="18" w:name="44"/>
      <w:bookmarkStart w:id="19" w:name="45"/>
      <w:bookmarkStart w:id="20" w:name="46"/>
      <w:bookmarkStart w:id="21" w:name="47"/>
      <w:bookmarkEnd w:id="16"/>
      <w:bookmarkEnd w:id="17"/>
      <w:bookmarkEnd w:id="18"/>
      <w:bookmarkEnd w:id="19"/>
      <w:bookmarkEnd w:id="20"/>
      <w:bookmarkEnd w:id="21"/>
    </w:p>
    <w:p w:rsidR="00D32DF6" w:rsidRPr="003F3157" w:rsidRDefault="007A7C6A" w:rsidP="00325A9C">
      <w:pPr>
        <w:pStyle w:val="Heading1"/>
        <w:spacing w:line="480" w:lineRule="auto"/>
        <w:rPr>
          <w:sz w:val="36"/>
          <w:szCs w:val="36"/>
        </w:rPr>
      </w:pPr>
      <w:r w:rsidRPr="003F3157">
        <w:rPr>
          <w:sz w:val="36"/>
          <w:szCs w:val="36"/>
        </w:rPr>
        <w:t>References</w:t>
      </w:r>
    </w:p>
    <w:p w:rsidR="009616F5" w:rsidRPr="00451069" w:rsidRDefault="009212E3" w:rsidP="00325A9C">
      <w:pPr>
        <w:shd w:val="clear" w:color="auto" w:fill="FFFFFF"/>
        <w:spacing w:line="480" w:lineRule="auto"/>
        <w:contextualSpacing/>
      </w:pPr>
      <w:r w:rsidRPr="00451069">
        <w:t xml:space="preserve">1. </w:t>
      </w:r>
      <w:r w:rsidRPr="00451069">
        <w:rPr>
          <w:bCs/>
        </w:rPr>
        <w:t>Tempest N</w:t>
      </w:r>
      <w:r w:rsidRPr="00451069">
        <w:t xml:space="preserve">, Navaratnam K, Hapangama DK. </w:t>
      </w:r>
      <w:hyperlink r:id="rId10" w:history="1">
        <w:r w:rsidRPr="00451069">
          <w:t>Does advanced operative obstetrics still have a place in contemporary practice?</w:t>
        </w:r>
      </w:hyperlink>
      <w:r w:rsidRPr="00451069">
        <w:t xml:space="preserve"> </w:t>
      </w:r>
      <w:r w:rsidRPr="001044C5">
        <w:rPr>
          <w:i/>
        </w:rPr>
        <w:t>Curr Opin Obstet Gynecol</w:t>
      </w:r>
      <w:r w:rsidR="005C40BE">
        <w:rPr>
          <w:i/>
        </w:rPr>
        <w:t>.</w:t>
      </w:r>
      <w:r w:rsidRPr="00451069">
        <w:t xml:space="preserve"> 2015;27(2):115-20. </w:t>
      </w:r>
    </w:p>
    <w:p w:rsidR="009616F5" w:rsidRPr="00451069" w:rsidRDefault="009212E3">
      <w:pPr>
        <w:spacing w:line="480" w:lineRule="auto"/>
        <w:contextualSpacing/>
        <w:rPr>
          <w:noProof/>
        </w:rPr>
      </w:pPr>
      <w:r w:rsidRPr="00451069">
        <w:t>2.</w:t>
      </w:r>
      <w:r w:rsidRPr="00451069">
        <w:rPr>
          <w:noProof/>
        </w:rPr>
        <w:t xml:space="preserve"> RCOG. Operative vaginal delivery. Green-top guidelines. London (UK): Royal College of Obstetricians and Gynaecologists; 2011.</w:t>
      </w:r>
    </w:p>
    <w:p w:rsidR="009616F5" w:rsidRPr="00451069" w:rsidRDefault="009212E3">
      <w:pPr>
        <w:shd w:val="clear" w:color="auto" w:fill="FFFFFF"/>
        <w:spacing w:line="480" w:lineRule="auto"/>
        <w:contextualSpacing/>
      </w:pPr>
      <w:r w:rsidRPr="00451069">
        <w:t>3.</w:t>
      </w:r>
      <w:r w:rsidRPr="00451069">
        <w:rPr>
          <w:noProof/>
        </w:rPr>
        <w:t xml:space="preserve"> Majoko F, Gardener G. Trial of instrumental delivery in theatre versus immediate caesarean section for anticipated difficult assisted births.</w:t>
      </w:r>
      <w:r w:rsidR="003D2932" w:rsidRPr="00451069">
        <w:t xml:space="preserve"> Cochrane Database Syst Rev 2012;17;10:CD005545.</w:t>
      </w:r>
    </w:p>
    <w:p w:rsidR="009616F5" w:rsidRPr="00451069" w:rsidRDefault="003D2932">
      <w:pPr>
        <w:shd w:val="clear" w:color="auto" w:fill="FFFFFF"/>
        <w:spacing w:after="200" w:line="480" w:lineRule="auto"/>
        <w:contextualSpacing/>
      </w:pPr>
      <w:r w:rsidRPr="00451069">
        <w:t>4.</w:t>
      </w:r>
      <w:r w:rsidRPr="00451069">
        <w:rPr>
          <w:noProof/>
        </w:rPr>
        <w:t xml:space="preserve"> </w:t>
      </w:r>
      <w:hyperlink r:id="rId11" w:history="1">
        <w:r w:rsidRPr="00451069">
          <w:t>American College of Obstetricians and Gynecologists (College)</w:t>
        </w:r>
      </w:hyperlink>
      <w:r w:rsidR="009212E3" w:rsidRPr="00451069">
        <w:t>,</w:t>
      </w:r>
      <w:r w:rsidRPr="00451069">
        <w:t xml:space="preserve"> </w:t>
      </w:r>
      <w:hyperlink r:id="rId12" w:history="1">
        <w:r w:rsidRPr="00451069">
          <w:t>Society for Maternal-Fetal Medicine</w:t>
        </w:r>
      </w:hyperlink>
      <w:r w:rsidRPr="00451069">
        <w:t xml:space="preserve">, </w:t>
      </w:r>
      <w:hyperlink r:id="rId13" w:history="1">
        <w:r w:rsidRPr="00451069">
          <w:t>Caughey AB</w:t>
        </w:r>
      </w:hyperlink>
      <w:r w:rsidRPr="00451069">
        <w:t xml:space="preserve">, </w:t>
      </w:r>
      <w:hyperlink r:id="rId14" w:history="1">
        <w:r w:rsidRPr="00451069">
          <w:t>Cahill AG</w:t>
        </w:r>
      </w:hyperlink>
      <w:r w:rsidRPr="00451069">
        <w:t xml:space="preserve">, </w:t>
      </w:r>
      <w:hyperlink r:id="rId15" w:history="1">
        <w:r w:rsidRPr="00451069">
          <w:t>Guise JM</w:t>
        </w:r>
      </w:hyperlink>
      <w:r w:rsidRPr="00451069">
        <w:t xml:space="preserve">, </w:t>
      </w:r>
      <w:hyperlink r:id="rId16" w:history="1">
        <w:r w:rsidRPr="00451069">
          <w:t>Rouse DJ</w:t>
        </w:r>
      </w:hyperlink>
      <w:r w:rsidRPr="00451069">
        <w:t>.</w:t>
      </w:r>
      <w:r w:rsidRPr="00451069">
        <w:rPr>
          <w:noProof/>
        </w:rPr>
        <w:t xml:space="preserve"> Safe prevention of the primary cesarean delivery. </w:t>
      </w:r>
      <w:hyperlink r:id="rId17" w:tooltip="American journal of obstetrics and gynecology." w:history="1">
        <w:r w:rsidRPr="001044C5">
          <w:rPr>
            <w:i/>
          </w:rPr>
          <w:t>Am J Obstet Gynecol</w:t>
        </w:r>
      </w:hyperlink>
      <w:r w:rsidR="00B71E3F">
        <w:t>.</w:t>
      </w:r>
      <w:r w:rsidRPr="001044C5">
        <w:rPr>
          <w:i/>
        </w:rPr>
        <w:t xml:space="preserve"> </w:t>
      </w:r>
      <w:r w:rsidRPr="00451069">
        <w:t>2014;210(3):179-93.</w:t>
      </w:r>
    </w:p>
    <w:p w:rsidR="009616F5" w:rsidRPr="00451069" w:rsidRDefault="009212E3">
      <w:pPr>
        <w:shd w:val="clear" w:color="auto" w:fill="FFFFFF"/>
        <w:spacing w:line="480" w:lineRule="auto"/>
        <w:contextualSpacing/>
      </w:pPr>
      <w:r w:rsidRPr="00451069">
        <w:rPr>
          <w:noProof/>
        </w:rPr>
        <w:t xml:space="preserve">5. </w:t>
      </w:r>
      <w:r w:rsidRPr="00451069">
        <w:t>Chinnock M, Robson S.</w:t>
      </w:r>
      <w:r w:rsidR="003D2932" w:rsidRPr="00451069">
        <w:rPr>
          <w:bCs/>
          <w:kern w:val="36"/>
        </w:rPr>
        <w:t xml:space="preserve"> </w:t>
      </w:r>
      <w:r w:rsidRPr="00451069">
        <w:rPr>
          <w:bCs/>
          <w:kern w:val="36"/>
        </w:rPr>
        <w:t>An anonymous survey of registrar training in the use of Kjelland's forceps in Australia.</w:t>
      </w:r>
      <w:r w:rsidR="003D2932" w:rsidRPr="00451069">
        <w:t xml:space="preserve"> </w:t>
      </w:r>
      <w:hyperlink r:id="rId18" w:tooltip="The Australian &amp; New Zealand journal of obstetrics &amp; gynaecology." w:history="1">
        <w:r w:rsidR="003D2932" w:rsidRPr="001044C5">
          <w:rPr>
            <w:i/>
          </w:rPr>
          <w:t>Aust N Z J Obstet Gynaecol</w:t>
        </w:r>
      </w:hyperlink>
      <w:r w:rsidR="00B71E3F">
        <w:t>.</w:t>
      </w:r>
      <w:r w:rsidR="003D2932" w:rsidRPr="001044C5">
        <w:rPr>
          <w:i/>
        </w:rPr>
        <w:t xml:space="preserve"> </w:t>
      </w:r>
      <w:r w:rsidR="003D2932" w:rsidRPr="00451069">
        <w:t>2009;49(5):515-6.</w:t>
      </w:r>
    </w:p>
    <w:p w:rsidR="009212E3" w:rsidRPr="00451069" w:rsidRDefault="003D2932">
      <w:pPr>
        <w:spacing w:line="480" w:lineRule="auto"/>
        <w:contextualSpacing/>
        <w:rPr>
          <w:noProof/>
        </w:rPr>
      </w:pPr>
      <w:r w:rsidRPr="00451069">
        <w:t>6.</w:t>
      </w:r>
      <w:r w:rsidRPr="00451069">
        <w:rPr>
          <w:noProof/>
        </w:rPr>
        <w:t xml:space="preserve"> RANZCOG</w:t>
      </w:r>
      <w:r w:rsidRPr="00451069">
        <w:t>.</w:t>
      </w:r>
      <w:r w:rsidRPr="00451069">
        <w:rPr>
          <w:noProof/>
        </w:rPr>
        <w:t xml:space="preserve"> Rotational Forceps. Victoria (Australia):</w:t>
      </w:r>
      <w:r w:rsidRPr="00451069">
        <w:t xml:space="preserve"> Royal Australian and New Zealand College of Obstetricians and Gynaecologists;</w:t>
      </w:r>
      <w:r w:rsidRPr="00451069">
        <w:rPr>
          <w:noProof/>
        </w:rPr>
        <w:t xml:space="preserve"> 2012.</w:t>
      </w:r>
    </w:p>
    <w:p w:rsidR="009616F5" w:rsidRPr="00451069" w:rsidRDefault="009212E3">
      <w:pPr>
        <w:shd w:val="clear" w:color="auto" w:fill="FFFFFF"/>
        <w:spacing w:line="480" w:lineRule="auto"/>
        <w:contextualSpacing/>
      </w:pPr>
      <w:r w:rsidRPr="00451069">
        <w:rPr>
          <w:bCs/>
        </w:rPr>
        <w:t>7.</w:t>
      </w:r>
      <w:r w:rsidRPr="00451069">
        <w:rPr>
          <w:bCs/>
          <w:kern w:val="36"/>
        </w:rPr>
        <w:t xml:space="preserve"> </w:t>
      </w:r>
      <w:r w:rsidRPr="00451069">
        <w:t xml:space="preserve">Bahl R, Van de Venne M, Macleod M, Strachan B, Murphy DJ. </w:t>
      </w:r>
      <w:hyperlink r:id="rId19" w:history="1">
        <w:r w:rsidRPr="00451069">
          <w:rPr>
            <w:bCs/>
          </w:rPr>
          <w:t>Maternal</w:t>
        </w:r>
        <w:r w:rsidRPr="00451069">
          <w:t xml:space="preserve"> and </w:t>
        </w:r>
        <w:r w:rsidRPr="00451069">
          <w:rPr>
            <w:bCs/>
          </w:rPr>
          <w:t>neonatal</w:t>
        </w:r>
        <w:r w:rsidRPr="00451069">
          <w:t xml:space="preserve"> </w:t>
        </w:r>
        <w:r w:rsidRPr="00451069">
          <w:rPr>
            <w:bCs/>
          </w:rPr>
          <w:t>morbidity</w:t>
        </w:r>
        <w:r w:rsidRPr="00451069">
          <w:t xml:space="preserve"> in </w:t>
        </w:r>
        <w:r w:rsidRPr="00451069">
          <w:rPr>
            <w:bCs/>
          </w:rPr>
          <w:t>relation</w:t>
        </w:r>
        <w:r w:rsidRPr="00451069">
          <w:t xml:space="preserve"> to the </w:t>
        </w:r>
        <w:r w:rsidRPr="00451069">
          <w:rPr>
            <w:bCs/>
          </w:rPr>
          <w:t>instrument</w:t>
        </w:r>
        <w:r w:rsidRPr="00451069">
          <w:t xml:space="preserve"> used for </w:t>
        </w:r>
        <w:r w:rsidRPr="00451069">
          <w:rPr>
            <w:bCs/>
          </w:rPr>
          <w:t>mid-cavity</w:t>
        </w:r>
        <w:r w:rsidRPr="00451069">
          <w:t xml:space="preserve"> </w:t>
        </w:r>
        <w:r w:rsidRPr="00451069">
          <w:rPr>
            <w:bCs/>
          </w:rPr>
          <w:t>rotational</w:t>
        </w:r>
        <w:r w:rsidRPr="00451069">
          <w:t xml:space="preserve"> </w:t>
        </w:r>
        <w:r w:rsidRPr="00451069">
          <w:rPr>
            <w:bCs/>
          </w:rPr>
          <w:t>operative</w:t>
        </w:r>
        <w:r w:rsidRPr="00451069">
          <w:t xml:space="preserve"> </w:t>
        </w:r>
        <w:r w:rsidRPr="00451069">
          <w:rPr>
            <w:bCs/>
          </w:rPr>
          <w:t>vaginal</w:t>
        </w:r>
        <w:r w:rsidRPr="00451069">
          <w:t xml:space="preserve"> </w:t>
        </w:r>
        <w:r w:rsidRPr="00451069">
          <w:rPr>
            <w:bCs/>
          </w:rPr>
          <w:t>delivery</w:t>
        </w:r>
        <w:r w:rsidRPr="00451069">
          <w:t xml:space="preserve">: a </w:t>
        </w:r>
        <w:r w:rsidRPr="00451069">
          <w:rPr>
            <w:bCs/>
          </w:rPr>
          <w:t>prospective</w:t>
        </w:r>
        <w:r w:rsidRPr="00451069">
          <w:t xml:space="preserve"> </w:t>
        </w:r>
        <w:r w:rsidRPr="00451069">
          <w:rPr>
            <w:bCs/>
          </w:rPr>
          <w:t>cohort study</w:t>
        </w:r>
        <w:r w:rsidRPr="00451069">
          <w:t>.</w:t>
        </w:r>
      </w:hyperlink>
      <w:r w:rsidRPr="00451069">
        <w:t xml:space="preserve"> </w:t>
      </w:r>
      <w:r w:rsidRPr="00D35794">
        <w:rPr>
          <w:rStyle w:val="jrnl"/>
          <w:i/>
        </w:rPr>
        <w:t>BJOG</w:t>
      </w:r>
      <w:r w:rsidR="00B71E3F">
        <w:rPr>
          <w:rStyle w:val="jrnl"/>
          <w:i/>
        </w:rPr>
        <w:t>.</w:t>
      </w:r>
      <w:r w:rsidRPr="00451069">
        <w:t xml:space="preserve"> 2013;120(12):1526-32. </w:t>
      </w:r>
    </w:p>
    <w:p w:rsidR="009212E3" w:rsidRPr="00451069" w:rsidRDefault="003D2932">
      <w:pPr>
        <w:spacing w:line="480" w:lineRule="auto"/>
        <w:contextualSpacing/>
        <w:rPr>
          <w:noProof/>
        </w:rPr>
      </w:pPr>
      <w:r w:rsidRPr="00451069">
        <w:rPr>
          <w:noProof/>
        </w:rPr>
        <w:t>8.</w:t>
      </w:r>
      <w:r w:rsidRPr="00451069">
        <w:t xml:space="preserve"> SO</w:t>
      </w:r>
      <w:r w:rsidR="009212E3" w:rsidRPr="00451069">
        <w:t xml:space="preserve">GC. </w:t>
      </w:r>
      <w:r w:rsidRPr="00451069">
        <w:t>Guidelines for operative vaginal birth</w:t>
      </w:r>
      <w:r w:rsidR="009212E3" w:rsidRPr="00451069">
        <w:t>.</w:t>
      </w:r>
      <w:r w:rsidRPr="00451069">
        <w:t xml:space="preserve"> </w:t>
      </w:r>
      <w:r w:rsidR="009212E3" w:rsidRPr="00451069">
        <w:t xml:space="preserve">Ontario </w:t>
      </w:r>
      <w:r w:rsidRPr="00451069">
        <w:t>(Canada): Council of the Society of Obstetricians and Gynaecologists of Canada; 2004.</w:t>
      </w:r>
    </w:p>
    <w:p w:rsidR="009616F5" w:rsidRPr="00451069" w:rsidRDefault="0008295E">
      <w:pPr>
        <w:shd w:val="clear" w:color="auto" w:fill="FFFFFF"/>
        <w:spacing w:line="480" w:lineRule="auto"/>
        <w:contextualSpacing/>
      </w:pPr>
      <w:r>
        <w:t>9</w:t>
      </w:r>
      <w:r w:rsidR="009212E3" w:rsidRPr="00451069">
        <w:t>.</w:t>
      </w:r>
      <w:r w:rsidR="003D2932" w:rsidRPr="00451069">
        <w:t xml:space="preserve"> </w:t>
      </w:r>
      <w:hyperlink r:id="rId20" w:history="1">
        <w:r w:rsidR="003D2932" w:rsidRPr="00451069">
          <w:t>Phipps H</w:t>
        </w:r>
      </w:hyperlink>
      <w:r w:rsidR="003D2932" w:rsidRPr="00451069">
        <w:t xml:space="preserve">, </w:t>
      </w:r>
      <w:hyperlink r:id="rId21" w:history="1">
        <w:r w:rsidR="003D2932" w:rsidRPr="00451069">
          <w:t>de Vries B</w:t>
        </w:r>
      </w:hyperlink>
      <w:r w:rsidR="003D2932" w:rsidRPr="00451069">
        <w:t xml:space="preserve">, </w:t>
      </w:r>
      <w:hyperlink r:id="rId22" w:history="1">
        <w:r w:rsidR="003D2932" w:rsidRPr="00451069">
          <w:t>Hyett J</w:t>
        </w:r>
      </w:hyperlink>
      <w:r w:rsidR="003D2932" w:rsidRPr="00451069">
        <w:t xml:space="preserve">, </w:t>
      </w:r>
      <w:hyperlink r:id="rId23" w:history="1">
        <w:r w:rsidR="003D2932" w:rsidRPr="00451069">
          <w:t>Osborn DA</w:t>
        </w:r>
      </w:hyperlink>
      <w:r w:rsidR="003D2932" w:rsidRPr="00451069">
        <w:t xml:space="preserve">. </w:t>
      </w:r>
      <w:r w:rsidR="003D2932" w:rsidRPr="00451069">
        <w:rPr>
          <w:noProof/>
        </w:rPr>
        <w:t xml:space="preserve">Prophylactic manual rotation for fetal malposition to reduce operative delivery. </w:t>
      </w:r>
      <w:r w:rsidR="003D2932" w:rsidRPr="00451069">
        <w:t>Cochrane Database Syst Rev 2014;22;12:CD009298.</w:t>
      </w:r>
    </w:p>
    <w:p w:rsidR="009616F5" w:rsidRPr="00451069" w:rsidRDefault="009212E3">
      <w:pPr>
        <w:shd w:val="clear" w:color="auto" w:fill="FFFFFF"/>
        <w:spacing w:line="480" w:lineRule="auto"/>
        <w:contextualSpacing/>
      </w:pPr>
      <w:r w:rsidRPr="00451069">
        <w:lastRenderedPageBreak/>
        <w:t>1</w:t>
      </w:r>
      <w:r w:rsidR="0008295E">
        <w:t>0</w:t>
      </w:r>
      <w:r w:rsidRPr="00451069">
        <w:t>.</w:t>
      </w:r>
      <w:r w:rsidRPr="00451069">
        <w:rPr>
          <w:noProof/>
        </w:rPr>
        <w:t xml:space="preserve"> Scott JR, Gibbs RS, Karlan BY, Haney AF. Danforth`s obstetrics and gynaecology, 9th ed. Philadelphia (PA): Lippincott Williams &amp; Wilkins; 2003.</w:t>
      </w:r>
    </w:p>
    <w:p w:rsidR="009616F5" w:rsidRPr="00451069" w:rsidRDefault="0008295E">
      <w:pPr>
        <w:shd w:val="clear" w:color="auto" w:fill="FFFFFF"/>
        <w:spacing w:line="480" w:lineRule="auto"/>
        <w:contextualSpacing/>
      </w:pPr>
      <w:r>
        <w:t>11</w:t>
      </w:r>
      <w:r w:rsidR="009212E3" w:rsidRPr="00451069">
        <w:t>.</w:t>
      </w:r>
      <w:r w:rsidR="009212E3" w:rsidRPr="00451069">
        <w:rPr>
          <w:bCs/>
        </w:rPr>
        <w:t xml:space="preserve"> Le Ray C</w:t>
      </w:r>
      <w:r w:rsidR="009212E3" w:rsidRPr="00451069">
        <w:t xml:space="preserve">, Deneux-Tharaux C, Khireddine I, Dreyfus M, Vardon D, Goffinet F. </w:t>
      </w:r>
      <w:hyperlink r:id="rId24" w:history="1">
        <w:r w:rsidR="009212E3" w:rsidRPr="00451069">
          <w:t>Manual rotation to decrease operative delivery in posterior or transverse positions.</w:t>
        </w:r>
      </w:hyperlink>
      <w:r w:rsidR="009212E3" w:rsidRPr="00451069">
        <w:t xml:space="preserve"> </w:t>
      </w:r>
      <w:r w:rsidR="009212E3" w:rsidRPr="00D35794">
        <w:rPr>
          <w:i/>
        </w:rPr>
        <w:t>Obstet Gynecol</w:t>
      </w:r>
      <w:r w:rsidR="00B71E3F">
        <w:rPr>
          <w:i/>
        </w:rPr>
        <w:t>.</w:t>
      </w:r>
      <w:r w:rsidR="009212E3" w:rsidRPr="00451069">
        <w:t xml:space="preserve"> </w:t>
      </w:r>
      <w:r w:rsidR="009212E3" w:rsidRPr="00451069">
        <w:rPr>
          <w:bCs/>
        </w:rPr>
        <w:t>2013</w:t>
      </w:r>
      <w:r w:rsidR="009212E3" w:rsidRPr="00451069">
        <w:t>;122(3):634-40.</w:t>
      </w:r>
    </w:p>
    <w:p w:rsidR="009212E3" w:rsidRPr="00451069" w:rsidRDefault="0008295E">
      <w:pPr>
        <w:spacing w:line="480" w:lineRule="auto"/>
        <w:contextualSpacing/>
        <w:rPr>
          <w:noProof/>
        </w:rPr>
      </w:pPr>
      <w:r>
        <w:t>12</w:t>
      </w:r>
      <w:r w:rsidR="009212E3" w:rsidRPr="00451069">
        <w:t>.</w:t>
      </w:r>
      <w:r w:rsidR="009212E3" w:rsidRPr="00451069">
        <w:rPr>
          <w:noProof/>
        </w:rPr>
        <w:t xml:space="preserve"> </w:t>
      </w:r>
      <w:hyperlink r:id="rId25" w:history="1">
        <w:r w:rsidR="009212E3" w:rsidRPr="00451069">
          <w:t>Sen K</w:t>
        </w:r>
      </w:hyperlink>
      <w:r w:rsidR="009212E3" w:rsidRPr="00451069">
        <w:t xml:space="preserve">, </w:t>
      </w:r>
      <w:hyperlink r:id="rId26" w:history="1">
        <w:r w:rsidR="009212E3" w:rsidRPr="00451069">
          <w:t>Sakamoto H</w:t>
        </w:r>
      </w:hyperlink>
      <w:r w:rsidR="009212E3" w:rsidRPr="00451069">
        <w:t xml:space="preserve">, </w:t>
      </w:r>
      <w:hyperlink r:id="rId27" w:history="1">
        <w:r w:rsidR="001B5CD8" w:rsidRPr="00451069">
          <w:t>Nakabayashi Y</w:t>
        </w:r>
      </w:hyperlink>
      <w:r w:rsidR="00FA485D">
        <w:t>,</w:t>
      </w:r>
      <w:r w:rsidR="00FA485D" w:rsidRPr="00FA485D">
        <w:t xml:space="preserve"> Takeda Y, Nakayama S, Adachi T</w:t>
      </w:r>
      <w:r w:rsidR="00FA485D">
        <w:t xml:space="preserve"> et al. </w:t>
      </w:r>
      <w:r w:rsidR="001B5CD8">
        <w:t>Manag</w:t>
      </w:r>
      <w:r w:rsidR="009212E3" w:rsidRPr="00451069">
        <w:rPr>
          <w:noProof/>
        </w:rPr>
        <w:t>ement of the occiput posterior presentation: a single institu</w:t>
      </w:r>
      <w:r w:rsidR="002B4E87">
        <w:rPr>
          <w:noProof/>
        </w:rPr>
        <w:t>t</w:t>
      </w:r>
      <w:r w:rsidR="009212E3" w:rsidRPr="00451069">
        <w:rPr>
          <w:noProof/>
        </w:rPr>
        <w:t xml:space="preserve">e experience. </w:t>
      </w:r>
      <w:r w:rsidR="009212E3" w:rsidRPr="00D35794">
        <w:rPr>
          <w:i/>
          <w:noProof/>
        </w:rPr>
        <w:t>J Obstet Gynaecol Res</w:t>
      </w:r>
      <w:r w:rsidR="00661EDD">
        <w:rPr>
          <w:i/>
          <w:noProof/>
        </w:rPr>
        <w:t>.</w:t>
      </w:r>
      <w:r w:rsidR="009212E3" w:rsidRPr="00451069">
        <w:rPr>
          <w:noProof/>
        </w:rPr>
        <w:t xml:space="preserve"> 2013;39(1):160-165.</w:t>
      </w:r>
    </w:p>
    <w:p w:rsidR="009616F5" w:rsidRPr="00451069" w:rsidRDefault="0008295E">
      <w:pPr>
        <w:shd w:val="clear" w:color="auto" w:fill="FFFFFF"/>
        <w:spacing w:line="480" w:lineRule="auto"/>
        <w:contextualSpacing/>
        <w:rPr>
          <w:noProof/>
        </w:rPr>
      </w:pPr>
      <w:r>
        <w:t>13</w:t>
      </w:r>
      <w:r w:rsidR="009212E3" w:rsidRPr="00451069">
        <w:t>.</w:t>
      </w:r>
      <w:r w:rsidR="009212E3" w:rsidRPr="00451069">
        <w:rPr>
          <w:noProof/>
        </w:rPr>
        <w:t xml:space="preserve"> </w:t>
      </w:r>
      <w:hyperlink r:id="rId28" w:history="1">
        <w:r w:rsidR="009212E3" w:rsidRPr="00451069">
          <w:t>Shaffer BL</w:t>
        </w:r>
      </w:hyperlink>
      <w:r w:rsidR="009212E3" w:rsidRPr="00451069">
        <w:t xml:space="preserve">, </w:t>
      </w:r>
      <w:hyperlink r:id="rId29" w:history="1">
        <w:r w:rsidR="009212E3" w:rsidRPr="00451069">
          <w:t>Cheng YW</w:t>
        </w:r>
      </w:hyperlink>
      <w:r w:rsidR="009212E3" w:rsidRPr="00451069">
        <w:t xml:space="preserve">, </w:t>
      </w:r>
      <w:hyperlink r:id="rId30" w:history="1">
        <w:r w:rsidR="009212E3" w:rsidRPr="00451069">
          <w:t>Vargas JE</w:t>
        </w:r>
      </w:hyperlink>
      <w:r w:rsidR="009212E3" w:rsidRPr="00451069">
        <w:t xml:space="preserve">, </w:t>
      </w:r>
      <w:hyperlink r:id="rId31" w:history="1">
        <w:r w:rsidR="009212E3" w:rsidRPr="00451069">
          <w:t>Caughey AB</w:t>
        </w:r>
      </w:hyperlink>
      <w:r w:rsidR="009212E3" w:rsidRPr="00451069">
        <w:t>.</w:t>
      </w:r>
      <w:r w:rsidR="009212E3" w:rsidRPr="00451069">
        <w:rPr>
          <w:noProof/>
        </w:rPr>
        <w:t xml:space="preserve"> Manual rotation to reduce caesarean delivery in persistent occiput posterior or transverse position. </w:t>
      </w:r>
      <w:r w:rsidR="009212E3" w:rsidRPr="00D35794">
        <w:rPr>
          <w:i/>
          <w:noProof/>
        </w:rPr>
        <w:t>J Matern Fetal Neonatal Med</w:t>
      </w:r>
      <w:r w:rsidR="009212E3" w:rsidRPr="00451069">
        <w:rPr>
          <w:noProof/>
        </w:rPr>
        <w:t xml:space="preserve"> 2011;24(1):65-72.</w:t>
      </w:r>
    </w:p>
    <w:p w:rsidR="009616F5" w:rsidRPr="00451069" w:rsidRDefault="009212E3">
      <w:pPr>
        <w:shd w:val="clear" w:color="auto" w:fill="FFFFFF"/>
        <w:spacing w:before="240" w:after="120" w:line="480" w:lineRule="auto"/>
        <w:contextualSpacing/>
        <w:outlineLvl w:val="0"/>
      </w:pPr>
      <w:r w:rsidRPr="00451069">
        <w:t>1</w:t>
      </w:r>
      <w:r w:rsidR="0008295E">
        <w:t>4</w:t>
      </w:r>
      <w:r w:rsidRPr="00451069">
        <w:t>.</w:t>
      </w:r>
      <w:r w:rsidRPr="00451069">
        <w:rPr>
          <w:noProof/>
        </w:rPr>
        <w:t xml:space="preserve"> </w:t>
      </w:r>
      <w:hyperlink r:id="rId32" w:history="1">
        <w:r w:rsidRPr="00451069">
          <w:t>Minas V</w:t>
        </w:r>
      </w:hyperlink>
      <w:r w:rsidRPr="00451069">
        <w:t xml:space="preserve">, </w:t>
      </w:r>
      <w:hyperlink r:id="rId33" w:history="1">
        <w:r w:rsidRPr="00451069">
          <w:t>Khafizova L</w:t>
        </w:r>
      </w:hyperlink>
      <w:r w:rsidRPr="00451069">
        <w:t xml:space="preserve">. </w:t>
      </w:r>
      <w:r w:rsidRPr="00451069">
        <w:rPr>
          <w:bCs/>
          <w:kern w:val="36"/>
        </w:rPr>
        <w:t xml:space="preserve">A novel modification to manual rotation of the foetal head: making the manoeuvre safer. </w:t>
      </w:r>
      <w:r w:rsidRPr="00D35794">
        <w:rPr>
          <w:i/>
        </w:rPr>
        <w:t>Arch Gynecol Obstet</w:t>
      </w:r>
      <w:r w:rsidR="00661EDD">
        <w:rPr>
          <w:i/>
        </w:rPr>
        <w:t>.</w:t>
      </w:r>
      <w:r w:rsidRPr="00451069">
        <w:t xml:space="preserve"> 2013;287(4):825-6.</w:t>
      </w:r>
    </w:p>
    <w:p w:rsidR="002F42EE" w:rsidRPr="004500B8" w:rsidRDefault="002F42EE" w:rsidP="00110E41">
      <w:pPr>
        <w:pStyle w:val="CommentText"/>
        <w:spacing w:line="480" w:lineRule="auto"/>
        <w:rPr>
          <w:rFonts w:ascii="Times New Roman" w:hAnsi="Times New Roman"/>
          <w:sz w:val="24"/>
          <w:szCs w:val="24"/>
        </w:rPr>
      </w:pPr>
      <w:r w:rsidRPr="004500B8">
        <w:rPr>
          <w:rFonts w:ascii="Times New Roman" w:hAnsi="Times New Roman"/>
          <w:sz w:val="24"/>
          <w:szCs w:val="24"/>
        </w:rPr>
        <w:t xml:space="preserve">15. </w:t>
      </w:r>
      <w:hyperlink r:id="rId34" w:history="1">
        <w:r w:rsidR="004500B8" w:rsidRPr="004500B8">
          <w:rPr>
            <w:rFonts w:ascii="Times New Roman" w:hAnsi="Times New Roman"/>
            <w:color w:val="2F4A8B"/>
            <w:sz w:val="24"/>
            <w:szCs w:val="24"/>
            <w:u w:val="single"/>
          </w:rPr>
          <w:t>von Elm E</w:t>
        </w:r>
      </w:hyperlink>
      <w:r w:rsidR="004500B8" w:rsidRPr="004500B8">
        <w:rPr>
          <w:rFonts w:ascii="Times New Roman" w:hAnsi="Times New Roman"/>
          <w:sz w:val="24"/>
          <w:szCs w:val="24"/>
        </w:rPr>
        <w:t xml:space="preserve">, </w:t>
      </w:r>
      <w:hyperlink r:id="rId35" w:history="1">
        <w:r w:rsidR="004500B8" w:rsidRPr="004500B8">
          <w:rPr>
            <w:rFonts w:ascii="Times New Roman" w:hAnsi="Times New Roman"/>
            <w:color w:val="2F4A8B"/>
            <w:sz w:val="24"/>
            <w:szCs w:val="24"/>
            <w:u w:val="single"/>
          </w:rPr>
          <w:t>Altman DG</w:t>
        </w:r>
      </w:hyperlink>
      <w:r w:rsidR="004500B8" w:rsidRPr="004500B8">
        <w:rPr>
          <w:rFonts w:ascii="Times New Roman" w:hAnsi="Times New Roman"/>
          <w:sz w:val="24"/>
          <w:szCs w:val="24"/>
        </w:rPr>
        <w:t xml:space="preserve">, </w:t>
      </w:r>
      <w:hyperlink r:id="rId36" w:history="1">
        <w:r w:rsidR="004500B8" w:rsidRPr="004500B8">
          <w:rPr>
            <w:rFonts w:ascii="Times New Roman" w:hAnsi="Times New Roman"/>
            <w:color w:val="2F4A8B"/>
            <w:sz w:val="24"/>
            <w:szCs w:val="24"/>
            <w:u w:val="single"/>
          </w:rPr>
          <w:t>Egger M</w:t>
        </w:r>
      </w:hyperlink>
      <w:r w:rsidR="004500B8" w:rsidRPr="004500B8">
        <w:rPr>
          <w:rFonts w:ascii="Times New Roman" w:hAnsi="Times New Roman"/>
          <w:sz w:val="24"/>
          <w:szCs w:val="24"/>
        </w:rPr>
        <w:t xml:space="preserve">, </w:t>
      </w:r>
      <w:hyperlink r:id="rId37" w:history="1">
        <w:r w:rsidR="004500B8" w:rsidRPr="004500B8">
          <w:rPr>
            <w:rFonts w:ascii="Times New Roman" w:hAnsi="Times New Roman"/>
            <w:color w:val="2F4A8B"/>
            <w:sz w:val="24"/>
            <w:szCs w:val="24"/>
            <w:u w:val="single"/>
          </w:rPr>
          <w:t>Pocock SJ</w:t>
        </w:r>
      </w:hyperlink>
      <w:r w:rsidR="004500B8" w:rsidRPr="004500B8">
        <w:rPr>
          <w:rFonts w:ascii="Times New Roman" w:hAnsi="Times New Roman"/>
          <w:sz w:val="24"/>
          <w:szCs w:val="24"/>
        </w:rPr>
        <w:t xml:space="preserve">, </w:t>
      </w:r>
      <w:hyperlink r:id="rId38" w:history="1">
        <w:r w:rsidR="004500B8" w:rsidRPr="004500B8">
          <w:rPr>
            <w:rFonts w:ascii="Times New Roman" w:hAnsi="Times New Roman"/>
            <w:color w:val="2F4A8B"/>
            <w:sz w:val="24"/>
            <w:szCs w:val="24"/>
            <w:u w:val="single"/>
          </w:rPr>
          <w:t>Gøtzsche PC</w:t>
        </w:r>
      </w:hyperlink>
      <w:r w:rsidR="004500B8" w:rsidRPr="004500B8">
        <w:rPr>
          <w:rFonts w:ascii="Times New Roman" w:hAnsi="Times New Roman"/>
          <w:sz w:val="24"/>
          <w:szCs w:val="24"/>
        </w:rPr>
        <w:t xml:space="preserve">, </w:t>
      </w:r>
      <w:hyperlink r:id="rId39" w:history="1">
        <w:r w:rsidR="004500B8" w:rsidRPr="004500B8">
          <w:rPr>
            <w:rFonts w:ascii="Times New Roman" w:hAnsi="Times New Roman"/>
            <w:color w:val="2F4A8B"/>
            <w:sz w:val="24"/>
            <w:szCs w:val="24"/>
            <w:u w:val="single"/>
          </w:rPr>
          <w:t>Vandenbroucke JP</w:t>
        </w:r>
      </w:hyperlink>
      <w:r w:rsidR="004500B8" w:rsidRPr="004500B8">
        <w:rPr>
          <w:rFonts w:ascii="Times New Roman" w:hAnsi="Times New Roman"/>
          <w:sz w:val="24"/>
          <w:szCs w:val="24"/>
        </w:rPr>
        <w:t xml:space="preserve">, </w:t>
      </w:r>
      <w:hyperlink r:id="rId40" w:history="1">
        <w:r w:rsidR="004500B8" w:rsidRPr="004500B8">
          <w:rPr>
            <w:rFonts w:ascii="Times New Roman" w:hAnsi="Times New Roman"/>
            <w:color w:val="2F4A8B"/>
            <w:sz w:val="24"/>
            <w:szCs w:val="24"/>
            <w:u w:val="single"/>
          </w:rPr>
          <w:t>STROBE Initiative</w:t>
        </w:r>
      </w:hyperlink>
      <w:r w:rsidR="004500B8" w:rsidRPr="004500B8">
        <w:rPr>
          <w:rFonts w:ascii="Times New Roman" w:hAnsi="Times New Roman"/>
          <w:sz w:val="24"/>
          <w:szCs w:val="24"/>
        </w:rPr>
        <w:t>. The Strengthening the Reporting of Observational Studies in Epidemiology (STROBE) statement: guidelines for reporting observational studies.</w:t>
      </w:r>
      <w:r w:rsidRPr="004500B8">
        <w:rPr>
          <w:rFonts w:ascii="Times New Roman" w:eastAsia="Times New Roman" w:hAnsi="Times New Roman"/>
          <w:sz w:val="24"/>
          <w:szCs w:val="24"/>
        </w:rPr>
        <w:t xml:space="preserve"> </w:t>
      </w:r>
      <w:r w:rsidRPr="00652029">
        <w:rPr>
          <w:rFonts w:ascii="Times New Roman" w:eastAsia="Times New Roman" w:hAnsi="Times New Roman"/>
          <w:i/>
          <w:sz w:val="24"/>
          <w:szCs w:val="24"/>
        </w:rPr>
        <w:t>Journal of Clinical Epidemiology</w:t>
      </w:r>
      <w:r w:rsidR="00652029">
        <w:rPr>
          <w:rFonts w:ascii="Times New Roman" w:eastAsia="Times New Roman" w:hAnsi="Times New Roman"/>
          <w:i/>
          <w:sz w:val="24"/>
          <w:szCs w:val="24"/>
        </w:rPr>
        <w:t>.</w:t>
      </w:r>
      <w:r w:rsidRPr="004500B8">
        <w:rPr>
          <w:rFonts w:ascii="Times New Roman" w:eastAsia="Times New Roman" w:hAnsi="Times New Roman"/>
          <w:sz w:val="24"/>
          <w:szCs w:val="24"/>
        </w:rPr>
        <w:t xml:space="preserve"> </w:t>
      </w:r>
      <w:r w:rsidR="00652029">
        <w:rPr>
          <w:rFonts w:ascii="Times New Roman" w:eastAsia="Times New Roman" w:hAnsi="Times New Roman"/>
          <w:sz w:val="24"/>
          <w:szCs w:val="24"/>
        </w:rPr>
        <w:t>2008;</w:t>
      </w:r>
      <w:r w:rsidRPr="004500B8">
        <w:rPr>
          <w:rFonts w:ascii="Times New Roman" w:eastAsia="Times New Roman" w:hAnsi="Times New Roman"/>
          <w:sz w:val="24"/>
          <w:szCs w:val="24"/>
        </w:rPr>
        <w:t>61</w:t>
      </w:r>
      <w:r w:rsidR="00652029">
        <w:rPr>
          <w:rFonts w:ascii="Times New Roman" w:eastAsia="Times New Roman" w:hAnsi="Times New Roman"/>
          <w:sz w:val="24"/>
          <w:szCs w:val="24"/>
        </w:rPr>
        <w:t>(4):</w:t>
      </w:r>
      <w:r w:rsidRPr="004500B8">
        <w:rPr>
          <w:rFonts w:ascii="Times New Roman" w:eastAsia="Times New Roman" w:hAnsi="Times New Roman"/>
          <w:sz w:val="24"/>
          <w:szCs w:val="24"/>
        </w:rPr>
        <w:t>344-349</w:t>
      </w:r>
    </w:p>
    <w:p w:rsidR="005C6FAC" w:rsidRPr="00451069" w:rsidRDefault="0008295E">
      <w:pPr>
        <w:shd w:val="clear" w:color="auto" w:fill="FFFFFF"/>
        <w:spacing w:before="240" w:after="120" w:line="480" w:lineRule="auto"/>
        <w:contextualSpacing/>
        <w:outlineLvl w:val="0"/>
      </w:pPr>
      <w:r>
        <w:t>1</w:t>
      </w:r>
      <w:r w:rsidR="002F42EE">
        <w:t>6</w:t>
      </w:r>
      <w:r w:rsidR="005C6FAC" w:rsidRPr="00451069">
        <w:t xml:space="preserve">. </w:t>
      </w:r>
      <w:hyperlink r:id="rId41" w:history="1">
        <w:r w:rsidR="005C6FAC" w:rsidRPr="00451069">
          <w:t>Anim-Somuah M</w:t>
        </w:r>
      </w:hyperlink>
      <w:r w:rsidR="005C6FAC" w:rsidRPr="00451069">
        <w:t xml:space="preserve">, </w:t>
      </w:r>
      <w:hyperlink r:id="rId42" w:history="1">
        <w:r w:rsidR="005C6FAC" w:rsidRPr="00451069">
          <w:t>Smyth RM</w:t>
        </w:r>
      </w:hyperlink>
      <w:r w:rsidR="005C6FAC" w:rsidRPr="00451069">
        <w:t xml:space="preserve">, </w:t>
      </w:r>
      <w:hyperlink r:id="rId43" w:history="1">
        <w:r w:rsidR="005C6FAC" w:rsidRPr="00451069">
          <w:t>Jones L</w:t>
        </w:r>
      </w:hyperlink>
      <w:r w:rsidR="005C6FAC" w:rsidRPr="00451069">
        <w:t xml:space="preserve">. </w:t>
      </w:r>
      <w:r w:rsidR="005C6FAC" w:rsidRPr="00451069">
        <w:rPr>
          <w:bCs/>
          <w:kern w:val="36"/>
        </w:rPr>
        <w:t xml:space="preserve">Epidural versus non-epidural or no analgesia in labour. </w:t>
      </w:r>
      <w:r w:rsidR="005C6FAC" w:rsidRPr="00451069">
        <w:t xml:space="preserve">Cochrane Database Syst Rev </w:t>
      </w:r>
      <w:r w:rsidR="005C6FAC" w:rsidRPr="00451069">
        <w:rPr>
          <w:noProof/>
        </w:rPr>
        <w:t xml:space="preserve">2011; </w:t>
      </w:r>
      <w:r w:rsidR="005C6FAC" w:rsidRPr="00451069">
        <w:t>7;12:CD000331.</w:t>
      </w:r>
    </w:p>
    <w:p w:rsidR="00956482" w:rsidRPr="00451069" w:rsidRDefault="0008295E">
      <w:pPr>
        <w:spacing w:line="480" w:lineRule="auto"/>
        <w:contextualSpacing/>
        <w:rPr>
          <w:noProof/>
        </w:rPr>
      </w:pPr>
      <w:r>
        <w:rPr>
          <w:noProof/>
        </w:rPr>
        <w:t>1</w:t>
      </w:r>
      <w:r w:rsidR="002F42EE">
        <w:rPr>
          <w:noProof/>
        </w:rPr>
        <w:t>7</w:t>
      </w:r>
      <w:r w:rsidR="00956482" w:rsidRPr="00451069">
        <w:rPr>
          <w:noProof/>
        </w:rPr>
        <w:t>. Li WH, Z</w:t>
      </w:r>
      <w:r w:rsidR="000A5D4E">
        <w:rPr>
          <w:noProof/>
        </w:rPr>
        <w:t>hang</w:t>
      </w:r>
      <w:r w:rsidR="00956482" w:rsidRPr="00451069">
        <w:rPr>
          <w:noProof/>
        </w:rPr>
        <w:t xml:space="preserve"> H</w:t>
      </w:r>
      <w:r w:rsidR="000A5D4E">
        <w:rPr>
          <w:noProof/>
        </w:rPr>
        <w:t>Y</w:t>
      </w:r>
      <w:r w:rsidR="00956482" w:rsidRPr="00451069">
        <w:rPr>
          <w:noProof/>
        </w:rPr>
        <w:t xml:space="preserve">, Ling Y, Jin S. Effect of prolonged second stage of labour on maternal and neonatal outcomes. </w:t>
      </w:r>
      <w:r w:rsidR="00956482" w:rsidRPr="00D35794">
        <w:rPr>
          <w:i/>
          <w:noProof/>
        </w:rPr>
        <w:t xml:space="preserve">Asian Pac J </w:t>
      </w:r>
      <w:r w:rsidR="00956482" w:rsidRPr="00242A7B">
        <w:rPr>
          <w:i/>
          <w:noProof/>
        </w:rPr>
        <w:t>Trop Med</w:t>
      </w:r>
      <w:r w:rsidR="00661EDD">
        <w:rPr>
          <w:i/>
          <w:noProof/>
        </w:rPr>
        <w:t>.</w:t>
      </w:r>
      <w:r w:rsidR="00956482" w:rsidRPr="00451069">
        <w:rPr>
          <w:noProof/>
        </w:rPr>
        <w:t xml:space="preserve"> 2011;4:409-411.</w:t>
      </w:r>
    </w:p>
    <w:p w:rsidR="00956482" w:rsidRPr="00451069" w:rsidRDefault="0008295E">
      <w:pPr>
        <w:spacing w:line="480" w:lineRule="auto"/>
        <w:contextualSpacing/>
        <w:rPr>
          <w:noProof/>
        </w:rPr>
      </w:pPr>
      <w:r>
        <w:rPr>
          <w:noProof/>
        </w:rPr>
        <w:t>1</w:t>
      </w:r>
      <w:r w:rsidR="002F42EE">
        <w:rPr>
          <w:noProof/>
        </w:rPr>
        <w:t>8</w:t>
      </w:r>
      <w:r w:rsidR="00956482" w:rsidRPr="00451069">
        <w:rPr>
          <w:noProof/>
        </w:rPr>
        <w:t xml:space="preserve">. </w:t>
      </w:r>
      <w:hyperlink r:id="rId44" w:history="1">
        <w:r w:rsidR="00956482" w:rsidRPr="00451069">
          <w:t>Bleich AT</w:t>
        </w:r>
      </w:hyperlink>
      <w:r w:rsidR="00956482" w:rsidRPr="00451069">
        <w:t xml:space="preserve">, </w:t>
      </w:r>
      <w:hyperlink r:id="rId45" w:history="1">
        <w:r w:rsidR="00956482" w:rsidRPr="00451069">
          <w:t>Alexander JM</w:t>
        </w:r>
      </w:hyperlink>
      <w:r w:rsidR="00956482" w:rsidRPr="00451069">
        <w:t xml:space="preserve">, </w:t>
      </w:r>
      <w:hyperlink r:id="rId46" w:history="1">
        <w:r w:rsidR="00956482" w:rsidRPr="00451069">
          <w:t>McIntire DD</w:t>
        </w:r>
      </w:hyperlink>
      <w:r w:rsidR="00956482" w:rsidRPr="00451069">
        <w:t xml:space="preserve">, </w:t>
      </w:r>
      <w:hyperlink r:id="rId47" w:history="1">
        <w:r w:rsidR="00956482" w:rsidRPr="00451069">
          <w:t>Leveno KJ</w:t>
        </w:r>
      </w:hyperlink>
      <w:r w:rsidR="00956482" w:rsidRPr="00451069">
        <w:rPr>
          <w:noProof/>
        </w:rPr>
        <w:t xml:space="preserve">. An analysis of second-stage of labour beyond 3 hours in nulliparous women. </w:t>
      </w:r>
      <w:r w:rsidR="00956482" w:rsidRPr="008C6C7D">
        <w:rPr>
          <w:i/>
          <w:noProof/>
        </w:rPr>
        <w:t>Am J Perinatol</w:t>
      </w:r>
      <w:r w:rsidR="00661EDD">
        <w:rPr>
          <w:i/>
          <w:noProof/>
        </w:rPr>
        <w:t>.</w:t>
      </w:r>
      <w:r w:rsidR="00956482" w:rsidRPr="00451069">
        <w:rPr>
          <w:noProof/>
        </w:rPr>
        <w:t xml:space="preserve"> 2012;29:217-222.</w:t>
      </w:r>
    </w:p>
    <w:p w:rsidR="00956482" w:rsidRDefault="0008295E">
      <w:pPr>
        <w:shd w:val="clear" w:color="auto" w:fill="FFFFFF"/>
        <w:spacing w:line="480" w:lineRule="auto"/>
        <w:contextualSpacing/>
        <w:rPr>
          <w:noProof/>
        </w:rPr>
      </w:pPr>
      <w:r>
        <w:rPr>
          <w:noProof/>
        </w:rPr>
        <w:lastRenderedPageBreak/>
        <w:t>1</w:t>
      </w:r>
      <w:r w:rsidR="002F42EE">
        <w:rPr>
          <w:noProof/>
        </w:rPr>
        <w:t>9</w:t>
      </w:r>
      <w:r w:rsidR="00956482" w:rsidRPr="00451069">
        <w:rPr>
          <w:noProof/>
        </w:rPr>
        <w:t xml:space="preserve">. </w:t>
      </w:r>
      <w:hyperlink r:id="rId48" w:history="1">
        <w:r w:rsidR="00956482" w:rsidRPr="00451069">
          <w:t>Murphy DJ</w:t>
        </w:r>
      </w:hyperlink>
      <w:r w:rsidR="00956482" w:rsidRPr="00451069">
        <w:t xml:space="preserve">, </w:t>
      </w:r>
      <w:hyperlink r:id="rId49" w:history="1">
        <w:r w:rsidR="00956482" w:rsidRPr="00451069">
          <w:t>Liebling RE</w:t>
        </w:r>
      </w:hyperlink>
      <w:r w:rsidR="00956482" w:rsidRPr="00451069">
        <w:t xml:space="preserve">, </w:t>
      </w:r>
      <w:hyperlink r:id="rId50" w:history="1">
        <w:r w:rsidR="00956482" w:rsidRPr="00451069">
          <w:t>Verity L</w:t>
        </w:r>
      </w:hyperlink>
      <w:r w:rsidR="00956482" w:rsidRPr="00451069">
        <w:t xml:space="preserve">, </w:t>
      </w:r>
      <w:hyperlink r:id="rId51" w:history="1">
        <w:r w:rsidR="00956482" w:rsidRPr="00451069">
          <w:t>Swingler R</w:t>
        </w:r>
      </w:hyperlink>
      <w:r w:rsidR="00956482" w:rsidRPr="00451069">
        <w:t xml:space="preserve">, </w:t>
      </w:r>
      <w:hyperlink r:id="rId52" w:history="1">
        <w:r w:rsidR="00956482" w:rsidRPr="00451069">
          <w:t>Patel R</w:t>
        </w:r>
      </w:hyperlink>
      <w:r w:rsidR="00956482" w:rsidRPr="00451069">
        <w:t>.</w:t>
      </w:r>
      <w:r w:rsidR="00956482" w:rsidRPr="00451069">
        <w:rPr>
          <w:noProof/>
        </w:rPr>
        <w:t xml:space="preserve"> Early maternal and neonatal morbidity associated with operative delivery in second stage of labour: a</w:t>
      </w:r>
      <w:r w:rsidR="0056324B" w:rsidRPr="00451069">
        <w:rPr>
          <w:noProof/>
        </w:rPr>
        <w:t xml:space="preserve"> cohort study. </w:t>
      </w:r>
      <w:r w:rsidR="0056324B" w:rsidRPr="003D2C48">
        <w:rPr>
          <w:i/>
          <w:noProof/>
        </w:rPr>
        <w:t>Lancet</w:t>
      </w:r>
      <w:r w:rsidR="00661EDD">
        <w:rPr>
          <w:i/>
          <w:noProof/>
        </w:rPr>
        <w:t>.</w:t>
      </w:r>
      <w:r w:rsidR="0056324B" w:rsidRPr="003D2C48">
        <w:rPr>
          <w:i/>
          <w:noProof/>
        </w:rPr>
        <w:t xml:space="preserve"> </w:t>
      </w:r>
      <w:r w:rsidR="0056324B" w:rsidRPr="00451069">
        <w:rPr>
          <w:noProof/>
        </w:rPr>
        <w:t>2001;358:</w:t>
      </w:r>
      <w:r w:rsidR="00956482" w:rsidRPr="00451069">
        <w:rPr>
          <w:noProof/>
        </w:rPr>
        <w:t>1203-1207.</w:t>
      </w:r>
    </w:p>
    <w:p w:rsidR="008D2858" w:rsidRPr="00451069" w:rsidRDefault="008D2858" w:rsidP="0003243E">
      <w:pPr>
        <w:spacing w:line="480" w:lineRule="auto"/>
        <w:contextualSpacing/>
        <w:rPr>
          <w:noProof/>
        </w:rPr>
      </w:pPr>
      <w:r>
        <w:rPr>
          <w:noProof/>
        </w:rPr>
        <w:t xml:space="preserve">20. </w:t>
      </w:r>
      <w:r w:rsidR="0003243E">
        <w:rPr>
          <w:noProof/>
        </w:rPr>
        <w:t xml:space="preserve">RCOG. Shoulder dystocia. Green-top Guidelines. </w:t>
      </w:r>
      <w:r w:rsidR="0003243E" w:rsidRPr="00451069">
        <w:rPr>
          <w:noProof/>
        </w:rPr>
        <w:t>London (UK): Royal College of Obstetricians and Gynaecologists; 201</w:t>
      </w:r>
      <w:r w:rsidR="00200203">
        <w:rPr>
          <w:noProof/>
        </w:rPr>
        <w:t>2</w:t>
      </w:r>
      <w:r w:rsidR="0003243E" w:rsidRPr="00451069">
        <w:rPr>
          <w:noProof/>
        </w:rPr>
        <w:t>.</w:t>
      </w:r>
    </w:p>
    <w:p w:rsidR="0056324B" w:rsidRPr="00451069" w:rsidRDefault="002F42EE">
      <w:pPr>
        <w:pStyle w:val="Heading1"/>
        <w:shd w:val="clear" w:color="auto" w:fill="FFFFFF"/>
        <w:spacing w:line="480" w:lineRule="auto"/>
        <w:contextualSpacing/>
        <w:rPr>
          <w:b w:val="0"/>
          <w:color w:val="auto"/>
          <w:sz w:val="24"/>
          <w:szCs w:val="24"/>
        </w:rPr>
      </w:pPr>
      <w:r>
        <w:rPr>
          <w:b w:val="0"/>
          <w:noProof/>
          <w:color w:val="auto"/>
          <w:sz w:val="24"/>
          <w:szCs w:val="24"/>
        </w:rPr>
        <w:t>2</w:t>
      </w:r>
      <w:r w:rsidR="008D2858">
        <w:rPr>
          <w:b w:val="0"/>
          <w:noProof/>
          <w:color w:val="auto"/>
          <w:sz w:val="24"/>
          <w:szCs w:val="24"/>
        </w:rPr>
        <w:t>1</w:t>
      </w:r>
      <w:r w:rsidR="0056324B" w:rsidRPr="00451069">
        <w:rPr>
          <w:b w:val="0"/>
          <w:noProof/>
          <w:color w:val="auto"/>
          <w:sz w:val="24"/>
          <w:szCs w:val="24"/>
        </w:rPr>
        <w:t xml:space="preserve">. </w:t>
      </w:r>
      <w:hyperlink r:id="rId53" w:history="1">
        <w:r w:rsidR="0056324B" w:rsidRPr="00451069">
          <w:rPr>
            <w:b w:val="0"/>
            <w:color w:val="auto"/>
            <w:sz w:val="24"/>
            <w:szCs w:val="24"/>
          </w:rPr>
          <w:t>Stock SJ</w:t>
        </w:r>
      </w:hyperlink>
      <w:r w:rsidR="0056324B" w:rsidRPr="00451069">
        <w:rPr>
          <w:b w:val="0"/>
          <w:color w:val="auto"/>
          <w:sz w:val="24"/>
          <w:szCs w:val="24"/>
        </w:rPr>
        <w:t xml:space="preserve">, </w:t>
      </w:r>
      <w:hyperlink r:id="rId54" w:history="1">
        <w:r w:rsidR="0056324B" w:rsidRPr="00451069">
          <w:rPr>
            <w:b w:val="0"/>
            <w:color w:val="auto"/>
            <w:sz w:val="24"/>
            <w:szCs w:val="24"/>
          </w:rPr>
          <w:t>Josephs K</w:t>
        </w:r>
      </w:hyperlink>
      <w:r w:rsidR="0056324B" w:rsidRPr="00451069">
        <w:rPr>
          <w:b w:val="0"/>
          <w:color w:val="auto"/>
          <w:sz w:val="24"/>
          <w:szCs w:val="24"/>
        </w:rPr>
        <w:t xml:space="preserve">, </w:t>
      </w:r>
      <w:hyperlink r:id="rId55" w:history="1">
        <w:r w:rsidR="0056324B" w:rsidRPr="00451069">
          <w:rPr>
            <w:b w:val="0"/>
            <w:color w:val="auto"/>
            <w:sz w:val="24"/>
            <w:szCs w:val="24"/>
          </w:rPr>
          <w:t>Farquharson S</w:t>
        </w:r>
      </w:hyperlink>
      <w:r w:rsidR="0056324B" w:rsidRPr="00451069">
        <w:rPr>
          <w:b w:val="0"/>
          <w:color w:val="auto"/>
          <w:sz w:val="24"/>
          <w:szCs w:val="24"/>
        </w:rPr>
        <w:t>,</w:t>
      </w:r>
      <w:r w:rsidR="00E2222F" w:rsidRPr="00E2222F">
        <w:t xml:space="preserve"> </w:t>
      </w:r>
      <w:r w:rsidR="00E2222F">
        <w:rPr>
          <w:b w:val="0"/>
          <w:color w:val="auto"/>
          <w:sz w:val="24"/>
          <w:szCs w:val="24"/>
        </w:rPr>
        <w:t>Love C, Cooper SE, Kissack C</w:t>
      </w:r>
      <w:r w:rsidR="0056324B" w:rsidRPr="00451069">
        <w:rPr>
          <w:b w:val="0"/>
          <w:color w:val="auto"/>
          <w:sz w:val="24"/>
          <w:szCs w:val="24"/>
        </w:rPr>
        <w:t xml:space="preserve"> </w:t>
      </w:r>
      <w:r w:rsidR="001B5CD8">
        <w:rPr>
          <w:b w:val="0"/>
          <w:color w:val="auto"/>
          <w:sz w:val="24"/>
          <w:szCs w:val="24"/>
        </w:rPr>
        <w:t>et al.</w:t>
      </w:r>
      <w:r w:rsidR="0056324B" w:rsidRPr="00451069">
        <w:rPr>
          <w:b w:val="0"/>
          <w:color w:val="auto"/>
          <w:sz w:val="24"/>
          <w:szCs w:val="24"/>
        </w:rPr>
        <w:t xml:space="preserve"> Maternal and neonatal outcomes of successful Kielland's rotational forceps delivery. </w:t>
      </w:r>
      <w:r w:rsidR="0056324B" w:rsidRPr="0001362B">
        <w:rPr>
          <w:b w:val="0"/>
          <w:i/>
          <w:color w:val="auto"/>
          <w:sz w:val="24"/>
          <w:szCs w:val="24"/>
        </w:rPr>
        <w:t>Obstet Gynecol</w:t>
      </w:r>
      <w:r w:rsidR="00661EDD">
        <w:rPr>
          <w:b w:val="0"/>
          <w:i/>
          <w:color w:val="auto"/>
          <w:sz w:val="24"/>
          <w:szCs w:val="24"/>
        </w:rPr>
        <w:t>.</w:t>
      </w:r>
      <w:r w:rsidR="0056324B" w:rsidRPr="00451069">
        <w:rPr>
          <w:b w:val="0"/>
          <w:color w:val="auto"/>
          <w:sz w:val="24"/>
          <w:szCs w:val="24"/>
        </w:rPr>
        <w:t xml:space="preserve"> 2013;121(5):1032-9.</w:t>
      </w:r>
    </w:p>
    <w:p w:rsidR="0056324B" w:rsidRPr="00451069" w:rsidRDefault="0008295E">
      <w:pPr>
        <w:pStyle w:val="Heading1"/>
        <w:shd w:val="clear" w:color="auto" w:fill="FFFFFF"/>
        <w:spacing w:line="480" w:lineRule="auto"/>
        <w:contextualSpacing/>
        <w:rPr>
          <w:b w:val="0"/>
          <w:color w:val="auto"/>
          <w:sz w:val="24"/>
          <w:szCs w:val="24"/>
        </w:rPr>
      </w:pPr>
      <w:r>
        <w:rPr>
          <w:b w:val="0"/>
          <w:color w:val="auto"/>
          <w:sz w:val="24"/>
          <w:szCs w:val="24"/>
        </w:rPr>
        <w:t>2</w:t>
      </w:r>
      <w:r w:rsidR="008D2858">
        <w:rPr>
          <w:b w:val="0"/>
          <w:color w:val="auto"/>
          <w:sz w:val="24"/>
          <w:szCs w:val="24"/>
        </w:rPr>
        <w:t>2</w:t>
      </w:r>
      <w:r w:rsidR="0056324B" w:rsidRPr="00451069">
        <w:rPr>
          <w:b w:val="0"/>
          <w:color w:val="auto"/>
          <w:sz w:val="24"/>
          <w:szCs w:val="24"/>
        </w:rPr>
        <w:t>. Tempest N, Hart A, Walkinshaw</w:t>
      </w:r>
      <w:r w:rsidR="0056324B" w:rsidRPr="00451069">
        <w:rPr>
          <w:b w:val="0"/>
          <w:color w:val="auto"/>
          <w:sz w:val="24"/>
          <w:szCs w:val="24"/>
          <w:vertAlign w:val="superscript"/>
        </w:rPr>
        <w:t xml:space="preserve"> </w:t>
      </w:r>
      <w:r w:rsidR="0056324B" w:rsidRPr="00451069">
        <w:rPr>
          <w:b w:val="0"/>
          <w:color w:val="auto"/>
          <w:sz w:val="24"/>
          <w:szCs w:val="24"/>
        </w:rPr>
        <w:t>S, Hapangama DK. A</w:t>
      </w:r>
      <w:r w:rsidR="0056324B" w:rsidRPr="00451069">
        <w:rPr>
          <w:rStyle w:val="maintitle"/>
          <w:b w:val="0"/>
          <w:color w:val="auto"/>
          <w:sz w:val="24"/>
          <w:szCs w:val="24"/>
        </w:rPr>
        <w:t xml:space="preserve"> re-evaluation of the role of rotational forceps: retrospective comparison of maternal and perinatal outcomes following different methods of birth for malposition in the second stage of labour. </w:t>
      </w:r>
      <w:r w:rsidR="0056324B" w:rsidRPr="0001362B">
        <w:rPr>
          <w:b w:val="0"/>
          <w:i/>
          <w:color w:val="auto"/>
          <w:sz w:val="24"/>
          <w:szCs w:val="24"/>
        </w:rPr>
        <w:t xml:space="preserve">BJOG </w:t>
      </w:r>
      <w:r w:rsidR="0056324B" w:rsidRPr="00451069">
        <w:rPr>
          <w:b w:val="0"/>
          <w:color w:val="auto"/>
          <w:sz w:val="24"/>
          <w:szCs w:val="24"/>
        </w:rPr>
        <w:t>2013;120(10):</w:t>
      </w:r>
      <w:r w:rsidR="00652029">
        <w:rPr>
          <w:b w:val="0"/>
          <w:color w:val="auto"/>
          <w:sz w:val="24"/>
          <w:szCs w:val="24"/>
        </w:rPr>
        <w:t xml:space="preserve"> </w:t>
      </w:r>
      <w:r w:rsidR="0056324B" w:rsidRPr="00451069">
        <w:rPr>
          <w:b w:val="0"/>
          <w:color w:val="auto"/>
          <w:sz w:val="24"/>
          <w:szCs w:val="24"/>
        </w:rPr>
        <w:t xml:space="preserve">1277-84. </w:t>
      </w:r>
    </w:p>
    <w:p w:rsidR="006C67F4" w:rsidRPr="00E9450F" w:rsidRDefault="006C67F4" w:rsidP="00E9450F">
      <w:pPr>
        <w:spacing w:line="480" w:lineRule="auto"/>
        <w:contextualSpacing/>
      </w:pPr>
    </w:p>
    <w:sectPr w:rsidR="006C67F4" w:rsidRPr="00E9450F" w:rsidSect="00DC55F4">
      <w:headerReference w:type="default" r:id="rId5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1E8" w:rsidRDefault="00A741E8" w:rsidP="00F61EFD">
      <w:r>
        <w:separator/>
      </w:r>
    </w:p>
  </w:endnote>
  <w:endnote w:type="continuationSeparator" w:id="0">
    <w:p w:rsidR="00A741E8" w:rsidRDefault="00A741E8" w:rsidP="00F6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1E8" w:rsidRDefault="00A741E8" w:rsidP="00F61EFD">
      <w:r>
        <w:separator/>
      </w:r>
    </w:p>
  </w:footnote>
  <w:footnote w:type="continuationSeparator" w:id="0">
    <w:p w:rsidR="00A741E8" w:rsidRDefault="00A741E8" w:rsidP="00F61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21399"/>
      <w:docPartObj>
        <w:docPartGallery w:val="Page Numbers (Top of Page)"/>
        <w:docPartUnique/>
      </w:docPartObj>
    </w:sdtPr>
    <w:sdtEndPr/>
    <w:sdtContent>
      <w:p w:rsidR="00AF5251" w:rsidRDefault="00CB3FA5">
        <w:pPr>
          <w:pStyle w:val="Header"/>
          <w:jc w:val="right"/>
        </w:pPr>
        <w:r>
          <w:fldChar w:fldCharType="begin"/>
        </w:r>
        <w:r w:rsidR="00B65E2C">
          <w:instrText xml:space="preserve"> PAGE   \* MERGEFORMAT </w:instrText>
        </w:r>
        <w:r>
          <w:fldChar w:fldCharType="separate"/>
        </w:r>
        <w:r w:rsidR="00871CD1">
          <w:rPr>
            <w:noProof/>
          </w:rPr>
          <w:t>11</w:t>
        </w:r>
        <w:r>
          <w:rPr>
            <w:noProof/>
          </w:rPr>
          <w:fldChar w:fldCharType="end"/>
        </w:r>
      </w:p>
    </w:sdtContent>
  </w:sdt>
  <w:p w:rsidR="00AF5251" w:rsidRDefault="00AF5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85E"/>
    <w:multiLevelType w:val="multilevel"/>
    <w:tmpl w:val="1F24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ED1B01"/>
    <w:multiLevelType w:val="multilevel"/>
    <w:tmpl w:val="79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10294"/>
    <w:multiLevelType w:val="multilevel"/>
    <w:tmpl w:val="4E84B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F0CDF"/>
    <w:multiLevelType w:val="multilevel"/>
    <w:tmpl w:val="0C14B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42679"/>
    <w:multiLevelType w:val="multilevel"/>
    <w:tmpl w:val="72FA3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83F1B"/>
    <w:multiLevelType w:val="multilevel"/>
    <w:tmpl w:val="5904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F872EC"/>
    <w:multiLevelType w:val="multilevel"/>
    <w:tmpl w:val="4FCA5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352AA"/>
    <w:multiLevelType w:val="hybridMultilevel"/>
    <w:tmpl w:val="4F389762"/>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1A65F9"/>
    <w:multiLevelType w:val="multilevel"/>
    <w:tmpl w:val="A790B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5A5BF9"/>
    <w:multiLevelType w:val="hybridMultilevel"/>
    <w:tmpl w:val="42F28BCC"/>
    <w:lvl w:ilvl="0" w:tplc="790AFC36">
      <w:start w:val="1"/>
      <w:numFmt w:val="bullet"/>
      <w:lvlText w:val="•"/>
      <w:lvlJc w:val="left"/>
      <w:pPr>
        <w:tabs>
          <w:tab w:val="num" w:pos="720"/>
        </w:tabs>
        <w:ind w:left="720" w:hanging="360"/>
      </w:pPr>
      <w:rPr>
        <w:rFonts w:ascii="Arial" w:hAnsi="Arial" w:hint="default"/>
      </w:rPr>
    </w:lvl>
    <w:lvl w:ilvl="1" w:tplc="4D506DEE" w:tentative="1">
      <w:start w:val="1"/>
      <w:numFmt w:val="bullet"/>
      <w:lvlText w:val="•"/>
      <w:lvlJc w:val="left"/>
      <w:pPr>
        <w:tabs>
          <w:tab w:val="num" w:pos="1440"/>
        </w:tabs>
        <w:ind w:left="1440" w:hanging="360"/>
      </w:pPr>
      <w:rPr>
        <w:rFonts w:ascii="Arial" w:hAnsi="Arial" w:hint="default"/>
      </w:rPr>
    </w:lvl>
    <w:lvl w:ilvl="2" w:tplc="D436A98E" w:tentative="1">
      <w:start w:val="1"/>
      <w:numFmt w:val="bullet"/>
      <w:lvlText w:val="•"/>
      <w:lvlJc w:val="left"/>
      <w:pPr>
        <w:tabs>
          <w:tab w:val="num" w:pos="2160"/>
        </w:tabs>
        <w:ind w:left="2160" w:hanging="360"/>
      </w:pPr>
      <w:rPr>
        <w:rFonts w:ascii="Arial" w:hAnsi="Arial" w:hint="default"/>
      </w:rPr>
    </w:lvl>
    <w:lvl w:ilvl="3" w:tplc="58B0F510" w:tentative="1">
      <w:start w:val="1"/>
      <w:numFmt w:val="bullet"/>
      <w:lvlText w:val="•"/>
      <w:lvlJc w:val="left"/>
      <w:pPr>
        <w:tabs>
          <w:tab w:val="num" w:pos="2880"/>
        </w:tabs>
        <w:ind w:left="2880" w:hanging="360"/>
      </w:pPr>
      <w:rPr>
        <w:rFonts w:ascii="Arial" w:hAnsi="Arial" w:hint="default"/>
      </w:rPr>
    </w:lvl>
    <w:lvl w:ilvl="4" w:tplc="FBCEA5F8" w:tentative="1">
      <w:start w:val="1"/>
      <w:numFmt w:val="bullet"/>
      <w:lvlText w:val="•"/>
      <w:lvlJc w:val="left"/>
      <w:pPr>
        <w:tabs>
          <w:tab w:val="num" w:pos="3600"/>
        </w:tabs>
        <w:ind w:left="3600" w:hanging="360"/>
      </w:pPr>
      <w:rPr>
        <w:rFonts w:ascii="Arial" w:hAnsi="Arial" w:hint="default"/>
      </w:rPr>
    </w:lvl>
    <w:lvl w:ilvl="5" w:tplc="CB7A8FBE" w:tentative="1">
      <w:start w:val="1"/>
      <w:numFmt w:val="bullet"/>
      <w:lvlText w:val="•"/>
      <w:lvlJc w:val="left"/>
      <w:pPr>
        <w:tabs>
          <w:tab w:val="num" w:pos="4320"/>
        </w:tabs>
        <w:ind w:left="4320" w:hanging="360"/>
      </w:pPr>
      <w:rPr>
        <w:rFonts w:ascii="Arial" w:hAnsi="Arial" w:hint="default"/>
      </w:rPr>
    </w:lvl>
    <w:lvl w:ilvl="6" w:tplc="ED7AF5C8" w:tentative="1">
      <w:start w:val="1"/>
      <w:numFmt w:val="bullet"/>
      <w:lvlText w:val="•"/>
      <w:lvlJc w:val="left"/>
      <w:pPr>
        <w:tabs>
          <w:tab w:val="num" w:pos="5040"/>
        </w:tabs>
        <w:ind w:left="5040" w:hanging="360"/>
      </w:pPr>
      <w:rPr>
        <w:rFonts w:ascii="Arial" w:hAnsi="Arial" w:hint="default"/>
      </w:rPr>
    </w:lvl>
    <w:lvl w:ilvl="7" w:tplc="A4002DF2" w:tentative="1">
      <w:start w:val="1"/>
      <w:numFmt w:val="bullet"/>
      <w:lvlText w:val="•"/>
      <w:lvlJc w:val="left"/>
      <w:pPr>
        <w:tabs>
          <w:tab w:val="num" w:pos="5760"/>
        </w:tabs>
        <w:ind w:left="5760" w:hanging="360"/>
      </w:pPr>
      <w:rPr>
        <w:rFonts w:ascii="Arial" w:hAnsi="Arial" w:hint="default"/>
      </w:rPr>
    </w:lvl>
    <w:lvl w:ilvl="8" w:tplc="E8B4E342" w:tentative="1">
      <w:start w:val="1"/>
      <w:numFmt w:val="bullet"/>
      <w:lvlText w:val="•"/>
      <w:lvlJc w:val="left"/>
      <w:pPr>
        <w:tabs>
          <w:tab w:val="num" w:pos="6480"/>
        </w:tabs>
        <w:ind w:left="6480" w:hanging="360"/>
      </w:pPr>
      <w:rPr>
        <w:rFonts w:ascii="Arial" w:hAnsi="Arial" w:hint="default"/>
      </w:rPr>
    </w:lvl>
  </w:abstractNum>
  <w:abstractNum w:abstractNumId="10">
    <w:nsid w:val="50051E6B"/>
    <w:multiLevelType w:val="multilevel"/>
    <w:tmpl w:val="57F83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E90370"/>
    <w:multiLevelType w:val="multilevel"/>
    <w:tmpl w:val="FBE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614C24"/>
    <w:multiLevelType w:val="multilevel"/>
    <w:tmpl w:val="AA10C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F17F84"/>
    <w:multiLevelType w:val="multilevel"/>
    <w:tmpl w:val="58E23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C873BB7"/>
    <w:multiLevelType w:val="hybridMultilevel"/>
    <w:tmpl w:val="F9F284E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1811D8"/>
    <w:multiLevelType w:val="multilevel"/>
    <w:tmpl w:val="8DCE9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9F72F0"/>
    <w:multiLevelType w:val="multilevel"/>
    <w:tmpl w:val="82B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3"/>
  </w:num>
  <w:num w:numId="3">
    <w:abstractNumId w:val="15"/>
  </w:num>
  <w:num w:numId="4">
    <w:abstractNumId w:val="8"/>
  </w:num>
  <w:num w:numId="5">
    <w:abstractNumId w:val="13"/>
  </w:num>
  <w:num w:numId="6">
    <w:abstractNumId w:val="5"/>
  </w:num>
  <w:num w:numId="7">
    <w:abstractNumId w:val="9"/>
  </w:num>
  <w:num w:numId="8">
    <w:abstractNumId w:val="0"/>
  </w:num>
  <w:num w:numId="9">
    <w:abstractNumId w:val="16"/>
  </w:num>
  <w:num w:numId="10">
    <w:abstractNumId w:val="6"/>
  </w:num>
  <w:num w:numId="11">
    <w:abstractNumId w:val="12"/>
  </w:num>
  <w:num w:numId="12">
    <w:abstractNumId w:val="14"/>
  </w:num>
  <w:num w:numId="13">
    <w:abstractNumId w:val="7"/>
  </w:num>
  <w:num w:numId="14">
    <w:abstractNumId w:val="11"/>
  </w:num>
  <w:num w:numId="15">
    <w:abstractNumId w:val="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1&lt;/Suspended&gt;&lt;/ENInstantFormat&gt;"/>
    <w:docVar w:name="EN.Layout" w:val="&lt;ENLayout&gt;&lt;Style&gt;Annotat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0x20avep0stvjedzw8xwef55t0rst5zrxd9&quot;&gt;My EndNote Library&lt;record-ids&gt;&lt;item&gt;10&lt;/item&gt;&lt;item&gt;26&lt;/item&gt;&lt;item&gt;35&lt;/item&gt;&lt;item&gt;52&lt;/item&gt;&lt;item&gt;56&lt;/item&gt;&lt;item&gt;59&lt;/item&gt;&lt;item&gt;63&lt;/item&gt;&lt;item&gt;64&lt;/item&gt;&lt;item&gt;65&lt;/item&gt;&lt;item&gt;66&lt;/item&gt;&lt;item&gt;67&lt;/item&gt;&lt;item&gt;68&lt;/item&gt;&lt;item&gt;69&lt;/item&gt;&lt;item&gt;70&lt;/item&gt;&lt;item&gt;71&lt;/item&gt;&lt;item&gt;72&lt;/item&gt;&lt;item&gt;73&lt;/item&gt;&lt;/record-ids&gt;&lt;/item&gt;&lt;/Libraries&gt;"/>
  </w:docVars>
  <w:rsids>
    <w:rsidRoot w:val="00364357"/>
    <w:rsid w:val="000000B0"/>
    <w:rsid w:val="0000228B"/>
    <w:rsid w:val="00002F02"/>
    <w:rsid w:val="00003122"/>
    <w:rsid w:val="00004A7B"/>
    <w:rsid w:val="00005302"/>
    <w:rsid w:val="000062EE"/>
    <w:rsid w:val="00010B88"/>
    <w:rsid w:val="00012B67"/>
    <w:rsid w:val="0001362B"/>
    <w:rsid w:val="000137F8"/>
    <w:rsid w:val="00015020"/>
    <w:rsid w:val="000166FB"/>
    <w:rsid w:val="00016F8E"/>
    <w:rsid w:val="0002036E"/>
    <w:rsid w:val="00024F8B"/>
    <w:rsid w:val="00026381"/>
    <w:rsid w:val="000273BB"/>
    <w:rsid w:val="000274D2"/>
    <w:rsid w:val="0002772C"/>
    <w:rsid w:val="00027FF4"/>
    <w:rsid w:val="0003107A"/>
    <w:rsid w:val="00031C1A"/>
    <w:rsid w:val="0003243E"/>
    <w:rsid w:val="00033D30"/>
    <w:rsid w:val="000345B0"/>
    <w:rsid w:val="00034E6B"/>
    <w:rsid w:val="00035972"/>
    <w:rsid w:val="0003646E"/>
    <w:rsid w:val="00036545"/>
    <w:rsid w:val="000401AB"/>
    <w:rsid w:val="00040580"/>
    <w:rsid w:val="00041B54"/>
    <w:rsid w:val="00042C32"/>
    <w:rsid w:val="0004362D"/>
    <w:rsid w:val="000436D4"/>
    <w:rsid w:val="00043E16"/>
    <w:rsid w:val="00044445"/>
    <w:rsid w:val="0004552D"/>
    <w:rsid w:val="00045EA4"/>
    <w:rsid w:val="00046430"/>
    <w:rsid w:val="00050C3A"/>
    <w:rsid w:val="00051A5D"/>
    <w:rsid w:val="00052498"/>
    <w:rsid w:val="000536B3"/>
    <w:rsid w:val="000547D7"/>
    <w:rsid w:val="000622D2"/>
    <w:rsid w:val="00062BE0"/>
    <w:rsid w:val="00063673"/>
    <w:rsid w:val="00063D72"/>
    <w:rsid w:val="00066427"/>
    <w:rsid w:val="000706D6"/>
    <w:rsid w:val="000707E4"/>
    <w:rsid w:val="000709D9"/>
    <w:rsid w:val="00070CEE"/>
    <w:rsid w:val="000714BA"/>
    <w:rsid w:val="00072A4F"/>
    <w:rsid w:val="000733AC"/>
    <w:rsid w:val="00073C60"/>
    <w:rsid w:val="00074B16"/>
    <w:rsid w:val="00075AEB"/>
    <w:rsid w:val="00076161"/>
    <w:rsid w:val="00076CAF"/>
    <w:rsid w:val="000816EE"/>
    <w:rsid w:val="00081A7B"/>
    <w:rsid w:val="0008210B"/>
    <w:rsid w:val="00082325"/>
    <w:rsid w:val="0008295E"/>
    <w:rsid w:val="000829F0"/>
    <w:rsid w:val="000844F8"/>
    <w:rsid w:val="00085944"/>
    <w:rsid w:val="00086D6A"/>
    <w:rsid w:val="00086EB7"/>
    <w:rsid w:val="0008714F"/>
    <w:rsid w:val="00090C01"/>
    <w:rsid w:val="000922D5"/>
    <w:rsid w:val="000938DF"/>
    <w:rsid w:val="00093C35"/>
    <w:rsid w:val="00093ECA"/>
    <w:rsid w:val="0009632B"/>
    <w:rsid w:val="000967AF"/>
    <w:rsid w:val="000A1710"/>
    <w:rsid w:val="000A3945"/>
    <w:rsid w:val="000A5ABA"/>
    <w:rsid w:val="000A5BC3"/>
    <w:rsid w:val="000A5D4E"/>
    <w:rsid w:val="000A6E79"/>
    <w:rsid w:val="000A7ADA"/>
    <w:rsid w:val="000B05A9"/>
    <w:rsid w:val="000B0A6C"/>
    <w:rsid w:val="000B1227"/>
    <w:rsid w:val="000B1494"/>
    <w:rsid w:val="000B16D0"/>
    <w:rsid w:val="000B1DD8"/>
    <w:rsid w:val="000B37DF"/>
    <w:rsid w:val="000B38DA"/>
    <w:rsid w:val="000B7734"/>
    <w:rsid w:val="000C030D"/>
    <w:rsid w:val="000C06A0"/>
    <w:rsid w:val="000C0CE2"/>
    <w:rsid w:val="000C11B1"/>
    <w:rsid w:val="000C1628"/>
    <w:rsid w:val="000C24F8"/>
    <w:rsid w:val="000C336D"/>
    <w:rsid w:val="000C3805"/>
    <w:rsid w:val="000C3EC7"/>
    <w:rsid w:val="000C481A"/>
    <w:rsid w:val="000C4FAD"/>
    <w:rsid w:val="000C51DC"/>
    <w:rsid w:val="000C6881"/>
    <w:rsid w:val="000C7041"/>
    <w:rsid w:val="000C759D"/>
    <w:rsid w:val="000D0ECF"/>
    <w:rsid w:val="000D3E54"/>
    <w:rsid w:val="000D4102"/>
    <w:rsid w:val="000D46E1"/>
    <w:rsid w:val="000D5BD2"/>
    <w:rsid w:val="000D75EA"/>
    <w:rsid w:val="000D78E9"/>
    <w:rsid w:val="000E025B"/>
    <w:rsid w:val="000E0EF8"/>
    <w:rsid w:val="000E18FA"/>
    <w:rsid w:val="000E235E"/>
    <w:rsid w:val="000E28A8"/>
    <w:rsid w:val="000E4814"/>
    <w:rsid w:val="000E4D94"/>
    <w:rsid w:val="000E6A38"/>
    <w:rsid w:val="000E6F49"/>
    <w:rsid w:val="000E70D6"/>
    <w:rsid w:val="000E781F"/>
    <w:rsid w:val="000E7D36"/>
    <w:rsid w:val="000F0A79"/>
    <w:rsid w:val="000F1FA7"/>
    <w:rsid w:val="000F2919"/>
    <w:rsid w:val="000F29D7"/>
    <w:rsid w:val="000F345F"/>
    <w:rsid w:val="000F4BA5"/>
    <w:rsid w:val="000F669F"/>
    <w:rsid w:val="00100337"/>
    <w:rsid w:val="001005AD"/>
    <w:rsid w:val="00102AC2"/>
    <w:rsid w:val="001044C5"/>
    <w:rsid w:val="00104BA8"/>
    <w:rsid w:val="00104D6F"/>
    <w:rsid w:val="00104FD4"/>
    <w:rsid w:val="0010538A"/>
    <w:rsid w:val="001053C7"/>
    <w:rsid w:val="00106F5A"/>
    <w:rsid w:val="0010754B"/>
    <w:rsid w:val="00107C23"/>
    <w:rsid w:val="00110D50"/>
    <w:rsid w:val="00110E41"/>
    <w:rsid w:val="0011105A"/>
    <w:rsid w:val="001113E2"/>
    <w:rsid w:val="0011187B"/>
    <w:rsid w:val="0011258A"/>
    <w:rsid w:val="001130D4"/>
    <w:rsid w:val="0011595F"/>
    <w:rsid w:val="00116666"/>
    <w:rsid w:val="00116676"/>
    <w:rsid w:val="001173FC"/>
    <w:rsid w:val="0011752B"/>
    <w:rsid w:val="0012312B"/>
    <w:rsid w:val="00123715"/>
    <w:rsid w:val="00124FFD"/>
    <w:rsid w:val="00125AC1"/>
    <w:rsid w:val="00126D6C"/>
    <w:rsid w:val="001272A1"/>
    <w:rsid w:val="00130381"/>
    <w:rsid w:val="0013081A"/>
    <w:rsid w:val="00130DFE"/>
    <w:rsid w:val="00131DF4"/>
    <w:rsid w:val="00132E88"/>
    <w:rsid w:val="00133020"/>
    <w:rsid w:val="00133EE1"/>
    <w:rsid w:val="00134220"/>
    <w:rsid w:val="00134B8E"/>
    <w:rsid w:val="00137219"/>
    <w:rsid w:val="001424D3"/>
    <w:rsid w:val="00143388"/>
    <w:rsid w:val="00144D5A"/>
    <w:rsid w:val="001454B7"/>
    <w:rsid w:val="00146441"/>
    <w:rsid w:val="001475EC"/>
    <w:rsid w:val="00147A2C"/>
    <w:rsid w:val="001509F2"/>
    <w:rsid w:val="00151F63"/>
    <w:rsid w:val="001520B0"/>
    <w:rsid w:val="00152DBD"/>
    <w:rsid w:val="00153445"/>
    <w:rsid w:val="0015404F"/>
    <w:rsid w:val="001540D3"/>
    <w:rsid w:val="0015440B"/>
    <w:rsid w:val="00154891"/>
    <w:rsid w:val="00155294"/>
    <w:rsid w:val="00155B40"/>
    <w:rsid w:val="00157371"/>
    <w:rsid w:val="00157F1E"/>
    <w:rsid w:val="001606A2"/>
    <w:rsid w:val="00160C11"/>
    <w:rsid w:val="001641E5"/>
    <w:rsid w:val="001642A2"/>
    <w:rsid w:val="0016434D"/>
    <w:rsid w:val="0016711F"/>
    <w:rsid w:val="0017073D"/>
    <w:rsid w:val="00170AFB"/>
    <w:rsid w:val="00171B97"/>
    <w:rsid w:val="00171BD3"/>
    <w:rsid w:val="00172F6C"/>
    <w:rsid w:val="00174276"/>
    <w:rsid w:val="001746DA"/>
    <w:rsid w:val="00175B27"/>
    <w:rsid w:val="00175F1C"/>
    <w:rsid w:val="00176A67"/>
    <w:rsid w:val="0017787A"/>
    <w:rsid w:val="00181756"/>
    <w:rsid w:val="001818B9"/>
    <w:rsid w:val="00181E8B"/>
    <w:rsid w:val="001822F1"/>
    <w:rsid w:val="00186197"/>
    <w:rsid w:val="00187C6C"/>
    <w:rsid w:val="00190908"/>
    <w:rsid w:val="00191266"/>
    <w:rsid w:val="00192481"/>
    <w:rsid w:val="001924C8"/>
    <w:rsid w:val="00195A68"/>
    <w:rsid w:val="00195BE5"/>
    <w:rsid w:val="00197C17"/>
    <w:rsid w:val="001A1025"/>
    <w:rsid w:val="001A3205"/>
    <w:rsid w:val="001A41C2"/>
    <w:rsid w:val="001A59D0"/>
    <w:rsid w:val="001B0A59"/>
    <w:rsid w:val="001B2D31"/>
    <w:rsid w:val="001B441C"/>
    <w:rsid w:val="001B48C0"/>
    <w:rsid w:val="001B5B1E"/>
    <w:rsid w:val="001B5C40"/>
    <w:rsid w:val="001B5CD8"/>
    <w:rsid w:val="001B6050"/>
    <w:rsid w:val="001B7E68"/>
    <w:rsid w:val="001C09A6"/>
    <w:rsid w:val="001C0BB8"/>
    <w:rsid w:val="001C2629"/>
    <w:rsid w:val="001C2BE1"/>
    <w:rsid w:val="001C2E60"/>
    <w:rsid w:val="001C3072"/>
    <w:rsid w:val="001C31A3"/>
    <w:rsid w:val="001C4098"/>
    <w:rsid w:val="001C4260"/>
    <w:rsid w:val="001C43C7"/>
    <w:rsid w:val="001C6687"/>
    <w:rsid w:val="001C7874"/>
    <w:rsid w:val="001C7F4F"/>
    <w:rsid w:val="001D2404"/>
    <w:rsid w:val="001D28E3"/>
    <w:rsid w:val="001D2C18"/>
    <w:rsid w:val="001D35E8"/>
    <w:rsid w:val="001D3CEA"/>
    <w:rsid w:val="001D51CD"/>
    <w:rsid w:val="001D736E"/>
    <w:rsid w:val="001E0FF0"/>
    <w:rsid w:val="001E1168"/>
    <w:rsid w:val="001E2646"/>
    <w:rsid w:val="001E2FA4"/>
    <w:rsid w:val="001E3024"/>
    <w:rsid w:val="001E356C"/>
    <w:rsid w:val="001E3B23"/>
    <w:rsid w:val="001E3ED6"/>
    <w:rsid w:val="001E584D"/>
    <w:rsid w:val="001E66AF"/>
    <w:rsid w:val="001E7ADB"/>
    <w:rsid w:val="001F2CB5"/>
    <w:rsid w:val="001F31F5"/>
    <w:rsid w:val="001F381B"/>
    <w:rsid w:val="001F5C78"/>
    <w:rsid w:val="001F5C93"/>
    <w:rsid w:val="001F7534"/>
    <w:rsid w:val="001F7FB6"/>
    <w:rsid w:val="002001FC"/>
    <w:rsid w:val="00200203"/>
    <w:rsid w:val="0020023B"/>
    <w:rsid w:val="0020078E"/>
    <w:rsid w:val="0020130A"/>
    <w:rsid w:val="0020175E"/>
    <w:rsid w:val="002028E7"/>
    <w:rsid w:val="00206551"/>
    <w:rsid w:val="00207AB3"/>
    <w:rsid w:val="00210096"/>
    <w:rsid w:val="00212FF2"/>
    <w:rsid w:val="0021338B"/>
    <w:rsid w:val="002134C7"/>
    <w:rsid w:val="00213B9A"/>
    <w:rsid w:val="002153C1"/>
    <w:rsid w:val="00217AA0"/>
    <w:rsid w:val="0022018C"/>
    <w:rsid w:val="0022110B"/>
    <w:rsid w:val="002226E5"/>
    <w:rsid w:val="00222C20"/>
    <w:rsid w:val="00222CDF"/>
    <w:rsid w:val="00222F82"/>
    <w:rsid w:val="00223BA0"/>
    <w:rsid w:val="0022476E"/>
    <w:rsid w:val="0022485B"/>
    <w:rsid w:val="002255D2"/>
    <w:rsid w:val="0022712D"/>
    <w:rsid w:val="002309F2"/>
    <w:rsid w:val="00233FCE"/>
    <w:rsid w:val="00235D08"/>
    <w:rsid w:val="00237789"/>
    <w:rsid w:val="002379E9"/>
    <w:rsid w:val="00237A69"/>
    <w:rsid w:val="00242A7B"/>
    <w:rsid w:val="0024309C"/>
    <w:rsid w:val="0024371D"/>
    <w:rsid w:val="00245247"/>
    <w:rsid w:val="002460C3"/>
    <w:rsid w:val="00246774"/>
    <w:rsid w:val="002467D8"/>
    <w:rsid w:val="002468CA"/>
    <w:rsid w:val="002475C1"/>
    <w:rsid w:val="002502D6"/>
    <w:rsid w:val="00250BF6"/>
    <w:rsid w:val="002513ED"/>
    <w:rsid w:val="00252F80"/>
    <w:rsid w:val="00255BCA"/>
    <w:rsid w:val="00255FED"/>
    <w:rsid w:val="00256E5D"/>
    <w:rsid w:val="00263A39"/>
    <w:rsid w:val="0026429A"/>
    <w:rsid w:val="00264B7A"/>
    <w:rsid w:val="00264CE3"/>
    <w:rsid w:val="00265534"/>
    <w:rsid w:val="00266DA3"/>
    <w:rsid w:val="0026735C"/>
    <w:rsid w:val="00267919"/>
    <w:rsid w:val="00271964"/>
    <w:rsid w:val="002719AF"/>
    <w:rsid w:val="00271EB5"/>
    <w:rsid w:val="0027322C"/>
    <w:rsid w:val="00273FC3"/>
    <w:rsid w:val="0027573A"/>
    <w:rsid w:val="00277EF6"/>
    <w:rsid w:val="00282496"/>
    <w:rsid w:val="00285E93"/>
    <w:rsid w:val="00286AC1"/>
    <w:rsid w:val="00287643"/>
    <w:rsid w:val="00287A84"/>
    <w:rsid w:val="00287E2A"/>
    <w:rsid w:val="0029009B"/>
    <w:rsid w:val="002901AE"/>
    <w:rsid w:val="00293AA9"/>
    <w:rsid w:val="00293EB7"/>
    <w:rsid w:val="0029774C"/>
    <w:rsid w:val="002A04EC"/>
    <w:rsid w:val="002A0BAE"/>
    <w:rsid w:val="002A0DE5"/>
    <w:rsid w:val="002A245F"/>
    <w:rsid w:val="002A3BB5"/>
    <w:rsid w:val="002A403F"/>
    <w:rsid w:val="002A4118"/>
    <w:rsid w:val="002A5663"/>
    <w:rsid w:val="002A783F"/>
    <w:rsid w:val="002A7980"/>
    <w:rsid w:val="002B19E1"/>
    <w:rsid w:val="002B29EE"/>
    <w:rsid w:val="002B2B28"/>
    <w:rsid w:val="002B3B0D"/>
    <w:rsid w:val="002B4004"/>
    <w:rsid w:val="002B40E0"/>
    <w:rsid w:val="002B4233"/>
    <w:rsid w:val="002B4435"/>
    <w:rsid w:val="002B4E87"/>
    <w:rsid w:val="002B6DED"/>
    <w:rsid w:val="002C0886"/>
    <w:rsid w:val="002C25D1"/>
    <w:rsid w:val="002C305C"/>
    <w:rsid w:val="002C39E0"/>
    <w:rsid w:val="002C43B9"/>
    <w:rsid w:val="002C4AA9"/>
    <w:rsid w:val="002C4F67"/>
    <w:rsid w:val="002C640A"/>
    <w:rsid w:val="002C6A7E"/>
    <w:rsid w:val="002D0C52"/>
    <w:rsid w:val="002D1254"/>
    <w:rsid w:val="002D1D6E"/>
    <w:rsid w:val="002D216C"/>
    <w:rsid w:val="002D2C9C"/>
    <w:rsid w:val="002D4601"/>
    <w:rsid w:val="002D4DD4"/>
    <w:rsid w:val="002D5191"/>
    <w:rsid w:val="002D5E85"/>
    <w:rsid w:val="002D76A9"/>
    <w:rsid w:val="002E14DF"/>
    <w:rsid w:val="002E490A"/>
    <w:rsid w:val="002F0D3F"/>
    <w:rsid w:val="002F1698"/>
    <w:rsid w:val="002F3CE2"/>
    <w:rsid w:val="002F42EE"/>
    <w:rsid w:val="002F5DCA"/>
    <w:rsid w:val="003001CE"/>
    <w:rsid w:val="00301767"/>
    <w:rsid w:val="00302F15"/>
    <w:rsid w:val="003044D1"/>
    <w:rsid w:val="00304A82"/>
    <w:rsid w:val="003050EC"/>
    <w:rsid w:val="003075F7"/>
    <w:rsid w:val="003077BD"/>
    <w:rsid w:val="00307852"/>
    <w:rsid w:val="00311FB5"/>
    <w:rsid w:val="00312D70"/>
    <w:rsid w:val="00313121"/>
    <w:rsid w:val="00314B37"/>
    <w:rsid w:val="00314E6F"/>
    <w:rsid w:val="00316AC8"/>
    <w:rsid w:val="00317335"/>
    <w:rsid w:val="00317646"/>
    <w:rsid w:val="003202CE"/>
    <w:rsid w:val="003212B6"/>
    <w:rsid w:val="00322BDD"/>
    <w:rsid w:val="003236C4"/>
    <w:rsid w:val="00323AA6"/>
    <w:rsid w:val="00325A9C"/>
    <w:rsid w:val="00326CF5"/>
    <w:rsid w:val="003277D9"/>
    <w:rsid w:val="00327CF5"/>
    <w:rsid w:val="003334E1"/>
    <w:rsid w:val="00335881"/>
    <w:rsid w:val="00335A49"/>
    <w:rsid w:val="003379B1"/>
    <w:rsid w:val="00340530"/>
    <w:rsid w:val="003406F7"/>
    <w:rsid w:val="00342C3A"/>
    <w:rsid w:val="00344D1A"/>
    <w:rsid w:val="003454F5"/>
    <w:rsid w:val="00345E08"/>
    <w:rsid w:val="00347E68"/>
    <w:rsid w:val="00350EC4"/>
    <w:rsid w:val="00352680"/>
    <w:rsid w:val="00356347"/>
    <w:rsid w:val="00357011"/>
    <w:rsid w:val="00362026"/>
    <w:rsid w:val="00364335"/>
    <w:rsid w:val="00364357"/>
    <w:rsid w:val="003652DA"/>
    <w:rsid w:val="00365E6E"/>
    <w:rsid w:val="003665C7"/>
    <w:rsid w:val="00370838"/>
    <w:rsid w:val="00371CD1"/>
    <w:rsid w:val="00372BCE"/>
    <w:rsid w:val="00372E5D"/>
    <w:rsid w:val="003748C1"/>
    <w:rsid w:val="00375BF6"/>
    <w:rsid w:val="003762F0"/>
    <w:rsid w:val="00376671"/>
    <w:rsid w:val="0037742D"/>
    <w:rsid w:val="0037745F"/>
    <w:rsid w:val="00381DAA"/>
    <w:rsid w:val="00382391"/>
    <w:rsid w:val="00382FAA"/>
    <w:rsid w:val="00383A90"/>
    <w:rsid w:val="003842AB"/>
    <w:rsid w:val="00386810"/>
    <w:rsid w:val="0038724E"/>
    <w:rsid w:val="00387D08"/>
    <w:rsid w:val="003919E4"/>
    <w:rsid w:val="00391A50"/>
    <w:rsid w:val="00393531"/>
    <w:rsid w:val="003935A0"/>
    <w:rsid w:val="00394683"/>
    <w:rsid w:val="00394F31"/>
    <w:rsid w:val="00396C40"/>
    <w:rsid w:val="003A02AC"/>
    <w:rsid w:val="003A101E"/>
    <w:rsid w:val="003A1BB2"/>
    <w:rsid w:val="003A1E16"/>
    <w:rsid w:val="003A1E95"/>
    <w:rsid w:val="003A2029"/>
    <w:rsid w:val="003A4934"/>
    <w:rsid w:val="003A6B84"/>
    <w:rsid w:val="003A75A2"/>
    <w:rsid w:val="003A7CC8"/>
    <w:rsid w:val="003B05A1"/>
    <w:rsid w:val="003B26C7"/>
    <w:rsid w:val="003B2B52"/>
    <w:rsid w:val="003B3AF0"/>
    <w:rsid w:val="003B44B4"/>
    <w:rsid w:val="003B4AC7"/>
    <w:rsid w:val="003B52D5"/>
    <w:rsid w:val="003B5B6C"/>
    <w:rsid w:val="003B5E6B"/>
    <w:rsid w:val="003B5FF0"/>
    <w:rsid w:val="003B6D8F"/>
    <w:rsid w:val="003B7CA5"/>
    <w:rsid w:val="003C0417"/>
    <w:rsid w:val="003C08CE"/>
    <w:rsid w:val="003C16FA"/>
    <w:rsid w:val="003C4918"/>
    <w:rsid w:val="003C4C12"/>
    <w:rsid w:val="003C6021"/>
    <w:rsid w:val="003D11F2"/>
    <w:rsid w:val="003D1263"/>
    <w:rsid w:val="003D17F6"/>
    <w:rsid w:val="003D21A7"/>
    <w:rsid w:val="003D2260"/>
    <w:rsid w:val="003D2932"/>
    <w:rsid w:val="003D2C48"/>
    <w:rsid w:val="003D2C8B"/>
    <w:rsid w:val="003D3935"/>
    <w:rsid w:val="003D7935"/>
    <w:rsid w:val="003D7EFE"/>
    <w:rsid w:val="003E3E7A"/>
    <w:rsid w:val="003E4084"/>
    <w:rsid w:val="003E54CD"/>
    <w:rsid w:val="003E5691"/>
    <w:rsid w:val="003E615F"/>
    <w:rsid w:val="003E67CF"/>
    <w:rsid w:val="003E6D52"/>
    <w:rsid w:val="003E706A"/>
    <w:rsid w:val="003E77CF"/>
    <w:rsid w:val="003E7C3E"/>
    <w:rsid w:val="003E7E70"/>
    <w:rsid w:val="003F21E4"/>
    <w:rsid w:val="003F3157"/>
    <w:rsid w:val="003F3D40"/>
    <w:rsid w:val="003F5AA6"/>
    <w:rsid w:val="003F5F20"/>
    <w:rsid w:val="003F6C60"/>
    <w:rsid w:val="003F72A9"/>
    <w:rsid w:val="00400B09"/>
    <w:rsid w:val="00400F71"/>
    <w:rsid w:val="004018F8"/>
    <w:rsid w:val="0040257C"/>
    <w:rsid w:val="00403544"/>
    <w:rsid w:val="004035C7"/>
    <w:rsid w:val="004048DE"/>
    <w:rsid w:val="00404B8E"/>
    <w:rsid w:val="00405571"/>
    <w:rsid w:val="00405667"/>
    <w:rsid w:val="00406895"/>
    <w:rsid w:val="00410045"/>
    <w:rsid w:val="00410D33"/>
    <w:rsid w:val="00412242"/>
    <w:rsid w:val="004127C8"/>
    <w:rsid w:val="00413710"/>
    <w:rsid w:val="00413A2E"/>
    <w:rsid w:val="00414106"/>
    <w:rsid w:val="00416464"/>
    <w:rsid w:val="0041787A"/>
    <w:rsid w:val="004202EE"/>
    <w:rsid w:val="00421043"/>
    <w:rsid w:val="004227FB"/>
    <w:rsid w:val="00427248"/>
    <w:rsid w:val="00431494"/>
    <w:rsid w:val="00431BA0"/>
    <w:rsid w:val="004330D8"/>
    <w:rsid w:val="004332E1"/>
    <w:rsid w:val="004338FA"/>
    <w:rsid w:val="00434EF9"/>
    <w:rsid w:val="004351B7"/>
    <w:rsid w:val="00436D79"/>
    <w:rsid w:val="0044203B"/>
    <w:rsid w:val="00444C80"/>
    <w:rsid w:val="004461EC"/>
    <w:rsid w:val="004474B7"/>
    <w:rsid w:val="004500B8"/>
    <w:rsid w:val="00450C40"/>
    <w:rsid w:val="00451069"/>
    <w:rsid w:val="00451746"/>
    <w:rsid w:val="00452CDE"/>
    <w:rsid w:val="00454968"/>
    <w:rsid w:val="00455606"/>
    <w:rsid w:val="00455BAC"/>
    <w:rsid w:val="00457109"/>
    <w:rsid w:val="00457DF9"/>
    <w:rsid w:val="0046073C"/>
    <w:rsid w:val="00462AC8"/>
    <w:rsid w:val="00462DB8"/>
    <w:rsid w:val="00462FA7"/>
    <w:rsid w:val="00463865"/>
    <w:rsid w:val="00464338"/>
    <w:rsid w:val="00465831"/>
    <w:rsid w:val="00465866"/>
    <w:rsid w:val="00466659"/>
    <w:rsid w:val="00466B93"/>
    <w:rsid w:val="004676DC"/>
    <w:rsid w:val="00467A35"/>
    <w:rsid w:val="00470BC5"/>
    <w:rsid w:val="00470F0C"/>
    <w:rsid w:val="00470F30"/>
    <w:rsid w:val="0047197A"/>
    <w:rsid w:val="00471B56"/>
    <w:rsid w:val="00473CF5"/>
    <w:rsid w:val="004769B5"/>
    <w:rsid w:val="00477774"/>
    <w:rsid w:val="004843A0"/>
    <w:rsid w:val="00484429"/>
    <w:rsid w:val="00484A9B"/>
    <w:rsid w:val="00486437"/>
    <w:rsid w:val="00487148"/>
    <w:rsid w:val="004874D8"/>
    <w:rsid w:val="00491712"/>
    <w:rsid w:val="0049359B"/>
    <w:rsid w:val="004936E4"/>
    <w:rsid w:val="004956C8"/>
    <w:rsid w:val="0049588D"/>
    <w:rsid w:val="004963C9"/>
    <w:rsid w:val="004974B5"/>
    <w:rsid w:val="00497B16"/>
    <w:rsid w:val="004A04F3"/>
    <w:rsid w:val="004A3518"/>
    <w:rsid w:val="004A36FC"/>
    <w:rsid w:val="004A77AC"/>
    <w:rsid w:val="004A7C39"/>
    <w:rsid w:val="004B1610"/>
    <w:rsid w:val="004B4043"/>
    <w:rsid w:val="004B5E64"/>
    <w:rsid w:val="004B5E7C"/>
    <w:rsid w:val="004C0215"/>
    <w:rsid w:val="004C081A"/>
    <w:rsid w:val="004C0DA3"/>
    <w:rsid w:val="004C19B1"/>
    <w:rsid w:val="004C1D7E"/>
    <w:rsid w:val="004C29FF"/>
    <w:rsid w:val="004C30A5"/>
    <w:rsid w:val="004C356D"/>
    <w:rsid w:val="004C4240"/>
    <w:rsid w:val="004C4B04"/>
    <w:rsid w:val="004C4DE7"/>
    <w:rsid w:val="004C5325"/>
    <w:rsid w:val="004C5C08"/>
    <w:rsid w:val="004C669E"/>
    <w:rsid w:val="004C6BF4"/>
    <w:rsid w:val="004D0FA3"/>
    <w:rsid w:val="004D1156"/>
    <w:rsid w:val="004D19E9"/>
    <w:rsid w:val="004D3EF4"/>
    <w:rsid w:val="004D406F"/>
    <w:rsid w:val="004D45FC"/>
    <w:rsid w:val="004D4842"/>
    <w:rsid w:val="004D4D90"/>
    <w:rsid w:val="004D5763"/>
    <w:rsid w:val="004D64BF"/>
    <w:rsid w:val="004D704A"/>
    <w:rsid w:val="004E1432"/>
    <w:rsid w:val="004E1DC5"/>
    <w:rsid w:val="004E2443"/>
    <w:rsid w:val="004E31BD"/>
    <w:rsid w:val="004E3406"/>
    <w:rsid w:val="004E5843"/>
    <w:rsid w:val="004E5854"/>
    <w:rsid w:val="004E698D"/>
    <w:rsid w:val="004E7E70"/>
    <w:rsid w:val="004F010F"/>
    <w:rsid w:val="004F23C1"/>
    <w:rsid w:val="004F23C2"/>
    <w:rsid w:val="004F2493"/>
    <w:rsid w:val="004F3AD3"/>
    <w:rsid w:val="004F677C"/>
    <w:rsid w:val="004F6825"/>
    <w:rsid w:val="004F6FA0"/>
    <w:rsid w:val="004F7612"/>
    <w:rsid w:val="00501373"/>
    <w:rsid w:val="005029DE"/>
    <w:rsid w:val="0050346D"/>
    <w:rsid w:val="00503CD3"/>
    <w:rsid w:val="005059A7"/>
    <w:rsid w:val="005068C0"/>
    <w:rsid w:val="00506EBA"/>
    <w:rsid w:val="005111D3"/>
    <w:rsid w:val="005126AF"/>
    <w:rsid w:val="005126E8"/>
    <w:rsid w:val="00512D58"/>
    <w:rsid w:val="00512FFE"/>
    <w:rsid w:val="005132F1"/>
    <w:rsid w:val="00513E5F"/>
    <w:rsid w:val="00515818"/>
    <w:rsid w:val="00515DCD"/>
    <w:rsid w:val="00515F12"/>
    <w:rsid w:val="00517DFF"/>
    <w:rsid w:val="0052007C"/>
    <w:rsid w:val="0052310F"/>
    <w:rsid w:val="00524267"/>
    <w:rsid w:val="00524F9D"/>
    <w:rsid w:val="0052547D"/>
    <w:rsid w:val="0052667C"/>
    <w:rsid w:val="00526730"/>
    <w:rsid w:val="005268D5"/>
    <w:rsid w:val="005277B2"/>
    <w:rsid w:val="0052797F"/>
    <w:rsid w:val="00530E85"/>
    <w:rsid w:val="00532076"/>
    <w:rsid w:val="00532828"/>
    <w:rsid w:val="00532DC6"/>
    <w:rsid w:val="00534923"/>
    <w:rsid w:val="005349C8"/>
    <w:rsid w:val="005355A5"/>
    <w:rsid w:val="0053560B"/>
    <w:rsid w:val="00535FCC"/>
    <w:rsid w:val="0053723E"/>
    <w:rsid w:val="00537425"/>
    <w:rsid w:val="005417E9"/>
    <w:rsid w:val="005418AE"/>
    <w:rsid w:val="00541942"/>
    <w:rsid w:val="00541CF1"/>
    <w:rsid w:val="00541D82"/>
    <w:rsid w:val="0054236C"/>
    <w:rsid w:val="005423A3"/>
    <w:rsid w:val="00542EDC"/>
    <w:rsid w:val="00543609"/>
    <w:rsid w:val="0054415D"/>
    <w:rsid w:val="00544690"/>
    <w:rsid w:val="005447CC"/>
    <w:rsid w:val="005448C9"/>
    <w:rsid w:val="00544A57"/>
    <w:rsid w:val="00544C10"/>
    <w:rsid w:val="005457D6"/>
    <w:rsid w:val="00546973"/>
    <w:rsid w:val="00550374"/>
    <w:rsid w:val="00550560"/>
    <w:rsid w:val="005509E6"/>
    <w:rsid w:val="00551768"/>
    <w:rsid w:val="0055475C"/>
    <w:rsid w:val="00554B93"/>
    <w:rsid w:val="00555057"/>
    <w:rsid w:val="00555C73"/>
    <w:rsid w:val="00556782"/>
    <w:rsid w:val="00562C8A"/>
    <w:rsid w:val="0056324B"/>
    <w:rsid w:val="0056444C"/>
    <w:rsid w:val="0056488C"/>
    <w:rsid w:val="00564C74"/>
    <w:rsid w:val="00565EDC"/>
    <w:rsid w:val="00566578"/>
    <w:rsid w:val="00570F6A"/>
    <w:rsid w:val="00573111"/>
    <w:rsid w:val="00575977"/>
    <w:rsid w:val="005766B6"/>
    <w:rsid w:val="005771E8"/>
    <w:rsid w:val="0057756C"/>
    <w:rsid w:val="00580D6E"/>
    <w:rsid w:val="00582841"/>
    <w:rsid w:val="00582A94"/>
    <w:rsid w:val="00582FE1"/>
    <w:rsid w:val="00583167"/>
    <w:rsid w:val="00584D1E"/>
    <w:rsid w:val="00585388"/>
    <w:rsid w:val="0058589F"/>
    <w:rsid w:val="0059049C"/>
    <w:rsid w:val="0059660B"/>
    <w:rsid w:val="00596B7E"/>
    <w:rsid w:val="005A0A0F"/>
    <w:rsid w:val="005A2438"/>
    <w:rsid w:val="005A3F68"/>
    <w:rsid w:val="005A4570"/>
    <w:rsid w:val="005A4626"/>
    <w:rsid w:val="005A578F"/>
    <w:rsid w:val="005A6BB4"/>
    <w:rsid w:val="005A77D1"/>
    <w:rsid w:val="005B07E2"/>
    <w:rsid w:val="005B0C08"/>
    <w:rsid w:val="005B1DE9"/>
    <w:rsid w:val="005B31FD"/>
    <w:rsid w:val="005B356E"/>
    <w:rsid w:val="005B615C"/>
    <w:rsid w:val="005B64CD"/>
    <w:rsid w:val="005C2464"/>
    <w:rsid w:val="005C3FE4"/>
    <w:rsid w:val="005C40BE"/>
    <w:rsid w:val="005C4522"/>
    <w:rsid w:val="005C532E"/>
    <w:rsid w:val="005C682A"/>
    <w:rsid w:val="005C6FAC"/>
    <w:rsid w:val="005D0246"/>
    <w:rsid w:val="005D0E6F"/>
    <w:rsid w:val="005D0F4F"/>
    <w:rsid w:val="005D1A7F"/>
    <w:rsid w:val="005D1BC6"/>
    <w:rsid w:val="005D2685"/>
    <w:rsid w:val="005D26F5"/>
    <w:rsid w:val="005D2DDC"/>
    <w:rsid w:val="005D360F"/>
    <w:rsid w:val="005D3768"/>
    <w:rsid w:val="005D55B9"/>
    <w:rsid w:val="005D782B"/>
    <w:rsid w:val="005D7871"/>
    <w:rsid w:val="005E032C"/>
    <w:rsid w:val="005E0739"/>
    <w:rsid w:val="005E6A68"/>
    <w:rsid w:val="005E7CC6"/>
    <w:rsid w:val="005F0979"/>
    <w:rsid w:val="005F0A12"/>
    <w:rsid w:val="005F285F"/>
    <w:rsid w:val="005F2CE9"/>
    <w:rsid w:val="005F4E24"/>
    <w:rsid w:val="005F6D84"/>
    <w:rsid w:val="005F7B4E"/>
    <w:rsid w:val="006007A0"/>
    <w:rsid w:val="0060200E"/>
    <w:rsid w:val="00603417"/>
    <w:rsid w:val="0060391A"/>
    <w:rsid w:val="00603A43"/>
    <w:rsid w:val="00603EB2"/>
    <w:rsid w:val="00604621"/>
    <w:rsid w:val="0060478D"/>
    <w:rsid w:val="00606515"/>
    <w:rsid w:val="006076F2"/>
    <w:rsid w:val="006122B4"/>
    <w:rsid w:val="006131CB"/>
    <w:rsid w:val="00613AD4"/>
    <w:rsid w:val="00613E30"/>
    <w:rsid w:val="0061483E"/>
    <w:rsid w:val="00616A35"/>
    <w:rsid w:val="0061722F"/>
    <w:rsid w:val="0061743D"/>
    <w:rsid w:val="0061789B"/>
    <w:rsid w:val="00617B9D"/>
    <w:rsid w:val="006205A5"/>
    <w:rsid w:val="006210C5"/>
    <w:rsid w:val="006225E0"/>
    <w:rsid w:val="00622E58"/>
    <w:rsid w:val="00622E8B"/>
    <w:rsid w:val="006236F2"/>
    <w:rsid w:val="0062509F"/>
    <w:rsid w:val="00626E4E"/>
    <w:rsid w:val="006271D2"/>
    <w:rsid w:val="006309D7"/>
    <w:rsid w:val="006329B5"/>
    <w:rsid w:val="00632ECD"/>
    <w:rsid w:val="00633986"/>
    <w:rsid w:val="006340E0"/>
    <w:rsid w:val="00634229"/>
    <w:rsid w:val="00635187"/>
    <w:rsid w:val="0063604D"/>
    <w:rsid w:val="00636C0D"/>
    <w:rsid w:val="00636E80"/>
    <w:rsid w:val="00637563"/>
    <w:rsid w:val="00637D51"/>
    <w:rsid w:val="00637DDD"/>
    <w:rsid w:val="006402D1"/>
    <w:rsid w:val="00641B6F"/>
    <w:rsid w:val="00643A1E"/>
    <w:rsid w:val="00651BBA"/>
    <w:rsid w:val="00652029"/>
    <w:rsid w:val="00652AEC"/>
    <w:rsid w:val="00652C22"/>
    <w:rsid w:val="00654D3D"/>
    <w:rsid w:val="00657095"/>
    <w:rsid w:val="00657DB6"/>
    <w:rsid w:val="00660452"/>
    <w:rsid w:val="006616A2"/>
    <w:rsid w:val="00661EDD"/>
    <w:rsid w:val="006630AB"/>
    <w:rsid w:val="00664DDC"/>
    <w:rsid w:val="0066589F"/>
    <w:rsid w:val="00666151"/>
    <w:rsid w:val="00666421"/>
    <w:rsid w:val="00667544"/>
    <w:rsid w:val="00670D96"/>
    <w:rsid w:val="006729EF"/>
    <w:rsid w:val="00672BB3"/>
    <w:rsid w:val="00673330"/>
    <w:rsid w:val="00680711"/>
    <w:rsid w:val="00683512"/>
    <w:rsid w:val="00690354"/>
    <w:rsid w:val="0069099D"/>
    <w:rsid w:val="00691E2B"/>
    <w:rsid w:val="00694C82"/>
    <w:rsid w:val="00694CB2"/>
    <w:rsid w:val="00695204"/>
    <w:rsid w:val="00695900"/>
    <w:rsid w:val="00696173"/>
    <w:rsid w:val="00696E6E"/>
    <w:rsid w:val="006977C9"/>
    <w:rsid w:val="006A0385"/>
    <w:rsid w:val="006A0529"/>
    <w:rsid w:val="006A3950"/>
    <w:rsid w:val="006A4501"/>
    <w:rsid w:val="006A479F"/>
    <w:rsid w:val="006A4E8B"/>
    <w:rsid w:val="006A5262"/>
    <w:rsid w:val="006A780B"/>
    <w:rsid w:val="006A7910"/>
    <w:rsid w:val="006A7D05"/>
    <w:rsid w:val="006B0E78"/>
    <w:rsid w:val="006B2DF8"/>
    <w:rsid w:val="006B43EA"/>
    <w:rsid w:val="006B54DC"/>
    <w:rsid w:val="006B6DAD"/>
    <w:rsid w:val="006B6EC3"/>
    <w:rsid w:val="006B76B1"/>
    <w:rsid w:val="006B77CB"/>
    <w:rsid w:val="006C0227"/>
    <w:rsid w:val="006C028C"/>
    <w:rsid w:val="006C2EB8"/>
    <w:rsid w:val="006C3486"/>
    <w:rsid w:val="006C414F"/>
    <w:rsid w:val="006C4A98"/>
    <w:rsid w:val="006C56D0"/>
    <w:rsid w:val="006C67F4"/>
    <w:rsid w:val="006D1910"/>
    <w:rsid w:val="006D1A69"/>
    <w:rsid w:val="006D1DE9"/>
    <w:rsid w:val="006D23C6"/>
    <w:rsid w:val="006D3C3E"/>
    <w:rsid w:val="006D46E6"/>
    <w:rsid w:val="006D4C5A"/>
    <w:rsid w:val="006D50B6"/>
    <w:rsid w:val="006D5B32"/>
    <w:rsid w:val="006D6135"/>
    <w:rsid w:val="006D6571"/>
    <w:rsid w:val="006D68AC"/>
    <w:rsid w:val="006D7460"/>
    <w:rsid w:val="006E1007"/>
    <w:rsid w:val="006E2519"/>
    <w:rsid w:val="006E4491"/>
    <w:rsid w:val="006E6903"/>
    <w:rsid w:val="006E6AD6"/>
    <w:rsid w:val="006E7483"/>
    <w:rsid w:val="006F0D25"/>
    <w:rsid w:val="006F1337"/>
    <w:rsid w:val="006F17C3"/>
    <w:rsid w:val="006F1BEC"/>
    <w:rsid w:val="006F3101"/>
    <w:rsid w:val="006F3482"/>
    <w:rsid w:val="006F4E40"/>
    <w:rsid w:val="006F5A11"/>
    <w:rsid w:val="006F5D10"/>
    <w:rsid w:val="006F75D1"/>
    <w:rsid w:val="00702E9F"/>
    <w:rsid w:val="00703787"/>
    <w:rsid w:val="00704D5F"/>
    <w:rsid w:val="0070570A"/>
    <w:rsid w:val="00705B22"/>
    <w:rsid w:val="00705B3A"/>
    <w:rsid w:val="00710A22"/>
    <w:rsid w:val="0071398F"/>
    <w:rsid w:val="00714040"/>
    <w:rsid w:val="0071443B"/>
    <w:rsid w:val="00714DE2"/>
    <w:rsid w:val="00717923"/>
    <w:rsid w:val="00720990"/>
    <w:rsid w:val="00721115"/>
    <w:rsid w:val="00723532"/>
    <w:rsid w:val="00730562"/>
    <w:rsid w:val="00730EBF"/>
    <w:rsid w:val="00732403"/>
    <w:rsid w:val="00732FB5"/>
    <w:rsid w:val="007343EF"/>
    <w:rsid w:val="00736807"/>
    <w:rsid w:val="00740C4C"/>
    <w:rsid w:val="00741011"/>
    <w:rsid w:val="00743C1B"/>
    <w:rsid w:val="00743CA3"/>
    <w:rsid w:val="007452AD"/>
    <w:rsid w:val="0074536A"/>
    <w:rsid w:val="00751789"/>
    <w:rsid w:val="00754705"/>
    <w:rsid w:val="007551E3"/>
    <w:rsid w:val="0075543A"/>
    <w:rsid w:val="00755E12"/>
    <w:rsid w:val="007571AD"/>
    <w:rsid w:val="00757A4A"/>
    <w:rsid w:val="00760CBC"/>
    <w:rsid w:val="00762B47"/>
    <w:rsid w:val="007631ED"/>
    <w:rsid w:val="00763973"/>
    <w:rsid w:val="00764AD7"/>
    <w:rsid w:val="00765E7B"/>
    <w:rsid w:val="007667DC"/>
    <w:rsid w:val="00767FC5"/>
    <w:rsid w:val="00770D7B"/>
    <w:rsid w:val="007721E1"/>
    <w:rsid w:val="00772686"/>
    <w:rsid w:val="007726B0"/>
    <w:rsid w:val="007735C6"/>
    <w:rsid w:val="007740BE"/>
    <w:rsid w:val="007745A7"/>
    <w:rsid w:val="00774E9B"/>
    <w:rsid w:val="00776055"/>
    <w:rsid w:val="0077708C"/>
    <w:rsid w:val="007772F6"/>
    <w:rsid w:val="007838F0"/>
    <w:rsid w:val="00783AF6"/>
    <w:rsid w:val="0078515F"/>
    <w:rsid w:val="00786590"/>
    <w:rsid w:val="00786A2F"/>
    <w:rsid w:val="00790662"/>
    <w:rsid w:val="00791F52"/>
    <w:rsid w:val="00792154"/>
    <w:rsid w:val="00792EBC"/>
    <w:rsid w:val="007934F8"/>
    <w:rsid w:val="00793ADF"/>
    <w:rsid w:val="00794780"/>
    <w:rsid w:val="00794CDC"/>
    <w:rsid w:val="007950E0"/>
    <w:rsid w:val="00795EA3"/>
    <w:rsid w:val="00796FAC"/>
    <w:rsid w:val="0079785D"/>
    <w:rsid w:val="007A046D"/>
    <w:rsid w:val="007A07CC"/>
    <w:rsid w:val="007A3EA4"/>
    <w:rsid w:val="007A4678"/>
    <w:rsid w:val="007A718C"/>
    <w:rsid w:val="007A72C2"/>
    <w:rsid w:val="007A7C6A"/>
    <w:rsid w:val="007B0D19"/>
    <w:rsid w:val="007B2D2B"/>
    <w:rsid w:val="007B2FB3"/>
    <w:rsid w:val="007B30E7"/>
    <w:rsid w:val="007B488B"/>
    <w:rsid w:val="007B4F63"/>
    <w:rsid w:val="007B7F0E"/>
    <w:rsid w:val="007C0414"/>
    <w:rsid w:val="007C0747"/>
    <w:rsid w:val="007C17E3"/>
    <w:rsid w:val="007C27D7"/>
    <w:rsid w:val="007C3D43"/>
    <w:rsid w:val="007C654E"/>
    <w:rsid w:val="007C6778"/>
    <w:rsid w:val="007C6FAC"/>
    <w:rsid w:val="007D0100"/>
    <w:rsid w:val="007D028A"/>
    <w:rsid w:val="007D100D"/>
    <w:rsid w:val="007D142D"/>
    <w:rsid w:val="007D1CDD"/>
    <w:rsid w:val="007D1F04"/>
    <w:rsid w:val="007D39FD"/>
    <w:rsid w:val="007D3C7B"/>
    <w:rsid w:val="007D48F2"/>
    <w:rsid w:val="007D6CA5"/>
    <w:rsid w:val="007D6E0C"/>
    <w:rsid w:val="007D6EC5"/>
    <w:rsid w:val="007D7EDA"/>
    <w:rsid w:val="007D7FAA"/>
    <w:rsid w:val="007E049E"/>
    <w:rsid w:val="007E0A03"/>
    <w:rsid w:val="007E27D0"/>
    <w:rsid w:val="007E351C"/>
    <w:rsid w:val="007E375C"/>
    <w:rsid w:val="007E440A"/>
    <w:rsid w:val="007E56AA"/>
    <w:rsid w:val="007E5DC7"/>
    <w:rsid w:val="007E7BF7"/>
    <w:rsid w:val="007F2B5E"/>
    <w:rsid w:val="007F3164"/>
    <w:rsid w:val="007F3C5A"/>
    <w:rsid w:val="007F44FF"/>
    <w:rsid w:val="007F5FBA"/>
    <w:rsid w:val="007F72C5"/>
    <w:rsid w:val="007F7796"/>
    <w:rsid w:val="007F78E2"/>
    <w:rsid w:val="007F7D40"/>
    <w:rsid w:val="008009D9"/>
    <w:rsid w:val="00800FDA"/>
    <w:rsid w:val="00802F57"/>
    <w:rsid w:val="00805616"/>
    <w:rsid w:val="00806308"/>
    <w:rsid w:val="008100A1"/>
    <w:rsid w:val="008102CC"/>
    <w:rsid w:val="00810F4A"/>
    <w:rsid w:val="00812E06"/>
    <w:rsid w:val="0081661C"/>
    <w:rsid w:val="00816FC1"/>
    <w:rsid w:val="00820426"/>
    <w:rsid w:val="008233F1"/>
    <w:rsid w:val="008241CE"/>
    <w:rsid w:val="00825221"/>
    <w:rsid w:val="008269D7"/>
    <w:rsid w:val="00831039"/>
    <w:rsid w:val="00831570"/>
    <w:rsid w:val="00833193"/>
    <w:rsid w:val="0083362B"/>
    <w:rsid w:val="00833F95"/>
    <w:rsid w:val="00834CB1"/>
    <w:rsid w:val="008359EE"/>
    <w:rsid w:val="00836799"/>
    <w:rsid w:val="0083687D"/>
    <w:rsid w:val="008368E2"/>
    <w:rsid w:val="008404E3"/>
    <w:rsid w:val="0084202D"/>
    <w:rsid w:val="0084379C"/>
    <w:rsid w:val="00843E54"/>
    <w:rsid w:val="00845593"/>
    <w:rsid w:val="00850BC4"/>
    <w:rsid w:val="00852012"/>
    <w:rsid w:val="0085211A"/>
    <w:rsid w:val="00854B75"/>
    <w:rsid w:val="008555FC"/>
    <w:rsid w:val="0085672B"/>
    <w:rsid w:val="00861405"/>
    <w:rsid w:val="00867CFD"/>
    <w:rsid w:val="00867FF0"/>
    <w:rsid w:val="0087005E"/>
    <w:rsid w:val="0087045B"/>
    <w:rsid w:val="00871CD1"/>
    <w:rsid w:val="00873483"/>
    <w:rsid w:val="008756E6"/>
    <w:rsid w:val="008766C4"/>
    <w:rsid w:val="00877793"/>
    <w:rsid w:val="00877EDF"/>
    <w:rsid w:val="00880DF0"/>
    <w:rsid w:val="00881101"/>
    <w:rsid w:val="00882532"/>
    <w:rsid w:val="00882A99"/>
    <w:rsid w:val="00884883"/>
    <w:rsid w:val="00884E3E"/>
    <w:rsid w:val="00885538"/>
    <w:rsid w:val="00885F1E"/>
    <w:rsid w:val="008928B2"/>
    <w:rsid w:val="008929FF"/>
    <w:rsid w:val="00896248"/>
    <w:rsid w:val="00897264"/>
    <w:rsid w:val="008A1803"/>
    <w:rsid w:val="008A334E"/>
    <w:rsid w:val="008A38C6"/>
    <w:rsid w:val="008A3FB2"/>
    <w:rsid w:val="008A466A"/>
    <w:rsid w:val="008A4D1C"/>
    <w:rsid w:val="008A660F"/>
    <w:rsid w:val="008A674E"/>
    <w:rsid w:val="008B073D"/>
    <w:rsid w:val="008B12FF"/>
    <w:rsid w:val="008B13CD"/>
    <w:rsid w:val="008B1BB2"/>
    <w:rsid w:val="008B75B0"/>
    <w:rsid w:val="008B7E15"/>
    <w:rsid w:val="008C0785"/>
    <w:rsid w:val="008C305D"/>
    <w:rsid w:val="008C41BA"/>
    <w:rsid w:val="008C5811"/>
    <w:rsid w:val="008C6C7D"/>
    <w:rsid w:val="008D1335"/>
    <w:rsid w:val="008D199F"/>
    <w:rsid w:val="008D2858"/>
    <w:rsid w:val="008D2A97"/>
    <w:rsid w:val="008D408A"/>
    <w:rsid w:val="008D568D"/>
    <w:rsid w:val="008D6255"/>
    <w:rsid w:val="008D67FF"/>
    <w:rsid w:val="008E09C5"/>
    <w:rsid w:val="008E2851"/>
    <w:rsid w:val="008E3562"/>
    <w:rsid w:val="008E3A54"/>
    <w:rsid w:val="008E4125"/>
    <w:rsid w:val="008E5595"/>
    <w:rsid w:val="008E7334"/>
    <w:rsid w:val="008E7DBE"/>
    <w:rsid w:val="008F083B"/>
    <w:rsid w:val="008F0D84"/>
    <w:rsid w:val="008F1299"/>
    <w:rsid w:val="008F38CB"/>
    <w:rsid w:val="008F3C01"/>
    <w:rsid w:val="008F3C55"/>
    <w:rsid w:val="008F6E4E"/>
    <w:rsid w:val="008F75F3"/>
    <w:rsid w:val="008F7873"/>
    <w:rsid w:val="00900586"/>
    <w:rsid w:val="00900B2C"/>
    <w:rsid w:val="00900CF1"/>
    <w:rsid w:val="00902428"/>
    <w:rsid w:val="009025A2"/>
    <w:rsid w:val="00902B60"/>
    <w:rsid w:val="00903D28"/>
    <w:rsid w:val="00905D48"/>
    <w:rsid w:val="0091016D"/>
    <w:rsid w:val="00910BB9"/>
    <w:rsid w:val="00913963"/>
    <w:rsid w:val="00916333"/>
    <w:rsid w:val="00921297"/>
    <w:rsid w:val="009212E3"/>
    <w:rsid w:val="0092174E"/>
    <w:rsid w:val="0092220B"/>
    <w:rsid w:val="009228FF"/>
    <w:rsid w:val="009243A4"/>
    <w:rsid w:val="009249DA"/>
    <w:rsid w:val="0092716A"/>
    <w:rsid w:val="009327AA"/>
    <w:rsid w:val="0093490B"/>
    <w:rsid w:val="0093533A"/>
    <w:rsid w:val="00937A12"/>
    <w:rsid w:val="00942A4A"/>
    <w:rsid w:val="0094314B"/>
    <w:rsid w:val="00945ED8"/>
    <w:rsid w:val="009466A4"/>
    <w:rsid w:val="00950398"/>
    <w:rsid w:val="00950402"/>
    <w:rsid w:val="00950C78"/>
    <w:rsid w:val="00951ABF"/>
    <w:rsid w:val="009523EE"/>
    <w:rsid w:val="0095280C"/>
    <w:rsid w:val="00952817"/>
    <w:rsid w:val="00953335"/>
    <w:rsid w:val="00953D4F"/>
    <w:rsid w:val="00954E54"/>
    <w:rsid w:val="00954F7B"/>
    <w:rsid w:val="00955556"/>
    <w:rsid w:val="00956482"/>
    <w:rsid w:val="00956B67"/>
    <w:rsid w:val="00957894"/>
    <w:rsid w:val="009616F5"/>
    <w:rsid w:val="00961C0B"/>
    <w:rsid w:val="0096229C"/>
    <w:rsid w:val="00965A0A"/>
    <w:rsid w:val="00967C33"/>
    <w:rsid w:val="009705EF"/>
    <w:rsid w:val="00970EC8"/>
    <w:rsid w:val="0097132F"/>
    <w:rsid w:val="009716DB"/>
    <w:rsid w:val="00972F41"/>
    <w:rsid w:val="0097492C"/>
    <w:rsid w:val="00975079"/>
    <w:rsid w:val="009757FD"/>
    <w:rsid w:val="00977145"/>
    <w:rsid w:val="00980128"/>
    <w:rsid w:val="009808F7"/>
    <w:rsid w:val="0098655E"/>
    <w:rsid w:val="00986599"/>
    <w:rsid w:val="00987356"/>
    <w:rsid w:val="009878F3"/>
    <w:rsid w:val="00987D29"/>
    <w:rsid w:val="00993211"/>
    <w:rsid w:val="009944D0"/>
    <w:rsid w:val="00994689"/>
    <w:rsid w:val="00997D6E"/>
    <w:rsid w:val="009A1221"/>
    <w:rsid w:val="009A29AC"/>
    <w:rsid w:val="009A2EEA"/>
    <w:rsid w:val="009A3859"/>
    <w:rsid w:val="009A5F43"/>
    <w:rsid w:val="009A6BC0"/>
    <w:rsid w:val="009B1E55"/>
    <w:rsid w:val="009B29A9"/>
    <w:rsid w:val="009B3B69"/>
    <w:rsid w:val="009B4182"/>
    <w:rsid w:val="009B578B"/>
    <w:rsid w:val="009C10B2"/>
    <w:rsid w:val="009C2689"/>
    <w:rsid w:val="009C4793"/>
    <w:rsid w:val="009C5B9D"/>
    <w:rsid w:val="009C665C"/>
    <w:rsid w:val="009D06C4"/>
    <w:rsid w:val="009D083C"/>
    <w:rsid w:val="009D1159"/>
    <w:rsid w:val="009D38C5"/>
    <w:rsid w:val="009D423A"/>
    <w:rsid w:val="009D5A25"/>
    <w:rsid w:val="009D5B52"/>
    <w:rsid w:val="009D7769"/>
    <w:rsid w:val="009E31DD"/>
    <w:rsid w:val="009E38A4"/>
    <w:rsid w:val="009E3F20"/>
    <w:rsid w:val="009E46AC"/>
    <w:rsid w:val="009E4EBA"/>
    <w:rsid w:val="009E51DE"/>
    <w:rsid w:val="009E60A3"/>
    <w:rsid w:val="009F0413"/>
    <w:rsid w:val="009F0430"/>
    <w:rsid w:val="009F3148"/>
    <w:rsid w:val="009F35DA"/>
    <w:rsid w:val="009F3D49"/>
    <w:rsid w:val="009F5884"/>
    <w:rsid w:val="00A014EB"/>
    <w:rsid w:val="00A020ED"/>
    <w:rsid w:val="00A0327D"/>
    <w:rsid w:val="00A040E7"/>
    <w:rsid w:val="00A047DB"/>
    <w:rsid w:val="00A04934"/>
    <w:rsid w:val="00A05116"/>
    <w:rsid w:val="00A1032C"/>
    <w:rsid w:val="00A1065D"/>
    <w:rsid w:val="00A10D3C"/>
    <w:rsid w:val="00A110A2"/>
    <w:rsid w:val="00A13B26"/>
    <w:rsid w:val="00A13EF7"/>
    <w:rsid w:val="00A15AB2"/>
    <w:rsid w:val="00A1750F"/>
    <w:rsid w:val="00A2018D"/>
    <w:rsid w:val="00A2095B"/>
    <w:rsid w:val="00A21DFA"/>
    <w:rsid w:val="00A22885"/>
    <w:rsid w:val="00A23770"/>
    <w:rsid w:val="00A23882"/>
    <w:rsid w:val="00A23C16"/>
    <w:rsid w:val="00A24D25"/>
    <w:rsid w:val="00A33BDE"/>
    <w:rsid w:val="00A345E1"/>
    <w:rsid w:val="00A3476D"/>
    <w:rsid w:val="00A360A2"/>
    <w:rsid w:val="00A36137"/>
    <w:rsid w:val="00A370C1"/>
    <w:rsid w:val="00A40CBE"/>
    <w:rsid w:val="00A412DD"/>
    <w:rsid w:val="00A42AC1"/>
    <w:rsid w:val="00A44BAC"/>
    <w:rsid w:val="00A478C4"/>
    <w:rsid w:val="00A478F4"/>
    <w:rsid w:val="00A5028D"/>
    <w:rsid w:val="00A50848"/>
    <w:rsid w:val="00A5135F"/>
    <w:rsid w:val="00A52378"/>
    <w:rsid w:val="00A525E4"/>
    <w:rsid w:val="00A5266C"/>
    <w:rsid w:val="00A54169"/>
    <w:rsid w:val="00A551AA"/>
    <w:rsid w:val="00A5786F"/>
    <w:rsid w:val="00A6021E"/>
    <w:rsid w:val="00A60282"/>
    <w:rsid w:val="00A60854"/>
    <w:rsid w:val="00A62E46"/>
    <w:rsid w:val="00A6434B"/>
    <w:rsid w:val="00A66262"/>
    <w:rsid w:val="00A66579"/>
    <w:rsid w:val="00A6752F"/>
    <w:rsid w:val="00A70440"/>
    <w:rsid w:val="00A71685"/>
    <w:rsid w:val="00A71BDE"/>
    <w:rsid w:val="00A741E8"/>
    <w:rsid w:val="00A75ED7"/>
    <w:rsid w:val="00A76B9D"/>
    <w:rsid w:val="00A779F3"/>
    <w:rsid w:val="00A77D5D"/>
    <w:rsid w:val="00A819FE"/>
    <w:rsid w:val="00A81A19"/>
    <w:rsid w:val="00A8284A"/>
    <w:rsid w:val="00A851FB"/>
    <w:rsid w:val="00A853CF"/>
    <w:rsid w:val="00A855CD"/>
    <w:rsid w:val="00A86735"/>
    <w:rsid w:val="00A874F2"/>
    <w:rsid w:val="00A90616"/>
    <w:rsid w:val="00A9082C"/>
    <w:rsid w:val="00A922F1"/>
    <w:rsid w:val="00A92560"/>
    <w:rsid w:val="00A92D0F"/>
    <w:rsid w:val="00A938A7"/>
    <w:rsid w:val="00A940F9"/>
    <w:rsid w:val="00A9457D"/>
    <w:rsid w:val="00A962E5"/>
    <w:rsid w:val="00AA09EA"/>
    <w:rsid w:val="00AA2B06"/>
    <w:rsid w:val="00AA3189"/>
    <w:rsid w:val="00AA3C08"/>
    <w:rsid w:val="00AA4074"/>
    <w:rsid w:val="00AA4A2D"/>
    <w:rsid w:val="00AA4BBD"/>
    <w:rsid w:val="00AA6C9A"/>
    <w:rsid w:val="00AB0AA2"/>
    <w:rsid w:val="00AB0B10"/>
    <w:rsid w:val="00AB133A"/>
    <w:rsid w:val="00AB24D5"/>
    <w:rsid w:val="00AB72F5"/>
    <w:rsid w:val="00AC0632"/>
    <w:rsid w:val="00AC0875"/>
    <w:rsid w:val="00AC12FD"/>
    <w:rsid w:val="00AC54D1"/>
    <w:rsid w:val="00AC591B"/>
    <w:rsid w:val="00AC6E45"/>
    <w:rsid w:val="00AD2AFC"/>
    <w:rsid w:val="00AD2BF4"/>
    <w:rsid w:val="00AD37C8"/>
    <w:rsid w:val="00AD5CB5"/>
    <w:rsid w:val="00AD67F6"/>
    <w:rsid w:val="00AD6873"/>
    <w:rsid w:val="00AD6FA2"/>
    <w:rsid w:val="00AD7105"/>
    <w:rsid w:val="00AD7634"/>
    <w:rsid w:val="00AD7BD2"/>
    <w:rsid w:val="00AE0D51"/>
    <w:rsid w:val="00AE26CA"/>
    <w:rsid w:val="00AE2A0B"/>
    <w:rsid w:val="00AE2D04"/>
    <w:rsid w:val="00AE3E92"/>
    <w:rsid w:val="00AE4EAB"/>
    <w:rsid w:val="00AE6EDC"/>
    <w:rsid w:val="00AE700A"/>
    <w:rsid w:val="00AE732C"/>
    <w:rsid w:val="00AF17BE"/>
    <w:rsid w:val="00AF278B"/>
    <w:rsid w:val="00AF2A8E"/>
    <w:rsid w:val="00AF2BF9"/>
    <w:rsid w:val="00AF5251"/>
    <w:rsid w:val="00AF5413"/>
    <w:rsid w:val="00AF574C"/>
    <w:rsid w:val="00AF7322"/>
    <w:rsid w:val="00AF7359"/>
    <w:rsid w:val="00AF7702"/>
    <w:rsid w:val="00B00C7A"/>
    <w:rsid w:val="00B00F9C"/>
    <w:rsid w:val="00B015FA"/>
    <w:rsid w:val="00B03F1B"/>
    <w:rsid w:val="00B04339"/>
    <w:rsid w:val="00B04DFC"/>
    <w:rsid w:val="00B06701"/>
    <w:rsid w:val="00B0721C"/>
    <w:rsid w:val="00B07455"/>
    <w:rsid w:val="00B10528"/>
    <w:rsid w:val="00B1096F"/>
    <w:rsid w:val="00B11BC2"/>
    <w:rsid w:val="00B13831"/>
    <w:rsid w:val="00B153F4"/>
    <w:rsid w:val="00B15F9D"/>
    <w:rsid w:val="00B178F5"/>
    <w:rsid w:val="00B17F2B"/>
    <w:rsid w:val="00B22AF0"/>
    <w:rsid w:val="00B23C41"/>
    <w:rsid w:val="00B303AF"/>
    <w:rsid w:val="00B32AC2"/>
    <w:rsid w:val="00B3312D"/>
    <w:rsid w:val="00B33569"/>
    <w:rsid w:val="00B33697"/>
    <w:rsid w:val="00B3496B"/>
    <w:rsid w:val="00B36381"/>
    <w:rsid w:val="00B36487"/>
    <w:rsid w:val="00B36CE8"/>
    <w:rsid w:val="00B3766D"/>
    <w:rsid w:val="00B4023F"/>
    <w:rsid w:val="00B40F2B"/>
    <w:rsid w:val="00B4284E"/>
    <w:rsid w:val="00B43C56"/>
    <w:rsid w:val="00B450D5"/>
    <w:rsid w:val="00B468E8"/>
    <w:rsid w:val="00B50291"/>
    <w:rsid w:val="00B5304B"/>
    <w:rsid w:val="00B53515"/>
    <w:rsid w:val="00B53A57"/>
    <w:rsid w:val="00B53BEF"/>
    <w:rsid w:val="00B53F10"/>
    <w:rsid w:val="00B54EEF"/>
    <w:rsid w:val="00B55780"/>
    <w:rsid w:val="00B5673B"/>
    <w:rsid w:val="00B56C21"/>
    <w:rsid w:val="00B574B8"/>
    <w:rsid w:val="00B575F5"/>
    <w:rsid w:val="00B606D3"/>
    <w:rsid w:val="00B634D1"/>
    <w:rsid w:val="00B64E21"/>
    <w:rsid w:val="00B65246"/>
    <w:rsid w:val="00B65E2C"/>
    <w:rsid w:val="00B67B44"/>
    <w:rsid w:val="00B7077A"/>
    <w:rsid w:val="00B71749"/>
    <w:rsid w:val="00B71E3F"/>
    <w:rsid w:val="00B73AF8"/>
    <w:rsid w:val="00B7550C"/>
    <w:rsid w:val="00B77988"/>
    <w:rsid w:val="00B8321D"/>
    <w:rsid w:val="00B836F6"/>
    <w:rsid w:val="00B83AE6"/>
    <w:rsid w:val="00B90DF7"/>
    <w:rsid w:val="00B94450"/>
    <w:rsid w:val="00B969A2"/>
    <w:rsid w:val="00B97B96"/>
    <w:rsid w:val="00BA078B"/>
    <w:rsid w:val="00BA11A9"/>
    <w:rsid w:val="00BA1493"/>
    <w:rsid w:val="00BA1FA8"/>
    <w:rsid w:val="00BA2424"/>
    <w:rsid w:val="00BA339B"/>
    <w:rsid w:val="00BA415B"/>
    <w:rsid w:val="00BA43CA"/>
    <w:rsid w:val="00BA4D5F"/>
    <w:rsid w:val="00BA4F0A"/>
    <w:rsid w:val="00BA5B8B"/>
    <w:rsid w:val="00BA6244"/>
    <w:rsid w:val="00BA6964"/>
    <w:rsid w:val="00BA7533"/>
    <w:rsid w:val="00BA7D2E"/>
    <w:rsid w:val="00BB0174"/>
    <w:rsid w:val="00BB02EC"/>
    <w:rsid w:val="00BB1929"/>
    <w:rsid w:val="00BB2563"/>
    <w:rsid w:val="00BB2A23"/>
    <w:rsid w:val="00BB3CE2"/>
    <w:rsid w:val="00BB4042"/>
    <w:rsid w:val="00BB58E9"/>
    <w:rsid w:val="00BB6598"/>
    <w:rsid w:val="00BB6A46"/>
    <w:rsid w:val="00BC3D7A"/>
    <w:rsid w:val="00BC40B1"/>
    <w:rsid w:val="00BC432A"/>
    <w:rsid w:val="00BC4711"/>
    <w:rsid w:val="00BC4F94"/>
    <w:rsid w:val="00BC574E"/>
    <w:rsid w:val="00BC618A"/>
    <w:rsid w:val="00BC6290"/>
    <w:rsid w:val="00BC6806"/>
    <w:rsid w:val="00BC6A00"/>
    <w:rsid w:val="00BC6A5C"/>
    <w:rsid w:val="00BD2B48"/>
    <w:rsid w:val="00BD417B"/>
    <w:rsid w:val="00BD48B9"/>
    <w:rsid w:val="00BD647D"/>
    <w:rsid w:val="00BD750C"/>
    <w:rsid w:val="00BE0809"/>
    <w:rsid w:val="00BE3191"/>
    <w:rsid w:val="00BE4DFD"/>
    <w:rsid w:val="00BE4F48"/>
    <w:rsid w:val="00BE6006"/>
    <w:rsid w:val="00BE6AD0"/>
    <w:rsid w:val="00BE7171"/>
    <w:rsid w:val="00BE7296"/>
    <w:rsid w:val="00BE7533"/>
    <w:rsid w:val="00BF002B"/>
    <w:rsid w:val="00BF0A5B"/>
    <w:rsid w:val="00BF653C"/>
    <w:rsid w:val="00BF654B"/>
    <w:rsid w:val="00C004C0"/>
    <w:rsid w:val="00C01A25"/>
    <w:rsid w:val="00C01AF9"/>
    <w:rsid w:val="00C02808"/>
    <w:rsid w:val="00C02E3D"/>
    <w:rsid w:val="00C0372A"/>
    <w:rsid w:val="00C037A2"/>
    <w:rsid w:val="00C05FFF"/>
    <w:rsid w:val="00C0648F"/>
    <w:rsid w:val="00C06CA8"/>
    <w:rsid w:val="00C07303"/>
    <w:rsid w:val="00C106DA"/>
    <w:rsid w:val="00C149D8"/>
    <w:rsid w:val="00C1542D"/>
    <w:rsid w:val="00C1582A"/>
    <w:rsid w:val="00C15C1C"/>
    <w:rsid w:val="00C16A2D"/>
    <w:rsid w:val="00C2134D"/>
    <w:rsid w:val="00C21C4A"/>
    <w:rsid w:val="00C21D81"/>
    <w:rsid w:val="00C2285C"/>
    <w:rsid w:val="00C22B47"/>
    <w:rsid w:val="00C23327"/>
    <w:rsid w:val="00C237CA"/>
    <w:rsid w:val="00C24B29"/>
    <w:rsid w:val="00C25143"/>
    <w:rsid w:val="00C25B7D"/>
    <w:rsid w:val="00C271FA"/>
    <w:rsid w:val="00C322F1"/>
    <w:rsid w:val="00C3314E"/>
    <w:rsid w:val="00C34E70"/>
    <w:rsid w:val="00C41C4D"/>
    <w:rsid w:val="00C41FF3"/>
    <w:rsid w:val="00C42C94"/>
    <w:rsid w:val="00C43B82"/>
    <w:rsid w:val="00C4544A"/>
    <w:rsid w:val="00C47005"/>
    <w:rsid w:val="00C51304"/>
    <w:rsid w:val="00C515DA"/>
    <w:rsid w:val="00C51CE9"/>
    <w:rsid w:val="00C539B8"/>
    <w:rsid w:val="00C547D9"/>
    <w:rsid w:val="00C54F57"/>
    <w:rsid w:val="00C55682"/>
    <w:rsid w:val="00C558FE"/>
    <w:rsid w:val="00C57748"/>
    <w:rsid w:val="00C60338"/>
    <w:rsid w:val="00C61058"/>
    <w:rsid w:val="00C64587"/>
    <w:rsid w:val="00C65245"/>
    <w:rsid w:val="00C65CED"/>
    <w:rsid w:val="00C664D7"/>
    <w:rsid w:val="00C70A57"/>
    <w:rsid w:val="00C71461"/>
    <w:rsid w:val="00C71CCC"/>
    <w:rsid w:val="00C72463"/>
    <w:rsid w:val="00C72BFB"/>
    <w:rsid w:val="00C72D4B"/>
    <w:rsid w:val="00C74B1B"/>
    <w:rsid w:val="00C74E7E"/>
    <w:rsid w:val="00C75AEC"/>
    <w:rsid w:val="00C762E4"/>
    <w:rsid w:val="00C76494"/>
    <w:rsid w:val="00C76CCA"/>
    <w:rsid w:val="00C80614"/>
    <w:rsid w:val="00C81676"/>
    <w:rsid w:val="00C829D8"/>
    <w:rsid w:val="00C82C3F"/>
    <w:rsid w:val="00C82FCC"/>
    <w:rsid w:val="00C84D37"/>
    <w:rsid w:val="00C85D90"/>
    <w:rsid w:val="00C867D1"/>
    <w:rsid w:val="00C86814"/>
    <w:rsid w:val="00C9112C"/>
    <w:rsid w:val="00C93552"/>
    <w:rsid w:val="00C94088"/>
    <w:rsid w:val="00C96E13"/>
    <w:rsid w:val="00C97CAA"/>
    <w:rsid w:val="00CA0139"/>
    <w:rsid w:val="00CA1B52"/>
    <w:rsid w:val="00CA1DD3"/>
    <w:rsid w:val="00CA1E83"/>
    <w:rsid w:val="00CA4F18"/>
    <w:rsid w:val="00CA6473"/>
    <w:rsid w:val="00CA69D5"/>
    <w:rsid w:val="00CB0CBF"/>
    <w:rsid w:val="00CB28EF"/>
    <w:rsid w:val="00CB3B78"/>
    <w:rsid w:val="00CB3C6E"/>
    <w:rsid w:val="00CB3FA5"/>
    <w:rsid w:val="00CB5C5B"/>
    <w:rsid w:val="00CB6968"/>
    <w:rsid w:val="00CB69A0"/>
    <w:rsid w:val="00CB6BA2"/>
    <w:rsid w:val="00CB7625"/>
    <w:rsid w:val="00CB76A5"/>
    <w:rsid w:val="00CB7B2A"/>
    <w:rsid w:val="00CC18F0"/>
    <w:rsid w:val="00CC21E3"/>
    <w:rsid w:val="00CC3EA3"/>
    <w:rsid w:val="00CC42DD"/>
    <w:rsid w:val="00CC4623"/>
    <w:rsid w:val="00CC4AF7"/>
    <w:rsid w:val="00CC4CA6"/>
    <w:rsid w:val="00CC640B"/>
    <w:rsid w:val="00CD09BC"/>
    <w:rsid w:val="00CD1219"/>
    <w:rsid w:val="00CD2A53"/>
    <w:rsid w:val="00CD2DF0"/>
    <w:rsid w:val="00CD3318"/>
    <w:rsid w:val="00CD45CA"/>
    <w:rsid w:val="00CD54EA"/>
    <w:rsid w:val="00CD58CB"/>
    <w:rsid w:val="00CD70F2"/>
    <w:rsid w:val="00CE08F9"/>
    <w:rsid w:val="00CE17B9"/>
    <w:rsid w:val="00CE2005"/>
    <w:rsid w:val="00CE263B"/>
    <w:rsid w:val="00CE2BD6"/>
    <w:rsid w:val="00CE344D"/>
    <w:rsid w:val="00CE3F22"/>
    <w:rsid w:val="00CE47EB"/>
    <w:rsid w:val="00CE5349"/>
    <w:rsid w:val="00CE60CE"/>
    <w:rsid w:val="00CE6658"/>
    <w:rsid w:val="00CE7975"/>
    <w:rsid w:val="00CE7FCD"/>
    <w:rsid w:val="00CF047E"/>
    <w:rsid w:val="00CF3930"/>
    <w:rsid w:val="00CF6A9F"/>
    <w:rsid w:val="00D01310"/>
    <w:rsid w:val="00D02AF3"/>
    <w:rsid w:val="00D02BFF"/>
    <w:rsid w:val="00D041A9"/>
    <w:rsid w:val="00D05392"/>
    <w:rsid w:val="00D060E1"/>
    <w:rsid w:val="00D12299"/>
    <w:rsid w:val="00D22006"/>
    <w:rsid w:val="00D26E0A"/>
    <w:rsid w:val="00D32DF6"/>
    <w:rsid w:val="00D331DB"/>
    <w:rsid w:val="00D34272"/>
    <w:rsid w:val="00D34292"/>
    <w:rsid w:val="00D3479E"/>
    <w:rsid w:val="00D34A02"/>
    <w:rsid w:val="00D35794"/>
    <w:rsid w:val="00D35CCC"/>
    <w:rsid w:val="00D41E13"/>
    <w:rsid w:val="00D42556"/>
    <w:rsid w:val="00D42B3D"/>
    <w:rsid w:val="00D42F5C"/>
    <w:rsid w:val="00D4404C"/>
    <w:rsid w:val="00D44DE2"/>
    <w:rsid w:val="00D44FEF"/>
    <w:rsid w:val="00D46528"/>
    <w:rsid w:val="00D47882"/>
    <w:rsid w:val="00D479BB"/>
    <w:rsid w:val="00D51687"/>
    <w:rsid w:val="00D5204E"/>
    <w:rsid w:val="00D529DF"/>
    <w:rsid w:val="00D535AE"/>
    <w:rsid w:val="00D537B4"/>
    <w:rsid w:val="00D53A24"/>
    <w:rsid w:val="00D54079"/>
    <w:rsid w:val="00D55665"/>
    <w:rsid w:val="00D61C43"/>
    <w:rsid w:val="00D62448"/>
    <w:rsid w:val="00D6523C"/>
    <w:rsid w:val="00D65C76"/>
    <w:rsid w:val="00D65DFE"/>
    <w:rsid w:val="00D671CD"/>
    <w:rsid w:val="00D703DD"/>
    <w:rsid w:val="00D71AA9"/>
    <w:rsid w:val="00D71C54"/>
    <w:rsid w:val="00D724E2"/>
    <w:rsid w:val="00D728C3"/>
    <w:rsid w:val="00D72B75"/>
    <w:rsid w:val="00D72E66"/>
    <w:rsid w:val="00D7321F"/>
    <w:rsid w:val="00D76EDC"/>
    <w:rsid w:val="00D80234"/>
    <w:rsid w:val="00D8042C"/>
    <w:rsid w:val="00D80D2E"/>
    <w:rsid w:val="00D81664"/>
    <w:rsid w:val="00D824CD"/>
    <w:rsid w:val="00D8442B"/>
    <w:rsid w:val="00D8549D"/>
    <w:rsid w:val="00D85BED"/>
    <w:rsid w:val="00D86256"/>
    <w:rsid w:val="00D87F63"/>
    <w:rsid w:val="00D90186"/>
    <w:rsid w:val="00D91AFC"/>
    <w:rsid w:val="00D91E5A"/>
    <w:rsid w:val="00D927D5"/>
    <w:rsid w:val="00D92AC1"/>
    <w:rsid w:val="00D93075"/>
    <w:rsid w:val="00DA061E"/>
    <w:rsid w:val="00DA0CE9"/>
    <w:rsid w:val="00DA145C"/>
    <w:rsid w:val="00DA257C"/>
    <w:rsid w:val="00DA2AC8"/>
    <w:rsid w:val="00DA41D6"/>
    <w:rsid w:val="00DA5ACE"/>
    <w:rsid w:val="00DB0884"/>
    <w:rsid w:val="00DB0999"/>
    <w:rsid w:val="00DB2690"/>
    <w:rsid w:val="00DB2695"/>
    <w:rsid w:val="00DB5E33"/>
    <w:rsid w:val="00DB687B"/>
    <w:rsid w:val="00DB7824"/>
    <w:rsid w:val="00DC05A7"/>
    <w:rsid w:val="00DC0D55"/>
    <w:rsid w:val="00DC128A"/>
    <w:rsid w:val="00DC25F3"/>
    <w:rsid w:val="00DC303B"/>
    <w:rsid w:val="00DC38D7"/>
    <w:rsid w:val="00DC4F70"/>
    <w:rsid w:val="00DC55F4"/>
    <w:rsid w:val="00DC788F"/>
    <w:rsid w:val="00DC7AF3"/>
    <w:rsid w:val="00DD0679"/>
    <w:rsid w:val="00DD1511"/>
    <w:rsid w:val="00DD1919"/>
    <w:rsid w:val="00DD25EE"/>
    <w:rsid w:val="00DD3CB2"/>
    <w:rsid w:val="00DD40F9"/>
    <w:rsid w:val="00DD44AD"/>
    <w:rsid w:val="00DE2E2A"/>
    <w:rsid w:val="00DE382E"/>
    <w:rsid w:val="00DE42C2"/>
    <w:rsid w:val="00DE43E8"/>
    <w:rsid w:val="00DE4642"/>
    <w:rsid w:val="00DE675A"/>
    <w:rsid w:val="00DE72B9"/>
    <w:rsid w:val="00DF3165"/>
    <w:rsid w:val="00DF3193"/>
    <w:rsid w:val="00DF4A96"/>
    <w:rsid w:val="00DF5D07"/>
    <w:rsid w:val="00DF6072"/>
    <w:rsid w:val="00DF6CEE"/>
    <w:rsid w:val="00DF6F87"/>
    <w:rsid w:val="00DF7B99"/>
    <w:rsid w:val="00E003EC"/>
    <w:rsid w:val="00E02191"/>
    <w:rsid w:val="00E02695"/>
    <w:rsid w:val="00E02A3B"/>
    <w:rsid w:val="00E02C55"/>
    <w:rsid w:val="00E03014"/>
    <w:rsid w:val="00E03B65"/>
    <w:rsid w:val="00E05570"/>
    <w:rsid w:val="00E05A7E"/>
    <w:rsid w:val="00E05A8A"/>
    <w:rsid w:val="00E05E59"/>
    <w:rsid w:val="00E066B4"/>
    <w:rsid w:val="00E068EE"/>
    <w:rsid w:val="00E07385"/>
    <w:rsid w:val="00E1052E"/>
    <w:rsid w:val="00E1135D"/>
    <w:rsid w:val="00E11A92"/>
    <w:rsid w:val="00E1420C"/>
    <w:rsid w:val="00E16195"/>
    <w:rsid w:val="00E16E58"/>
    <w:rsid w:val="00E208BF"/>
    <w:rsid w:val="00E20EA5"/>
    <w:rsid w:val="00E213EF"/>
    <w:rsid w:val="00E2222F"/>
    <w:rsid w:val="00E22B24"/>
    <w:rsid w:val="00E22B71"/>
    <w:rsid w:val="00E27A4A"/>
    <w:rsid w:val="00E31444"/>
    <w:rsid w:val="00E318DF"/>
    <w:rsid w:val="00E32165"/>
    <w:rsid w:val="00E3325C"/>
    <w:rsid w:val="00E35AB6"/>
    <w:rsid w:val="00E37661"/>
    <w:rsid w:val="00E408CE"/>
    <w:rsid w:val="00E4261D"/>
    <w:rsid w:val="00E42A5A"/>
    <w:rsid w:val="00E43866"/>
    <w:rsid w:val="00E43A1C"/>
    <w:rsid w:val="00E45861"/>
    <w:rsid w:val="00E4784F"/>
    <w:rsid w:val="00E47E24"/>
    <w:rsid w:val="00E503E4"/>
    <w:rsid w:val="00E509C5"/>
    <w:rsid w:val="00E50AAD"/>
    <w:rsid w:val="00E538D4"/>
    <w:rsid w:val="00E54B76"/>
    <w:rsid w:val="00E54DFD"/>
    <w:rsid w:val="00E57568"/>
    <w:rsid w:val="00E57CA7"/>
    <w:rsid w:val="00E616FE"/>
    <w:rsid w:val="00E631C8"/>
    <w:rsid w:val="00E63541"/>
    <w:rsid w:val="00E64DC7"/>
    <w:rsid w:val="00E66BB2"/>
    <w:rsid w:val="00E70657"/>
    <w:rsid w:val="00E71F05"/>
    <w:rsid w:val="00E7249C"/>
    <w:rsid w:val="00E725B7"/>
    <w:rsid w:val="00E72C9A"/>
    <w:rsid w:val="00E74AE3"/>
    <w:rsid w:val="00E74E2E"/>
    <w:rsid w:val="00E7557F"/>
    <w:rsid w:val="00E75CCF"/>
    <w:rsid w:val="00E76289"/>
    <w:rsid w:val="00E76C4A"/>
    <w:rsid w:val="00E76FC9"/>
    <w:rsid w:val="00E7709A"/>
    <w:rsid w:val="00E7743C"/>
    <w:rsid w:val="00E804EB"/>
    <w:rsid w:val="00E80674"/>
    <w:rsid w:val="00E80BFC"/>
    <w:rsid w:val="00E84107"/>
    <w:rsid w:val="00E843BC"/>
    <w:rsid w:val="00E84F89"/>
    <w:rsid w:val="00E8637B"/>
    <w:rsid w:val="00E87248"/>
    <w:rsid w:val="00E91494"/>
    <w:rsid w:val="00E91C67"/>
    <w:rsid w:val="00E9247F"/>
    <w:rsid w:val="00E92C40"/>
    <w:rsid w:val="00E939EB"/>
    <w:rsid w:val="00E9450F"/>
    <w:rsid w:val="00E959D1"/>
    <w:rsid w:val="00E97B70"/>
    <w:rsid w:val="00EA074A"/>
    <w:rsid w:val="00EA0B00"/>
    <w:rsid w:val="00EA0DB4"/>
    <w:rsid w:val="00EA18A7"/>
    <w:rsid w:val="00EA2C70"/>
    <w:rsid w:val="00EA3E01"/>
    <w:rsid w:val="00EA444C"/>
    <w:rsid w:val="00EA745A"/>
    <w:rsid w:val="00EA7827"/>
    <w:rsid w:val="00EB06D9"/>
    <w:rsid w:val="00EB1CE6"/>
    <w:rsid w:val="00EB38F3"/>
    <w:rsid w:val="00EB3AD0"/>
    <w:rsid w:val="00EB5C24"/>
    <w:rsid w:val="00EB6D66"/>
    <w:rsid w:val="00EB76D2"/>
    <w:rsid w:val="00EC2306"/>
    <w:rsid w:val="00EC3AEE"/>
    <w:rsid w:val="00EC4EFB"/>
    <w:rsid w:val="00EC6ACB"/>
    <w:rsid w:val="00EC6DF7"/>
    <w:rsid w:val="00EC72A8"/>
    <w:rsid w:val="00ED115E"/>
    <w:rsid w:val="00ED2740"/>
    <w:rsid w:val="00ED290F"/>
    <w:rsid w:val="00ED2A2F"/>
    <w:rsid w:val="00ED3575"/>
    <w:rsid w:val="00ED3624"/>
    <w:rsid w:val="00ED3F16"/>
    <w:rsid w:val="00ED4D4D"/>
    <w:rsid w:val="00EE0FCD"/>
    <w:rsid w:val="00EE1097"/>
    <w:rsid w:val="00EE1C77"/>
    <w:rsid w:val="00EE1FFA"/>
    <w:rsid w:val="00EE321A"/>
    <w:rsid w:val="00EE393A"/>
    <w:rsid w:val="00EE3B09"/>
    <w:rsid w:val="00EE58B8"/>
    <w:rsid w:val="00EE5AE9"/>
    <w:rsid w:val="00EE6652"/>
    <w:rsid w:val="00EF0000"/>
    <w:rsid w:val="00EF0430"/>
    <w:rsid w:val="00EF1C8C"/>
    <w:rsid w:val="00EF3E53"/>
    <w:rsid w:val="00EF3F0D"/>
    <w:rsid w:val="00EF4093"/>
    <w:rsid w:val="00EF7504"/>
    <w:rsid w:val="00F03757"/>
    <w:rsid w:val="00F0397E"/>
    <w:rsid w:val="00F03BA4"/>
    <w:rsid w:val="00F0453A"/>
    <w:rsid w:val="00F04F74"/>
    <w:rsid w:val="00F053F6"/>
    <w:rsid w:val="00F066D0"/>
    <w:rsid w:val="00F06D27"/>
    <w:rsid w:val="00F06F12"/>
    <w:rsid w:val="00F07862"/>
    <w:rsid w:val="00F1179E"/>
    <w:rsid w:val="00F11DA9"/>
    <w:rsid w:val="00F14133"/>
    <w:rsid w:val="00F15BC9"/>
    <w:rsid w:val="00F15CA3"/>
    <w:rsid w:val="00F17E00"/>
    <w:rsid w:val="00F21408"/>
    <w:rsid w:val="00F215B3"/>
    <w:rsid w:val="00F21968"/>
    <w:rsid w:val="00F21A28"/>
    <w:rsid w:val="00F22491"/>
    <w:rsid w:val="00F23B73"/>
    <w:rsid w:val="00F2402A"/>
    <w:rsid w:val="00F25619"/>
    <w:rsid w:val="00F3165E"/>
    <w:rsid w:val="00F3257A"/>
    <w:rsid w:val="00F3279D"/>
    <w:rsid w:val="00F335A9"/>
    <w:rsid w:val="00F345ED"/>
    <w:rsid w:val="00F3499F"/>
    <w:rsid w:val="00F3656F"/>
    <w:rsid w:val="00F36AB3"/>
    <w:rsid w:val="00F37E59"/>
    <w:rsid w:val="00F40936"/>
    <w:rsid w:val="00F42C24"/>
    <w:rsid w:val="00F43AB0"/>
    <w:rsid w:val="00F44959"/>
    <w:rsid w:val="00F45D7E"/>
    <w:rsid w:val="00F46C88"/>
    <w:rsid w:val="00F46F95"/>
    <w:rsid w:val="00F47311"/>
    <w:rsid w:val="00F50253"/>
    <w:rsid w:val="00F51A3D"/>
    <w:rsid w:val="00F52432"/>
    <w:rsid w:val="00F53B97"/>
    <w:rsid w:val="00F5425E"/>
    <w:rsid w:val="00F554BE"/>
    <w:rsid w:val="00F5749B"/>
    <w:rsid w:val="00F60637"/>
    <w:rsid w:val="00F60EC3"/>
    <w:rsid w:val="00F6186C"/>
    <w:rsid w:val="00F61EFD"/>
    <w:rsid w:val="00F625CA"/>
    <w:rsid w:val="00F62837"/>
    <w:rsid w:val="00F62A09"/>
    <w:rsid w:val="00F62F02"/>
    <w:rsid w:val="00F639F8"/>
    <w:rsid w:val="00F646CC"/>
    <w:rsid w:val="00F65688"/>
    <w:rsid w:val="00F66407"/>
    <w:rsid w:val="00F66F13"/>
    <w:rsid w:val="00F67665"/>
    <w:rsid w:val="00F679D2"/>
    <w:rsid w:val="00F70672"/>
    <w:rsid w:val="00F729F1"/>
    <w:rsid w:val="00F7326E"/>
    <w:rsid w:val="00F744DE"/>
    <w:rsid w:val="00F746BA"/>
    <w:rsid w:val="00F75B5A"/>
    <w:rsid w:val="00F80759"/>
    <w:rsid w:val="00F8201B"/>
    <w:rsid w:val="00F8271E"/>
    <w:rsid w:val="00F82AE7"/>
    <w:rsid w:val="00F84315"/>
    <w:rsid w:val="00F84A57"/>
    <w:rsid w:val="00F84F78"/>
    <w:rsid w:val="00F85DE5"/>
    <w:rsid w:val="00F868F7"/>
    <w:rsid w:val="00F87D7F"/>
    <w:rsid w:val="00F87E2F"/>
    <w:rsid w:val="00F87EDC"/>
    <w:rsid w:val="00F906FE"/>
    <w:rsid w:val="00F9192D"/>
    <w:rsid w:val="00F91A98"/>
    <w:rsid w:val="00F92AA6"/>
    <w:rsid w:val="00F92E10"/>
    <w:rsid w:val="00F9344C"/>
    <w:rsid w:val="00F95376"/>
    <w:rsid w:val="00F958E6"/>
    <w:rsid w:val="00F95C4D"/>
    <w:rsid w:val="00F95E38"/>
    <w:rsid w:val="00F9702A"/>
    <w:rsid w:val="00FA163B"/>
    <w:rsid w:val="00FA1A6C"/>
    <w:rsid w:val="00FA2C87"/>
    <w:rsid w:val="00FA2DEF"/>
    <w:rsid w:val="00FA485D"/>
    <w:rsid w:val="00FA5AB5"/>
    <w:rsid w:val="00FB082B"/>
    <w:rsid w:val="00FB271E"/>
    <w:rsid w:val="00FB3389"/>
    <w:rsid w:val="00FB47EC"/>
    <w:rsid w:val="00FB5ADE"/>
    <w:rsid w:val="00FB7D1F"/>
    <w:rsid w:val="00FC10BF"/>
    <w:rsid w:val="00FC6EB9"/>
    <w:rsid w:val="00FC76F2"/>
    <w:rsid w:val="00FD09A7"/>
    <w:rsid w:val="00FD20B0"/>
    <w:rsid w:val="00FD2C8D"/>
    <w:rsid w:val="00FD3E85"/>
    <w:rsid w:val="00FD4E5A"/>
    <w:rsid w:val="00FD553E"/>
    <w:rsid w:val="00FD6BA1"/>
    <w:rsid w:val="00FE0B32"/>
    <w:rsid w:val="00FE11A2"/>
    <w:rsid w:val="00FE215F"/>
    <w:rsid w:val="00FE2725"/>
    <w:rsid w:val="00FE550C"/>
    <w:rsid w:val="00FE648C"/>
    <w:rsid w:val="00FE6714"/>
    <w:rsid w:val="00FE6E0C"/>
    <w:rsid w:val="00FE798E"/>
    <w:rsid w:val="00FF18D6"/>
    <w:rsid w:val="00FF5F2A"/>
    <w:rsid w:val="00FF6C03"/>
    <w:rsid w:val="00FF7C62"/>
    <w:rsid w:val="0311858F"/>
    <w:rsid w:val="08660704"/>
    <w:rsid w:val="118691D9"/>
    <w:rsid w:val="174A09A7"/>
    <w:rsid w:val="2690F826"/>
    <w:rsid w:val="32F0AD8F"/>
    <w:rsid w:val="37265BAF"/>
    <w:rsid w:val="3AAEA929"/>
    <w:rsid w:val="44551357"/>
    <w:rsid w:val="5DD07ACC"/>
    <w:rsid w:val="705D517A"/>
    <w:rsid w:val="77511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6324B"/>
    <w:pPr>
      <w:spacing w:before="240" w:after="120"/>
      <w:outlineLvl w:val="0"/>
    </w:pPr>
    <w:rPr>
      <w:b/>
      <w:bCs/>
      <w:color w:val="000000"/>
      <w:kern w:val="36"/>
      <w:sz w:val="33"/>
      <w:szCs w:val="33"/>
    </w:rPr>
  </w:style>
  <w:style w:type="paragraph" w:styleId="Heading2">
    <w:name w:val="heading 2"/>
    <w:basedOn w:val="Normal"/>
    <w:next w:val="Normal"/>
    <w:link w:val="Heading2Char"/>
    <w:uiPriority w:val="9"/>
    <w:unhideWhenUsed/>
    <w:qFormat/>
    <w:rsid w:val="000E6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6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B2FB3"/>
    <w:rPr>
      <w:rFonts w:cs="Times New Roman"/>
      <w:sz w:val="16"/>
      <w:szCs w:val="16"/>
    </w:rPr>
  </w:style>
  <w:style w:type="paragraph" w:styleId="CommentText">
    <w:name w:val="annotation text"/>
    <w:basedOn w:val="Normal"/>
    <w:link w:val="CommentTextChar"/>
    <w:uiPriority w:val="99"/>
    <w:rsid w:val="007B2FB3"/>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7B2F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B2FB3"/>
    <w:rPr>
      <w:rFonts w:ascii="Tahoma" w:hAnsi="Tahoma" w:cs="Tahoma"/>
      <w:sz w:val="16"/>
      <w:szCs w:val="16"/>
    </w:rPr>
  </w:style>
  <w:style w:type="character" w:customStyle="1" w:styleId="BalloonTextChar">
    <w:name w:val="Balloon Text Char"/>
    <w:basedOn w:val="DefaultParagraphFont"/>
    <w:link w:val="BalloonText"/>
    <w:uiPriority w:val="99"/>
    <w:semiHidden/>
    <w:rsid w:val="007B2FB3"/>
    <w:rPr>
      <w:rFonts w:ascii="Tahoma" w:eastAsia="Times New Roman" w:hAnsi="Tahoma" w:cs="Tahoma"/>
      <w:sz w:val="16"/>
      <w:szCs w:val="16"/>
      <w:lang w:eastAsia="en-GB"/>
    </w:rPr>
  </w:style>
  <w:style w:type="paragraph" w:styleId="BodyText">
    <w:name w:val="Body Text"/>
    <w:basedOn w:val="Normal"/>
    <w:link w:val="BodyTextChar"/>
    <w:semiHidden/>
    <w:unhideWhenUsed/>
    <w:rsid w:val="0057756C"/>
    <w:pPr>
      <w:jc w:val="center"/>
    </w:pPr>
    <w:rPr>
      <w:b/>
      <w:bCs/>
      <w:lang w:eastAsia="en-US"/>
    </w:rPr>
  </w:style>
  <w:style w:type="character" w:customStyle="1" w:styleId="BodyTextChar">
    <w:name w:val="Body Text Char"/>
    <w:basedOn w:val="DefaultParagraphFont"/>
    <w:link w:val="BodyText"/>
    <w:semiHidden/>
    <w:rsid w:val="0057756C"/>
    <w:rPr>
      <w:rFonts w:ascii="Times New Roman" w:eastAsia="Times New Roman" w:hAnsi="Times New Roman" w:cs="Times New Roman"/>
      <w:b/>
      <w:bCs/>
      <w:sz w:val="24"/>
      <w:szCs w:val="24"/>
    </w:rPr>
  </w:style>
  <w:style w:type="paragraph" w:styleId="NoSpacing">
    <w:name w:val="No Spacing"/>
    <w:uiPriority w:val="1"/>
    <w:qFormat/>
    <w:rsid w:val="0057756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
    <w:name w:val="bullet1"/>
    <w:basedOn w:val="DefaultParagraphFont"/>
    <w:rsid w:val="004F23C1"/>
  </w:style>
  <w:style w:type="character" w:customStyle="1" w:styleId="smallcaps2">
    <w:name w:val="smallcaps2"/>
    <w:basedOn w:val="DefaultParagraphFont"/>
    <w:rsid w:val="004F23C1"/>
    <w:rPr>
      <w:smallCaps/>
    </w:rPr>
  </w:style>
  <w:style w:type="character" w:customStyle="1" w:styleId="ttitle3">
    <w:name w:val="ttitle3"/>
    <w:basedOn w:val="DefaultParagraphFont"/>
    <w:rsid w:val="004F23C1"/>
    <w:rPr>
      <w:vanish w:val="0"/>
      <w:webHidden w:val="0"/>
      <w:specVanish w:val="0"/>
    </w:rPr>
  </w:style>
  <w:style w:type="character" w:customStyle="1" w:styleId="label6">
    <w:name w:val="label6"/>
    <w:basedOn w:val="DefaultParagraphFont"/>
    <w:rsid w:val="004F23C1"/>
  </w:style>
  <w:style w:type="character" w:styleId="Emphasis">
    <w:name w:val="Emphasis"/>
    <w:basedOn w:val="DefaultParagraphFont"/>
    <w:uiPriority w:val="20"/>
    <w:qFormat/>
    <w:rsid w:val="004F23C1"/>
    <w:rPr>
      <w:i/>
      <w:iCs/>
    </w:rPr>
  </w:style>
  <w:style w:type="character" w:styleId="Hyperlink">
    <w:name w:val="Hyperlink"/>
    <w:basedOn w:val="DefaultParagraphFont"/>
    <w:uiPriority w:val="99"/>
    <w:unhideWhenUsed/>
    <w:rsid w:val="0096229C"/>
    <w:rPr>
      <w:color w:val="0000FF"/>
      <w:u w:val="single"/>
    </w:rPr>
  </w:style>
  <w:style w:type="paragraph" w:customStyle="1" w:styleId="fulltext-abstract">
    <w:name w:val="fulltext-abstract"/>
    <w:basedOn w:val="Normal"/>
    <w:rsid w:val="0096229C"/>
    <w:pPr>
      <w:spacing w:before="100" w:beforeAutospacing="1" w:after="360"/>
    </w:pPr>
  </w:style>
  <w:style w:type="character" w:customStyle="1" w:styleId="fulltext-it">
    <w:name w:val="fulltext-it"/>
    <w:basedOn w:val="DefaultParagraphFont"/>
    <w:rsid w:val="0096229C"/>
  </w:style>
  <w:style w:type="paragraph" w:customStyle="1" w:styleId="fulltext-text">
    <w:name w:val="fulltext-text"/>
    <w:basedOn w:val="Normal"/>
    <w:rsid w:val="0096229C"/>
    <w:pPr>
      <w:spacing w:before="100" w:beforeAutospacing="1" w:after="360"/>
    </w:pPr>
  </w:style>
  <w:style w:type="paragraph" w:styleId="CommentSubject">
    <w:name w:val="annotation subject"/>
    <w:basedOn w:val="CommentText"/>
    <w:next w:val="CommentText"/>
    <w:link w:val="CommentSubjectChar"/>
    <w:uiPriority w:val="99"/>
    <w:semiHidden/>
    <w:unhideWhenUsed/>
    <w:rsid w:val="00E57CA7"/>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E57CA7"/>
    <w:rPr>
      <w:rFonts w:ascii="Times New Roman" w:eastAsia="Times New Roman" w:hAnsi="Times New Roman" w:cs="Times New Roman"/>
      <w:b/>
      <w:bCs/>
      <w:sz w:val="20"/>
      <w:szCs w:val="20"/>
      <w:lang w:eastAsia="en-GB"/>
    </w:rPr>
  </w:style>
  <w:style w:type="character" w:customStyle="1" w:styleId="highlight2">
    <w:name w:val="highlight2"/>
    <w:basedOn w:val="DefaultParagraphFont"/>
    <w:rsid w:val="000D46E1"/>
  </w:style>
  <w:style w:type="paragraph" w:styleId="NormalWeb">
    <w:name w:val="Normal (Web)"/>
    <w:basedOn w:val="Normal"/>
    <w:uiPriority w:val="99"/>
    <w:unhideWhenUsed/>
    <w:rsid w:val="000D46E1"/>
    <w:pPr>
      <w:spacing w:before="100" w:beforeAutospacing="1" w:after="100" w:afterAutospacing="1"/>
    </w:pPr>
  </w:style>
  <w:style w:type="paragraph" w:styleId="Revision">
    <w:name w:val="Revision"/>
    <w:hidden/>
    <w:uiPriority w:val="99"/>
    <w:semiHidden/>
    <w:rsid w:val="00FB47E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E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C532E"/>
  </w:style>
  <w:style w:type="character" w:customStyle="1" w:styleId="jrnl">
    <w:name w:val="jrnl"/>
    <w:basedOn w:val="DefaultParagraphFont"/>
    <w:rsid w:val="009212E3"/>
  </w:style>
  <w:style w:type="character" w:customStyle="1" w:styleId="Heading1Char">
    <w:name w:val="Heading 1 Char"/>
    <w:basedOn w:val="DefaultParagraphFont"/>
    <w:link w:val="Heading1"/>
    <w:uiPriority w:val="9"/>
    <w:rsid w:val="0056324B"/>
    <w:rPr>
      <w:rFonts w:ascii="Times New Roman" w:eastAsia="Times New Roman" w:hAnsi="Times New Roman" w:cs="Times New Roman"/>
      <w:b/>
      <w:bCs/>
      <w:color w:val="000000"/>
      <w:kern w:val="36"/>
      <w:sz w:val="33"/>
      <w:szCs w:val="33"/>
      <w:lang w:eastAsia="en-GB"/>
    </w:rPr>
  </w:style>
  <w:style w:type="character" w:customStyle="1" w:styleId="maintitle">
    <w:name w:val="maintitle"/>
    <w:basedOn w:val="DefaultParagraphFont"/>
    <w:rsid w:val="0056324B"/>
  </w:style>
  <w:style w:type="paragraph" w:styleId="Header">
    <w:name w:val="header"/>
    <w:basedOn w:val="Normal"/>
    <w:link w:val="HeaderChar"/>
    <w:uiPriority w:val="99"/>
    <w:unhideWhenUsed/>
    <w:rsid w:val="00F61EFD"/>
    <w:pPr>
      <w:tabs>
        <w:tab w:val="center" w:pos="4513"/>
        <w:tab w:val="right" w:pos="9026"/>
      </w:tabs>
    </w:pPr>
  </w:style>
  <w:style w:type="character" w:customStyle="1" w:styleId="HeaderChar">
    <w:name w:val="Header Char"/>
    <w:basedOn w:val="DefaultParagraphFont"/>
    <w:link w:val="Header"/>
    <w:uiPriority w:val="99"/>
    <w:rsid w:val="00F61EFD"/>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61EFD"/>
    <w:pPr>
      <w:tabs>
        <w:tab w:val="center" w:pos="4513"/>
        <w:tab w:val="right" w:pos="9026"/>
      </w:tabs>
    </w:pPr>
  </w:style>
  <w:style w:type="character" w:customStyle="1" w:styleId="FooterChar">
    <w:name w:val="Footer Char"/>
    <w:basedOn w:val="DefaultParagraphFont"/>
    <w:link w:val="Footer"/>
    <w:uiPriority w:val="99"/>
    <w:semiHidden/>
    <w:rsid w:val="00F61EFD"/>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C55F4"/>
  </w:style>
  <w:style w:type="character" w:customStyle="1" w:styleId="interref">
    <w:name w:val="interref"/>
    <w:basedOn w:val="DefaultParagraphFont"/>
    <w:rsid w:val="0038724E"/>
  </w:style>
  <w:style w:type="character" w:customStyle="1" w:styleId="Heading4Char">
    <w:name w:val="Heading 4 Char"/>
    <w:basedOn w:val="DefaultParagraphFont"/>
    <w:link w:val="Heading4"/>
    <w:uiPriority w:val="9"/>
    <w:rsid w:val="00F066D0"/>
    <w:rPr>
      <w:rFonts w:asciiTheme="majorHAnsi" w:eastAsiaTheme="majorEastAsia" w:hAnsiTheme="majorHAnsi" w:cstheme="majorBidi"/>
      <w:b/>
      <w:bCs/>
      <w:i/>
      <w:iCs/>
      <w:color w:val="4F81BD" w:themeColor="accent1"/>
      <w:sz w:val="24"/>
      <w:szCs w:val="24"/>
      <w:lang w:eastAsia="en-GB"/>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rsid w:val="000E6A38"/>
    <w:rPr>
      <w:rFonts w:asciiTheme="majorHAnsi" w:eastAsiaTheme="majorEastAsia" w:hAnsiTheme="majorHAnsi" w:cstheme="majorBidi"/>
      <w:b/>
      <w:bCs/>
      <w:color w:val="4F81BD" w:themeColor="accent1"/>
      <w:sz w:val="26"/>
      <w:szCs w:val="2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35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56324B"/>
    <w:pPr>
      <w:spacing w:before="240" w:after="120"/>
      <w:outlineLvl w:val="0"/>
    </w:pPr>
    <w:rPr>
      <w:b/>
      <w:bCs/>
      <w:color w:val="000000"/>
      <w:kern w:val="36"/>
      <w:sz w:val="33"/>
      <w:szCs w:val="33"/>
    </w:rPr>
  </w:style>
  <w:style w:type="paragraph" w:styleId="Heading2">
    <w:name w:val="heading 2"/>
    <w:basedOn w:val="Normal"/>
    <w:next w:val="Normal"/>
    <w:link w:val="Heading2Char"/>
    <w:uiPriority w:val="9"/>
    <w:unhideWhenUsed/>
    <w:qFormat/>
    <w:rsid w:val="000E6A3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1B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066D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B2FB3"/>
    <w:rPr>
      <w:rFonts w:cs="Times New Roman"/>
      <w:sz w:val="16"/>
      <w:szCs w:val="16"/>
    </w:rPr>
  </w:style>
  <w:style w:type="paragraph" w:styleId="CommentText">
    <w:name w:val="annotation text"/>
    <w:basedOn w:val="Normal"/>
    <w:link w:val="CommentTextChar"/>
    <w:uiPriority w:val="99"/>
    <w:rsid w:val="007B2FB3"/>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7B2F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B2FB3"/>
    <w:rPr>
      <w:rFonts w:ascii="Tahoma" w:hAnsi="Tahoma" w:cs="Tahoma"/>
      <w:sz w:val="16"/>
      <w:szCs w:val="16"/>
    </w:rPr>
  </w:style>
  <w:style w:type="character" w:customStyle="1" w:styleId="BalloonTextChar">
    <w:name w:val="Balloon Text Char"/>
    <w:basedOn w:val="DefaultParagraphFont"/>
    <w:link w:val="BalloonText"/>
    <w:uiPriority w:val="99"/>
    <w:semiHidden/>
    <w:rsid w:val="007B2FB3"/>
    <w:rPr>
      <w:rFonts w:ascii="Tahoma" w:eastAsia="Times New Roman" w:hAnsi="Tahoma" w:cs="Tahoma"/>
      <w:sz w:val="16"/>
      <w:szCs w:val="16"/>
      <w:lang w:eastAsia="en-GB"/>
    </w:rPr>
  </w:style>
  <w:style w:type="paragraph" w:styleId="BodyText">
    <w:name w:val="Body Text"/>
    <w:basedOn w:val="Normal"/>
    <w:link w:val="BodyTextChar"/>
    <w:semiHidden/>
    <w:unhideWhenUsed/>
    <w:rsid w:val="0057756C"/>
    <w:pPr>
      <w:jc w:val="center"/>
    </w:pPr>
    <w:rPr>
      <w:b/>
      <w:bCs/>
      <w:lang w:eastAsia="en-US"/>
    </w:rPr>
  </w:style>
  <w:style w:type="character" w:customStyle="1" w:styleId="BodyTextChar">
    <w:name w:val="Body Text Char"/>
    <w:basedOn w:val="DefaultParagraphFont"/>
    <w:link w:val="BodyText"/>
    <w:semiHidden/>
    <w:rsid w:val="0057756C"/>
    <w:rPr>
      <w:rFonts w:ascii="Times New Roman" w:eastAsia="Times New Roman" w:hAnsi="Times New Roman" w:cs="Times New Roman"/>
      <w:b/>
      <w:bCs/>
      <w:sz w:val="24"/>
      <w:szCs w:val="24"/>
    </w:rPr>
  </w:style>
  <w:style w:type="paragraph" w:styleId="NoSpacing">
    <w:name w:val="No Spacing"/>
    <w:uiPriority w:val="1"/>
    <w:qFormat/>
    <w:rsid w:val="0057756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C0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
    <w:name w:val="bullet1"/>
    <w:basedOn w:val="DefaultParagraphFont"/>
    <w:rsid w:val="004F23C1"/>
  </w:style>
  <w:style w:type="character" w:customStyle="1" w:styleId="smallcaps2">
    <w:name w:val="smallcaps2"/>
    <w:basedOn w:val="DefaultParagraphFont"/>
    <w:rsid w:val="004F23C1"/>
    <w:rPr>
      <w:smallCaps/>
    </w:rPr>
  </w:style>
  <w:style w:type="character" w:customStyle="1" w:styleId="ttitle3">
    <w:name w:val="ttitle3"/>
    <w:basedOn w:val="DefaultParagraphFont"/>
    <w:rsid w:val="004F23C1"/>
    <w:rPr>
      <w:vanish w:val="0"/>
      <w:webHidden w:val="0"/>
      <w:specVanish w:val="0"/>
    </w:rPr>
  </w:style>
  <w:style w:type="character" w:customStyle="1" w:styleId="label6">
    <w:name w:val="label6"/>
    <w:basedOn w:val="DefaultParagraphFont"/>
    <w:rsid w:val="004F23C1"/>
  </w:style>
  <w:style w:type="character" w:styleId="Emphasis">
    <w:name w:val="Emphasis"/>
    <w:basedOn w:val="DefaultParagraphFont"/>
    <w:uiPriority w:val="20"/>
    <w:qFormat/>
    <w:rsid w:val="004F23C1"/>
    <w:rPr>
      <w:i/>
      <w:iCs/>
    </w:rPr>
  </w:style>
  <w:style w:type="character" w:styleId="Hyperlink">
    <w:name w:val="Hyperlink"/>
    <w:basedOn w:val="DefaultParagraphFont"/>
    <w:uiPriority w:val="99"/>
    <w:unhideWhenUsed/>
    <w:rsid w:val="0096229C"/>
    <w:rPr>
      <w:color w:val="0000FF"/>
      <w:u w:val="single"/>
    </w:rPr>
  </w:style>
  <w:style w:type="paragraph" w:customStyle="1" w:styleId="fulltext-abstract">
    <w:name w:val="fulltext-abstract"/>
    <w:basedOn w:val="Normal"/>
    <w:rsid w:val="0096229C"/>
    <w:pPr>
      <w:spacing w:before="100" w:beforeAutospacing="1" w:after="360"/>
    </w:pPr>
  </w:style>
  <w:style w:type="character" w:customStyle="1" w:styleId="fulltext-it">
    <w:name w:val="fulltext-it"/>
    <w:basedOn w:val="DefaultParagraphFont"/>
    <w:rsid w:val="0096229C"/>
  </w:style>
  <w:style w:type="paragraph" w:customStyle="1" w:styleId="fulltext-text">
    <w:name w:val="fulltext-text"/>
    <w:basedOn w:val="Normal"/>
    <w:rsid w:val="0096229C"/>
    <w:pPr>
      <w:spacing w:before="100" w:beforeAutospacing="1" w:after="360"/>
    </w:pPr>
  </w:style>
  <w:style w:type="paragraph" w:styleId="CommentSubject">
    <w:name w:val="annotation subject"/>
    <w:basedOn w:val="CommentText"/>
    <w:next w:val="CommentText"/>
    <w:link w:val="CommentSubjectChar"/>
    <w:uiPriority w:val="99"/>
    <w:semiHidden/>
    <w:unhideWhenUsed/>
    <w:rsid w:val="00E57CA7"/>
    <w:pPr>
      <w:spacing w:after="0"/>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E57CA7"/>
    <w:rPr>
      <w:rFonts w:ascii="Times New Roman" w:eastAsia="Times New Roman" w:hAnsi="Times New Roman" w:cs="Times New Roman"/>
      <w:b/>
      <w:bCs/>
      <w:sz w:val="20"/>
      <w:szCs w:val="20"/>
      <w:lang w:eastAsia="en-GB"/>
    </w:rPr>
  </w:style>
  <w:style w:type="character" w:customStyle="1" w:styleId="highlight2">
    <w:name w:val="highlight2"/>
    <w:basedOn w:val="DefaultParagraphFont"/>
    <w:rsid w:val="000D46E1"/>
  </w:style>
  <w:style w:type="paragraph" w:styleId="NormalWeb">
    <w:name w:val="Normal (Web)"/>
    <w:basedOn w:val="Normal"/>
    <w:uiPriority w:val="99"/>
    <w:unhideWhenUsed/>
    <w:rsid w:val="000D46E1"/>
    <w:pPr>
      <w:spacing w:before="100" w:beforeAutospacing="1" w:after="100" w:afterAutospacing="1"/>
    </w:pPr>
  </w:style>
  <w:style w:type="paragraph" w:styleId="Revision">
    <w:name w:val="Revision"/>
    <w:hidden/>
    <w:uiPriority w:val="99"/>
    <w:semiHidden/>
    <w:rsid w:val="00FB47EC"/>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3E53"/>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5C532E"/>
  </w:style>
  <w:style w:type="character" w:customStyle="1" w:styleId="jrnl">
    <w:name w:val="jrnl"/>
    <w:basedOn w:val="DefaultParagraphFont"/>
    <w:rsid w:val="009212E3"/>
  </w:style>
  <w:style w:type="character" w:customStyle="1" w:styleId="Heading1Char">
    <w:name w:val="Heading 1 Char"/>
    <w:basedOn w:val="DefaultParagraphFont"/>
    <w:link w:val="Heading1"/>
    <w:uiPriority w:val="9"/>
    <w:rsid w:val="0056324B"/>
    <w:rPr>
      <w:rFonts w:ascii="Times New Roman" w:eastAsia="Times New Roman" w:hAnsi="Times New Roman" w:cs="Times New Roman"/>
      <w:b/>
      <w:bCs/>
      <w:color w:val="000000"/>
      <w:kern w:val="36"/>
      <w:sz w:val="33"/>
      <w:szCs w:val="33"/>
      <w:lang w:eastAsia="en-GB"/>
    </w:rPr>
  </w:style>
  <w:style w:type="character" w:customStyle="1" w:styleId="maintitle">
    <w:name w:val="maintitle"/>
    <w:basedOn w:val="DefaultParagraphFont"/>
    <w:rsid w:val="0056324B"/>
  </w:style>
  <w:style w:type="paragraph" w:styleId="Header">
    <w:name w:val="header"/>
    <w:basedOn w:val="Normal"/>
    <w:link w:val="HeaderChar"/>
    <w:uiPriority w:val="99"/>
    <w:unhideWhenUsed/>
    <w:rsid w:val="00F61EFD"/>
    <w:pPr>
      <w:tabs>
        <w:tab w:val="center" w:pos="4513"/>
        <w:tab w:val="right" w:pos="9026"/>
      </w:tabs>
    </w:pPr>
  </w:style>
  <w:style w:type="character" w:customStyle="1" w:styleId="HeaderChar">
    <w:name w:val="Header Char"/>
    <w:basedOn w:val="DefaultParagraphFont"/>
    <w:link w:val="Header"/>
    <w:uiPriority w:val="99"/>
    <w:rsid w:val="00F61EFD"/>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F61EFD"/>
    <w:pPr>
      <w:tabs>
        <w:tab w:val="center" w:pos="4513"/>
        <w:tab w:val="right" w:pos="9026"/>
      </w:tabs>
    </w:pPr>
  </w:style>
  <w:style w:type="character" w:customStyle="1" w:styleId="FooterChar">
    <w:name w:val="Footer Char"/>
    <w:basedOn w:val="DefaultParagraphFont"/>
    <w:link w:val="Footer"/>
    <w:uiPriority w:val="99"/>
    <w:semiHidden/>
    <w:rsid w:val="00F61EFD"/>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DC55F4"/>
  </w:style>
  <w:style w:type="character" w:customStyle="1" w:styleId="interref">
    <w:name w:val="interref"/>
    <w:basedOn w:val="DefaultParagraphFont"/>
    <w:rsid w:val="0038724E"/>
  </w:style>
  <w:style w:type="character" w:customStyle="1" w:styleId="Heading4Char">
    <w:name w:val="Heading 4 Char"/>
    <w:basedOn w:val="DefaultParagraphFont"/>
    <w:link w:val="Heading4"/>
    <w:uiPriority w:val="9"/>
    <w:rsid w:val="00F066D0"/>
    <w:rPr>
      <w:rFonts w:asciiTheme="majorHAnsi" w:eastAsiaTheme="majorEastAsia" w:hAnsiTheme="majorHAnsi" w:cstheme="majorBidi"/>
      <w:b/>
      <w:bCs/>
      <w:i/>
      <w:iCs/>
      <w:color w:val="4F81BD" w:themeColor="accent1"/>
      <w:sz w:val="24"/>
      <w:szCs w:val="24"/>
      <w:lang w:eastAsia="en-GB"/>
    </w:rPr>
  </w:style>
  <w:style w:type="character" w:customStyle="1" w:styleId="Heading3Char">
    <w:name w:val="Heading 3 Char"/>
    <w:basedOn w:val="DefaultParagraphFont"/>
    <w:link w:val="Heading3"/>
    <w:uiPriority w:val="9"/>
    <w:semiHidden/>
    <w:rsid w:val="00041B54"/>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rsid w:val="000E6A38"/>
    <w:rPr>
      <w:rFonts w:asciiTheme="majorHAnsi" w:eastAsiaTheme="majorEastAsia" w:hAnsiTheme="majorHAnsi" w:cstheme="majorBidi"/>
      <w:b/>
      <w:bCs/>
      <w:color w:val="4F81BD" w:themeColor="accent1"/>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46112">
      <w:bodyDiv w:val="1"/>
      <w:marLeft w:val="0"/>
      <w:marRight w:val="0"/>
      <w:marTop w:val="0"/>
      <w:marBottom w:val="0"/>
      <w:divBdr>
        <w:top w:val="none" w:sz="0" w:space="0" w:color="auto"/>
        <w:left w:val="none" w:sz="0" w:space="0" w:color="auto"/>
        <w:bottom w:val="none" w:sz="0" w:space="0" w:color="auto"/>
        <w:right w:val="none" w:sz="0" w:space="0" w:color="auto"/>
      </w:divBdr>
      <w:divsChild>
        <w:div w:id="962539887">
          <w:marLeft w:val="0"/>
          <w:marRight w:val="1"/>
          <w:marTop w:val="0"/>
          <w:marBottom w:val="0"/>
          <w:divBdr>
            <w:top w:val="none" w:sz="0" w:space="0" w:color="auto"/>
            <w:left w:val="none" w:sz="0" w:space="0" w:color="auto"/>
            <w:bottom w:val="none" w:sz="0" w:space="0" w:color="auto"/>
            <w:right w:val="none" w:sz="0" w:space="0" w:color="auto"/>
          </w:divBdr>
          <w:divsChild>
            <w:div w:id="1283877477">
              <w:marLeft w:val="0"/>
              <w:marRight w:val="0"/>
              <w:marTop w:val="0"/>
              <w:marBottom w:val="0"/>
              <w:divBdr>
                <w:top w:val="none" w:sz="0" w:space="0" w:color="auto"/>
                <w:left w:val="none" w:sz="0" w:space="0" w:color="auto"/>
                <w:bottom w:val="none" w:sz="0" w:space="0" w:color="auto"/>
                <w:right w:val="none" w:sz="0" w:space="0" w:color="auto"/>
              </w:divBdr>
              <w:divsChild>
                <w:div w:id="1233463804">
                  <w:marLeft w:val="0"/>
                  <w:marRight w:val="1"/>
                  <w:marTop w:val="0"/>
                  <w:marBottom w:val="0"/>
                  <w:divBdr>
                    <w:top w:val="none" w:sz="0" w:space="0" w:color="auto"/>
                    <w:left w:val="none" w:sz="0" w:space="0" w:color="auto"/>
                    <w:bottom w:val="none" w:sz="0" w:space="0" w:color="auto"/>
                    <w:right w:val="none" w:sz="0" w:space="0" w:color="auto"/>
                  </w:divBdr>
                  <w:divsChild>
                    <w:div w:id="569583821">
                      <w:marLeft w:val="0"/>
                      <w:marRight w:val="0"/>
                      <w:marTop w:val="0"/>
                      <w:marBottom w:val="0"/>
                      <w:divBdr>
                        <w:top w:val="none" w:sz="0" w:space="0" w:color="auto"/>
                        <w:left w:val="none" w:sz="0" w:space="0" w:color="auto"/>
                        <w:bottom w:val="none" w:sz="0" w:space="0" w:color="auto"/>
                        <w:right w:val="none" w:sz="0" w:space="0" w:color="auto"/>
                      </w:divBdr>
                      <w:divsChild>
                        <w:div w:id="2131237854">
                          <w:marLeft w:val="0"/>
                          <w:marRight w:val="0"/>
                          <w:marTop w:val="0"/>
                          <w:marBottom w:val="0"/>
                          <w:divBdr>
                            <w:top w:val="none" w:sz="0" w:space="0" w:color="auto"/>
                            <w:left w:val="none" w:sz="0" w:space="0" w:color="auto"/>
                            <w:bottom w:val="none" w:sz="0" w:space="0" w:color="auto"/>
                            <w:right w:val="none" w:sz="0" w:space="0" w:color="auto"/>
                          </w:divBdr>
                          <w:divsChild>
                            <w:div w:id="889732414">
                              <w:marLeft w:val="0"/>
                              <w:marRight w:val="0"/>
                              <w:marTop w:val="120"/>
                              <w:marBottom w:val="360"/>
                              <w:divBdr>
                                <w:top w:val="none" w:sz="0" w:space="0" w:color="auto"/>
                                <w:left w:val="none" w:sz="0" w:space="0" w:color="auto"/>
                                <w:bottom w:val="none" w:sz="0" w:space="0" w:color="auto"/>
                                <w:right w:val="none" w:sz="0" w:space="0" w:color="auto"/>
                              </w:divBdr>
                              <w:divsChild>
                                <w:div w:id="1372148980">
                                  <w:marLeft w:val="0"/>
                                  <w:marRight w:val="0"/>
                                  <w:marTop w:val="0"/>
                                  <w:marBottom w:val="0"/>
                                  <w:divBdr>
                                    <w:top w:val="none" w:sz="0" w:space="0" w:color="auto"/>
                                    <w:left w:val="none" w:sz="0" w:space="0" w:color="auto"/>
                                    <w:bottom w:val="none" w:sz="0" w:space="0" w:color="auto"/>
                                    <w:right w:val="none" w:sz="0" w:space="0" w:color="auto"/>
                                  </w:divBdr>
                                  <w:divsChild>
                                    <w:div w:id="17198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986083">
      <w:bodyDiv w:val="1"/>
      <w:marLeft w:val="0"/>
      <w:marRight w:val="0"/>
      <w:marTop w:val="100"/>
      <w:marBottom w:val="100"/>
      <w:divBdr>
        <w:top w:val="none" w:sz="0" w:space="0" w:color="auto"/>
        <w:left w:val="none" w:sz="0" w:space="0" w:color="auto"/>
        <w:bottom w:val="none" w:sz="0" w:space="0" w:color="auto"/>
        <w:right w:val="none" w:sz="0" w:space="0" w:color="auto"/>
      </w:divBdr>
      <w:divsChild>
        <w:div w:id="1339233682">
          <w:marLeft w:val="0"/>
          <w:marRight w:val="0"/>
          <w:marTop w:val="0"/>
          <w:marBottom w:val="0"/>
          <w:divBdr>
            <w:top w:val="none" w:sz="0" w:space="0" w:color="auto"/>
            <w:left w:val="none" w:sz="0" w:space="0" w:color="auto"/>
            <w:bottom w:val="none" w:sz="0" w:space="0" w:color="auto"/>
            <w:right w:val="none" w:sz="0" w:space="0" w:color="auto"/>
          </w:divBdr>
          <w:divsChild>
            <w:div w:id="1423797865">
              <w:marLeft w:val="0"/>
              <w:marRight w:val="0"/>
              <w:marTop w:val="0"/>
              <w:marBottom w:val="0"/>
              <w:divBdr>
                <w:top w:val="none" w:sz="0" w:space="0" w:color="auto"/>
                <w:left w:val="none" w:sz="0" w:space="0" w:color="auto"/>
                <w:bottom w:val="none" w:sz="0" w:space="0" w:color="auto"/>
                <w:right w:val="none" w:sz="0" w:space="0" w:color="auto"/>
              </w:divBdr>
              <w:divsChild>
                <w:div w:id="10490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95998">
      <w:bodyDiv w:val="1"/>
      <w:marLeft w:val="0"/>
      <w:marRight w:val="0"/>
      <w:marTop w:val="0"/>
      <w:marBottom w:val="0"/>
      <w:divBdr>
        <w:top w:val="none" w:sz="0" w:space="0" w:color="auto"/>
        <w:left w:val="none" w:sz="0" w:space="0" w:color="auto"/>
        <w:bottom w:val="none" w:sz="0" w:space="0" w:color="auto"/>
        <w:right w:val="none" w:sz="0" w:space="0" w:color="auto"/>
      </w:divBdr>
      <w:divsChild>
        <w:div w:id="333387725">
          <w:marLeft w:val="0"/>
          <w:marRight w:val="0"/>
          <w:marTop w:val="0"/>
          <w:marBottom w:val="0"/>
          <w:divBdr>
            <w:top w:val="none" w:sz="0" w:space="0" w:color="auto"/>
            <w:left w:val="none" w:sz="0" w:space="0" w:color="auto"/>
            <w:bottom w:val="none" w:sz="0" w:space="0" w:color="auto"/>
            <w:right w:val="none" w:sz="0" w:space="0" w:color="auto"/>
          </w:divBdr>
          <w:divsChild>
            <w:div w:id="1991976716">
              <w:marLeft w:val="0"/>
              <w:marRight w:val="0"/>
              <w:marTop w:val="0"/>
              <w:marBottom w:val="0"/>
              <w:divBdr>
                <w:top w:val="none" w:sz="0" w:space="0" w:color="auto"/>
                <w:left w:val="none" w:sz="0" w:space="0" w:color="auto"/>
                <w:bottom w:val="none" w:sz="0" w:space="0" w:color="auto"/>
                <w:right w:val="none" w:sz="0" w:space="0" w:color="auto"/>
              </w:divBdr>
              <w:divsChild>
                <w:div w:id="394662853">
                  <w:marLeft w:val="0"/>
                  <w:marRight w:val="0"/>
                  <w:marTop w:val="0"/>
                  <w:marBottom w:val="0"/>
                  <w:divBdr>
                    <w:top w:val="none" w:sz="0" w:space="0" w:color="auto"/>
                    <w:left w:val="none" w:sz="0" w:space="0" w:color="auto"/>
                    <w:bottom w:val="none" w:sz="0" w:space="0" w:color="auto"/>
                    <w:right w:val="none" w:sz="0" w:space="0" w:color="auto"/>
                  </w:divBdr>
                  <w:divsChild>
                    <w:div w:id="584994976">
                      <w:marLeft w:val="0"/>
                      <w:marRight w:val="0"/>
                      <w:marTop w:val="0"/>
                      <w:marBottom w:val="0"/>
                      <w:divBdr>
                        <w:top w:val="none" w:sz="0" w:space="0" w:color="auto"/>
                        <w:left w:val="none" w:sz="0" w:space="0" w:color="auto"/>
                        <w:bottom w:val="none" w:sz="0" w:space="0" w:color="auto"/>
                        <w:right w:val="none" w:sz="0" w:space="0" w:color="auto"/>
                      </w:divBdr>
                      <w:divsChild>
                        <w:div w:id="1282221600">
                          <w:marLeft w:val="0"/>
                          <w:marRight w:val="0"/>
                          <w:marTop w:val="0"/>
                          <w:marBottom w:val="0"/>
                          <w:divBdr>
                            <w:top w:val="none" w:sz="0" w:space="0" w:color="auto"/>
                            <w:left w:val="none" w:sz="0" w:space="0" w:color="auto"/>
                            <w:bottom w:val="none" w:sz="0" w:space="0" w:color="auto"/>
                            <w:right w:val="none" w:sz="0" w:space="0" w:color="auto"/>
                          </w:divBdr>
                          <w:divsChild>
                            <w:div w:id="1925142900">
                              <w:marLeft w:val="0"/>
                              <w:marRight w:val="0"/>
                              <w:marTop w:val="0"/>
                              <w:marBottom w:val="0"/>
                              <w:divBdr>
                                <w:top w:val="none" w:sz="0" w:space="0" w:color="auto"/>
                                <w:left w:val="none" w:sz="0" w:space="0" w:color="auto"/>
                                <w:bottom w:val="none" w:sz="0" w:space="0" w:color="auto"/>
                                <w:right w:val="none" w:sz="0" w:space="0" w:color="auto"/>
                              </w:divBdr>
                              <w:divsChild>
                                <w:div w:id="523401401">
                                  <w:marLeft w:val="0"/>
                                  <w:marRight w:val="0"/>
                                  <w:marTop w:val="0"/>
                                  <w:marBottom w:val="0"/>
                                  <w:divBdr>
                                    <w:top w:val="none" w:sz="0" w:space="0" w:color="auto"/>
                                    <w:left w:val="none" w:sz="0" w:space="0" w:color="auto"/>
                                    <w:bottom w:val="none" w:sz="0" w:space="0" w:color="auto"/>
                                    <w:right w:val="none" w:sz="0" w:space="0" w:color="auto"/>
                                  </w:divBdr>
                                  <w:divsChild>
                                    <w:div w:id="515773337">
                                      <w:marLeft w:val="0"/>
                                      <w:marRight w:val="0"/>
                                      <w:marTop w:val="0"/>
                                      <w:marBottom w:val="0"/>
                                      <w:divBdr>
                                        <w:top w:val="none" w:sz="0" w:space="0" w:color="auto"/>
                                        <w:left w:val="none" w:sz="0" w:space="0" w:color="auto"/>
                                        <w:bottom w:val="none" w:sz="0" w:space="0" w:color="auto"/>
                                        <w:right w:val="none" w:sz="0" w:space="0" w:color="auto"/>
                                      </w:divBdr>
                                    </w:div>
                                    <w:div w:id="1746029629">
                                      <w:marLeft w:val="0"/>
                                      <w:marRight w:val="0"/>
                                      <w:marTop w:val="0"/>
                                      <w:marBottom w:val="0"/>
                                      <w:divBdr>
                                        <w:top w:val="none" w:sz="0" w:space="0" w:color="auto"/>
                                        <w:left w:val="none" w:sz="0" w:space="0" w:color="auto"/>
                                        <w:bottom w:val="none" w:sz="0" w:space="0" w:color="auto"/>
                                        <w:right w:val="none" w:sz="0" w:space="0" w:color="auto"/>
                                      </w:divBdr>
                                    </w:div>
                                    <w:div w:id="1485926781">
                                      <w:marLeft w:val="0"/>
                                      <w:marRight w:val="0"/>
                                      <w:marTop w:val="0"/>
                                      <w:marBottom w:val="0"/>
                                      <w:divBdr>
                                        <w:top w:val="none" w:sz="0" w:space="0" w:color="auto"/>
                                        <w:left w:val="none" w:sz="0" w:space="0" w:color="auto"/>
                                        <w:bottom w:val="none" w:sz="0" w:space="0" w:color="auto"/>
                                        <w:right w:val="none" w:sz="0" w:space="0" w:color="auto"/>
                                      </w:divBdr>
                                    </w:div>
                                    <w:div w:id="19921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02431">
      <w:bodyDiv w:val="1"/>
      <w:marLeft w:val="0"/>
      <w:marRight w:val="0"/>
      <w:marTop w:val="0"/>
      <w:marBottom w:val="0"/>
      <w:divBdr>
        <w:top w:val="none" w:sz="0" w:space="0" w:color="auto"/>
        <w:left w:val="none" w:sz="0" w:space="0" w:color="auto"/>
        <w:bottom w:val="none" w:sz="0" w:space="0" w:color="auto"/>
        <w:right w:val="none" w:sz="0" w:space="0" w:color="auto"/>
      </w:divBdr>
      <w:divsChild>
        <w:div w:id="751393936">
          <w:marLeft w:val="0"/>
          <w:marRight w:val="1"/>
          <w:marTop w:val="0"/>
          <w:marBottom w:val="0"/>
          <w:divBdr>
            <w:top w:val="none" w:sz="0" w:space="0" w:color="auto"/>
            <w:left w:val="none" w:sz="0" w:space="0" w:color="auto"/>
            <w:bottom w:val="none" w:sz="0" w:space="0" w:color="auto"/>
            <w:right w:val="none" w:sz="0" w:space="0" w:color="auto"/>
          </w:divBdr>
          <w:divsChild>
            <w:div w:id="908006509">
              <w:marLeft w:val="0"/>
              <w:marRight w:val="0"/>
              <w:marTop w:val="0"/>
              <w:marBottom w:val="0"/>
              <w:divBdr>
                <w:top w:val="none" w:sz="0" w:space="0" w:color="auto"/>
                <w:left w:val="none" w:sz="0" w:space="0" w:color="auto"/>
                <w:bottom w:val="none" w:sz="0" w:space="0" w:color="auto"/>
                <w:right w:val="none" w:sz="0" w:space="0" w:color="auto"/>
              </w:divBdr>
              <w:divsChild>
                <w:div w:id="2133356777">
                  <w:marLeft w:val="0"/>
                  <w:marRight w:val="1"/>
                  <w:marTop w:val="0"/>
                  <w:marBottom w:val="0"/>
                  <w:divBdr>
                    <w:top w:val="none" w:sz="0" w:space="0" w:color="auto"/>
                    <w:left w:val="none" w:sz="0" w:space="0" w:color="auto"/>
                    <w:bottom w:val="none" w:sz="0" w:space="0" w:color="auto"/>
                    <w:right w:val="none" w:sz="0" w:space="0" w:color="auto"/>
                  </w:divBdr>
                  <w:divsChild>
                    <w:div w:id="392700330">
                      <w:marLeft w:val="0"/>
                      <w:marRight w:val="0"/>
                      <w:marTop w:val="0"/>
                      <w:marBottom w:val="0"/>
                      <w:divBdr>
                        <w:top w:val="none" w:sz="0" w:space="0" w:color="auto"/>
                        <w:left w:val="none" w:sz="0" w:space="0" w:color="auto"/>
                        <w:bottom w:val="none" w:sz="0" w:space="0" w:color="auto"/>
                        <w:right w:val="none" w:sz="0" w:space="0" w:color="auto"/>
                      </w:divBdr>
                      <w:divsChild>
                        <w:div w:id="42603228">
                          <w:marLeft w:val="0"/>
                          <w:marRight w:val="0"/>
                          <w:marTop w:val="0"/>
                          <w:marBottom w:val="0"/>
                          <w:divBdr>
                            <w:top w:val="none" w:sz="0" w:space="0" w:color="auto"/>
                            <w:left w:val="none" w:sz="0" w:space="0" w:color="auto"/>
                            <w:bottom w:val="none" w:sz="0" w:space="0" w:color="auto"/>
                            <w:right w:val="none" w:sz="0" w:space="0" w:color="auto"/>
                          </w:divBdr>
                          <w:divsChild>
                            <w:div w:id="472717504">
                              <w:marLeft w:val="0"/>
                              <w:marRight w:val="0"/>
                              <w:marTop w:val="120"/>
                              <w:marBottom w:val="360"/>
                              <w:divBdr>
                                <w:top w:val="none" w:sz="0" w:space="0" w:color="auto"/>
                                <w:left w:val="none" w:sz="0" w:space="0" w:color="auto"/>
                                <w:bottom w:val="none" w:sz="0" w:space="0" w:color="auto"/>
                                <w:right w:val="none" w:sz="0" w:space="0" w:color="auto"/>
                              </w:divBdr>
                              <w:divsChild>
                                <w:div w:id="1016006855">
                                  <w:marLeft w:val="0"/>
                                  <w:marRight w:val="0"/>
                                  <w:marTop w:val="0"/>
                                  <w:marBottom w:val="0"/>
                                  <w:divBdr>
                                    <w:top w:val="none" w:sz="0" w:space="0" w:color="auto"/>
                                    <w:left w:val="none" w:sz="0" w:space="0" w:color="auto"/>
                                    <w:bottom w:val="none" w:sz="0" w:space="0" w:color="auto"/>
                                    <w:right w:val="none" w:sz="0" w:space="0" w:color="auto"/>
                                  </w:divBdr>
                                </w:div>
                                <w:div w:id="14193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088553">
      <w:bodyDiv w:val="1"/>
      <w:marLeft w:val="0"/>
      <w:marRight w:val="0"/>
      <w:marTop w:val="0"/>
      <w:marBottom w:val="0"/>
      <w:divBdr>
        <w:top w:val="none" w:sz="0" w:space="0" w:color="auto"/>
        <w:left w:val="none" w:sz="0" w:space="0" w:color="auto"/>
        <w:bottom w:val="none" w:sz="0" w:space="0" w:color="auto"/>
        <w:right w:val="none" w:sz="0" w:space="0" w:color="auto"/>
      </w:divBdr>
      <w:divsChild>
        <w:div w:id="1828672614">
          <w:marLeft w:val="547"/>
          <w:marRight w:val="0"/>
          <w:marTop w:val="0"/>
          <w:marBottom w:val="0"/>
          <w:divBdr>
            <w:top w:val="none" w:sz="0" w:space="0" w:color="auto"/>
            <w:left w:val="none" w:sz="0" w:space="0" w:color="auto"/>
            <w:bottom w:val="none" w:sz="0" w:space="0" w:color="auto"/>
            <w:right w:val="none" w:sz="0" w:space="0" w:color="auto"/>
          </w:divBdr>
        </w:div>
        <w:div w:id="2047438874">
          <w:marLeft w:val="547"/>
          <w:marRight w:val="0"/>
          <w:marTop w:val="0"/>
          <w:marBottom w:val="0"/>
          <w:divBdr>
            <w:top w:val="none" w:sz="0" w:space="0" w:color="auto"/>
            <w:left w:val="none" w:sz="0" w:space="0" w:color="auto"/>
            <w:bottom w:val="none" w:sz="0" w:space="0" w:color="auto"/>
            <w:right w:val="none" w:sz="0" w:space="0" w:color="auto"/>
          </w:divBdr>
        </w:div>
        <w:div w:id="919556049">
          <w:marLeft w:val="547"/>
          <w:marRight w:val="0"/>
          <w:marTop w:val="0"/>
          <w:marBottom w:val="0"/>
          <w:divBdr>
            <w:top w:val="none" w:sz="0" w:space="0" w:color="auto"/>
            <w:left w:val="none" w:sz="0" w:space="0" w:color="auto"/>
            <w:bottom w:val="none" w:sz="0" w:space="0" w:color="auto"/>
            <w:right w:val="none" w:sz="0" w:space="0" w:color="auto"/>
          </w:divBdr>
        </w:div>
      </w:divsChild>
    </w:div>
    <w:div w:id="629483761">
      <w:bodyDiv w:val="1"/>
      <w:marLeft w:val="0"/>
      <w:marRight w:val="0"/>
      <w:marTop w:val="0"/>
      <w:marBottom w:val="0"/>
      <w:divBdr>
        <w:top w:val="none" w:sz="0" w:space="0" w:color="auto"/>
        <w:left w:val="none" w:sz="0" w:space="0" w:color="auto"/>
        <w:bottom w:val="none" w:sz="0" w:space="0" w:color="auto"/>
        <w:right w:val="none" w:sz="0" w:space="0" w:color="auto"/>
      </w:divBdr>
    </w:div>
    <w:div w:id="645470000">
      <w:bodyDiv w:val="1"/>
      <w:marLeft w:val="0"/>
      <w:marRight w:val="0"/>
      <w:marTop w:val="0"/>
      <w:marBottom w:val="0"/>
      <w:divBdr>
        <w:top w:val="none" w:sz="0" w:space="0" w:color="auto"/>
        <w:left w:val="none" w:sz="0" w:space="0" w:color="auto"/>
        <w:bottom w:val="none" w:sz="0" w:space="0" w:color="auto"/>
        <w:right w:val="none" w:sz="0" w:space="0" w:color="auto"/>
      </w:divBdr>
      <w:divsChild>
        <w:div w:id="1481075337">
          <w:marLeft w:val="0"/>
          <w:marRight w:val="1"/>
          <w:marTop w:val="0"/>
          <w:marBottom w:val="0"/>
          <w:divBdr>
            <w:top w:val="none" w:sz="0" w:space="0" w:color="auto"/>
            <w:left w:val="none" w:sz="0" w:space="0" w:color="auto"/>
            <w:bottom w:val="none" w:sz="0" w:space="0" w:color="auto"/>
            <w:right w:val="none" w:sz="0" w:space="0" w:color="auto"/>
          </w:divBdr>
          <w:divsChild>
            <w:div w:id="1163543252">
              <w:marLeft w:val="0"/>
              <w:marRight w:val="0"/>
              <w:marTop w:val="0"/>
              <w:marBottom w:val="0"/>
              <w:divBdr>
                <w:top w:val="none" w:sz="0" w:space="0" w:color="auto"/>
                <w:left w:val="none" w:sz="0" w:space="0" w:color="auto"/>
                <w:bottom w:val="none" w:sz="0" w:space="0" w:color="auto"/>
                <w:right w:val="none" w:sz="0" w:space="0" w:color="auto"/>
              </w:divBdr>
              <w:divsChild>
                <w:div w:id="398796898">
                  <w:marLeft w:val="0"/>
                  <w:marRight w:val="1"/>
                  <w:marTop w:val="0"/>
                  <w:marBottom w:val="0"/>
                  <w:divBdr>
                    <w:top w:val="none" w:sz="0" w:space="0" w:color="auto"/>
                    <w:left w:val="none" w:sz="0" w:space="0" w:color="auto"/>
                    <w:bottom w:val="none" w:sz="0" w:space="0" w:color="auto"/>
                    <w:right w:val="none" w:sz="0" w:space="0" w:color="auto"/>
                  </w:divBdr>
                  <w:divsChild>
                    <w:div w:id="778911889">
                      <w:marLeft w:val="0"/>
                      <w:marRight w:val="0"/>
                      <w:marTop w:val="0"/>
                      <w:marBottom w:val="0"/>
                      <w:divBdr>
                        <w:top w:val="none" w:sz="0" w:space="0" w:color="auto"/>
                        <w:left w:val="none" w:sz="0" w:space="0" w:color="auto"/>
                        <w:bottom w:val="none" w:sz="0" w:space="0" w:color="auto"/>
                        <w:right w:val="none" w:sz="0" w:space="0" w:color="auto"/>
                      </w:divBdr>
                      <w:divsChild>
                        <w:div w:id="1872913650">
                          <w:marLeft w:val="0"/>
                          <w:marRight w:val="0"/>
                          <w:marTop w:val="0"/>
                          <w:marBottom w:val="0"/>
                          <w:divBdr>
                            <w:top w:val="none" w:sz="0" w:space="0" w:color="auto"/>
                            <w:left w:val="none" w:sz="0" w:space="0" w:color="auto"/>
                            <w:bottom w:val="none" w:sz="0" w:space="0" w:color="auto"/>
                            <w:right w:val="none" w:sz="0" w:space="0" w:color="auto"/>
                          </w:divBdr>
                          <w:divsChild>
                            <w:div w:id="685138587">
                              <w:marLeft w:val="0"/>
                              <w:marRight w:val="0"/>
                              <w:marTop w:val="120"/>
                              <w:marBottom w:val="360"/>
                              <w:divBdr>
                                <w:top w:val="none" w:sz="0" w:space="0" w:color="auto"/>
                                <w:left w:val="none" w:sz="0" w:space="0" w:color="auto"/>
                                <w:bottom w:val="none" w:sz="0" w:space="0" w:color="auto"/>
                                <w:right w:val="none" w:sz="0" w:space="0" w:color="auto"/>
                              </w:divBdr>
                              <w:divsChild>
                                <w:div w:id="481702930">
                                  <w:marLeft w:val="0"/>
                                  <w:marRight w:val="0"/>
                                  <w:marTop w:val="0"/>
                                  <w:marBottom w:val="0"/>
                                  <w:divBdr>
                                    <w:top w:val="none" w:sz="0" w:space="0" w:color="auto"/>
                                    <w:left w:val="none" w:sz="0" w:space="0" w:color="auto"/>
                                    <w:bottom w:val="none" w:sz="0" w:space="0" w:color="auto"/>
                                    <w:right w:val="none" w:sz="0" w:space="0" w:color="auto"/>
                                  </w:divBdr>
                                  <w:divsChild>
                                    <w:div w:id="16077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237084">
      <w:bodyDiv w:val="1"/>
      <w:marLeft w:val="0"/>
      <w:marRight w:val="0"/>
      <w:marTop w:val="0"/>
      <w:marBottom w:val="0"/>
      <w:divBdr>
        <w:top w:val="none" w:sz="0" w:space="0" w:color="auto"/>
        <w:left w:val="none" w:sz="0" w:space="0" w:color="auto"/>
        <w:bottom w:val="none" w:sz="0" w:space="0" w:color="auto"/>
        <w:right w:val="none" w:sz="0" w:space="0" w:color="auto"/>
      </w:divBdr>
      <w:divsChild>
        <w:div w:id="96412125">
          <w:marLeft w:val="0"/>
          <w:marRight w:val="0"/>
          <w:marTop w:val="0"/>
          <w:marBottom w:val="0"/>
          <w:divBdr>
            <w:top w:val="none" w:sz="0" w:space="0" w:color="auto"/>
            <w:left w:val="none" w:sz="0" w:space="0" w:color="auto"/>
            <w:bottom w:val="none" w:sz="0" w:space="0" w:color="auto"/>
            <w:right w:val="none" w:sz="0" w:space="0" w:color="auto"/>
          </w:divBdr>
          <w:divsChild>
            <w:div w:id="296640669">
              <w:marLeft w:val="0"/>
              <w:marRight w:val="0"/>
              <w:marTop w:val="0"/>
              <w:marBottom w:val="0"/>
              <w:divBdr>
                <w:top w:val="none" w:sz="0" w:space="0" w:color="auto"/>
                <w:left w:val="none" w:sz="0" w:space="0" w:color="auto"/>
                <w:bottom w:val="none" w:sz="0" w:space="0" w:color="auto"/>
                <w:right w:val="none" w:sz="0" w:space="0" w:color="auto"/>
              </w:divBdr>
              <w:divsChild>
                <w:div w:id="348718381">
                  <w:marLeft w:val="0"/>
                  <w:marRight w:val="0"/>
                  <w:marTop w:val="0"/>
                  <w:marBottom w:val="0"/>
                  <w:divBdr>
                    <w:top w:val="none" w:sz="0" w:space="0" w:color="auto"/>
                    <w:left w:val="none" w:sz="0" w:space="0" w:color="auto"/>
                    <w:bottom w:val="none" w:sz="0" w:space="0" w:color="auto"/>
                    <w:right w:val="none" w:sz="0" w:space="0" w:color="auto"/>
                  </w:divBdr>
                  <w:divsChild>
                    <w:div w:id="1198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49859">
      <w:bodyDiv w:val="1"/>
      <w:marLeft w:val="0"/>
      <w:marRight w:val="0"/>
      <w:marTop w:val="0"/>
      <w:marBottom w:val="0"/>
      <w:divBdr>
        <w:top w:val="none" w:sz="0" w:space="0" w:color="auto"/>
        <w:left w:val="none" w:sz="0" w:space="0" w:color="auto"/>
        <w:bottom w:val="none" w:sz="0" w:space="0" w:color="auto"/>
        <w:right w:val="none" w:sz="0" w:space="0" w:color="auto"/>
      </w:divBdr>
      <w:divsChild>
        <w:div w:id="1874616284">
          <w:marLeft w:val="0"/>
          <w:marRight w:val="0"/>
          <w:marTop w:val="0"/>
          <w:marBottom w:val="0"/>
          <w:divBdr>
            <w:top w:val="none" w:sz="0" w:space="0" w:color="auto"/>
            <w:left w:val="none" w:sz="0" w:space="0" w:color="auto"/>
            <w:bottom w:val="none" w:sz="0" w:space="0" w:color="auto"/>
            <w:right w:val="none" w:sz="0" w:space="0" w:color="auto"/>
          </w:divBdr>
          <w:divsChild>
            <w:div w:id="501704067">
              <w:marLeft w:val="0"/>
              <w:marRight w:val="0"/>
              <w:marTop w:val="0"/>
              <w:marBottom w:val="0"/>
              <w:divBdr>
                <w:top w:val="none" w:sz="0" w:space="0" w:color="auto"/>
                <w:left w:val="none" w:sz="0" w:space="0" w:color="auto"/>
                <w:bottom w:val="none" w:sz="0" w:space="0" w:color="auto"/>
                <w:right w:val="none" w:sz="0" w:space="0" w:color="auto"/>
              </w:divBdr>
              <w:divsChild>
                <w:div w:id="1591305417">
                  <w:marLeft w:val="0"/>
                  <w:marRight w:val="0"/>
                  <w:marTop w:val="0"/>
                  <w:marBottom w:val="0"/>
                  <w:divBdr>
                    <w:top w:val="none" w:sz="0" w:space="0" w:color="auto"/>
                    <w:left w:val="none" w:sz="0" w:space="0" w:color="auto"/>
                    <w:bottom w:val="none" w:sz="0" w:space="0" w:color="auto"/>
                    <w:right w:val="none" w:sz="0" w:space="0" w:color="auto"/>
                  </w:divBdr>
                  <w:divsChild>
                    <w:div w:id="5140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292362">
      <w:bodyDiv w:val="1"/>
      <w:marLeft w:val="0"/>
      <w:marRight w:val="0"/>
      <w:marTop w:val="0"/>
      <w:marBottom w:val="0"/>
      <w:divBdr>
        <w:top w:val="none" w:sz="0" w:space="0" w:color="auto"/>
        <w:left w:val="none" w:sz="0" w:space="0" w:color="auto"/>
        <w:bottom w:val="none" w:sz="0" w:space="0" w:color="auto"/>
        <w:right w:val="none" w:sz="0" w:space="0" w:color="auto"/>
      </w:divBdr>
      <w:divsChild>
        <w:div w:id="124548232">
          <w:marLeft w:val="0"/>
          <w:marRight w:val="0"/>
          <w:marTop w:val="0"/>
          <w:marBottom w:val="0"/>
          <w:divBdr>
            <w:top w:val="none" w:sz="0" w:space="0" w:color="auto"/>
            <w:left w:val="none" w:sz="0" w:space="0" w:color="auto"/>
            <w:bottom w:val="none" w:sz="0" w:space="0" w:color="auto"/>
            <w:right w:val="none" w:sz="0" w:space="0" w:color="auto"/>
          </w:divBdr>
          <w:divsChild>
            <w:div w:id="1936283994">
              <w:marLeft w:val="0"/>
              <w:marRight w:val="0"/>
              <w:marTop w:val="0"/>
              <w:marBottom w:val="0"/>
              <w:divBdr>
                <w:top w:val="none" w:sz="0" w:space="0" w:color="auto"/>
                <w:left w:val="none" w:sz="0" w:space="0" w:color="auto"/>
                <w:bottom w:val="none" w:sz="0" w:space="0" w:color="auto"/>
                <w:right w:val="none" w:sz="0" w:space="0" w:color="auto"/>
              </w:divBdr>
              <w:divsChild>
                <w:div w:id="652098757">
                  <w:marLeft w:val="0"/>
                  <w:marRight w:val="0"/>
                  <w:marTop w:val="0"/>
                  <w:marBottom w:val="0"/>
                  <w:divBdr>
                    <w:top w:val="none" w:sz="0" w:space="0" w:color="auto"/>
                    <w:left w:val="none" w:sz="0" w:space="0" w:color="auto"/>
                    <w:bottom w:val="none" w:sz="0" w:space="0" w:color="auto"/>
                    <w:right w:val="none" w:sz="0" w:space="0" w:color="auto"/>
                  </w:divBdr>
                  <w:divsChild>
                    <w:div w:id="1791632434">
                      <w:marLeft w:val="0"/>
                      <w:marRight w:val="0"/>
                      <w:marTop w:val="0"/>
                      <w:marBottom w:val="0"/>
                      <w:divBdr>
                        <w:top w:val="none" w:sz="0" w:space="0" w:color="auto"/>
                        <w:left w:val="none" w:sz="0" w:space="0" w:color="auto"/>
                        <w:bottom w:val="none" w:sz="0" w:space="0" w:color="auto"/>
                        <w:right w:val="none" w:sz="0" w:space="0" w:color="auto"/>
                      </w:divBdr>
                      <w:divsChild>
                        <w:div w:id="2135246819">
                          <w:marLeft w:val="0"/>
                          <w:marRight w:val="0"/>
                          <w:marTop w:val="0"/>
                          <w:marBottom w:val="0"/>
                          <w:divBdr>
                            <w:top w:val="none" w:sz="0" w:space="0" w:color="auto"/>
                            <w:left w:val="none" w:sz="0" w:space="0" w:color="auto"/>
                            <w:bottom w:val="none" w:sz="0" w:space="0" w:color="auto"/>
                            <w:right w:val="none" w:sz="0" w:space="0" w:color="auto"/>
                          </w:divBdr>
                          <w:divsChild>
                            <w:div w:id="355813568">
                              <w:marLeft w:val="0"/>
                              <w:marRight w:val="0"/>
                              <w:marTop w:val="0"/>
                              <w:marBottom w:val="0"/>
                              <w:divBdr>
                                <w:top w:val="none" w:sz="0" w:space="0" w:color="auto"/>
                                <w:left w:val="none" w:sz="0" w:space="0" w:color="auto"/>
                                <w:bottom w:val="none" w:sz="0" w:space="0" w:color="auto"/>
                                <w:right w:val="none" w:sz="0" w:space="0" w:color="auto"/>
                              </w:divBdr>
                              <w:divsChild>
                                <w:div w:id="1989284849">
                                  <w:marLeft w:val="0"/>
                                  <w:marRight w:val="0"/>
                                  <w:marTop w:val="0"/>
                                  <w:marBottom w:val="0"/>
                                  <w:divBdr>
                                    <w:top w:val="none" w:sz="0" w:space="0" w:color="auto"/>
                                    <w:left w:val="none" w:sz="0" w:space="0" w:color="auto"/>
                                    <w:bottom w:val="none" w:sz="0" w:space="0" w:color="auto"/>
                                    <w:right w:val="none" w:sz="0" w:space="0" w:color="auto"/>
                                  </w:divBdr>
                                  <w:divsChild>
                                    <w:div w:id="110516824">
                                      <w:marLeft w:val="0"/>
                                      <w:marRight w:val="0"/>
                                      <w:marTop w:val="0"/>
                                      <w:marBottom w:val="0"/>
                                      <w:divBdr>
                                        <w:top w:val="none" w:sz="0" w:space="0" w:color="auto"/>
                                        <w:left w:val="none" w:sz="0" w:space="0" w:color="auto"/>
                                        <w:bottom w:val="none" w:sz="0" w:space="0" w:color="auto"/>
                                        <w:right w:val="none" w:sz="0" w:space="0" w:color="auto"/>
                                      </w:divBdr>
                                      <w:divsChild>
                                        <w:div w:id="35860305">
                                          <w:marLeft w:val="0"/>
                                          <w:marRight w:val="0"/>
                                          <w:marTop w:val="0"/>
                                          <w:marBottom w:val="0"/>
                                          <w:divBdr>
                                            <w:top w:val="none" w:sz="0" w:space="0" w:color="auto"/>
                                            <w:left w:val="none" w:sz="0" w:space="0" w:color="auto"/>
                                            <w:bottom w:val="none" w:sz="0" w:space="0" w:color="auto"/>
                                            <w:right w:val="none" w:sz="0" w:space="0" w:color="auto"/>
                                          </w:divBdr>
                                        </w:div>
                                        <w:div w:id="1155223554">
                                          <w:marLeft w:val="0"/>
                                          <w:marRight w:val="0"/>
                                          <w:marTop w:val="0"/>
                                          <w:marBottom w:val="0"/>
                                          <w:divBdr>
                                            <w:top w:val="none" w:sz="0" w:space="0" w:color="auto"/>
                                            <w:left w:val="none" w:sz="0" w:space="0" w:color="auto"/>
                                            <w:bottom w:val="none" w:sz="0" w:space="0" w:color="auto"/>
                                            <w:right w:val="none" w:sz="0" w:space="0" w:color="auto"/>
                                          </w:divBdr>
                                        </w:div>
                                      </w:divsChild>
                                    </w:div>
                                    <w:div w:id="2073114167">
                                      <w:marLeft w:val="0"/>
                                      <w:marRight w:val="0"/>
                                      <w:marTop w:val="0"/>
                                      <w:marBottom w:val="0"/>
                                      <w:divBdr>
                                        <w:top w:val="none" w:sz="0" w:space="0" w:color="auto"/>
                                        <w:left w:val="none" w:sz="0" w:space="0" w:color="auto"/>
                                        <w:bottom w:val="none" w:sz="0" w:space="0" w:color="auto"/>
                                        <w:right w:val="none" w:sz="0" w:space="0" w:color="auto"/>
                                      </w:divBdr>
                                      <w:divsChild>
                                        <w:div w:id="167991095">
                                          <w:marLeft w:val="0"/>
                                          <w:marRight w:val="0"/>
                                          <w:marTop w:val="0"/>
                                          <w:marBottom w:val="0"/>
                                          <w:divBdr>
                                            <w:top w:val="none" w:sz="0" w:space="0" w:color="auto"/>
                                            <w:left w:val="none" w:sz="0" w:space="0" w:color="auto"/>
                                            <w:bottom w:val="none" w:sz="0" w:space="0" w:color="auto"/>
                                            <w:right w:val="none" w:sz="0" w:space="0" w:color="auto"/>
                                          </w:divBdr>
                                        </w:div>
                                        <w:div w:id="1910916134">
                                          <w:marLeft w:val="0"/>
                                          <w:marRight w:val="0"/>
                                          <w:marTop w:val="0"/>
                                          <w:marBottom w:val="0"/>
                                          <w:divBdr>
                                            <w:top w:val="none" w:sz="0" w:space="0" w:color="auto"/>
                                            <w:left w:val="none" w:sz="0" w:space="0" w:color="auto"/>
                                            <w:bottom w:val="none" w:sz="0" w:space="0" w:color="auto"/>
                                            <w:right w:val="none" w:sz="0" w:space="0" w:color="auto"/>
                                          </w:divBdr>
                                        </w:div>
                                      </w:divsChild>
                                    </w:div>
                                    <w:div w:id="674235505">
                                      <w:marLeft w:val="0"/>
                                      <w:marRight w:val="0"/>
                                      <w:marTop w:val="0"/>
                                      <w:marBottom w:val="0"/>
                                      <w:divBdr>
                                        <w:top w:val="none" w:sz="0" w:space="0" w:color="auto"/>
                                        <w:left w:val="none" w:sz="0" w:space="0" w:color="auto"/>
                                        <w:bottom w:val="none" w:sz="0" w:space="0" w:color="auto"/>
                                        <w:right w:val="none" w:sz="0" w:space="0" w:color="auto"/>
                                      </w:divBdr>
                                      <w:divsChild>
                                        <w:div w:id="966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97285">
      <w:bodyDiv w:val="1"/>
      <w:marLeft w:val="0"/>
      <w:marRight w:val="0"/>
      <w:marTop w:val="0"/>
      <w:marBottom w:val="0"/>
      <w:divBdr>
        <w:top w:val="none" w:sz="0" w:space="0" w:color="auto"/>
        <w:left w:val="none" w:sz="0" w:space="0" w:color="auto"/>
        <w:bottom w:val="none" w:sz="0" w:space="0" w:color="auto"/>
        <w:right w:val="none" w:sz="0" w:space="0" w:color="auto"/>
      </w:divBdr>
      <w:divsChild>
        <w:div w:id="1565722626">
          <w:marLeft w:val="0"/>
          <w:marRight w:val="0"/>
          <w:marTop w:val="0"/>
          <w:marBottom w:val="0"/>
          <w:divBdr>
            <w:top w:val="none" w:sz="0" w:space="0" w:color="auto"/>
            <w:left w:val="none" w:sz="0" w:space="0" w:color="auto"/>
            <w:bottom w:val="none" w:sz="0" w:space="0" w:color="auto"/>
            <w:right w:val="none" w:sz="0" w:space="0" w:color="auto"/>
          </w:divBdr>
          <w:divsChild>
            <w:div w:id="248975864">
              <w:marLeft w:val="0"/>
              <w:marRight w:val="0"/>
              <w:marTop w:val="0"/>
              <w:marBottom w:val="0"/>
              <w:divBdr>
                <w:top w:val="none" w:sz="0" w:space="0" w:color="auto"/>
                <w:left w:val="none" w:sz="0" w:space="0" w:color="auto"/>
                <w:bottom w:val="none" w:sz="0" w:space="0" w:color="auto"/>
                <w:right w:val="none" w:sz="0" w:space="0" w:color="auto"/>
              </w:divBdr>
              <w:divsChild>
                <w:div w:id="195778196">
                  <w:marLeft w:val="0"/>
                  <w:marRight w:val="0"/>
                  <w:marTop w:val="0"/>
                  <w:marBottom w:val="0"/>
                  <w:divBdr>
                    <w:top w:val="none" w:sz="0" w:space="0" w:color="auto"/>
                    <w:left w:val="none" w:sz="0" w:space="0" w:color="auto"/>
                    <w:bottom w:val="none" w:sz="0" w:space="0" w:color="auto"/>
                    <w:right w:val="none" w:sz="0" w:space="0" w:color="auto"/>
                  </w:divBdr>
                  <w:divsChild>
                    <w:div w:id="128012447">
                      <w:marLeft w:val="0"/>
                      <w:marRight w:val="0"/>
                      <w:marTop w:val="0"/>
                      <w:marBottom w:val="0"/>
                      <w:divBdr>
                        <w:top w:val="none" w:sz="0" w:space="0" w:color="auto"/>
                        <w:left w:val="none" w:sz="0" w:space="0" w:color="auto"/>
                        <w:bottom w:val="none" w:sz="0" w:space="0" w:color="auto"/>
                        <w:right w:val="none" w:sz="0" w:space="0" w:color="auto"/>
                      </w:divBdr>
                      <w:divsChild>
                        <w:div w:id="1544637389">
                          <w:marLeft w:val="0"/>
                          <w:marRight w:val="0"/>
                          <w:marTop w:val="0"/>
                          <w:marBottom w:val="0"/>
                          <w:divBdr>
                            <w:top w:val="none" w:sz="0" w:space="0" w:color="auto"/>
                            <w:left w:val="none" w:sz="0" w:space="0" w:color="auto"/>
                            <w:bottom w:val="none" w:sz="0" w:space="0" w:color="auto"/>
                            <w:right w:val="none" w:sz="0" w:space="0" w:color="auto"/>
                          </w:divBdr>
                          <w:divsChild>
                            <w:div w:id="723523902">
                              <w:marLeft w:val="0"/>
                              <w:marRight w:val="0"/>
                              <w:marTop w:val="0"/>
                              <w:marBottom w:val="0"/>
                              <w:divBdr>
                                <w:top w:val="none" w:sz="0" w:space="0" w:color="auto"/>
                                <w:left w:val="none" w:sz="0" w:space="0" w:color="auto"/>
                                <w:bottom w:val="none" w:sz="0" w:space="0" w:color="auto"/>
                                <w:right w:val="none" w:sz="0" w:space="0" w:color="auto"/>
                              </w:divBdr>
                              <w:divsChild>
                                <w:div w:id="11931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219030">
      <w:bodyDiv w:val="1"/>
      <w:marLeft w:val="0"/>
      <w:marRight w:val="0"/>
      <w:marTop w:val="0"/>
      <w:marBottom w:val="0"/>
      <w:divBdr>
        <w:top w:val="none" w:sz="0" w:space="0" w:color="auto"/>
        <w:left w:val="none" w:sz="0" w:space="0" w:color="auto"/>
        <w:bottom w:val="none" w:sz="0" w:space="0" w:color="auto"/>
        <w:right w:val="none" w:sz="0" w:space="0" w:color="auto"/>
      </w:divBdr>
    </w:div>
    <w:div w:id="1102337245">
      <w:bodyDiv w:val="1"/>
      <w:marLeft w:val="0"/>
      <w:marRight w:val="0"/>
      <w:marTop w:val="0"/>
      <w:marBottom w:val="0"/>
      <w:divBdr>
        <w:top w:val="none" w:sz="0" w:space="0" w:color="auto"/>
        <w:left w:val="none" w:sz="0" w:space="0" w:color="auto"/>
        <w:bottom w:val="none" w:sz="0" w:space="0" w:color="auto"/>
        <w:right w:val="none" w:sz="0" w:space="0" w:color="auto"/>
      </w:divBdr>
    </w:div>
    <w:div w:id="1124497834">
      <w:bodyDiv w:val="1"/>
      <w:marLeft w:val="0"/>
      <w:marRight w:val="0"/>
      <w:marTop w:val="0"/>
      <w:marBottom w:val="0"/>
      <w:divBdr>
        <w:top w:val="none" w:sz="0" w:space="0" w:color="auto"/>
        <w:left w:val="none" w:sz="0" w:space="0" w:color="auto"/>
        <w:bottom w:val="none" w:sz="0" w:space="0" w:color="auto"/>
        <w:right w:val="none" w:sz="0" w:space="0" w:color="auto"/>
      </w:divBdr>
      <w:divsChild>
        <w:div w:id="1848203589">
          <w:marLeft w:val="0"/>
          <w:marRight w:val="0"/>
          <w:marTop w:val="0"/>
          <w:marBottom w:val="0"/>
          <w:divBdr>
            <w:top w:val="none" w:sz="0" w:space="0" w:color="auto"/>
            <w:left w:val="none" w:sz="0" w:space="0" w:color="auto"/>
            <w:bottom w:val="none" w:sz="0" w:space="0" w:color="auto"/>
            <w:right w:val="none" w:sz="0" w:space="0" w:color="auto"/>
          </w:divBdr>
        </w:div>
      </w:divsChild>
    </w:div>
    <w:div w:id="1192571937">
      <w:bodyDiv w:val="1"/>
      <w:marLeft w:val="0"/>
      <w:marRight w:val="0"/>
      <w:marTop w:val="0"/>
      <w:marBottom w:val="0"/>
      <w:divBdr>
        <w:top w:val="none" w:sz="0" w:space="0" w:color="auto"/>
        <w:left w:val="none" w:sz="0" w:space="0" w:color="auto"/>
        <w:bottom w:val="none" w:sz="0" w:space="0" w:color="auto"/>
        <w:right w:val="none" w:sz="0" w:space="0" w:color="auto"/>
      </w:divBdr>
      <w:divsChild>
        <w:div w:id="376319985">
          <w:marLeft w:val="0"/>
          <w:marRight w:val="0"/>
          <w:marTop w:val="0"/>
          <w:marBottom w:val="0"/>
          <w:divBdr>
            <w:top w:val="none" w:sz="0" w:space="0" w:color="auto"/>
            <w:left w:val="none" w:sz="0" w:space="0" w:color="auto"/>
            <w:bottom w:val="none" w:sz="0" w:space="0" w:color="auto"/>
            <w:right w:val="none" w:sz="0" w:space="0" w:color="auto"/>
          </w:divBdr>
          <w:divsChild>
            <w:div w:id="1579166600">
              <w:marLeft w:val="0"/>
              <w:marRight w:val="0"/>
              <w:marTop w:val="0"/>
              <w:marBottom w:val="0"/>
              <w:divBdr>
                <w:top w:val="none" w:sz="0" w:space="0" w:color="auto"/>
                <w:left w:val="none" w:sz="0" w:space="0" w:color="auto"/>
                <w:bottom w:val="none" w:sz="0" w:space="0" w:color="auto"/>
                <w:right w:val="none" w:sz="0" w:space="0" w:color="auto"/>
              </w:divBdr>
              <w:divsChild>
                <w:div w:id="817065874">
                  <w:marLeft w:val="0"/>
                  <w:marRight w:val="0"/>
                  <w:marTop w:val="0"/>
                  <w:marBottom w:val="0"/>
                  <w:divBdr>
                    <w:top w:val="none" w:sz="0" w:space="0" w:color="auto"/>
                    <w:left w:val="none" w:sz="0" w:space="0" w:color="auto"/>
                    <w:bottom w:val="none" w:sz="0" w:space="0" w:color="auto"/>
                    <w:right w:val="none" w:sz="0" w:space="0" w:color="auto"/>
                  </w:divBdr>
                  <w:divsChild>
                    <w:div w:id="12729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8238">
      <w:bodyDiv w:val="1"/>
      <w:marLeft w:val="0"/>
      <w:marRight w:val="0"/>
      <w:marTop w:val="0"/>
      <w:marBottom w:val="0"/>
      <w:divBdr>
        <w:top w:val="none" w:sz="0" w:space="0" w:color="auto"/>
        <w:left w:val="none" w:sz="0" w:space="0" w:color="auto"/>
        <w:bottom w:val="none" w:sz="0" w:space="0" w:color="auto"/>
        <w:right w:val="none" w:sz="0" w:space="0" w:color="auto"/>
      </w:divBdr>
    </w:div>
    <w:div w:id="1636368587">
      <w:bodyDiv w:val="1"/>
      <w:marLeft w:val="0"/>
      <w:marRight w:val="0"/>
      <w:marTop w:val="0"/>
      <w:marBottom w:val="0"/>
      <w:divBdr>
        <w:top w:val="none" w:sz="0" w:space="0" w:color="auto"/>
        <w:left w:val="none" w:sz="0" w:space="0" w:color="auto"/>
        <w:bottom w:val="none" w:sz="0" w:space="0" w:color="auto"/>
        <w:right w:val="none" w:sz="0" w:space="0" w:color="auto"/>
      </w:divBdr>
    </w:div>
    <w:div w:id="1775637910">
      <w:bodyDiv w:val="1"/>
      <w:marLeft w:val="0"/>
      <w:marRight w:val="0"/>
      <w:marTop w:val="0"/>
      <w:marBottom w:val="0"/>
      <w:divBdr>
        <w:top w:val="none" w:sz="0" w:space="0" w:color="auto"/>
        <w:left w:val="none" w:sz="0" w:space="0" w:color="auto"/>
        <w:bottom w:val="none" w:sz="0" w:space="0" w:color="auto"/>
        <w:right w:val="none" w:sz="0" w:space="0" w:color="auto"/>
      </w:divBdr>
      <w:divsChild>
        <w:div w:id="1564752229">
          <w:marLeft w:val="0"/>
          <w:marRight w:val="1"/>
          <w:marTop w:val="0"/>
          <w:marBottom w:val="0"/>
          <w:divBdr>
            <w:top w:val="none" w:sz="0" w:space="0" w:color="auto"/>
            <w:left w:val="none" w:sz="0" w:space="0" w:color="auto"/>
            <w:bottom w:val="none" w:sz="0" w:space="0" w:color="auto"/>
            <w:right w:val="none" w:sz="0" w:space="0" w:color="auto"/>
          </w:divBdr>
          <w:divsChild>
            <w:div w:id="741147183">
              <w:marLeft w:val="0"/>
              <w:marRight w:val="0"/>
              <w:marTop w:val="0"/>
              <w:marBottom w:val="0"/>
              <w:divBdr>
                <w:top w:val="none" w:sz="0" w:space="0" w:color="auto"/>
                <w:left w:val="none" w:sz="0" w:space="0" w:color="auto"/>
                <w:bottom w:val="none" w:sz="0" w:space="0" w:color="auto"/>
                <w:right w:val="none" w:sz="0" w:space="0" w:color="auto"/>
              </w:divBdr>
              <w:divsChild>
                <w:div w:id="1215122999">
                  <w:marLeft w:val="0"/>
                  <w:marRight w:val="1"/>
                  <w:marTop w:val="0"/>
                  <w:marBottom w:val="0"/>
                  <w:divBdr>
                    <w:top w:val="none" w:sz="0" w:space="0" w:color="auto"/>
                    <w:left w:val="none" w:sz="0" w:space="0" w:color="auto"/>
                    <w:bottom w:val="none" w:sz="0" w:space="0" w:color="auto"/>
                    <w:right w:val="none" w:sz="0" w:space="0" w:color="auto"/>
                  </w:divBdr>
                  <w:divsChild>
                    <w:div w:id="1303197882">
                      <w:marLeft w:val="0"/>
                      <w:marRight w:val="0"/>
                      <w:marTop w:val="0"/>
                      <w:marBottom w:val="0"/>
                      <w:divBdr>
                        <w:top w:val="none" w:sz="0" w:space="0" w:color="auto"/>
                        <w:left w:val="none" w:sz="0" w:space="0" w:color="auto"/>
                        <w:bottom w:val="none" w:sz="0" w:space="0" w:color="auto"/>
                        <w:right w:val="none" w:sz="0" w:space="0" w:color="auto"/>
                      </w:divBdr>
                      <w:divsChild>
                        <w:div w:id="1548834163">
                          <w:marLeft w:val="0"/>
                          <w:marRight w:val="0"/>
                          <w:marTop w:val="0"/>
                          <w:marBottom w:val="0"/>
                          <w:divBdr>
                            <w:top w:val="none" w:sz="0" w:space="0" w:color="auto"/>
                            <w:left w:val="none" w:sz="0" w:space="0" w:color="auto"/>
                            <w:bottom w:val="none" w:sz="0" w:space="0" w:color="auto"/>
                            <w:right w:val="none" w:sz="0" w:space="0" w:color="auto"/>
                          </w:divBdr>
                          <w:divsChild>
                            <w:div w:id="420026098">
                              <w:marLeft w:val="0"/>
                              <w:marRight w:val="0"/>
                              <w:marTop w:val="120"/>
                              <w:marBottom w:val="360"/>
                              <w:divBdr>
                                <w:top w:val="none" w:sz="0" w:space="0" w:color="auto"/>
                                <w:left w:val="none" w:sz="0" w:space="0" w:color="auto"/>
                                <w:bottom w:val="none" w:sz="0" w:space="0" w:color="auto"/>
                                <w:right w:val="none" w:sz="0" w:space="0" w:color="auto"/>
                              </w:divBdr>
                              <w:divsChild>
                                <w:div w:id="998769678">
                                  <w:marLeft w:val="0"/>
                                  <w:marRight w:val="0"/>
                                  <w:marTop w:val="0"/>
                                  <w:marBottom w:val="0"/>
                                  <w:divBdr>
                                    <w:top w:val="none" w:sz="0" w:space="0" w:color="auto"/>
                                    <w:left w:val="none" w:sz="0" w:space="0" w:color="auto"/>
                                    <w:bottom w:val="none" w:sz="0" w:space="0" w:color="auto"/>
                                    <w:right w:val="none" w:sz="0" w:space="0" w:color="auto"/>
                                  </w:divBdr>
                                </w:div>
                                <w:div w:id="924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45520">
      <w:bodyDiv w:val="1"/>
      <w:marLeft w:val="0"/>
      <w:marRight w:val="0"/>
      <w:marTop w:val="0"/>
      <w:marBottom w:val="0"/>
      <w:divBdr>
        <w:top w:val="none" w:sz="0" w:space="0" w:color="auto"/>
        <w:left w:val="none" w:sz="0" w:space="0" w:color="auto"/>
        <w:bottom w:val="none" w:sz="0" w:space="0" w:color="auto"/>
        <w:right w:val="none" w:sz="0" w:space="0" w:color="auto"/>
      </w:divBdr>
      <w:divsChild>
        <w:div w:id="1065033560">
          <w:marLeft w:val="0"/>
          <w:marRight w:val="0"/>
          <w:marTop w:val="0"/>
          <w:marBottom w:val="0"/>
          <w:divBdr>
            <w:top w:val="none" w:sz="0" w:space="0" w:color="auto"/>
            <w:left w:val="none" w:sz="0" w:space="0" w:color="auto"/>
            <w:bottom w:val="none" w:sz="0" w:space="0" w:color="auto"/>
            <w:right w:val="none" w:sz="0" w:space="0" w:color="auto"/>
          </w:divBdr>
          <w:divsChild>
            <w:div w:id="2048601276">
              <w:marLeft w:val="0"/>
              <w:marRight w:val="0"/>
              <w:marTop w:val="0"/>
              <w:marBottom w:val="0"/>
              <w:divBdr>
                <w:top w:val="none" w:sz="0" w:space="0" w:color="auto"/>
                <w:left w:val="none" w:sz="0" w:space="0" w:color="auto"/>
                <w:bottom w:val="none" w:sz="0" w:space="0" w:color="auto"/>
                <w:right w:val="none" w:sz="0" w:space="0" w:color="auto"/>
              </w:divBdr>
              <w:divsChild>
                <w:div w:id="965232004">
                  <w:marLeft w:val="0"/>
                  <w:marRight w:val="0"/>
                  <w:marTop w:val="0"/>
                  <w:marBottom w:val="0"/>
                  <w:divBdr>
                    <w:top w:val="none" w:sz="0" w:space="0" w:color="auto"/>
                    <w:left w:val="none" w:sz="0" w:space="0" w:color="auto"/>
                    <w:bottom w:val="none" w:sz="0" w:space="0" w:color="auto"/>
                    <w:right w:val="none" w:sz="0" w:space="0" w:color="auto"/>
                  </w:divBdr>
                  <w:divsChild>
                    <w:div w:id="1774939876">
                      <w:marLeft w:val="0"/>
                      <w:marRight w:val="0"/>
                      <w:marTop w:val="0"/>
                      <w:marBottom w:val="0"/>
                      <w:divBdr>
                        <w:top w:val="none" w:sz="0" w:space="0" w:color="auto"/>
                        <w:left w:val="none" w:sz="0" w:space="0" w:color="auto"/>
                        <w:bottom w:val="none" w:sz="0" w:space="0" w:color="auto"/>
                        <w:right w:val="none" w:sz="0" w:space="0" w:color="auto"/>
                      </w:divBdr>
                      <w:divsChild>
                        <w:div w:id="519201061">
                          <w:marLeft w:val="0"/>
                          <w:marRight w:val="0"/>
                          <w:marTop w:val="0"/>
                          <w:marBottom w:val="0"/>
                          <w:divBdr>
                            <w:top w:val="none" w:sz="0" w:space="0" w:color="auto"/>
                            <w:left w:val="none" w:sz="0" w:space="0" w:color="auto"/>
                            <w:bottom w:val="none" w:sz="0" w:space="0" w:color="auto"/>
                            <w:right w:val="none" w:sz="0" w:space="0" w:color="auto"/>
                          </w:divBdr>
                          <w:divsChild>
                            <w:div w:id="932782066">
                              <w:marLeft w:val="0"/>
                              <w:marRight w:val="0"/>
                              <w:marTop w:val="0"/>
                              <w:marBottom w:val="0"/>
                              <w:divBdr>
                                <w:top w:val="none" w:sz="0" w:space="0" w:color="auto"/>
                                <w:left w:val="none" w:sz="0" w:space="0" w:color="auto"/>
                                <w:bottom w:val="none" w:sz="0" w:space="0" w:color="auto"/>
                                <w:right w:val="none" w:sz="0" w:space="0" w:color="auto"/>
                              </w:divBdr>
                              <w:divsChild>
                                <w:div w:id="357434430">
                                  <w:marLeft w:val="0"/>
                                  <w:marRight w:val="0"/>
                                  <w:marTop w:val="0"/>
                                  <w:marBottom w:val="0"/>
                                  <w:divBdr>
                                    <w:top w:val="none" w:sz="0" w:space="0" w:color="auto"/>
                                    <w:left w:val="none" w:sz="0" w:space="0" w:color="auto"/>
                                    <w:bottom w:val="none" w:sz="0" w:space="0" w:color="auto"/>
                                    <w:right w:val="none" w:sz="0" w:space="0" w:color="auto"/>
                                  </w:divBdr>
                                  <w:divsChild>
                                    <w:div w:id="882668484">
                                      <w:marLeft w:val="0"/>
                                      <w:marRight w:val="0"/>
                                      <w:marTop w:val="0"/>
                                      <w:marBottom w:val="0"/>
                                      <w:divBdr>
                                        <w:top w:val="none" w:sz="0" w:space="0" w:color="auto"/>
                                        <w:left w:val="none" w:sz="0" w:space="0" w:color="auto"/>
                                        <w:bottom w:val="none" w:sz="0" w:space="0" w:color="auto"/>
                                        <w:right w:val="none" w:sz="0" w:space="0" w:color="auto"/>
                                      </w:divBdr>
                                    </w:div>
                                    <w:div w:id="14000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638747">
      <w:bodyDiv w:val="1"/>
      <w:marLeft w:val="0"/>
      <w:marRight w:val="0"/>
      <w:marTop w:val="0"/>
      <w:marBottom w:val="0"/>
      <w:divBdr>
        <w:top w:val="none" w:sz="0" w:space="0" w:color="auto"/>
        <w:left w:val="none" w:sz="0" w:space="0" w:color="auto"/>
        <w:bottom w:val="none" w:sz="0" w:space="0" w:color="auto"/>
        <w:right w:val="none" w:sz="0" w:space="0" w:color="auto"/>
      </w:divBdr>
    </w:div>
    <w:div w:id="1978607286">
      <w:bodyDiv w:val="1"/>
      <w:marLeft w:val="0"/>
      <w:marRight w:val="0"/>
      <w:marTop w:val="0"/>
      <w:marBottom w:val="0"/>
      <w:divBdr>
        <w:top w:val="none" w:sz="0" w:space="0" w:color="auto"/>
        <w:left w:val="none" w:sz="0" w:space="0" w:color="auto"/>
        <w:bottom w:val="none" w:sz="0" w:space="0" w:color="auto"/>
        <w:right w:val="none" w:sz="0" w:space="0" w:color="auto"/>
      </w:divBdr>
      <w:divsChild>
        <w:div w:id="1048720637">
          <w:marLeft w:val="0"/>
          <w:marRight w:val="0"/>
          <w:marTop w:val="0"/>
          <w:marBottom w:val="0"/>
          <w:divBdr>
            <w:top w:val="none" w:sz="0" w:space="0" w:color="auto"/>
            <w:left w:val="none" w:sz="0" w:space="0" w:color="auto"/>
            <w:bottom w:val="none" w:sz="0" w:space="0" w:color="auto"/>
            <w:right w:val="none" w:sz="0" w:space="0" w:color="auto"/>
          </w:divBdr>
          <w:divsChild>
            <w:div w:id="4135723">
              <w:marLeft w:val="0"/>
              <w:marRight w:val="0"/>
              <w:marTop w:val="0"/>
              <w:marBottom w:val="0"/>
              <w:divBdr>
                <w:top w:val="none" w:sz="0" w:space="0" w:color="auto"/>
                <w:left w:val="none" w:sz="0" w:space="0" w:color="auto"/>
                <w:bottom w:val="none" w:sz="0" w:space="0" w:color="auto"/>
                <w:right w:val="none" w:sz="0" w:space="0" w:color="auto"/>
              </w:divBdr>
              <w:divsChild>
                <w:div w:id="1972129307">
                  <w:marLeft w:val="0"/>
                  <w:marRight w:val="0"/>
                  <w:marTop w:val="0"/>
                  <w:marBottom w:val="0"/>
                  <w:divBdr>
                    <w:top w:val="none" w:sz="0" w:space="0" w:color="auto"/>
                    <w:left w:val="none" w:sz="0" w:space="0" w:color="auto"/>
                    <w:bottom w:val="none" w:sz="0" w:space="0" w:color="auto"/>
                    <w:right w:val="none" w:sz="0" w:space="0" w:color="auto"/>
                  </w:divBdr>
                  <w:divsChild>
                    <w:div w:id="395511655">
                      <w:marLeft w:val="0"/>
                      <w:marRight w:val="0"/>
                      <w:marTop w:val="0"/>
                      <w:marBottom w:val="0"/>
                      <w:divBdr>
                        <w:top w:val="none" w:sz="0" w:space="0" w:color="auto"/>
                        <w:left w:val="none" w:sz="0" w:space="0" w:color="auto"/>
                        <w:bottom w:val="none" w:sz="0" w:space="0" w:color="auto"/>
                        <w:right w:val="none" w:sz="0" w:space="0" w:color="auto"/>
                      </w:divBdr>
                      <w:divsChild>
                        <w:div w:id="957418390">
                          <w:marLeft w:val="0"/>
                          <w:marRight w:val="0"/>
                          <w:marTop w:val="0"/>
                          <w:marBottom w:val="0"/>
                          <w:divBdr>
                            <w:top w:val="none" w:sz="0" w:space="0" w:color="auto"/>
                            <w:left w:val="none" w:sz="0" w:space="0" w:color="auto"/>
                            <w:bottom w:val="none" w:sz="0" w:space="0" w:color="auto"/>
                            <w:right w:val="none" w:sz="0" w:space="0" w:color="auto"/>
                          </w:divBdr>
                          <w:divsChild>
                            <w:div w:id="280697325">
                              <w:marLeft w:val="0"/>
                              <w:marRight w:val="0"/>
                              <w:marTop w:val="0"/>
                              <w:marBottom w:val="0"/>
                              <w:divBdr>
                                <w:top w:val="none" w:sz="0" w:space="0" w:color="auto"/>
                                <w:left w:val="none" w:sz="0" w:space="0" w:color="auto"/>
                                <w:bottom w:val="none" w:sz="0" w:space="0" w:color="auto"/>
                                <w:right w:val="none" w:sz="0" w:space="0" w:color="auto"/>
                              </w:divBdr>
                              <w:divsChild>
                                <w:div w:id="1263761035">
                                  <w:marLeft w:val="0"/>
                                  <w:marRight w:val="0"/>
                                  <w:marTop w:val="0"/>
                                  <w:marBottom w:val="0"/>
                                  <w:divBdr>
                                    <w:top w:val="none" w:sz="0" w:space="0" w:color="auto"/>
                                    <w:left w:val="none" w:sz="0" w:space="0" w:color="auto"/>
                                    <w:bottom w:val="none" w:sz="0" w:space="0" w:color="auto"/>
                                    <w:right w:val="none" w:sz="0" w:space="0" w:color="auto"/>
                                  </w:divBdr>
                                  <w:divsChild>
                                    <w:div w:id="290747239">
                                      <w:marLeft w:val="0"/>
                                      <w:marRight w:val="0"/>
                                      <w:marTop w:val="0"/>
                                      <w:marBottom w:val="240"/>
                                      <w:divBdr>
                                        <w:top w:val="none" w:sz="0" w:space="0" w:color="auto"/>
                                        <w:left w:val="none" w:sz="0" w:space="0" w:color="auto"/>
                                        <w:bottom w:val="none" w:sz="0" w:space="0" w:color="auto"/>
                                        <w:right w:val="none" w:sz="0" w:space="0" w:color="auto"/>
                                      </w:divBdr>
                                    </w:div>
                                    <w:div w:id="1904289106">
                                      <w:marLeft w:val="0"/>
                                      <w:marRight w:val="0"/>
                                      <w:marTop w:val="0"/>
                                      <w:marBottom w:val="0"/>
                                      <w:divBdr>
                                        <w:top w:val="none" w:sz="0" w:space="0" w:color="auto"/>
                                        <w:left w:val="none" w:sz="0" w:space="0" w:color="auto"/>
                                        <w:bottom w:val="none" w:sz="0" w:space="0" w:color="auto"/>
                                        <w:right w:val="none" w:sz="0" w:space="0" w:color="auto"/>
                                      </w:divBdr>
                                      <w:divsChild>
                                        <w:div w:id="1886797718">
                                          <w:marLeft w:val="0"/>
                                          <w:marRight w:val="0"/>
                                          <w:marTop w:val="0"/>
                                          <w:marBottom w:val="0"/>
                                          <w:divBdr>
                                            <w:top w:val="none" w:sz="0" w:space="0" w:color="auto"/>
                                            <w:left w:val="none" w:sz="0" w:space="0" w:color="auto"/>
                                            <w:bottom w:val="none" w:sz="0" w:space="0" w:color="auto"/>
                                            <w:right w:val="none" w:sz="0" w:space="0" w:color="auto"/>
                                          </w:divBdr>
                                        </w:div>
                                      </w:divsChild>
                                    </w:div>
                                    <w:div w:id="64304844">
                                      <w:marLeft w:val="0"/>
                                      <w:marRight w:val="0"/>
                                      <w:marTop w:val="0"/>
                                      <w:marBottom w:val="0"/>
                                      <w:divBdr>
                                        <w:top w:val="none" w:sz="0" w:space="0" w:color="auto"/>
                                        <w:left w:val="none" w:sz="0" w:space="0" w:color="auto"/>
                                        <w:bottom w:val="none" w:sz="0" w:space="0" w:color="auto"/>
                                        <w:right w:val="none" w:sz="0" w:space="0" w:color="auto"/>
                                      </w:divBdr>
                                      <w:divsChild>
                                        <w:div w:id="1304038614">
                                          <w:marLeft w:val="0"/>
                                          <w:marRight w:val="0"/>
                                          <w:marTop w:val="0"/>
                                          <w:marBottom w:val="0"/>
                                          <w:divBdr>
                                            <w:top w:val="none" w:sz="0" w:space="0" w:color="auto"/>
                                            <w:left w:val="none" w:sz="0" w:space="0" w:color="auto"/>
                                            <w:bottom w:val="none" w:sz="0" w:space="0" w:color="auto"/>
                                            <w:right w:val="none" w:sz="0" w:space="0" w:color="auto"/>
                                          </w:divBdr>
                                        </w:div>
                                      </w:divsChild>
                                    </w:div>
                                    <w:div w:id="2137554729">
                                      <w:marLeft w:val="0"/>
                                      <w:marRight w:val="0"/>
                                      <w:marTop w:val="0"/>
                                      <w:marBottom w:val="0"/>
                                      <w:divBdr>
                                        <w:top w:val="none" w:sz="0" w:space="0" w:color="auto"/>
                                        <w:left w:val="none" w:sz="0" w:space="0" w:color="auto"/>
                                        <w:bottom w:val="none" w:sz="0" w:space="0" w:color="auto"/>
                                        <w:right w:val="none" w:sz="0" w:space="0" w:color="auto"/>
                                      </w:divBdr>
                                      <w:divsChild>
                                        <w:div w:id="1090782348">
                                          <w:marLeft w:val="0"/>
                                          <w:marRight w:val="0"/>
                                          <w:marTop w:val="0"/>
                                          <w:marBottom w:val="0"/>
                                          <w:divBdr>
                                            <w:top w:val="none" w:sz="0" w:space="0" w:color="auto"/>
                                            <w:left w:val="none" w:sz="0" w:space="0" w:color="auto"/>
                                            <w:bottom w:val="none" w:sz="0" w:space="0" w:color="auto"/>
                                            <w:right w:val="none" w:sz="0" w:space="0" w:color="auto"/>
                                          </w:divBdr>
                                        </w:div>
                                      </w:divsChild>
                                    </w:div>
                                    <w:div w:id="612828930">
                                      <w:marLeft w:val="0"/>
                                      <w:marRight w:val="0"/>
                                      <w:marTop w:val="0"/>
                                      <w:marBottom w:val="0"/>
                                      <w:divBdr>
                                        <w:top w:val="none" w:sz="0" w:space="0" w:color="auto"/>
                                        <w:left w:val="none" w:sz="0" w:space="0" w:color="auto"/>
                                        <w:bottom w:val="none" w:sz="0" w:space="0" w:color="auto"/>
                                        <w:right w:val="none" w:sz="0" w:space="0" w:color="auto"/>
                                      </w:divBdr>
                                      <w:divsChild>
                                        <w:div w:id="2055689630">
                                          <w:marLeft w:val="0"/>
                                          <w:marRight w:val="0"/>
                                          <w:marTop w:val="0"/>
                                          <w:marBottom w:val="0"/>
                                          <w:divBdr>
                                            <w:top w:val="none" w:sz="0" w:space="0" w:color="auto"/>
                                            <w:left w:val="none" w:sz="0" w:space="0" w:color="auto"/>
                                            <w:bottom w:val="none" w:sz="0" w:space="0" w:color="auto"/>
                                            <w:right w:val="none" w:sz="0" w:space="0" w:color="auto"/>
                                          </w:divBdr>
                                        </w:div>
                                        <w:div w:id="844243114">
                                          <w:marLeft w:val="0"/>
                                          <w:marRight w:val="0"/>
                                          <w:marTop w:val="0"/>
                                          <w:marBottom w:val="0"/>
                                          <w:divBdr>
                                            <w:top w:val="none" w:sz="0" w:space="0" w:color="auto"/>
                                            <w:left w:val="none" w:sz="0" w:space="0" w:color="auto"/>
                                            <w:bottom w:val="none" w:sz="0" w:space="0" w:color="auto"/>
                                            <w:right w:val="none" w:sz="0" w:space="0" w:color="auto"/>
                                          </w:divBdr>
                                        </w:div>
                                      </w:divsChild>
                                    </w:div>
                                    <w:div w:id="1438988536">
                                      <w:marLeft w:val="0"/>
                                      <w:marRight w:val="0"/>
                                      <w:marTop w:val="0"/>
                                      <w:marBottom w:val="0"/>
                                      <w:divBdr>
                                        <w:top w:val="none" w:sz="0" w:space="0" w:color="auto"/>
                                        <w:left w:val="none" w:sz="0" w:space="0" w:color="auto"/>
                                        <w:bottom w:val="none" w:sz="0" w:space="0" w:color="auto"/>
                                        <w:right w:val="none" w:sz="0" w:space="0" w:color="auto"/>
                                      </w:divBdr>
                                      <w:divsChild>
                                        <w:div w:id="1610550994">
                                          <w:marLeft w:val="0"/>
                                          <w:marRight w:val="0"/>
                                          <w:marTop w:val="0"/>
                                          <w:marBottom w:val="0"/>
                                          <w:divBdr>
                                            <w:top w:val="none" w:sz="0" w:space="0" w:color="auto"/>
                                            <w:left w:val="none" w:sz="0" w:space="0" w:color="auto"/>
                                            <w:bottom w:val="none" w:sz="0" w:space="0" w:color="auto"/>
                                            <w:right w:val="none" w:sz="0" w:space="0" w:color="auto"/>
                                          </w:divBdr>
                                        </w:div>
                                        <w:div w:id="425153621">
                                          <w:marLeft w:val="0"/>
                                          <w:marRight w:val="0"/>
                                          <w:marTop w:val="0"/>
                                          <w:marBottom w:val="0"/>
                                          <w:divBdr>
                                            <w:top w:val="none" w:sz="0" w:space="0" w:color="auto"/>
                                            <w:left w:val="none" w:sz="0" w:space="0" w:color="auto"/>
                                            <w:bottom w:val="none" w:sz="0" w:space="0" w:color="auto"/>
                                            <w:right w:val="none" w:sz="0" w:space="0" w:color="auto"/>
                                          </w:divBdr>
                                        </w:div>
                                      </w:divsChild>
                                    </w:div>
                                    <w:div w:id="1593126814">
                                      <w:marLeft w:val="0"/>
                                      <w:marRight w:val="0"/>
                                      <w:marTop w:val="0"/>
                                      <w:marBottom w:val="0"/>
                                      <w:divBdr>
                                        <w:top w:val="none" w:sz="0" w:space="0" w:color="auto"/>
                                        <w:left w:val="none" w:sz="0" w:space="0" w:color="auto"/>
                                        <w:bottom w:val="none" w:sz="0" w:space="0" w:color="auto"/>
                                        <w:right w:val="none" w:sz="0" w:space="0" w:color="auto"/>
                                      </w:divBdr>
                                      <w:divsChild>
                                        <w:div w:id="178274180">
                                          <w:marLeft w:val="0"/>
                                          <w:marRight w:val="0"/>
                                          <w:marTop w:val="0"/>
                                          <w:marBottom w:val="0"/>
                                          <w:divBdr>
                                            <w:top w:val="none" w:sz="0" w:space="0" w:color="auto"/>
                                            <w:left w:val="none" w:sz="0" w:space="0" w:color="auto"/>
                                            <w:bottom w:val="none" w:sz="0" w:space="0" w:color="auto"/>
                                            <w:right w:val="none" w:sz="0" w:space="0" w:color="auto"/>
                                          </w:divBdr>
                                        </w:div>
                                        <w:div w:id="145208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0595">
                                  <w:marLeft w:val="0"/>
                                  <w:marRight w:val="0"/>
                                  <w:marTop w:val="0"/>
                                  <w:marBottom w:val="0"/>
                                  <w:divBdr>
                                    <w:top w:val="none" w:sz="0" w:space="0" w:color="auto"/>
                                    <w:left w:val="none" w:sz="0" w:space="0" w:color="auto"/>
                                    <w:bottom w:val="none" w:sz="0" w:space="0" w:color="auto"/>
                                    <w:right w:val="none" w:sz="0" w:space="0" w:color="auto"/>
                                  </w:divBdr>
                                  <w:divsChild>
                                    <w:div w:id="1318145788">
                                      <w:marLeft w:val="0"/>
                                      <w:marRight w:val="0"/>
                                      <w:marTop w:val="0"/>
                                      <w:marBottom w:val="240"/>
                                      <w:divBdr>
                                        <w:top w:val="none" w:sz="0" w:space="0" w:color="auto"/>
                                        <w:left w:val="none" w:sz="0" w:space="0" w:color="auto"/>
                                        <w:bottom w:val="none" w:sz="0" w:space="0" w:color="auto"/>
                                        <w:right w:val="none" w:sz="0" w:space="0" w:color="auto"/>
                                      </w:divBdr>
                                    </w:div>
                                    <w:div w:id="627008119">
                                      <w:marLeft w:val="0"/>
                                      <w:marRight w:val="0"/>
                                      <w:marTop w:val="0"/>
                                      <w:marBottom w:val="0"/>
                                      <w:divBdr>
                                        <w:top w:val="none" w:sz="0" w:space="0" w:color="auto"/>
                                        <w:left w:val="none" w:sz="0" w:space="0" w:color="auto"/>
                                        <w:bottom w:val="none" w:sz="0" w:space="0" w:color="auto"/>
                                        <w:right w:val="none" w:sz="0" w:space="0" w:color="auto"/>
                                      </w:divBdr>
                                      <w:divsChild>
                                        <w:div w:id="999772302">
                                          <w:marLeft w:val="0"/>
                                          <w:marRight w:val="0"/>
                                          <w:marTop w:val="0"/>
                                          <w:marBottom w:val="0"/>
                                          <w:divBdr>
                                            <w:top w:val="none" w:sz="0" w:space="0" w:color="auto"/>
                                            <w:left w:val="none" w:sz="0" w:space="0" w:color="auto"/>
                                            <w:bottom w:val="none" w:sz="0" w:space="0" w:color="auto"/>
                                            <w:right w:val="none" w:sz="0" w:space="0" w:color="auto"/>
                                          </w:divBdr>
                                        </w:div>
                                        <w:div w:id="136071310">
                                          <w:marLeft w:val="0"/>
                                          <w:marRight w:val="0"/>
                                          <w:marTop w:val="0"/>
                                          <w:marBottom w:val="0"/>
                                          <w:divBdr>
                                            <w:top w:val="none" w:sz="0" w:space="0" w:color="auto"/>
                                            <w:left w:val="none" w:sz="0" w:space="0" w:color="auto"/>
                                            <w:bottom w:val="none" w:sz="0" w:space="0" w:color="auto"/>
                                            <w:right w:val="none" w:sz="0" w:space="0" w:color="auto"/>
                                          </w:divBdr>
                                        </w:div>
                                        <w:div w:id="2050371794">
                                          <w:marLeft w:val="0"/>
                                          <w:marRight w:val="0"/>
                                          <w:marTop w:val="0"/>
                                          <w:marBottom w:val="0"/>
                                          <w:divBdr>
                                            <w:top w:val="none" w:sz="0" w:space="0" w:color="auto"/>
                                            <w:left w:val="none" w:sz="0" w:space="0" w:color="auto"/>
                                            <w:bottom w:val="none" w:sz="0" w:space="0" w:color="auto"/>
                                            <w:right w:val="none" w:sz="0" w:space="0" w:color="auto"/>
                                          </w:divBdr>
                                        </w:div>
                                        <w:div w:id="2082290081">
                                          <w:marLeft w:val="0"/>
                                          <w:marRight w:val="0"/>
                                          <w:marTop w:val="0"/>
                                          <w:marBottom w:val="0"/>
                                          <w:divBdr>
                                            <w:top w:val="none" w:sz="0" w:space="0" w:color="auto"/>
                                            <w:left w:val="none" w:sz="0" w:space="0" w:color="auto"/>
                                            <w:bottom w:val="none" w:sz="0" w:space="0" w:color="auto"/>
                                            <w:right w:val="none" w:sz="0" w:space="0" w:color="auto"/>
                                          </w:divBdr>
                                        </w:div>
                                        <w:div w:id="1623078083">
                                          <w:marLeft w:val="0"/>
                                          <w:marRight w:val="0"/>
                                          <w:marTop w:val="0"/>
                                          <w:marBottom w:val="360"/>
                                          <w:divBdr>
                                            <w:top w:val="none" w:sz="0" w:space="0" w:color="auto"/>
                                            <w:left w:val="none" w:sz="0" w:space="0" w:color="auto"/>
                                            <w:bottom w:val="none" w:sz="0" w:space="0" w:color="auto"/>
                                            <w:right w:val="none" w:sz="0" w:space="0" w:color="auto"/>
                                          </w:divBdr>
                                          <w:divsChild>
                                            <w:div w:id="138575053">
                                              <w:marLeft w:val="0"/>
                                              <w:marRight w:val="0"/>
                                              <w:marTop w:val="0"/>
                                              <w:marBottom w:val="0"/>
                                              <w:divBdr>
                                                <w:top w:val="none" w:sz="0" w:space="0" w:color="auto"/>
                                                <w:left w:val="none" w:sz="0" w:space="0" w:color="auto"/>
                                                <w:bottom w:val="none" w:sz="0" w:space="0" w:color="auto"/>
                                                <w:right w:val="none" w:sz="0" w:space="0" w:color="auto"/>
                                              </w:divBdr>
                                              <w:divsChild>
                                                <w:div w:id="1828281075">
                                                  <w:marLeft w:val="0"/>
                                                  <w:marRight w:val="0"/>
                                                  <w:marTop w:val="0"/>
                                                  <w:marBottom w:val="0"/>
                                                  <w:divBdr>
                                                    <w:top w:val="none" w:sz="0" w:space="0" w:color="auto"/>
                                                    <w:left w:val="none" w:sz="0" w:space="0" w:color="auto"/>
                                                    <w:bottom w:val="none" w:sz="0" w:space="0" w:color="auto"/>
                                                    <w:right w:val="none" w:sz="0" w:space="0" w:color="auto"/>
                                                  </w:divBdr>
                                                </w:div>
                                                <w:div w:id="1069423757">
                                                  <w:marLeft w:val="0"/>
                                                  <w:marRight w:val="0"/>
                                                  <w:marTop w:val="0"/>
                                                  <w:marBottom w:val="0"/>
                                                  <w:divBdr>
                                                    <w:top w:val="none" w:sz="0" w:space="0" w:color="auto"/>
                                                    <w:left w:val="none" w:sz="0" w:space="0" w:color="auto"/>
                                                    <w:bottom w:val="none" w:sz="0" w:space="0" w:color="auto"/>
                                                    <w:right w:val="none" w:sz="0" w:space="0" w:color="auto"/>
                                                  </w:divBdr>
                                                </w:div>
                                                <w:div w:id="1513106295">
                                                  <w:marLeft w:val="0"/>
                                                  <w:marRight w:val="0"/>
                                                  <w:marTop w:val="0"/>
                                                  <w:marBottom w:val="0"/>
                                                  <w:divBdr>
                                                    <w:top w:val="none" w:sz="0" w:space="0" w:color="auto"/>
                                                    <w:left w:val="none" w:sz="0" w:space="0" w:color="auto"/>
                                                    <w:bottom w:val="none" w:sz="0" w:space="0" w:color="auto"/>
                                                    <w:right w:val="none" w:sz="0" w:space="0" w:color="auto"/>
                                                  </w:divBdr>
                                                </w:div>
                                                <w:div w:id="113794782">
                                                  <w:marLeft w:val="0"/>
                                                  <w:marRight w:val="0"/>
                                                  <w:marTop w:val="0"/>
                                                  <w:marBottom w:val="0"/>
                                                  <w:divBdr>
                                                    <w:top w:val="none" w:sz="0" w:space="0" w:color="auto"/>
                                                    <w:left w:val="none" w:sz="0" w:space="0" w:color="auto"/>
                                                    <w:bottom w:val="none" w:sz="0" w:space="0" w:color="auto"/>
                                                    <w:right w:val="none" w:sz="0" w:space="0" w:color="auto"/>
                                                  </w:divBdr>
                                                </w:div>
                                              </w:divsChild>
                                            </w:div>
                                            <w:div w:id="6180955">
                                              <w:marLeft w:val="0"/>
                                              <w:marRight w:val="0"/>
                                              <w:marTop w:val="0"/>
                                              <w:marBottom w:val="0"/>
                                              <w:divBdr>
                                                <w:top w:val="none" w:sz="0" w:space="0" w:color="auto"/>
                                                <w:left w:val="none" w:sz="0" w:space="0" w:color="auto"/>
                                                <w:bottom w:val="none" w:sz="0" w:space="0" w:color="auto"/>
                                                <w:right w:val="none" w:sz="0" w:space="0" w:color="auto"/>
                                              </w:divBdr>
                                            </w:div>
                                            <w:div w:id="1659725001">
                                              <w:marLeft w:val="0"/>
                                              <w:marRight w:val="0"/>
                                              <w:marTop w:val="0"/>
                                              <w:marBottom w:val="0"/>
                                              <w:divBdr>
                                                <w:top w:val="none" w:sz="0" w:space="0" w:color="auto"/>
                                                <w:left w:val="none" w:sz="0" w:space="0" w:color="auto"/>
                                                <w:bottom w:val="none" w:sz="0" w:space="0" w:color="auto"/>
                                                <w:right w:val="none" w:sz="0" w:space="0" w:color="auto"/>
                                              </w:divBdr>
                                            </w:div>
                                            <w:div w:id="558975730">
                                              <w:marLeft w:val="0"/>
                                              <w:marRight w:val="0"/>
                                              <w:marTop w:val="0"/>
                                              <w:marBottom w:val="0"/>
                                              <w:divBdr>
                                                <w:top w:val="none" w:sz="0" w:space="0" w:color="auto"/>
                                                <w:left w:val="none" w:sz="0" w:space="0" w:color="auto"/>
                                                <w:bottom w:val="none" w:sz="0" w:space="0" w:color="auto"/>
                                                <w:right w:val="none" w:sz="0" w:space="0" w:color="auto"/>
                                              </w:divBdr>
                                            </w:div>
                                            <w:div w:id="1291352412">
                                              <w:marLeft w:val="0"/>
                                              <w:marRight w:val="0"/>
                                              <w:marTop w:val="0"/>
                                              <w:marBottom w:val="0"/>
                                              <w:divBdr>
                                                <w:top w:val="none" w:sz="0" w:space="0" w:color="auto"/>
                                                <w:left w:val="none" w:sz="0" w:space="0" w:color="auto"/>
                                                <w:bottom w:val="none" w:sz="0" w:space="0" w:color="auto"/>
                                                <w:right w:val="none" w:sz="0" w:space="0" w:color="auto"/>
                                              </w:divBdr>
                                            </w:div>
                                            <w:div w:id="1928880099">
                                              <w:marLeft w:val="0"/>
                                              <w:marRight w:val="0"/>
                                              <w:marTop w:val="0"/>
                                              <w:marBottom w:val="0"/>
                                              <w:divBdr>
                                                <w:top w:val="none" w:sz="0" w:space="0" w:color="auto"/>
                                                <w:left w:val="none" w:sz="0" w:space="0" w:color="auto"/>
                                                <w:bottom w:val="none" w:sz="0" w:space="0" w:color="auto"/>
                                                <w:right w:val="none" w:sz="0" w:space="0" w:color="auto"/>
                                              </w:divBdr>
                                            </w:div>
                                            <w:div w:id="1044603113">
                                              <w:marLeft w:val="0"/>
                                              <w:marRight w:val="0"/>
                                              <w:marTop w:val="0"/>
                                              <w:marBottom w:val="0"/>
                                              <w:divBdr>
                                                <w:top w:val="none" w:sz="0" w:space="0" w:color="auto"/>
                                                <w:left w:val="none" w:sz="0" w:space="0" w:color="auto"/>
                                                <w:bottom w:val="none" w:sz="0" w:space="0" w:color="auto"/>
                                                <w:right w:val="none" w:sz="0" w:space="0" w:color="auto"/>
                                              </w:divBdr>
                                            </w:div>
                                            <w:div w:id="1680540906">
                                              <w:marLeft w:val="0"/>
                                              <w:marRight w:val="0"/>
                                              <w:marTop w:val="0"/>
                                              <w:marBottom w:val="0"/>
                                              <w:divBdr>
                                                <w:top w:val="none" w:sz="0" w:space="0" w:color="auto"/>
                                                <w:left w:val="none" w:sz="0" w:space="0" w:color="auto"/>
                                                <w:bottom w:val="none" w:sz="0" w:space="0" w:color="auto"/>
                                                <w:right w:val="none" w:sz="0" w:space="0" w:color="auto"/>
                                              </w:divBdr>
                                            </w:div>
                                            <w:div w:id="2103868810">
                                              <w:marLeft w:val="0"/>
                                              <w:marRight w:val="0"/>
                                              <w:marTop w:val="0"/>
                                              <w:marBottom w:val="0"/>
                                              <w:divBdr>
                                                <w:top w:val="none" w:sz="0" w:space="0" w:color="auto"/>
                                                <w:left w:val="none" w:sz="0" w:space="0" w:color="auto"/>
                                                <w:bottom w:val="none" w:sz="0" w:space="0" w:color="auto"/>
                                                <w:right w:val="none" w:sz="0" w:space="0" w:color="auto"/>
                                              </w:divBdr>
                                            </w:div>
                                            <w:div w:id="964315653">
                                              <w:marLeft w:val="0"/>
                                              <w:marRight w:val="0"/>
                                              <w:marTop w:val="0"/>
                                              <w:marBottom w:val="0"/>
                                              <w:divBdr>
                                                <w:top w:val="none" w:sz="0" w:space="0" w:color="auto"/>
                                                <w:left w:val="none" w:sz="0" w:space="0" w:color="auto"/>
                                                <w:bottom w:val="none" w:sz="0" w:space="0" w:color="auto"/>
                                                <w:right w:val="none" w:sz="0" w:space="0" w:color="auto"/>
                                              </w:divBdr>
                                            </w:div>
                                            <w:div w:id="1308246581">
                                              <w:marLeft w:val="0"/>
                                              <w:marRight w:val="0"/>
                                              <w:marTop w:val="0"/>
                                              <w:marBottom w:val="0"/>
                                              <w:divBdr>
                                                <w:top w:val="none" w:sz="0" w:space="0" w:color="auto"/>
                                                <w:left w:val="none" w:sz="0" w:space="0" w:color="auto"/>
                                                <w:bottom w:val="none" w:sz="0" w:space="0" w:color="auto"/>
                                                <w:right w:val="none" w:sz="0" w:space="0" w:color="auto"/>
                                              </w:divBdr>
                                            </w:div>
                                            <w:div w:id="34232503">
                                              <w:marLeft w:val="0"/>
                                              <w:marRight w:val="0"/>
                                              <w:marTop w:val="0"/>
                                              <w:marBottom w:val="0"/>
                                              <w:divBdr>
                                                <w:top w:val="none" w:sz="0" w:space="0" w:color="auto"/>
                                                <w:left w:val="none" w:sz="0" w:space="0" w:color="auto"/>
                                                <w:bottom w:val="none" w:sz="0" w:space="0" w:color="auto"/>
                                                <w:right w:val="none" w:sz="0" w:space="0" w:color="auto"/>
                                              </w:divBdr>
                                            </w:div>
                                            <w:div w:id="373969150">
                                              <w:marLeft w:val="0"/>
                                              <w:marRight w:val="0"/>
                                              <w:marTop w:val="0"/>
                                              <w:marBottom w:val="0"/>
                                              <w:divBdr>
                                                <w:top w:val="none" w:sz="0" w:space="0" w:color="auto"/>
                                                <w:left w:val="none" w:sz="0" w:space="0" w:color="auto"/>
                                                <w:bottom w:val="none" w:sz="0" w:space="0" w:color="auto"/>
                                                <w:right w:val="none" w:sz="0" w:space="0" w:color="auto"/>
                                              </w:divBdr>
                                            </w:div>
                                            <w:div w:id="796875146">
                                              <w:marLeft w:val="0"/>
                                              <w:marRight w:val="0"/>
                                              <w:marTop w:val="0"/>
                                              <w:marBottom w:val="0"/>
                                              <w:divBdr>
                                                <w:top w:val="none" w:sz="0" w:space="0" w:color="auto"/>
                                                <w:left w:val="none" w:sz="0" w:space="0" w:color="auto"/>
                                                <w:bottom w:val="none" w:sz="0" w:space="0" w:color="auto"/>
                                                <w:right w:val="none" w:sz="0" w:space="0" w:color="auto"/>
                                              </w:divBdr>
                                            </w:div>
                                            <w:div w:id="722749610">
                                              <w:marLeft w:val="0"/>
                                              <w:marRight w:val="0"/>
                                              <w:marTop w:val="0"/>
                                              <w:marBottom w:val="0"/>
                                              <w:divBdr>
                                                <w:top w:val="none" w:sz="0" w:space="0" w:color="auto"/>
                                                <w:left w:val="none" w:sz="0" w:space="0" w:color="auto"/>
                                                <w:bottom w:val="none" w:sz="0" w:space="0" w:color="auto"/>
                                                <w:right w:val="none" w:sz="0" w:space="0" w:color="auto"/>
                                              </w:divBdr>
                                            </w:div>
                                            <w:div w:id="1124275706">
                                              <w:marLeft w:val="0"/>
                                              <w:marRight w:val="0"/>
                                              <w:marTop w:val="0"/>
                                              <w:marBottom w:val="0"/>
                                              <w:divBdr>
                                                <w:top w:val="none" w:sz="0" w:space="0" w:color="auto"/>
                                                <w:left w:val="none" w:sz="0" w:space="0" w:color="auto"/>
                                                <w:bottom w:val="none" w:sz="0" w:space="0" w:color="auto"/>
                                                <w:right w:val="none" w:sz="0" w:space="0" w:color="auto"/>
                                              </w:divBdr>
                                            </w:div>
                                            <w:div w:id="876047944">
                                              <w:marLeft w:val="0"/>
                                              <w:marRight w:val="0"/>
                                              <w:marTop w:val="0"/>
                                              <w:marBottom w:val="0"/>
                                              <w:divBdr>
                                                <w:top w:val="none" w:sz="0" w:space="0" w:color="auto"/>
                                                <w:left w:val="none" w:sz="0" w:space="0" w:color="auto"/>
                                                <w:bottom w:val="none" w:sz="0" w:space="0" w:color="auto"/>
                                                <w:right w:val="none" w:sz="0" w:space="0" w:color="auto"/>
                                              </w:divBdr>
                                            </w:div>
                                            <w:div w:id="1468818153">
                                              <w:marLeft w:val="0"/>
                                              <w:marRight w:val="0"/>
                                              <w:marTop w:val="0"/>
                                              <w:marBottom w:val="0"/>
                                              <w:divBdr>
                                                <w:top w:val="none" w:sz="0" w:space="0" w:color="auto"/>
                                                <w:left w:val="none" w:sz="0" w:space="0" w:color="auto"/>
                                                <w:bottom w:val="none" w:sz="0" w:space="0" w:color="auto"/>
                                                <w:right w:val="none" w:sz="0" w:space="0" w:color="auto"/>
                                              </w:divBdr>
                                            </w:div>
                                            <w:div w:id="931477061">
                                              <w:marLeft w:val="0"/>
                                              <w:marRight w:val="0"/>
                                              <w:marTop w:val="0"/>
                                              <w:marBottom w:val="0"/>
                                              <w:divBdr>
                                                <w:top w:val="none" w:sz="0" w:space="0" w:color="auto"/>
                                                <w:left w:val="none" w:sz="0" w:space="0" w:color="auto"/>
                                                <w:bottom w:val="none" w:sz="0" w:space="0" w:color="auto"/>
                                                <w:right w:val="none" w:sz="0" w:space="0" w:color="auto"/>
                                              </w:divBdr>
                                            </w:div>
                                            <w:div w:id="43413850">
                                              <w:marLeft w:val="0"/>
                                              <w:marRight w:val="0"/>
                                              <w:marTop w:val="0"/>
                                              <w:marBottom w:val="0"/>
                                              <w:divBdr>
                                                <w:top w:val="none" w:sz="0" w:space="0" w:color="auto"/>
                                                <w:left w:val="none" w:sz="0" w:space="0" w:color="auto"/>
                                                <w:bottom w:val="none" w:sz="0" w:space="0" w:color="auto"/>
                                                <w:right w:val="none" w:sz="0" w:space="0" w:color="auto"/>
                                              </w:divBdr>
                                            </w:div>
                                            <w:div w:id="1140684670">
                                              <w:marLeft w:val="0"/>
                                              <w:marRight w:val="0"/>
                                              <w:marTop w:val="0"/>
                                              <w:marBottom w:val="0"/>
                                              <w:divBdr>
                                                <w:top w:val="none" w:sz="0" w:space="0" w:color="auto"/>
                                                <w:left w:val="none" w:sz="0" w:space="0" w:color="auto"/>
                                                <w:bottom w:val="none" w:sz="0" w:space="0" w:color="auto"/>
                                                <w:right w:val="none" w:sz="0" w:space="0" w:color="auto"/>
                                              </w:divBdr>
                                            </w:div>
                                            <w:div w:id="1309048696">
                                              <w:marLeft w:val="0"/>
                                              <w:marRight w:val="0"/>
                                              <w:marTop w:val="0"/>
                                              <w:marBottom w:val="0"/>
                                              <w:divBdr>
                                                <w:top w:val="none" w:sz="0" w:space="0" w:color="auto"/>
                                                <w:left w:val="none" w:sz="0" w:space="0" w:color="auto"/>
                                                <w:bottom w:val="none" w:sz="0" w:space="0" w:color="auto"/>
                                                <w:right w:val="none" w:sz="0" w:space="0" w:color="auto"/>
                                              </w:divBdr>
                                            </w:div>
                                            <w:div w:id="1511532039">
                                              <w:marLeft w:val="0"/>
                                              <w:marRight w:val="0"/>
                                              <w:marTop w:val="0"/>
                                              <w:marBottom w:val="0"/>
                                              <w:divBdr>
                                                <w:top w:val="none" w:sz="0" w:space="0" w:color="auto"/>
                                                <w:left w:val="none" w:sz="0" w:space="0" w:color="auto"/>
                                                <w:bottom w:val="none" w:sz="0" w:space="0" w:color="auto"/>
                                                <w:right w:val="none" w:sz="0" w:space="0" w:color="auto"/>
                                              </w:divBdr>
                                            </w:div>
                                            <w:div w:id="1653872237">
                                              <w:marLeft w:val="0"/>
                                              <w:marRight w:val="0"/>
                                              <w:marTop w:val="0"/>
                                              <w:marBottom w:val="0"/>
                                              <w:divBdr>
                                                <w:top w:val="none" w:sz="0" w:space="0" w:color="auto"/>
                                                <w:left w:val="none" w:sz="0" w:space="0" w:color="auto"/>
                                                <w:bottom w:val="none" w:sz="0" w:space="0" w:color="auto"/>
                                                <w:right w:val="none" w:sz="0" w:space="0" w:color="auto"/>
                                              </w:divBdr>
                                            </w:div>
                                            <w:div w:id="1573924136">
                                              <w:marLeft w:val="0"/>
                                              <w:marRight w:val="0"/>
                                              <w:marTop w:val="0"/>
                                              <w:marBottom w:val="0"/>
                                              <w:divBdr>
                                                <w:top w:val="none" w:sz="0" w:space="0" w:color="auto"/>
                                                <w:left w:val="none" w:sz="0" w:space="0" w:color="auto"/>
                                                <w:bottom w:val="none" w:sz="0" w:space="0" w:color="auto"/>
                                                <w:right w:val="none" w:sz="0" w:space="0" w:color="auto"/>
                                              </w:divBdr>
                                            </w:div>
                                            <w:div w:id="2050031871">
                                              <w:marLeft w:val="0"/>
                                              <w:marRight w:val="0"/>
                                              <w:marTop w:val="0"/>
                                              <w:marBottom w:val="0"/>
                                              <w:divBdr>
                                                <w:top w:val="none" w:sz="0" w:space="0" w:color="auto"/>
                                                <w:left w:val="none" w:sz="0" w:space="0" w:color="auto"/>
                                                <w:bottom w:val="none" w:sz="0" w:space="0" w:color="auto"/>
                                                <w:right w:val="none" w:sz="0" w:space="0" w:color="auto"/>
                                              </w:divBdr>
                                            </w:div>
                                            <w:div w:id="915548854">
                                              <w:marLeft w:val="0"/>
                                              <w:marRight w:val="0"/>
                                              <w:marTop w:val="0"/>
                                              <w:marBottom w:val="0"/>
                                              <w:divBdr>
                                                <w:top w:val="none" w:sz="0" w:space="0" w:color="auto"/>
                                                <w:left w:val="none" w:sz="0" w:space="0" w:color="auto"/>
                                                <w:bottom w:val="none" w:sz="0" w:space="0" w:color="auto"/>
                                                <w:right w:val="none" w:sz="0" w:space="0" w:color="auto"/>
                                              </w:divBdr>
                                            </w:div>
                                            <w:div w:id="573660863">
                                              <w:marLeft w:val="0"/>
                                              <w:marRight w:val="0"/>
                                              <w:marTop w:val="0"/>
                                              <w:marBottom w:val="0"/>
                                              <w:divBdr>
                                                <w:top w:val="none" w:sz="0" w:space="0" w:color="auto"/>
                                                <w:left w:val="none" w:sz="0" w:space="0" w:color="auto"/>
                                                <w:bottom w:val="none" w:sz="0" w:space="0" w:color="auto"/>
                                                <w:right w:val="none" w:sz="0" w:space="0" w:color="auto"/>
                                              </w:divBdr>
                                            </w:div>
                                            <w:div w:id="1734740281">
                                              <w:marLeft w:val="0"/>
                                              <w:marRight w:val="0"/>
                                              <w:marTop w:val="0"/>
                                              <w:marBottom w:val="0"/>
                                              <w:divBdr>
                                                <w:top w:val="none" w:sz="0" w:space="0" w:color="auto"/>
                                                <w:left w:val="none" w:sz="0" w:space="0" w:color="auto"/>
                                                <w:bottom w:val="none" w:sz="0" w:space="0" w:color="auto"/>
                                                <w:right w:val="none" w:sz="0" w:space="0" w:color="auto"/>
                                              </w:divBdr>
                                            </w:div>
                                            <w:div w:id="1726369228">
                                              <w:marLeft w:val="0"/>
                                              <w:marRight w:val="0"/>
                                              <w:marTop w:val="0"/>
                                              <w:marBottom w:val="0"/>
                                              <w:divBdr>
                                                <w:top w:val="none" w:sz="0" w:space="0" w:color="auto"/>
                                                <w:left w:val="none" w:sz="0" w:space="0" w:color="auto"/>
                                                <w:bottom w:val="none" w:sz="0" w:space="0" w:color="auto"/>
                                                <w:right w:val="none" w:sz="0" w:space="0" w:color="auto"/>
                                              </w:divBdr>
                                            </w:div>
                                            <w:div w:id="793402967">
                                              <w:marLeft w:val="0"/>
                                              <w:marRight w:val="0"/>
                                              <w:marTop w:val="0"/>
                                              <w:marBottom w:val="0"/>
                                              <w:divBdr>
                                                <w:top w:val="none" w:sz="0" w:space="0" w:color="auto"/>
                                                <w:left w:val="none" w:sz="0" w:space="0" w:color="auto"/>
                                                <w:bottom w:val="none" w:sz="0" w:space="0" w:color="auto"/>
                                                <w:right w:val="none" w:sz="0" w:space="0" w:color="auto"/>
                                              </w:divBdr>
                                            </w:div>
                                            <w:div w:id="1216312541">
                                              <w:marLeft w:val="0"/>
                                              <w:marRight w:val="0"/>
                                              <w:marTop w:val="0"/>
                                              <w:marBottom w:val="0"/>
                                              <w:divBdr>
                                                <w:top w:val="none" w:sz="0" w:space="0" w:color="auto"/>
                                                <w:left w:val="none" w:sz="0" w:space="0" w:color="auto"/>
                                                <w:bottom w:val="none" w:sz="0" w:space="0" w:color="auto"/>
                                                <w:right w:val="none" w:sz="0" w:space="0" w:color="auto"/>
                                              </w:divBdr>
                                            </w:div>
                                            <w:div w:id="1622682936">
                                              <w:marLeft w:val="0"/>
                                              <w:marRight w:val="0"/>
                                              <w:marTop w:val="0"/>
                                              <w:marBottom w:val="0"/>
                                              <w:divBdr>
                                                <w:top w:val="none" w:sz="0" w:space="0" w:color="auto"/>
                                                <w:left w:val="none" w:sz="0" w:space="0" w:color="auto"/>
                                                <w:bottom w:val="none" w:sz="0" w:space="0" w:color="auto"/>
                                                <w:right w:val="none" w:sz="0" w:space="0" w:color="auto"/>
                                              </w:divBdr>
                                            </w:div>
                                            <w:div w:id="1558394827">
                                              <w:marLeft w:val="0"/>
                                              <w:marRight w:val="0"/>
                                              <w:marTop w:val="0"/>
                                              <w:marBottom w:val="0"/>
                                              <w:divBdr>
                                                <w:top w:val="none" w:sz="0" w:space="0" w:color="auto"/>
                                                <w:left w:val="none" w:sz="0" w:space="0" w:color="auto"/>
                                                <w:bottom w:val="none" w:sz="0" w:space="0" w:color="auto"/>
                                                <w:right w:val="none" w:sz="0" w:space="0" w:color="auto"/>
                                              </w:divBdr>
                                            </w:div>
                                            <w:div w:id="2081757179">
                                              <w:marLeft w:val="0"/>
                                              <w:marRight w:val="0"/>
                                              <w:marTop w:val="0"/>
                                              <w:marBottom w:val="0"/>
                                              <w:divBdr>
                                                <w:top w:val="none" w:sz="0" w:space="0" w:color="auto"/>
                                                <w:left w:val="none" w:sz="0" w:space="0" w:color="auto"/>
                                                <w:bottom w:val="none" w:sz="0" w:space="0" w:color="auto"/>
                                                <w:right w:val="none" w:sz="0" w:space="0" w:color="auto"/>
                                              </w:divBdr>
                                            </w:div>
                                            <w:div w:id="1975400623">
                                              <w:marLeft w:val="0"/>
                                              <w:marRight w:val="0"/>
                                              <w:marTop w:val="0"/>
                                              <w:marBottom w:val="0"/>
                                              <w:divBdr>
                                                <w:top w:val="none" w:sz="0" w:space="0" w:color="auto"/>
                                                <w:left w:val="none" w:sz="0" w:space="0" w:color="auto"/>
                                                <w:bottom w:val="none" w:sz="0" w:space="0" w:color="auto"/>
                                                <w:right w:val="none" w:sz="0" w:space="0" w:color="auto"/>
                                              </w:divBdr>
                                            </w:div>
                                            <w:div w:id="604119124">
                                              <w:marLeft w:val="0"/>
                                              <w:marRight w:val="0"/>
                                              <w:marTop w:val="0"/>
                                              <w:marBottom w:val="0"/>
                                              <w:divBdr>
                                                <w:top w:val="none" w:sz="0" w:space="0" w:color="auto"/>
                                                <w:left w:val="none" w:sz="0" w:space="0" w:color="auto"/>
                                                <w:bottom w:val="none" w:sz="0" w:space="0" w:color="auto"/>
                                                <w:right w:val="none" w:sz="0" w:space="0" w:color="auto"/>
                                              </w:divBdr>
                                            </w:div>
                                            <w:div w:id="1055738148">
                                              <w:marLeft w:val="0"/>
                                              <w:marRight w:val="0"/>
                                              <w:marTop w:val="0"/>
                                              <w:marBottom w:val="0"/>
                                              <w:divBdr>
                                                <w:top w:val="none" w:sz="0" w:space="0" w:color="auto"/>
                                                <w:left w:val="none" w:sz="0" w:space="0" w:color="auto"/>
                                                <w:bottom w:val="none" w:sz="0" w:space="0" w:color="auto"/>
                                                <w:right w:val="none" w:sz="0" w:space="0" w:color="auto"/>
                                              </w:divBdr>
                                            </w:div>
                                            <w:div w:id="210383355">
                                              <w:marLeft w:val="0"/>
                                              <w:marRight w:val="0"/>
                                              <w:marTop w:val="0"/>
                                              <w:marBottom w:val="0"/>
                                              <w:divBdr>
                                                <w:top w:val="none" w:sz="0" w:space="0" w:color="auto"/>
                                                <w:left w:val="none" w:sz="0" w:space="0" w:color="auto"/>
                                                <w:bottom w:val="none" w:sz="0" w:space="0" w:color="auto"/>
                                                <w:right w:val="none" w:sz="0" w:space="0" w:color="auto"/>
                                              </w:divBdr>
                                            </w:div>
                                            <w:div w:id="296303316">
                                              <w:marLeft w:val="0"/>
                                              <w:marRight w:val="0"/>
                                              <w:marTop w:val="0"/>
                                              <w:marBottom w:val="0"/>
                                              <w:divBdr>
                                                <w:top w:val="none" w:sz="0" w:space="0" w:color="auto"/>
                                                <w:left w:val="none" w:sz="0" w:space="0" w:color="auto"/>
                                                <w:bottom w:val="none" w:sz="0" w:space="0" w:color="auto"/>
                                                <w:right w:val="none" w:sz="0" w:space="0" w:color="auto"/>
                                              </w:divBdr>
                                            </w:div>
                                            <w:div w:id="1952130251">
                                              <w:marLeft w:val="0"/>
                                              <w:marRight w:val="0"/>
                                              <w:marTop w:val="0"/>
                                              <w:marBottom w:val="0"/>
                                              <w:divBdr>
                                                <w:top w:val="none" w:sz="0" w:space="0" w:color="auto"/>
                                                <w:left w:val="none" w:sz="0" w:space="0" w:color="auto"/>
                                                <w:bottom w:val="none" w:sz="0" w:space="0" w:color="auto"/>
                                                <w:right w:val="none" w:sz="0" w:space="0" w:color="auto"/>
                                              </w:divBdr>
                                            </w:div>
                                            <w:div w:id="565067011">
                                              <w:marLeft w:val="0"/>
                                              <w:marRight w:val="0"/>
                                              <w:marTop w:val="0"/>
                                              <w:marBottom w:val="0"/>
                                              <w:divBdr>
                                                <w:top w:val="none" w:sz="0" w:space="0" w:color="auto"/>
                                                <w:left w:val="none" w:sz="0" w:space="0" w:color="auto"/>
                                                <w:bottom w:val="none" w:sz="0" w:space="0" w:color="auto"/>
                                                <w:right w:val="none" w:sz="0" w:space="0" w:color="auto"/>
                                              </w:divBdr>
                                            </w:div>
                                            <w:div w:id="996223806">
                                              <w:marLeft w:val="0"/>
                                              <w:marRight w:val="0"/>
                                              <w:marTop w:val="0"/>
                                              <w:marBottom w:val="0"/>
                                              <w:divBdr>
                                                <w:top w:val="none" w:sz="0" w:space="0" w:color="auto"/>
                                                <w:left w:val="none" w:sz="0" w:space="0" w:color="auto"/>
                                                <w:bottom w:val="none" w:sz="0" w:space="0" w:color="auto"/>
                                                <w:right w:val="none" w:sz="0" w:space="0" w:color="auto"/>
                                              </w:divBdr>
                                            </w:div>
                                            <w:div w:id="128401835">
                                              <w:marLeft w:val="0"/>
                                              <w:marRight w:val="0"/>
                                              <w:marTop w:val="0"/>
                                              <w:marBottom w:val="0"/>
                                              <w:divBdr>
                                                <w:top w:val="none" w:sz="0" w:space="0" w:color="auto"/>
                                                <w:left w:val="none" w:sz="0" w:space="0" w:color="auto"/>
                                                <w:bottom w:val="none" w:sz="0" w:space="0" w:color="auto"/>
                                                <w:right w:val="none" w:sz="0" w:space="0" w:color="auto"/>
                                              </w:divBdr>
                                            </w:div>
                                            <w:div w:id="1212813607">
                                              <w:marLeft w:val="0"/>
                                              <w:marRight w:val="0"/>
                                              <w:marTop w:val="0"/>
                                              <w:marBottom w:val="0"/>
                                              <w:divBdr>
                                                <w:top w:val="none" w:sz="0" w:space="0" w:color="auto"/>
                                                <w:left w:val="none" w:sz="0" w:space="0" w:color="auto"/>
                                                <w:bottom w:val="none" w:sz="0" w:space="0" w:color="auto"/>
                                                <w:right w:val="none" w:sz="0" w:space="0" w:color="auto"/>
                                              </w:divBdr>
                                            </w:div>
                                            <w:div w:id="396053357">
                                              <w:marLeft w:val="0"/>
                                              <w:marRight w:val="0"/>
                                              <w:marTop w:val="0"/>
                                              <w:marBottom w:val="0"/>
                                              <w:divBdr>
                                                <w:top w:val="none" w:sz="0" w:space="0" w:color="auto"/>
                                                <w:left w:val="none" w:sz="0" w:space="0" w:color="auto"/>
                                                <w:bottom w:val="none" w:sz="0" w:space="0" w:color="auto"/>
                                                <w:right w:val="none" w:sz="0" w:space="0" w:color="auto"/>
                                              </w:divBdr>
                                            </w:div>
                                            <w:div w:id="615869906">
                                              <w:marLeft w:val="0"/>
                                              <w:marRight w:val="0"/>
                                              <w:marTop w:val="0"/>
                                              <w:marBottom w:val="0"/>
                                              <w:divBdr>
                                                <w:top w:val="none" w:sz="0" w:space="0" w:color="auto"/>
                                                <w:left w:val="none" w:sz="0" w:space="0" w:color="auto"/>
                                                <w:bottom w:val="none" w:sz="0" w:space="0" w:color="auto"/>
                                                <w:right w:val="none" w:sz="0" w:space="0" w:color="auto"/>
                                              </w:divBdr>
                                            </w:div>
                                            <w:div w:id="731199772">
                                              <w:marLeft w:val="0"/>
                                              <w:marRight w:val="0"/>
                                              <w:marTop w:val="0"/>
                                              <w:marBottom w:val="0"/>
                                              <w:divBdr>
                                                <w:top w:val="none" w:sz="0" w:space="0" w:color="auto"/>
                                                <w:left w:val="none" w:sz="0" w:space="0" w:color="auto"/>
                                                <w:bottom w:val="none" w:sz="0" w:space="0" w:color="auto"/>
                                                <w:right w:val="none" w:sz="0" w:space="0" w:color="auto"/>
                                              </w:divBdr>
                                            </w:div>
                                            <w:div w:id="1878928912">
                                              <w:marLeft w:val="0"/>
                                              <w:marRight w:val="0"/>
                                              <w:marTop w:val="0"/>
                                              <w:marBottom w:val="0"/>
                                              <w:divBdr>
                                                <w:top w:val="none" w:sz="0" w:space="0" w:color="auto"/>
                                                <w:left w:val="none" w:sz="0" w:space="0" w:color="auto"/>
                                                <w:bottom w:val="none" w:sz="0" w:space="0" w:color="auto"/>
                                                <w:right w:val="none" w:sz="0" w:space="0" w:color="auto"/>
                                              </w:divBdr>
                                            </w:div>
                                            <w:div w:id="798302449">
                                              <w:marLeft w:val="0"/>
                                              <w:marRight w:val="0"/>
                                              <w:marTop w:val="0"/>
                                              <w:marBottom w:val="0"/>
                                              <w:divBdr>
                                                <w:top w:val="none" w:sz="0" w:space="0" w:color="auto"/>
                                                <w:left w:val="none" w:sz="0" w:space="0" w:color="auto"/>
                                                <w:bottom w:val="none" w:sz="0" w:space="0" w:color="auto"/>
                                                <w:right w:val="none" w:sz="0" w:space="0" w:color="auto"/>
                                              </w:divBdr>
                                            </w:div>
                                            <w:div w:id="1637104230">
                                              <w:marLeft w:val="0"/>
                                              <w:marRight w:val="0"/>
                                              <w:marTop w:val="0"/>
                                              <w:marBottom w:val="0"/>
                                              <w:divBdr>
                                                <w:top w:val="none" w:sz="0" w:space="0" w:color="auto"/>
                                                <w:left w:val="none" w:sz="0" w:space="0" w:color="auto"/>
                                                <w:bottom w:val="none" w:sz="0" w:space="0" w:color="auto"/>
                                                <w:right w:val="none" w:sz="0" w:space="0" w:color="auto"/>
                                              </w:divBdr>
                                            </w:div>
                                            <w:div w:id="97796275">
                                              <w:marLeft w:val="0"/>
                                              <w:marRight w:val="0"/>
                                              <w:marTop w:val="0"/>
                                              <w:marBottom w:val="0"/>
                                              <w:divBdr>
                                                <w:top w:val="none" w:sz="0" w:space="0" w:color="auto"/>
                                                <w:left w:val="none" w:sz="0" w:space="0" w:color="auto"/>
                                                <w:bottom w:val="none" w:sz="0" w:space="0" w:color="auto"/>
                                                <w:right w:val="none" w:sz="0" w:space="0" w:color="auto"/>
                                              </w:divBdr>
                                            </w:div>
                                            <w:div w:id="791289827">
                                              <w:marLeft w:val="0"/>
                                              <w:marRight w:val="0"/>
                                              <w:marTop w:val="0"/>
                                              <w:marBottom w:val="0"/>
                                              <w:divBdr>
                                                <w:top w:val="none" w:sz="0" w:space="0" w:color="auto"/>
                                                <w:left w:val="none" w:sz="0" w:space="0" w:color="auto"/>
                                                <w:bottom w:val="none" w:sz="0" w:space="0" w:color="auto"/>
                                                <w:right w:val="none" w:sz="0" w:space="0" w:color="auto"/>
                                              </w:divBdr>
                                            </w:div>
                                            <w:div w:id="1685281195">
                                              <w:marLeft w:val="0"/>
                                              <w:marRight w:val="0"/>
                                              <w:marTop w:val="0"/>
                                              <w:marBottom w:val="0"/>
                                              <w:divBdr>
                                                <w:top w:val="none" w:sz="0" w:space="0" w:color="auto"/>
                                                <w:left w:val="none" w:sz="0" w:space="0" w:color="auto"/>
                                                <w:bottom w:val="none" w:sz="0" w:space="0" w:color="auto"/>
                                                <w:right w:val="none" w:sz="0" w:space="0" w:color="auto"/>
                                              </w:divBdr>
                                            </w:div>
                                            <w:div w:id="199130188">
                                              <w:marLeft w:val="0"/>
                                              <w:marRight w:val="0"/>
                                              <w:marTop w:val="0"/>
                                              <w:marBottom w:val="0"/>
                                              <w:divBdr>
                                                <w:top w:val="none" w:sz="0" w:space="0" w:color="auto"/>
                                                <w:left w:val="none" w:sz="0" w:space="0" w:color="auto"/>
                                                <w:bottom w:val="none" w:sz="0" w:space="0" w:color="auto"/>
                                                <w:right w:val="none" w:sz="0" w:space="0" w:color="auto"/>
                                              </w:divBdr>
                                            </w:div>
                                            <w:div w:id="711728449">
                                              <w:marLeft w:val="0"/>
                                              <w:marRight w:val="0"/>
                                              <w:marTop w:val="0"/>
                                              <w:marBottom w:val="0"/>
                                              <w:divBdr>
                                                <w:top w:val="none" w:sz="0" w:space="0" w:color="auto"/>
                                                <w:left w:val="none" w:sz="0" w:space="0" w:color="auto"/>
                                                <w:bottom w:val="none" w:sz="0" w:space="0" w:color="auto"/>
                                                <w:right w:val="none" w:sz="0" w:space="0" w:color="auto"/>
                                              </w:divBdr>
                                            </w:div>
                                            <w:div w:id="1658923410">
                                              <w:marLeft w:val="0"/>
                                              <w:marRight w:val="0"/>
                                              <w:marTop w:val="0"/>
                                              <w:marBottom w:val="0"/>
                                              <w:divBdr>
                                                <w:top w:val="none" w:sz="0" w:space="0" w:color="auto"/>
                                                <w:left w:val="none" w:sz="0" w:space="0" w:color="auto"/>
                                                <w:bottom w:val="none" w:sz="0" w:space="0" w:color="auto"/>
                                                <w:right w:val="none" w:sz="0" w:space="0" w:color="auto"/>
                                              </w:divBdr>
                                            </w:div>
                                            <w:div w:id="1286935036">
                                              <w:marLeft w:val="0"/>
                                              <w:marRight w:val="0"/>
                                              <w:marTop w:val="0"/>
                                              <w:marBottom w:val="0"/>
                                              <w:divBdr>
                                                <w:top w:val="none" w:sz="0" w:space="0" w:color="auto"/>
                                                <w:left w:val="none" w:sz="0" w:space="0" w:color="auto"/>
                                                <w:bottom w:val="none" w:sz="0" w:space="0" w:color="auto"/>
                                                <w:right w:val="none" w:sz="0" w:space="0" w:color="auto"/>
                                              </w:divBdr>
                                            </w:div>
                                            <w:div w:id="1903710728">
                                              <w:marLeft w:val="0"/>
                                              <w:marRight w:val="0"/>
                                              <w:marTop w:val="0"/>
                                              <w:marBottom w:val="0"/>
                                              <w:divBdr>
                                                <w:top w:val="none" w:sz="0" w:space="0" w:color="auto"/>
                                                <w:left w:val="none" w:sz="0" w:space="0" w:color="auto"/>
                                                <w:bottom w:val="none" w:sz="0" w:space="0" w:color="auto"/>
                                                <w:right w:val="none" w:sz="0" w:space="0" w:color="auto"/>
                                              </w:divBdr>
                                            </w:div>
                                            <w:div w:id="777480819">
                                              <w:marLeft w:val="0"/>
                                              <w:marRight w:val="0"/>
                                              <w:marTop w:val="0"/>
                                              <w:marBottom w:val="0"/>
                                              <w:divBdr>
                                                <w:top w:val="none" w:sz="0" w:space="0" w:color="auto"/>
                                                <w:left w:val="none" w:sz="0" w:space="0" w:color="auto"/>
                                                <w:bottom w:val="none" w:sz="0" w:space="0" w:color="auto"/>
                                                <w:right w:val="none" w:sz="0" w:space="0" w:color="auto"/>
                                              </w:divBdr>
                                            </w:div>
                                            <w:div w:id="1779258223">
                                              <w:marLeft w:val="0"/>
                                              <w:marRight w:val="0"/>
                                              <w:marTop w:val="0"/>
                                              <w:marBottom w:val="0"/>
                                              <w:divBdr>
                                                <w:top w:val="none" w:sz="0" w:space="0" w:color="auto"/>
                                                <w:left w:val="none" w:sz="0" w:space="0" w:color="auto"/>
                                                <w:bottom w:val="none" w:sz="0" w:space="0" w:color="auto"/>
                                                <w:right w:val="none" w:sz="0" w:space="0" w:color="auto"/>
                                              </w:divBdr>
                                            </w:div>
                                          </w:divsChild>
                                        </w:div>
                                        <w:div w:id="859243796">
                                          <w:marLeft w:val="0"/>
                                          <w:marRight w:val="0"/>
                                          <w:marTop w:val="0"/>
                                          <w:marBottom w:val="0"/>
                                          <w:divBdr>
                                            <w:top w:val="none" w:sz="0" w:space="0" w:color="auto"/>
                                            <w:left w:val="none" w:sz="0" w:space="0" w:color="auto"/>
                                            <w:bottom w:val="none" w:sz="0" w:space="0" w:color="auto"/>
                                            <w:right w:val="none" w:sz="0" w:space="0" w:color="auto"/>
                                          </w:divBdr>
                                        </w:div>
                                        <w:div w:id="1615402874">
                                          <w:marLeft w:val="0"/>
                                          <w:marRight w:val="0"/>
                                          <w:marTop w:val="0"/>
                                          <w:marBottom w:val="0"/>
                                          <w:divBdr>
                                            <w:top w:val="none" w:sz="0" w:space="0" w:color="auto"/>
                                            <w:left w:val="none" w:sz="0" w:space="0" w:color="auto"/>
                                            <w:bottom w:val="none" w:sz="0" w:space="0" w:color="auto"/>
                                            <w:right w:val="none" w:sz="0" w:space="0" w:color="auto"/>
                                          </w:divBdr>
                                        </w:div>
                                      </w:divsChild>
                                    </w:div>
                                    <w:div w:id="1298727134">
                                      <w:marLeft w:val="0"/>
                                      <w:marRight w:val="0"/>
                                      <w:marTop w:val="0"/>
                                      <w:marBottom w:val="0"/>
                                      <w:divBdr>
                                        <w:top w:val="none" w:sz="0" w:space="0" w:color="auto"/>
                                        <w:left w:val="none" w:sz="0" w:space="0" w:color="auto"/>
                                        <w:bottom w:val="none" w:sz="0" w:space="0" w:color="auto"/>
                                        <w:right w:val="none" w:sz="0" w:space="0" w:color="auto"/>
                                      </w:divBdr>
                                      <w:divsChild>
                                        <w:div w:id="215969134">
                                          <w:marLeft w:val="0"/>
                                          <w:marRight w:val="0"/>
                                          <w:marTop w:val="0"/>
                                          <w:marBottom w:val="0"/>
                                          <w:divBdr>
                                            <w:top w:val="none" w:sz="0" w:space="0" w:color="auto"/>
                                            <w:left w:val="none" w:sz="0" w:space="0" w:color="auto"/>
                                            <w:bottom w:val="none" w:sz="0" w:space="0" w:color="auto"/>
                                            <w:right w:val="none" w:sz="0" w:space="0" w:color="auto"/>
                                          </w:divBdr>
                                        </w:div>
                                      </w:divsChild>
                                    </w:div>
                                    <w:div w:id="221675039">
                                      <w:marLeft w:val="0"/>
                                      <w:marRight w:val="0"/>
                                      <w:marTop w:val="0"/>
                                      <w:marBottom w:val="0"/>
                                      <w:divBdr>
                                        <w:top w:val="none" w:sz="0" w:space="0" w:color="auto"/>
                                        <w:left w:val="none" w:sz="0" w:space="0" w:color="auto"/>
                                        <w:bottom w:val="none" w:sz="0" w:space="0" w:color="auto"/>
                                        <w:right w:val="none" w:sz="0" w:space="0" w:color="auto"/>
                                      </w:divBdr>
                                      <w:divsChild>
                                        <w:div w:id="1176072915">
                                          <w:marLeft w:val="0"/>
                                          <w:marRight w:val="0"/>
                                          <w:marTop w:val="0"/>
                                          <w:marBottom w:val="0"/>
                                          <w:divBdr>
                                            <w:top w:val="none" w:sz="0" w:space="0" w:color="auto"/>
                                            <w:left w:val="none" w:sz="0" w:space="0" w:color="auto"/>
                                            <w:bottom w:val="none" w:sz="0" w:space="0" w:color="auto"/>
                                            <w:right w:val="none" w:sz="0" w:space="0" w:color="auto"/>
                                          </w:divBdr>
                                        </w:div>
                                        <w:div w:id="739711205">
                                          <w:marLeft w:val="0"/>
                                          <w:marRight w:val="0"/>
                                          <w:marTop w:val="0"/>
                                          <w:marBottom w:val="360"/>
                                          <w:divBdr>
                                            <w:top w:val="none" w:sz="0" w:space="0" w:color="auto"/>
                                            <w:left w:val="none" w:sz="0" w:space="0" w:color="auto"/>
                                            <w:bottom w:val="none" w:sz="0" w:space="0" w:color="auto"/>
                                            <w:right w:val="none" w:sz="0" w:space="0" w:color="auto"/>
                                          </w:divBdr>
                                          <w:divsChild>
                                            <w:div w:id="987978703">
                                              <w:marLeft w:val="0"/>
                                              <w:marRight w:val="0"/>
                                              <w:marTop w:val="0"/>
                                              <w:marBottom w:val="0"/>
                                              <w:divBdr>
                                                <w:top w:val="none" w:sz="0" w:space="0" w:color="auto"/>
                                                <w:left w:val="none" w:sz="0" w:space="0" w:color="auto"/>
                                                <w:bottom w:val="none" w:sz="0" w:space="0" w:color="auto"/>
                                                <w:right w:val="none" w:sz="0" w:space="0" w:color="auto"/>
                                              </w:divBdr>
                                              <w:divsChild>
                                                <w:div w:id="1782526711">
                                                  <w:marLeft w:val="0"/>
                                                  <w:marRight w:val="0"/>
                                                  <w:marTop w:val="0"/>
                                                  <w:marBottom w:val="0"/>
                                                  <w:divBdr>
                                                    <w:top w:val="none" w:sz="0" w:space="0" w:color="auto"/>
                                                    <w:left w:val="none" w:sz="0" w:space="0" w:color="auto"/>
                                                    <w:bottom w:val="none" w:sz="0" w:space="0" w:color="auto"/>
                                                    <w:right w:val="none" w:sz="0" w:space="0" w:color="auto"/>
                                                  </w:divBdr>
                                                </w:div>
                                                <w:div w:id="1018312714">
                                                  <w:marLeft w:val="0"/>
                                                  <w:marRight w:val="0"/>
                                                  <w:marTop w:val="0"/>
                                                  <w:marBottom w:val="0"/>
                                                  <w:divBdr>
                                                    <w:top w:val="none" w:sz="0" w:space="0" w:color="auto"/>
                                                    <w:left w:val="none" w:sz="0" w:space="0" w:color="auto"/>
                                                    <w:bottom w:val="none" w:sz="0" w:space="0" w:color="auto"/>
                                                    <w:right w:val="none" w:sz="0" w:space="0" w:color="auto"/>
                                                  </w:divBdr>
                                                </w:div>
                                                <w:div w:id="2138404556">
                                                  <w:marLeft w:val="0"/>
                                                  <w:marRight w:val="0"/>
                                                  <w:marTop w:val="0"/>
                                                  <w:marBottom w:val="0"/>
                                                  <w:divBdr>
                                                    <w:top w:val="none" w:sz="0" w:space="0" w:color="auto"/>
                                                    <w:left w:val="none" w:sz="0" w:space="0" w:color="auto"/>
                                                    <w:bottom w:val="none" w:sz="0" w:space="0" w:color="auto"/>
                                                    <w:right w:val="none" w:sz="0" w:space="0" w:color="auto"/>
                                                  </w:divBdr>
                                                </w:div>
                                                <w:div w:id="388462024">
                                                  <w:marLeft w:val="0"/>
                                                  <w:marRight w:val="0"/>
                                                  <w:marTop w:val="0"/>
                                                  <w:marBottom w:val="0"/>
                                                  <w:divBdr>
                                                    <w:top w:val="none" w:sz="0" w:space="0" w:color="auto"/>
                                                    <w:left w:val="none" w:sz="0" w:space="0" w:color="auto"/>
                                                    <w:bottom w:val="none" w:sz="0" w:space="0" w:color="auto"/>
                                                    <w:right w:val="none" w:sz="0" w:space="0" w:color="auto"/>
                                                  </w:divBdr>
                                                </w:div>
                                                <w:div w:id="686907425">
                                                  <w:marLeft w:val="0"/>
                                                  <w:marRight w:val="0"/>
                                                  <w:marTop w:val="0"/>
                                                  <w:marBottom w:val="0"/>
                                                  <w:divBdr>
                                                    <w:top w:val="none" w:sz="0" w:space="0" w:color="auto"/>
                                                    <w:left w:val="none" w:sz="0" w:space="0" w:color="auto"/>
                                                    <w:bottom w:val="none" w:sz="0" w:space="0" w:color="auto"/>
                                                    <w:right w:val="none" w:sz="0" w:space="0" w:color="auto"/>
                                                  </w:divBdr>
                                                </w:div>
                                                <w:div w:id="1935046650">
                                                  <w:marLeft w:val="0"/>
                                                  <w:marRight w:val="0"/>
                                                  <w:marTop w:val="0"/>
                                                  <w:marBottom w:val="0"/>
                                                  <w:divBdr>
                                                    <w:top w:val="none" w:sz="0" w:space="0" w:color="auto"/>
                                                    <w:left w:val="none" w:sz="0" w:space="0" w:color="auto"/>
                                                    <w:bottom w:val="none" w:sz="0" w:space="0" w:color="auto"/>
                                                    <w:right w:val="none" w:sz="0" w:space="0" w:color="auto"/>
                                                  </w:divBdr>
                                                </w:div>
                                                <w:div w:id="13882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3785">
                                          <w:marLeft w:val="0"/>
                                          <w:marRight w:val="0"/>
                                          <w:marTop w:val="0"/>
                                          <w:marBottom w:val="0"/>
                                          <w:divBdr>
                                            <w:top w:val="none" w:sz="0" w:space="0" w:color="auto"/>
                                            <w:left w:val="none" w:sz="0" w:space="0" w:color="auto"/>
                                            <w:bottom w:val="none" w:sz="0" w:space="0" w:color="auto"/>
                                            <w:right w:val="none" w:sz="0" w:space="0" w:color="auto"/>
                                          </w:divBdr>
                                        </w:div>
                                      </w:divsChild>
                                    </w:div>
                                    <w:div w:id="1592734557">
                                      <w:marLeft w:val="0"/>
                                      <w:marRight w:val="0"/>
                                      <w:marTop w:val="0"/>
                                      <w:marBottom w:val="0"/>
                                      <w:divBdr>
                                        <w:top w:val="none" w:sz="0" w:space="0" w:color="auto"/>
                                        <w:left w:val="none" w:sz="0" w:space="0" w:color="auto"/>
                                        <w:bottom w:val="none" w:sz="0" w:space="0" w:color="auto"/>
                                        <w:right w:val="none" w:sz="0" w:space="0" w:color="auto"/>
                                      </w:divBdr>
                                      <w:divsChild>
                                        <w:div w:id="683941254">
                                          <w:marLeft w:val="0"/>
                                          <w:marRight w:val="0"/>
                                          <w:marTop w:val="0"/>
                                          <w:marBottom w:val="0"/>
                                          <w:divBdr>
                                            <w:top w:val="none" w:sz="0" w:space="0" w:color="auto"/>
                                            <w:left w:val="none" w:sz="0" w:space="0" w:color="auto"/>
                                            <w:bottom w:val="none" w:sz="0" w:space="0" w:color="auto"/>
                                            <w:right w:val="none" w:sz="0" w:space="0" w:color="auto"/>
                                          </w:divBdr>
                                        </w:div>
                                        <w:div w:id="940406734">
                                          <w:marLeft w:val="0"/>
                                          <w:marRight w:val="0"/>
                                          <w:marTop w:val="0"/>
                                          <w:marBottom w:val="0"/>
                                          <w:divBdr>
                                            <w:top w:val="none" w:sz="0" w:space="0" w:color="auto"/>
                                            <w:left w:val="none" w:sz="0" w:space="0" w:color="auto"/>
                                            <w:bottom w:val="none" w:sz="0" w:space="0" w:color="auto"/>
                                            <w:right w:val="none" w:sz="0" w:space="0" w:color="auto"/>
                                          </w:divBdr>
                                        </w:div>
                                        <w:div w:id="1369793418">
                                          <w:marLeft w:val="0"/>
                                          <w:marRight w:val="0"/>
                                          <w:marTop w:val="0"/>
                                          <w:marBottom w:val="0"/>
                                          <w:divBdr>
                                            <w:top w:val="none" w:sz="0" w:space="0" w:color="auto"/>
                                            <w:left w:val="none" w:sz="0" w:space="0" w:color="auto"/>
                                            <w:bottom w:val="none" w:sz="0" w:space="0" w:color="auto"/>
                                            <w:right w:val="none" w:sz="0" w:space="0" w:color="auto"/>
                                          </w:divBdr>
                                        </w:div>
                                        <w:div w:id="1527907603">
                                          <w:marLeft w:val="0"/>
                                          <w:marRight w:val="0"/>
                                          <w:marTop w:val="0"/>
                                          <w:marBottom w:val="0"/>
                                          <w:divBdr>
                                            <w:top w:val="none" w:sz="0" w:space="0" w:color="auto"/>
                                            <w:left w:val="none" w:sz="0" w:space="0" w:color="auto"/>
                                            <w:bottom w:val="none" w:sz="0" w:space="0" w:color="auto"/>
                                            <w:right w:val="none" w:sz="0" w:space="0" w:color="auto"/>
                                          </w:divBdr>
                                        </w:div>
                                        <w:div w:id="1086459290">
                                          <w:marLeft w:val="0"/>
                                          <w:marRight w:val="0"/>
                                          <w:marTop w:val="0"/>
                                          <w:marBottom w:val="0"/>
                                          <w:divBdr>
                                            <w:top w:val="none" w:sz="0" w:space="0" w:color="auto"/>
                                            <w:left w:val="none" w:sz="0" w:space="0" w:color="auto"/>
                                            <w:bottom w:val="none" w:sz="0" w:space="0" w:color="auto"/>
                                            <w:right w:val="none" w:sz="0" w:space="0" w:color="auto"/>
                                          </w:divBdr>
                                        </w:div>
                                      </w:divsChild>
                                    </w:div>
                                    <w:div w:id="202987014">
                                      <w:marLeft w:val="0"/>
                                      <w:marRight w:val="0"/>
                                      <w:marTop w:val="0"/>
                                      <w:marBottom w:val="0"/>
                                      <w:divBdr>
                                        <w:top w:val="none" w:sz="0" w:space="0" w:color="auto"/>
                                        <w:left w:val="none" w:sz="0" w:space="0" w:color="auto"/>
                                        <w:bottom w:val="none" w:sz="0" w:space="0" w:color="auto"/>
                                        <w:right w:val="none" w:sz="0" w:space="0" w:color="auto"/>
                                      </w:divBdr>
                                      <w:divsChild>
                                        <w:div w:id="325205637">
                                          <w:marLeft w:val="0"/>
                                          <w:marRight w:val="0"/>
                                          <w:marTop w:val="0"/>
                                          <w:marBottom w:val="0"/>
                                          <w:divBdr>
                                            <w:top w:val="none" w:sz="0" w:space="0" w:color="auto"/>
                                            <w:left w:val="none" w:sz="0" w:space="0" w:color="auto"/>
                                            <w:bottom w:val="none" w:sz="0" w:space="0" w:color="auto"/>
                                            <w:right w:val="none" w:sz="0" w:space="0" w:color="auto"/>
                                          </w:divBdr>
                                        </w:div>
                                      </w:divsChild>
                                    </w:div>
                                    <w:div w:id="63727018">
                                      <w:marLeft w:val="0"/>
                                      <w:marRight w:val="0"/>
                                      <w:marTop w:val="0"/>
                                      <w:marBottom w:val="0"/>
                                      <w:divBdr>
                                        <w:top w:val="none" w:sz="0" w:space="0" w:color="auto"/>
                                        <w:left w:val="none" w:sz="0" w:space="0" w:color="auto"/>
                                        <w:bottom w:val="none" w:sz="0" w:space="0" w:color="auto"/>
                                        <w:right w:val="none" w:sz="0" w:space="0" w:color="auto"/>
                                      </w:divBdr>
                                      <w:divsChild>
                                        <w:div w:id="1035811173">
                                          <w:marLeft w:val="0"/>
                                          <w:marRight w:val="0"/>
                                          <w:marTop w:val="0"/>
                                          <w:marBottom w:val="0"/>
                                          <w:divBdr>
                                            <w:top w:val="none" w:sz="0" w:space="0" w:color="auto"/>
                                            <w:left w:val="none" w:sz="0" w:space="0" w:color="auto"/>
                                            <w:bottom w:val="none" w:sz="0" w:space="0" w:color="auto"/>
                                            <w:right w:val="none" w:sz="0" w:space="0" w:color="auto"/>
                                          </w:divBdr>
                                        </w:div>
                                        <w:div w:id="2090804050">
                                          <w:marLeft w:val="0"/>
                                          <w:marRight w:val="0"/>
                                          <w:marTop w:val="0"/>
                                          <w:marBottom w:val="0"/>
                                          <w:divBdr>
                                            <w:top w:val="none" w:sz="0" w:space="0" w:color="auto"/>
                                            <w:left w:val="none" w:sz="0" w:space="0" w:color="auto"/>
                                            <w:bottom w:val="none" w:sz="0" w:space="0" w:color="auto"/>
                                            <w:right w:val="none" w:sz="0" w:space="0" w:color="auto"/>
                                          </w:divBdr>
                                        </w:div>
                                      </w:divsChild>
                                    </w:div>
                                    <w:div w:id="774010755">
                                      <w:marLeft w:val="0"/>
                                      <w:marRight w:val="0"/>
                                      <w:marTop w:val="0"/>
                                      <w:marBottom w:val="0"/>
                                      <w:divBdr>
                                        <w:top w:val="none" w:sz="0" w:space="0" w:color="auto"/>
                                        <w:left w:val="none" w:sz="0" w:space="0" w:color="auto"/>
                                        <w:bottom w:val="none" w:sz="0" w:space="0" w:color="auto"/>
                                        <w:right w:val="none" w:sz="0" w:space="0" w:color="auto"/>
                                      </w:divBdr>
                                      <w:divsChild>
                                        <w:div w:id="1078940481">
                                          <w:marLeft w:val="0"/>
                                          <w:marRight w:val="0"/>
                                          <w:marTop w:val="0"/>
                                          <w:marBottom w:val="0"/>
                                          <w:divBdr>
                                            <w:top w:val="none" w:sz="0" w:space="0" w:color="auto"/>
                                            <w:left w:val="none" w:sz="0" w:space="0" w:color="auto"/>
                                            <w:bottom w:val="none" w:sz="0" w:space="0" w:color="auto"/>
                                            <w:right w:val="none" w:sz="0" w:space="0" w:color="auto"/>
                                          </w:divBdr>
                                        </w:div>
                                        <w:div w:id="191847640">
                                          <w:marLeft w:val="0"/>
                                          <w:marRight w:val="0"/>
                                          <w:marTop w:val="0"/>
                                          <w:marBottom w:val="0"/>
                                          <w:divBdr>
                                            <w:top w:val="none" w:sz="0" w:space="0" w:color="auto"/>
                                            <w:left w:val="none" w:sz="0" w:space="0" w:color="auto"/>
                                            <w:bottom w:val="none" w:sz="0" w:space="0" w:color="auto"/>
                                            <w:right w:val="none" w:sz="0" w:space="0" w:color="auto"/>
                                          </w:divBdr>
                                        </w:div>
                                        <w:div w:id="2010867821">
                                          <w:marLeft w:val="0"/>
                                          <w:marRight w:val="0"/>
                                          <w:marTop w:val="0"/>
                                          <w:marBottom w:val="0"/>
                                          <w:divBdr>
                                            <w:top w:val="none" w:sz="0" w:space="0" w:color="auto"/>
                                            <w:left w:val="none" w:sz="0" w:space="0" w:color="auto"/>
                                            <w:bottom w:val="none" w:sz="0" w:space="0" w:color="auto"/>
                                            <w:right w:val="none" w:sz="0" w:space="0" w:color="auto"/>
                                          </w:divBdr>
                                        </w:div>
                                        <w:div w:id="11915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78920">
                                  <w:marLeft w:val="0"/>
                                  <w:marRight w:val="0"/>
                                  <w:marTop w:val="0"/>
                                  <w:marBottom w:val="0"/>
                                  <w:divBdr>
                                    <w:top w:val="none" w:sz="0" w:space="0" w:color="auto"/>
                                    <w:left w:val="none" w:sz="0" w:space="0" w:color="auto"/>
                                    <w:bottom w:val="none" w:sz="0" w:space="0" w:color="auto"/>
                                    <w:right w:val="none" w:sz="0" w:space="0" w:color="auto"/>
                                  </w:divBdr>
                                  <w:divsChild>
                                    <w:div w:id="1744063643">
                                      <w:marLeft w:val="0"/>
                                      <w:marRight w:val="0"/>
                                      <w:marTop w:val="0"/>
                                      <w:marBottom w:val="240"/>
                                      <w:divBdr>
                                        <w:top w:val="none" w:sz="0" w:space="0" w:color="auto"/>
                                        <w:left w:val="none" w:sz="0" w:space="0" w:color="auto"/>
                                        <w:bottom w:val="none" w:sz="0" w:space="0" w:color="auto"/>
                                        <w:right w:val="none" w:sz="0" w:space="0" w:color="auto"/>
                                      </w:divBdr>
                                    </w:div>
                                    <w:div w:id="598221491">
                                      <w:marLeft w:val="0"/>
                                      <w:marRight w:val="0"/>
                                      <w:marTop w:val="0"/>
                                      <w:marBottom w:val="0"/>
                                      <w:divBdr>
                                        <w:top w:val="none" w:sz="0" w:space="0" w:color="auto"/>
                                        <w:left w:val="none" w:sz="0" w:space="0" w:color="auto"/>
                                        <w:bottom w:val="none" w:sz="0" w:space="0" w:color="auto"/>
                                        <w:right w:val="none" w:sz="0" w:space="0" w:color="auto"/>
                                      </w:divBdr>
                                      <w:divsChild>
                                        <w:div w:id="2113360681">
                                          <w:marLeft w:val="0"/>
                                          <w:marRight w:val="0"/>
                                          <w:marTop w:val="0"/>
                                          <w:marBottom w:val="0"/>
                                          <w:divBdr>
                                            <w:top w:val="none" w:sz="0" w:space="0" w:color="auto"/>
                                            <w:left w:val="none" w:sz="0" w:space="0" w:color="auto"/>
                                            <w:bottom w:val="none" w:sz="0" w:space="0" w:color="auto"/>
                                            <w:right w:val="none" w:sz="0" w:space="0" w:color="auto"/>
                                          </w:divBdr>
                                        </w:div>
                                        <w:div w:id="1724018413">
                                          <w:marLeft w:val="0"/>
                                          <w:marRight w:val="0"/>
                                          <w:marTop w:val="0"/>
                                          <w:marBottom w:val="0"/>
                                          <w:divBdr>
                                            <w:top w:val="none" w:sz="0" w:space="0" w:color="auto"/>
                                            <w:left w:val="none" w:sz="0" w:space="0" w:color="auto"/>
                                            <w:bottom w:val="none" w:sz="0" w:space="0" w:color="auto"/>
                                            <w:right w:val="none" w:sz="0" w:space="0" w:color="auto"/>
                                          </w:divBdr>
                                        </w:div>
                                        <w:div w:id="289285738">
                                          <w:marLeft w:val="0"/>
                                          <w:marRight w:val="0"/>
                                          <w:marTop w:val="0"/>
                                          <w:marBottom w:val="0"/>
                                          <w:divBdr>
                                            <w:top w:val="none" w:sz="0" w:space="0" w:color="auto"/>
                                            <w:left w:val="none" w:sz="0" w:space="0" w:color="auto"/>
                                            <w:bottom w:val="none" w:sz="0" w:space="0" w:color="auto"/>
                                            <w:right w:val="none" w:sz="0" w:space="0" w:color="auto"/>
                                          </w:divBdr>
                                        </w:div>
                                        <w:div w:id="1406564021">
                                          <w:marLeft w:val="0"/>
                                          <w:marRight w:val="0"/>
                                          <w:marTop w:val="0"/>
                                          <w:marBottom w:val="0"/>
                                          <w:divBdr>
                                            <w:top w:val="none" w:sz="0" w:space="0" w:color="auto"/>
                                            <w:left w:val="none" w:sz="0" w:space="0" w:color="auto"/>
                                            <w:bottom w:val="none" w:sz="0" w:space="0" w:color="auto"/>
                                            <w:right w:val="none" w:sz="0" w:space="0" w:color="auto"/>
                                          </w:divBdr>
                                        </w:div>
                                      </w:divsChild>
                                    </w:div>
                                    <w:div w:id="352535424">
                                      <w:marLeft w:val="0"/>
                                      <w:marRight w:val="0"/>
                                      <w:marTop w:val="0"/>
                                      <w:marBottom w:val="0"/>
                                      <w:divBdr>
                                        <w:top w:val="none" w:sz="0" w:space="0" w:color="auto"/>
                                        <w:left w:val="none" w:sz="0" w:space="0" w:color="auto"/>
                                        <w:bottom w:val="none" w:sz="0" w:space="0" w:color="auto"/>
                                        <w:right w:val="none" w:sz="0" w:space="0" w:color="auto"/>
                                      </w:divBdr>
                                      <w:divsChild>
                                        <w:div w:id="932786887">
                                          <w:marLeft w:val="0"/>
                                          <w:marRight w:val="0"/>
                                          <w:marTop w:val="0"/>
                                          <w:marBottom w:val="0"/>
                                          <w:divBdr>
                                            <w:top w:val="none" w:sz="0" w:space="0" w:color="auto"/>
                                            <w:left w:val="none" w:sz="0" w:space="0" w:color="auto"/>
                                            <w:bottom w:val="none" w:sz="0" w:space="0" w:color="auto"/>
                                            <w:right w:val="none" w:sz="0" w:space="0" w:color="auto"/>
                                          </w:divBdr>
                                        </w:div>
                                        <w:div w:id="128477045">
                                          <w:marLeft w:val="0"/>
                                          <w:marRight w:val="0"/>
                                          <w:marTop w:val="0"/>
                                          <w:marBottom w:val="0"/>
                                          <w:divBdr>
                                            <w:top w:val="none" w:sz="0" w:space="0" w:color="auto"/>
                                            <w:left w:val="none" w:sz="0" w:space="0" w:color="auto"/>
                                            <w:bottom w:val="none" w:sz="0" w:space="0" w:color="auto"/>
                                            <w:right w:val="none" w:sz="0" w:space="0" w:color="auto"/>
                                          </w:divBdr>
                                        </w:div>
                                      </w:divsChild>
                                    </w:div>
                                    <w:div w:id="1940598219">
                                      <w:marLeft w:val="0"/>
                                      <w:marRight w:val="0"/>
                                      <w:marTop w:val="0"/>
                                      <w:marBottom w:val="0"/>
                                      <w:divBdr>
                                        <w:top w:val="none" w:sz="0" w:space="0" w:color="auto"/>
                                        <w:left w:val="none" w:sz="0" w:space="0" w:color="auto"/>
                                        <w:bottom w:val="none" w:sz="0" w:space="0" w:color="auto"/>
                                        <w:right w:val="none" w:sz="0" w:space="0" w:color="auto"/>
                                      </w:divBdr>
                                      <w:divsChild>
                                        <w:div w:id="707996036">
                                          <w:marLeft w:val="0"/>
                                          <w:marRight w:val="0"/>
                                          <w:marTop w:val="0"/>
                                          <w:marBottom w:val="0"/>
                                          <w:divBdr>
                                            <w:top w:val="none" w:sz="0" w:space="0" w:color="auto"/>
                                            <w:left w:val="none" w:sz="0" w:space="0" w:color="auto"/>
                                            <w:bottom w:val="none" w:sz="0" w:space="0" w:color="auto"/>
                                            <w:right w:val="none" w:sz="0" w:space="0" w:color="auto"/>
                                          </w:divBdr>
                                        </w:div>
                                        <w:div w:id="1196842761">
                                          <w:marLeft w:val="0"/>
                                          <w:marRight w:val="0"/>
                                          <w:marTop w:val="0"/>
                                          <w:marBottom w:val="0"/>
                                          <w:divBdr>
                                            <w:top w:val="none" w:sz="0" w:space="0" w:color="auto"/>
                                            <w:left w:val="none" w:sz="0" w:space="0" w:color="auto"/>
                                            <w:bottom w:val="none" w:sz="0" w:space="0" w:color="auto"/>
                                            <w:right w:val="none" w:sz="0" w:space="0" w:color="auto"/>
                                          </w:divBdr>
                                        </w:div>
                                      </w:divsChild>
                                    </w:div>
                                    <w:div w:id="1114902401">
                                      <w:marLeft w:val="0"/>
                                      <w:marRight w:val="0"/>
                                      <w:marTop w:val="0"/>
                                      <w:marBottom w:val="0"/>
                                      <w:divBdr>
                                        <w:top w:val="none" w:sz="0" w:space="0" w:color="auto"/>
                                        <w:left w:val="none" w:sz="0" w:space="0" w:color="auto"/>
                                        <w:bottom w:val="none" w:sz="0" w:space="0" w:color="auto"/>
                                        <w:right w:val="none" w:sz="0" w:space="0" w:color="auto"/>
                                      </w:divBdr>
                                      <w:divsChild>
                                        <w:div w:id="1820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4145">
                                  <w:marLeft w:val="0"/>
                                  <w:marRight w:val="0"/>
                                  <w:marTop w:val="0"/>
                                  <w:marBottom w:val="0"/>
                                  <w:divBdr>
                                    <w:top w:val="none" w:sz="0" w:space="0" w:color="auto"/>
                                    <w:left w:val="none" w:sz="0" w:space="0" w:color="auto"/>
                                    <w:bottom w:val="none" w:sz="0" w:space="0" w:color="auto"/>
                                    <w:right w:val="none" w:sz="0" w:space="0" w:color="auto"/>
                                  </w:divBdr>
                                  <w:divsChild>
                                    <w:div w:id="1736971897">
                                      <w:marLeft w:val="0"/>
                                      <w:marRight w:val="0"/>
                                      <w:marTop w:val="0"/>
                                      <w:marBottom w:val="240"/>
                                      <w:divBdr>
                                        <w:top w:val="none" w:sz="0" w:space="0" w:color="auto"/>
                                        <w:left w:val="none" w:sz="0" w:space="0" w:color="auto"/>
                                        <w:bottom w:val="none" w:sz="0" w:space="0" w:color="auto"/>
                                        <w:right w:val="none" w:sz="0" w:space="0" w:color="auto"/>
                                      </w:divBdr>
                                    </w:div>
                                    <w:div w:id="208228083">
                                      <w:marLeft w:val="0"/>
                                      <w:marRight w:val="0"/>
                                      <w:marTop w:val="0"/>
                                      <w:marBottom w:val="0"/>
                                      <w:divBdr>
                                        <w:top w:val="none" w:sz="0" w:space="0" w:color="auto"/>
                                        <w:left w:val="none" w:sz="0" w:space="0" w:color="auto"/>
                                        <w:bottom w:val="none" w:sz="0" w:space="0" w:color="auto"/>
                                        <w:right w:val="none" w:sz="0" w:space="0" w:color="auto"/>
                                      </w:divBdr>
                                    </w:div>
                                    <w:div w:id="1464226823">
                                      <w:marLeft w:val="0"/>
                                      <w:marRight w:val="0"/>
                                      <w:marTop w:val="0"/>
                                      <w:marBottom w:val="0"/>
                                      <w:divBdr>
                                        <w:top w:val="none" w:sz="0" w:space="0" w:color="auto"/>
                                        <w:left w:val="none" w:sz="0" w:space="0" w:color="auto"/>
                                        <w:bottom w:val="none" w:sz="0" w:space="0" w:color="auto"/>
                                        <w:right w:val="none" w:sz="0" w:space="0" w:color="auto"/>
                                      </w:divBdr>
                                    </w:div>
                                    <w:div w:id="11217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8182">
      <w:bodyDiv w:val="1"/>
      <w:marLeft w:val="0"/>
      <w:marRight w:val="0"/>
      <w:marTop w:val="0"/>
      <w:marBottom w:val="0"/>
      <w:divBdr>
        <w:top w:val="none" w:sz="0" w:space="0" w:color="auto"/>
        <w:left w:val="none" w:sz="0" w:space="0" w:color="auto"/>
        <w:bottom w:val="none" w:sz="0" w:space="0" w:color="auto"/>
        <w:right w:val="none" w:sz="0" w:space="0" w:color="auto"/>
      </w:divBdr>
      <w:divsChild>
        <w:div w:id="1794977251">
          <w:marLeft w:val="0"/>
          <w:marRight w:val="0"/>
          <w:marTop w:val="0"/>
          <w:marBottom w:val="0"/>
          <w:divBdr>
            <w:top w:val="none" w:sz="0" w:space="0" w:color="auto"/>
            <w:left w:val="none" w:sz="0" w:space="0" w:color="auto"/>
            <w:bottom w:val="none" w:sz="0" w:space="0" w:color="auto"/>
            <w:right w:val="none" w:sz="0" w:space="0" w:color="auto"/>
          </w:divBdr>
          <w:divsChild>
            <w:div w:id="1083381854">
              <w:marLeft w:val="0"/>
              <w:marRight w:val="0"/>
              <w:marTop w:val="0"/>
              <w:marBottom w:val="0"/>
              <w:divBdr>
                <w:top w:val="none" w:sz="0" w:space="0" w:color="auto"/>
                <w:left w:val="none" w:sz="0" w:space="0" w:color="auto"/>
                <w:bottom w:val="none" w:sz="0" w:space="0" w:color="auto"/>
                <w:right w:val="none" w:sz="0" w:space="0" w:color="auto"/>
              </w:divBdr>
              <w:divsChild>
                <w:div w:id="1794245030">
                  <w:marLeft w:val="0"/>
                  <w:marRight w:val="0"/>
                  <w:marTop w:val="0"/>
                  <w:marBottom w:val="0"/>
                  <w:divBdr>
                    <w:top w:val="none" w:sz="0" w:space="0" w:color="auto"/>
                    <w:left w:val="none" w:sz="0" w:space="0" w:color="auto"/>
                    <w:bottom w:val="none" w:sz="0" w:space="0" w:color="auto"/>
                    <w:right w:val="none" w:sz="0" w:space="0" w:color="auto"/>
                  </w:divBdr>
                  <w:divsChild>
                    <w:div w:id="19877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861070">
      <w:bodyDiv w:val="1"/>
      <w:marLeft w:val="0"/>
      <w:marRight w:val="0"/>
      <w:marTop w:val="0"/>
      <w:marBottom w:val="0"/>
      <w:divBdr>
        <w:top w:val="none" w:sz="0" w:space="0" w:color="auto"/>
        <w:left w:val="none" w:sz="0" w:space="0" w:color="auto"/>
        <w:bottom w:val="none" w:sz="0" w:space="0" w:color="auto"/>
        <w:right w:val="none" w:sz="0" w:space="0" w:color="auto"/>
      </w:divBdr>
      <w:divsChild>
        <w:div w:id="286204316">
          <w:marLeft w:val="0"/>
          <w:marRight w:val="0"/>
          <w:marTop w:val="0"/>
          <w:marBottom w:val="0"/>
          <w:divBdr>
            <w:top w:val="none" w:sz="0" w:space="0" w:color="auto"/>
            <w:left w:val="none" w:sz="0" w:space="0" w:color="auto"/>
            <w:bottom w:val="none" w:sz="0" w:space="0" w:color="auto"/>
            <w:right w:val="none" w:sz="0" w:space="0" w:color="auto"/>
          </w:divBdr>
          <w:divsChild>
            <w:div w:id="2089496670">
              <w:marLeft w:val="0"/>
              <w:marRight w:val="0"/>
              <w:marTop w:val="0"/>
              <w:marBottom w:val="0"/>
              <w:divBdr>
                <w:top w:val="none" w:sz="0" w:space="0" w:color="auto"/>
                <w:left w:val="none" w:sz="0" w:space="0" w:color="auto"/>
                <w:bottom w:val="none" w:sz="0" w:space="0" w:color="auto"/>
                <w:right w:val="none" w:sz="0" w:space="0" w:color="auto"/>
              </w:divBdr>
              <w:divsChild>
                <w:div w:id="298266424">
                  <w:marLeft w:val="0"/>
                  <w:marRight w:val="0"/>
                  <w:marTop w:val="0"/>
                  <w:marBottom w:val="0"/>
                  <w:divBdr>
                    <w:top w:val="none" w:sz="0" w:space="0" w:color="auto"/>
                    <w:left w:val="none" w:sz="0" w:space="0" w:color="auto"/>
                    <w:bottom w:val="none" w:sz="0" w:space="0" w:color="auto"/>
                    <w:right w:val="none" w:sz="0" w:space="0" w:color="auto"/>
                  </w:divBdr>
                  <w:divsChild>
                    <w:div w:id="1088388655">
                      <w:marLeft w:val="0"/>
                      <w:marRight w:val="0"/>
                      <w:marTop w:val="0"/>
                      <w:marBottom w:val="0"/>
                      <w:divBdr>
                        <w:top w:val="none" w:sz="0" w:space="0" w:color="auto"/>
                        <w:left w:val="none" w:sz="0" w:space="0" w:color="auto"/>
                        <w:bottom w:val="none" w:sz="0" w:space="0" w:color="auto"/>
                        <w:right w:val="none" w:sz="0" w:space="0" w:color="auto"/>
                      </w:divBdr>
                      <w:divsChild>
                        <w:div w:id="265356206">
                          <w:marLeft w:val="0"/>
                          <w:marRight w:val="0"/>
                          <w:marTop w:val="0"/>
                          <w:marBottom w:val="0"/>
                          <w:divBdr>
                            <w:top w:val="none" w:sz="0" w:space="0" w:color="auto"/>
                            <w:left w:val="none" w:sz="0" w:space="0" w:color="auto"/>
                            <w:bottom w:val="none" w:sz="0" w:space="0" w:color="auto"/>
                            <w:right w:val="none" w:sz="0" w:space="0" w:color="auto"/>
                          </w:divBdr>
                          <w:divsChild>
                            <w:div w:id="1073700831">
                              <w:marLeft w:val="0"/>
                              <w:marRight w:val="0"/>
                              <w:marTop w:val="0"/>
                              <w:marBottom w:val="0"/>
                              <w:divBdr>
                                <w:top w:val="none" w:sz="0" w:space="0" w:color="auto"/>
                                <w:left w:val="none" w:sz="0" w:space="0" w:color="auto"/>
                                <w:bottom w:val="none" w:sz="0" w:space="0" w:color="auto"/>
                                <w:right w:val="none" w:sz="0" w:space="0" w:color="auto"/>
                              </w:divBdr>
                              <w:divsChild>
                                <w:div w:id="623342185">
                                  <w:marLeft w:val="0"/>
                                  <w:marRight w:val="0"/>
                                  <w:marTop w:val="0"/>
                                  <w:marBottom w:val="0"/>
                                  <w:divBdr>
                                    <w:top w:val="none" w:sz="0" w:space="0" w:color="auto"/>
                                    <w:left w:val="none" w:sz="0" w:space="0" w:color="auto"/>
                                    <w:bottom w:val="none" w:sz="0" w:space="0" w:color="auto"/>
                                    <w:right w:val="none" w:sz="0" w:space="0" w:color="auto"/>
                                  </w:divBdr>
                                  <w:divsChild>
                                    <w:div w:id="1615289347">
                                      <w:marLeft w:val="0"/>
                                      <w:marRight w:val="0"/>
                                      <w:marTop w:val="0"/>
                                      <w:marBottom w:val="0"/>
                                      <w:divBdr>
                                        <w:top w:val="none" w:sz="0" w:space="0" w:color="auto"/>
                                        <w:left w:val="none" w:sz="0" w:space="0" w:color="auto"/>
                                        <w:bottom w:val="none" w:sz="0" w:space="0" w:color="auto"/>
                                        <w:right w:val="none" w:sz="0" w:space="0" w:color="auto"/>
                                      </w:divBdr>
                                      <w:divsChild>
                                        <w:div w:id="1291863894">
                                          <w:marLeft w:val="0"/>
                                          <w:marRight w:val="0"/>
                                          <w:marTop w:val="0"/>
                                          <w:marBottom w:val="0"/>
                                          <w:divBdr>
                                            <w:top w:val="none" w:sz="0" w:space="0" w:color="auto"/>
                                            <w:left w:val="none" w:sz="0" w:space="0" w:color="auto"/>
                                            <w:bottom w:val="none" w:sz="0" w:space="0" w:color="auto"/>
                                            <w:right w:val="none" w:sz="0" w:space="0" w:color="auto"/>
                                          </w:divBdr>
                                        </w:div>
                                        <w:div w:id="1398162609">
                                          <w:marLeft w:val="0"/>
                                          <w:marRight w:val="0"/>
                                          <w:marTop w:val="0"/>
                                          <w:marBottom w:val="0"/>
                                          <w:divBdr>
                                            <w:top w:val="none" w:sz="0" w:space="0" w:color="auto"/>
                                            <w:left w:val="none" w:sz="0" w:space="0" w:color="auto"/>
                                            <w:bottom w:val="none" w:sz="0" w:space="0" w:color="auto"/>
                                            <w:right w:val="none" w:sz="0" w:space="0" w:color="auto"/>
                                          </w:divBdr>
                                        </w:div>
                                        <w:div w:id="1136754414">
                                          <w:marLeft w:val="0"/>
                                          <w:marRight w:val="0"/>
                                          <w:marTop w:val="0"/>
                                          <w:marBottom w:val="0"/>
                                          <w:divBdr>
                                            <w:top w:val="none" w:sz="0" w:space="0" w:color="auto"/>
                                            <w:left w:val="none" w:sz="0" w:space="0" w:color="auto"/>
                                            <w:bottom w:val="none" w:sz="0" w:space="0" w:color="auto"/>
                                            <w:right w:val="none" w:sz="0" w:space="0" w:color="auto"/>
                                          </w:divBdr>
                                        </w:div>
                                        <w:div w:id="432869790">
                                          <w:marLeft w:val="0"/>
                                          <w:marRight w:val="0"/>
                                          <w:marTop w:val="0"/>
                                          <w:marBottom w:val="0"/>
                                          <w:divBdr>
                                            <w:top w:val="none" w:sz="0" w:space="0" w:color="auto"/>
                                            <w:left w:val="none" w:sz="0" w:space="0" w:color="auto"/>
                                            <w:bottom w:val="none" w:sz="0" w:space="0" w:color="auto"/>
                                            <w:right w:val="none" w:sz="0" w:space="0" w:color="auto"/>
                                          </w:divBdr>
                                        </w:div>
                                      </w:divsChild>
                                    </w:div>
                                    <w:div w:id="1201823847">
                                      <w:marLeft w:val="0"/>
                                      <w:marRight w:val="0"/>
                                      <w:marTop w:val="0"/>
                                      <w:marBottom w:val="0"/>
                                      <w:divBdr>
                                        <w:top w:val="none" w:sz="0" w:space="0" w:color="auto"/>
                                        <w:left w:val="none" w:sz="0" w:space="0" w:color="auto"/>
                                        <w:bottom w:val="none" w:sz="0" w:space="0" w:color="auto"/>
                                        <w:right w:val="none" w:sz="0" w:space="0" w:color="auto"/>
                                      </w:divBdr>
                                      <w:divsChild>
                                        <w:div w:id="1972207312">
                                          <w:marLeft w:val="0"/>
                                          <w:marRight w:val="0"/>
                                          <w:marTop w:val="0"/>
                                          <w:marBottom w:val="0"/>
                                          <w:divBdr>
                                            <w:top w:val="none" w:sz="0" w:space="0" w:color="auto"/>
                                            <w:left w:val="none" w:sz="0" w:space="0" w:color="auto"/>
                                            <w:bottom w:val="none" w:sz="0" w:space="0" w:color="auto"/>
                                            <w:right w:val="none" w:sz="0" w:space="0" w:color="auto"/>
                                          </w:divBdr>
                                        </w:div>
                                        <w:div w:id="587231976">
                                          <w:marLeft w:val="0"/>
                                          <w:marRight w:val="0"/>
                                          <w:marTop w:val="0"/>
                                          <w:marBottom w:val="0"/>
                                          <w:divBdr>
                                            <w:top w:val="none" w:sz="0" w:space="0" w:color="auto"/>
                                            <w:left w:val="none" w:sz="0" w:space="0" w:color="auto"/>
                                            <w:bottom w:val="none" w:sz="0" w:space="0" w:color="auto"/>
                                            <w:right w:val="none" w:sz="0" w:space="0" w:color="auto"/>
                                          </w:divBdr>
                                        </w:div>
                                      </w:divsChild>
                                    </w:div>
                                    <w:div w:id="419185158">
                                      <w:marLeft w:val="0"/>
                                      <w:marRight w:val="0"/>
                                      <w:marTop w:val="0"/>
                                      <w:marBottom w:val="0"/>
                                      <w:divBdr>
                                        <w:top w:val="none" w:sz="0" w:space="0" w:color="auto"/>
                                        <w:left w:val="none" w:sz="0" w:space="0" w:color="auto"/>
                                        <w:bottom w:val="none" w:sz="0" w:space="0" w:color="auto"/>
                                        <w:right w:val="none" w:sz="0" w:space="0" w:color="auto"/>
                                      </w:divBdr>
                                      <w:divsChild>
                                        <w:div w:id="108161842">
                                          <w:marLeft w:val="0"/>
                                          <w:marRight w:val="0"/>
                                          <w:marTop w:val="0"/>
                                          <w:marBottom w:val="0"/>
                                          <w:divBdr>
                                            <w:top w:val="none" w:sz="0" w:space="0" w:color="auto"/>
                                            <w:left w:val="none" w:sz="0" w:space="0" w:color="auto"/>
                                            <w:bottom w:val="none" w:sz="0" w:space="0" w:color="auto"/>
                                            <w:right w:val="none" w:sz="0" w:space="0" w:color="auto"/>
                                          </w:divBdr>
                                        </w:div>
                                        <w:div w:id="246889840">
                                          <w:marLeft w:val="0"/>
                                          <w:marRight w:val="0"/>
                                          <w:marTop w:val="0"/>
                                          <w:marBottom w:val="0"/>
                                          <w:divBdr>
                                            <w:top w:val="none" w:sz="0" w:space="0" w:color="auto"/>
                                            <w:left w:val="none" w:sz="0" w:space="0" w:color="auto"/>
                                            <w:bottom w:val="none" w:sz="0" w:space="0" w:color="auto"/>
                                            <w:right w:val="none" w:sz="0" w:space="0" w:color="auto"/>
                                          </w:divBdr>
                                        </w:div>
                                      </w:divsChild>
                                    </w:div>
                                    <w:div w:id="824853389">
                                      <w:marLeft w:val="0"/>
                                      <w:marRight w:val="0"/>
                                      <w:marTop w:val="0"/>
                                      <w:marBottom w:val="0"/>
                                      <w:divBdr>
                                        <w:top w:val="none" w:sz="0" w:space="0" w:color="auto"/>
                                        <w:left w:val="none" w:sz="0" w:space="0" w:color="auto"/>
                                        <w:bottom w:val="none" w:sz="0" w:space="0" w:color="auto"/>
                                        <w:right w:val="none" w:sz="0" w:space="0" w:color="auto"/>
                                      </w:divBdr>
                                      <w:divsChild>
                                        <w:div w:id="105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89867">
      <w:bodyDiv w:val="1"/>
      <w:marLeft w:val="0"/>
      <w:marRight w:val="0"/>
      <w:marTop w:val="0"/>
      <w:marBottom w:val="0"/>
      <w:divBdr>
        <w:top w:val="none" w:sz="0" w:space="0" w:color="auto"/>
        <w:left w:val="none" w:sz="0" w:space="0" w:color="auto"/>
        <w:bottom w:val="none" w:sz="0" w:space="0" w:color="auto"/>
        <w:right w:val="none" w:sz="0" w:space="0" w:color="auto"/>
      </w:divBdr>
    </w:div>
    <w:div w:id="2076122050">
      <w:bodyDiv w:val="1"/>
      <w:marLeft w:val="0"/>
      <w:marRight w:val="0"/>
      <w:marTop w:val="0"/>
      <w:marBottom w:val="0"/>
      <w:divBdr>
        <w:top w:val="none" w:sz="0" w:space="0" w:color="auto"/>
        <w:left w:val="none" w:sz="0" w:space="0" w:color="auto"/>
        <w:bottom w:val="none" w:sz="0" w:space="0" w:color="auto"/>
        <w:right w:val="none" w:sz="0" w:space="0" w:color="auto"/>
      </w:divBdr>
      <w:divsChild>
        <w:div w:id="1331837389">
          <w:marLeft w:val="0"/>
          <w:marRight w:val="0"/>
          <w:marTop w:val="0"/>
          <w:marBottom w:val="0"/>
          <w:divBdr>
            <w:top w:val="none" w:sz="0" w:space="0" w:color="auto"/>
            <w:left w:val="none" w:sz="0" w:space="0" w:color="auto"/>
            <w:bottom w:val="none" w:sz="0" w:space="0" w:color="auto"/>
            <w:right w:val="none" w:sz="0" w:space="0" w:color="auto"/>
          </w:divBdr>
          <w:divsChild>
            <w:div w:id="1318420161">
              <w:marLeft w:val="0"/>
              <w:marRight w:val="0"/>
              <w:marTop w:val="0"/>
              <w:marBottom w:val="0"/>
              <w:divBdr>
                <w:top w:val="none" w:sz="0" w:space="0" w:color="auto"/>
                <w:left w:val="none" w:sz="0" w:space="0" w:color="auto"/>
                <w:bottom w:val="none" w:sz="0" w:space="0" w:color="auto"/>
                <w:right w:val="none" w:sz="0" w:space="0" w:color="auto"/>
              </w:divBdr>
              <w:divsChild>
                <w:div w:id="1430151964">
                  <w:marLeft w:val="0"/>
                  <w:marRight w:val="0"/>
                  <w:marTop w:val="0"/>
                  <w:marBottom w:val="0"/>
                  <w:divBdr>
                    <w:top w:val="none" w:sz="0" w:space="0" w:color="auto"/>
                    <w:left w:val="none" w:sz="0" w:space="0" w:color="auto"/>
                    <w:bottom w:val="none" w:sz="0" w:space="0" w:color="auto"/>
                    <w:right w:val="none" w:sz="0" w:space="0" w:color="auto"/>
                  </w:divBdr>
                  <w:divsChild>
                    <w:div w:id="136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Caughey%20AB%5BAuthor%5D&amp;cauthor=true&amp;cauthor_uid=24565430" TargetMode="External"/><Relationship Id="rId18" Type="http://schemas.openxmlformats.org/officeDocument/2006/relationships/hyperlink" Target="http://www.ncbi.nlm.nih.gov/pubmed/?term=Chinnock+M%2C+Robson+S.+An+anonymous+survey+of+registrar+training+in+the+use+of+Kjelland's+forceps+in+Australia." TargetMode="External"/><Relationship Id="rId26" Type="http://schemas.openxmlformats.org/officeDocument/2006/relationships/hyperlink" Target="http://www.ncbi.nlm.nih.gov/pubmed/?term=Sakamoto%20H%5BAuthor%5D&amp;cauthor=true&amp;cauthor_uid=22765887" TargetMode="External"/><Relationship Id="rId39" Type="http://schemas.openxmlformats.org/officeDocument/2006/relationships/hyperlink" Target="https://www.ncbi.nlm.nih.gov/pubmed/?term=Vandenbroucke%20JP%5BAuthor%5D&amp;cauthor=true&amp;cauthor_uid=18313558" TargetMode="External"/><Relationship Id="rId21" Type="http://schemas.openxmlformats.org/officeDocument/2006/relationships/hyperlink" Target="http://www.ncbi.nlm.nih.gov/pubmed/?term=de%20Vries%20B%5BAuthor%5D&amp;cauthor=true&amp;cauthor_uid=25532081" TargetMode="External"/><Relationship Id="rId34" Type="http://schemas.openxmlformats.org/officeDocument/2006/relationships/hyperlink" Target="https://www.ncbi.nlm.nih.gov/pubmed/?term=von%20Elm%20E%5BAuthor%5D&amp;cauthor=true&amp;cauthor_uid=18313558" TargetMode="External"/><Relationship Id="rId42" Type="http://schemas.openxmlformats.org/officeDocument/2006/relationships/hyperlink" Target="http://www.ncbi.nlm.nih.gov/pubmed/?term=Smyth%20RM%5BAuthor%5D&amp;cauthor=true&amp;cauthor_uid=22161362" TargetMode="External"/><Relationship Id="rId47" Type="http://schemas.openxmlformats.org/officeDocument/2006/relationships/hyperlink" Target="http://www.ncbi.nlm.nih.gov/pubmed/?term=Leveno%20KJ%5BAuthor%5D&amp;cauthor=true&amp;cauthor_uid=22644830" TargetMode="External"/><Relationship Id="rId50" Type="http://schemas.openxmlformats.org/officeDocument/2006/relationships/hyperlink" Target="http://www.ncbi.nlm.nih.gov/pubmed/?term=Verity%20L%5BAuthor%5D&amp;cauthor=true&amp;cauthor_uid=11675055" TargetMode="External"/><Relationship Id="rId55" Type="http://schemas.openxmlformats.org/officeDocument/2006/relationships/hyperlink" Target="http://www.ncbi.nlm.nih.gov/pubmed/?term=Farquharson%20S%5BAuthor%5D&amp;cauthor=true&amp;cauthor_uid=236357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ncbi.nlm.nih.gov/pubmed/?term=Rouse%20DJ%5BAuthor%5D&amp;cauthor=true&amp;cauthor_uid=24565430" TargetMode="External"/><Relationship Id="rId29" Type="http://schemas.openxmlformats.org/officeDocument/2006/relationships/hyperlink" Target="http://www.ncbi.nlm.nih.gov/pubmed/?term=Cheng%20YW%5BAuthor%5D&amp;cauthor=true&amp;cauthor_uid=20350240" TargetMode="External"/><Relationship Id="rId11" Type="http://schemas.openxmlformats.org/officeDocument/2006/relationships/hyperlink" Target="http://www.ncbi.nlm.nih.gov/pubmed/?term=American%20College%20of%20Obstetricians%20and%20Gynecologists%20(College)%5BCorporate%20Author%5D" TargetMode="External"/><Relationship Id="rId24" Type="http://schemas.openxmlformats.org/officeDocument/2006/relationships/hyperlink" Target="http://www.ncbi.nlm.nih.gov/pubmed/23921875" TargetMode="External"/><Relationship Id="rId32" Type="http://schemas.openxmlformats.org/officeDocument/2006/relationships/hyperlink" Target="http://www.ncbi.nlm.nih.gov/pubmed/?term=Minas%20V%5BAuthor%5D&amp;cauthor=true&amp;cauthor_uid=23001367" TargetMode="External"/><Relationship Id="rId37" Type="http://schemas.openxmlformats.org/officeDocument/2006/relationships/hyperlink" Target="https://www.ncbi.nlm.nih.gov/pubmed/?term=Pocock%20SJ%5BAuthor%5D&amp;cauthor=true&amp;cauthor_uid=18313558" TargetMode="External"/><Relationship Id="rId40" Type="http://schemas.openxmlformats.org/officeDocument/2006/relationships/hyperlink" Target="https://www.ncbi.nlm.nih.gov/pubmed/?term=STROBE%20Initiative%5BCorporate%20Author%5D" TargetMode="External"/><Relationship Id="rId45" Type="http://schemas.openxmlformats.org/officeDocument/2006/relationships/hyperlink" Target="http://www.ncbi.nlm.nih.gov/pubmed/?term=Alexander%20JM%5BAuthor%5D&amp;cauthor=true&amp;cauthor_uid=22644830" TargetMode="External"/><Relationship Id="rId53" Type="http://schemas.openxmlformats.org/officeDocument/2006/relationships/hyperlink" Target="http://www.ncbi.nlm.nih.gov/pubmed/?term=Stock%20SJ%5BAuthor%5D&amp;cauthor=true&amp;cauthor_uid=23635740"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hyperlink" Target="http://www.ncbi.nlm.nih.gov/pubmed/23924292" TargetMode="External"/><Relationship Id="rId4" Type="http://schemas.microsoft.com/office/2007/relationships/stylesWithEffects" Target="stylesWithEffects.xml"/><Relationship Id="rId9" Type="http://schemas.openxmlformats.org/officeDocument/2006/relationships/hyperlink" Target="mailto:dharani@liv.ac.uk" TargetMode="External"/><Relationship Id="rId14" Type="http://schemas.openxmlformats.org/officeDocument/2006/relationships/hyperlink" Target="http://www.ncbi.nlm.nih.gov/pubmed/?term=Cahill%20AG%5BAuthor%5D&amp;cauthor=true&amp;cauthor_uid=24565430" TargetMode="External"/><Relationship Id="rId22" Type="http://schemas.openxmlformats.org/officeDocument/2006/relationships/hyperlink" Target="http://www.ncbi.nlm.nih.gov/pubmed/?term=Hyett%20J%5BAuthor%5D&amp;cauthor=true&amp;cauthor_uid=25532081" TargetMode="External"/><Relationship Id="rId27" Type="http://schemas.openxmlformats.org/officeDocument/2006/relationships/hyperlink" Target="http://www.ncbi.nlm.nih.gov/pubmed/?term=Nakabayashi%20Y%5BAuthor%5D&amp;cauthor=true&amp;cauthor_uid=22765887" TargetMode="External"/><Relationship Id="rId30" Type="http://schemas.openxmlformats.org/officeDocument/2006/relationships/hyperlink" Target="http://www.ncbi.nlm.nih.gov/pubmed/?term=Vargas%20JE%5BAuthor%5D&amp;cauthor=true&amp;cauthor_uid=20350240" TargetMode="External"/><Relationship Id="rId35" Type="http://schemas.openxmlformats.org/officeDocument/2006/relationships/hyperlink" Target="https://www.ncbi.nlm.nih.gov/pubmed/?term=Altman%20DG%5BAuthor%5D&amp;cauthor=true&amp;cauthor_uid=18313558" TargetMode="External"/><Relationship Id="rId43" Type="http://schemas.openxmlformats.org/officeDocument/2006/relationships/hyperlink" Target="http://www.ncbi.nlm.nih.gov/pubmed/?term=Jones%20L%5BAuthor%5D&amp;cauthor=true&amp;cauthor_uid=22161362" TargetMode="External"/><Relationship Id="rId48" Type="http://schemas.openxmlformats.org/officeDocument/2006/relationships/hyperlink" Target="http://www.ncbi.nlm.nih.gov/pubmed/?term=Murphy%20DJ%5BAuthor%5D&amp;cauthor=true&amp;cauthor_uid=11675055" TargetMode="External"/><Relationship Id="rId5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www.ncbi.nlm.nih.gov/pubmed/?term=Swingler%20R%5BAuthor%5D&amp;cauthor=true&amp;cauthor_uid=11675055" TargetMode="External"/><Relationship Id="rId3" Type="http://schemas.openxmlformats.org/officeDocument/2006/relationships/styles" Target="styles.xml"/><Relationship Id="rId12" Type="http://schemas.openxmlformats.org/officeDocument/2006/relationships/hyperlink" Target="http://www.ncbi.nlm.nih.gov/pubmed/?term=Society%20for%20Maternal-Fetal%20Medicine%5BCorporate%20Author%5D" TargetMode="External"/><Relationship Id="rId17" Type="http://schemas.openxmlformats.org/officeDocument/2006/relationships/hyperlink" Target="http://www.ncbi.nlm.nih.gov/pubmed/24565430" TargetMode="External"/><Relationship Id="rId25" Type="http://schemas.openxmlformats.org/officeDocument/2006/relationships/hyperlink" Target="http://www.ncbi.nlm.nih.gov/pubmed/?term=Sen%20K%5BAuthor%5D&amp;cauthor=true&amp;cauthor_uid=22765887" TargetMode="External"/><Relationship Id="rId33" Type="http://schemas.openxmlformats.org/officeDocument/2006/relationships/hyperlink" Target="http://www.ncbi.nlm.nih.gov/pubmed/?term=Khafizova%20L%5BAuthor%5D&amp;cauthor=true&amp;cauthor_uid=23001367" TargetMode="External"/><Relationship Id="rId38" Type="http://schemas.openxmlformats.org/officeDocument/2006/relationships/hyperlink" Target="https://www.ncbi.nlm.nih.gov/pubmed/?term=G%C3%B8tzsche%20PC%5BAuthor%5D&amp;cauthor=true&amp;cauthor_uid=18313558" TargetMode="External"/><Relationship Id="rId46" Type="http://schemas.openxmlformats.org/officeDocument/2006/relationships/hyperlink" Target="http://www.ncbi.nlm.nih.gov/pubmed/?term=McIntire%20DD%5BAuthor%5D&amp;cauthor=true&amp;cauthor_uid=22644830" TargetMode="External"/><Relationship Id="rId20" Type="http://schemas.openxmlformats.org/officeDocument/2006/relationships/hyperlink" Target="http://www.ncbi.nlm.nih.gov/pubmed/?term=Phipps%20H%5BAuthor%5D&amp;cauthor=true&amp;cauthor_uid=25532081" TargetMode="External"/><Relationship Id="rId41" Type="http://schemas.openxmlformats.org/officeDocument/2006/relationships/hyperlink" Target="http://www.ncbi.nlm.nih.gov/pubmed/?term=Anim-Somuah%20M%5BAuthor%5D&amp;cauthor=true&amp;cauthor_uid=22161362" TargetMode="External"/><Relationship Id="rId54" Type="http://schemas.openxmlformats.org/officeDocument/2006/relationships/hyperlink" Target="http://www.ncbi.nlm.nih.gov/pubmed/?term=Josephs%20K%5BAuthor%5D&amp;cauthor=true&amp;cauthor_uid=2363574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cbi.nlm.nih.gov/pubmed/?term=Guise%20JM%5BAuthor%5D&amp;cauthor=true&amp;cauthor_uid=24565430" TargetMode="External"/><Relationship Id="rId23" Type="http://schemas.openxmlformats.org/officeDocument/2006/relationships/hyperlink" Target="http://www.ncbi.nlm.nih.gov/pubmed/?term=Osborn%20DA%5BAuthor%5D&amp;cauthor=true&amp;cauthor_uid=25532081" TargetMode="External"/><Relationship Id="rId28" Type="http://schemas.openxmlformats.org/officeDocument/2006/relationships/hyperlink" Target="http://www.ncbi.nlm.nih.gov/pubmed/?term=Shaffer%20BL%5BAuthor%5D&amp;cauthor=true&amp;cauthor_uid=20350240" TargetMode="External"/><Relationship Id="rId36" Type="http://schemas.openxmlformats.org/officeDocument/2006/relationships/hyperlink" Target="https://www.ncbi.nlm.nih.gov/pubmed/?term=Egger%20M%5BAuthor%5D&amp;cauthor=true&amp;cauthor_uid=18313558" TargetMode="External"/><Relationship Id="rId49" Type="http://schemas.openxmlformats.org/officeDocument/2006/relationships/hyperlink" Target="http://www.ncbi.nlm.nih.gov/pubmed/?term=Liebling%20RE%5BAuthor%5D&amp;cauthor=true&amp;cauthor_uid=11675055" TargetMode="External"/><Relationship Id="rId57" Type="http://schemas.openxmlformats.org/officeDocument/2006/relationships/fontTable" Target="fontTable.xml"/><Relationship Id="rId10" Type="http://schemas.openxmlformats.org/officeDocument/2006/relationships/hyperlink" Target="http://www.ncbi.nlm.nih.gov/pubmed/25692505" TargetMode="External"/><Relationship Id="rId31" Type="http://schemas.openxmlformats.org/officeDocument/2006/relationships/hyperlink" Target="http://www.ncbi.nlm.nih.gov/pubmed/?term=Caughey%20AB%5BAuthor%5D&amp;cauthor=true&amp;cauthor_uid=20350240" TargetMode="External"/><Relationship Id="rId44" Type="http://schemas.openxmlformats.org/officeDocument/2006/relationships/hyperlink" Target="http://www.ncbi.nlm.nih.gov/pubmed/?term=Bleich%20AT%5BAuthor%5D&amp;cauthor=true&amp;cauthor_uid=22644830" TargetMode="External"/><Relationship Id="rId52" Type="http://schemas.openxmlformats.org/officeDocument/2006/relationships/hyperlink" Target="http://www.ncbi.nlm.nih.gov/pubmed/?term=Patel%20R%5BAuthor%5D&amp;cauthor=true&amp;cauthor_uid=116750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B0367-2C43-4100-A29E-94A2D1751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5605</Words>
  <Characters>31955</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Liverpool Women's NHS Foundation Trust</Company>
  <LinksUpToDate>false</LinksUpToDate>
  <CharactersWithSpaces>37486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lwh</dc:creator>
  <cp:lastModifiedBy>Hapangama, Dharani</cp:lastModifiedBy>
  <cp:revision>2</cp:revision>
  <cp:lastPrinted>2016-01-07T10:56:00Z</cp:lastPrinted>
  <dcterms:created xsi:type="dcterms:W3CDTF">2017-04-07T17:53:00Z</dcterms:created>
  <dcterms:modified xsi:type="dcterms:W3CDTF">2017-04-07T17:53:00Z</dcterms:modified>
</cp:coreProperties>
</file>