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E74E2" w14:textId="1927E934" w:rsidR="00D17591" w:rsidRDefault="00D17591" w:rsidP="0054619C">
      <w:pPr>
        <w:spacing w:before="480" w:line="360" w:lineRule="auto"/>
        <w:contextualSpacing/>
        <w:outlineLvl w:val="0"/>
        <w:rPr>
          <w:rFonts w:asciiTheme="minorHAnsi" w:eastAsiaTheme="majorEastAsia" w:hAnsiTheme="minorHAnsi" w:cstheme="majorBidi"/>
          <w:b/>
          <w:bCs/>
          <w:color w:val="000000" w:themeColor="text1"/>
          <w:sz w:val="28"/>
          <w:szCs w:val="28"/>
          <w:lang w:eastAsia="en-GB"/>
        </w:rPr>
      </w:pPr>
      <w:bookmarkStart w:id="0" w:name="_GoBack"/>
      <w:bookmarkEnd w:id="0"/>
      <w:r w:rsidRPr="00D74BB0">
        <w:rPr>
          <w:rFonts w:asciiTheme="minorHAnsi" w:eastAsiaTheme="majorEastAsia" w:hAnsiTheme="minorHAnsi" w:cstheme="majorBidi"/>
          <w:b/>
          <w:bCs/>
          <w:color w:val="000000" w:themeColor="text1"/>
          <w:sz w:val="28"/>
          <w:szCs w:val="28"/>
          <w:lang w:eastAsia="en-GB"/>
        </w:rPr>
        <w:t xml:space="preserve">Liver cirrhosis </w:t>
      </w:r>
      <w:r w:rsidR="00BC2295" w:rsidRPr="00D74BB0">
        <w:rPr>
          <w:rFonts w:asciiTheme="minorHAnsi" w:eastAsiaTheme="majorEastAsia" w:hAnsiTheme="minorHAnsi" w:cstheme="majorBidi"/>
          <w:b/>
          <w:bCs/>
          <w:color w:val="000000" w:themeColor="text1"/>
          <w:sz w:val="28"/>
          <w:szCs w:val="28"/>
          <w:lang w:eastAsia="en-GB"/>
        </w:rPr>
        <w:t>in England</w:t>
      </w:r>
      <w:r w:rsidR="002B39E1">
        <w:rPr>
          <w:rFonts w:asciiTheme="minorHAnsi" w:eastAsiaTheme="majorEastAsia" w:hAnsiTheme="minorHAnsi" w:cstheme="majorBidi"/>
          <w:b/>
          <w:bCs/>
          <w:color w:val="000000" w:themeColor="text1"/>
          <w:sz w:val="28"/>
          <w:szCs w:val="28"/>
          <w:lang w:eastAsia="en-GB"/>
        </w:rPr>
        <w:t xml:space="preserve">-an observational </w:t>
      </w:r>
      <w:r w:rsidR="0013121C">
        <w:rPr>
          <w:rFonts w:asciiTheme="minorHAnsi" w:eastAsiaTheme="majorEastAsia" w:hAnsiTheme="minorHAnsi" w:cstheme="majorBidi"/>
          <w:b/>
          <w:bCs/>
          <w:color w:val="000000" w:themeColor="text1"/>
          <w:sz w:val="28"/>
          <w:szCs w:val="28"/>
          <w:lang w:eastAsia="en-GB"/>
        </w:rPr>
        <w:t>study. A</w:t>
      </w:r>
      <w:r w:rsidR="00005509">
        <w:rPr>
          <w:rFonts w:asciiTheme="minorHAnsi" w:eastAsiaTheme="majorEastAsia" w:hAnsiTheme="minorHAnsi" w:cstheme="majorBidi"/>
          <w:b/>
          <w:bCs/>
          <w:color w:val="000000" w:themeColor="text1"/>
          <w:sz w:val="28"/>
          <w:szCs w:val="28"/>
          <w:lang w:eastAsia="en-GB"/>
        </w:rPr>
        <w:t>re we measuring its burden correctly</w:t>
      </w:r>
      <w:r w:rsidR="00BC2295" w:rsidRPr="00D74BB0">
        <w:rPr>
          <w:rFonts w:asciiTheme="minorHAnsi" w:eastAsiaTheme="majorEastAsia" w:hAnsiTheme="minorHAnsi" w:cstheme="majorBidi"/>
          <w:b/>
          <w:bCs/>
          <w:color w:val="000000" w:themeColor="text1"/>
          <w:sz w:val="28"/>
          <w:szCs w:val="28"/>
          <w:lang w:eastAsia="en-GB"/>
        </w:rPr>
        <w:t>?</w:t>
      </w:r>
    </w:p>
    <w:p w14:paraId="5D46CAEE" w14:textId="77777777" w:rsidR="00D17591" w:rsidRPr="00D74BB0" w:rsidRDefault="00D17591" w:rsidP="0054619C">
      <w:pPr>
        <w:spacing w:line="360" w:lineRule="auto"/>
        <w:rPr>
          <w:rFonts w:asciiTheme="minorHAnsi" w:eastAsiaTheme="minorEastAsia" w:hAnsiTheme="minorHAnsi"/>
          <w:sz w:val="22"/>
          <w:lang w:eastAsia="en-GB"/>
        </w:rPr>
      </w:pPr>
    </w:p>
    <w:p w14:paraId="7FE3FB93" w14:textId="77777777" w:rsidR="009B3D66" w:rsidRPr="00306638" w:rsidRDefault="009B3D66" w:rsidP="009B3D66">
      <w:pPr>
        <w:spacing w:line="360" w:lineRule="auto"/>
        <w:rPr>
          <w:rFonts w:asciiTheme="minorHAnsi" w:eastAsiaTheme="minorEastAsia" w:hAnsiTheme="minorHAnsi" w:cs="Arial"/>
          <w:sz w:val="22"/>
          <w:lang w:eastAsia="en-GB"/>
        </w:rPr>
      </w:pPr>
      <w:r w:rsidRPr="00306638">
        <w:rPr>
          <w:rFonts w:asciiTheme="minorHAnsi" w:eastAsiaTheme="minorEastAsia" w:hAnsiTheme="minorHAnsi" w:cs="Arial"/>
          <w:sz w:val="22"/>
          <w:lang w:eastAsia="en-GB"/>
        </w:rPr>
        <w:t>Sonia Ratib</w:t>
      </w:r>
      <w:r w:rsidRPr="00306638">
        <w:rPr>
          <w:rFonts w:asciiTheme="minorHAnsi" w:eastAsiaTheme="minorEastAsia" w:hAnsiTheme="minorHAnsi" w:cs="Arial"/>
          <w:sz w:val="22"/>
          <w:vertAlign w:val="superscript"/>
          <w:lang w:eastAsia="en-GB"/>
        </w:rPr>
        <w:t>1</w:t>
      </w:r>
      <w:r w:rsidRPr="00306638">
        <w:rPr>
          <w:rFonts w:asciiTheme="minorHAnsi" w:eastAsiaTheme="minorEastAsia" w:hAnsiTheme="minorHAnsi" w:cs="Arial"/>
          <w:sz w:val="22"/>
          <w:lang w:eastAsia="en-GB"/>
        </w:rPr>
        <w:t>, Joe West</w:t>
      </w:r>
      <w:r w:rsidRPr="00306638">
        <w:rPr>
          <w:rFonts w:asciiTheme="minorHAnsi" w:eastAsiaTheme="minorEastAsia" w:hAnsiTheme="minorHAnsi" w:cs="Arial"/>
          <w:sz w:val="22"/>
          <w:vertAlign w:val="superscript"/>
          <w:lang w:eastAsia="en-GB"/>
        </w:rPr>
        <w:t>2</w:t>
      </w:r>
      <w:r w:rsidRPr="00306638">
        <w:rPr>
          <w:rFonts w:asciiTheme="minorHAnsi" w:eastAsiaTheme="minorEastAsia" w:hAnsiTheme="minorHAnsi" w:cs="Arial"/>
          <w:sz w:val="22"/>
          <w:lang w:eastAsia="en-GB"/>
        </w:rPr>
        <w:t>, Kate M Fleming</w:t>
      </w:r>
      <w:r w:rsidRPr="00306638">
        <w:rPr>
          <w:rFonts w:asciiTheme="minorHAnsi" w:eastAsiaTheme="minorEastAsia" w:hAnsiTheme="minorHAnsi" w:cs="Arial"/>
          <w:sz w:val="22"/>
          <w:vertAlign w:val="superscript"/>
          <w:lang w:eastAsia="en-GB"/>
        </w:rPr>
        <w:t>3</w:t>
      </w:r>
    </w:p>
    <w:p w14:paraId="683744EA" w14:textId="77777777" w:rsidR="009B3D66" w:rsidRPr="00306638" w:rsidRDefault="009B3D66" w:rsidP="009B3D66">
      <w:pPr>
        <w:suppressAutoHyphens/>
        <w:spacing w:line="360" w:lineRule="auto"/>
        <w:rPr>
          <w:rFonts w:asciiTheme="minorHAnsi" w:eastAsia="Arial Unicode MS" w:hAnsiTheme="minorHAnsi" w:cs="Arial"/>
          <w:color w:val="00000A"/>
          <w:sz w:val="22"/>
          <w:lang w:eastAsia="ar-SA"/>
        </w:rPr>
      </w:pPr>
      <w:r w:rsidRPr="00306638">
        <w:rPr>
          <w:rFonts w:asciiTheme="minorHAnsi" w:eastAsia="Arial Unicode MS" w:hAnsiTheme="minorHAnsi" w:cs="Arial"/>
          <w:color w:val="00000A"/>
          <w:sz w:val="22"/>
          <w:vertAlign w:val="superscript"/>
          <w:lang w:eastAsia="ar-SA"/>
        </w:rPr>
        <w:t>1</w:t>
      </w:r>
      <w:r w:rsidRPr="00306638">
        <w:rPr>
          <w:rFonts w:asciiTheme="minorHAnsi" w:eastAsia="Arial Unicode MS" w:hAnsiTheme="minorHAnsi" w:cs="Arial"/>
          <w:color w:val="00000A"/>
          <w:sz w:val="22"/>
          <w:lang w:eastAsia="ar-SA"/>
        </w:rPr>
        <w:t>Centre of Evidence Based Dermatology, University of Nottingham, UK</w:t>
      </w:r>
    </w:p>
    <w:p w14:paraId="2B5BB16E" w14:textId="77777777" w:rsidR="009B3D66" w:rsidRPr="00306638" w:rsidRDefault="009B3D66" w:rsidP="009B3D66">
      <w:pPr>
        <w:suppressAutoHyphens/>
        <w:spacing w:line="360" w:lineRule="auto"/>
        <w:rPr>
          <w:rFonts w:asciiTheme="minorHAnsi" w:eastAsia="Arial Unicode MS" w:hAnsiTheme="minorHAnsi" w:cs="Arial"/>
          <w:color w:val="00000A"/>
          <w:sz w:val="22"/>
          <w:lang w:eastAsia="ar-SA"/>
        </w:rPr>
      </w:pPr>
      <w:r w:rsidRPr="00306638">
        <w:rPr>
          <w:rFonts w:asciiTheme="minorHAnsi" w:eastAsia="Arial Unicode MS" w:hAnsiTheme="minorHAnsi" w:cs="Arial"/>
          <w:color w:val="00000A"/>
          <w:sz w:val="22"/>
          <w:vertAlign w:val="superscript"/>
          <w:lang w:eastAsia="ar-SA"/>
        </w:rPr>
        <w:t>2</w:t>
      </w:r>
      <w:r w:rsidRPr="00306638">
        <w:rPr>
          <w:rFonts w:asciiTheme="minorHAnsi" w:eastAsia="Arial Unicode MS" w:hAnsiTheme="minorHAnsi" w:cs="Arial"/>
          <w:color w:val="00000A"/>
          <w:sz w:val="22"/>
          <w:lang w:eastAsia="ar-SA"/>
        </w:rPr>
        <w:t>Division of Epidemiology and Public Health, University of Nottingham, UK</w:t>
      </w:r>
    </w:p>
    <w:p w14:paraId="77B29C6E" w14:textId="7BFEDEFF" w:rsidR="009B3D66" w:rsidRPr="00306638" w:rsidRDefault="009B3D66" w:rsidP="009B3D66">
      <w:pPr>
        <w:suppressAutoHyphens/>
        <w:spacing w:line="360" w:lineRule="auto"/>
        <w:rPr>
          <w:rFonts w:asciiTheme="minorHAnsi" w:eastAsia="Arial Unicode MS" w:hAnsiTheme="minorHAnsi" w:cs="Arial"/>
          <w:color w:val="00000A"/>
          <w:sz w:val="22"/>
          <w:lang w:eastAsia="ar-SA"/>
        </w:rPr>
      </w:pPr>
      <w:r w:rsidRPr="00306638">
        <w:rPr>
          <w:rFonts w:asciiTheme="minorHAnsi" w:eastAsia="Arial Unicode MS" w:hAnsiTheme="minorHAnsi" w:cs="Arial"/>
          <w:color w:val="00000A"/>
          <w:sz w:val="22"/>
          <w:vertAlign w:val="superscript"/>
          <w:lang w:eastAsia="ar-SA"/>
        </w:rPr>
        <w:t>3</w:t>
      </w:r>
      <w:r w:rsidRPr="00306638">
        <w:rPr>
          <w:rFonts w:asciiTheme="minorHAnsi" w:eastAsia="Arial Unicode MS" w:hAnsiTheme="minorHAnsi" w:cs="Arial"/>
          <w:color w:val="00000A"/>
          <w:sz w:val="22"/>
          <w:lang w:eastAsia="ar-SA"/>
        </w:rPr>
        <w:t xml:space="preserve"> Public Health</w:t>
      </w:r>
      <w:r w:rsidR="00592AE0">
        <w:rPr>
          <w:rFonts w:asciiTheme="minorHAnsi" w:eastAsia="Arial Unicode MS" w:hAnsiTheme="minorHAnsi" w:cs="Arial"/>
          <w:color w:val="00000A"/>
          <w:sz w:val="22"/>
          <w:lang w:eastAsia="ar-SA"/>
        </w:rPr>
        <w:t xml:space="preserve"> Institute</w:t>
      </w:r>
      <w:r w:rsidRPr="00306638">
        <w:rPr>
          <w:rFonts w:asciiTheme="minorHAnsi" w:eastAsia="Arial Unicode MS" w:hAnsiTheme="minorHAnsi" w:cs="Arial"/>
          <w:color w:val="00000A"/>
          <w:sz w:val="22"/>
          <w:lang w:eastAsia="ar-SA"/>
        </w:rPr>
        <w:t>, Liverpool John Moores University, UK</w:t>
      </w:r>
    </w:p>
    <w:p w14:paraId="1A280F24" w14:textId="77777777" w:rsidR="00D17591" w:rsidRPr="009C2695" w:rsidRDefault="00D17591" w:rsidP="0054619C">
      <w:pPr>
        <w:suppressAutoHyphens/>
        <w:spacing w:line="360" w:lineRule="auto"/>
        <w:rPr>
          <w:rFonts w:asciiTheme="minorHAnsi" w:hAnsiTheme="minorHAnsi"/>
          <w:color w:val="00000A"/>
          <w:sz w:val="22"/>
          <w:lang w:eastAsia="en-GB"/>
        </w:rPr>
      </w:pPr>
    </w:p>
    <w:p w14:paraId="0DD99034" w14:textId="77777777" w:rsidR="00D17591" w:rsidRPr="00D74BB0" w:rsidRDefault="00D17591" w:rsidP="0054619C">
      <w:pPr>
        <w:suppressAutoHyphens/>
        <w:spacing w:line="360" w:lineRule="auto"/>
        <w:rPr>
          <w:rFonts w:asciiTheme="minorHAnsi" w:eastAsia="Arial Unicode MS" w:hAnsiTheme="minorHAnsi"/>
          <w:b/>
          <w:color w:val="00000A"/>
          <w:sz w:val="24"/>
          <w:szCs w:val="24"/>
          <w:lang w:eastAsia="ar-SA"/>
        </w:rPr>
      </w:pPr>
    </w:p>
    <w:p w14:paraId="6E7DD03D" w14:textId="77777777" w:rsidR="00D17591" w:rsidRPr="00D74BB0" w:rsidRDefault="00D17591" w:rsidP="0054619C">
      <w:pPr>
        <w:suppressAutoHyphens/>
        <w:spacing w:line="360" w:lineRule="auto"/>
        <w:rPr>
          <w:rFonts w:asciiTheme="minorHAnsi" w:eastAsia="Arial Unicode MS" w:hAnsiTheme="minorHAnsi"/>
          <w:b/>
          <w:color w:val="00000A"/>
          <w:sz w:val="24"/>
          <w:szCs w:val="24"/>
          <w:lang w:eastAsia="ar-SA"/>
        </w:rPr>
      </w:pPr>
    </w:p>
    <w:p w14:paraId="6BAA9A96" w14:textId="77777777" w:rsidR="00D17591" w:rsidRPr="00D74BB0" w:rsidRDefault="00D17591" w:rsidP="0054619C">
      <w:pPr>
        <w:suppressAutoHyphens/>
        <w:spacing w:line="360" w:lineRule="auto"/>
        <w:rPr>
          <w:rFonts w:asciiTheme="minorHAnsi" w:eastAsia="Arial Unicode MS" w:hAnsiTheme="minorHAnsi"/>
          <w:b/>
          <w:color w:val="00000A"/>
          <w:sz w:val="24"/>
          <w:szCs w:val="24"/>
          <w:lang w:eastAsia="ar-SA"/>
        </w:rPr>
      </w:pPr>
    </w:p>
    <w:p w14:paraId="0AF95206" w14:textId="77777777" w:rsidR="00D17591" w:rsidRPr="00D74BB0" w:rsidRDefault="00D17591" w:rsidP="0054619C">
      <w:pPr>
        <w:suppressAutoHyphens/>
        <w:spacing w:line="360" w:lineRule="auto"/>
        <w:rPr>
          <w:rFonts w:asciiTheme="minorHAnsi" w:eastAsia="Arial Unicode MS" w:hAnsiTheme="minorHAnsi"/>
          <w:b/>
          <w:color w:val="00000A"/>
          <w:sz w:val="24"/>
          <w:szCs w:val="24"/>
          <w:lang w:eastAsia="ar-SA"/>
        </w:rPr>
      </w:pPr>
    </w:p>
    <w:p w14:paraId="19CC6874" w14:textId="77777777" w:rsidR="00D17591" w:rsidRPr="00D74BB0" w:rsidRDefault="00D17591" w:rsidP="0054619C">
      <w:pPr>
        <w:suppressAutoHyphens/>
        <w:spacing w:line="360" w:lineRule="auto"/>
        <w:rPr>
          <w:rFonts w:asciiTheme="minorHAnsi" w:eastAsia="Arial Unicode MS" w:hAnsiTheme="minorHAnsi"/>
          <w:b/>
          <w:color w:val="00000A"/>
          <w:sz w:val="24"/>
          <w:szCs w:val="24"/>
          <w:lang w:eastAsia="ar-SA"/>
        </w:rPr>
      </w:pPr>
    </w:p>
    <w:p w14:paraId="51CFED6D" w14:textId="77777777" w:rsidR="00D17591" w:rsidRPr="00D74BB0" w:rsidRDefault="00D17591" w:rsidP="0054619C">
      <w:pPr>
        <w:suppressAutoHyphens/>
        <w:spacing w:line="360" w:lineRule="auto"/>
        <w:rPr>
          <w:rFonts w:asciiTheme="minorHAnsi" w:eastAsia="Arial Unicode MS" w:hAnsiTheme="minorHAnsi"/>
          <w:b/>
          <w:color w:val="00000A"/>
          <w:sz w:val="22"/>
          <w:lang w:eastAsia="ar-SA"/>
        </w:rPr>
      </w:pPr>
    </w:p>
    <w:p w14:paraId="30D44CC9" w14:textId="77777777" w:rsidR="00D17591" w:rsidRPr="00D74BB0" w:rsidRDefault="00D17591" w:rsidP="0054619C">
      <w:pPr>
        <w:suppressAutoHyphens/>
        <w:spacing w:line="360" w:lineRule="auto"/>
        <w:rPr>
          <w:rFonts w:asciiTheme="minorHAnsi" w:eastAsia="Arial Unicode MS" w:hAnsiTheme="minorHAnsi"/>
          <w:b/>
          <w:color w:val="00000A"/>
          <w:sz w:val="22"/>
          <w:lang w:eastAsia="ar-SA"/>
        </w:rPr>
      </w:pPr>
    </w:p>
    <w:p w14:paraId="5B927ADB" w14:textId="77777777" w:rsidR="00D17591" w:rsidRPr="00D74BB0" w:rsidRDefault="00D17591" w:rsidP="0054619C">
      <w:pPr>
        <w:suppressAutoHyphens/>
        <w:spacing w:line="360" w:lineRule="auto"/>
        <w:rPr>
          <w:rFonts w:asciiTheme="minorHAnsi" w:hAnsiTheme="minorHAnsi"/>
          <w:color w:val="00000A"/>
          <w:sz w:val="22"/>
          <w:lang w:eastAsia="en-GB"/>
        </w:rPr>
      </w:pPr>
      <w:r w:rsidRPr="00D74BB0">
        <w:rPr>
          <w:rFonts w:asciiTheme="minorHAnsi" w:eastAsia="Arial Unicode MS" w:hAnsiTheme="minorHAnsi"/>
          <w:b/>
          <w:color w:val="00000A"/>
          <w:sz w:val="22"/>
          <w:lang w:eastAsia="ar-SA"/>
        </w:rPr>
        <w:t>Abbreviations:</w:t>
      </w:r>
      <w:r w:rsidRPr="00D74BB0">
        <w:rPr>
          <w:rFonts w:asciiTheme="minorHAnsi" w:eastAsia="Arial Unicode MS" w:hAnsiTheme="minorHAnsi"/>
          <w:color w:val="00000A"/>
          <w:sz w:val="22"/>
          <w:lang w:eastAsia="ar-SA"/>
        </w:rPr>
        <w:t xml:space="preserve"> ONS-Office for National Statistics; ICD10-International Classification of Disease 10</w:t>
      </w:r>
      <w:r w:rsidRPr="00D74BB0">
        <w:rPr>
          <w:rFonts w:asciiTheme="minorHAnsi" w:eastAsia="Arial Unicode MS" w:hAnsiTheme="minorHAnsi"/>
          <w:color w:val="00000A"/>
          <w:sz w:val="22"/>
          <w:vertAlign w:val="superscript"/>
          <w:lang w:eastAsia="ar-SA"/>
        </w:rPr>
        <w:t>th</w:t>
      </w:r>
      <w:r w:rsidR="00F2745A">
        <w:rPr>
          <w:rFonts w:asciiTheme="minorHAnsi" w:eastAsia="Arial Unicode MS" w:hAnsiTheme="minorHAnsi"/>
          <w:color w:val="00000A"/>
          <w:sz w:val="22"/>
          <w:lang w:eastAsia="ar-SA"/>
        </w:rPr>
        <w:t xml:space="preserve"> version</w:t>
      </w:r>
    </w:p>
    <w:p w14:paraId="1D801A79" w14:textId="77777777" w:rsidR="00D17591" w:rsidRPr="00D74BB0" w:rsidRDefault="00D17591" w:rsidP="0054619C">
      <w:pPr>
        <w:suppressAutoHyphens/>
        <w:spacing w:line="360" w:lineRule="auto"/>
        <w:rPr>
          <w:rFonts w:asciiTheme="minorHAnsi" w:hAnsiTheme="minorHAnsi"/>
          <w:color w:val="00000A"/>
          <w:sz w:val="22"/>
          <w:lang w:eastAsia="en-GB"/>
        </w:rPr>
      </w:pPr>
      <w:r w:rsidRPr="00D74BB0">
        <w:rPr>
          <w:rFonts w:asciiTheme="minorHAnsi" w:eastAsia="Arial Unicode MS" w:hAnsiTheme="minorHAnsi"/>
          <w:b/>
          <w:bCs/>
          <w:color w:val="00000A"/>
          <w:spacing w:val="-10"/>
          <w:w w:val="105"/>
          <w:sz w:val="22"/>
          <w:lang w:eastAsia="ar-SA"/>
        </w:rPr>
        <w:t>Word count</w:t>
      </w:r>
      <w:r w:rsidRPr="00D74BB0">
        <w:rPr>
          <w:rFonts w:asciiTheme="minorHAnsi" w:eastAsia="Arial Unicode MS" w:hAnsiTheme="minorHAnsi"/>
          <w:bCs/>
          <w:color w:val="00000A"/>
          <w:spacing w:val="-10"/>
          <w:w w:val="105"/>
          <w:sz w:val="22"/>
          <w:lang w:eastAsia="ar-SA"/>
        </w:rPr>
        <w:t>:</w:t>
      </w:r>
      <w:r w:rsidR="002F7B81">
        <w:rPr>
          <w:rFonts w:asciiTheme="minorHAnsi" w:eastAsia="Arial Unicode MS" w:hAnsiTheme="minorHAnsi"/>
          <w:bCs/>
          <w:color w:val="00000A"/>
          <w:spacing w:val="-10"/>
          <w:w w:val="105"/>
          <w:sz w:val="22"/>
          <w:lang w:eastAsia="ar-SA"/>
        </w:rPr>
        <w:t xml:space="preserve"> </w:t>
      </w:r>
      <w:r w:rsidR="00912B34">
        <w:rPr>
          <w:rFonts w:asciiTheme="minorHAnsi" w:eastAsia="Arial Unicode MS" w:hAnsiTheme="minorHAnsi"/>
          <w:bCs/>
          <w:color w:val="00000A"/>
          <w:spacing w:val="-10"/>
          <w:w w:val="105"/>
          <w:sz w:val="22"/>
          <w:lang w:eastAsia="ar-SA"/>
        </w:rPr>
        <w:t>2929</w:t>
      </w:r>
    </w:p>
    <w:p w14:paraId="5684518C" w14:textId="77777777" w:rsidR="00D17591" w:rsidRPr="00D74BB0" w:rsidRDefault="00D17591" w:rsidP="0054619C">
      <w:pPr>
        <w:suppressAutoHyphens/>
        <w:spacing w:line="360" w:lineRule="auto"/>
        <w:rPr>
          <w:rFonts w:asciiTheme="minorHAnsi" w:eastAsia="Arial Unicode MS" w:hAnsiTheme="minorHAnsi"/>
          <w:color w:val="00000A"/>
          <w:sz w:val="22"/>
          <w:lang w:eastAsia="ar-SA"/>
        </w:rPr>
      </w:pPr>
    </w:p>
    <w:p w14:paraId="2D394D8A" w14:textId="77777777" w:rsidR="00EA3CA9" w:rsidRPr="00D74BB0" w:rsidRDefault="00EA3CA9" w:rsidP="0054619C">
      <w:pPr>
        <w:suppressAutoHyphens/>
        <w:spacing w:line="360" w:lineRule="auto"/>
        <w:rPr>
          <w:rFonts w:asciiTheme="minorHAnsi" w:eastAsia="Arial Unicode MS" w:hAnsiTheme="minorHAnsi"/>
          <w:b/>
          <w:color w:val="00000A"/>
          <w:sz w:val="22"/>
          <w:lang w:eastAsia="ar-SA"/>
        </w:rPr>
      </w:pPr>
    </w:p>
    <w:p w14:paraId="0A606D45" w14:textId="77777777" w:rsidR="00D17591" w:rsidRPr="00D74BB0" w:rsidRDefault="00D17591" w:rsidP="0054619C">
      <w:pPr>
        <w:suppressAutoHyphens/>
        <w:spacing w:line="360" w:lineRule="auto"/>
        <w:rPr>
          <w:rFonts w:asciiTheme="minorHAnsi" w:hAnsiTheme="minorHAnsi"/>
          <w:color w:val="00000A"/>
          <w:sz w:val="22"/>
          <w:lang w:eastAsia="en-GB"/>
        </w:rPr>
      </w:pPr>
      <w:r w:rsidRPr="00D74BB0">
        <w:rPr>
          <w:rFonts w:asciiTheme="minorHAnsi" w:eastAsia="Arial Unicode MS" w:hAnsiTheme="minorHAnsi"/>
          <w:b/>
          <w:color w:val="00000A"/>
          <w:sz w:val="22"/>
          <w:lang w:eastAsia="ar-SA"/>
        </w:rPr>
        <w:t>Correspondence:</w:t>
      </w:r>
    </w:p>
    <w:p w14:paraId="304CA425" w14:textId="77777777" w:rsidR="00D17591" w:rsidRPr="00D74BB0" w:rsidRDefault="00D17591" w:rsidP="0054619C">
      <w:pPr>
        <w:suppressAutoHyphens/>
        <w:spacing w:line="360" w:lineRule="auto"/>
        <w:rPr>
          <w:rFonts w:asciiTheme="minorHAnsi" w:hAnsiTheme="minorHAnsi"/>
          <w:color w:val="00000A"/>
          <w:sz w:val="22"/>
          <w:lang w:eastAsia="en-GB"/>
        </w:rPr>
      </w:pPr>
      <w:r w:rsidRPr="00D74BB0">
        <w:rPr>
          <w:rFonts w:asciiTheme="minorHAnsi" w:eastAsia="Arial Unicode MS" w:hAnsiTheme="minorHAnsi"/>
          <w:color w:val="00000A"/>
          <w:sz w:val="22"/>
          <w:lang w:eastAsia="ar-SA"/>
        </w:rPr>
        <w:t>Sonia Ratib</w:t>
      </w:r>
    </w:p>
    <w:p w14:paraId="0741DC23" w14:textId="77777777" w:rsidR="00D17591" w:rsidRPr="00D74BB0" w:rsidRDefault="00D17591" w:rsidP="0054619C">
      <w:pPr>
        <w:suppressAutoHyphens/>
        <w:spacing w:line="360" w:lineRule="auto"/>
        <w:rPr>
          <w:rFonts w:asciiTheme="minorHAnsi" w:hAnsiTheme="minorHAnsi"/>
          <w:color w:val="00000A"/>
          <w:sz w:val="22"/>
          <w:lang w:eastAsia="en-GB"/>
        </w:rPr>
      </w:pPr>
      <w:r w:rsidRPr="00D74BB0">
        <w:rPr>
          <w:rFonts w:asciiTheme="minorHAnsi" w:eastAsia="Arial Unicode MS" w:hAnsiTheme="minorHAnsi"/>
          <w:color w:val="00000A"/>
          <w:sz w:val="22"/>
          <w:lang w:eastAsia="ar-SA"/>
        </w:rPr>
        <w:t>Centre of Evidence Based Dermatology</w:t>
      </w:r>
    </w:p>
    <w:p w14:paraId="04A6E324" w14:textId="77777777" w:rsidR="00D17591" w:rsidRPr="00D74BB0" w:rsidRDefault="00D17591" w:rsidP="0054619C">
      <w:pPr>
        <w:suppressAutoHyphens/>
        <w:spacing w:line="360" w:lineRule="auto"/>
        <w:rPr>
          <w:rFonts w:asciiTheme="minorHAnsi" w:hAnsiTheme="minorHAnsi"/>
          <w:color w:val="00000A"/>
          <w:sz w:val="22"/>
          <w:lang w:eastAsia="en-GB"/>
        </w:rPr>
      </w:pPr>
      <w:r w:rsidRPr="00D74BB0">
        <w:rPr>
          <w:rFonts w:asciiTheme="minorHAnsi" w:eastAsia="Arial Unicode MS" w:hAnsiTheme="minorHAnsi"/>
          <w:color w:val="00000A"/>
          <w:sz w:val="22"/>
          <w:lang w:eastAsia="ar-SA"/>
        </w:rPr>
        <w:t>King’s Meadow Campus, University of Nottingham</w:t>
      </w:r>
    </w:p>
    <w:p w14:paraId="116486F1" w14:textId="77777777" w:rsidR="00D17591" w:rsidRPr="00D74BB0" w:rsidRDefault="00D17591" w:rsidP="0054619C">
      <w:pPr>
        <w:suppressAutoHyphens/>
        <w:spacing w:line="360" w:lineRule="auto"/>
        <w:rPr>
          <w:rFonts w:asciiTheme="minorHAnsi" w:hAnsiTheme="minorHAnsi"/>
          <w:color w:val="00000A"/>
          <w:sz w:val="22"/>
          <w:lang w:val="nl-NL" w:eastAsia="en-GB"/>
        </w:rPr>
      </w:pPr>
      <w:r w:rsidRPr="00D74BB0">
        <w:rPr>
          <w:rFonts w:asciiTheme="minorHAnsi" w:eastAsia="Arial Unicode MS" w:hAnsiTheme="minorHAnsi"/>
          <w:color w:val="00000A"/>
          <w:sz w:val="22"/>
          <w:lang w:val="nl-NL" w:eastAsia="ar-SA"/>
        </w:rPr>
        <w:t>Nottingham NG7 2RN, UK</w:t>
      </w:r>
    </w:p>
    <w:p w14:paraId="58997B21" w14:textId="77777777" w:rsidR="00D17591" w:rsidRPr="00D74BB0" w:rsidRDefault="00D17591" w:rsidP="0054619C">
      <w:pPr>
        <w:suppressAutoHyphens/>
        <w:spacing w:line="360" w:lineRule="auto"/>
        <w:rPr>
          <w:rFonts w:asciiTheme="minorHAnsi" w:hAnsiTheme="minorHAnsi"/>
          <w:color w:val="00000A"/>
          <w:sz w:val="22"/>
          <w:lang w:val="nl-NL" w:eastAsia="en-GB"/>
        </w:rPr>
      </w:pPr>
      <w:r w:rsidRPr="00D74BB0">
        <w:rPr>
          <w:rFonts w:asciiTheme="minorHAnsi" w:eastAsia="Arial Unicode MS" w:hAnsiTheme="minorHAnsi"/>
          <w:color w:val="00000A"/>
          <w:sz w:val="22"/>
          <w:lang w:val="nl-NL" w:eastAsia="ar-SA"/>
        </w:rPr>
        <w:t>Tel: +44 (0)115 8232436</w:t>
      </w:r>
    </w:p>
    <w:p w14:paraId="131587F1" w14:textId="77777777" w:rsidR="00D17591" w:rsidRPr="00A30A5E" w:rsidRDefault="00D17591" w:rsidP="0054619C">
      <w:pPr>
        <w:suppressAutoHyphens/>
        <w:spacing w:line="360" w:lineRule="auto"/>
        <w:rPr>
          <w:rFonts w:asciiTheme="minorHAnsi" w:hAnsiTheme="minorHAnsi"/>
          <w:color w:val="00000A"/>
          <w:sz w:val="22"/>
          <w:lang w:eastAsia="en-GB"/>
        </w:rPr>
      </w:pPr>
      <w:r w:rsidRPr="00A30A5E">
        <w:rPr>
          <w:rFonts w:asciiTheme="minorHAnsi" w:eastAsia="Arial Unicode MS" w:hAnsiTheme="minorHAnsi"/>
          <w:color w:val="00000A"/>
          <w:sz w:val="22"/>
          <w:lang w:eastAsia="ar-SA"/>
        </w:rPr>
        <w:t>Fax: +44 (0)115 8231946</w:t>
      </w:r>
    </w:p>
    <w:p w14:paraId="3C0CF20E" w14:textId="77777777" w:rsidR="00D17591" w:rsidRPr="00A30A5E" w:rsidRDefault="00D17591" w:rsidP="0054619C">
      <w:pPr>
        <w:suppressAutoHyphens/>
        <w:spacing w:line="360" w:lineRule="auto"/>
        <w:rPr>
          <w:rFonts w:asciiTheme="minorHAnsi" w:hAnsiTheme="minorHAnsi"/>
          <w:color w:val="00000A"/>
          <w:sz w:val="22"/>
          <w:lang w:eastAsia="en-GB"/>
        </w:rPr>
      </w:pPr>
      <w:r w:rsidRPr="00A30A5E">
        <w:rPr>
          <w:rFonts w:asciiTheme="minorHAnsi" w:eastAsia="Arial Unicode MS" w:hAnsiTheme="minorHAnsi"/>
          <w:color w:val="00000A"/>
          <w:sz w:val="22"/>
          <w:lang w:eastAsia="ar-SA"/>
        </w:rPr>
        <w:t>e-mail: sonia.ratib@nottingham.ac.uk</w:t>
      </w:r>
    </w:p>
    <w:p w14:paraId="57AEE431" w14:textId="77777777" w:rsidR="004C1388" w:rsidRPr="00A30A5E" w:rsidRDefault="004C1388" w:rsidP="0054619C">
      <w:pPr>
        <w:spacing w:before="200" w:after="240" w:line="360" w:lineRule="auto"/>
        <w:jc w:val="both"/>
        <w:outlineLvl w:val="1"/>
        <w:rPr>
          <w:rFonts w:asciiTheme="minorHAnsi" w:eastAsiaTheme="majorEastAsia" w:hAnsiTheme="minorHAnsi" w:cstheme="majorBidi"/>
          <w:b/>
          <w:bCs/>
          <w:sz w:val="22"/>
          <w:lang w:eastAsia="en-GB"/>
        </w:rPr>
      </w:pPr>
    </w:p>
    <w:p w14:paraId="6B751539" w14:textId="77777777" w:rsidR="009B3D66" w:rsidRPr="00A30A5E" w:rsidRDefault="009B3D66" w:rsidP="009B3D66">
      <w:pPr>
        <w:spacing w:after="160" w:line="360" w:lineRule="auto"/>
        <w:rPr>
          <w:rFonts w:asciiTheme="minorHAnsi" w:eastAsiaTheme="majorEastAsia" w:hAnsiTheme="minorHAnsi" w:cstheme="majorBidi"/>
          <w:b/>
          <w:bCs/>
          <w:sz w:val="22"/>
          <w:lang w:eastAsia="en-GB"/>
        </w:rPr>
      </w:pPr>
    </w:p>
    <w:p w14:paraId="05BC1B5B" w14:textId="77777777" w:rsidR="00306638" w:rsidRPr="00A30A5E" w:rsidRDefault="00306638" w:rsidP="009B3D66">
      <w:pPr>
        <w:spacing w:after="160" w:line="360" w:lineRule="auto"/>
        <w:rPr>
          <w:rFonts w:asciiTheme="minorHAnsi" w:eastAsiaTheme="majorEastAsia" w:hAnsiTheme="minorHAnsi" w:cstheme="majorBidi"/>
          <w:b/>
          <w:bCs/>
          <w:sz w:val="22"/>
          <w:lang w:eastAsia="en-GB"/>
        </w:rPr>
      </w:pPr>
    </w:p>
    <w:p w14:paraId="1C72180D" w14:textId="77777777" w:rsidR="00BA40A4" w:rsidRPr="00A30A5E" w:rsidRDefault="00BA40A4" w:rsidP="0054619C">
      <w:pPr>
        <w:spacing w:before="200" w:after="240" w:line="360" w:lineRule="auto"/>
        <w:jc w:val="both"/>
        <w:outlineLvl w:val="1"/>
        <w:rPr>
          <w:rFonts w:asciiTheme="minorHAnsi" w:eastAsiaTheme="majorEastAsia" w:hAnsiTheme="minorHAnsi" w:cstheme="majorBidi"/>
          <w:b/>
          <w:bCs/>
          <w:sz w:val="22"/>
          <w:lang w:eastAsia="en-GB"/>
        </w:rPr>
      </w:pPr>
      <w:r w:rsidRPr="00A30A5E">
        <w:rPr>
          <w:rFonts w:asciiTheme="minorHAnsi" w:eastAsiaTheme="majorEastAsia" w:hAnsiTheme="minorHAnsi" w:cstheme="majorBidi"/>
          <w:b/>
          <w:bCs/>
          <w:sz w:val="22"/>
          <w:lang w:eastAsia="en-GB"/>
        </w:rPr>
        <w:lastRenderedPageBreak/>
        <w:t>Abstract</w:t>
      </w:r>
    </w:p>
    <w:p w14:paraId="601161B8" w14:textId="77777777" w:rsidR="008555EF" w:rsidRPr="00D74BB0" w:rsidRDefault="009A3EC0" w:rsidP="0054619C">
      <w:pPr>
        <w:spacing w:line="360" w:lineRule="auto"/>
        <w:jc w:val="both"/>
        <w:rPr>
          <w:rFonts w:asciiTheme="minorHAnsi" w:hAnsiTheme="minorHAnsi"/>
          <w:sz w:val="22"/>
        </w:rPr>
      </w:pPr>
      <w:r>
        <w:rPr>
          <w:rFonts w:asciiTheme="minorHAnsi" w:hAnsiTheme="minorHAnsi"/>
          <w:b/>
          <w:sz w:val="22"/>
        </w:rPr>
        <w:t>Objectives</w:t>
      </w:r>
      <w:r w:rsidR="008027A9" w:rsidRPr="00D74BB0">
        <w:rPr>
          <w:rFonts w:asciiTheme="minorHAnsi" w:hAnsiTheme="minorHAnsi"/>
          <w:b/>
          <w:sz w:val="22"/>
        </w:rPr>
        <w:t>:</w:t>
      </w:r>
      <w:r w:rsidR="008027A9" w:rsidRPr="00D74BB0">
        <w:rPr>
          <w:rFonts w:asciiTheme="minorHAnsi" w:hAnsiTheme="minorHAnsi"/>
          <w:sz w:val="22"/>
        </w:rPr>
        <w:t xml:space="preserve"> </w:t>
      </w:r>
      <w:r w:rsidR="002A5CAD" w:rsidRPr="00D74BB0">
        <w:rPr>
          <w:rFonts w:asciiTheme="minorHAnsi" w:hAnsiTheme="minorHAnsi"/>
          <w:sz w:val="22"/>
        </w:rPr>
        <w:t>Mortality due to liver disease (of which cirrhosis is the end-stage) is increasing more than any other chronic condition in the UK.</w:t>
      </w:r>
      <w:r>
        <w:rPr>
          <w:rFonts w:asciiTheme="minorHAnsi" w:hAnsiTheme="minorHAnsi"/>
          <w:sz w:val="22"/>
        </w:rPr>
        <w:t xml:space="preserve"> This study aims to demonstrate that (i) e</w:t>
      </w:r>
      <w:r w:rsidR="002A5CAD" w:rsidRPr="00D74BB0">
        <w:rPr>
          <w:rFonts w:asciiTheme="minorHAnsi" w:hAnsiTheme="minorHAnsi"/>
          <w:sz w:val="22"/>
        </w:rPr>
        <w:t>xclusive reliance</w:t>
      </w:r>
      <w:r>
        <w:rPr>
          <w:rFonts w:asciiTheme="minorHAnsi" w:hAnsiTheme="minorHAnsi"/>
          <w:sz w:val="22"/>
        </w:rPr>
        <w:t xml:space="preserve"> on mortality rates </w:t>
      </w:r>
      <w:r w:rsidR="007641ED">
        <w:rPr>
          <w:rFonts w:asciiTheme="minorHAnsi" w:hAnsiTheme="minorHAnsi"/>
          <w:sz w:val="22"/>
        </w:rPr>
        <w:t>may</w:t>
      </w:r>
      <w:r w:rsidR="002A5CAD" w:rsidRPr="00D74BB0">
        <w:rPr>
          <w:rFonts w:asciiTheme="minorHAnsi" w:hAnsiTheme="minorHAnsi"/>
          <w:sz w:val="22"/>
        </w:rPr>
        <w:t xml:space="preserve"> not r</w:t>
      </w:r>
      <w:r w:rsidR="00B04AB6">
        <w:rPr>
          <w:rFonts w:asciiTheme="minorHAnsi" w:hAnsiTheme="minorHAnsi"/>
          <w:sz w:val="22"/>
        </w:rPr>
        <w:t>eveal the true burd</w:t>
      </w:r>
      <w:r>
        <w:rPr>
          <w:rFonts w:asciiTheme="minorHAnsi" w:hAnsiTheme="minorHAnsi"/>
          <w:sz w:val="22"/>
        </w:rPr>
        <w:t xml:space="preserve">en of liver cirrhosis, and (ii) </w:t>
      </w:r>
      <w:r w:rsidR="002A5CAD" w:rsidRPr="00D74BB0">
        <w:rPr>
          <w:rFonts w:asciiTheme="minorHAnsi" w:hAnsiTheme="minorHAnsi"/>
          <w:sz w:val="22"/>
        </w:rPr>
        <w:t xml:space="preserve">diverse </w:t>
      </w:r>
      <w:r w:rsidR="00857AA8">
        <w:rPr>
          <w:rFonts w:asciiTheme="minorHAnsi" w:hAnsiTheme="minorHAnsi"/>
          <w:sz w:val="22"/>
        </w:rPr>
        <w:t>use of diagnostic coding</w:t>
      </w:r>
      <w:r w:rsidR="002A5CAD" w:rsidRPr="00D74BB0">
        <w:rPr>
          <w:rFonts w:asciiTheme="minorHAnsi" w:hAnsiTheme="minorHAnsi"/>
          <w:sz w:val="22"/>
        </w:rPr>
        <w:t xml:space="preserve"> may </w:t>
      </w:r>
      <w:r w:rsidR="00B04AB6">
        <w:rPr>
          <w:rFonts w:asciiTheme="minorHAnsi" w:hAnsiTheme="minorHAnsi"/>
          <w:sz w:val="22"/>
        </w:rPr>
        <w:t>produce</w:t>
      </w:r>
      <w:r w:rsidR="002A5CAD" w:rsidRPr="00D74BB0">
        <w:rPr>
          <w:rFonts w:asciiTheme="minorHAnsi" w:hAnsiTheme="minorHAnsi"/>
          <w:sz w:val="22"/>
        </w:rPr>
        <w:t xml:space="preserve"> misleading estimates.</w:t>
      </w:r>
    </w:p>
    <w:p w14:paraId="15DEB620" w14:textId="77777777" w:rsidR="009A3EC0" w:rsidRPr="009C2695" w:rsidRDefault="009A3EC0" w:rsidP="0054619C">
      <w:pPr>
        <w:spacing w:line="360" w:lineRule="auto"/>
        <w:jc w:val="both"/>
        <w:rPr>
          <w:rFonts w:asciiTheme="minorHAnsi" w:hAnsiTheme="minorHAnsi"/>
          <w:b/>
          <w:sz w:val="22"/>
        </w:rPr>
      </w:pPr>
      <w:r w:rsidRPr="009C2695">
        <w:rPr>
          <w:rFonts w:asciiTheme="minorHAnsi" w:hAnsiTheme="minorHAnsi"/>
          <w:b/>
          <w:sz w:val="22"/>
        </w:rPr>
        <w:t xml:space="preserve">Design: </w:t>
      </w:r>
      <w:r w:rsidR="004A6311">
        <w:rPr>
          <w:rFonts w:asciiTheme="minorHAnsi" w:hAnsiTheme="minorHAnsi"/>
          <w:sz w:val="22"/>
        </w:rPr>
        <w:t xml:space="preserve">Observational </w:t>
      </w:r>
      <w:r w:rsidRPr="009C2695">
        <w:rPr>
          <w:rFonts w:asciiTheme="minorHAnsi" w:hAnsiTheme="minorHAnsi"/>
          <w:sz w:val="22"/>
        </w:rPr>
        <w:t>study</w:t>
      </w:r>
    </w:p>
    <w:p w14:paraId="1BFD9AC8" w14:textId="77777777" w:rsidR="009A3EC0" w:rsidRDefault="009A3EC0" w:rsidP="0054619C">
      <w:pPr>
        <w:spacing w:line="360" w:lineRule="auto"/>
        <w:jc w:val="both"/>
        <w:rPr>
          <w:rFonts w:asciiTheme="minorHAnsi" w:eastAsiaTheme="minorEastAsia" w:hAnsiTheme="minorHAnsi"/>
          <w:sz w:val="22"/>
          <w:lang w:eastAsia="en-GB"/>
        </w:rPr>
      </w:pPr>
      <w:r w:rsidRPr="009C2695">
        <w:rPr>
          <w:rFonts w:asciiTheme="minorHAnsi" w:hAnsiTheme="minorHAnsi"/>
          <w:b/>
          <w:sz w:val="22"/>
        </w:rPr>
        <w:t>Setting</w:t>
      </w:r>
      <w:r w:rsidR="008027A9" w:rsidRPr="009C2695">
        <w:rPr>
          <w:rFonts w:asciiTheme="minorHAnsi" w:hAnsiTheme="minorHAnsi"/>
          <w:b/>
          <w:sz w:val="22"/>
        </w:rPr>
        <w:t xml:space="preserve">: </w:t>
      </w:r>
      <w:r w:rsidR="008027A9" w:rsidRPr="009C2695">
        <w:rPr>
          <w:rFonts w:asciiTheme="minorHAnsi" w:eastAsiaTheme="minorEastAsia" w:hAnsiTheme="minorHAnsi"/>
          <w:sz w:val="22"/>
          <w:lang w:eastAsia="en-GB"/>
        </w:rPr>
        <w:t>The Office for National Statistics death registry was interrogated to investigate liver cirrhosis mortality trends in England and Wales, from 1968 to 2011.</w:t>
      </w:r>
      <w:r w:rsidR="008027A9" w:rsidRPr="00D74BB0">
        <w:rPr>
          <w:rFonts w:asciiTheme="minorHAnsi" w:eastAsiaTheme="minorEastAsia" w:hAnsiTheme="minorHAnsi"/>
          <w:sz w:val="22"/>
          <w:lang w:eastAsia="en-GB"/>
        </w:rPr>
        <w:t xml:space="preserve"> </w:t>
      </w:r>
    </w:p>
    <w:p w14:paraId="6B27A420" w14:textId="3B137534" w:rsidR="008027A9" w:rsidRPr="00D74BB0" w:rsidRDefault="009A3EC0" w:rsidP="0054619C">
      <w:pPr>
        <w:spacing w:line="360" w:lineRule="auto"/>
        <w:jc w:val="both"/>
        <w:rPr>
          <w:rFonts w:asciiTheme="minorHAnsi" w:eastAsiaTheme="minorEastAsia" w:hAnsiTheme="minorHAnsi"/>
          <w:sz w:val="22"/>
          <w:lang w:eastAsia="en-GB"/>
        </w:rPr>
      </w:pPr>
      <w:r w:rsidRPr="009A3EC0">
        <w:rPr>
          <w:rFonts w:asciiTheme="minorHAnsi" w:eastAsiaTheme="minorEastAsia" w:hAnsiTheme="minorHAnsi"/>
          <w:b/>
          <w:sz w:val="22"/>
          <w:lang w:eastAsia="en-GB"/>
        </w:rPr>
        <w:t>Main outcome:</w:t>
      </w:r>
      <w:r>
        <w:rPr>
          <w:rFonts w:asciiTheme="minorHAnsi" w:eastAsiaTheme="minorEastAsia" w:hAnsiTheme="minorHAnsi"/>
          <w:sz w:val="22"/>
          <w:lang w:eastAsia="en-GB"/>
        </w:rPr>
        <w:t xml:space="preserve"> </w:t>
      </w:r>
      <w:r w:rsidR="007E06C5">
        <w:rPr>
          <w:rFonts w:asciiTheme="minorHAnsi" w:eastAsiaTheme="minorEastAsia" w:hAnsiTheme="minorHAnsi"/>
          <w:sz w:val="22"/>
          <w:lang w:eastAsia="en-GB"/>
        </w:rPr>
        <w:t>S</w:t>
      </w:r>
      <w:r w:rsidR="008027A9" w:rsidRPr="00D74BB0">
        <w:rPr>
          <w:rFonts w:asciiTheme="minorHAnsi" w:eastAsiaTheme="minorEastAsia" w:hAnsiTheme="minorHAnsi"/>
          <w:sz w:val="22"/>
          <w:lang w:eastAsia="en-GB"/>
        </w:rPr>
        <w:t xml:space="preserve">tandardised mortality trends according to three different definitions of </w:t>
      </w:r>
      <w:r w:rsidR="001554EB">
        <w:rPr>
          <w:rFonts w:asciiTheme="minorHAnsi" w:eastAsiaTheme="minorEastAsia" w:hAnsiTheme="minorHAnsi"/>
          <w:sz w:val="22"/>
          <w:lang w:eastAsia="en-GB"/>
        </w:rPr>
        <w:t>liver cirrhosis</w:t>
      </w:r>
      <w:r w:rsidR="008027A9" w:rsidRPr="00D74BB0">
        <w:rPr>
          <w:rFonts w:asciiTheme="minorHAnsi" w:eastAsiaTheme="minorEastAsia" w:hAnsiTheme="minorHAnsi"/>
          <w:sz w:val="22"/>
          <w:lang w:eastAsia="en-GB"/>
        </w:rPr>
        <w:t xml:space="preserve"> based on the spec</w:t>
      </w:r>
      <w:r w:rsidR="00407D73">
        <w:rPr>
          <w:rFonts w:asciiTheme="minorHAnsi" w:eastAsiaTheme="minorEastAsia" w:hAnsiTheme="minorHAnsi"/>
          <w:sz w:val="22"/>
          <w:lang w:eastAsia="en-GB"/>
        </w:rPr>
        <w:t>ificity of diagnostic codes</w:t>
      </w:r>
      <w:r w:rsidR="007E06C5">
        <w:rPr>
          <w:rFonts w:asciiTheme="minorHAnsi" w:eastAsiaTheme="minorEastAsia" w:hAnsiTheme="minorHAnsi"/>
          <w:sz w:val="22"/>
          <w:lang w:eastAsia="en-GB"/>
        </w:rPr>
        <w:t xml:space="preserve"> were calculated</w:t>
      </w:r>
      <w:r w:rsidR="008027A9" w:rsidRPr="00D74BB0">
        <w:rPr>
          <w:rFonts w:asciiTheme="minorHAnsi" w:eastAsiaTheme="minorEastAsia" w:hAnsiTheme="minorHAnsi"/>
          <w:sz w:val="22"/>
          <w:lang w:eastAsia="en-GB"/>
        </w:rPr>
        <w:t>: 1(ch</w:t>
      </w:r>
      <w:r w:rsidR="008A2F39" w:rsidRPr="00D74BB0">
        <w:rPr>
          <w:rFonts w:asciiTheme="minorHAnsi" w:eastAsiaTheme="minorEastAsia" w:hAnsiTheme="minorHAnsi"/>
          <w:sz w:val="22"/>
          <w:lang w:eastAsia="en-GB"/>
        </w:rPr>
        <w:t>ronic liver diseases), 2 (alcoholic and unspecified cirrhosis only) and 3</w:t>
      </w:r>
      <w:r w:rsidR="008027A9" w:rsidRPr="00D74BB0">
        <w:rPr>
          <w:rFonts w:asciiTheme="minorHAnsi" w:eastAsiaTheme="minorEastAsia" w:hAnsiTheme="minorHAnsi"/>
          <w:sz w:val="22"/>
          <w:lang w:eastAsia="en-GB"/>
        </w:rPr>
        <w:t xml:space="preserve"> (cirrhosis as end-stage</w:t>
      </w:r>
      <w:r w:rsidR="008A2F39" w:rsidRPr="00D74BB0">
        <w:rPr>
          <w:rFonts w:asciiTheme="minorHAnsi" w:eastAsiaTheme="minorEastAsia" w:hAnsiTheme="minorHAnsi"/>
          <w:sz w:val="22"/>
          <w:lang w:eastAsia="en-GB"/>
        </w:rPr>
        <w:t xml:space="preserve"> liver disease). </w:t>
      </w:r>
      <w:r w:rsidR="008027A9" w:rsidRPr="00D74BB0">
        <w:rPr>
          <w:rFonts w:asciiTheme="minorHAnsi" w:eastAsiaTheme="minorEastAsia" w:hAnsiTheme="minorHAnsi"/>
          <w:sz w:val="22"/>
          <w:lang w:eastAsia="en-GB"/>
        </w:rPr>
        <w:t>The mortality trends were compared to incidence rates established in a previous</w:t>
      </w:r>
      <w:r w:rsidR="00DF2861">
        <w:rPr>
          <w:rFonts w:asciiTheme="minorHAnsi" w:eastAsiaTheme="minorEastAsia" w:hAnsiTheme="minorHAnsi"/>
          <w:sz w:val="22"/>
          <w:lang w:eastAsia="en-GB"/>
        </w:rPr>
        <w:t xml:space="preserve"> population-based</w:t>
      </w:r>
      <w:r w:rsidR="008027A9" w:rsidRPr="00D74BB0">
        <w:rPr>
          <w:rFonts w:asciiTheme="minorHAnsi" w:eastAsiaTheme="minorEastAsia" w:hAnsiTheme="minorHAnsi"/>
          <w:sz w:val="22"/>
          <w:lang w:eastAsia="en-GB"/>
        </w:rPr>
        <w:t xml:space="preserve"> study (based on </w:t>
      </w:r>
      <w:r w:rsidR="008A2F39" w:rsidRPr="00D74BB0">
        <w:rPr>
          <w:rFonts w:asciiTheme="minorHAnsi" w:eastAsiaTheme="minorEastAsia" w:hAnsiTheme="minorHAnsi"/>
          <w:sz w:val="22"/>
          <w:lang w:eastAsia="en-GB"/>
        </w:rPr>
        <w:t>definition 3</w:t>
      </w:r>
      <w:r w:rsidR="008027A9" w:rsidRPr="00D74BB0">
        <w:rPr>
          <w:rFonts w:asciiTheme="minorHAnsi" w:eastAsiaTheme="minorEastAsia" w:hAnsiTheme="minorHAnsi"/>
          <w:sz w:val="22"/>
          <w:lang w:eastAsia="en-GB"/>
        </w:rPr>
        <w:t xml:space="preserve">), from 1998 to 2009, to investigate </w:t>
      </w:r>
      <w:r w:rsidR="001554EB">
        <w:rPr>
          <w:rFonts w:asciiTheme="minorHAnsi" w:eastAsiaTheme="minorEastAsia" w:hAnsiTheme="minorHAnsi"/>
          <w:sz w:val="22"/>
          <w:lang w:eastAsia="en-GB"/>
        </w:rPr>
        <w:t>discrepancies between these two</w:t>
      </w:r>
      <w:r w:rsidR="000471C0">
        <w:rPr>
          <w:rFonts w:asciiTheme="minorHAnsi" w:eastAsiaTheme="minorEastAsia" w:hAnsiTheme="minorHAnsi"/>
          <w:sz w:val="22"/>
          <w:lang w:eastAsia="en-GB"/>
        </w:rPr>
        <w:t xml:space="preserve"> measures. </w:t>
      </w:r>
    </w:p>
    <w:p w14:paraId="6AD045AD" w14:textId="77777777" w:rsidR="008027A9" w:rsidRPr="00D74BB0" w:rsidRDefault="009A3EC0" w:rsidP="0054619C">
      <w:pPr>
        <w:autoSpaceDE w:val="0"/>
        <w:autoSpaceDN w:val="0"/>
        <w:adjustRightInd w:val="0"/>
        <w:spacing w:line="360" w:lineRule="auto"/>
        <w:jc w:val="both"/>
        <w:rPr>
          <w:rFonts w:asciiTheme="minorHAnsi" w:hAnsiTheme="minorHAnsi" w:cs="MinionPro-Regular"/>
          <w:color w:val="231F20"/>
          <w:sz w:val="22"/>
          <w:lang w:eastAsia="en-GB"/>
        </w:rPr>
      </w:pPr>
      <w:r>
        <w:rPr>
          <w:rFonts w:asciiTheme="minorHAnsi" w:hAnsiTheme="minorHAnsi"/>
          <w:b/>
          <w:sz w:val="22"/>
        </w:rPr>
        <w:t>Results</w:t>
      </w:r>
      <w:r w:rsidR="008027A9" w:rsidRPr="00D74BB0">
        <w:rPr>
          <w:rFonts w:asciiTheme="minorHAnsi" w:hAnsiTheme="minorHAnsi"/>
          <w:b/>
          <w:sz w:val="22"/>
        </w:rPr>
        <w:t xml:space="preserve">: </w:t>
      </w:r>
      <w:r w:rsidR="008027A9" w:rsidRPr="00D74BB0">
        <w:rPr>
          <w:rFonts w:asciiTheme="minorHAnsi" w:eastAsiaTheme="minorEastAsia" w:hAnsiTheme="minorHAnsi"/>
          <w:sz w:val="22"/>
          <w:lang w:eastAsia="en-GB"/>
        </w:rPr>
        <w:t>Over the study period, the overall standardis</w:t>
      </w:r>
      <w:r w:rsidR="00AC1996" w:rsidRPr="00D74BB0">
        <w:rPr>
          <w:rFonts w:asciiTheme="minorHAnsi" w:eastAsiaTheme="minorEastAsia" w:hAnsiTheme="minorHAnsi"/>
          <w:sz w:val="22"/>
          <w:lang w:eastAsia="en-GB"/>
        </w:rPr>
        <w:t>ed</w:t>
      </w:r>
      <w:r w:rsidR="001554EB">
        <w:rPr>
          <w:rFonts w:asciiTheme="minorHAnsi" w:eastAsiaTheme="minorEastAsia" w:hAnsiTheme="minorHAnsi"/>
          <w:sz w:val="22"/>
          <w:lang w:eastAsia="en-GB"/>
        </w:rPr>
        <w:t xml:space="preserve"> </w:t>
      </w:r>
      <w:r w:rsidR="00D338F1">
        <w:rPr>
          <w:rFonts w:asciiTheme="minorHAnsi" w:eastAsiaTheme="minorEastAsia" w:hAnsiTheme="minorHAnsi"/>
          <w:sz w:val="22"/>
          <w:lang w:eastAsia="en-GB"/>
        </w:rPr>
        <w:t>liver cirrhosis</w:t>
      </w:r>
      <w:r w:rsidR="00D338F1" w:rsidRPr="00D74BB0">
        <w:rPr>
          <w:rFonts w:asciiTheme="minorHAnsi" w:eastAsiaTheme="minorEastAsia" w:hAnsiTheme="minorHAnsi"/>
          <w:sz w:val="22"/>
          <w:lang w:eastAsia="en-GB"/>
        </w:rPr>
        <w:t xml:space="preserve"> </w:t>
      </w:r>
      <w:r w:rsidR="00EE1D4E">
        <w:rPr>
          <w:rFonts w:asciiTheme="minorHAnsi" w:eastAsiaTheme="minorEastAsia" w:hAnsiTheme="minorHAnsi"/>
          <w:sz w:val="22"/>
          <w:lang w:eastAsia="en-GB"/>
        </w:rPr>
        <w:t>mortality rates were 8</w:t>
      </w:r>
      <w:r w:rsidR="00EE1D4E">
        <w:rPr>
          <w:rFonts w:ascii="Estrangelo Edessa" w:eastAsiaTheme="minorEastAsia" w:hAnsi="Estrangelo Edessa" w:cs="Estrangelo Edessa"/>
          <w:sz w:val="22"/>
          <w:lang w:eastAsia="en-GB"/>
        </w:rPr>
        <w:t>·</w:t>
      </w:r>
      <w:r w:rsidR="00EE1D4E">
        <w:rPr>
          <w:rFonts w:asciiTheme="minorHAnsi" w:eastAsiaTheme="minorEastAsia" w:hAnsiTheme="minorHAnsi"/>
          <w:sz w:val="22"/>
          <w:lang w:eastAsia="en-GB"/>
        </w:rPr>
        <w:t>8, 5·1 and 5·</w:t>
      </w:r>
      <w:r w:rsidR="00AC1996" w:rsidRPr="00D74BB0">
        <w:rPr>
          <w:rFonts w:asciiTheme="minorHAnsi" w:eastAsiaTheme="minorEastAsia" w:hAnsiTheme="minorHAnsi"/>
          <w:sz w:val="22"/>
          <w:lang w:eastAsia="en-GB"/>
        </w:rPr>
        <w:t>4</w:t>
      </w:r>
      <w:r w:rsidR="008027A9" w:rsidRPr="00D74BB0">
        <w:rPr>
          <w:rFonts w:asciiTheme="minorHAnsi" w:eastAsiaTheme="minorEastAsia" w:hAnsiTheme="minorHAnsi"/>
          <w:sz w:val="22"/>
          <w:lang w:eastAsia="en-GB"/>
        </w:rPr>
        <w:t xml:space="preserve"> per 100,000 person-years for </w:t>
      </w:r>
      <w:r w:rsidR="008027A9" w:rsidRPr="00FF56BC">
        <w:rPr>
          <w:rFonts w:asciiTheme="minorHAnsi" w:eastAsiaTheme="minorEastAsia" w:hAnsiTheme="minorHAnsi"/>
          <w:sz w:val="22"/>
          <w:lang w:eastAsia="en-GB"/>
        </w:rPr>
        <w:t>definitions 1,</w:t>
      </w:r>
      <w:r w:rsidR="00D74BB0" w:rsidRPr="00FF56BC">
        <w:rPr>
          <w:rFonts w:asciiTheme="minorHAnsi" w:eastAsiaTheme="minorEastAsia" w:hAnsiTheme="minorHAnsi"/>
          <w:sz w:val="22"/>
          <w:lang w:eastAsia="en-GB"/>
        </w:rPr>
        <w:t xml:space="preserve"> </w:t>
      </w:r>
      <w:r w:rsidR="008027A9" w:rsidRPr="00FF56BC">
        <w:rPr>
          <w:rFonts w:asciiTheme="minorHAnsi" w:eastAsiaTheme="minorEastAsia" w:hAnsiTheme="minorHAnsi"/>
          <w:sz w:val="22"/>
          <w:lang w:eastAsia="en-GB"/>
        </w:rPr>
        <w:t xml:space="preserve">2 and 3 of respectively. The mortality rates for </w:t>
      </w:r>
      <w:r w:rsidR="00AC1996" w:rsidRPr="00FF56BC">
        <w:rPr>
          <w:rFonts w:asciiTheme="minorHAnsi" w:eastAsiaTheme="minorEastAsia" w:hAnsiTheme="minorHAnsi"/>
          <w:sz w:val="22"/>
          <w:lang w:eastAsia="en-GB"/>
        </w:rPr>
        <w:t>definition 3</w:t>
      </w:r>
      <w:r w:rsidR="00FB5F1E" w:rsidRPr="00FF56BC">
        <w:rPr>
          <w:rFonts w:asciiTheme="minorHAnsi" w:eastAsiaTheme="minorEastAsia" w:hAnsiTheme="minorHAnsi"/>
          <w:sz w:val="22"/>
          <w:lang w:eastAsia="en-GB"/>
        </w:rPr>
        <w:t xml:space="preserve"> in 1998 and 2009 were 6</w:t>
      </w:r>
      <w:r w:rsidR="00EE1D4E">
        <w:rPr>
          <w:rFonts w:asciiTheme="minorHAnsi" w:eastAsiaTheme="minorEastAsia" w:hAnsiTheme="minorHAnsi"/>
          <w:sz w:val="22"/>
          <w:lang w:eastAsia="en-GB"/>
        </w:rPr>
        <w:t>·</w:t>
      </w:r>
      <w:r w:rsidR="00FB5F1E" w:rsidRPr="00FF56BC">
        <w:rPr>
          <w:rFonts w:asciiTheme="minorHAnsi" w:eastAsiaTheme="minorEastAsia" w:hAnsiTheme="minorHAnsi"/>
          <w:sz w:val="22"/>
          <w:lang w:eastAsia="en-GB"/>
        </w:rPr>
        <w:t>2</w:t>
      </w:r>
      <w:r w:rsidR="00EE1D4E">
        <w:rPr>
          <w:rFonts w:asciiTheme="minorHAnsi" w:eastAsiaTheme="minorEastAsia" w:hAnsiTheme="minorHAnsi"/>
          <w:sz w:val="22"/>
          <w:lang w:eastAsia="en-GB"/>
        </w:rPr>
        <w:t xml:space="preserve"> and 5·</w:t>
      </w:r>
      <w:r w:rsidR="008027A9" w:rsidRPr="00FF56BC">
        <w:rPr>
          <w:rFonts w:asciiTheme="minorHAnsi" w:eastAsiaTheme="minorEastAsia" w:hAnsiTheme="minorHAnsi"/>
          <w:sz w:val="22"/>
          <w:lang w:eastAsia="en-GB"/>
        </w:rPr>
        <w:t>9 per 100,000 person-years respectively; whilst the equivalent incidence</w:t>
      </w:r>
      <w:r w:rsidR="002C2F7A" w:rsidRPr="00FF56BC">
        <w:rPr>
          <w:rFonts w:asciiTheme="minorHAnsi" w:eastAsiaTheme="minorEastAsia" w:hAnsiTheme="minorHAnsi"/>
          <w:sz w:val="22"/>
          <w:lang w:eastAsia="en-GB"/>
        </w:rPr>
        <w:t xml:space="preserve"> rates were at least three</w:t>
      </w:r>
      <w:r w:rsidR="00971EE4" w:rsidRPr="00FF56BC">
        <w:rPr>
          <w:rFonts w:asciiTheme="minorHAnsi" w:eastAsiaTheme="minorEastAsia" w:hAnsiTheme="minorHAnsi"/>
          <w:sz w:val="22"/>
          <w:lang w:eastAsia="en-GB"/>
        </w:rPr>
        <w:t>- and six-fold higher</w:t>
      </w:r>
      <w:r w:rsidR="00EE1D4E">
        <w:rPr>
          <w:rFonts w:asciiTheme="minorHAnsi" w:eastAsiaTheme="minorEastAsia" w:hAnsiTheme="minorHAnsi"/>
          <w:sz w:val="22"/>
          <w:lang w:eastAsia="en-GB"/>
        </w:rPr>
        <w:t>: 23·</w:t>
      </w:r>
      <w:r w:rsidR="002C2F7A" w:rsidRPr="00FF56BC">
        <w:rPr>
          <w:rFonts w:asciiTheme="minorHAnsi" w:eastAsiaTheme="minorEastAsia" w:hAnsiTheme="minorHAnsi"/>
          <w:sz w:val="22"/>
          <w:lang w:eastAsia="en-GB"/>
        </w:rPr>
        <w:t>4</w:t>
      </w:r>
      <w:r w:rsidR="00FB5F1E" w:rsidRPr="00FF56BC">
        <w:rPr>
          <w:rFonts w:asciiTheme="minorHAnsi" w:eastAsiaTheme="minorEastAsia" w:hAnsiTheme="minorHAnsi"/>
          <w:sz w:val="22"/>
          <w:lang w:eastAsia="en-GB"/>
        </w:rPr>
        <w:t xml:space="preserve"> and 35</w:t>
      </w:r>
      <w:r w:rsidR="00EE1D4E">
        <w:rPr>
          <w:rFonts w:asciiTheme="minorHAnsi" w:eastAsiaTheme="minorEastAsia" w:hAnsiTheme="minorHAnsi"/>
          <w:sz w:val="22"/>
          <w:lang w:eastAsia="en-GB"/>
        </w:rPr>
        <w:t>·</w:t>
      </w:r>
      <w:r w:rsidR="00020899">
        <w:rPr>
          <w:rFonts w:asciiTheme="minorHAnsi" w:eastAsiaTheme="minorEastAsia" w:hAnsiTheme="minorHAnsi"/>
          <w:sz w:val="22"/>
          <w:lang w:eastAsia="en-GB"/>
        </w:rPr>
        <w:t>9</w:t>
      </w:r>
      <w:r w:rsidR="008027A9" w:rsidRPr="00FF56BC">
        <w:rPr>
          <w:rFonts w:asciiTheme="minorHAnsi" w:eastAsiaTheme="minorEastAsia" w:hAnsiTheme="minorHAnsi"/>
          <w:sz w:val="22"/>
          <w:lang w:eastAsia="en-GB"/>
        </w:rPr>
        <w:t xml:space="preserve"> per 100,000 person-years respectively. </w:t>
      </w:r>
      <w:r w:rsidR="00502F9D" w:rsidRPr="00FF56BC">
        <w:rPr>
          <w:rFonts w:asciiTheme="minorHAnsi" w:eastAsiaTheme="minorEastAsia" w:hAnsiTheme="minorHAnsi"/>
          <w:sz w:val="22"/>
          <w:lang w:eastAsia="en-GB"/>
        </w:rPr>
        <w:t>This</w:t>
      </w:r>
      <w:r w:rsidR="008027A9" w:rsidRPr="00FF56BC">
        <w:rPr>
          <w:rFonts w:asciiTheme="minorHAnsi" w:eastAsiaTheme="minorEastAsia" w:hAnsiTheme="minorHAnsi"/>
          <w:sz w:val="22"/>
          <w:lang w:eastAsia="en-GB"/>
        </w:rPr>
        <w:t xml:space="preserve"> discrepancy between incidence and mortality ra</w:t>
      </w:r>
      <w:r w:rsidR="00E661F4" w:rsidRPr="00FF56BC">
        <w:rPr>
          <w:rFonts w:asciiTheme="minorHAnsi" w:eastAsiaTheme="minorEastAsia" w:hAnsiTheme="minorHAnsi"/>
          <w:sz w:val="22"/>
          <w:lang w:eastAsia="en-GB"/>
        </w:rPr>
        <w:t xml:space="preserve">tes was </w:t>
      </w:r>
      <w:r w:rsidR="002C2F7A" w:rsidRPr="00FF56BC">
        <w:rPr>
          <w:rFonts w:asciiTheme="minorHAnsi" w:eastAsiaTheme="minorEastAsia" w:hAnsiTheme="minorHAnsi"/>
          <w:sz w:val="22"/>
          <w:lang w:eastAsia="en-GB"/>
        </w:rPr>
        <w:t>also</w:t>
      </w:r>
      <w:r w:rsidR="002C2F7A">
        <w:rPr>
          <w:rFonts w:asciiTheme="minorHAnsi" w:eastAsiaTheme="minorEastAsia" w:hAnsiTheme="minorHAnsi"/>
          <w:sz w:val="22"/>
          <w:lang w:eastAsia="en-GB"/>
        </w:rPr>
        <w:t xml:space="preserve"> </w:t>
      </w:r>
      <w:r w:rsidR="009C2695">
        <w:rPr>
          <w:rFonts w:asciiTheme="minorHAnsi" w:eastAsiaTheme="minorEastAsia" w:hAnsiTheme="minorHAnsi"/>
          <w:sz w:val="22"/>
          <w:lang w:eastAsia="en-GB"/>
        </w:rPr>
        <w:t>at least three</w:t>
      </w:r>
      <w:r w:rsidR="00E661F4">
        <w:rPr>
          <w:rFonts w:asciiTheme="minorHAnsi" w:eastAsiaTheme="minorEastAsia" w:hAnsiTheme="minorHAnsi"/>
          <w:sz w:val="22"/>
          <w:lang w:eastAsia="en-GB"/>
        </w:rPr>
        <w:t>-fold in</w:t>
      </w:r>
      <w:r w:rsidR="001554EB">
        <w:rPr>
          <w:rFonts w:asciiTheme="minorHAnsi" w:eastAsiaTheme="minorEastAsia" w:hAnsiTheme="minorHAnsi"/>
          <w:sz w:val="22"/>
          <w:lang w:eastAsia="en-GB"/>
        </w:rPr>
        <w:t xml:space="preserve"> men and women</w:t>
      </w:r>
      <w:r w:rsidR="00E661F4">
        <w:rPr>
          <w:rFonts w:asciiTheme="minorHAnsi" w:eastAsiaTheme="minorEastAsia" w:hAnsiTheme="minorHAnsi"/>
          <w:sz w:val="22"/>
          <w:lang w:eastAsia="en-GB"/>
        </w:rPr>
        <w:t xml:space="preserve"> separately</w:t>
      </w:r>
      <w:r w:rsidR="001554EB">
        <w:rPr>
          <w:rFonts w:asciiTheme="minorHAnsi" w:eastAsiaTheme="minorEastAsia" w:hAnsiTheme="minorHAnsi"/>
          <w:sz w:val="22"/>
          <w:lang w:eastAsia="en-GB"/>
        </w:rPr>
        <w:t xml:space="preserve">, and </w:t>
      </w:r>
      <w:r w:rsidR="008027A9" w:rsidRPr="00D74BB0">
        <w:rPr>
          <w:rFonts w:asciiTheme="minorHAnsi" w:eastAsiaTheme="minorEastAsia" w:hAnsiTheme="minorHAnsi"/>
          <w:sz w:val="22"/>
          <w:lang w:eastAsia="en-GB"/>
        </w:rPr>
        <w:t>across age-groups.</w:t>
      </w:r>
    </w:p>
    <w:p w14:paraId="530DE6F9" w14:textId="24A8ECDF" w:rsidR="008027A9" w:rsidRPr="00502F9D" w:rsidRDefault="009A3EC0" w:rsidP="00AA072E">
      <w:pPr>
        <w:autoSpaceDE w:val="0"/>
        <w:autoSpaceDN w:val="0"/>
        <w:adjustRightInd w:val="0"/>
        <w:spacing w:line="360" w:lineRule="auto"/>
        <w:jc w:val="both"/>
        <w:rPr>
          <w:rFonts w:asciiTheme="minorHAnsi" w:eastAsia="Arial Unicode MS" w:hAnsiTheme="minorHAnsi"/>
          <w:kern w:val="2"/>
          <w:sz w:val="22"/>
          <w:lang w:eastAsia="ar-SA"/>
        </w:rPr>
      </w:pPr>
      <w:r>
        <w:rPr>
          <w:rFonts w:asciiTheme="minorHAnsi" w:eastAsia="Arial Unicode MS" w:hAnsiTheme="minorHAnsi"/>
          <w:b/>
          <w:kern w:val="2"/>
          <w:sz w:val="22"/>
          <w:lang w:eastAsia="ar-SA"/>
        </w:rPr>
        <w:t>Conclusion</w:t>
      </w:r>
      <w:r w:rsidR="008027A9" w:rsidRPr="004360F1">
        <w:rPr>
          <w:rFonts w:asciiTheme="minorHAnsi" w:eastAsia="Arial Unicode MS" w:hAnsiTheme="minorHAnsi"/>
          <w:b/>
          <w:kern w:val="2"/>
          <w:sz w:val="22"/>
          <w:lang w:eastAsia="ar-SA"/>
        </w:rPr>
        <w:t xml:space="preserve">: </w:t>
      </w:r>
      <w:r w:rsidR="00B71D25">
        <w:rPr>
          <w:rFonts w:asciiTheme="minorHAnsi" w:eastAsia="Arial Unicode MS" w:hAnsiTheme="minorHAnsi"/>
          <w:kern w:val="2"/>
          <w:sz w:val="22"/>
          <w:lang w:eastAsia="ar-SA"/>
        </w:rPr>
        <w:t>M</w:t>
      </w:r>
      <w:r w:rsidR="008027A9" w:rsidRPr="00502F9D">
        <w:rPr>
          <w:rFonts w:asciiTheme="minorHAnsi" w:eastAsia="Arial Unicode MS" w:hAnsiTheme="minorHAnsi"/>
          <w:kern w:val="2"/>
          <w:sz w:val="22"/>
          <w:lang w:eastAsia="ar-SA"/>
        </w:rPr>
        <w:t xml:space="preserve">ortality rates underestimated the incidence of </w:t>
      </w:r>
      <w:r w:rsidR="001554EB" w:rsidRPr="00502F9D">
        <w:rPr>
          <w:rFonts w:asciiTheme="minorHAnsi" w:eastAsia="Arial Unicode MS" w:hAnsiTheme="minorHAnsi"/>
          <w:kern w:val="2"/>
          <w:sz w:val="22"/>
          <w:lang w:eastAsia="ar-SA"/>
        </w:rPr>
        <w:t>l</w:t>
      </w:r>
      <w:r w:rsidR="00D338F1" w:rsidRPr="00502F9D">
        <w:rPr>
          <w:rFonts w:asciiTheme="minorHAnsi" w:eastAsia="Arial Unicode MS" w:hAnsiTheme="minorHAnsi"/>
          <w:kern w:val="2"/>
          <w:sz w:val="22"/>
          <w:lang w:eastAsia="ar-SA"/>
        </w:rPr>
        <w:t xml:space="preserve">iver cirrhosis </w:t>
      </w:r>
      <w:r w:rsidR="008027A9" w:rsidRPr="00502F9D">
        <w:rPr>
          <w:rFonts w:asciiTheme="minorHAnsi" w:eastAsia="Arial Unicode MS" w:hAnsiTheme="minorHAnsi"/>
          <w:kern w:val="2"/>
          <w:sz w:val="22"/>
          <w:lang w:eastAsia="ar-SA"/>
        </w:rPr>
        <w:t xml:space="preserve">by at </w:t>
      </w:r>
      <w:r w:rsidR="008027A9" w:rsidRPr="002C2F7A">
        <w:rPr>
          <w:rFonts w:asciiTheme="minorHAnsi" w:eastAsia="Arial Unicode MS" w:hAnsiTheme="minorHAnsi"/>
          <w:kern w:val="2"/>
          <w:sz w:val="22"/>
          <w:lang w:eastAsia="ar-SA"/>
        </w:rPr>
        <w:t xml:space="preserve">least </w:t>
      </w:r>
      <w:r w:rsidR="009C2695">
        <w:rPr>
          <w:rFonts w:asciiTheme="minorHAnsi" w:eastAsia="Arial Unicode MS" w:hAnsiTheme="minorHAnsi"/>
          <w:kern w:val="2"/>
          <w:sz w:val="22"/>
          <w:lang w:eastAsia="ar-SA"/>
        </w:rPr>
        <w:t>three</w:t>
      </w:r>
      <w:r w:rsidR="008027A9" w:rsidRPr="002C2F7A">
        <w:rPr>
          <w:rFonts w:asciiTheme="minorHAnsi" w:eastAsia="Arial Unicode MS" w:hAnsiTheme="minorHAnsi"/>
          <w:kern w:val="2"/>
          <w:sz w:val="22"/>
          <w:lang w:eastAsia="ar-SA"/>
        </w:rPr>
        <w:t>-fold between</w:t>
      </w:r>
      <w:r w:rsidR="008027A9" w:rsidRPr="00502F9D">
        <w:rPr>
          <w:rFonts w:asciiTheme="minorHAnsi" w:eastAsia="Arial Unicode MS" w:hAnsiTheme="minorHAnsi"/>
          <w:kern w:val="2"/>
          <w:sz w:val="22"/>
          <w:lang w:eastAsia="ar-SA"/>
        </w:rPr>
        <w:t xml:space="preserve"> 1998 and 2009</w:t>
      </w:r>
      <w:r w:rsidR="00205E67">
        <w:rPr>
          <w:rFonts w:asciiTheme="minorHAnsi" w:eastAsia="Arial Unicode MS" w:hAnsiTheme="minorHAnsi"/>
          <w:kern w:val="2"/>
          <w:sz w:val="22"/>
          <w:lang w:eastAsia="ar-SA"/>
        </w:rPr>
        <w:t xml:space="preserve"> and varied with differing definitions of disease</w:t>
      </w:r>
      <w:r w:rsidR="008027A9" w:rsidRPr="00502F9D">
        <w:rPr>
          <w:rFonts w:asciiTheme="minorHAnsi" w:eastAsia="Arial Unicode MS" w:hAnsiTheme="minorHAnsi"/>
          <w:kern w:val="2"/>
          <w:sz w:val="22"/>
          <w:lang w:eastAsia="ar-SA"/>
        </w:rPr>
        <w:t xml:space="preserve">. </w:t>
      </w:r>
      <w:r w:rsidR="00502F9D" w:rsidRPr="00502F9D">
        <w:rPr>
          <w:rFonts w:asciiTheme="minorHAnsi" w:hAnsiTheme="minorHAnsi"/>
          <w:sz w:val="22"/>
        </w:rPr>
        <w:t xml:space="preserve">Mortality data should not be used </w:t>
      </w:r>
      <w:r w:rsidR="00013E2D">
        <w:rPr>
          <w:rFonts w:asciiTheme="minorHAnsi" w:hAnsiTheme="minorHAnsi"/>
          <w:sz w:val="22"/>
        </w:rPr>
        <w:t>exclusively as an</w:t>
      </w:r>
      <w:r w:rsidR="00502F9D" w:rsidRPr="00502F9D">
        <w:rPr>
          <w:rFonts w:asciiTheme="minorHAnsi" w:hAnsiTheme="minorHAnsi"/>
          <w:sz w:val="22"/>
        </w:rPr>
        <w:t xml:space="preserve"> indicator for the </w:t>
      </w:r>
      <w:r w:rsidR="00B71D25">
        <w:rPr>
          <w:rFonts w:asciiTheme="minorHAnsi" w:hAnsiTheme="minorHAnsi"/>
          <w:sz w:val="22"/>
        </w:rPr>
        <w:t xml:space="preserve">occurrence </w:t>
      </w:r>
      <w:r w:rsidR="00502F9D" w:rsidRPr="00502F9D">
        <w:rPr>
          <w:rFonts w:asciiTheme="minorHAnsi" w:hAnsiTheme="minorHAnsi"/>
          <w:sz w:val="22"/>
        </w:rPr>
        <w:t>of liver cirrhosis in the population. Routinely collected healthcare data are available</w:t>
      </w:r>
      <w:r w:rsidR="007A0061">
        <w:rPr>
          <w:rFonts w:asciiTheme="minorHAnsi" w:hAnsiTheme="minorHAnsi"/>
          <w:sz w:val="22"/>
        </w:rPr>
        <w:t xml:space="preserve"> to measure occurrence of</w:t>
      </w:r>
      <w:r w:rsidR="00052F1A">
        <w:rPr>
          <w:rFonts w:asciiTheme="minorHAnsi" w:hAnsiTheme="minorHAnsi"/>
          <w:sz w:val="22"/>
        </w:rPr>
        <w:t xml:space="preserve"> this</w:t>
      </w:r>
      <w:r w:rsidR="007A0061">
        <w:rPr>
          <w:rFonts w:asciiTheme="minorHAnsi" w:hAnsiTheme="minorHAnsi"/>
          <w:sz w:val="22"/>
        </w:rPr>
        <w:t xml:space="preserve"> disease</w:t>
      </w:r>
      <w:r w:rsidR="00502F9D" w:rsidRPr="00502F9D">
        <w:rPr>
          <w:rFonts w:asciiTheme="minorHAnsi" w:hAnsiTheme="minorHAnsi"/>
          <w:sz w:val="22"/>
        </w:rPr>
        <w:t>.</w:t>
      </w:r>
      <w:r w:rsidR="008027A9" w:rsidRPr="00502F9D">
        <w:rPr>
          <w:rFonts w:asciiTheme="minorHAnsi" w:eastAsiaTheme="minorEastAsia" w:hAnsiTheme="minorHAnsi"/>
          <w:sz w:val="22"/>
          <w:lang w:eastAsia="en-GB"/>
        </w:rPr>
        <w:t xml:space="preserve"> </w:t>
      </w:r>
      <w:r w:rsidR="004360F1" w:rsidRPr="00912B34">
        <w:rPr>
          <w:rFonts w:asciiTheme="minorHAnsi" w:eastAsia="Arial Unicode MS" w:hAnsiTheme="minorHAnsi" w:cs="Arial"/>
          <w:kern w:val="2"/>
          <w:sz w:val="22"/>
          <w:lang w:eastAsia="ar-SA"/>
        </w:rPr>
        <w:t xml:space="preserve">Careful consideration should be taken when selecting diagnostic codes for </w:t>
      </w:r>
      <w:r w:rsidR="004360F1" w:rsidRPr="00912B34">
        <w:rPr>
          <w:rFonts w:asciiTheme="minorHAnsi" w:eastAsiaTheme="majorEastAsia" w:hAnsiTheme="minorHAnsi" w:cs="Arial"/>
          <w:bCs/>
          <w:sz w:val="22"/>
          <w:lang w:eastAsia="en-GB"/>
        </w:rPr>
        <w:t>cirrhosis</w:t>
      </w:r>
      <w:r w:rsidR="004360F1">
        <w:rPr>
          <w:rFonts w:asciiTheme="minorHAnsi" w:eastAsiaTheme="majorEastAsia" w:hAnsiTheme="minorHAnsi" w:cs="Arial"/>
          <w:bCs/>
          <w:sz w:val="22"/>
          <w:lang w:eastAsia="en-GB"/>
        </w:rPr>
        <w:t>.</w:t>
      </w:r>
    </w:p>
    <w:p w14:paraId="5762B24D" w14:textId="77777777" w:rsidR="003A0DA1" w:rsidRPr="00D74BB0" w:rsidRDefault="003A0DA1" w:rsidP="0054619C">
      <w:pPr>
        <w:suppressAutoHyphens/>
        <w:spacing w:line="360" w:lineRule="auto"/>
        <w:rPr>
          <w:rFonts w:asciiTheme="minorHAnsi" w:eastAsia="Arial Unicode MS" w:hAnsiTheme="minorHAnsi"/>
          <w:b/>
          <w:color w:val="00000A"/>
          <w:sz w:val="22"/>
          <w:lang w:eastAsia="ar-SA"/>
        </w:rPr>
      </w:pPr>
    </w:p>
    <w:p w14:paraId="005F17A2" w14:textId="77777777" w:rsidR="00EA3CA9" w:rsidRPr="00D74BB0" w:rsidRDefault="00EA3CA9" w:rsidP="0054619C">
      <w:pPr>
        <w:suppressAutoHyphens/>
        <w:spacing w:line="360" w:lineRule="auto"/>
        <w:rPr>
          <w:rFonts w:asciiTheme="minorHAnsi" w:hAnsiTheme="minorHAnsi"/>
          <w:color w:val="00000A"/>
          <w:sz w:val="22"/>
          <w:lang w:eastAsia="en-GB"/>
        </w:rPr>
      </w:pPr>
    </w:p>
    <w:p w14:paraId="5B1A454B" w14:textId="77777777" w:rsidR="00637496" w:rsidRDefault="00C806FF" w:rsidP="00637496">
      <w:pPr>
        <w:suppressAutoHyphens/>
        <w:spacing w:line="360" w:lineRule="auto"/>
        <w:rPr>
          <w:rFonts w:asciiTheme="minorHAnsi" w:eastAsia="Arial Unicode MS" w:hAnsiTheme="minorHAnsi"/>
          <w:b/>
          <w:color w:val="00000A"/>
          <w:sz w:val="22"/>
          <w:lang w:eastAsia="ar-SA"/>
        </w:rPr>
      </w:pPr>
      <w:r>
        <w:rPr>
          <w:rFonts w:asciiTheme="minorHAnsi" w:eastAsia="Arial Unicode MS" w:hAnsiTheme="minorHAnsi"/>
          <w:b/>
          <w:color w:val="00000A"/>
          <w:sz w:val="22"/>
          <w:lang w:eastAsia="ar-SA"/>
        </w:rPr>
        <w:t xml:space="preserve">Key words: </w:t>
      </w:r>
      <w:r w:rsidRPr="00BA406D">
        <w:rPr>
          <w:rFonts w:asciiTheme="minorHAnsi" w:eastAsia="Arial Unicode MS" w:hAnsiTheme="minorHAnsi"/>
          <w:color w:val="00000A"/>
          <w:sz w:val="22"/>
          <w:lang w:eastAsia="ar-SA"/>
        </w:rPr>
        <w:t>Liver ci</w:t>
      </w:r>
      <w:r>
        <w:rPr>
          <w:rFonts w:asciiTheme="minorHAnsi" w:eastAsia="Arial Unicode MS" w:hAnsiTheme="minorHAnsi"/>
          <w:color w:val="00000A"/>
          <w:sz w:val="22"/>
          <w:lang w:eastAsia="ar-SA"/>
        </w:rPr>
        <w:t>rrhosis, Mortality, Incidence, Routine data</w:t>
      </w:r>
    </w:p>
    <w:p w14:paraId="19E124DE" w14:textId="77777777" w:rsidR="00637496" w:rsidRDefault="00637496" w:rsidP="00637496">
      <w:pPr>
        <w:suppressAutoHyphens/>
        <w:spacing w:line="360" w:lineRule="auto"/>
        <w:rPr>
          <w:rFonts w:asciiTheme="minorHAnsi" w:eastAsia="Arial Unicode MS" w:hAnsiTheme="minorHAnsi"/>
          <w:b/>
          <w:color w:val="00000A"/>
          <w:sz w:val="22"/>
          <w:lang w:eastAsia="ar-SA"/>
        </w:rPr>
      </w:pPr>
    </w:p>
    <w:p w14:paraId="6D50199C" w14:textId="77777777" w:rsidR="006B5061" w:rsidRDefault="006B5061" w:rsidP="00637496">
      <w:pPr>
        <w:suppressAutoHyphens/>
        <w:spacing w:line="360" w:lineRule="auto"/>
        <w:rPr>
          <w:rFonts w:asciiTheme="minorHAnsi" w:eastAsiaTheme="majorEastAsia" w:hAnsiTheme="minorHAnsi" w:cstheme="majorBidi"/>
          <w:b/>
          <w:bCs/>
          <w:sz w:val="22"/>
          <w:lang w:eastAsia="en-GB"/>
        </w:rPr>
      </w:pPr>
    </w:p>
    <w:p w14:paraId="34F36205" w14:textId="77777777" w:rsidR="006B5061" w:rsidRDefault="006B5061" w:rsidP="00637496">
      <w:pPr>
        <w:suppressAutoHyphens/>
        <w:spacing w:line="360" w:lineRule="auto"/>
        <w:rPr>
          <w:rFonts w:asciiTheme="minorHAnsi" w:eastAsiaTheme="majorEastAsia" w:hAnsiTheme="minorHAnsi" w:cstheme="majorBidi"/>
          <w:b/>
          <w:bCs/>
          <w:sz w:val="22"/>
          <w:lang w:eastAsia="en-GB"/>
        </w:rPr>
      </w:pPr>
    </w:p>
    <w:p w14:paraId="78042677" w14:textId="77777777" w:rsidR="005D6707" w:rsidRDefault="005D6707" w:rsidP="00637496">
      <w:pPr>
        <w:suppressAutoHyphens/>
        <w:spacing w:line="360" w:lineRule="auto"/>
        <w:rPr>
          <w:rFonts w:asciiTheme="minorHAnsi" w:eastAsiaTheme="majorEastAsia" w:hAnsiTheme="minorHAnsi" w:cstheme="majorBidi"/>
          <w:b/>
          <w:bCs/>
          <w:sz w:val="22"/>
          <w:lang w:eastAsia="en-GB"/>
        </w:rPr>
      </w:pPr>
    </w:p>
    <w:p w14:paraId="52449C77" w14:textId="77777777" w:rsidR="005D6707" w:rsidRDefault="005D6707" w:rsidP="00637496">
      <w:pPr>
        <w:suppressAutoHyphens/>
        <w:spacing w:line="360" w:lineRule="auto"/>
        <w:rPr>
          <w:rFonts w:asciiTheme="minorHAnsi" w:eastAsiaTheme="majorEastAsia" w:hAnsiTheme="minorHAnsi" w:cstheme="majorBidi"/>
          <w:b/>
          <w:bCs/>
          <w:sz w:val="22"/>
          <w:lang w:eastAsia="en-GB"/>
        </w:rPr>
      </w:pPr>
    </w:p>
    <w:p w14:paraId="2D33572D" w14:textId="77777777" w:rsidR="00306638" w:rsidRDefault="00306638" w:rsidP="005C43DF">
      <w:pPr>
        <w:spacing w:after="160" w:line="360" w:lineRule="auto"/>
        <w:rPr>
          <w:rFonts w:asciiTheme="minorHAnsi" w:eastAsiaTheme="majorEastAsia" w:hAnsiTheme="minorHAnsi" w:cstheme="majorBidi"/>
          <w:b/>
          <w:bCs/>
          <w:sz w:val="22"/>
          <w:lang w:eastAsia="en-GB"/>
        </w:rPr>
      </w:pPr>
    </w:p>
    <w:p w14:paraId="25A419F0" w14:textId="77777777" w:rsidR="009B13AB" w:rsidRDefault="009B13AB" w:rsidP="005C43DF">
      <w:pPr>
        <w:spacing w:after="160" w:line="360" w:lineRule="auto"/>
        <w:rPr>
          <w:rFonts w:asciiTheme="minorHAnsi" w:eastAsiaTheme="majorEastAsia" w:hAnsiTheme="minorHAnsi" w:cstheme="majorBidi"/>
          <w:b/>
          <w:bCs/>
          <w:sz w:val="22"/>
          <w:lang w:eastAsia="en-GB"/>
        </w:rPr>
      </w:pPr>
    </w:p>
    <w:p w14:paraId="2383D5B2" w14:textId="77777777" w:rsidR="005C43DF" w:rsidRDefault="005C43DF" w:rsidP="005C43DF">
      <w:pPr>
        <w:spacing w:after="160" w:line="360" w:lineRule="auto"/>
        <w:rPr>
          <w:rFonts w:asciiTheme="minorHAnsi" w:eastAsiaTheme="majorEastAsia" w:hAnsiTheme="minorHAnsi" w:cstheme="majorBidi"/>
          <w:b/>
          <w:bCs/>
          <w:sz w:val="22"/>
          <w:lang w:eastAsia="en-GB"/>
        </w:rPr>
      </w:pPr>
      <w:r>
        <w:rPr>
          <w:rFonts w:asciiTheme="minorHAnsi" w:eastAsiaTheme="majorEastAsia" w:hAnsiTheme="minorHAnsi" w:cstheme="majorBidi"/>
          <w:b/>
          <w:bCs/>
          <w:sz w:val="22"/>
          <w:lang w:eastAsia="en-GB"/>
        </w:rPr>
        <w:t>Article summary</w:t>
      </w:r>
    </w:p>
    <w:p w14:paraId="13A9C869" w14:textId="77777777" w:rsidR="005C43DF" w:rsidRDefault="005C43DF" w:rsidP="005C43DF">
      <w:pPr>
        <w:spacing w:after="160" w:line="360" w:lineRule="auto"/>
        <w:rPr>
          <w:rFonts w:asciiTheme="minorHAnsi" w:eastAsiaTheme="majorEastAsia" w:hAnsiTheme="minorHAnsi" w:cstheme="majorBidi"/>
          <w:b/>
          <w:bCs/>
          <w:sz w:val="22"/>
          <w:lang w:eastAsia="en-GB"/>
        </w:rPr>
      </w:pPr>
      <w:r>
        <w:rPr>
          <w:rFonts w:asciiTheme="minorHAnsi" w:eastAsiaTheme="majorEastAsia" w:hAnsiTheme="minorHAnsi" w:cstheme="majorBidi"/>
          <w:b/>
          <w:bCs/>
          <w:sz w:val="22"/>
          <w:lang w:eastAsia="en-GB"/>
        </w:rPr>
        <w:t>Strengths and limitations of this study</w:t>
      </w:r>
    </w:p>
    <w:p w14:paraId="737A2734" w14:textId="77777777" w:rsidR="005C43DF" w:rsidRPr="009639EA" w:rsidRDefault="005C43DF" w:rsidP="005C43DF">
      <w:pPr>
        <w:pStyle w:val="ListParagraph"/>
        <w:numPr>
          <w:ilvl w:val="0"/>
          <w:numId w:val="22"/>
        </w:numPr>
        <w:spacing w:after="160" w:line="360" w:lineRule="auto"/>
        <w:rPr>
          <w:rFonts w:asciiTheme="minorHAnsi" w:eastAsiaTheme="majorEastAsia" w:hAnsiTheme="minorHAnsi" w:cstheme="majorBidi"/>
          <w:b/>
          <w:bCs/>
          <w:sz w:val="22"/>
          <w:lang w:eastAsia="en-GB"/>
        </w:rPr>
      </w:pPr>
      <w:r w:rsidRPr="009639EA">
        <w:rPr>
          <w:rFonts w:asciiTheme="minorHAnsi" w:eastAsiaTheme="minorEastAsia" w:hAnsiTheme="minorHAnsi"/>
          <w:sz w:val="22"/>
          <w:lang w:eastAsia="en-GB"/>
        </w:rPr>
        <w:t xml:space="preserve">First study to quantify the difference in </w:t>
      </w:r>
      <w:r w:rsidRPr="009639EA">
        <w:rPr>
          <w:rFonts w:asciiTheme="minorHAnsi" w:eastAsiaTheme="majorEastAsia" w:hAnsiTheme="minorHAnsi" w:cstheme="majorBidi"/>
          <w:bCs/>
          <w:sz w:val="22"/>
          <w:lang w:eastAsia="en-GB"/>
        </w:rPr>
        <w:t xml:space="preserve">liver cirrhosis </w:t>
      </w:r>
      <w:r w:rsidRPr="009639EA">
        <w:rPr>
          <w:rFonts w:asciiTheme="minorHAnsi" w:eastAsiaTheme="minorEastAsia" w:hAnsiTheme="minorHAnsi"/>
          <w:sz w:val="22"/>
          <w:lang w:eastAsia="en-GB"/>
        </w:rPr>
        <w:t xml:space="preserve">mortality </w:t>
      </w:r>
      <w:r w:rsidR="00B54E05">
        <w:rPr>
          <w:rFonts w:asciiTheme="minorHAnsi" w:eastAsiaTheme="minorEastAsia" w:hAnsiTheme="minorHAnsi"/>
          <w:sz w:val="22"/>
          <w:lang w:eastAsia="en-GB"/>
        </w:rPr>
        <w:t>rates based on</w:t>
      </w:r>
      <w:r>
        <w:rPr>
          <w:rFonts w:asciiTheme="minorHAnsi" w:eastAsiaTheme="minorEastAsia" w:hAnsiTheme="minorHAnsi"/>
          <w:sz w:val="22"/>
          <w:lang w:eastAsia="en-GB"/>
        </w:rPr>
        <w:t xml:space="preserve"> different</w:t>
      </w:r>
      <w:r w:rsidRPr="009639EA">
        <w:rPr>
          <w:rFonts w:asciiTheme="minorHAnsi" w:eastAsiaTheme="minorEastAsia" w:hAnsiTheme="minorHAnsi"/>
          <w:sz w:val="22"/>
          <w:lang w:eastAsia="en-GB"/>
        </w:rPr>
        <w:t xml:space="preserve"> definitions of disease</w:t>
      </w:r>
      <w:r>
        <w:rPr>
          <w:rFonts w:asciiTheme="minorHAnsi" w:eastAsiaTheme="minorEastAsia" w:hAnsiTheme="minorHAnsi"/>
          <w:sz w:val="22"/>
          <w:lang w:eastAsia="en-GB"/>
        </w:rPr>
        <w:t>.</w:t>
      </w:r>
    </w:p>
    <w:p w14:paraId="303EE589" w14:textId="77777777" w:rsidR="005C43DF" w:rsidRPr="005C43DF" w:rsidRDefault="005C43DF" w:rsidP="005C43DF">
      <w:pPr>
        <w:pStyle w:val="ListParagraph"/>
        <w:numPr>
          <w:ilvl w:val="0"/>
          <w:numId w:val="22"/>
        </w:numPr>
        <w:spacing w:after="160" w:line="360" w:lineRule="auto"/>
        <w:rPr>
          <w:rFonts w:asciiTheme="minorHAnsi" w:eastAsiaTheme="majorEastAsia" w:hAnsiTheme="minorHAnsi" w:cstheme="majorBidi"/>
          <w:b/>
          <w:bCs/>
          <w:sz w:val="22"/>
          <w:lang w:eastAsia="en-GB"/>
        </w:rPr>
      </w:pPr>
      <w:r w:rsidRPr="00E90A40">
        <w:rPr>
          <w:rFonts w:asciiTheme="minorHAnsi" w:eastAsiaTheme="majorEastAsia" w:hAnsiTheme="minorHAnsi" w:cstheme="majorBidi"/>
          <w:bCs/>
          <w:sz w:val="22"/>
          <w:lang w:eastAsia="en-GB"/>
        </w:rPr>
        <w:t>First study to demonstrate that overall m</w:t>
      </w:r>
      <w:r w:rsidRPr="00E90A40">
        <w:rPr>
          <w:rFonts w:asciiTheme="minorHAnsi" w:eastAsia="Arial Unicode MS" w:hAnsiTheme="minorHAnsi"/>
          <w:kern w:val="2"/>
          <w:sz w:val="22"/>
          <w:lang w:eastAsia="ar-SA"/>
        </w:rPr>
        <w:t>ortality rates underestimate the incidence of liver cirrhosis by at least three-fold</w:t>
      </w:r>
      <w:r>
        <w:rPr>
          <w:rFonts w:asciiTheme="minorHAnsi" w:eastAsia="Arial Unicode MS" w:hAnsiTheme="minorHAnsi"/>
          <w:kern w:val="2"/>
          <w:sz w:val="22"/>
          <w:lang w:eastAsia="ar-SA"/>
        </w:rPr>
        <w:t>.</w:t>
      </w:r>
    </w:p>
    <w:p w14:paraId="77F8851E" w14:textId="77777777" w:rsidR="005C43DF" w:rsidRPr="005C43DF" w:rsidRDefault="005C43DF" w:rsidP="005C43DF">
      <w:pPr>
        <w:pStyle w:val="ListParagraph"/>
        <w:numPr>
          <w:ilvl w:val="0"/>
          <w:numId w:val="22"/>
        </w:numPr>
        <w:spacing w:after="160" w:line="360" w:lineRule="auto"/>
        <w:rPr>
          <w:rFonts w:asciiTheme="minorHAnsi" w:eastAsiaTheme="majorEastAsia" w:hAnsiTheme="minorHAnsi" w:cstheme="majorBidi"/>
          <w:b/>
          <w:bCs/>
          <w:sz w:val="22"/>
          <w:lang w:eastAsia="en-GB"/>
        </w:rPr>
      </w:pPr>
      <w:r w:rsidRPr="00D74BB0">
        <w:rPr>
          <w:rFonts w:asciiTheme="minorHAnsi" w:eastAsiaTheme="minorEastAsia" w:hAnsiTheme="minorHAnsi"/>
          <w:sz w:val="22"/>
          <w:lang w:eastAsia="en-GB"/>
        </w:rPr>
        <w:t>A key strength of the study is the large number of registered deaths and the long period of time that the data were obtained over</w:t>
      </w:r>
      <w:r>
        <w:rPr>
          <w:rFonts w:asciiTheme="minorHAnsi" w:eastAsiaTheme="minorEastAsia" w:hAnsiTheme="minorHAnsi"/>
          <w:sz w:val="22"/>
          <w:lang w:eastAsia="en-GB"/>
        </w:rPr>
        <w:t>.</w:t>
      </w:r>
    </w:p>
    <w:p w14:paraId="1417D3A0" w14:textId="77777777" w:rsidR="005C43DF" w:rsidRPr="005C43DF" w:rsidRDefault="005C43DF" w:rsidP="005C43DF">
      <w:pPr>
        <w:pStyle w:val="ListParagraph"/>
        <w:numPr>
          <w:ilvl w:val="0"/>
          <w:numId w:val="22"/>
        </w:numPr>
        <w:spacing w:after="160" w:line="360" w:lineRule="auto"/>
        <w:rPr>
          <w:rFonts w:asciiTheme="minorHAnsi" w:eastAsiaTheme="majorEastAsia" w:hAnsiTheme="minorHAnsi" w:cstheme="majorBidi"/>
          <w:b/>
          <w:bCs/>
          <w:sz w:val="22"/>
          <w:lang w:eastAsia="en-GB"/>
        </w:rPr>
      </w:pPr>
      <w:r>
        <w:rPr>
          <w:rFonts w:asciiTheme="minorHAnsi" w:eastAsiaTheme="minorEastAsia" w:hAnsiTheme="minorHAnsi"/>
          <w:sz w:val="22"/>
          <w:lang w:eastAsia="en-GB"/>
        </w:rPr>
        <w:t>A potential limitation of death registry data is the change in coding practice over time.</w:t>
      </w:r>
    </w:p>
    <w:p w14:paraId="711E6130" w14:textId="77777777" w:rsidR="005C43DF" w:rsidRPr="009639EA" w:rsidRDefault="005C43DF" w:rsidP="005C43DF">
      <w:pPr>
        <w:pStyle w:val="ListParagraph"/>
        <w:numPr>
          <w:ilvl w:val="0"/>
          <w:numId w:val="22"/>
        </w:numPr>
        <w:spacing w:after="160" w:line="360" w:lineRule="auto"/>
        <w:rPr>
          <w:rFonts w:asciiTheme="minorHAnsi" w:eastAsiaTheme="majorEastAsia" w:hAnsiTheme="minorHAnsi" w:cstheme="majorBidi"/>
          <w:b/>
          <w:bCs/>
          <w:sz w:val="22"/>
          <w:lang w:eastAsia="en-GB"/>
        </w:rPr>
      </w:pPr>
      <w:r>
        <w:rPr>
          <w:rFonts w:asciiTheme="minorHAnsi" w:eastAsia="Arial Unicode MS" w:hAnsiTheme="minorHAnsi" w:cstheme="majorBidi"/>
          <w:bCs/>
          <w:kern w:val="1"/>
          <w:sz w:val="22"/>
          <w:lang w:eastAsia="ar-SA"/>
        </w:rPr>
        <w:t>T</w:t>
      </w:r>
      <w:r w:rsidRPr="00DB248E">
        <w:rPr>
          <w:rFonts w:asciiTheme="minorHAnsi" w:eastAsia="Arial Unicode MS" w:hAnsiTheme="minorHAnsi" w:cstheme="majorBidi"/>
          <w:bCs/>
          <w:kern w:val="1"/>
          <w:sz w:val="22"/>
          <w:lang w:eastAsia="ar-SA"/>
        </w:rPr>
        <w:t xml:space="preserve">he </w:t>
      </w:r>
      <w:r w:rsidRPr="00D74BB0">
        <w:rPr>
          <w:rFonts w:asciiTheme="minorHAnsi" w:eastAsia="Arial Unicode MS" w:hAnsiTheme="minorHAnsi"/>
          <w:color w:val="00000A"/>
          <w:sz w:val="22"/>
          <w:lang w:eastAsia="ar-SA"/>
        </w:rPr>
        <w:t>Office for National Statistics</w:t>
      </w:r>
      <w:r w:rsidRPr="00DB248E">
        <w:rPr>
          <w:rFonts w:asciiTheme="minorHAnsi" w:eastAsia="Arial Unicode MS" w:hAnsiTheme="minorHAnsi" w:cstheme="majorBidi"/>
          <w:bCs/>
          <w:kern w:val="1"/>
          <w:sz w:val="22"/>
          <w:lang w:eastAsia="ar-SA"/>
        </w:rPr>
        <w:t xml:space="preserve"> data cover deaths in England and Wales </w:t>
      </w:r>
      <w:r>
        <w:rPr>
          <w:rFonts w:asciiTheme="minorHAnsi" w:eastAsia="Arial Unicode MS" w:hAnsiTheme="minorHAnsi" w:cstheme="majorBidi"/>
          <w:bCs/>
          <w:kern w:val="1"/>
          <w:sz w:val="22"/>
          <w:lang w:eastAsia="ar-SA"/>
        </w:rPr>
        <w:t xml:space="preserve">combined </w:t>
      </w:r>
      <w:r w:rsidRPr="00DB248E">
        <w:rPr>
          <w:rFonts w:asciiTheme="minorHAnsi" w:eastAsia="Arial Unicode MS" w:hAnsiTheme="minorHAnsi" w:cstheme="majorBidi"/>
          <w:bCs/>
          <w:kern w:val="1"/>
          <w:sz w:val="22"/>
          <w:lang w:eastAsia="ar-SA"/>
        </w:rPr>
        <w:t xml:space="preserve">whereas the incidence data are </w:t>
      </w:r>
      <w:r>
        <w:rPr>
          <w:rFonts w:asciiTheme="minorHAnsi" w:eastAsia="Arial Unicode MS" w:hAnsiTheme="minorHAnsi" w:cstheme="majorBidi"/>
          <w:bCs/>
          <w:kern w:val="1"/>
          <w:sz w:val="22"/>
          <w:lang w:eastAsia="ar-SA"/>
        </w:rPr>
        <w:t xml:space="preserve">based </w:t>
      </w:r>
      <w:r w:rsidRPr="00DB248E">
        <w:rPr>
          <w:rFonts w:asciiTheme="minorHAnsi" w:eastAsia="Arial Unicode MS" w:hAnsiTheme="minorHAnsi" w:cstheme="majorBidi"/>
          <w:bCs/>
          <w:kern w:val="1"/>
          <w:sz w:val="22"/>
          <w:lang w:eastAsia="ar-SA"/>
        </w:rPr>
        <w:t>solely on English</w:t>
      </w:r>
      <w:r>
        <w:rPr>
          <w:rFonts w:asciiTheme="minorHAnsi" w:eastAsia="Arial Unicode MS" w:hAnsiTheme="minorHAnsi" w:cstheme="majorBidi"/>
          <w:bCs/>
          <w:kern w:val="1"/>
          <w:sz w:val="22"/>
          <w:lang w:eastAsia="ar-SA"/>
        </w:rPr>
        <w:t xml:space="preserve"> general</w:t>
      </w:r>
      <w:r w:rsidRPr="00DB248E">
        <w:rPr>
          <w:rFonts w:asciiTheme="minorHAnsi" w:eastAsia="Arial Unicode MS" w:hAnsiTheme="minorHAnsi" w:cstheme="majorBidi"/>
          <w:bCs/>
          <w:kern w:val="1"/>
          <w:sz w:val="22"/>
          <w:lang w:eastAsia="ar-SA"/>
        </w:rPr>
        <w:t xml:space="preserve"> practices</w:t>
      </w:r>
      <w:r w:rsidR="00B54E05">
        <w:rPr>
          <w:rFonts w:asciiTheme="minorHAnsi" w:eastAsia="Arial Unicode MS" w:hAnsiTheme="minorHAnsi" w:cstheme="majorBidi"/>
          <w:bCs/>
          <w:kern w:val="1"/>
          <w:sz w:val="22"/>
          <w:lang w:eastAsia="ar-SA"/>
        </w:rPr>
        <w:t>.</w:t>
      </w:r>
    </w:p>
    <w:p w14:paraId="358353E4" w14:textId="77777777" w:rsidR="005C43DF" w:rsidRPr="009B3D66" w:rsidRDefault="005C43DF" w:rsidP="005C43DF">
      <w:pPr>
        <w:spacing w:after="160" w:line="360" w:lineRule="auto"/>
        <w:rPr>
          <w:rFonts w:asciiTheme="minorHAnsi" w:eastAsiaTheme="majorEastAsia" w:hAnsiTheme="minorHAnsi" w:cstheme="majorBidi"/>
          <w:b/>
          <w:bCs/>
          <w:sz w:val="22"/>
          <w:lang w:eastAsia="en-GB"/>
        </w:rPr>
      </w:pPr>
      <w:r w:rsidRPr="009B3D66">
        <w:rPr>
          <w:rFonts w:asciiTheme="minorHAnsi" w:eastAsiaTheme="majorEastAsia" w:hAnsiTheme="minorHAnsi" w:cstheme="majorBidi"/>
          <w:b/>
          <w:bCs/>
          <w:sz w:val="22"/>
          <w:lang w:eastAsia="en-GB"/>
        </w:rPr>
        <w:br w:type="page"/>
      </w:r>
    </w:p>
    <w:p w14:paraId="0A362993" w14:textId="77777777" w:rsidR="000400D5" w:rsidRPr="00912B34" w:rsidRDefault="000400D5" w:rsidP="000400D5">
      <w:pPr>
        <w:suppressAutoHyphens/>
        <w:spacing w:line="480" w:lineRule="auto"/>
        <w:rPr>
          <w:rFonts w:asciiTheme="minorHAnsi" w:eastAsia="Arial Unicode MS" w:hAnsiTheme="minorHAnsi" w:cs="Arial"/>
          <w:b/>
          <w:caps/>
          <w:color w:val="00000A"/>
          <w:sz w:val="22"/>
          <w:lang w:eastAsia="ar-SA"/>
        </w:rPr>
      </w:pPr>
      <w:r w:rsidRPr="00912B34">
        <w:rPr>
          <w:rFonts w:asciiTheme="minorHAnsi" w:eastAsiaTheme="majorEastAsia" w:hAnsiTheme="minorHAnsi" w:cs="Arial"/>
          <w:b/>
          <w:bCs/>
          <w:caps/>
          <w:sz w:val="22"/>
          <w:lang w:eastAsia="en-GB"/>
        </w:rPr>
        <w:lastRenderedPageBreak/>
        <w:t>Introduction</w:t>
      </w:r>
    </w:p>
    <w:p w14:paraId="5AE5946A" w14:textId="77777777" w:rsidR="000400D5" w:rsidRPr="00912B34" w:rsidRDefault="000400D5" w:rsidP="000400D5">
      <w:pPr>
        <w:spacing w:before="200" w:after="240" w:line="480" w:lineRule="auto"/>
        <w:jc w:val="both"/>
        <w:outlineLvl w:val="1"/>
        <w:rPr>
          <w:rFonts w:asciiTheme="minorHAnsi" w:eastAsiaTheme="majorEastAsia" w:hAnsiTheme="minorHAnsi" w:cs="Arial"/>
          <w:bCs/>
          <w:sz w:val="22"/>
          <w:lang w:eastAsia="en-GB"/>
        </w:rPr>
      </w:pPr>
      <w:r w:rsidRPr="00912B34">
        <w:rPr>
          <w:rFonts w:asciiTheme="minorHAnsi" w:eastAsiaTheme="majorEastAsia" w:hAnsiTheme="minorHAnsi" w:cs="Arial"/>
          <w:bCs/>
          <w:sz w:val="22"/>
          <w:lang w:eastAsia="en-GB"/>
        </w:rPr>
        <w:t>Liver disease, of which liver cirrhosis is the end-stage, constitutes the third commonest cause of premature death in the UK.[1]</w:t>
      </w:r>
      <w:r w:rsidRPr="00912B34">
        <w:rPr>
          <w:rFonts w:asciiTheme="minorHAnsi" w:eastAsiaTheme="majorEastAsia" w:hAnsiTheme="minorHAnsi" w:cs="Arial"/>
          <w:bCs/>
          <w:sz w:val="22"/>
          <w:vertAlign w:val="superscript"/>
          <w:lang w:eastAsia="en-GB"/>
        </w:rPr>
        <w:t xml:space="preserve"> </w:t>
      </w:r>
      <w:r w:rsidRPr="00912B34">
        <w:rPr>
          <w:rFonts w:asciiTheme="minorHAnsi" w:eastAsiaTheme="majorEastAsia" w:hAnsiTheme="minorHAnsi" w:cs="Arial"/>
          <w:bCs/>
          <w:sz w:val="22"/>
          <w:lang w:eastAsia="en-GB"/>
        </w:rPr>
        <w:t xml:space="preserve"> According to the UK’s current Chief Medical Officer (CMO), the rate of increase in premature mortality from liver disease and from cirrhosis is substantially higher in the UK than other countries in Western Europe.[2] Further, cirrhosis per se has recently been reported to be increasing in the UK at a faster rate than the top four most-commonly diagnosed cancers (lung, breast, bowel and prostate).[3] The main reasons for the rise in cirrhosis are probably parallel increases in alcohol consumption and obesity.[1,4] In the UK, alcohol consumption per person across the population has more than doubled in the last half-century and one in four adults are now considered to be obese.[5,6] These are preventable causes and interventions such as minimum pricing for alcoholic drinks and campaigns for healthier lifestyles have been considered as part of a strategy to reduce liver disease.[7,8]</w:t>
      </w:r>
    </w:p>
    <w:p w14:paraId="347B8033" w14:textId="77777777" w:rsidR="000400D5" w:rsidRPr="00912B34" w:rsidRDefault="000400D5" w:rsidP="000400D5">
      <w:pPr>
        <w:spacing w:line="480" w:lineRule="auto"/>
        <w:jc w:val="both"/>
        <w:rPr>
          <w:rFonts w:asciiTheme="minorHAnsi" w:eastAsiaTheme="majorEastAsia" w:hAnsiTheme="minorHAnsi" w:cs="Arial"/>
          <w:bCs/>
          <w:sz w:val="22"/>
          <w:lang w:eastAsia="en-GB"/>
        </w:rPr>
      </w:pPr>
      <w:r w:rsidRPr="00912B34">
        <w:rPr>
          <w:rFonts w:asciiTheme="minorHAnsi" w:eastAsiaTheme="majorEastAsia" w:hAnsiTheme="minorHAnsi" w:cs="Arial"/>
          <w:bCs/>
          <w:sz w:val="22"/>
          <w:lang w:eastAsia="en-GB"/>
        </w:rPr>
        <w:t>Despite its 5-year mortality being equivalent to that seen in colon cancer, and in contrast to the monitoring of new cancer diagnoses, there is no mandatory registration of cirrhosis cases in the UK or elsewhere in the world.[9]  Estimates of the occurrence of cirrhosis, and consequently the assessment of success or failure of primary interventions, have therefore been primarily drawn from death registry data.[1,2] This methodology is likely to mask the true incidence of cirrhosis.  Firstly, not everyone with cirrhosis dies directly due to the disease and our recent population-based study estimated that only 32%</w:t>
      </w:r>
      <w:r w:rsidRPr="00912B34">
        <w:rPr>
          <w:rFonts w:asciiTheme="minorHAnsi" w:eastAsiaTheme="minorEastAsia" w:hAnsiTheme="minorHAnsi" w:cs="Arial"/>
          <w:sz w:val="22"/>
          <w:lang w:eastAsia="en-GB"/>
        </w:rPr>
        <w:t xml:space="preserve"> of deaths in people with </w:t>
      </w:r>
      <w:r w:rsidRPr="00912B34">
        <w:rPr>
          <w:rFonts w:asciiTheme="minorHAnsi" w:eastAsiaTheme="majorEastAsia" w:hAnsiTheme="minorHAnsi" w:cs="Arial"/>
          <w:bCs/>
          <w:sz w:val="22"/>
          <w:lang w:eastAsia="en-GB"/>
        </w:rPr>
        <w:t xml:space="preserve">cirrhosis </w:t>
      </w:r>
      <w:r w:rsidRPr="00912B34">
        <w:rPr>
          <w:rFonts w:asciiTheme="minorHAnsi" w:eastAsiaTheme="minorEastAsia" w:hAnsiTheme="minorHAnsi" w:cs="Arial"/>
          <w:sz w:val="22"/>
          <w:lang w:eastAsia="en-GB"/>
        </w:rPr>
        <w:t xml:space="preserve">had a </w:t>
      </w:r>
      <w:r w:rsidRPr="00912B34">
        <w:rPr>
          <w:rFonts w:asciiTheme="minorHAnsi" w:eastAsiaTheme="majorEastAsia" w:hAnsiTheme="minorHAnsi" w:cs="Arial"/>
          <w:bCs/>
          <w:sz w:val="22"/>
          <w:lang w:eastAsia="en-GB"/>
        </w:rPr>
        <w:t xml:space="preserve">cirrhosis </w:t>
      </w:r>
      <w:r w:rsidRPr="00912B34">
        <w:rPr>
          <w:rFonts w:asciiTheme="minorHAnsi" w:eastAsiaTheme="minorEastAsia" w:hAnsiTheme="minorHAnsi" w:cs="Arial"/>
          <w:sz w:val="22"/>
          <w:lang w:eastAsia="en-GB"/>
        </w:rPr>
        <w:t>related code anywhere on their death certificate.[10]</w:t>
      </w:r>
      <w:r w:rsidRPr="00912B34">
        <w:rPr>
          <w:rFonts w:asciiTheme="minorHAnsi" w:eastAsiaTheme="minorEastAsia" w:hAnsiTheme="minorHAnsi" w:cs="Arial"/>
          <w:sz w:val="22"/>
          <w:vertAlign w:val="superscript"/>
          <w:lang w:eastAsia="en-GB"/>
        </w:rPr>
        <w:t xml:space="preserve"> </w:t>
      </w:r>
      <w:r w:rsidRPr="00912B34">
        <w:rPr>
          <w:rFonts w:asciiTheme="minorHAnsi" w:eastAsiaTheme="minorEastAsia" w:hAnsiTheme="minorHAnsi" w:cs="Arial"/>
          <w:sz w:val="22"/>
          <w:lang w:eastAsia="en-GB"/>
        </w:rPr>
        <w:t>Secondly,</w:t>
      </w:r>
      <w:r w:rsidRPr="00912B34">
        <w:rPr>
          <w:rFonts w:asciiTheme="minorHAnsi" w:eastAsiaTheme="majorEastAsia" w:hAnsiTheme="minorHAnsi" w:cs="Arial"/>
          <w:bCs/>
          <w:sz w:val="22"/>
          <w:lang w:eastAsia="en-GB"/>
        </w:rPr>
        <w:t xml:space="preserve"> there is a time-lag between diagnosis and death. </w:t>
      </w:r>
      <w:r w:rsidRPr="00912B34">
        <w:rPr>
          <w:rFonts w:asciiTheme="minorHAnsi" w:eastAsiaTheme="minorEastAsia" w:hAnsiTheme="minorHAnsi" w:cs="Arial"/>
          <w:sz w:val="22"/>
          <w:lang w:eastAsia="en-GB"/>
        </w:rPr>
        <w:t>Hospital-based studies have reported survival estimates at 1-year of around 65%.[11,12]  Those who do not die immediately after diagnosis, and those who do not die directly from the disease, will not be accounted for by reliance on the death registry.</w:t>
      </w:r>
    </w:p>
    <w:p w14:paraId="00F1E844" w14:textId="77777777" w:rsidR="000400D5" w:rsidRPr="00912B34" w:rsidRDefault="000400D5" w:rsidP="000400D5">
      <w:pPr>
        <w:spacing w:line="480" w:lineRule="auto"/>
        <w:jc w:val="both"/>
        <w:rPr>
          <w:rFonts w:asciiTheme="minorHAnsi" w:eastAsiaTheme="minorEastAsia" w:hAnsiTheme="minorHAnsi" w:cs="Arial"/>
          <w:sz w:val="22"/>
          <w:lang w:eastAsia="en-GB"/>
        </w:rPr>
      </w:pPr>
    </w:p>
    <w:p w14:paraId="5B6833F8" w14:textId="77777777" w:rsidR="00C86ADB" w:rsidRDefault="000400D5" w:rsidP="00C86ADB">
      <w:pPr>
        <w:spacing w:line="480" w:lineRule="auto"/>
        <w:jc w:val="both"/>
        <w:rPr>
          <w:rFonts w:asciiTheme="minorHAnsi" w:eastAsiaTheme="majorEastAsia" w:hAnsiTheme="minorHAnsi" w:cs="Arial"/>
          <w:bCs/>
          <w:sz w:val="22"/>
          <w:lang w:eastAsia="en-GB"/>
        </w:rPr>
      </w:pPr>
      <w:r w:rsidRPr="00912B34">
        <w:rPr>
          <w:rFonts w:asciiTheme="minorHAnsi" w:eastAsiaTheme="minorEastAsia" w:hAnsiTheme="minorHAnsi" w:cs="Arial"/>
          <w:sz w:val="22"/>
          <w:lang w:eastAsia="en-GB"/>
        </w:rPr>
        <w:t>Establishing accurate estimates of cirrhosis</w:t>
      </w:r>
      <w:r w:rsidRPr="00912B34">
        <w:rPr>
          <w:rFonts w:asciiTheme="minorHAnsi" w:eastAsiaTheme="majorEastAsia" w:hAnsiTheme="minorHAnsi" w:cs="Arial"/>
          <w:bCs/>
          <w:sz w:val="22"/>
          <w:lang w:eastAsia="en-GB"/>
        </w:rPr>
        <w:t xml:space="preserve"> is further compounded by the fact that there is no clear boundary between liver disease and cirrhosis. There are a myriad of liver diseases and for each one patients progress to cirrhosis at different rates, if at all.[13] Previous authors of well cited papers have used a range of codes representing different liver diseases when reporting mortality due to “liver cirrhosis”.[11,12,14]</w:t>
      </w:r>
      <w:r w:rsidRPr="00912B34">
        <w:rPr>
          <w:rFonts w:asciiTheme="minorHAnsi" w:eastAsiaTheme="majorEastAsia" w:hAnsiTheme="minorHAnsi" w:cs="Arial"/>
          <w:bCs/>
          <w:sz w:val="22"/>
          <w:vertAlign w:val="superscript"/>
          <w:lang w:eastAsia="en-GB"/>
        </w:rPr>
        <w:t xml:space="preserve"> </w:t>
      </w:r>
      <w:r w:rsidRPr="00912B34">
        <w:rPr>
          <w:rFonts w:asciiTheme="minorHAnsi" w:eastAsiaTheme="majorEastAsia" w:hAnsiTheme="minorHAnsi" w:cs="Arial"/>
          <w:bCs/>
          <w:sz w:val="22"/>
          <w:lang w:eastAsia="en-GB"/>
        </w:rPr>
        <w:t>Subsequently it is often not possible to determine whether authors are truly examining liver disease or cirrhosis per se.</w:t>
      </w:r>
      <w:r w:rsidR="00C86ADB">
        <w:rPr>
          <w:rFonts w:asciiTheme="minorHAnsi" w:eastAsiaTheme="majorEastAsia" w:hAnsiTheme="minorHAnsi" w:cs="Arial"/>
          <w:bCs/>
          <w:sz w:val="22"/>
          <w:lang w:eastAsia="en-GB"/>
        </w:rPr>
        <w:t xml:space="preserve"> </w:t>
      </w:r>
    </w:p>
    <w:p w14:paraId="479EA4EF" w14:textId="77777777" w:rsidR="00C86ADB" w:rsidRPr="00AE2D3B" w:rsidRDefault="00C86ADB" w:rsidP="00C86ADB">
      <w:pPr>
        <w:spacing w:line="480" w:lineRule="auto"/>
        <w:jc w:val="both"/>
        <w:rPr>
          <w:rFonts w:asciiTheme="minorHAnsi" w:eastAsiaTheme="majorEastAsia" w:hAnsiTheme="minorHAnsi" w:cs="Arial"/>
          <w:bCs/>
          <w:sz w:val="22"/>
          <w:lang w:eastAsia="en-GB"/>
        </w:rPr>
      </w:pPr>
    </w:p>
    <w:p w14:paraId="2C2A4316" w14:textId="7F93E922" w:rsidR="000400D5" w:rsidRPr="00912B34" w:rsidRDefault="00C86ADB" w:rsidP="000400D5">
      <w:pPr>
        <w:spacing w:line="480" w:lineRule="auto"/>
        <w:jc w:val="both"/>
        <w:rPr>
          <w:rFonts w:asciiTheme="minorHAnsi" w:eastAsiaTheme="minorEastAsia" w:hAnsiTheme="minorHAnsi" w:cs="Arial"/>
          <w:sz w:val="22"/>
          <w:lang w:eastAsia="en-GB"/>
        </w:rPr>
      </w:pPr>
      <w:r w:rsidRPr="00AE2D3B">
        <w:rPr>
          <w:rFonts w:asciiTheme="minorHAnsi" w:eastAsiaTheme="majorEastAsia" w:hAnsiTheme="minorHAnsi" w:cs="Arial"/>
          <w:bCs/>
          <w:sz w:val="22"/>
          <w:lang w:eastAsia="en-GB"/>
        </w:rPr>
        <w:t xml:space="preserve">In the UK, as in </w:t>
      </w:r>
      <w:r w:rsidR="00205E67" w:rsidRPr="00AE2D3B">
        <w:rPr>
          <w:rFonts w:asciiTheme="minorHAnsi" w:eastAsiaTheme="majorEastAsia" w:hAnsiTheme="minorHAnsi" w:cs="Arial"/>
          <w:bCs/>
          <w:sz w:val="22"/>
          <w:lang w:eastAsia="en-GB"/>
        </w:rPr>
        <w:t xml:space="preserve">many </w:t>
      </w:r>
      <w:r w:rsidRPr="00AE2D3B">
        <w:rPr>
          <w:rFonts w:asciiTheme="minorHAnsi" w:eastAsiaTheme="majorEastAsia" w:hAnsiTheme="minorHAnsi" w:cs="Arial"/>
          <w:bCs/>
          <w:sz w:val="22"/>
          <w:lang w:eastAsia="en-GB"/>
        </w:rPr>
        <w:t xml:space="preserve">Northern European countries, patients with suspected liver cirrhosis may be </w:t>
      </w:r>
      <w:r w:rsidRPr="006F547B">
        <w:rPr>
          <w:rFonts w:asciiTheme="minorHAnsi" w:eastAsiaTheme="majorEastAsia" w:hAnsiTheme="minorHAnsi" w:cs="Arial"/>
          <w:bCs/>
          <w:sz w:val="22"/>
          <w:lang w:eastAsia="en-GB"/>
        </w:rPr>
        <w:t>diagnosed by their primary care physician, or more commonly are referred to a secondary care specialist</w:t>
      </w:r>
      <w:r w:rsidR="00AE2D3B" w:rsidRPr="006F547B">
        <w:rPr>
          <w:rFonts w:asciiTheme="minorHAnsi" w:eastAsiaTheme="majorEastAsia" w:hAnsiTheme="minorHAnsi" w:cs="Arial"/>
          <w:bCs/>
          <w:sz w:val="22"/>
          <w:lang w:eastAsia="en-GB"/>
        </w:rPr>
        <w:t xml:space="preserve"> who will then pass on information to the primary care physician</w:t>
      </w:r>
      <w:r w:rsidRPr="006F547B">
        <w:rPr>
          <w:rFonts w:asciiTheme="minorHAnsi" w:eastAsiaTheme="majorEastAsia" w:hAnsiTheme="minorHAnsi" w:cs="Arial"/>
          <w:bCs/>
          <w:sz w:val="22"/>
          <w:lang w:eastAsia="en-GB"/>
        </w:rPr>
        <w:t xml:space="preserve">. Our research </w:t>
      </w:r>
      <w:r w:rsidRPr="00AE2D3B">
        <w:rPr>
          <w:rFonts w:asciiTheme="minorHAnsi" w:eastAsiaTheme="majorEastAsia" w:hAnsiTheme="minorHAnsi" w:cs="Arial"/>
          <w:bCs/>
          <w:sz w:val="22"/>
          <w:lang w:eastAsia="en-GB"/>
        </w:rPr>
        <w:t xml:space="preserve">group has therefore used linked primary and secondary routine healthcare databases in order </w:t>
      </w:r>
      <w:r w:rsidR="000C2DC7" w:rsidRPr="00AE2D3B">
        <w:rPr>
          <w:rFonts w:asciiTheme="minorHAnsi" w:eastAsiaTheme="majorEastAsia" w:hAnsiTheme="minorHAnsi" w:cs="Arial"/>
          <w:bCs/>
          <w:sz w:val="22"/>
          <w:lang w:eastAsia="en-GB"/>
        </w:rPr>
        <w:t xml:space="preserve">to </w:t>
      </w:r>
      <w:r w:rsidRPr="00AE2D3B">
        <w:rPr>
          <w:rFonts w:asciiTheme="minorHAnsi" w:eastAsiaTheme="majorEastAsia" w:hAnsiTheme="minorHAnsi" w:cs="Arial"/>
          <w:bCs/>
          <w:sz w:val="22"/>
          <w:lang w:eastAsia="en-GB"/>
        </w:rPr>
        <w:t>capture the incidence of cirrhosis</w:t>
      </w:r>
      <w:r w:rsidR="00B71D25" w:rsidRPr="00AE2D3B">
        <w:rPr>
          <w:rFonts w:asciiTheme="minorHAnsi" w:eastAsiaTheme="majorEastAsia" w:hAnsiTheme="minorHAnsi" w:cs="Arial"/>
          <w:bCs/>
          <w:sz w:val="22"/>
          <w:lang w:eastAsia="en-GB"/>
        </w:rPr>
        <w:t xml:space="preserve"> as comprehensively as possible</w:t>
      </w:r>
      <w:r w:rsidRPr="00AE2D3B">
        <w:rPr>
          <w:rFonts w:asciiTheme="minorHAnsi" w:eastAsiaTheme="majorEastAsia" w:hAnsiTheme="minorHAnsi" w:cs="Arial"/>
          <w:bCs/>
          <w:sz w:val="22"/>
          <w:lang w:eastAsia="en-GB"/>
        </w:rPr>
        <w:t xml:space="preserve">. [3] </w:t>
      </w:r>
      <w:r w:rsidR="000400D5" w:rsidRPr="00AE2D3B">
        <w:rPr>
          <w:rFonts w:asciiTheme="minorHAnsi" w:eastAsiaTheme="minorEastAsia" w:hAnsiTheme="minorHAnsi" w:cs="Arial"/>
          <w:sz w:val="22"/>
          <w:lang w:eastAsia="en-GB"/>
        </w:rPr>
        <w:t xml:space="preserve"> </w:t>
      </w:r>
      <w:r w:rsidR="000400D5" w:rsidRPr="00AE2D3B">
        <w:rPr>
          <w:rFonts w:asciiTheme="minorHAnsi" w:eastAsiaTheme="majorEastAsia" w:hAnsiTheme="minorHAnsi" w:cs="Arial"/>
          <w:bCs/>
          <w:sz w:val="22"/>
          <w:lang w:eastAsia="en-GB"/>
        </w:rPr>
        <w:t>Given the dependence of health service planning on</w:t>
      </w:r>
      <w:r w:rsidR="000400D5" w:rsidRPr="00912B34">
        <w:rPr>
          <w:rFonts w:asciiTheme="minorHAnsi" w:eastAsiaTheme="majorEastAsia" w:hAnsiTheme="minorHAnsi" w:cs="Arial"/>
          <w:bCs/>
          <w:sz w:val="22"/>
          <w:lang w:eastAsia="en-GB"/>
        </w:rPr>
        <w:t xml:space="preserve"> accurate knowledge of occurrence of disease, we sought to use routinely available data to (i) examine how cirrhosis mortality rates may differ according to the range of specificity of diagnostic codes used within the hepatology community; and (ii) quantify the difference between cirrhosis mortality rates (from death registry data) and cirrhosis incidence rates (</w:t>
      </w:r>
      <w:r>
        <w:rPr>
          <w:rFonts w:asciiTheme="minorHAnsi" w:eastAsiaTheme="majorEastAsia" w:hAnsiTheme="minorHAnsi" w:cs="Arial"/>
          <w:bCs/>
          <w:sz w:val="22"/>
          <w:lang w:eastAsia="en-GB"/>
        </w:rPr>
        <w:t xml:space="preserve">previously established) </w:t>
      </w:r>
      <w:r w:rsidR="000400D5" w:rsidRPr="00912B34">
        <w:rPr>
          <w:rFonts w:asciiTheme="minorHAnsi" w:eastAsiaTheme="majorEastAsia" w:hAnsiTheme="minorHAnsi" w:cs="Arial"/>
          <w:bCs/>
          <w:sz w:val="22"/>
          <w:lang w:eastAsia="en-GB"/>
        </w:rPr>
        <w:t>from linked routine healthcare databases) based on the same definition of disease and over the same time period</w:t>
      </w:r>
      <w:r>
        <w:rPr>
          <w:rFonts w:asciiTheme="minorHAnsi" w:eastAsiaTheme="majorEastAsia" w:hAnsiTheme="minorHAnsi" w:cs="Arial"/>
          <w:bCs/>
          <w:sz w:val="22"/>
          <w:lang w:eastAsia="en-GB"/>
        </w:rPr>
        <w:t xml:space="preserve"> </w:t>
      </w:r>
    </w:p>
    <w:p w14:paraId="6C5C69CC" w14:textId="77777777" w:rsidR="000400D5" w:rsidRPr="00912B34" w:rsidRDefault="000400D5" w:rsidP="000400D5">
      <w:pPr>
        <w:spacing w:after="160" w:line="480" w:lineRule="auto"/>
        <w:rPr>
          <w:rFonts w:asciiTheme="minorHAnsi" w:eastAsiaTheme="majorEastAsia" w:hAnsiTheme="minorHAnsi" w:cs="Arial"/>
          <w:b/>
          <w:bCs/>
          <w:sz w:val="22"/>
          <w:lang w:eastAsia="en-GB"/>
        </w:rPr>
      </w:pPr>
      <w:r w:rsidRPr="00912B34">
        <w:rPr>
          <w:rFonts w:asciiTheme="minorHAnsi" w:eastAsiaTheme="majorEastAsia" w:hAnsiTheme="minorHAnsi" w:cs="Arial"/>
          <w:b/>
          <w:bCs/>
          <w:sz w:val="22"/>
          <w:lang w:eastAsia="en-GB"/>
        </w:rPr>
        <w:br w:type="page"/>
      </w:r>
    </w:p>
    <w:p w14:paraId="3053A9E7" w14:textId="77777777" w:rsidR="000400D5" w:rsidRPr="00912B34" w:rsidRDefault="000400D5" w:rsidP="000400D5">
      <w:pPr>
        <w:spacing w:before="200" w:after="240" w:line="480" w:lineRule="auto"/>
        <w:jc w:val="both"/>
        <w:outlineLvl w:val="1"/>
        <w:rPr>
          <w:rFonts w:asciiTheme="minorHAnsi" w:eastAsiaTheme="majorEastAsia" w:hAnsiTheme="minorHAnsi" w:cs="Arial"/>
          <w:bCs/>
          <w:caps/>
          <w:sz w:val="22"/>
          <w:lang w:eastAsia="en-GB"/>
        </w:rPr>
      </w:pPr>
      <w:r w:rsidRPr="00912B34">
        <w:rPr>
          <w:rFonts w:asciiTheme="minorHAnsi" w:eastAsiaTheme="majorEastAsia" w:hAnsiTheme="minorHAnsi" w:cs="Arial"/>
          <w:b/>
          <w:bCs/>
          <w:caps/>
          <w:sz w:val="22"/>
          <w:lang w:eastAsia="en-GB"/>
        </w:rPr>
        <w:t>Methods</w:t>
      </w:r>
    </w:p>
    <w:p w14:paraId="14A9C0E3" w14:textId="77777777" w:rsidR="000400D5" w:rsidRPr="00912B34" w:rsidRDefault="000400D5" w:rsidP="000400D5">
      <w:pPr>
        <w:spacing w:before="200" w:after="240" w:line="480" w:lineRule="auto"/>
        <w:jc w:val="both"/>
        <w:outlineLvl w:val="1"/>
        <w:rPr>
          <w:rFonts w:asciiTheme="minorHAnsi" w:eastAsiaTheme="majorEastAsia" w:hAnsiTheme="minorHAnsi" w:cs="Arial"/>
          <w:b/>
          <w:bCs/>
          <w:sz w:val="22"/>
          <w:lang w:eastAsia="en-GB"/>
        </w:rPr>
      </w:pPr>
      <w:r w:rsidRPr="00912B34">
        <w:rPr>
          <w:rFonts w:asciiTheme="minorHAnsi" w:eastAsia="Arial Unicode MS" w:hAnsiTheme="minorHAnsi" w:cs="Arial"/>
          <w:b/>
          <w:bCs/>
          <w:kern w:val="1"/>
          <w:sz w:val="22"/>
          <w:lang w:eastAsia="ar-SA"/>
        </w:rPr>
        <w:t xml:space="preserve"> Data sources</w:t>
      </w:r>
    </w:p>
    <w:p w14:paraId="4F598042" w14:textId="77777777" w:rsidR="000400D5" w:rsidRPr="00912B34" w:rsidRDefault="000400D5" w:rsidP="000400D5">
      <w:pPr>
        <w:spacing w:line="480" w:lineRule="auto"/>
        <w:jc w:val="both"/>
        <w:rPr>
          <w:rFonts w:asciiTheme="minorHAnsi" w:eastAsiaTheme="minorEastAsia" w:hAnsiTheme="minorHAnsi" w:cs="Arial"/>
          <w:sz w:val="22"/>
          <w:lang w:eastAsia="en-GB"/>
        </w:rPr>
      </w:pPr>
      <w:r w:rsidRPr="00912B34">
        <w:rPr>
          <w:rFonts w:asciiTheme="minorHAnsi" w:eastAsiaTheme="minorEastAsia" w:hAnsiTheme="minorHAnsi" w:cs="Arial"/>
          <w:sz w:val="22"/>
          <w:lang w:eastAsia="en-GB"/>
        </w:rPr>
        <w:t>We obtained mortality data from the Office for National Statistics (ONS) website (</w:t>
      </w:r>
      <w:hyperlink r:id="rId7" w:history="1">
        <w:r w:rsidRPr="00912B34">
          <w:rPr>
            <w:rFonts w:asciiTheme="minorHAnsi" w:eastAsiaTheme="minorEastAsia" w:hAnsiTheme="minorHAnsi" w:cs="Arial"/>
            <w:color w:val="0563C1" w:themeColor="hyperlink"/>
            <w:sz w:val="22"/>
            <w:u w:val="single"/>
            <w:lang w:eastAsia="en-GB"/>
          </w:rPr>
          <w:t>www.ons.gov.uk</w:t>
        </w:r>
      </w:hyperlink>
      <w:r w:rsidRPr="00912B34">
        <w:rPr>
          <w:rFonts w:asciiTheme="minorHAnsi" w:eastAsiaTheme="minorEastAsia" w:hAnsiTheme="minorHAnsi" w:cs="Arial"/>
          <w:sz w:val="22"/>
          <w:lang w:eastAsia="en-GB"/>
        </w:rPr>
        <w:t xml:space="preserve">). These data are derived from registered death certificates and consist of counts of death by underlying cause (based on the International Classification of Disease (ICD)[15]) year of death, 5-year age-group, and sex for England and Wales from 1968 to 2011. Population data for the respective years were also obtained from the ONS website stratified by 5-year age-group and sex. We used the linked Clinical Practice Research Datalink (CPRD) and English Hospital Episodes Statistics (HES) to conduct a cohort study identify incident diagnoses of </w:t>
      </w:r>
      <w:r w:rsidRPr="00912B34">
        <w:rPr>
          <w:rFonts w:asciiTheme="minorHAnsi" w:eastAsiaTheme="majorEastAsia" w:hAnsiTheme="minorHAnsi" w:cs="Arial"/>
          <w:bCs/>
          <w:sz w:val="22"/>
          <w:lang w:eastAsia="en-GB"/>
        </w:rPr>
        <w:t xml:space="preserve">cirrhosis </w:t>
      </w:r>
      <w:r w:rsidRPr="00912B34">
        <w:rPr>
          <w:rFonts w:asciiTheme="minorHAnsi" w:eastAsiaTheme="minorEastAsia" w:hAnsiTheme="minorHAnsi" w:cs="Arial"/>
          <w:sz w:val="22"/>
          <w:lang w:eastAsia="en-GB"/>
        </w:rPr>
        <w:t>between 1998 and 2009</w:t>
      </w:r>
      <w:r w:rsidR="00805823">
        <w:rPr>
          <w:rFonts w:asciiTheme="minorHAnsi" w:eastAsiaTheme="minorEastAsia" w:hAnsiTheme="minorHAnsi" w:cs="Arial"/>
          <w:sz w:val="22"/>
          <w:lang w:eastAsia="en-GB"/>
        </w:rPr>
        <w:t xml:space="preserve"> (n=5118)</w:t>
      </w:r>
      <w:r w:rsidRPr="00912B34">
        <w:rPr>
          <w:rFonts w:asciiTheme="minorHAnsi" w:eastAsiaTheme="minorEastAsia" w:hAnsiTheme="minorHAnsi" w:cs="Arial"/>
          <w:sz w:val="22"/>
          <w:lang w:eastAsia="en-GB"/>
        </w:rPr>
        <w:t xml:space="preserve">. The diagnoses in the CPRD are made by </w:t>
      </w:r>
      <w:r w:rsidRPr="00912B34">
        <w:rPr>
          <w:rFonts w:asciiTheme="minorHAnsi" w:hAnsiTheme="minorHAnsi" w:cs="Arial"/>
          <w:sz w:val="22"/>
        </w:rPr>
        <w:t>histological examination and/or characteristic clinical signs of advanced liver disease</w:t>
      </w:r>
      <w:r w:rsidRPr="00912B34">
        <w:rPr>
          <w:rFonts w:asciiTheme="minorHAnsi" w:eastAsiaTheme="minorEastAsia" w:hAnsiTheme="minorHAnsi" w:cs="Arial"/>
          <w:sz w:val="22"/>
          <w:lang w:eastAsia="en-GB"/>
        </w:rPr>
        <w:t>.[3]</w:t>
      </w:r>
    </w:p>
    <w:p w14:paraId="379A3BDE" w14:textId="77777777" w:rsidR="000400D5" w:rsidRPr="00912B34" w:rsidRDefault="000400D5" w:rsidP="000400D5">
      <w:pPr>
        <w:spacing w:before="200" w:after="240" w:line="480" w:lineRule="auto"/>
        <w:jc w:val="both"/>
        <w:outlineLvl w:val="2"/>
        <w:rPr>
          <w:rFonts w:asciiTheme="minorHAnsi" w:eastAsia="Arial Unicode MS" w:hAnsiTheme="minorHAnsi" w:cs="Arial"/>
          <w:b/>
          <w:bCs/>
          <w:kern w:val="1"/>
          <w:sz w:val="22"/>
          <w:lang w:eastAsia="ar-SA"/>
        </w:rPr>
      </w:pPr>
      <w:r w:rsidRPr="00912B34">
        <w:rPr>
          <w:rFonts w:asciiTheme="minorHAnsi" w:eastAsia="Arial Unicode MS" w:hAnsiTheme="minorHAnsi" w:cs="Arial"/>
          <w:b/>
          <w:bCs/>
          <w:kern w:val="1"/>
          <w:sz w:val="22"/>
          <w:lang w:eastAsia="ar-SA"/>
        </w:rPr>
        <w:t>Definitions of cirrhosis</w:t>
      </w:r>
    </w:p>
    <w:p w14:paraId="32F78FF6" w14:textId="77777777" w:rsidR="000400D5" w:rsidRPr="00912B34" w:rsidRDefault="000400D5" w:rsidP="000400D5">
      <w:pPr>
        <w:spacing w:line="480" w:lineRule="auto"/>
        <w:jc w:val="both"/>
        <w:rPr>
          <w:rFonts w:asciiTheme="minorHAnsi" w:eastAsiaTheme="minorEastAsia" w:hAnsiTheme="minorHAnsi" w:cs="Arial"/>
          <w:sz w:val="22"/>
          <w:lang w:eastAsia="en-GB"/>
        </w:rPr>
      </w:pPr>
      <w:r w:rsidRPr="00912B34">
        <w:rPr>
          <w:rFonts w:asciiTheme="minorHAnsi" w:eastAsiaTheme="minorEastAsia" w:hAnsiTheme="minorHAnsi" w:cs="Arial"/>
          <w:sz w:val="22"/>
          <w:lang w:eastAsia="en-GB"/>
        </w:rPr>
        <w:t xml:space="preserve">We used three definitions of </w:t>
      </w:r>
      <w:r w:rsidRPr="00912B34">
        <w:rPr>
          <w:rFonts w:asciiTheme="minorHAnsi" w:eastAsiaTheme="majorEastAsia" w:hAnsiTheme="minorHAnsi" w:cs="Arial"/>
          <w:bCs/>
          <w:sz w:val="22"/>
          <w:lang w:eastAsia="en-GB"/>
        </w:rPr>
        <w:t xml:space="preserve">cirrhosis </w:t>
      </w:r>
      <w:r w:rsidRPr="00912B34">
        <w:rPr>
          <w:rFonts w:asciiTheme="minorHAnsi" w:eastAsiaTheme="minorEastAsia" w:hAnsiTheme="minorHAnsi" w:cs="Arial"/>
          <w:sz w:val="22"/>
          <w:lang w:eastAsia="en-GB"/>
        </w:rPr>
        <w:t>according to the specificity of ICD diagnostic coding:</w:t>
      </w:r>
    </w:p>
    <w:p w14:paraId="5E5AA1D0" w14:textId="4D7864A1" w:rsidR="000400D5" w:rsidRPr="00912B34" w:rsidRDefault="000400D5" w:rsidP="000400D5">
      <w:pPr>
        <w:spacing w:line="480" w:lineRule="auto"/>
        <w:contextualSpacing/>
        <w:jc w:val="both"/>
        <w:rPr>
          <w:rFonts w:asciiTheme="minorHAnsi" w:eastAsiaTheme="minorEastAsia" w:hAnsiTheme="minorHAnsi" w:cs="Arial"/>
          <w:sz w:val="22"/>
          <w:lang w:eastAsia="en-GB"/>
        </w:rPr>
      </w:pPr>
      <w:r w:rsidRPr="00912B34">
        <w:rPr>
          <w:rFonts w:asciiTheme="minorHAnsi" w:eastAsiaTheme="minorEastAsia" w:hAnsiTheme="minorHAnsi" w:cs="Arial"/>
          <w:b/>
          <w:sz w:val="22"/>
          <w:lang w:eastAsia="en-GB"/>
        </w:rPr>
        <w:t xml:space="preserve">Definition 1: </w:t>
      </w:r>
      <w:r w:rsidRPr="00912B34">
        <w:rPr>
          <w:rFonts w:asciiTheme="minorHAnsi" w:eastAsiaTheme="minorEastAsia" w:hAnsiTheme="minorHAnsi" w:cs="Arial"/>
          <w:sz w:val="22"/>
          <w:lang w:eastAsia="en-GB"/>
        </w:rPr>
        <w:t xml:space="preserve">This code list was developed by Leon et al.[14] </w:t>
      </w:r>
      <w:r w:rsidR="00944303">
        <w:rPr>
          <w:rFonts w:asciiTheme="minorHAnsi" w:eastAsiaTheme="minorEastAsia" w:hAnsiTheme="minorHAnsi" w:cs="Arial"/>
          <w:sz w:val="22"/>
          <w:lang w:eastAsia="en-GB"/>
        </w:rPr>
        <w:t xml:space="preserve">for international comparisons </w:t>
      </w:r>
      <w:r w:rsidRPr="00912B34">
        <w:rPr>
          <w:rFonts w:asciiTheme="minorHAnsi" w:eastAsiaTheme="minorEastAsia" w:hAnsiTheme="minorHAnsi" w:cs="Arial"/>
          <w:sz w:val="22"/>
          <w:lang w:eastAsia="en-GB"/>
        </w:rPr>
        <w:t>and has been selected as it is a relatively broad definition of cirrhosis and includes other chronic liver disease (e.g. alcoholic liver disease and chronic hepatitis), and has been used widely by other authors.[16]</w:t>
      </w:r>
    </w:p>
    <w:p w14:paraId="55FE9369" w14:textId="77777777" w:rsidR="000400D5" w:rsidRPr="00912B34" w:rsidRDefault="000400D5" w:rsidP="000400D5">
      <w:pPr>
        <w:spacing w:line="480" w:lineRule="auto"/>
        <w:contextualSpacing/>
        <w:jc w:val="both"/>
        <w:rPr>
          <w:rFonts w:asciiTheme="minorHAnsi" w:eastAsiaTheme="minorEastAsia" w:hAnsiTheme="minorHAnsi" w:cs="Arial"/>
          <w:sz w:val="22"/>
          <w:vertAlign w:val="superscript"/>
          <w:lang w:eastAsia="en-GB"/>
        </w:rPr>
      </w:pPr>
      <w:r w:rsidRPr="00912B34">
        <w:rPr>
          <w:rFonts w:asciiTheme="minorHAnsi" w:eastAsiaTheme="minorEastAsia" w:hAnsiTheme="minorHAnsi" w:cs="Arial"/>
          <w:b/>
          <w:sz w:val="22"/>
          <w:lang w:eastAsia="en-GB"/>
        </w:rPr>
        <w:t xml:space="preserve">Definition 2: </w:t>
      </w:r>
      <w:r w:rsidRPr="00912B34">
        <w:rPr>
          <w:rFonts w:asciiTheme="minorHAnsi" w:eastAsiaTheme="minorEastAsia" w:hAnsiTheme="minorHAnsi" w:cs="Arial"/>
          <w:sz w:val="22"/>
          <w:lang w:eastAsia="en-GB"/>
        </w:rPr>
        <w:t>This is a restrictive definition used by Jepsen et al.[17], including only alcoholic and unspecified cirrhosis of the liver.</w:t>
      </w:r>
    </w:p>
    <w:p w14:paraId="2269FDBC" w14:textId="77777777" w:rsidR="000400D5" w:rsidRPr="00912B34" w:rsidRDefault="000400D5" w:rsidP="000400D5">
      <w:pPr>
        <w:spacing w:line="480" w:lineRule="auto"/>
        <w:contextualSpacing/>
        <w:jc w:val="both"/>
        <w:rPr>
          <w:rFonts w:asciiTheme="minorHAnsi" w:eastAsiaTheme="minorEastAsia" w:hAnsiTheme="minorHAnsi" w:cs="Arial"/>
          <w:sz w:val="22"/>
          <w:lang w:eastAsia="en-GB"/>
        </w:rPr>
      </w:pPr>
      <w:r w:rsidRPr="00912B34">
        <w:rPr>
          <w:rFonts w:asciiTheme="minorHAnsi" w:eastAsiaTheme="minorEastAsia" w:hAnsiTheme="minorHAnsi" w:cs="Arial"/>
          <w:b/>
          <w:sz w:val="22"/>
          <w:lang w:eastAsia="en-GB"/>
        </w:rPr>
        <w:t>Definition 3:</w:t>
      </w:r>
      <w:r w:rsidRPr="00912B34">
        <w:rPr>
          <w:rFonts w:asciiTheme="minorHAnsi" w:eastAsiaTheme="minorEastAsia" w:hAnsiTheme="minorHAnsi" w:cs="Arial"/>
          <w:sz w:val="22"/>
          <w:lang w:eastAsia="en-GB"/>
        </w:rPr>
        <w:t xml:space="preserve"> This code list reflects </w:t>
      </w:r>
      <w:r w:rsidRPr="00912B34">
        <w:rPr>
          <w:rFonts w:asciiTheme="minorHAnsi" w:eastAsiaTheme="majorEastAsia" w:hAnsiTheme="minorHAnsi" w:cs="Arial"/>
          <w:bCs/>
          <w:sz w:val="22"/>
          <w:lang w:eastAsia="en-GB"/>
        </w:rPr>
        <w:t xml:space="preserve">cirrhosis </w:t>
      </w:r>
      <w:r w:rsidRPr="00912B34">
        <w:rPr>
          <w:rFonts w:asciiTheme="minorHAnsi" w:eastAsiaTheme="minorEastAsia" w:hAnsiTheme="minorHAnsi" w:cs="Arial"/>
          <w:sz w:val="22"/>
          <w:lang w:eastAsia="en-GB"/>
        </w:rPr>
        <w:t>as the end-stage of liver disease and includes codes for portal hypertension and oesophageal varices which are not included in the above definitions.</w:t>
      </w:r>
      <w:r w:rsidRPr="00912B34">
        <w:rPr>
          <w:rFonts w:asciiTheme="minorHAnsi" w:eastAsiaTheme="minorEastAsia" w:hAnsiTheme="minorHAnsi" w:cs="Arial"/>
          <w:sz w:val="22"/>
          <w:vertAlign w:val="superscript"/>
          <w:lang w:eastAsia="en-GB"/>
        </w:rPr>
        <w:t xml:space="preserve"> </w:t>
      </w:r>
      <w:r w:rsidRPr="00912B34">
        <w:rPr>
          <w:rFonts w:asciiTheme="minorHAnsi" w:eastAsiaTheme="minorEastAsia" w:hAnsiTheme="minorHAnsi" w:cs="Arial"/>
          <w:sz w:val="22"/>
          <w:lang w:eastAsia="en-GB"/>
        </w:rPr>
        <w:t xml:space="preserve">This code list is the same definition our group has used previously to define a cohort of people with an incident diagnosis of </w:t>
      </w:r>
      <w:r w:rsidRPr="00912B34">
        <w:rPr>
          <w:rFonts w:asciiTheme="minorHAnsi" w:eastAsiaTheme="majorEastAsia" w:hAnsiTheme="minorHAnsi" w:cs="Arial"/>
          <w:bCs/>
          <w:sz w:val="22"/>
          <w:lang w:eastAsia="en-GB"/>
        </w:rPr>
        <w:t>cirrhosis</w:t>
      </w:r>
      <w:r w:rsidRPr="00912B34">
        <w:rPr>
          <w:rFonts w:asciiTheme="minorHAnsi" w:eastAsiaTheme="minorEastAsia" w:hAnsiTheme="minorHAnsi" w:cs="Arial"/>
          <w:sz w:val="22"/>
          <w:lang w:eastAsia="en-GB"/>
        </w:rPr>
        <w:t xml:space="preserve"> in England using the linked CPRD and HES.[3]</w:t>
      </w:r>
    </w:p>
    <w:p w14:paraId="5737DFED" w14:textId="77777777" w:rsidR="000400D5" w:rsidRPr="00912B34" w:rsidRDefault="000400D5" w:rsidP="000400D5">
      <w:pPr>
        <w:spacing w:line="480" w:lineRule="auto"/>
        <w:jc w:val="both"/>
        <w:rPr>
          <w:rFonts w:asciiTheme="minorHAnsi" w:eastAsiaTheme="minorEastAsia" w:hAnsiTheme="minorHAnsi" w:cs="Arial"/>
          <w:sz w:val="22"/>
          <w:lang w:eastAsia="en-GB"/>
        </w:rPr>
      </w:pPr>
    </w:p>
    <w:p w14:paraId="15965DA5" w14:textId="77777777" w:rsidR="000400D5" w:rsidRPr="00912B34" w:rsidRDefault="000400D5" w:rsidP="000400D5">
      <w:pPr>
        <w:spacing w:line="480" w:lineRule="auto"/>
        <w:jc w:val="both"/>
        <w:rPr>
          <w:rFonts w:asciiTheme="minorHAnsi" w:eastAsiaTheme="minorEastAsia" w:hAnsiTheme="minorHAnsi" w:cs="Arial"/>
          <w:sz w:val="22"/>
          <w:lang w:eastAsia="en-GB"/>
        </w:rPr>
      </w:pPr>
      <w:r w:rsidRPr="00912B34">
        <w:rPr>
          <w:rFonts w:asciiTheme="minorHAnsi" w:eastAsiaTheme="minorEastAsia" w:hAnsiTheme="minorHAnsi" w:cs="Arial"/>
          <w:sz w:val="22"/>
          <w:lang w:eastAsia="en-GB"/>
        </w:rPr>
        <w:t>To provide a context, we combined all liver diseases according to ICD version 10 chapter ‘Diseases of the Liver’ (K70-K77) and refer to this this category as ‘Liver disease’.  During the calendar period considered three different revisions of the ICD were used and mapping across these 3 versions are shown in Supplementary Tables 1 and 2.[15,18,19]</w:t>
      </w:r>
    </w:p>
    <w:p w14:paraId="44932E8D" w14:textId="77777777" w:rsidR="000400D5" w:rsidRPr="00912B34" w:rsidRDefault="000400D5" w:rsidP="000400D5">
      <w:pPr>
        <w:spacing w:before="200" w:after="240" w:line="480" w:lineRule="auto"/>
        <w:jc w:val="both"/>
        <w:outlineLvl w:val="2"/>
        <w:rPr>
          <w:rFonts w:asciiTheme="minorHAnsi" w:eastAsia="Arial Unicode MS" w:hAnsiTheme="minorHAnsi" w:cs="Arial"/>
          <w:b/>
          <w:bCs/>
          <w:kern w:val="1"/>
          <w:sz w:val="22"/>
          <w:lang w:eastAsia="ar-SA"/>
        </w:rPr>
      </w:pPr>
    </w:p>
    <w:p w14:paraId="5D6DA61F" w14:textId="77777777" w:rsidR="000400D5" w:rsidRPr="00912B34" w:rsidRDefault="000400D5" w:rsidP="000400D5">
      <w:pPr>
        <w:spacing w:before="200" w:after="240" w:line="480" w:lineRule="auto"/>
        <w:jc w:val="both"/>
        <w:outlineLvl w:val="2"/>
        <w:rPr>
          <w:rFonts w:asciiTheme="minorHAnsi" w:eastAsia="Arial Unicode MS" w:hAnsiTheme="minorHAnsi" w:cs="Arial"/>
          <w:b/>
          <w:bCs/>
          <w:kern w:val="1"/>
          <w:sz w:val="22"/>
          <w:lang w:eastAsia="ar-SA"/>
        </w:rPr>
      </w:pPr>
      <w:r w:rsidRPr="00912B34">
        <w:rPr>
          <w:rFonts w:asciiTheme="minorHAnsi" w:eastAsia="Arial Unicode MS" w:hAnsiTheme="minorHAnsi" w:cs="Arial"/>
          <w:b/>
          <w:bCs/>
          <w:kern w:val="1"/>
          <w:sz w:val="22"/>
          <w:lang w:eastAsia="ar-SA"/>
        </w:rPr>
        <w:t>Statistical analysis</w:t>
      </w:r>
    </w:p>
    <w:p w14:paraId="528AD75D" w14:textId="77777777" w:rsidR="000400D5" w:rsidRPr="00912B34" w:rsidRDefault="000400D5" w:rsidP="000400D5">
      <w:pPr>
        <w:spacing w:line="480" w:lineRule="auto"/>
        <w:jc w:val="both"/>
        <w:rPr>
          <w:rFonts w:asciiTheme="minorHAnsi" w:eastAsiaTheme="minorEastAsia" w:hAnsiTheme="minorHAnsi" w:cs="Arial"/>
          <w:sz w:val="22"/>
          <w:lang w:eastAsia="en-GB"/>
        </w:rPr>
      </w:pPr>
      <w:r w:rsidRPr="00912B34">
        <w:rPr>
          <w:rFonts w:asciiTheme="minorHAnsi" w:eastAsiaTheme="minorEastAsia" w:hAnsiTheme="minorHAnsi" w:cs="Arial"/>
          <w:sz w:val="22"/>
          <w:lang w:eastAsia="en-GB"/>
        </w:rPr>
        <w:t>Mortality rates</w:t>
      </w:r>
    </w:p>
    <w:p w14:paraId="3374FE67" w14:textId="6863B5CC" w:rsidR="000400D5" w:rsidRPr="00912B34" w:rsidRDefault="000400D5" w:rsidP="000400D5">
      <w:pPr>
        <w:spacing w:line="480" w:lineRule="auto"/>
        <w:jc w:val="both"/>
        <w:rPr>
          <w:rFonts w:asciiTheme="minorHAnsi" w:eastAsiaTheme="minorEastAsia" w:hAnsiTheme="minorHAnsi" w:cs="Arial"/>
          <w:sz w:val="22"/>
          <w:lang w:eastAsia="en-GB"/>
        </w:rPr>
      </w:pPr>
      <w:r w:rsidRPr="00912B34">
        <w:rPr>
          <w:rFonts w:asciiTheme="minorHAnsi" w:eastAsiaTheme="minorEastAsia" w:hAnsiTheme="minorHAnsi" w:cs="Arial"/>
          <w:sz w:val="22"/>
          <w:lang w:eastAsia="en-GB"/>
        </w:rPr>
        <w:t xml:space="preserve">Age at death was categorized from the age of 15 years in three groups (&lt;45, 45-64 and ≥65 years). We determined crude mortality rates per 100,000 person-years from 1968 to 2011, for liver disease and all three definitions of cirrhosis. We calculated age- and sex-stratum specific cirrhosis mortality rates and applied these to the 2011 population to generate annual standardised mortality rates. </w:t>
      </w:r>
      <w:r w:rsidR="002A6BE3">
        <w:rPr>
          <w:rFonts w:asciiTheme="minorHAnsi" w:eastAsiaTheme="minorEastAsia" w:hAnsiTheme="minorHAnsi" w:cs="Arial"/>
          <w:sz w:val="22"/>
          <w:lang w:eastAsia="en-GB"/>
        </w:rPr>
        <w:t xml:space="preserve">Negative </w:t>
      </w:r>
      <w:r w:rsidR="008A7EFB">
        <w:rPr>
          <w:rFonts w:asciiTheme="minorHAnsi" w:eastAsiaTheme="minorEastAsia" w:hAnsiTheme="minorHAnsi" w:cs="Arial"/>
          <w:sz w:val="22"/>
          <w:lang w:eastAsia="en-GB"/>
        </w:rPr>
        <w:t xml:space="preserve">binomial </w:t>
      </w:r>
      <w:r w:rsidRPr="00912B34">
        <w:rPr>
          <w:rFonts w:asciiTheme="minorHAnsi" w:eastAsiaTheme="minorEastAsia" w:hAnsiTheme="minorHAnsi" w:cs="Arial"/>
          <w:sz w:val="22"/>
          <w:lang w:eastAsia="en-GB"/>
        </w:rPr>
        <w:t>regression modelling was used to estimate mortality rate ratios with adjustment for age and sex. We determined average annual increase.</w:t>
      </w:r>
    </w:p>
    <w:p w14:paraId="2A50734F" w14:textId="77777777" w:rsidR="000400D5" w:rsidRPr="00912B34" w:rsidRDefault="000400D5" w:rsidP="000400D5">
      <w:pPr>
        <w:spacing w:line="480" w:lineRule="auto"/>
        <w:jc w:val="both"/>
        <w:rPr>
          <w:rFonts w:asciiTheme="minorHAnsi" w:eastAsiaTheme="minorEastAsia" w:hAnsiTheme="minorHAnsi" w:cs="Arial"/>
          <w:sz w:val="22"/>
          <w:lang w:eastAsia="en-GB"/>
        </w:rPr>
      </w:pPr>
    </w:p>
    <w:p w14:paraId="6B6478E2" w14:textId="77777777" w:rsidR="000400D5" w:rsidRPr="00912B34" w:rsidRDefault="000400D5" w:rsidP="000400D5">
      <w:pPr>
        <w:spacing w:line="480" w:lineRule="auto"/>
        <w:jc w:val="both"/>
        <w:rPr>
          <w:rFonts w:asciiTheme="minorHAnsi" w:eastAsiaTheme="minorEastAsia" w:hAnsiTheme="minorHAnsi" w:cs="Arial"/>
          <w:sz w:val="22"/>
          <w:lang w:eastAsia="en-GB"/>
        </w:rPr>
      </w:pPr>
      <w:r w:rsidRPr="00912B34">
        <w:rPr>
          <w:rFonts w:asciiTheme="minorHAnsi" w:eastAsiaTheme="minorEastAsia" w:hAnsiTheme="minorHAnsi" w:cs="Arial"/>
          <w:sz w:val="22"/>
          <w:lang w:eastAsia="en-GB"/>
        </w:rPr>
        <w:t>Incidence rates</w:t>
      </w:r>
    </w:p>
    <w:p w14:paraId="087E787B" w14:textId="77777777" w:rsidR="000400D5" w:rsidRPr="00912B34" w:rsidRDefault="000400D5" w:rsidP="000400D5">
      <w:pPr>
        <w:spacing w:line="480" w:lineRule="auto"/>
        <w:contextualSpacing/>
        <w:jc w:val="both"/>
        <w:rPr>
          <w:rFonts w:asciiTheme="minorHAnsi" w:eastAsiaTheme="minorEastAsia" w:hAnsiTheme="minorHAnsi" w:cs="Arial"/>
          <w:sz w:val="22"/>
          <w:lang w:eastAsia="en-GB"/>
        </w:rPr>
      </w:pPr>
      <w:r w:rsidRPr="00912B34">
        <w:rPr>
          <w:rFonts w:asciiTheme="minorHAnsi" w:eastAsiaTheme="minorEastAsia" w:hAnsiTheme="minorHAnsi" w:cs="Arial"/>
          <w:sz w:val="22"/>
          <w:lang w:eastAsia="en-GB"/>
        </w:rPr>
        <w:t xml:space="preserve">Determining the incidence of </w:t>
      </w:r>
      <w:r w:rsidRPr="00912B34">
        <w:rPr>
          <w:rFonts w:asciiTheme="minorHAnsi" w:eastAsiaTheme="majorEastAsia" w:hAnsiTheme="minorHAnsi" w:cs="Arial"/>
          <w:bCs/>
          <w:sz w:val="22"/>
          <w:lang w:eastAsia="en-GB"/>
        </w:rPr>
        <w:t xml:space="preserve">cirrhosis </w:t>
      </w:r>
      <w:r w:rsidRPr="00912B34">
        <w:rPr>
          <w:rFonts w:asciiTheme="minorHAnsi" w:eastAsiaTheme="minorEastAsia" w:hAnsiTheme="minorHAnsi" w:cs="Arial"/>
          <w:sz w:val="22"/>
          <w:lang w:eastAsia="en-GB"/>
        </w:rPr>
        <w:t>(using definition 3) has been described elsewhere.[3] In brief, we defined a cohort of incident diagnoses from the linked CPRD and English HES data from 1998 to 2009 for adults from the age of 18 years onwards. Estimates of incidence from the study have been standardised to the 2011 population and used in this current paper to make a direct comparison with standardised mortality rates over the same time period and using the same definition of disease.</w:t>
      </w:r>
    </w:p>
    <w:p w14:paraId="76E0BC41" w14:textId="77777777" w:rsidR="000400D5" w:rsidRPr="00912B34" w:rsidRDefault="000400D5" w:rsidP="000400D5">
      <w:pPr>
        <w:spacing w:line="480" w:lineRule="auto"/>
        <w:jc w:val="both"/>
        <w:rPr>
          <w:rFonts w:asciiTheme="minorHAnsi" w:eastAsiaTheme="minorEastAsia" w:hAnsiTheme="minorHAnsi" w:cs="Arial"/>
          <w:sz w:val="22"/>
          <w:lang w:eastAsia="en-GB"/>
        </w:rPr>
      </w:pPr>
    </w:p>
    <w:p w14:paraId="26A304F2" w14:textId="77777777" w:rsidR="000400D5" w:rsidRPr="00912B34" w:rsidRDefault="000400D5" w:rsidP="000400D5">
      <w:pPr>
        <w:spacing w:line="480" w:lineRule="auto"/>
        <w:jc w:val="both"/>
        <w:rPr>
          <w:rFonts w:asciiTheme="minorHAnsi" w:eastAsiaTheme="minorEastAsia" w:hAnsiTheme="minorHAnsi" w:cs="Arial"/>
          <w:sz w:val="22"/>
          <w:lang w:eastAsia="en-GB"/>
        </w:rPr>
      </w:pPr>
    </w:p>
    <w:p w14:paraId="57019127" w14:textId="77777777" w:rsidR="000400D5" w:rsidRPr="00912B34" w:rsidRDefault="000400D5" w:rsidP="000400D5">
      <w:pPr>
        <w:spacing w:line="480" w:lineRule="auto"/>
        <w:rPr>
          <w:rFonts w:asciiTheme="minorHAnsi" w:hAnsiTheme="minorHAnsi" w:cs="Arial"/>
          <w:sz w:val="22"/>
        </w:rPr>
      </w:pPr>
    </w:p>
    <w:p w14:paraId="722A6BD1" w14:textId="77777777" w:rsidR="000400D5" w:rsidRPr="00912B34" w:rsidRDefault="000400D5" w:rsidP="000400D5">
      <w:pPr>
        <w:spacing w:after="160" w:line="480" w:lineRule="auto"/>
        <w:rPr>
          <w:rFonts w:asciiTheme="minorHAnsi" w:hAnsiTheme="minorHAnsi" w:cs="Arial"/>
          <w:b/>
          <w:sz w:val="22"/>
        </w:rPr>
      </w:pPr>
      <w:r w:rsidRPr="00912B34">
        <w:rPr>
          <w:rFonts w:asciiTheme="minorHAnsi" w:hAnsiTheme="minorHAnsi" w:cs="Arial"/>
          <w:b/>
          <w:sz w:val="22"/>
        </w:rPr>
        <w:br w:type="page"/>
      </w:r>
    </w:p>
    <w:p w14:paraId="60772B48" w14:textId="77777777" w:rsidR="000400D5" w:rsidRPr="00912B34" w:rsidRDefault="000400D5" w:rsidP="000400D5">
      <w:pPr>
        <w:spacing w:line="480" w:lineRule="auto"/>
        <w:jc w:val="both"/>
        <w:rPr>
          <w:rFonts w:asciiTheme="minorHAnsi" w:hAnsiTheme="minorHAnsi" w:cs="Arial"/>
          <w:b/>
          <w:caps/>
          <w:sz w:val="22"/>
        </w:rPr>
      </w:pPr>
      <w:r w:rsidRPr="00912B34">
        <w:rPr>
          <w:rFonts w:asciiTheme="minorHAnsi" w:hAnsiTheme="minorHAnsi" w:cs="Arial"/>
          <w:b/>
          <w:caps/>
          <w:sz w:val="22"/>
        </w:rPr>
        <w:t>Results</w:t>
      </w:r>
    </w:p>
    <w:p w14:paraId="56C45AD2" w14:textId="77777777" w:rsidR="000400D5" w:rsidRPr="00912B34" w:rsidRDefault="000400D5" w:rsidP="000400D5">
      <w:pPr>
        <w:spacing w:line="480" w:lineRule="auto"/>
        <w:jc w:val="both"/>
        <w:rPr>
          <w:rFonts w:asciiTheme="minorHAnsi" w:hAnsiTheme="minorHAnsi" w:cs="Arial"/>
          <w:sz w:val="22"/>
        </w:rPr>
      </w:pPr>
    </w:p>
    <w:p w14:paraId="45DD192F" w14:textId="77777777" w:rsidR="000400D5" w:rsidRPr="00912B34" w:rsidRDefault="000400D5" w:rsidP="000400D5">
      <w:pPr>
        <w:spacing w:line="480" w:lineRule="auto"/>
        <w:jc w:val="both"/>
        <w:rPr>
          <w:rFonts w:asciiTheme="minorHAnsi" w:hAnsiTheme="minorHAnsi" w:cs="Arial"/>
          <w:b/>
          <w:sz w:val="22"/>
        </w:rPr>
      </w:pPr>
      <w:r w:rsidRPr="00912B34">
        <w:rPr>
          <w:rFonts w:asciiTheme="minorHAnsi" w:hAnsiTheme="minorHAnsi" w:cs="Arial"/>
          <w:b/>
          <w:sz w:val="22"/>
        </w:rPr>
        <w:t>Standardised mortality rates</w:t>
      </w:r>
    </w:p>
    <w:p w14:paraId="4E1BF352" w14:textId="77777777" w:rsidR="000400D5" w:rsidRPr="00912B34" w:rsidRDefault="000400D5" w:rsidP="000400D5">
      <w:pPr>
        <w:spacing w:line="480" w:lineRule="auto"/>
        <w:jc w:val="both"/>
        <w:rPr>
          <w:rFonts w:asciiTheme="minorHAnsi" w:hAnsiTheme="minorHAnsi" w:cs="Arial"/>
          <w:sz w:val="22"/>
        </w:rPr>
      </w:pPr>
    </w:p>
    <w:p w14:paraId="21526310" w14:textId="77777777" w:rsidR="000400D5" w:rsidRPr="00912B34" w:rsidRDefault="000400D5" w:rsidP="000400D5">
      <w:pPr>
        <w:spacing w:line="480" w:lineRule="auto"/>
        <w:jc w:val="both"/>
        <w:rPr>
          <w:rFonts w:asciiTheme="minorHAnsi" w:hAnsiTheme="minorHAnsi" w:cs="Arial"/>
          <w:sz w:val="22"/>
        </w:rPr>
      </w:pPr>
      <w:r w:rsidRPr="00912B34">
        <w:rPr>
          <w:rFonts w:asciiTheme="minorHAnsi" w:hAnsiTheme="minorHAnsi" w:cs="Arial"/>
          <w:sz w:val="22"/>
        </w:rPr>
        <w:t xml:space="preserve">The overall standardised mortality rates for definitions 1 to 3 of </w:t>
      </w:r>
      <w:r w:rsidRPr="00912B34">
        <w:rPr>
          <w:rFonts w:asciiTheme="minorHAnsi" w:eastAsiaTheme="majorEastAsia" w:hAnsiTheme="minorHAnsi" w:cs="Arial"/>
          <w:bCs/>
          <w:sz w:val="22"/>
          <w:lang w:eastAsia="en-GB"/>
        </w:rPr>
        <w:t xml:space="preserve">cirrhosis </w:t>
      </w:r>
      <w:r w:rsidRPr="00912B34">
        <w:rPr>
          <w:rFonts w:asciiTheme="minorHAnsi" w:hAnsiTheme="minorHAnsi" w:cs="Arial"/>
          <w:sz w:val="22"/>
        </w:rPr>
        <w:t>over the study period were 8.8 (95% CI 8·8, 8·8), 5.4 (95% CI 5·4, 5·5) and 5.1 (95% CI 5·0, 5·1) per 100,000 person-years, respectively. Figure 1 displays the standardised mortality trends from 1968 to 2011 for all definitions. There was only a marginal difference in absolute and relative terms between liver diseases combined and definition 1, and similarly only a marginal difference between definitions 2 and 3.</w:t>
      </w:r>
    </w:p>
    <w:p w14:paraId="70AF2138" w14:textId="77777777" w:rsidR="000400D5" w:rsidRPr="00912B34" w:rsidRDefault="000400D5" w:rsidP="000400D5">
      <w:pPr>
        <w:spacing w:line="480" w:lineRule="auto"/>
        <w:jc w:val="both"/>
        <w:rPr>
          <w:rFonts w:asciiTheme="minorHAnsi" w:hAnsiTheme="minorHAnsi" w:cs="Arial"/>
          <w:sz w:val="22"/>
        </w:rPr>
      </w:pPr>
    </w:p>
    <w:p w14:paraId="099A5B55" w14:textId="47147D32" w:rsidR="000400D5" w:rsidRPr="00912B34" w:rsidRDefault="000400D5" w:rsidP="000400D5">
      <w:pPr>
        <w:spacing w:line="480" w:lineRule="auto"/>
        <w:jc w:val="both"/>
        <w:rPr>
          <w:rFonts w:asciiTheme="minorHAnsi" w:hAnsiTheme="minorHAnsi" w:cs="Arial"/>
          <w:sz w:val="22"/>
        </w:rPr>
      </w:pPr>
      <w:r w:rsidRPr="00912B34">
        <w:rPr>
          <w:rFonts w:asciiTheme="minorHAnsi" w:hAnsiTheme="minorHAnsi" w:cs="Arial"/>
          <w:sz w:val="22"/>
        </w:rPr>
        <w:t xml:space="preserve">Between 1979 (the introduction of ICD-9) and 2001 (the introduction of ICD-10), the average annual relative increase in mortality from cirrhosis was </w:t>
      </w:r>
      <w:r w:rsidR="00E64FC2">
        <w:rPr>
          <w:rFonts w:asciiTheme="minorHAnsi" w:hAnsiTheme="minorHAnsi" w:cs="Arial"/>
          <w:sz w:val="22"/>
        </w:rPr>
        <w:t>1.04</w:t>
      </w:r>
      <w:r w:rsidRPr="00912B34">
        <w:rPr>
          <w:rFonts w:asciiTheme="minorHAnsi" w:hAnsiTheme="minorHAnsi" w:cs="Arial"/>
          <w:sz w:val="22"/>
        </w:rPr>
        <w:t xml:space="preserve"> (95% CI </w:t>
      </w:r>
      <w:r w:rsidR="00E64FC2">
        <w:rPr>
          <w:rFonts w:asciiTheme="minorHAnsi" w:hAnsiTheme="minorHAnsi" w:cs="Arial"/>
          <w:sz w:val="22"/>
        </w:rPr>
        <w:t>1.03</w:t>
      </w:r>
      <w:r w:rsidRPr="00912B34">
        <w:rPr>
          <w:rFonts w:asciiTheme="minorHAnsi" w:hAnsiTheme="minorHAnsi" w:cs="Arial"/>
          <w:sz w:val="22"/>
        </w:rPr>
        <w:t xml:space="preserve">, </w:t>
      </w:r>
      <w:r w:rsidR="00E64FC2">
        <w:rPr>
          <w:rFonts w:asciiTheme="minorHAnsi" w:hAnsiTheme="minorHAnsi" w:cs="Arial"/>
          <w:sz w:val="22"/>
        </w:rPr>
        <w:t>1.04</w:t>
      </w:r>
      <w:r w:rsidRPr="00912B34">
        <w:rPr>
          <w:rFonts w:asciiTheme="minorHAnsi" w:hAnsiTheme="minorHAnsi" w:cs="Arial"/>
          <w:sz w:val="22"/>
        </w:rPr>
        <w:t>), 1.</w:t>
      </w:r>
      <w:r w:rsidR="00E64FC2">
        <w:rPr>
          <w:rFonts w:asciiTheme="minorHAnsi" w:hAnsiTheme="minorHAnsi" w:cs="Arial"/>
          <w:sz w:val="22"/>
        </w:rPr>
        <w:t>01</w:t>
      </w:r>
      <w:r w:rsidRPr="00912B34">
        <w:rPr>
          <w:rFonts w:asciiTheme="minorHAnsi" w:hAnsiTheme="minorHAnsi" w:cs="Arial"/>
          <w:sz w:val="22"/>
        </w:rPr>
        <w:t xml:space="preserve"> (95%CI 1.</w:t>
      </w:r>
      <w:r w:rsidR="00E64FC2">
        <w:rPr>
          <w:rFonts w:asciiTheme="minorHAnsi" w:hAnsiTheme="minorHAnsi" w:cs="Arial"/>
          <w:sz w:val="22"/>
        </w:rPr>
        <w:t>01</w:t>
      </w:r>
      <w:r w:rsidRPr="00912B34">
        <w:rPr>
          <w:rFonts w:asciiTheme="minorHAnsi" w:hAnsiTheme="minorHAnsi" w:cs="Arial"/>
          <w:sz w:val="22"/>
        </w:rPr>
        <w:t>, 1.</w:t>
      </w:r>
      <w:r w:rsidR="00E64FC2">
        <w:rPr>
          <w:rFonts w:asciiTheme="minorHAnsi" w:hAnsiTheme="minorHAnsi" w:cs="Arial"/>
          <w:sz w:val="22"/>
        </w:rPr>
        <w:t>01</w:t>
      </w:r>
      <w:r w:rsidRPr="00912B34">
        <w:rPr>
          <w:rFonts w:asciiTheme="minorHAnsi" w:hAnsiTheme="minorHAnsi" w:cs="Arial"/>
          <w:sz w:val="22"/>
        </w:rPr>
        <w:t>) and 1.</w:t>
      </w:r>
      <w:r w:rsidR="00E64FC2">
        <w:rPr>
          <w:rFonts w:asciiTheme="minorHAnsi" w:hAnsiTheme="minorHAnsi" w:cs="Arial"/>
          <w:sz w:val="22"/>
        </w:rPr>
        <w:t>01</w:t>
      </w:r>
      <w:r w:rsidRPr="00912B34">
        <w:rPr>
          <w:rFonts w:asciiTheme="minorHAnsi" w:hAnsiTheme="minorHAnsi" w:cs="Arial"/>
          <w:sz w:val="22"/>
        </w:rPr>
        <w:t xml:space="preserve">(95% CI </w:t>
      </w:r>
      <w:r w:rsidR="00E64FC2">
        <w:rPr>
          <w:rFonts w:asciiTheme="minorHAnsi" w:hAnsiTheme="minorHAnsi" w:cs="Arial"/>
          <w:sz w:val="22"/>
        </w:rPr>
        <w:t>1.01</w:t>
      </w:r>
      <w:r w:rsidRPr="00912B34">
        <w:rPr>
          <w:rFonts w:asciiTheme="minorHAnsi" w:hAnsiTheme="minorHAnsi" w:cs="Arial"/>
          <w:sz w:val="22"/>
        </w:rPr>
        <w:t>, 1.</w:t>
      </w:r>
      <w:r w:rsidR="00E64FC2">
        <w:rPr>
          <w:rFonts w:asciiTheme="minorHAnsi" w:hAnsiTheme="minorHAnsi" w:cs="Arial"/>
          <w:sz w:val="22"/>
        </w:rPr>
        <w:t>02</w:t>
      </w:r>
      <w:r w:rsidRPr="00912B34">
        <w:rPr>
          <w:rFonts w:asciiTheme="minorHAnsi" w:hAnsiTheme="minorHAnsi" w:cs="Arial"/>
          <w:sz w:val="22"/>
        </w:rPr>
        <w:t xml:space="preserve">) for definitions 1, 2 and 3 respectively. From 2001 onwards the increase was smaller for all definitions: </w:t>
      </w:r>
      <w:r w:rsidR="00E64FC2">
        <w:rPr>
          <w:rFonts w:asciiTheme="minorHAnsi" w:hAnsiTheme="minorHAnsi" w:cs="Arial"/>
          <w:sz w:val="22"/>
        </w:rPr>
        <w:t>1.00</w:t>
      </w:r>
      <w:r w:rsidRPr="00912B34">
        <w:rPr>
          <w:rFonts w:asciiTheme="minorHAnsi" w:hAnsiTheme="minorHAnsi" w:cs="Arial"/>
          <w:sz w:val="22"/>
        </w:rPr>
        <w:t xml:space="preserve"> (95%CI </w:t>
      </w:r>
      <w:r w:rsidR="00E64FC2">
        <w:rPr>
          <w:rFonts w:asciiTheme="minorHAnsi" w:hAnsiTheme="minorHAnsi" w:cs="Arial"/>
          <w:sz w:val="22"/>
        </w:rPr>
        <w:t>1.00</w:t>
      </w:r>
      <w:r w:rsidRPr="00912B34">
        <w:rPr>
          <w:rFonts w:asciiTheme="minorHAnsi" w:hAnsiTheme="minorHAnsi" w:cs="Arial"/>
          <w:sz w:val="22"/>
        </w:rPr>
        <w:t>, 1</w:t>
      </w:r>
      <w:r w:rsidR="00E64FC2">
        <w:rPr>
          <w:rFonts w:asciiTheme="minorHAnsi" w:hAnsiTheme="minorHAnsi" w:cs="Arial"/>
          <w:sz w:val="22"/>
        </w:rPr>
        <w:t>.01</w:t>
      </w:r>
      <w:r w:rsidRPr="00912B34">
        <w:rPr>
          <w:rFonts w:asciiTheme="minorHAnsi" w:hAnsiTheme="minorHAnsi" w:cs="Arial"/>
          <w:sz w:val="22"/>
        </w:rPr>
        <w:t xml:space="preserve">), </w:t>
      </w:r>
      <w:r w:rsidR="00E64FC2">
        <w:rPr>
          <w:rFonts w:asciiTheme="minorHAnsi" w:hAnsiTheme="minorHAnsi" w:cs="Arial"/>
          <w:sz w:val="22"/>
        </w:rPr>
        <w:t>1.00</w:t>
      </w:r>
      <w:r w:rsidRPr="00912B34">
        <w:rPr>
          <w:rFonts w:asciiTheme="minorHAnsi" w:hAnsiTheme="minorHAnsi" w:cs="Arial"/>
          <w:sz w:val="22"/>
        </w:rPr>
        <w:t xml:space="preserve"> (95%CI </w:t>
      </w:r>
      <w:r w:rsidR="00E64FC2">
        <w:rPr>
          <w:rFonts w:asciiTheme="minorHAnsi" w:hAnsiTheme="minorHAnsi" w:cs="Arial"/>
          <w:sz w:val="22"/>
        </w:rPr>
        <w:t>0.99</w:t>
      </w:r>
      <w:r w:rsidRPr="00912B34">
        <w:rPr>
          <w:rFonts w:asciiTheme="minorHAnsi" w:hAnsiTheme="minorHAnsi" w:cs="Arial"/>
          <w:sz w:val="22"/>
        </w:rPr>
        <w:t xml:space="preserve">, </w:t>
      </w:r>
      <w:r w:rsidR="00E64FC2">
        <w:rPr>
          <w:rFonts w:asciiTheme="minorHAnsi" w:hAnsiTheme="minorHAnsi" w:cs="Arial"/>
          <w:sz w:val="22"/>
        </w:rPr>
        <w:t>1.00</w:t>
      </w:r>
      <w:r w:rsidRPr="00912B34">
        <w:rPr>
          <w:rFonts w:asciiTheme="minorHAnsi" w:hAnsiTheme="minorHAnsi" w:cs="Arial"/>
          <w:sz w:val="22"/>
        </w:rPr>
        <w:t xml:space="preserve">) and </w:t>
      </w:r>
      <w:r w:rsidR="00E64FC2">
        <w:rPr>
          <w:rFonts w:asciiTheme="minorHAnsi" w:hAnsiTheme="minorHAnsi" w:cs="Arial"/>
          <w:sz w:val="22"/>
        </w:rPr>
        <w:t>0.99</w:t>
      </w:r>
      <w:r w:rsidRPr="00912B34">
        <w:rPr>
          <w:rFonts w:asciiTheme="minorHAnsi" w:hAnsiTheme="minorHAnsi" w:cs="Arial"/>
          <w:sz w:val="22"/>
        </w:rPr>
        <w:t xml:space="preserve">(95%CI </w:t>
      </w:r>
      <w:r w:rsidR="00E64FC2">
        <w:rPr>
          <w:rFonts w:asciiTheme="minorHAnsi" w:hAnsiTheme="minorHAnsi" w:cs="Arial"/>
          <w:sz w:val="22"/>
        </w:rPr>
        <w:t>0.99</w:t>
      </w:r>
      <w:r w:rsidRPr="00912B34">
        <w:rPr>
          <w:rFonts w:asciiTheme="minorHAnsi" w:hAnsiTheme="minorHAnsi" w:cs="Arial"/>
          <w:sz w:val="22"/>
        </w:rPr>
        <w:t xml:space="preserve">, </w:t>
      </w:r>
      <w:r w:rsidR="00E64FC2">
        <w:rPr>
          <w:rFonts w:asciiTheme="minorHAnsi" w:hAnsiTheme="minorHAnsi" w:cs="Arial"/>
          <w:sz w:val="22"/>
        </w:rPr>
        <w:t>1.00</w:t>
      </w:r>
      <w:r w:rsidRPr="00912B34">
        <w:rPr>
          <w:rFonts w:asciiTheme="minorHAnsi" w:hAnsiTheme="minorHAnsi" w:cs="Arial"/>
          <w:sz w:val="22"/>
        </w:rPr>
        <w:t>) respectively.</w:t>
      </w:r>
    </w:p>
    <w:p w14:paraId="01AE7445" w14:textId="77777777" w:rsidR="000400D5" w:rsidRPr="00912B34" w:rsidRDefault="000400D5" w:rsidP="000400D5">
      <w:pPr>
        <w:spacing w:line="480" w:lineRule="auto"/>
        <w:jc w:val="both"/>
        <w:rPr>
          <w:rFonts w:asciiTheme="minorHAnsi" w:hAnsiTheme="minorHAnsi" w:cs="Arial"/>
          <w:sz w:val="22"/>
        </w:rPr>
      </w:pPr>
    </w:p>
    <w:p w14:paraId="1CAF2AE0" w14:textId="77777777" w:rsidR="000400D5" w:rsidRPr="00912B34" w:rsidRDefault="000400D5" w:rsidP="000400D5">
      <w:pPr>
        <w:spacing w:line="480" w:lineRule="auto"/>
        <w:jc w:val="both"/>
        <w:rPr>
          <w:rFonts w:asciiTheme="minorHAnsi" w:hAnsiTheme="minorHAnsi" w:cs="Arial"/>
          <w:sz w:val="22"/>
        </w:rPr>
      </w:pPr>
      <w:r w:rsidRPr="00912B34">
        <w:rPr>
          <w:rFonts w:asciiTheme="minorHAnsi" w:hAnsiTheme="minorHAnsi" w:cs="Arial"/>
          <w:sz w:val="22"/>
        </w:rPr>
        <w:t xml:space="preserve">From 1992 to 2008, the absolute difference in rates between those of definition 1 and definition 2 diverged further with time. For example, the absolute rates for definition 1 in 1992, 1996 and 2008 were 7·8, 9·4 and 14·6 per 100,000 person-years; the equivalent for definitions 2 and 3 were 4.8, 5.5 and 5.8, and 5·5, 5·7 and 5·8 respectively. </w:t>
      </w:r>
    </w:p>
    <w:p w14:paraId="070C8283" w14:textId="77777777" w:rsidR="000400D5" w:rsidRPr="00912B34" w:rsidRDefault="000400D5" w:rsidP="000400D5">
      <w:pPr>
        <w:spacing w:line="480" w:lineRule="auto"/>
        <w:jc w:val="both"/>
        <w:rPr>
          <w:rFonts w:asciiTheme="minorHAnsi" w:hAnsiTheme="minorHAnsi" w:cs="Arial"/>
          <w:sz w:val="22"/>
        </w:rPr>
      </w:pPr>
    </w:p>
    <w:p w14:paraId="05F78960" w14:textId="77777777" w:rsidR="000400D5" w:rsidRPr="00912B34" w:rsidRDefault="000400D5" w:rsidP="000400D5">
      <w:pPr>
        <w:spacing w:line="480" w:lineRule="auto"/>
        <w:jc w:val="both"/>
        <w:rPr>
          <w:rFonts w:asciiTheme="minorHAnsi" w:eastAsiaTheme="minorEastAsia" w:hAnsiTheme="minorHAnsi" w:cs="Arial"/>
          <w:sz w:val="22"/>
          <w:lang w:eastAsia="en-GB"/>
        </w:rPr>
      </w:pPr>
    </w:p>
    <w:p w14:paraId="045DDAAE" w14:textId="77777777" w:rsidR="000400D5" w:rsidRPr="00912B34" w:rsidRDefault="000400D5" w:rsidP="000400D5">
      <w:pPr>
        <w:spacing w:line="480" w:lineRule="auto"/>
        <w:jc w:val="both"/>
        <w:rPr>
          <w:rFonts w:asciiTheme="minorHAnsi" w:hAnsiTheme="minorHAnsi" w:cs="Arial"/>
          <w:b/>
          <w:sz w:val="22"/>
        </w:rPr>
      </w:pPr>
    </w:p>
    <w:p w14:paraId="1F9AFE89" w14:textId="77777777" w:rsidR="000400D5" w:rsidRPr="00912B34" w:rsidRDefault="000400D5" w:rsidP="000400D5">
      <w:pPr>
        <w:spacing w:line="480" w:lineRule="auto"/>
        <w:jc w:val="both"/>
        <w:rPr>
          <w:rFonts w:asciiTheme="minorHAnsi" w:hAnsiTheme="minorHAnsi" w:cs="Arial"/>
          <w:b/>
          <w:sz w:val="22"/>
        </w:rPr>
      </w:pPr>
      <w:r w:rsidRPr="00912B34">
        <w:rPr>
          <w:rFonts w:asciiTheme="minorHAnsi" w:hAnsiTheme="minorHAnsi" w:cs="Arial"/>
          <w:b/>
          <w:sz w:val="22"/>
        </w:rPr>
        <w:t>Change in cause of death over time</w:t>
      </w:r>
    </w:p>
    <w:p w14:paraId="18237F86" w14:textId="77777777" w:rsidR="000400D5" w:rsidRPr="00912B34" w:rsidRDefault="000400D5" w:rsidP="000400D5">
      <w:pPr>
        <w:spacing w:line="480" w:lineRule="auto"/>
        <w:jc w:val="both"/>
        <w:rPr>
          <w:rFonts w:asciiTheme="minorHAnsi" w:hAnsiTheme="minorHAnsi" w:cs="Arial"/>
          <w:sz w:val="22"/>
        </w:rPr>
      </w:pPr>
    </w:p>
    <w:p w14:paraId="24E00289" w14:textId="59639B0A" w:rsidR="000400D5" w:rsidRPr="00912B34" w:rsidRDefault="000400D5" w:rsidP="000400D5">
      <w:pPr>
        <w:spacing w:line="480" w:lineRule="auto"/>
        <w:jc w:val="both"/>
        <w:rPr>
          <w:rFonts w:asciiTheme="minorHAnsi" w:hAnsiTheme="minorHAnsi" w:cs="Arial"/>
          <w:b/>
          <w:sz w:val="22"/>
        </w:rPr>
      </w:pPr>
      <w:r w:rsidRPr="00912B34">
        <w:rPr>
          <w:rFonts w:asciiTheme="minorHAnsi" w:hAnsiTheme="minorHAnsi" w:cs="Arial"/>
          <w:sz w:val="22"/>
        </w:rPr>
        <w:t>In order to explore possible reasons for the divergence in deaths between the different definitions of disease, from 1992 and 2008, we have presented the distribution of causes of death in 1992 and 2008 per definition (Table 1).  We have not displayed the distribution for definition 2 as it is similar to that of definition 3.</w:t>
      </w:r>
    </w:p>
    <w:p w14:paraId="40CE06DB" w14:textId="77777777" w:rsidR="000400D5" w:rsidRPr="00912B34" w:rsidRDefault="000400D5" w:rsidP="000400D5">
      <w:pPr>
        <w:spacing w:before="200" w:after="240" w:line="480" w:lineRule="auto"/>
        <w:jc w:val="both"/>
        <w:outlineLvl w:val="1"/>
        <w:rPr>
          <w:rFonts w:asciiTheme="minorHAnsi" w:eastAsiaTheme="majorEastAsia" w:hAnsiTheme="minorHAnsi" w:cs="Arial"/>
          <w:bCs/>
          <w:sz w:val="22"/>
          <w:lang w:eastAsia="en-GB"/>
        </w:rPr>
      </w:pPr>
      <w:r w:rsidRPr="00912B34">
        <w:rPr>
          <w:rFonts w:asciiTheme="minorHAnsi" w:eastAsiaTheme="majorEastAsia" w:hAnsiTheme="minorHAnsi" w:cs="Arial"/>
          <w:bCs/>
          <w:sz w:val="22"/>
          <w:lang w:eastAsia="en-GB"/>
        </w:rPr>
        <w:t xml:space="preserve">In 1992, the percentage of deaths attributed to alcoholic liver damage (ICD-9 5713), which is included in definition 1 but not in definition 3, was 21·2%. This increased to 40.1% in 2008 (ICD-10 K70.9). During the same time frame, the percentage of deaths due to alcoholic cirrhosis (ICD-9 5712) decreased from 24·6% to 15·7%. In contrast, the distribution of causes of death of definition 3 did not change that dramatically. For example, 35·4% of deaths in 1992 were due to alcoholic cirrhosis of the liver (ICD-9 5712) and the equivalent proportion in 2008 was 39·4% (ICD-10 K70.3). Similarly, the proportion of deaths due to cirrhosis without mention of alcohol was 52·2% in 1992 (ICD-9 5715) and 57·5% in 2008 (ICD-10 K74.6). </w:t>
      </w:r>
    </w:p>
    <w:p w14:paraId="3AE9C52B" w14:textId="77777777" w:rsidR="000400D5" w:rsidRPr="00912B34" w:rsidRDefault="000400D5" w:rsidP="000400D5">
      <w:pPr>
        <w:spacing w:line="480" w:lineRule="auto"/>
        <w:jc w:val="both"/>
        <w:rPr>
          <w:rFonts w:asciiTheme="minorHAnsi" w:hAnsiTheme="minorHAnsi" w:cs="Arial"/>
          <w:sz w:val="22"/>
        </w:rPr>
      </w:pPr>
    </w:p>
    <w:p w14:paraId="353DD2A5" w14:textId="77777777" w:rsidR="000400D5" w:rsidRPr="00912B34" w:rsidRDefault="000400D5" w:rsidP="000400D5">
      <w:pPr>
        <w:spacing w:line="480" w:lineRule="auto"/>
        <w:jc w:val="both"/>
        <w:rPr>
          <w:rFonts w:asciiTheme="minorHAnsi" w:hAnsiTheme="minorHAnsi" w:cs="Arial"/>
          <w:b/>
          <w:sz w:val="22"/>
        </w:rPr>
      </w:pPr>
    </w:p>
    <w:p w14:paraId="1FC6DD7C" w14:textId="77777777" w:rsidR="000400D5" w:rsidRPr="00912B34" w:rsidRDefault="000400D5" w:rsidP="000400D5">
      <w:pPr>
        <w:spacing w:line="480" w:lineRule="auto"/>
        <w:jc w:val="both"/>
        <w:rPr>
          <w:rFonts w:asciiTheme="minorHAnsi" w:hAnsiTheme="minorHAnsi" w:cs="Arial"/>
          <w:b/>
          <w:sz w:val="22"/>
        </w:rPr>
      </w:pPr>
    </w:p>
    <w:p w14:paraId="2B2B93D9" w14:textId="77777777" w:rsidR="000400D5" w:rsidRPr="00912B34" w:rsidRDefault="000400D5" w:rsidP="000400D5">
      <w:pPr>
        <w:spacing w:line="480" w:lineRule="auto"/>
        <w:jc w:val="both"/>
        <w:rPr>
          <w:rFonts w:asciiTheme="minorHAnsi" w:hAnsiTheme="minorHAnsi" w:cs="Arial"/>
          <w:b/>
          <w:sz w:val="22"/>
        </w:rPr>
      </w:pPr>
    </w:p>
    <w:p w14:paraId="41D3AF58" w14:textId="77777777" w:rsidR="000400D5" w:rsidRPr="00912B34" w:rsidRDefault="000400D5" w:rsidP="000400D5">
      <w:pPr>
        <w:spacing w:line="480" w:lineRule="auto"/>
        <w:jc w:val="both"/>
        <w:rPr>
          <w:rFonts w:asciiTheme="minorHAnsi" w:hAnsiTheme="minorHAnsi" w:cs="Arial"/>
          <w:b/>
          <w:sz w:val="22"/>
        </w:rPr>
      </w:pPr>
    </w:p>
    <w:p w14:paraId="70FA8FB1" w14:textId="77777777" w:rsidR="000400D5" w:rsidRPr="00912B34" w:rsidRDefault="000400D5" w:rsidP="000400D5">
      <w:pPr>
        <w:spacing w:line="480" w:lineRule="auto"/>
        <w:jc w:val="both"/>
        <w:rPr>
          <w:rFonts w:asciiTheme="minorHAnsi" w:hAnsiTheme="minorHAnsi" w:cs="Arial"/>
          <w:b/>
          <w:sz w:val="22"/>
        </w:rPr>
      </w:pPr>
    </w:p>
    <w:p w14:paraId="57677981" w14:textId="77777777" w:rsidR="000400D5" w:rsidRPr="00912B34" w:rsidRDefault="000400D5" w:rsidP="000400D5">
      <w:pPr>
        <w:spacing w:line="480" w:lineRule="auto"/>
        <w:jc w:val="both"/>
        <w:rPr>
          <w:rFonts w:asciiTheme="minorHAnsi" w:hAnsiTheme="minorHAnsi" w:cs="Arial"/>
          <w:b/>
          <w:sz w:val="22"/>
        </w:rPr>
      </w:pPr>
    </w:p>
    <w:p w14:paraId="37AD1B9C" w14:textId="77777777" w:rsidR="000400D5" w:rsidRPr="00912B34" w:rsidRDefault="000400D5" w:rsidP="000400D5">
      <w:pPr>
        <w:spacing w:line="480" w:lineRule="auto"/>
        <w:jc w:val="both"/>
        <w:rPr>
          <w:rFonts w:asciiTheme="minorHAnsi" w:hAnsiTheme="minorHAnsi" w:cs="Arial"/>
          <w:b/>
          <w:sz w:val="22"/>
        </w:rPr>
      </w:pPr>
    </w:p>
    <w:p w14:paraId="07091009" w14:textId="77777777" w:rsidR="000400D5" w:rsidRPr="00912B34" w:rsidRDefault="000400D5" w:rsidP="000400D5">
      <w:pPr>
        <w:spacing w:line="480" w:lineRule="auto"/>
        <w:jc w:val="both"/>
        <w:rPr>
          <w:rFonts w:asciiTheme="minorHAnsi" w:hAnsiTheme="minorHAnsi" w:cs="Arial"/>
          <w:b/>
          <w:sz w:val="22"/>
        </w:rPr>
      </w:pPr>
    </w:p>
    <w:p w14:paraId="01B8CD04" w14:textId="77777777" w:rsidR="000400D5" w:rsidRPr="00912B34" w:rsidRDefault="000400D5" w:rsidP="000400D5">
      <w:pPr>
        <w:spacing w:line="480" w:lineRule="auto"/>
        <w:jc w:val="both"/>
        <w:rPr>
          <w:rFonts w:asciiTheme="minorHAnsi" w:hAnsiTheme="minorHAnsi" w:cs="Arial"/>
          <w:b/>
          <w:sz w:val="22"/>
        </w:rPr>
        <w:sectPr w:rsidR="000400D5" w:rsidRPr="00912B34" w:rsidSect="00D74BB0">
          <w:footerReference w:type="default" r:id="rId8"/>
          <w:type w:val="continuous"/>
          <w:pgSz w:w="11906" w:h="16838"/>
          <w:pgMar w:top="1440" w:right="1440" w:bottom="1440" w:left="1440" w:header="709" w:footer="709" w:gutter="0"/>
          <w:cols w:space="708"/>
          <w:docGrid w:linePitch="360"/>
        </w:sectPr>
      </w:pPr>
    </w:p>
    <w:p w14:paraId="299DB838" w14:textId="77777777" w:rsidR="000400D5" w:rsidRPr="00912B34" w:rsidRDefault="000400D5" w:rsidP="000400D5">
      <w:pPr>
        <w:spacing w:line="480" w:lineRule="auto"/>
        <w:jc w:val="both"/>
        <w:rPr>
          <w:rFonts w:asciiTheme="minorHAnsi" w:hAnsiTheme="minorHAnsi" w:cs="Arial"/>
          <w:b/>
          <w:sz w:val="22"/>
        </w:rPr>
      </w:pPr>
      <w:r w:rsidRPr="00912B34">
        <w:rPr>
          <w:rFonts w:asciiTheme="minorHAnsi" w:hAnsiTheme="minorHAnsi" w:cs="Arial"/>
          <w:b/>
          <w:sz w:val="22"/>
        </w:rPr>
        <w:t>Comparison between mortality and incidence rates</w:t>
      </w:r>
    </w:p>
    <w:p w14:paraId="22B104CE" w14:textId="77777777" w:rsidR="000400D5" w:rsidRPr="00912B34" w:rsidRDefault="000400D5" w:rsidP="000400D5">
      <w:pPr>
        <w:spacing w:line="480" w:lineRule="auto"/>
        <w:ind w:left="-284" w:firstLine="284"/>
        <w:jc w:val="both"/>
        <w:rPr>
          <w:rFonts w:asciiTheme="minorHAnsi" w:hAnsiTheme="minorHAnsi" w:cs="Arial"/>
          <w:b/>
          <w:sz w:val="22"/>
        </w:rPr>
      </w:pPr>
    </w:p>
    <w:p w14:paraId="7C120FC0" w14:textId="77777777" w:rsidR="000400D5" w:rsidRPr="00912B34" w:rsidRDefault="000400D5" w:rsidP="000400D5">
      <w:pPr>
        <w:spacing w:line="480" w:lineRule="auto"/>
        <w:jc w:val="both"/>
        <w:rPr>
          <w:rFonts w:asciiTheme="minorHAnsi" w:eastAsiaTheme="minorEastAsia" w:hAnsiTheme="minorHAnsi" w:cs="Arial"/>
          <w:sz w:val="22"/>
          <w:lang w:eastAsia="en-GB"/>
        </w:rPr>
      </w:pPr>
      <w:r w:rsidRPr="00912B34">
        <w:rPr>
          <w:rFonts w:asciiTheme="minorHAnsi" w:eastAsiaTheme="minorEastAsia" w:hAnsiTheme="minorHAnsi" w:cs="Arial"/>
          <w:sz w:val="22"/>
          <w:lang w:eastAsia="en-GB"/>
        </w:rPr>
        <w:t xml:space="preserve">In a previous study we determined the incidence of cirrhosis in England during the period 1998 to 2009 using definition 3 of </w:t>
      </w:r>
      <w:r w:rsidRPr="00912B34">
        <w:rPr>
          <w:rFonts w:asciiTheme="minorHAnsi" w:eastAsiaTheme="majorEastAsia" w:hAnsiTheme="minorHAnsi" w:cs="Arial"/>
          <w:bCs/>
          <w:sz w:val="22"/>
          <w:lang w:eastAsia="en-GB"/>
        </w:rPr>
        <w:t>cirrhosis</w:t>
      </w:r>
      <w:r w:rsidRPr="00912B34">
        <w:rPr>
          <w:rFonts w:asciiTheme="minorHAnsi" w:eastAsiaTheme="minorEastAsia" w:hAnsiTheme="minorHAnsi" w:cs="Arial"/>
          <w:sz w:val="22"/>
          <w:lang w:eastAsia="en-GB"/>
        </w:rPr>
        <w:t>.[3] These rates have been standardised to the 2011 population and inserted into Figure 1. Specifically, the standardised incidence rates were 23·4 and 35·9 per 100,000 person-years in 1998 and 2009 respectively.</w:t>
      </w:r>
      <w:r w:rsidRPr="00912B34">
        <w:rPr>
          <w:rFonts w:asciiTheme="minorHAnsi" w:eastAsiaTheme="minorEastAsia" w:hAnsiTheme="minorHAnsi" w:cs="Arial"/>
          <w:sz w:val="22"/>
          <w:vertAlign w:val="superscript"/>
          <w:lang w:eastAsia="en-GB"/>
        </w:rPr>
        <w:t xml:space="preserve"> </w:t>
      </w:r>
      <w:r w:rsidRPr="00912B34">
        <w:rPr>
          <w:rFonts w:asciiTheme="minorHAnsi" w:eastAsiaTheme="minorEastAsia" w:hAnsiTheme="minorHAnsi" w:cs="Arial"/>
          <w:sz w:val="22"/>
          <w:lang w:eastAsia="en-GB"/>
        </w:rPr>
        <w:t xml:space="preserve">This is in sharp contrast to the standardised mortality rates of 6·2 and 5·9 per 100,000 person-years in 1998 and 2009 respectively (in England and Wales). The overall rate of change between 1998 and 2009 was 50.6% for incidence, whereas mortality rates decreased by 2·5% over the same time period. The mortality rates according to definition 1 were also substantially less than the estimates of incidence; 11·1 and 13·8 per 100,000 person-years in 1998 and 2009 respectively, equating to a rate of change of only 28·9% across the period (Figure 1). </w:t>
      </w:r>
    </w:p>
    <w:p w14:paraId="5BF32C70" w14:textId="77777777" w:rsidR="000400D5" w:rsidRPr="00912B34" w:rsidRDefault="000400D5" w:rsidP="000400D5">
      <w:pPr>
        <w:spacing w:line="480" w:lineRule="auto"/>
        <w:jc w:val="both"/>
        <w:rPr>
          <w:rFonts w:asciiTheme="minorHAnsi" w:eastAsiaTheme="minorEastAsia" w:hAnsiTheme="minorHAnsi" w:cs="Arial"/>
          <w:sz w:val="22"/>
          <w:lang w:eastAsia="en-GB"/>
        </w:rPr>
      </w:pPr>
    </w:p>
    <w:p w14:paraId="1AFCAFEA" w14:textId="77777777" w:rsidR="000400D5" w:rsidRPr="00912B34" w:rsidRDefault="000400D5" w:rsidP="000400D5">
      <w:pPr>
        <w:spacing w:line="480" w:lineRule="auto"/>
        <w:jc w:val="both"/>
        <w:rPr>
          <w:rFonts w:asciiTheme="minorHAnsi" w:eastAsiaTheme="minorEastAsia" w:hAnsiTheme="minorHAnsi" w:cs="Arial"/>
          <w:sz w:val="22"/>
          <w:lang w:eastAsia="en-GB"/>
        </w:rPr>
      </w:pPr>
      <w:r w:rsidRPr="00912B34">
        <w:rPr>
          <w:rFonts w:asciiTheme="minorHAnsi" w:eastAsiaTheme="minorEastAsia" w:hAnsiTheme="minorHAnsi" w:cs="Arial"/>
          <w:sz w:val="22"/>
          <w:lang w:eastAsia="en-GB"/>
        </w:rPr>
        <w:t>For both sexes, the standardised incidence rates were between 3- and 6-fold that of mortality (definition 3), in all age-groups, across the study period (Figures 2 and 3). The incidence rates were also substantially higher than mortality rates based on definition 1, for both men and women and across all age-groups.</w:t>
      </w:r>
    </w:p>
    <w:p w14:paraId="6AF554B5" w14:textId="77777777" w:rsidR="000400D5" w:rsidRPr="00912B34" w:rsidRDefault="000400D5" w:rsidP="000400D5">
      <w:pPr>
        <w:spacing w:line="480" w:lineRule="auto"/>
        <w:jc w:val="both"/>
        <w:rPr>
          <w:rFonts w:asciiTheme="minorHAnsi" w:hAnsiTheme="minorHAnsi" w:cs="Arial"/>
          <w:b/>
          <w:sz w:val="22"/>
        </w:rPr>
        <w:sectPr w:rsidR="000400D5" w:rsidRPr="00912B34" w:rsidSect="00974D8B">
          <w:pgSz w:w="11906" w:h="16838"/>
          <w:pgMar w:top="1440" w:right="1440" w:bottom="1440" w:left="1440" w:header="709" w:footer="709" w:gutter="0"/>
          <w:cols w:space="708"/>
          <w:docGrid w:linePitch="360"/>
        </w:sectPr>
      </w:pPr>
    </w:p>
    <w:p w14:paraId="60BFA681" w14:textId="77777777" w:rsidR="000400D5" w:rsidRPr="00912B34" w:rsidRDefault="000400D5" w:rsidP="000400D5">
      <w:pPr>
        <w:spacing w:before="200" w:after="240" w:line="480" w:lineRule="auto"/>
        <w:outlineLvl w:val="1"/>
        <w:rPr>
          <w:rFonts w:asciiTheme="minorHAnsi" w:eastAsiaTheme="majorEastAsia" w:hAnsiTheme="minorHAnsi" w:cs="Arial"/>
          <w:b/>
          <w:bCs/>
          <w:sz w:val="22"/>
          <w:lang w:eastAsia="en-GB"/>
        </w:rPr>
      </w:pPr>
    </w:p>
    <w:p w14:paraId="33637B5B" w14:textId="77777777" w:rsidR="000400D5" w:rsidRPr="00912B34" w:rsidRDefault="000400D5" w:rsidP="000400D5">
      <w:pPr>
        <w:spacing w:before="200" w:after="240" w:line="480" w:lineRule="auto"/>
        <w:outlineLvl w:val="1"/>
        <w:rPr>
          <w:rFonts w:asciiTheme="minorHAnsi" w:eastAsiaTheme="majorEastAsia" w:hAnsiTheme="minorHAnsi" w:cs="Arial"/>
          <w:b/>
          <w:bCs/>
          <w:sz w:val="22"/>
          <w:lang w:eastAsia="en-GB"/>
        </w:rPr>
      </w:pPr>
    </w:p>
    <w:p w14:paraId="0A801965" w14:textId="77777777" w:rsidR="000400D5" w:rsidRPr="00912B34" w:rsidRDefault="000400D5" w:rsidP="000400D5">
      <w:pPr>
        <w:spacing w:before="200" w:after="240" w:line="480" w:lineRule="auto"/>
        <w:outlineLvl w:val="1"/>
        <w:rPr>
          <w:rFonts w:asciiTheme="minorHAnsi" w:eastAsiaTheme="majorEastAsia" w:hAnsiTheme="minorHAnsi" w:cs="Arial"/>
          <w:b/>
          <w:bCs/>
          <w:sz w:val="22"/>
          <w:lang w:eastAsia="en-GB"/>
        </w:rPr>
      </w:pPr>
    </w:p>
    <w:p w14:paraId="6F5AE82B" w14:textId="77777777" w:rsidR="000400D5" w:rsidRPr="00912B34" w:rsidRDefault="000400D5" w:rsidP="000400D5">
      <w:pPr>
        <w:spacing w:before="200" w:after="240" w:line="480" w:lineRule="auto"/>
        <w:outlineLvl w:val="1"/>
        <w:rPr>
          <w:rFonts w:asciiTheme="minorHAnsi" w:eastAsiaTheme="majorEastAsia" w:hAnsiTheme="minorHAnsi" w:cs="Arial"/>
          <w:b/>
          <w:bCs/>
          <w:sz w:val="22"/>
          <w:lang w:eastAsia="en-GB"/>
        </w:rPr>
      </w:pPr>
    </w:p>
    <w:p w14:paraId="0D89A778" w14:textId="77777777" w:rsidR="000400D5" w:rsidRPr="00912B34" w:rsidRDefault="000400D5" w:rsidP="000400D5">
      <w:pPr>
        <w:spacing w:before="200" w:after="240" w:line="480" w:lineRule="auto"/>
        <w:outlineLvl w:val="1"/>
        <w:rPr>
          <w:rFonts w:asciiTheme="minorHAnsi" w:eastAsiaTheme="majorEastAsia" w:hAnsiTheme="minorHAnsi" w:cs="Arial"/>
          <w:b/>
          <w:bCs/>
          <w:sz w:val="22"/>
          <w:lang w:eastAsia="en-GB"/>
        </w:rPr>
      </w:pPr>
    </w:p>
    <w:p w14:paraId="74EA6528" w14:textId="77777777" w:rsidR="00912B34" w:rsidRDefault="00912B34" w:rsidP="000400D5">
      <w:pPr>
        <w:spacing w:before="200" w:after="240" w:line="480" w:lineRule="auto"/>
        <w:outlineLvl w:val="1"/>
        <w:rPr>
          <w:rFonts w:asciiTheme="minorHAnsi" w:eastAsiaTheme="majorEastAsia" w:hAnsiTheme="minorHAnsi" w:cs="Arial"/>
          <w:b/>
          <w:bCs/>
          <w:caps/>
          <w:sz w:val="22"/>
          <w:lang w:eastAsia="en-GB"/>
        </w:rPr>
      </w:pPr>
    </w:p>
    <w:p w14:paraId="5F37A312" w14:textId="77777777" w:rsidR="00912B34" w:rsidRDefault="00912B34" w:rsidP="000400D5">
      <w:pPr>
        <w:spacing w:before="200" w:after="240" w:line="480" w:lineRule="auto"/>
        <w:outlineLvl w:val="1"/>
        <w:rPr>
          <w:rFonts w:asciiTheme="minorHAnsi" w:eastAsiaTheme="majorEastAsia" w:hAnsiTheme="minorHAnsi" w:cs="Arial"/>
          <w:b/>
          <w:bCs/>
          <w:caps/>
          <w:sz w:val="22"/>
          <w:lang w:eastAsia="en-GB"/>
        </w:rPr>
      </w:pPr>
    </w:p>
    <w:p w14:paraId="7477C6F9" w14:textId="77777777" w:rsidR="000400D5" w:rsidRPr="00912B34" w:rsidRDefault="000400D5" w:rsidP="000400D5">
      <w:pPr>
        <w:spacing w:before="200" w:after="240" w:line="480" w:lineRule="auto"/>
        <w:outlineLvl w:val="1"/>
        <w:rPr>
          <w:rFonts w:asciiTheme="minorHAnsi" w:eastAsiaTheme="majorEastAsia" w:hAnsiTheme="minorHAnsi" w:cs="Arial"/>
          <w:b/>
          <w:bCs/>
          <w:caps/>
          <w:sz w:val="22"/>
          <w:lang w:eastAsia="en-GB"/>
        </w:rPr>
      </w:pPr>
      <w:r w:rsidRPr="00912B34">
        <w:rPr>
          <w:rFonts w:asciiTheme="minorHAnsi" w:eastAsiaTheme="majorEastAsia" w:hAnsiTheme="minorHAnsi" w:cs="Arial"/>
          <w:b/>
          <w:bCs/>
          <w:caps/>
          <w:sz w:val="22"/>
          <w:lang w:eastAsia="en-GB"/>
        </w:rPr>
        <w:t>Discussion</w:t>
      </w:r>
    </w:p>
    <w:p w14:paraId="32192BB4" w14:textId="77777777" w:rsidR="000400D5" w:rsidRPr="00912B34" w:rsidRDefault="000400D5" w:rsidP="000400D5">
      <w:pPr>
        <w:spacing w:before="200" w:after="240" w:line="480" w:lineRule="auto"/>
        <w:outlineLvl w:val="2"/>
        <w:rPr>
          <w:rFonts w:asciiTheme="minorHAnsi" w:eastAsia="Arial Unicode MS" w:hAnsiTheme="minorHAnsi" w:cs="Arial"/>
          <w:b/>
          <w:bCs/>
          <w:kern w:val="1"/>
          <w:sz w:val="22"/>
          <w:lang w:eastAsia="ar-SA"/>
        </w:rPr>
      </w:pPr>
      <w:r w:rsidRPr="00912B34">
        <w:rPr>
          <w:rFonts w:asciiTheme="minorHAnsi" w:eastAsia="Arial Unicode MS" w:hAnsiTheme="minorHAnsi" w:cs="Arial"/>
          <w:b/>
          <w:bCs/>
          <w:kern w:val="1"/>
          <w:sz w:val="22"/>
          <w:lang w:eastAsia="ar-SA"/>
        </w:rPr>
        <w:t>Main findings</w:t>
      </w:r>
    </w:p>
    <w:p w14:paraId="0AAE6BF0" w14:textId="77777777" w:rsidR="000400D5" w:rsidRPr="00912B34" w:rsidRDefault="000400D5" w:rsidP="000400D5">
      <w:pPr>
        <w:spacing w:line="480" w:lineRule="auto"/>
        <w:jc w:val="both"/>
        <w:rPr>
          <w:rFonts w:asciiTheme="minorHAnsi" w:eastAsia="Arial Unicode MS" w:hAnsiTheme="minorHAnsi" w:cs="Arial"/>
          <w:kern w:val="2"/>
          <w:sz w:val="22"/>
          <w:lang w:eastAsia="ar-SA"/>
        </w:rPr>
      </w:pPr>
      <w:r w:rsidRPr="00912B34">
        <w:rPr>
          <w:rFonts w:asciiTheme="minorHAnsi" w:eastAsiaTheme="minorEastAsia" w:hAnsiTheme="minorHAnsi" w:cs="Arial"/>
          <w:sz w:val="22"/>
          <w:lang w:eastAsia="en-GB"/>
        </w:rPr>
        <w:t xml:space="preserve">We found that both the absolute and relative </w:t>
      </w:r>
      <w:r w:rsidRPr="00912B34">
        <w:rPr>
          <w:rFonts w:asciiTheme="minorHAnsi" w:eastAsiaTheme="majorEastAsia" w:hAnsiTheme="minorHAnsi" w:cs="Arial"/>
          <w:bCs/>
          <w:sz w:val="22"/>
          <w:lang w:eastAsia="en-GB"/>
        </w:rPr>
        <w:t xml:space="preserve">cirrhosis </w:t>
      </w:r>
      <w:r w:rsidRPr="00912B34">
        <w:rPr>
          <w:rFonts w:asciiTheme="minorHAnsi" w:eastAsiaTheme="minorEastAsia" w:hAnsiTheme="minorHAnsi" w:cs="Arial"/>
          <w:sz w:val="22"/>
          <w:lang w:eastAsia="en-GB"/>
        </w:rPr>
        <w:t xml:space="preserve">mortality rates varied with differing disease definition. The overall age-standardised mortality rates during 1968 to 2011 were 8·8, 5·1 and 5·4 per 100,000 person-years for definitions 1 to 3 respectively.  </w:t>
      </w:r>
      <w:r w:rsidRPr="00912B34">
        <w:rPr>
          <w:rFonts w:asciiTheme="minorHAnsi" w:eastAsia="Arial Unicode MS" w:hAnsiTheme="minorHAnsi" w:cs="Arial"/>
          <w:kern w:val="2"/>
          <w:sz w:val="22"/>
          <w:lang w:eastAsia="ar-SA"/>
        </w:rPr>
        <w:t xml:space="preserve">Careful consideration should be taken when selecting diagnostic codes for </w:t>
      </w:r>
      <w:r w:rsidRPr="00912B34">
        <w:rPr>
          <w:rFonts w:asciiTheme="minorHAnsi" w:eastAsiaTheme="majorEastAsia" w:hAnsiTheme="minorHAnsi" w:cs="Arial"/>
          <w:bCs/>
          <w:sz w:val="22"/>
          <w:lang w:eastAsia="en-GB"/>
        </w:rPr>
        <w:t xml:space="preserve">cirrhosis </w:t>
      </w:r>
      <w:r w:rsidRPr="00912B34">
        <w:rPr>
          <w:rFonts w:asciiTheme="minorHAnsi" w:eastAsia="Arial Unicode MS" w:hAnsiTheme="minorHAnsi" w:cs="Arial"/>
          <w:kern w:val="2"/>
          <w:sz w:val="22"/>
          <w:lang w:eastAsia="ar-SA"/>
        </w:rPr>
        <w:t xml:space="preserve">so that they are in line with the research question and research wastage is minimised. Further, </w:t>
      </w:r>
      <w:r w:rsidRPr="00912B34">
        <w:rPr>
          <w:rFonts w:asciiTheme="minorHAnsi" w:eastAsiaTheme="minorEastAsia" w:hAnsiTheme="minorHAnsi" w:cs="Arial"/>
          <w:sz w:val="22"/>
          <w:lang w:eastAsia="en-GB"/>
        </w:rPr>
        <w:t xml:space="preserve">using different routinely available clinical datasets we have previously demonstrated that between 1998 and 2009 the incidence of </w:t>
      </w:r>
      <w:r w:rsidRPr="00912B34">
        <w:rPr>
          <w:rFonts w:asciiTheme="minorHAnsi" w:eastAsiaTheme="majorEastAsia" w:hAnsiTheme="minorHAnsi" w:cs="Arial"/>
          <w:bCs/>
          <w:sz w:val="22"/>
          <w:lang w:eastAsia="en-GB"/>
        </w:rPr>
        <w:t xml:space="preserve">cirrhosis </w:t>
      </w:r>
      <w:r w:rsidRPr="00912B34">
        <w:rPr>
          <w:rFonts w:asciiTheme="minorHAnsi" w:eastAsiaTheme="minorEastAsia" w:hAnsiTheme="minorHAnsi" w:cs="Arial"/>
          <w:sz w:val="22"/>
          <w:lang w:eastAsia="en-GB"/>
        </w:rPr>
        <w:t xml:space="preserve">increased by 50·6% which is in contrast to a decrease in mortality from </w:t>
      </w:r>
      <w:r w:rsidRPr="00912B34">
        <w:rPr>
          <w:rFonts w:asciiTheme="minorHAnsi" w:eastAsiaTheme="majorEastAsia" w:hAnsiTheme="minorHAnsi" w:cs="Arial"/>
          <w:bCs/>
          <w:sz w:val="22"/>
          <w:lang w:eastAsia="en-GB"/>
        </w:rPr>
        <w:t xml:space="preserve">cirrhosis </w:t>
      </w:r>
      <w:r w:rsidRPr="00912B34">
        <w:rPr>
          <w:rFonts w:asciiTheme="minorHAnsi" w:eastAsiaTheme="minorEastAsia" w:hAnsiTheme="minorHAnsi" w:cs="Arial"/>
          <w:sz w:val="22"/>
          <w:lang w:eastAsia="en-GB"/>
        </w:rPr>
        <w:t>of 2·5% based on the same definition of disease.[3]</w:t>
      </w:r>
      <w:r w:rsidRPr="00912B34">
        <w:rPr>
          <w:rFonts w:asciiTheme="minorHAnsi" w:eastAsiaTheme="minorEastAsia" w:hAnsiTheme="minorHAnsi" w:cs="Arial"/>
          <w:sz w:val="22"/>
          <w:vertAlign w:val="superscript"/>
          <w:lang w:eastAsia="en-GB"/>
        </w:rPr>
        <w:t xml:space="preserve"> </w:t>
      </w:r>
      <w:r w:rsidRPr="00912B34">
        <w:rPr>
          <w:rFonts w:asciiTheme="minorHAnsi" w:eastAsiaTheme="majorEastAsia" w:hAnsiTheme="minorHAnsi" w:cs="Arial"/>
          <w:bCs/>
          <w:sz w:val="22"/>
          <w:lang w:eastAsia="en-GB"/>
        </w:rPr>
        <w:t xml:space="preserve">Cirrhosis </w:t>
      </w:r>
      <w:r w:rsidRPr="00912B34">
        <w:rPr>
          <w:rFonts w:asciiTheme="minorHAnsi" w:eastAsiaTheme="minorEastAsia" w:hAnsiTheme="minorHAnsi" w:cs="Arial"/>
          <w:sz w:val="22"/>
          <w:lang w:eastAsia="en-GB"/>
        </w:rPr>
        <w:t xml:space="preserve">incidence rates were consistently higher than mortality rates, at least three-fold between 1998 and 2009, independent of age and sex. Mortality rates should therefore not be used alone to monitor the occurrence of </w:t>
      </w:r>
      <w:r w:rsidRPr="00912B34">
        <w:rPr>
          <w:rFonts w:asciiTheme="minorHAnsi" w:eastAsiaTheme="majorEastAsia" w:hAnsiTheme="minorHAnsi" w:cs="Arial"/>
          <w:bCs/>
          <w:sz w:val="22"/>
          <w:lang w:eastAsia="en-GB"/>
        </w:rPr>
        <w:t>cirrhosis</w:t>
      </w:r>
      <w:r w:rsidRPr="00912B34">
        <w:rPr>
          <w:rFonts w:asciiTheme="minorHAnsi" w:eastAsiaTheme="minorEastAsia" w:hAnsiTheme="minorHAnsi" w:cs="Arial"/>
          <w:sz w:val="22"/>
          <w:lang w:eastAsia="en-GB"/>
        </w:rPr>
        <w:t xml:space="preserve">; </w:t>
      </w:r>
      <w:r w:rsidRPr="00912B34">
        <w:rPr>
          <w:rFonts w:asciiTheme="minorHAnsi" w:eastAsia="Arial Unicode MS" w:hAnsiTheme="minorHAnsi" w:cs="Arial"/>
          <w:kern w:val="2"/>
          <w:sz w:val="22"/>
          <w:lang w:eastAsia="ar-SA"/>
        </w:rPr>
        <w:t>alternative sources of routinely collected data should be considered.</w:t>
      </w:r>
    </w:p>
    <w:p w14:paraId="606F9DF8" w14:textId="77777777" w:rsidR="000400D5" w:rsidRPr="00912B34" w:rsidRDefault="000400D5" w:rsidP="000400D5">
      <w:pPr>
        <w:spacing w:line="480" w:lineRule="auto"/>
        <w:jc w:val="both"/>
        <w:rPr>
          <w:rFonts w:asciiTheme="minorHAnsi" w:eastAsiaTheme="minorEastAsia" w:hAnsiTheme="minorHAnsi" w:cs="Arial"/>
          <w:sz w:val="22"/>
          <w:lang w:eastAsia="en-GB"/>
        </w:rPr>
      </w:pPr>
    </w:p>
    <w:p w14:paraId="350C0D62" w14:textId="77777777" w:rsidR="000400D5" w:rsidRPr="00912B34" w:rsidRDefault="000400D5" w:rsidP="000400D5">
      <w:pPr>
        <w:spacing w:line="480" w:lineRule="auto"/>
        <w:rPr>
          <w:rFonts w:asciiTheme="minorHAnsi" w:eastAsiaTheme="minorEastAsia" w:hAnsiTheme="minorHAnsi" w:cs="Arial"/>
          <w:sz w:val="22"/>
          <w:lang w:eastAsia="en-GB"/>
        </w:rPr>
      </w:pPr>
      <w:r w:rsidRPr="00912B34">
        <w:rPr>
          <w:rFonts w:asciiTheme="minorHAnsi" w:eastAsia="Arial Unicode MS" w:hAnsiTheme="minorHAnsi" w:cs="Arial"/>
          <w:b/>
          <w:bCs/>
          <w:kern w:val="1"/>
          <w:sz w:val="22"/>
          <w:lang w:eastAsia="ar-SA"/>
        </w:rPr>
        <w:t>Strengths and limitations</w:t>
      </w:r>
    </w:p>
    <w:p w14:paraId="2A6A3DB9" w14:textId="77777777" w:rsidR="000400D5" w:rsidRPr="00912B34" w:rsidRDefault="000400D5" w:rsidP="000400D5">
      <w:pPr>
        <w:spacing w:line="480" w:lineRule="auto"/>
        <w:jc w:val="both"/>
        <w:rPr>
          <w:rFonts w:asciiTheme="minorHAnsi" w:eastAsiaTheme="minorEastAsia" w:hAnsiTheme="minorHAnsi" w:cs="Arial"/>
          <w:sz w:val="22"/>
          <w:lang w:eastAsia="en-GB"/>
        </w:rPr>
      </w:pPr>
      <w:r w:rsidRPr="00912B34">
        <w:rPr>
          <w:rFonts w:asciiTheme="minorHAnsi" w:eastAsiaTheme="minorEastAsia" w:hAnsiTheme="minorHAnsi" w:cs="Arial"/>
          <w:sz w:val="22"/>
          <w:lang w:eastAsia="en-GB"/>
        </w:rPr>
        <w:t xml:space="preserve">This is the first study to quantify the difference in </w:t>
      </w:r>
      <w:r w:rsidRPr="00912B34">
        <w:rPr>
          <w:rFonts w:asciiTheme="minorHAnsi" w:eastAsiaTheme="majorEastAsia" w:hAnsiTheme="minorHAnsi" w:cs="Arial"/>
          <w:bCs/>
          <w:sz w:val="22"/>
          <w:lang w:eastAsia="en-GB"/>
        </w:rPr>
        <w:t xml:space="preserve">cirrhosis </w:t>
      </w:r>
      <w:r w:rsidRPr="00912B34">
        <w:rPr>
          <w:rFonts w:asciiTheme="minorHAnsi" w:eastAsiaTheme="minorEastAsia" w:hAnsiTheme="minorHAnsi" w:cs="Arial"/>
          <w:sz w:val="22"/>
          <w:lang w:eastAsia="en-GB"/>
        </w:rPr>
        <w:t xml:space="preserve">mortality rates by differing definitions of disease and the first to compare cirrhosis mortality and incidence rates using the same definition of disease.  Key strengths of the study are its external validity, the large number of registered deaths, and the long period of time that the data were obtained over. The latter meant that we were able to report trends of mortality rates for a period of more than forty years. A potential limitation of death registry data is the change in coding practice over time, known as coding phenomenon.  The change in rate of specific causes of death over time could be due to the use of different ICD versions throughout the study period rather than a true change. For example, the sharp increase in the number of liver disease deaths (definition) 1, after 1979, when ICD-9 came into use; followed by a reduction in the rate of change from 2001 onwards when ICD-10 came into place. This phenomenon has been reported by others.[20] Coding phenomenon also occurs when doctors change the way they select codes on death certificates. For example, over time doctors may be more likely to use codes for alcoholic liver disease even in the presence of alcoholic cirrhosis. This may explain the increase in deaths coded as alcoholic liver damage in contrast to the fall in deaths coded for alcoholic cirrhosis, which we report in this study. Despite the potential changes in coding practice over time, mortality rates using the broadest definition of liver disease are still dramatically lower than the incidence rates of cirrhosis reported using a relatively restricted definition.  </w:t>
      </w:r>
      <w:r w:rsidRPr="00912B34">
        <w:rPr>
          <w:rFonts w:asciiTheme="minorHAnsi" w:eastAsia="Arial Unicode MS" w:hAnsiTheme="minorHAnsi" w:cs="Arial"/>
          <w:bCs/>
          <w:kern w:val="1"/>
          <w:sz w:val="22"/>
          <w:lang w:eastAsia="ar-SA"/>
        </w:rPr>
        <w:t>Finally, the ONS data cover deaths in England and Wales combined whereas the incidence data are based solely on English general practices so we are not exactly comparing like with like. However, given similar liver disease mortality in England and Wales,[21] if death registry data for England only were available and had been used  the discrepancy between mortality and incidence would highly unlikely be less than that which we report and our conclusions would remain the same.</w:t>
      </w:r>
    </w:p>
    <w:p w14:paraId="48CEA2DF" w14:textId="77777777" w:rsidR="000400D5" w:rsidRPr="00912B34" w:rsidRDefault="000400D5" w:rsidP="000400D5">
      <w:pPr>
        <w:spacing w:before="200" w:after="240" w:line="480" w:lineRule="auto"/>
        <w:jc w:val="both"/>
        <w:outlineLvl w:val="2"/>
        <w:rPr>
          <w:rFonts w:asciiTheme="minorHAnsi" w:eastAsia="Arial Unicode MS" w:hAnsiTheme="minorHAnsi" w:cs="Arial"/>
          <w:b/>
          <w:bCs/>
          <w:kern w:val="1"/>
          <w:sz w:val="22"/>
          <w:lang w:eastAsia="ar-SA"/>
        </w:rPr>
      </w:pPr>
    </w:p>
    <w:p w14:paraId="3A4B157C" w14:textId="77777777" w:rsidR="000400D5" w:rsidRPr="00912B34" w:rsidRDefault="000400D5" w:rsidP="000400D5">
      <w:pPr>
        <w:spacing w:before="200" w:after="240" w:line="480" w:lineRule="auto"/>
        <w:jc w:val="both"/>
        <w:outlineLvl w:val="2"/>
        <w:rPr>
          <w:rFonts w:asciiTheme="minorHAnsi" w:eastAsia="Arial Unicode MS" w:hAnsiTheme="minorHAnsi" w:cs="Arial"/>
          <w:b/>
          <w:bCs/>
          <w:kern w:val="1"/>
          <w:sz w:val="22"/>
          <w:lang w:eastAsia="ar-SA"/>
        </w:rPr>
      </w:pPr>
      <w:r w:rsidRPr="00912B34">
        <w:rPr>
          <w:rFonts w:asciiTheme="minorHAnsi" w:eastAsia="Arial Unicode MS" w:hAnsiTheme="minorHAnsi" w:cs="Arial"/>
          <w:b/>
          <w:bCs/>
          <w:kern w:val="1"/>
          <w:sz w:val="22"/>
          <w:lang w:eastAsia="ar-SA"/>
        </w:rPr>
        <w:t>Implications</w:t>
      </w:r>
    </w:p>
    <w:p w14:paraId="6D841308" w14:textId="30BCF0A5" w:rsidR="000400D5" w:rsidRPr="00912B34" w:rsidRDefault="000400D5" w:rsidP="000400D5">
      <w:pPr>
        <w:spacing w:line="480" w:lineRule="auto"/>
        <w:jc w:val="both"/>
        <w:rPr>
          <w:rFonts w:asciiTheme="minorHAnsi" w:eastAsiaTheme="minorEastAsia" w:hAnsiTheme="minorHAnsi" w:cs="Arial"/>
          <w:sz w:val="22"/>
          <w:lang w:eastAsia="en-GB"/>
        </w:rPr>
      </w:pPr>
      <w:r w:rsidRPr="00912B34">
        <w:rPr>
          <w:rFonts w:asciiTheme="minorHAnsi" w:eastAsiaTheme="minorEastAsia" w:hAnsiTheme="minorHAnsi" w:cs="Arial"/>
          <w:sz w:val="22"/>
          <w:lang w:eastAsia="en-GB"/>
        </w:rPr>
        <w:t xml:space="preserve">Our findings provide evidence that using mortality data alone to measure the occurrence of </w:t>
      </w:r>
      <w:r w:rsidRPr="00912B34">
        <w:rPr>
          <w:rFonts w:asciiTheme="minorHAnsi" w:eastAsiaTheme="majorEastAsia" w:hAnsiTheme="minorHAnsi" w:cs="Arial"/>
          <w:bCs/>
          <w:sz w:val="22"/>
          <w:lang w:eastAsia="en-GB"/>
        </w:rPr>
        <w:t xml:space="preserve">cirrhosis </w:t>
      </w:r>
      <w:r w:rsidRPr="00912B34">
        <w:rPr>
          <w:rFonts w:asciiTheme="minorHAnsi" w:eastAsiaTheme="minorEastAsia" w:hAnsiTheme="minorHAnsi" w:cs="Arial"/>
          <w:sz w:val="22"/>
          <w:lang w:eastAsia="en-GB"/>
        </w:rPr>
        <w:t xml:space="preserve">could have major implications on healthcare planning. Given the sharp rise in </w:t>
      </w:r>
      <w:r w:rsidRPr="00912B34">
        <w:rPr>
          <w:rFonts w:asciiTheme="minorHAnsi" w:eastAsiaTheme="majorEastAsia" w:hAnsiTheme="minorHAnsi" w:cs="Arial"/>
          <w:bCs/>
          <w:sz w:val="22"/>
          <w:lang w:eastAsia="en-GB"/>
        </w:rPr>
        <w:t xml:space="preserve">cirrhosis </w:t>
      </w:r>
      <w:r w:rsidRPr="00912B34">
        <w:rPr>
          <w:rFonts w:asciiTheme="minorHAnsi" w:eastAsiaTheme="minorEastAsia" w:hAnsiTheme="minorHAnsi" w:cs="Arial"/>
          <w:sz w:val="22"/>
          <w:lang w:eastAsia="en-GB"/>
        </w:rPr>
        <w:t xml:space="preserve">incidence in the last decade that is not visible from mortality statistics, the NHS may well be under resourced and unable to cope with future demand on hepatology clinics. Mortality and incidence are two very different measures of disease burden.  If only cirrhosis which leads to death from cirrhosis is of importance to clinicians and policy makers then measuring mortality is indeed the more appropriate measure.  However if we are truly concerned with measuring the occurrence of cirrhosis and/or the impact of public health intervention strategies then incidence rates are crucial.  When establishing the success of public health interventions aimed at reducing new disease, such as alcohol policies and healthy eating campaigns it is essential to set targets for incidence to determine if these sorts of interventions have been effective or not. Evaluation of such interventions needs to account for the long sojourn between disease onset and fibrosis/cirrhosis, which can take between 10 and 30 years.[22] Mortality is even further away therefore even less relevant a measure than incidence. The study by Leon et al.[14] (definition 1) used mortality rates as they were believed to be important indicators of population levels of alcohol harm. </w:t>
      </w:r>
      <w:r w:rsidRPr="006F547B">
        <w:rPr>
          <w:rFonts w:asciiTheme="minorHAnsi" w:eastAsiaTheme="minorEastAsia" w:hAnsiTheme="minorHAnsi" w:cs="Arial"/>
          <w:sz w:val="22"/>
          <w:lang w:eastAsia="en-GB"/>
        </w:rPr>
        <w:t xml:space="preserve">However, our findings suggest that the use of incidence rates would have been more indicative. </w:t>
      </w:r>
      <w:r w:rsidR="00CD6A04" w:rsidRPr="006F547B">
        <w:rPr>
          <w:rFonts w:asciiTheme="minorHAnsi" w:eastAsiaTheme="minorEastAsia" w:hAnsiTheme="minorHAnsi" w:cs="Arial"/>
          <w:sz w:val="22"/>
          <w:lang w:eastAsia="en-GB"/>
        </w:rPr>
        <w:t xml:space="preserve">Finally, </w:t>
      </w:r>
      <w:r w:rsidR="006A42B9" w:rsidRPr="006F547B">
        <w:rPr>
          <w:rFonts w:asciiTheme="minorHAnsi" w:hAnsiTheme="minorHAnsi" w:cs="Times New Roman"/>
          <w:sz w:val="22"/>
        </w:rPr>
        <w:t xml:space="preserve">differences </w:t>
      </w:r>
      <w:r w:rsidR="00CD6A04" w:rsidRPr="006F547B">
        <w:rPr>
          <w:rFonts w:asciiTheme="minorHAnsi" w:hAnsiTheme="minorHAnsi" w:cs="Times New Roman"/>
          <w:sz w:val="22"/>
        </w:rPr>
        <w:t>in incidence and mortality could be</w:t>
      </w:r>
      <w:r w:rsidR="006A42B9" w:rsidRPr="006F547B">
        <w:rPr>
          <w:rFonts w:asciiTheme="minorHAnsi" w:hAnsiTheme="minorHAnsi" w:cs="Times New Roman"/>
          <w:sz w:val="22"/>
        </w:rPr>
        <w:t xml:space="preserve"> partially</w:t>
      </w:r>
      <w:r w:rsidR="00CD6A04" w:rsidRPr="006F547B">
        <w:rPr>
          <w:rFonts w:asciiTheme="minorHAnsi" w:hAnsiTheme="minorHAnsi" w:cs="Times New Roman"/>
          <w:sz w:val="22"/>
        </w:rPr>
        <w:t xml:space="preserve"> due to improvement in treatment and care of chronic liver disease</w:t>
      </w:r>
      <w:r w:rsidR="006A42B9" w:rsidRPr="006F547B">
        <w:rPr>
          <w:rFonts w:asciiTheme="minorHAnsi" w:hAnsiTheme="minorHAnsi" w:cs="Times New Roman"/>
          <w:sz w:val="22"/>
        </w:rPr>
        <w:t xml:space="preserve">, </w:t>
      </w:r>
      <w:r w:rsidR="00CD6A04" w:rsidRPr="006F547B">
        <w:rPr>
          <w:rFonts w:asciiTheme="minorHAnsi" w:hAnsiTheme="minorHAnsi" w:cs="Times New Roman"/>
          <w:sz w:val="22"/>
        </w:rPr>
        <w:t>if anything this means that with improving treatment mortality becomes an even worse proxy measure of burden</w:t>
      </w:r>
      <w:r w:rsidR="006A42B9" w:rsidRPr="006F547B">
        <w:rPr>
          <w:rFonts w:asciiTheme="minorHAnsi" w:hAnsiTheme="minorHAnsi" w:cs="Times New Roman"/>
          <w:sz w:val="22"/>
        </w:rPr>
        <w:t>.</w:t>
      </w:r>
      <w:r w:rsidR="00CD6A04" w:rsidRPr="006F547B">
        <w:rPr>
          <w:rFonts w:asciiTheme="minorHAnsi" w:eastAsiaTheme="minorEastAsia" w:hAnsiTheme="minorHAnsi" w:cs="Arial"/>
          <w:sz w:val="22"/>
          <w:lang w:eastAsia="en-GB"/>
        </w:rPr>
        <w:t xml:space="preserve"> </w:t>
      </w:r>
      <w:r w:rsidRPr="006F547B">
        <w:rPr>
          <w:rFonts w:asciiTheme="minorHAnsi" w:eastAsiaTheme="minorEastAsia" w:hAnsiTheme="minorHAnsi" w:cs="Arial"/>
          <w:sz w:val="22"/>
          <w:lang w:eastAsia="en-GB"/>
        </w:rPr>
        <w:t xml:space="preserve">One recommendation for future work, from this study, is to measure the incidence of </w:t>
      </w:r>
      <w:r w:rsidRPr="006F547B">
        <w:rPr>
          <w:rFonts w:asciiTheme="minorHAnsi" w:eastAsiaTheme="majorEastAsia" w:hAnsiTheme="minorHAnsi" w:cs="Arial"/>
          <w:bCs/>
          <w:sz w:val="22"/>
          <w:lang w:eastAsia="en-GB"/>
        </w:rPr>
        <w:t>cirrhosis</w:t>
      </w:r>
      <w:r w:rsidRPr="006F547B">
        <w:rPr>
          <w:rFonts w:asciiTheme="minorHAnsi" w:eastAsiaTheme="minorEastAsia" w:hAnsiTheme="minorHAnsi" w:cs="Arial"/>
          <w:sz w:val="22"/>
          <w:lang w:eastAsia="en-GB"/>
        </w:rPr>
        <w:t xml:space="preserve"> by using routinely collected healthcare data often known as ‘Big Data’. Such data are becoming increasingly </w:t>
      </w:r>
      <w:r w:rsidRPr="00912B34">
        <w:rPr>
          <w:rFonts w:asciiTheme="minorHAnsi" w:eastAsiaTheme="minorEastAsia" w:hAnsiTheme="minorHAnsi" w:cs="Arial"/>
          <w:sz w:val="22"/>
          <w:lang w:eastAsia="en-GB"/>
        </w:rPr>
        <w:t xml:space="preserve">familiar and accepted in hepatology with, for example, the recent Lancet Commission recommending non-alcoholic fatty liver disease prevalence be measured by establishing a cohort from primary care data.[1]  </w:t>
      </w:r>
      <w:r w:rsidRPr="00912B34">
        <w:rPr>
          <w:rFonts w:asciiTheme="minorHAnsi" w:eastAsia="MS Mincho" w:hAnsiTheme="minorHAnsi" w:cs="Arial"/>
          <w:sz w:val="22"/>
          <w:lang w:eastAsia="en-GB"/>
        </w:rPr>
        <w:t xml:space="preserve">The strengths of using routinely collected data are from methodological and cost-effectiveness perspectives. Firstly, the recent linkage of primary care and secondary care allows a representative cohort of patients covering the full spectrum of disease to be identified, representative of the English population.[3,23] Secondly, accessing large amounts of routinely collected data for chronic diseases is substantially cheaper than establishing a bespoke prospective cohort of patients and following them potentially for several decades. </w:t>
      </w:r>
      <w:r w:rsidRPr="00912B34">
        <w:rPr>
          <w:rFonts w:asciiTheme="minorHAnsi" w:eastAsiaTheme="minorEastAsia" w:hAnsiTheme="minorHAnsi" w:cs="Arial"/>
          <w:sz w:val="22"/>
          <w:lang w:eastAsia="en-GB"/>
        </w:rPr>
        <w:t>Similar discrepancies between mortality and incidence figures have been shown in other diseases for which there is no mandatory recording such as idiopathic pulmonary fibrosis.[24] Routinely collected data may be appropriate to measure the incidence of this condition too.</w:t>
      </w:r>
    </w:p>
    <w:p w14:paraId="7EDB03B4" w14:textId="77777777" w:rsidR="000400D5" w:rsidRPr="00912B34" w:rsidRDefault="000400D5" w:rsidP="000400D5">
      <w:pPr>
        <w:spacing w:line="480" w:lineRule="auto"/>
        <w:jc w:val="both"/>
        <w:rPr>
          <w:rFonts w:asciiTheme="minorHAnsi" w:eastAsia="MS Mincho" w:hAnsiTheme="minorHAnsi" w:cs="Arial"/>
          <w:sz w:val="22"/>
          <w:lang w:eastAsia="en-GB"/>
        </w:rPr>
      </w:pPr>
    </w:p>
    <w:p w14:paraId="3329FC83" w14:textId="47E56833" w:rsidR="0079706F" w:rsidRPr="006F547B" w:rsidRDefault="000400D5" w:rsidP="000400D5">
      <w:pPr>
        <w:spacing w:line="480" w:lineRule="auto"/>
        <w:jc w:val="both"/>
        <w:rPr>
          <w:rFonts w:asciiTheme="minorHAnsi" w:eastAsia="MS Mincho" w:hAnsiTheme="minorHAnsi" w:cs="Arial"/>
          <w:sz w:val="22"/>
          <w:lang w:eastAsia="en-GB"/>
        </w:rPr>
      </w:pPr>
      <w:r w:rsidRPr="00912B34">
        <w:rPr>
          <w:rFonts w:asciiTheme="minorHAnsi" w:eastAsia="MS Mincho" w:hAnsiTheme="minorHAnsi" w:cs="Arial"/>
          <w:sz w:val="22"/>
          <w:lang w:eastAsia="en-GB"/>
        </w:rPr>
        <w:t xml:space="preserve">The second implication of our findings is the necessity of careful consideration of disease definition. We have shown that the inclusion of patients who died from chronic liver diseases introduced an overestimate of </w:t>
      </w:r>
      <w:r w:rsidRPr="00912B34">
        <w:rPr>
          <w:rFonts w:asciiTheme="minorHAnsi" w:eastAsiaTheme="majorEastAsia" w:hAnsiTheme="minorHAnsi" w:cs="Arial"/>
          <w:bCs/>
          <w:sz w:val="22"/>
          <w:lang w:eastAsia="en-GB"/>
        </w:rPr>
        <w:t xml:space="preserve">cirrhosis </w:t>
      </w:r>
      <w:r w:rsidRPr="00912B34">
        <w:rPr>
          <w:rFonts w:asciiTheme="minorHAnsi" w:eastAsia="MS Mincho" w:hAnsiTheme="minorHAnsi" w:cs="Arial"/>
          <w:sz w:val="22"/>
          <w:lang w:eastAsia="en-GB"/>
        </w:rPr>
        <w:t>mortality rates, by about 60%, comparing definitions 1 and 3 (8·8 per 100,000 vs. 5·4, respectively). Definition 1 included codes related to alcoholic liver disease such as alcoholic fatty liver disease (K70.0) and alcohol liver disease (K70.9)</w:t>
      </w:r>
      <w:r w:rsidR="00E00072">
        <w:rPr>
          <w:rFonts w:asciiTheme="minorHAnsi" w:eastAsia="MS Mincho" w:hAnsiTheme="minorHAnsi" w:cs="Arial"/>
          <w:sz w:val="22"/>
          <w:lang w:eastAsia="en-GB"/>
        </w:rPr>
        <w:t xml:space="preserve"> (the latter contributed 40% of ‘Definition 1’ deaths in 2008 ) </w:t>
      </w:r>
      <w:r w:rsidRPr="00912B34">
        <w:rPr>
          <w:rFonts w:asciiTheme="minorHAnsi" w:eastAsia="MS Mincho" w:hAnsiTheme="minorHAnsi" w:cs="Arial"/>
          <w:sz w:val="22"/>
          <w:lang w:eastAsia="en-GB"/>
        </w:rPr>
        <w:t>, as well as autoimmune diseases</w:t>
      </w:r>
      <w:r w:rsidR="00E00072">
        <w:rPr>
          <w:rFonts w:asciiTheme="minorHAnsi" w:eastAsia="MS Mincho" w:hAnsiTheme="minorHAnsi" w:cs="Arial"/>
          <w:sz w:val="22"/>
          <w:lang w:eastAsia="en-GB"/>
        </w:rPr>
        <w:t>, which were not included in Definition 3</w:t>
      </w:r>
      <w:r w:rsidRPr="00912B34">
        <w:rPr>
          <w:rFonts w:asciiTheme="minorHAnsi" w:eastAsia="MS Mincho" w:hAnsiTheme="minorHAnsi" w:cs="Arial"/>
          <w:sz w:val="22"/>
          <w:lang w:eastAsia="en-GB"/>
        </w:rPr>
        <w:t xml:space="preserve">. With respect to alcoholic liver disease, some patients  with this condition can fluctuate between alcoholic fatty liver and alcoholic hepatitis and not actually completely progress to </w:t>
      </w:r>
      <w:r w:rsidRPr="00912B34">
        <w:rPr>
          <w:rFonts w:asciiTheme="minorHAnsi" w:eastAsiaTheme="majorEastAsia" w:hAnsiTheme="minorHAnsi" w:cs="Arial"/>
          <w:bCs/>
          <w:sz w:val="22"/>
          <w:lang w:eastAsia="en-GB"/>
        </w:rPr>
        <w:t>cirrhosis</w:t>
      </w:r>
      <w:r w:rsidRPr="00912B34">
        <w:rPr>
          <w:rFonts w:asciiTheme="minorHAnsi" w:eastAsia="MS Mincho" w:hAnsiTheme="minorHAnsi" w:cs="Arial"/>
          <w:sz w:val="22"/>
          <w:lang w:eastAsia="en-GB"/>
        </w:rPr>
        <w:t>, and if they stop drinking the architecture of their liver may return to normal.[13] Consequently, on one hand, it may be misleading to include codes such as alcoholic fatty liver disease (K70.0), alcoholic hepatitis (K70.1) and alcohol liver disease (K70.9) when intending to measure deaths due to cirrhosis. Conversely, one could argue that as these diagnostic codes represent diseases which could be a pre-cursor to cirrhosis they could actually reflect a poor specification of decompensated disease and hence cirrhosis. For example, this current</w:t>
      </w:r>
      <w:r w:rsidRPr="00912B34">
        <w:rPr>
          <w:rFonts w:asciiTheme="minorHAnsi" w:eastAsiaTheme="minorEastAsia" w:hAnsiTheme="minorHAnsi" w:cs="Arial"/>
          <w:sz w:val="22"/>
          <w:lang w:eastAsia="en-GB"/>
        </w:rPr>
        <w:t xml:space="preserve"> study has shown that a particular difference between definitions 1 and 3 in the rate of change cirrhosis between 1992 and 2008 may have been mediated through an increase in deaths coded as the broader term “alcoholic liver disease” with a concomitant decline in the number of deaths coded as the more specific “alcoholic cirrhosis”. One cannot disprove the possibility of an artefactual difference due to clinicians’ certification practice rather than a true increase in alcoholic liver disease compared to alcoholic cirrhosis. Therefore, it may indeed be appropriate to use broader codes like alcoholic liver disease in order to capture patients with </w:t>
      </w:r>
      <w:r w:rsidRPr="00912B34">
        <w:rPr>
          <w:rFonts w:asciiTheme="minorHAnsi" w:eastAsiaTheme="majorEastAsia" w:hAnsiTheme="minorHAnsi" w:cs="Arial"/>
          <w:bCs/>
          <w:sz w:val="22"/>
          <w:lang w:eastAsia="en-GB"/>
        </w:rPr>
        <w:t xml:space="preserve">cirrhosis </w:t>
      </w:r>
      <w:r w:rsidRPr="00912B34">
        <w:rPr>
          <w:rFonts w:asciiTheme="minorHAnsi" w:eastAsiaTheme="minorEastAsia" w:hAnsiTheme="minorHAnsi" w:cs="Arial"/>
          <w:sz w:val="22"/>
          <w:lang w:eastAsia="en-GB"/>
        </w:rPr>
        <w:t xml:space="preserve">who may not have been certified as </w:t>
      </w:r>
      <w:r w:rsidRPr="006F547B">
        <w:rPr>
          <w:rFonts w:asciiTheme="minorHAnsi" w:eastAsiaTheme="minorEastAsia" w:hAnsiTheme="minorHAnsi" w:cs="Arial"/>
          <w:sz w:val="22"/>
          <w:lang w:eastAsia="en-GB"/>
        </w:rPr>
        <w:t>dying from cirrhosis per se.   The key point is that c</w:t>
      </w:r>
      <w:r w:rsidRPr="006F547B">
        <w:rPr>
          <w:rFonts w:asciiTheme="minorHAnsi" w:eastAsia="MS Mincho" w:hAnsiTheme="minorHAnsi" w:cs="Arial"/>
          <w:sz w:val="22"/>
          <w:lang w:eastAsia="en-GB"/>
        </w:rPr>
        <w:t>ode lists should reflect the precise research question that is being posed, otherwise results are misleading.  Future research should take this finding into account.</w:t>
      </w:r>
      <w:r w:rsidR="001365F3" w:rsidRPr="006F547B">
        <w:rPr>
          <w:rFonts w:ascii="Times New Roman" w:eastAsia="Times New Roman" w:hAnsi="Times New Roman" w:cs="Times New Roman"/>
          <w:sz w:val="24"/>
          <w:szCs w:val="24"/>
          <w:lang w:eastAsia="en-GB"/>
        </w:rPr>
        <w:t xml:space="preserve"> </w:t>
      </w:r>
      <w:r w:rsidR="001365F3" w:rsidRPr="006F547B">
        <w:rPr>
          <w:rFonts w:asciiTheme="minorHAnsi" w:eastAsia="Times New Roman" w:hAnsiTheme="minorHAnsi" w:cs="Times New Roman"/>
          <w:sz w:val="22"/>
          <w:lang w:eastAsia="en-GB"/>
        </w:rPr>
        <w:t xml:space="preserve">We </w:t>
      </w:r>
      <w:r w:rsidR="00205E67" w:rsidRPr="006F547B">
        <w:rPr>
          <w:rFonts w:asciiTheme="minorHAnsi" w:eastAsia="Times New Roman" w:hAnsiTheme="minorHAnsi" w:cs="Times New Roman"/>
          <w:sz w:val="22"/>
          <w:lang w:eastAsia="en-GB"/>
        </w:rPr>
        <w:t>acknowledge</w:t>
      </w:r>
      <w:r w:rsidR="0079706F" w:rsidRPr="006F547B">
        <w:rPr>
          <w:rFonts w:asciiTheme="minorHAnsi" w:eastAsia="Times New Roman" w:hAnsiTheme="minorHAnsi" w:cs="Times New Roman"/>
          <w:sz w:val="22"/>
          <w:lang w:eastAsia="en-GB"/>
        </w:rPr>
        <w:t xml:space="preserve"> that specific </w:t>
      </w:r>
      <w:r w:rsidR="007A1CE5" w:rsidRPr="006F547B">
        <w:rPr>
          <w:rFonts w:asciiTheme="minorHAnsi" w:eastAsia="Times New Roman" w:hAnsiTheme="minorHAnsi" w:cs="Times New Roman"/>
          <w:sz w:val="22"/>
          <w:lang w:eastAsia="en-GB"/>
        </w:rPr>
        <w:t xml:space="preserve">ICD10 </w:t>
      </w:r>
      <w:r w:rsidR="0079706F" w:rsidRPr="006F547B">
        <w:rPr>
          <w:rFonts w:asciiTheme="minorHAnsi" w:eastAsia="Times New Roman" w:hAnsiTheme="minorHAnsi" w:cs="Times New Roman"/>
          <w:sz w:val="22"/>
          <w:lang w:eastAsia="en-GB"/>
        </w:rPr>
        <w:t>codes for c</w:t>
      </w:r>
      <w:r w:rsidR="001365F3" w:rsidRPr="006F547B">
        <w:rPr>
          <w:rFonts w:asciiTheme="minorHAnsi" w:eastAsia="Times New Roman" w:hAnsiTheme="minorHAnsi" w:cs="Times New Roman"/>
          <w:sz w:val="22"/>
          <w:lang w:eastAsia="en-GB"/>
        </w:rPr>
        <w:t>hronic viral hepatitis such as</w:t>
      </w:r>
      <w:r w:rsidR="0079706F" w:rsidRPr="006F547B">
        <w:rPr>
          <w:rFonts w:asciiTheme="minorHAnsi" w:eastAsia="Times New Roman" w:hAnsiTheme="minorHAnsi" w:cs="Times New Roman"/>
          <w:sz w:val="22"/>
          <w:lang w:eastAsia="en-GB"/>
        </w:rPr>
        <w:t xml:space="preserve"> chronic hepatitis </w:t>
      </w:r>
      <w:r w:rsidR="007A1CE5" w:rsidRPr="006F547B">
        <w:rPr>
          <w:rFonts w:asciiTheme="minorHAnsi" w:eastAsia="Times New Roman" w:hAnsiTheme="minorHAnsi" w:cs="Times New Roman"/>
          <w:sz w:val="22"/>
          <w:lang w:eastAsia="en-GB"/>
        </w:rPr>
        <w:t>B (</w:t>
      </w:r>
      <w:r w:rsidR="0079706F" w:rsidRPr="006F547B">
        <w:rPr>
          <w:rFonts w:asciiTheme="minorHAnsi" w:eastAsia="Times New Roman" w:hAnsiTheme="minorHAnsi" w:cs="Times New Roman"/>
          <w:sz w:val="22"/>
          <w:lang w:eastAsia="en-GB"/>
        </w:rPr>
        <w:t>B18.1) and chronic hepatitis C (B18.2)</w:t>
      </w:r>
      <w:r w:rsidR="001365F3" w:rsidRPr="006F547B">
        <w:rPr>
          <w:rFonts w:asciiTheme="minorHAnsi" w:eastAsia="Times New Roman" w:hAnsiTheme="minorHAnsi" w:cs="Times New Roman"/>
          <w:sz w:val="22"/>
          <w:lang w:eastAsia="en-GB"/>
        </w:rPr>
        <w:t xml:space="preserve"> have not been considered by researchers in the field. Inclusion of these codes </w:t>
      </w:r>
      <w:r w:rsidR="00205E67" w:rsidRPr="006F547B">
        <w:rPr>
          <w:rFonts w:asciiTheme="minorHAnsi" w:eastAsia="Times New Roman" w:hAnsiTheme="minorHAnsi" w:cs="Times New Roman"/>
          <w:sz w:val="22"/>
          <w:lang w:eastAsia="en-GB"/>
        </w:rPr>
        <w:t>could also be considered</w:t>
      </w:r>
      <w:r w:rsidR="001365F3" w:rsidRPr="006F547B">
        <w:rPr>
          <w:rFonts w:asciiTheme="minorHAnsi" w:eastAsia="Times New Roman" w:hAnsiTheme="minorHAnsi" w:cs="Times New Roman"/>
          <w:sz w:val="22"/>
          <w:lang w:eastAsia="en-GB"/>
        </w:rPr>
        <w:t xml:space="preserve"> when developing a broad definition of cirrhosis.</w:t>
      </w:r>
    </w:p>
    <w:p w14:paraId="6CC90B9F" w14:textId="77777777" w:rsidR="000400D5" w:rsidRPr="00912B34" w:rsidRDefault="000400D5" w:rsidP="000400D5">
      <w:pPr>
        <w:spacing w:before="200" w:after="240" w:line="480" w:lineRule="auto"/>
        <w:outlineLvl w:val="2"/>
        <w:rPr>
          <w:rFonts w:asciiTheme="minorHAnsi" w:eastAsiaTheme="minorEastAsia" w:hAnsiTheme="minorHAnsi" w:cs="Arial"/>
          <w:sz w:val="22"/>
          <w:lang w:eastAsia="en-GB"/>
        </w:rPr>
      </w:pPr>
      <w:r w:rsidRPr="00912B34">
        <w:rPr>
          <w:rFonts w:asciiTheme="minorHAnsi" w:eastAsia="Arial Unicode MS" w:hAnsiTheme="minorHAnsi" w:cs="Arial"/>
          <w:b/>
          <w:bCs/>
          <w:kern w:val="1"/>
          <w:sz w:val="22"/>
          <w:lang w:eastAsia="ar-SA"/>
        </w:rPr>
        <w:t>Conclusion</w:t>
      </w:r>
    </w:p>
    <w:p w14:paraId="77CFD163" w14:textId="273F47CA" w:rsidR="000400D5" w:rsidRPr="00912B34" w:rsidRDefault="000400D5" w:rsidP="000400D5">
      <w:pPr>
        <w:spacing w:before="200" w:after="240" w:line="480" w:lineRule="auto"/>
        <w:jc w:val="both"/>
        <w:outlineLvl w:val="2"/>
        <w:rPr>
          <w:rFonts w:asciiTheme="minorHAnsi" w:eastAsiaTheme="minorEastAsia" w:hAnsiTheme="minorHAnsi" w:cs="Arial"/>
          <w:sz w:val="22"/>
          <w:lang w:eastAsia="en-GB"/>
        </w:rPr>
      </w:pPr>
      <w:r w:rsidRPr="00912B34">
        <w:rPr>
          <w:rFonts w:asciiTheme="minorHAnsi" w:eastAsiaTheme="minorEastAsia" w:hAnsiTheme="minorHAnsi" w:cs="Arial"/>
          <w:sz w:val="22"/>
          <w:lang w:eastAsia="en-GB"/>
        </w:rPr>
        <w:t xml:space="preserve">This study has highlighted that reliance on mortality data alone may lead to an underestimate of the occurrence of cirrhosis, and indeed liver disease in general.  Consequently the occurrence of liver disease in England is likely to be considerably </w:t>
      </w:r>
      <w:r w:rsidR="00484BB4">
        <w:rPr>
          <w:rFonts w:asciiTheme="minorHAnsi" w:eastAsiaTheme="minorEastAsia" w:hAnsiTheme="minorHAnsi" w:cs="Arial"/>
          <w:sz w:val="22"/>
          <w:lang w:eastAsia="en-GB"/>
        </w:rPr>
        <w:t xml:space="preserve">greater </w:t>
      </w:r>
      <w:r w:rsidRPr="00912B34">
        <w:rPr>
          <w:rFonts w:asciiTheme="minorHAnsi" w:eastAsiaTheme="minorEastAsia" w:hAnsiTheme="minorHAnsi" w:cs="Arial"/>
          <w:sz w:val="22"/>
          <w:lang w:eastAsia="en-GB"/>
        </w:rPr>
        <w:t>than that which others report, including the current UK CMO.[1,2,25,26]</w:t>
      </w:r>
      <w:r w:rsidRPr="00912B34">
        <w:rPr>
          <w:rFonts w:asciiTheme="minorHAnsi" w:eastAsiaTheme="minorEastAsia" w:hAnsiTheme="minorHAnsi" w:cs="Arial"/>
          <w:sz w:val="22"/>
          <w:vertAlign w:val="superscript"/>
          <w:lang w:eastAsia="en-GB"/>
        </w:rPr>
        <w:t xml:space="preserve"> </w:t>
      </w:r>
      <w:r w:rsidRPr="00912B34">
        <w:rPr>
          <w:rFonts w:asciiTheme="minorHAnsi" w:eastAsia="Arial Unicode MS" w:hAnsiTheme="minorHAnsi" w:cs="Arial"/>
          <w:kern w:val="2"/>
          <w:sz w:val="22"/>
          <w:lang w:eastAsia="ar-SA"/>
        </w:rPr>
        <w:t xml:space="preserve">Alternative sources of routinely collected data should be considered as a matter of urgency </w:t>
      </w:r>
      <w:r w:rsidRPr="00912B34">
        <w:rPr>
          <w:rFonts w:asciiTheme="minorHAnsi" w:eastAsiaTheme="minorEastAsia" w:hAnsiTheme="minorHAnsi" w:cs="Arial"/>
          <w:sz w:val="22"/>
          <w:lang w:eastAsia="en-GB"/>
        </w:rPr>
        <w:t>and appropriate definitions of disease employed</w:t>
      </w:r>
      <w:r w:rsidRPr="00912B34">
        <w:rPr>
          <w:rFonts w:asciiTheme="minorHAnsi" w:eastAsia="Arial Unicode MS" w:hAnsiTheme="minorHAnsi" w:cs="Arial"/>
          <w:kern w:val="2"/>
          <w:sz w:val="22"/>
          <w:lang w:eastAsia="ar-SA"/>
        </w:rPr>
        <w:t>. Accurate monitoring of the incidence of cirrhosis will allow the optimisation of limited healthcare services and provide appropriate baseline figures from which to evaluate intervention, particularly those implemented at population level</w:t>
      </w:r>
      <w:r w:rsidRPr="00912B34">
        <w:rPr>
          <w:rFonts w:asciiTheme="minorHAnsi" w:eastAsiaTheme="minorEastAsia" w:hAnsiTheme="minorHAnsi" w:cs="Arial"/>
          <w:sz w:val="22"/>
          <w:lang w:eastAsia="en-GB"/>
        </w:rPr>
        <w:t>.</w:t>
      </w:r>
    </w:p>
    <w:p w14:paraId="7AA0C244" w14:textId="77777777" w:rsidR="000400D5" w:rsidRPr="00912B34" w:rsidRDefault="000400D5" w:rsidP="000400D5">
      <w:pPr>
        <w:spacing w:line="360" w:lineRule="auto"/>
        <w:rPr>
          <w:rFonts w:asciiTheme="minorHAnsi" w:eastAsia="Times New Roman" w:hAnsiTheme="minorHAnsi" w:cs="Arial"/>
          <w:b/>
          <w:sz w:val="22"/>
          <w:lang w:val="en-US"/>
        </w:rPr>
      </w:pPr>
    </w:p>
    <w:p w14:paraId="04499BEC" w14:textId="77777777" w:rsidR="00912B34" w:rsidRDefault="00912B34" w:rsidP="00912B34">
      <w:pPr>
        <w:spacing w:line="360" w:lineRule="auto"/>
        <w:rPr>
          <w:rFonts w:ascii="Arial" w:hAnsi="Arial" w:cs="Arial"/>
          <w:b/>
          <w:sz w:val="22"/>
        </w:rPr>
      </w:pPr>
    </w:p>
    <w:p w14:paraId="16EF71E5" w14:textId="77777777" w:rsidR="00912B34" w:rsidRPr="00912B34" w:rsidRDefault="00912B34" w:rsidP="00912B34">
      <w:pPr>
        <w:spacing w:line="360" w:lineRule="auto"/>
        <w:rPr>
          <w:rFonts w:ascii="Arial" w:hAnsi="Arial" w:cs="Arial"/>
          <w:b/>
          <w:sz w:val="22"/>
        </w:rPr>
      </w:pPr>
      <w:r w:rsidRPr="00912B34">
        <w:rPr>
          <w:rFonts w:ascii="Arial" w:hAnsi="Arial" w:cs="Arial"/>
          <w:b/>
          <w:sz w:val="22"/>
        </w:rPr>
        <w:t xml:space="preserve">References </w:t>
      </w:r>
    </w:p>
    <w:p w14:paraId="7AF12AC4" w14:textId="77777777" w:rsidR="00912B34" w:rsidRPr="00912B34" w:rsidRDefault="00912B34" w:rsidP="00912B34">
      <w:pPr>
        <w:pStyle w:val="EndNoteBibliography"/>
        <w:spacing w:line="480" w:lineRule="auto"/>
        <w:ind w:left="360"/>
        <w:jc w:val="both"/>
        <w:rPr>
          <w:rFonts w:ascii="Arial" w:hAnsi="Arial" w:cs="Arial"/>
          <w:sz w:val="22"/>
        </w:rPr>
      </w:pPr>
      <w:r w:rsidRPr="00912B34">
        <w:rPr>
          <w:rFonts w:ascii="Arial" w:hAnsi="Arial" w:cs="Arial"/>
          <w:sz w:val="22"/>
        </w:rPr>
        <w:t xml:space="preserve">[1] Williams R, Aspinall R, Bellis M </w:t>
      </w:r>
      <w:r w:rsidRPr="00912B34">
        <w:rPr>
          <w:rFonts w:ascii="Arial" w:hAnsi="Arial" w:cs="Arial"/>
          <w:i/>
          <w:sz w:val="22"/>
        </w:rPr>
        <w:t>et al</w:t>
      </w:r>
      <w:r w:rsidRPr="00912B34">
        <w:rPr>
          <w:rFonts w:ascii="Arial" w:hAnsi="Arial" w:cs="Arial"/>
          <w:sz w:val="22"/>
        </w:rPr>
        <w:t xml:space="preserve">. Addressing liver disease in the UK: a blueprint for attaining excellence in health care and reducing premature mortality from lifestyle issues of excess consumption of alcohol, obesity, and viral hepatitis. </w:t>
      </w:r>
      <w:r w:rsidRPr="00912B34">
        <w:rPr>
          <w:rFonts w:ascii="Arial" w:hAnsi="Arial" w:cs="Arial"/>
          <w:i/>
          <w:sz w:val="22"/>
        </w:rPr>
        <w:t>Lancet</w:t>
      </w:r>
      <w:r w:rsidRPr="00912B34">
        <w:rPr>
          <w:rFonts w:ascii="Arial" w:hAnsi="Arial" w:cs="Arial"/>
          <w:sz w:val="22"/>
        </w:rPr>
        <w:t xml:space="preserve">  2014;</w:t>
      </w:r>
      <w:r w:rsidRPr="00912B34">
        <w:rPr>
          <w:rFonts w:ascii="Arial" w:hAnsi="Arial" w:cs="Arial"/>
          <w:b/>
          <w:sz w:val="22"/>
        </w:rPr>
        <w:t>384</w:t>
      </w:r>
      <w:r w:rsidRPr="00912B34">
        <w:rPr>
          <w:rFonts w:ascii="Arial" w:hAnsi="Arial" w:cs="Arial"/>
          <w:sz w:val="22"/>
        </w:rPr>
        <w:t>:1953–1997.</w:t>
      </w:r>
    </w:p>
    <w:p w14:paraId="11029379" w14:textId="77777777" w:rsidR="00912B34" w:rsidRPr="00912B34" w:rsidRDefault="00912B34" w:rsidP="00912B34">
      <w:pPr>
        <w:pStyle w:val="ListParagraph"/>
        <w:ind w:left="360"/>
        <w:rPr>
          <w:sz w:val="22"/>
          <w:szCs w:val="22"/>
        </w:rPr>
      </w:pPr>
      <w:r w:rsidRPr="00912B34">
        <w:rPr>
          <w:sz w:val="22"/>
          <w:szCs w:val="22"/>
        </w:rPr>
        <w:t>[2] CMO report 2012 [Internet]. Available at https://www.gov.uk/government/publications/cmo-annual-report-2011-volume-one [last accessed 6th February 2016].</w:t>
      </w:r>
    </w:p>
    <w:p w14:paraId="2AE03C96" w14:textId="77777777" w:rsidR="00912B34" w:rsidRPr="00912B34" w:rsidRDefault="00912B34" w:rsidP="00912B34">
      <w:pPr>
        <w:spacing w:after="200" w:line="480" w:lineRule="auto"/>
        <w:ind w:left="360"/>
        <w:contextualSpacing/>
        <w:jc w:val="both"/>
        <w:rPr>
          <w:rFonts w:ascii="Arial" w:hAnsi="Arial" w:cs="Arial"/>
          <w:noProof/>
          <w:sz w:val="22"/>
          <w:lang w:val="nl-NL"/>
        </w:rPr>
      </w:pPr>
      <w:r w:rsidRPr="00912B34">
        <w:rPr>
          <w:rFonts w:ascii="Arial" w:hAnsi="Arial" w:cs="Arial"/>
          <w:noProof/>
          <w:sz w:val="22"/>
        </w:rPr>
        <w:t xml:space="preserve">[3] Ratib S, </w:t>
      </w:r>
      <w:r w:rsidRPr="00912B34">
        <w:rPr>
          <w:rFonts w:ascii="Arial" w:eastAsia="JSTimesNewRomanPS-Bold" w:hAnsi="Arial" w:cs="Arial"/>
          <w:sz w:val="22"/>
          <w:lang w:eastAsia="en-GB"/>
        </w:rPr>
        <w:t xml:space="preserve">West J, Crooks CJ </w:t>
      </w:r>
      <w:r w:rsidRPr="00912B34">
        <w:rPr>
          <w:rFonts w:ascii="Arial" w:eastAsia="JSTimesNewRomanPS-Bold" w:hAnsi="Arial" w:cs="Arial"/>
          <w:i/>
          <w:sz w:val="22"/>
          <w:lang w:eastAsia="en-GB"/>
        </w:rPr>
        <w:t>et al</w:t>
      </w:r>
      <w:r w:rsidRPr="00912B34">
        <w:rPr>
          <w:rFonts w:ascii="Arial" w:eastAsia="JSTimesNewRomanPS-Bold" w:hAnsi="Arial" w:cs="Arial"/>
          <w:sz w:val="22"/>
          <w:lang w:eastAsia="en-GB"/>
        </w:rPr>
        <w:t>.</w:t>
      </w:r>
      <w:r w:rsidRPr="00912B34">
        <w:rPr>
          <w:rFonts w:ascii="Arial" w:hAnsi="Arial" w:cs="Arial"/>
          <w:noProof/>
          <w:sz w:val="22"/>
        </w:rPr>
        <w:t xml:space="preserve"> Diagnosis of Liver Cirrhosis in England, a Cohort Study, 1998-2009: A Comparison With Cancer. </w:t>
      </w:r>
      <w:r w:rsidRPr="00912B34">
        <w:rPr>
          <w:rFonts w:ascii="Arial" w:hAnsi="Arial" w:cs="Arial"/>
          <w:i/>
          <w:noProof/>
          <w:sz w:val="22"/>
          <w:lang w:val="nl-NL"/>
        </w:rPr>
        <w:t>Am J Gastroenterol</w:t>
      </w:r>
      <w:r w:rsidRPr="00912B34">
        <w:rPr>
          <w:rFonts w:ascii="Arial" w:hAnsi="Arial" w:cs="Arial"/>
          <w:noProof/>
          <w:sz w:val="22"/>
          <w:lang w:val="nl-NL"/>
        </w:rPr>
        <w:t xml:space="preserve"> 2014;</w:t>
      </w:r>
      <w:r w:rsidRPr="00912B34">
        <w:rPr>
          <w:rFonts w:ascii="Arial" w:hAnsi="Arial" w:cs="Arial"/>
          <w:b/>
          <w:noProof/>
          <w:sz w:val="22"/>
          <w:lang w:val="nl-NL"/>
        </w:rPr>
        <w:t>109</w:t>
      </w:r>
      <w:r w:rsidRPr="00912B34">
        <w:rPr>
          <w:rFonts w:ascii="Arial" w:hAnsi="Arial" w:cs="Arial"/>
          <w:noProof/>
          <w:sz w:val="22"/>
          <w:lang w:val="nl-NL"/>
        </w:rPr>
        <w:t>:190–198.</w:t>
      </w:r>
    </w:p>
    <w:p w14:paraId="7780FFBC" w14:textId="77777777" w:rsidR="00912B34" w:rsidRPr="00912B34" w:rsidRDefault="00912B34" w:rsidP="00912B34">
      <w:pPr>
        <w:spacing w:line="480" w:lineRule="auto"/>
        <w:ind w:left="357"/>
        <w:rPr>
          <w:rFonts w:ascii="Arial" w:hAnsi="Arial" w:cs="Arial"/>
          <w:sz w:val="22"/>
        </w:rPr>
      </w:pPr>
      <w:r w:rsidRPr="00912B34">
        <w:rPr>
          <w:rFonts w:ascii="Arial" w:hAnsi="Arial" w:cs="Arial"/>
          <w:noProof/>
          <w:sz w:val="22"/>
          <w:lang w:val="nl-NL"/>
        </w:rPr>
        <w:t xml:space="preserve">[4] </w:t>
      </w:r>
      <w:r w:rsidRPr="00912B34">
        <w:rPr>
          <w:rFonts w:ascii="Arial" w:hAnsi="Arial" w:cs="Arial"/>
          <w:sz w:val="22"/>
        </w:rPr>
        <w:fldChar w:fldCharType="begin"/>
      </w:r>
      <w:r w:rsidRPr="00912B34">
        <w:rPr>
          <w:rFonts w:ascii="Arial" w:hAnsi="Arial" w:cs="Arial"/>
          <w:sz w:val="22"/>
          <w:lang w:val="nl-NL"/>
        </w:rPr>
        <w:instrText xml:space="preserve"> ADDIN EN.REFLIST </w:instrText>
      </w:r>
      <w:r w:rsidRPr="00912B34">
        <w:rPr>
          <w:rFonts w:ascii="Arial" w:hAnsi="Arial" w:cs="Arial"/>
          <w:sz w:val="22"/>
        </w:rPr>
        <w:fldChar w:fldCharType="end"/>
      </w:r>
      <w:r w:rsidRPr="00912B34">
        <w:rPr>
          <w:rFonts w:ascii="Arial" w:hAnsi="Arial" w:cs="Arial"/>
          <w:sz w:val="22"/>
          <w:lang w:val="nl-NL"/>
        </w:rPr>
        <w:t xml:space="preserve">von Wulffen, M, Clark PJ, Macdonald GA  </w:t>
      </w:r>
      <w:r w:rsidRPr="00912B34">
        <w:rPr>
          <w:rFonts w:ascii="Arial" w:hAnsi="Arial" w:cs="Arial"/>
          <w:i/>
          <w:sz w:val="22"/>
          <w:lang w:val="nl-NL"/>
        </w:rPr>
        <w:t>et al.</w:t>
      </w:r>
      <w:r w:rsidRPr="00912B34">
        <w:rPr>
          <w:rFonts w:ascii="Arial" w:hAnsi="Arial" w:cs="Arial"/>
          <w:sz w:val="22"/>
          <w:lang w:val="nl-NL"/>
        </w:rPr>
        <w:t xml:space="preserve">  </w:t>
      </w:r>
      <w:r w:rsidRPr="00912B34">
        <w:rPr>
          <w:rFonts w:ascii="Arial" w:hAnsi="Arial" w:cs="Arial"/>
          <w:sz w:val="22"/>
        </w:rPr>
        <w:t xml:space="preserve">Liver-related mortality in countries of the developed world: an ecological study approach to explain the variability. Alimentary Pharmacology &amp; Therapeutics 2016; </w:t>
      </w:r>
      <w:r w:rsidRPr="00912B34">
        <w:rPr>
          <w:rFonts w:ascii="Arial" w:hAnsi="Arial" w:cs="Arial"/>
          <w:b/>
          <w:sz w:val="22"/>
        </w:rPr>
        <w:t>44</w:t>
      </w:r>
      <w:r w:rsidRPr="00912B34">
        <w:rPr>
          <w:rFonts w:ascii="Arial" w:hAnsi="Arial" w:cs="Arial"/>
          <w:sz w:val="22"/>
        </w:rPr>
        <w:t>(1): 68-77.</w:t>
      </w:r>
    </w:p>
    <w:p w14:paraId="2ADFC6CF" w14:textId="77777777" w:rsidR="00912B34" w:rsidRPr="00912B34" w:rsidRDefault="00912B34" w:rsidP="00912B34">
      <w:pPr>
        <w:spacing w:after="200" w:line="480" w:lineRule="auto"/>
        <w:ind w:left="360"/>
        <w:contextualSpacing/>
        <w:jc w:val="both"/>
        <w:rPr>
          <w:rFonts w:ascii="Arial" w:hAnsi="Arial" w:cs="Arial"/>
          <w:b/>
          <w:sz w:val="22"/>
        </w:rPr>
      </w:pPr>
      <w:r w:rsidRPr="00912B34">
        <w:rPr>
          <w:rFonts w:ascii="Arial" w:hAnsi="Arial" w:cs="Arial"/>
          <w:sz w:val="22"/>
        </w:rPr>
        <w:t>[5] Smith L, Foxcroft D. Drinking in the UK, An</w:t>
      </w:r>
      <w:r w:rsidRPr="00912B34">
        <w:rPr>
          <w:rFonts w:ascii="Arial" w:hAnsi="Arial" w:cs="Arial"/>
          <w:b/>
          <w:sz w:val="22"/>
        </w:rPr>
        <w:t xml:space="preserve"> </w:t>
      </w:r>
      <w:r w:rsidRPr="00912B34">
        <w:rPr>
          <w:rFonts w:ascii="Arial" w:hAnsi="Arial" w:cs="Arial"/>
          <w:sz w:val="22"/>
        </w:rPr>
        <w:t>exploration of Trends. Joseph Rowntree Foundation</w:t>
      </w:r>
      <w:r w:rsidRPr="00912B34">
        <w:rPr>
          <w:rFonts w:ascii="Arial" w:hAnsi="Arial" w:cs="Arial"/>
          <w:b/>
          <w:sz w:val="22"/>
        </w:rPr>
        <w:t xml:space="preserve"> </w:t>
      </w:r>
      <w:r w:rsidRPr="00912B34">
        <w:rPr>
          <w:rFonts w:ascii="Arial" w:hAnsi="Arial" w:cs="Arial"/>
          <w:sz w:val="22"/>
        </w:rPr>
        <w:t>2009.</w:t>
      </w:r>
    </w:p>
    <w:p w14:paraId="65DAC23F" w14:textId="77777777" w:rsidR="00912B34" w:rsidRPr="00912B34" w:rsidRDefault="00912B34" w:rsidP="00912B34">
      <w:pPr>
        <w:pStyle w:val="EndNoteBibliography"/>
        <w:spacing w:line="480" w:lineRule="auto"/>
        <w:ind w:left="360"/>
        <w:rPr>
          <w:rFonts w:ascii="Arial" w:hAnsi="Arial" w:cs="Arial"/>
          <w:sz w:val="22"/>
        </w:rPr>
      </w:pPr>
      <w:r w:rsidRPr="00912B34">
        <w:rPr>
          <w:rFonts w:ascii="Arial" w:hAnsi="Arial" w:cs="Arial"/>
          <w:sz w:val="22"/>
        </w:rPr>
        <w:t xml:space="preserve">[6] MacGregor GS, Hashem KM.  Action on sugar—lessons from UK salt reduction programme. </w:t>
      </w:r>
      <w:r w:rsidRPr="00912B34">
        <w:rPr>
          <w:rFonts w:ascii="Arial" w:hAnsi="Arial" w:cs="Arial"/>
          <w:i/>
          <w:sz w:val="22"/>
        </w:rPr>
        <w:t xml:space="preserve">Lancet </w:t>
      </w:r>
      <w:r w:rsidRPr="00912B34">
        <w:rPr>
          <w:rFonts w:ascii="Arial" w:hAnsi="Arial" w:cs="Arial"/>
          <w:sz w:val="22"/>
        </w:rPr>
        <w:t>2014</w:t>
      </w:r>
      <w:r w:rsidRPr="00912B34">
        <w:rPr>
          <w:rFonts w:ascii="Arial" w:hAnsi="Arial" w:cs="Arial"/>
          <w:i/>
          <w:sz w:val="22"/>
        </w:rPr>
        <w:t>;</w:t>
      </w:r>
      <w:r w:rsidRPr="00912B34">
        <w:rPr>
          <w:rFonts w:ascii="Arial" w:hAnsi="Arial" w:cs="Arial"/>
          <w:b/>
          <w:sz w:val="22"/>
        </w:rPr>
        <w:t>383</w:t>
      </w:r>
      <w:r w:rsidRPr="00912B34">
        <w:rPr>
          <w:rFonts w:ascii="Arial" w:hAnsi="Arial" w:cs="Arial"/>
          <w:sz w:val="22"/>
        </w:rPr>
        <w:t>:929–931.</w:t>
      </w:r>
    </w:p>
    <w:p w14:paraId="145ADCEE" w14:textId="77777777" w:rsidR="00912B34" w:rsidRPr="00912B34" w:rsidRDefault="00912B34" w:rsidP="00912B34">
      <w:pPr>
        <w:spacing w:after="200" w:line="480" w:lineRule="auto"/>
        <w:ind w:left="360"/>
        <w:contextualSpacing/>
        <w:jc w:val="both"/>
        <w:rPr>
          <w:rStyle w:val="Hyperlink"/>
          <w:rFonts w:ascii="Arial" w:hAnsi="Arial" w:cs="Arial"/>
          <w:b/>
          <w:sz w:val="22"/>
        </w:rPr>
      </w:pPr>
      <w:r w:rsidRPr="00912B34">
        <w:rPr>
          <w:rFonts w:ascii="Arial" w:hAnsi="Arial" w:cs="Arial"/>
          <w:noProof/>
          <w:sz w:val="22"/>
        </w:rPr>
        <w:t xml:space="preserve">[7] Website available at: </w:t>
      </w:r>
      <w:hyperlink r:id="rId9" w:history="1">
        <w:r w:rsidRPr="00912B34">
          <w:rPr>
            <w:rStyle w:val="Hyperlink"/>
            <w:rFonts w:ascii="Arial" w:hAnsi="Arial" w:cs="Arial"/>
            <w:sz w:val="22"/>
          </w:rPr>
          <w:t>http://www.parliament.uk/business/publications/research/briefing-papers/SN05021/alcohol-minimum-pricing</w:t>
        </w:r>
      </w:hyperlink>
      <w:r w:rsidRPr="00912B34">
        <w:rPr>
          <w:rStyle w:val="Hyperlink"/>
          <w:rFonts w:ascii="Arial" w:hAnsi="Arial" w:cs="Arial"/>
          <w:sz w:val="22"/>
        </w:rPr>
        <w:t xml:space="preserve"> </w:t>
      </w:r>
      <w:r w:rsidRPr="00912B34">
        <w:rPr>
          <w:rFonts w:ascii="Arial" w:hAnsi="Arial" w:cs="Arial"/>
          <w:sz w:val="22"/>
        </w:rPr>
        <w:t>[Last accessed 7th May 2015].</w:t>
      </w:r>
    </w:p>
    <w:p w14:paraId="7CDA5B77" w14:textId="77777777" w:rsidR="00912B34" w:rsidRPr="00912B34" w:rsidRDefault="00912B34" w:rsidP="00912B34">
      <w:pPr>
        <w:rPr>
          <w:noProof/>
          <w:sz w:val="22"/>
        </w:rPr>
      </w:pPr>
    </w:p>
    <w:p w14:paraId="5FF3EF98" w14:textId="77777777" w:rsidR="00912B34" w:rsidRPr="00912B34" w:rsidRDefault="00912B34" w:rsidP="00912B34">
      <w:pPr>
        <w:pStyle w:val="ListParagraph"/>
        <w:spacing w:line="360" w:lineRule="auto"/>
        <w:ind w:left="360"/>
        <w:rPr>
          <w:sz w:val="22"/>
          <w:szCs w:val="22"/>
          <w:lang w:val="en"/>
        </w:rPr>
      </w:pPr>
      <w:r w:rsidRPr="00912B34">
        <w:rPr>
          <w:sz w:val="22"/>
          <w:szCs w:val="22"/>
        </w:rPr>
        <w:t xml:space="preserve">[8] Website available at: </w:t>
      </w:r>
      <w:hyperlink r:id="rId10" w:history="1">
        <w:r w:rsidRPr="00912B34">
          <w:rPr>
            <w:rStyle w:val="Hyperlink"/>
            <w:sz w:val="22"/>
            <w:szCs w:val="22"/>
          </w:rPr>
          <w:t>http://www.bsg.org.uk/clinical/commissioning-report/management-of-patients-with-chronic-liver-diseases.html</w:t>
        </w:r>
      </w:hyperlink>
      <w:r w:rsidRPr="00912B34">
        <w:rPr>
          <w:sz w:val="22"/>
          <w:szCs w:val="22"/>
        </w:rPr>
        <w:t xml:space="preserve"> </w:t>
      </w:r>
      <w:r w:rsidRPr="00912B34">
        <w:rPr>
          <w:rStyle w:val="Hyperlink"/>
          <w:sz w:val="22"/>
          <w:szCs w:val="22"/>
          <w:lang w:val="en"/>
        </w:rPr>
        <w:t xml:space="preserve"> </w:t>
      </w:r>
      <w:r w:rsidRPr="00912B34">
        <w:rPr>
          <w:sz w:val="22"/>
          <w:szCs w:val="22"/>
        </w:rPr>
        <w:t>[Last accessed 6th February 2016].</w:t>
      </w:r>
    </w:p>
    <w:p w14:paraId="2C3B94BA" w14:textId="77777777" w:rsidR="00912B34" w:rsidRPr="00912B34" w:rsidRDefault="00912B34" w:rsidP="00912B34">
      <w:pPr>
        <w:pStyle w:val="ListParagraph"/>
        <w:ind w:left="360"/>
        <w:rPr>
          <w:sz w:val="22"/>
          <w:szCs w:val="22"/>
          <w:lang w:val="en"/>
        </w:rPr>
      </w:pPr>
      <w:r w:rsidRPr="00912B34">
        <w:rPr>
          <w:noProof/>
          <w:sz w:val="22"/>
          <w:szCs w:val="22"/>
        </w:rPr>
        <w:t xml:space="preserve">[9] Ratib S, Fleming KM, Crooks CJ </w:t>
      </w:r>
      <w:r w:rsidRPr="00912B34">
        <w:rPr>
          <w:i/>
          <w:noProof/>
          <w:sz w:val="22"/>
          <w:szCs w:val="22"/>
        </w:rPr>
        <w:t>et al</w:t>
      </w:r>
      <w:r w:rsidRPr="00912B34">
        <w:rPr>
          <w:noProof/>
          <w:sz w:val="22"/>
          <w:szCs w:val="22"/>
        </w:rPr>
        <w:t xml:space="preserve">. 1 and 5 year survival estimates for people with cirrhosis of the liver in England, 1998–2009: A large population study. </w:t>
      </w:r>
      <w:r w:rsidRPr="00912B34">
        <w:rPr>
          <w:i/>
          <w:noProof/>
          <w:sz w:val="22"/>
          <w:szCs w:val="22"/>
        </w:rPr>
        <w:t xml:space="preserve">Journal of Hepatology </w:t>
      </w:r>
      <w:r w:rsidRPr="00912B34">
        <w:rPr>
          <w:noProof/>
          <w:sz w:val="22"/>
          <w:szCs w:val="22"/>
        </w:rPr>
        <w:t>2014</w:t>
      </w:r>
      <w:r w:rsidRPr="00912B34">
        <w:rPr>
          <w:b/>
          <w:noProof/>
          <w:sz w:val="22"/>
          <w:szCs w:val="22"/>
        </w:rPr>
        <w:t>;60:</w:t>
      </w:r>
      <w:r w:rsidRPr="00912B34">
        <w:rPr>
          <w:noProof/>
          <w:sz w:val="22"/>
          <w:szCs w:val="22"/>
        </w:rPr>
        <w:t>282–289.</w:t>
      </w:r>
    </w:p>
    <w:p w14:paraId="04C57CBD" w14:textId="77777777" w:rsidR="00912B34" w:rsidRPr="00912B34" w:rsidRDefault="00912B34" w:rsidP="00912B34">
      <w:pPr>
        <w:pStyle w:val="ListParagraph"/>
        <w:rPr>
          <w:noProof/>
          <w:sz w:val="22"/>
          <w:szCs w:val="22"/>
          <w:highlight w:val="yellow"/>
        </w:rPr>
      </w:pPr>
    </w:p>
    <w:p w14:paraId="274F17FB" w14:textId="77777777" w:rsidR="00912B34" w:rsidRPr="00912B34" w:rsidRDefault="00912B34" w:rsidP="00912B34">
      <w:pPr>
        <w:pStyle w:val="ListParagraph"/>
        <w:ind w:left="360"/>
        <w:rPr>
          <w:sz w:val="22"/>
          <w:szCs w:val="22"/>
          <w:lang w:val="en"/>
        </w:rPr>
      </w:pPr>
      <w:r w:rsidRPr="00912B34">
        <w:rPr>
          <w:noProof/>
          <w:sz w:val="22"/>
          <w:szCs w:val="22"/>
        </w:rPr>
        <w:t xml:space="preserve">[10] Ratib S, Fleming KM, Crooks CJ </w:t>
      </w:r>
      <w:r w:rsidRPr="00912B34">
        <w:rPr>
          <w:i/>
          <w:noProof/>
          <w:sz w:val="22"/>
          <w:szCs w:val="22"/>
        </w:rPr>
        <w:t>et al</w:t>
      </w:r>
      <w:r w:rsidRPr="00912B34">
        <w:rPr>
          <w:noProof/>
          <w:sz w:val="22"/>
          <w:szCs w:val="22"/>
        </w:rPr>
        <w:t xml:space="preserve">. Causes of Death in People with Liver Cirrhosis in England Compared with the General Population: A Population-Based Cohort Study. </w:t>
      </w:r>
      <w:r w:rsidRPr="00912B34">
        <w:rPr>
          <w:i/>
          <w:noProof/>
          <w:sz w:val="22"/>
          <w:szCs w:val="22"/>
        </w:rPr>
        <w:t>Am J Gastroenterol</w:t>
      </w:r>
      <w:r w:rsidRPr="00912B34">
        <w:rPr>
          <w:b/>
          <w:noProof/>
          <w:sz w:val="22"/>
          <w:szCs w:val="22"/>
        </w:rPr>
        <w:t xml:space="preserve">. </w:t>
      </w:r>
      <w:r w:rsidRPr="00912B34">
        <w:rPr>
          <w:noProof/>
          <w:sz w:val="22"/>
          <w:szCs w:val="22"/>
        </w:rPr>
        <w:t>2015.</w:t>
      </w:r>
    </w:p>
    <w:p w14:paraId="2057D04D" w14:textId="77777777" w:rsidR="00912B34" w:rsidRPr="00912B34" w:rsidRDefault="00912B34" w:rsidP="00912B34">
      <w:pPr>
        <w:pStyle w:val="ListParagraph"/>
        <w:ind w:left="360"/>
        <w:rPr>
          <w:sz w:val="22"/>
          <w:szCs w:val="22"/>
          <w:lang w:val="en"/>
        </w:rPr>
      </w:pPr>
      <w:r w:rsidRPr="00912B34">
        <w:rPr>
          <w:noProof/>
          <w:sz w:val="22"/>
          <w:szCs w:val="22"/>
        </w:rPr>
        <w:t xml:space="preserve">[11] Roberts SE, Goldacre MJ, Yeates D. Trends in mortality after hospital admission for liver cirrhosis in an English population from 1968 to 1999. </w:t>
      </w:r>
      <w:r w:rsidRPr="00912B34">
        <w:rPr>
          <w:i/>
          <w:noProof/>
          <w:sz w:val="22"/>
          <w:szCs w:val="22"/>
        </w:rPr>
        <w:t>Gut</w:t>
      </w:r>
      <w:r w:rsidRPr="00912B34">
        <w:rPr>
          <w:noProof/>
          <w:sz w:val="22"/>
          <w:szCs w:val="22"/>
        </w:rPr>
        <w:t>. 2005;</w:t>
      </w:r>
      <w:r w:rsidRPr="00912B34">
        <w:rPr>
          <w:b/>
          <w:noProof/>
          <w:sz w:val="22"/>
          <w:szCs w:val="22"/>
        </w:rPr>
        <w:t>54</w:t>
      </w:r>
      <w:r w:rsidRPr="00912B34">
        <w:rPr>
          <w:noProof/>
          <w:sz w:val="22"/>
          <w:szCs w:val="22"/>
        </w:rPr>
        <w:t>:1615–21.</w:t>
      </w:r>
    </w:p>
    <w:p w14:paraId="63DEE4D3" w14:textId="77777777" w:rsidR="00912B34" w:rsidRPr="00912B34" w:rsidRDefault="00912B34" w:rsidP="00912B34">
      <w:pPr>
        <w:pStyle w:val="ListParagraph"/>
        <w:ind w:left="360"/>
        <w:rPr>
          <w:sz w:val="22"/>
          <w:szCs w:val="22"/>
          <w:lang w:val="en"/>
        </w:rPr>
      </w:pPr>
      <w:r w:rsidRPr="00912B34">
        <w:rPr>
          <w:noProof/>
          <w:sz w:val="22"/>
          <w:szCs w:val="22"/>
        </w:rPr>
        <w:t xml:space="preserve">[12] Jepsen  P, Vilstrup H,  Andersen PK </w:t>
      </w:r>
      <w:r w:rsidRPr="00912B34">
        <w:rPr>
          <w:i/>
          <w:noProof/>
          <w:sz w:val="22"/>
          <w:szCs w:val="22"/>
        </w:rPr>
        <w:t>et al</w:t>
      </w:r>
      <w:r w:rsidRPr="00912B34">
        <w:rPr>
          <w:noProof/>
          <w:sz w:val="22"/>
          <w:szCs w:val="22"/>
        </w:rPr>
        <w:t xml:space="preserve">. Comorbidity and survival of Danish cirrhosis patients: a nationwide population-based cohort study. </w:t>
      </w:r>
      <w:r w:rsidRPr="00912B34">
        <w:rPr>
          <w:i/>
          <w:noProof/>
          <w:sz w:val="22"/>
          <w:szCs w:val="22"/>
        </w:rPr>
        <w:t xml:space="preserve">Hepatology. </w:t>
      </w:r>
      <w:r w:rsidRPr="00912B34">
        <w:rPr>
          <w:noProof/>
          <w:sz w:val="22"/>
          <w:szCs w:val="22"/>
        </w:rPr>
        <w:t>2008</w:t>
      </w:r>
      <w:r w:rsidRPr="00912B34">
        <w:rPr>
          <w:b/>
          <w:noProof/>
          <w:sz w:val="22"/>
          <w:szCs w:val="22"/>
        </w:rPr>
        <w:t>;</w:t>
      </w:r>
      <w:r w:rsidRPr="00912B34">
        <w:rPr>
          <w:noProof/>
          <w:sz w:val="22"/>
          <w:szCs w:val="22"/>
        </w:rPr>
        <w:t xml:space="preserve"> </w:t>
      </w:r>
      <w:r w:rsidRPr="00912B34">
        <w:rPr>
          <w:b/>
          <w:i/>
          <w:noProof/>
          <w:sz w:val="22"/>
          <w:szCs w:val="22"/>
        </w:rPr>
        <w:t>48</w:t>
      </w:r>
      <w:r w:rsidRPr="00912B34">
        <w:rPr>
          <w:b/>
          <w:noProof/>
          <w:sz w:val="22"/>
          <w:szCs w:val="22"/>
        </w:rPr>
        <w:t xml:space="preserve"> </w:t>
      </w:r>
      <w:r w:rsidRPr="00912B34">
        <w:rPr>
          <w:noProof/>
          <w:sz w:val="22"/>
          <w:szCs w:val="22"/>
        </w:rPr>
        <w:t>(1):214-20.</w:t>
      </w:r>
    </w:p>
    <w:p w14:paraId="78FD5E19" w14:textId="77777777" w:rsidR="00912B34" w:rsidRPr="00912B34" w:rsidRDefault="00912B34" w:rsidP="00912B34">
      <w:pPr>
        <w:pStyle w:val="ListParagraph"/>
        <w:ind w:left="360"/>
        <w:rPr>
          <w:sz w:val="22"/>
          <w:szCs w:val="22"/>
          <w:lang w:val="en"/>
        </w:rPr>
      </w:pPr>
      <w:r w:rsidRPr="00912B34">
        <w:rPr>
          <w:noProof/>
          <w:sz w:val="22"/>
          <w:szCs w:val="22"/>
        </w:rPr>
        <w:t xml:space="preserve">[13] SriRajaskanthan R, Preedy V. Diagnosis and management of alcoholic liver disease, a review. </w:t>
      </w:r>
      <w:r w:rsidRPr="00912B34">
        <w:rPr>
          <w:i/>
          <w:noProof/>
          <w:sz w:val="22"/>
          <w:szCs w:val="22"/>
        </w:rPr>
        <w:t>Clinical Effectiveness in Nursing</w:t>
      </w:r>
      <w:r w:rsidRPr="00912B34">
        <w:rPr>
          <w:noProof/>
          <w:sz w:val="22"/>
          <w:szCs w:val="22"/>
        </w:rPr>
        <w:t xml:space="preserve">. 2006; </w:t>
      </w:r>
      <w:r w:rsidRPr="00912B34">
        <w:rPr>
          <w:b/>
          <w:noProof/>
          <w:sz w:val="22"/>
          <w:szCs w:val="22"/>
        </w:rPr>
        <w:t>9</w:t>
      </w:r>
      <w:r w:rsidRPr="00912B34">
        <w:rPr>
          <w:noProof/>
          <w:sz w:val="22"/>
          <w:szCs w:val="22"/>
        </w:rPr>
        <w:t>, Supplement 3(0):e286–e94.</w:t>
      </w:r>
    </w:p>
    <w:p w14:paraId="2B0FD10E" w14:textId="77777777" w:rsidR="00912B34" w:rsidRPr="00912B34" w:rsidRDefault="00912B34" w:rsidP="00912B34">
      <w:pPr>
        <w:pStyle w:val="ListParagraph"/>
        <w:ind w:left="360"/>
        <w:rPr>
          <w:sz w:val="22"/>
          <w:szCs w:val="22"/>
          <w:lang w:val="en"/>
        </w:rPr>
      </w:pPr>
      <w:r w:rsidRPr="00912B34">
        <w:rPr>
          <w:noProof/>
          <w:sz w:val="22"/>
          <w:szCs w:val="22"/>
        </w:rPr>
        <w:t xml:space="preserve">[14] Leon DA, McCambridge J. Liver cirrhosis mortality rates in Britain from 1950 to 2002: an analysis of routine data. </w:t>
      </w:r>
      <w:r w:rsidRPr="00912B34">
        <w:rPr>
          <w:i/>
          <w:noProof/>
          <w:sz w:val="22"/>
          <w:szCs w:val="22"/>
        </w:rPr>
        <w:t>Lancet</w:t>
      </w:r>
      <w:r w:rsidRPr="00912B34">
        <w:rPr>
          <w:noProof/>
          <w:sz w:val="22"/>
          <w:szCs w:val="22"/>
        </w:rPr>
        <w:t xml:space="preserve">. 2006; </w:t>
      </w:r>
      <w:r w:rsidRPr="00912B34">
        <w:rPr>
          <w:b/>
          <w:noProof/>
          <w:sz w:val="22"/>
          <w:szCs w:val="22"/>
        </w:rPr>
        <w:t>367</w:t>
      </w:r>
      <w:r w:rsidRPr="00912B34">
        <w:rPr>
          <w:noProof/>
          <w:sz w:val="22"/>
          <w:szCs w:val="22"/>
        </w:rPr>
        <w:t>(9504):52–6.</w:t>
      </w:r>
    </w:p>
    <w:p w14:paraId="18D3D630" w14:textId="77777777" w:rsidR="00912B34" w:rsidRPr="00912B34" w:rsidRDefault="00912B34" w:rsidP="00912B34">
      <w:pPr>
        <w:pStyle w:val="ListParagraph"/>
        <w:ind w:left="360"/>
        <w:rPr>
          <w:sz w:val="22"/>
          <w:szCs w:val="22"/>
          <w:lang w:val="en"/>
        </w:rPr>
      </w:pPr>
      <w:r w:rsidRPr="00912B34">
        <w:rPr>
          <w:sz w:val="22"/>
          <w:szCs w:val="22"/>
        </w:rPr>
        <w:t xml:space="preserve">[15] WHO. </w:t>
      </w:r>
      <w:hyperlink r:id="rId11" w:history="1">
        <w:r w:rsidRPr="00912B34">
          <w:rPr>
            <w:color w:val="0000FF"/>
            <w:sz w:val="22"/>
            <w:szCs w:val="22"/>
            <w:u w:val="single"/>
          </w:rPr>
          <w:t>http://www.who.int/classifications/icd/en/</w:t>
        </w:r>
      </w:hyperlink>
      <w:r w:rsidRPr="00912B34">
        <w:rPr>
          <w:sz w:val="22"/>
          <w:szCs w:val="22"/>
        </w:rPr>
        <w:t xml:space="preserve">  [Last accessed 6th February 2016]</w:t>
      </w:r>
      <w:r w:rsidRPr="00912B34">
        <w:rPr>
          <w:b/>
          <w:sz w:val="22"/>
          <w:szCs w:val="22"/>
        </w:rPr>
        <w:t>.</w:t>
      </w:r>
    </w:p>
    <w:p w14:paraId="11CCA996" w14:textId="77777777" w:rsidR="00912B34" w:rsidRPr="00912B34" w:rsidRDefault="00912B34" w:rsidP="00912B34">
      <w:pPr>
        <w:pStyle w:val="EndNoteBibliography"/>
        <w:spacing w:line="480" w:lineRule="auto"/>
        <w:ind w:left="360"/>
        <w:jc w:val="both"/>
        <w:rPr>
          <w:rFonts w:ascii="Arial" w:hAnsi="Arial" w:cs="Arial"/>
          <w:sz w:val="22"/>
        </w:rPr>
      </w:pPr>
      <w:r w:rsidRPr="00912B34">
        <w:rPr>
          <w:rFonts w:ascii="Arial" w:hAnsi="Arial" w:cs="Arial"/>
          <w:sz w:val="22"/>
        </w:rPr>
        <w:t xml:space="preserve">[16] Liu B, Balkwill A, Reeves G </w:t>
      </w:r>
      <w:r w:rsidRPr="00912B34">
        <w:rPr>
          <w:rFonts w:ascii="Arial" w:hAnsi="Arial" w:cs="Arial"/>
          <w:i/>
          <w:sz w:val="22"/>
        </w:rPr>
        <w:t>et al</w:t>
      </w:r>
      <w:r w:rsidRPr="00912B34">
        <w:rPr>
          <w:rFonts w:ascii="Arial" w:hAnsi="Arial" w:cs="Arial"/>
          <w:sz w:val="22"/>
        </w:rPr>
        <w:t xml:space="preserve">. Body mass index and risk of liver cirrhosis in middle aged UK women: prospective study. </w:t>
      </w:r>
      <w:r w:rsidRPr="00912B34">
        <w:rPr>
          <w:rFonts w:ascii="Arial" w:hAnsi="Arial" w:cs="Arial"/>
          <w:i/>
          <w:sz w:val="22"/>
        </w:rPr>
        <w:t>BMJ</w:t>
      </w:r>
      <w:r w:rsidRPr="00912B34">
        <w:rPr>
          <w:rFonts w:ascii="Arial" w:hAnsi="Arial" w:cs="Arial"/>
          <w:sz w:val="22"/>
        </w:rPr>
        <w:t>. 2010;</w:t>
      </w:r>
      <w:r w:rsidRPr="00912B34">
        <w:rPr>
          <w:rFonts w:ascii="Arial" w:hAnsi="Arial" w:cs="Arial"/>
          <w:b/>
          <w:sz w:val="22"/>
        </w:rPr>
        <w:t>340</w:t>
      </w:r>
      <w:r w:rsidRPr="00912B34">
        <w:rPr>
          <w:rFonts w:ascii="Arial" w:hAnsi="Arial" w:cs="Arial"/>
          <w:sz w:val="22"/>
        </w:rPr>
        <w:t>:c912.</w:t>
      </w:r>
    </w:p>
    <w:p w14:paraId="7392912B" w14:textId="77777777" w:rsidR="00912B34" w:rsidRPr="00912B34" w:rsidRDefault="00912B34" w:rsidP="00912B34">
      <w:pPr>
        <w:pStyle w:val="ListParagraph"/>
        <w:ind w:left="360"/>
        <w:rPr>
          <w:sz w:val="22"/>
          <w:szCs w:val="22"/>
          <w:lang w:val="en"/>
        </w:rPr>
      </w:pPr>
      <w:r w:rsidRPr="00912B34">
        <w:rPr>
          <w:noProof/>
          <w:sz w:val="22"/>
          <w:szCs w:val="22"/>
        </w:rPr>
        <w:t xml:space="preserve">[17] Jepsen P, Vilstrup H, Sorensen HT. Alcoholic cirrhosis in Denmark - population-based incidence, prevalence, and hospitalization rates between 1988 and 2005: a descriptive cohort study. </w:t>
      </w:r>
      <w:r w:rsidRPr="00912B34">
        <w:rPr>
          <w:i/>
          <w:noProof/>
          <w:sz w:val="22"/>
          <w:szCs w:val="22"/>
        </w:rPr>
        <w:t>BMC Gastroenterol</w:t>
      </w:r>
      <w:r w:rsidRPr="00912B34">
        <w:rPr>
          <w:noProof/>
          <w:sz w:val="22"/>
          <w:szCs w:val="22"/>
        </w:rPr>
        <w:t>. 2008;</w:t>
      </w:r>
      <w:r w:rsidRPr="00912B34">
        <w:rPr>
          <w:b/>
          <w:noProof/>
          <w:sz w:val="22"/>
          <w:szCs w:val="22"/>
        </w:rPr>
        <w:t>8</w:t>
      </w:r>
      <w:r w:rsidRPr="00912B34">
        <w:rPr>
          <w:noProof/>
          <w:sz w:val="22"/>
          <w:szCs w:val="22"/>
        </w:rPr>
        <w:t>(3).</w:t>
      </w:r>
    </w:p>
    <w:p w14:paraId="58D808DE" w14:textId="77777777" w:rsidR="00912B34" w:rsidRPr="00912B34" w:rsidRDefault="00912B34" w:rsidP="00912B34">
      <w:pPr>
        <w:pStyle w:val="ListParagraph"/>
        <w:ind w:left="360"/>
        <w:rPr>
          <w:sz w:val="22"/>
          <w:szCs w:val="22"/>
          <w:lang w:val="en"/>
        </w:rPr>
      </w:pPr>
      <w:r w:rsidRPr="00912B34">
        <w:rPr>
          <w:sz w:val="22"/>
          <w:szCs w:val="22"/>
        </w:rPr>
        <w:t xml:space="preserve">[18] ICD version 8: </w:t>
      </w:r>
      <w:hyperlink r:id="rId12" w:history="1">
        <w:r w:rsidRPr="00912B34">
          <w:rPr>
            <w:rStyle w:val="Hyperlink"/>
            <w:sz w:val="22"/>
            <w:szCs w:val="22"/>
          </w:rPr>
          <w:t>http://www.wolfbane.com/icd/icd8.htm</w:t>
        </w:r>
      </w:hyperlink>
      <w:r w:rsidRPr="00912B34">
        <w:rPr>
          <w:sz w:val="22"/>
          <w:szCs w:val="22"/>
        </w:rPr>
        <w:t xml:space="preserve"> [Last accessed 6th February 2016]</w:t>
      </w:r>
    </w:p>
    <w:p w14:paraId="72D91C5D" w14:textId="77777777" w:rsidR="00912B34" w:rsidRPr="00912B34" w:rsidRDefault="00912B34" w:rsidP="00912B34">
      <w:pPr>
        <w:pStyle w:val="ListParagraph"/>
        <w:ind w:left="360"/>
        <w:rPr>
          <w:sz w:val="22"/>
          <w:szCs w:val="22"/>
          <w:lang w:val="en"/>
        </w:rPr>
      </w:pPr>
      <w:r w:rsidRPr="00912B34">
        <w:rPr>
          <w:sz w:val="22"/>
          <w:szCs w:val="22"/>
        </w:rPr>
        <w:t xml:space="preserve">[19] ICD version 9: </w:t>
      </w:r>
      <w:hyperlink r:id="rId13" w:history="1">
        <w:r w:rsidRPr="00912B34">
          <w:rPr>
            <w:rStyle w:val="Hyperlink"/>
            <w:sz w:val="22"/>
            <w:szCs w:val="22"/>
          </w:rPr>
          <w:t>http://en.wikipedia.org/wiki/List_of_ICD-9_codes</w:t>
        </w:r>
      </w:hyperlink>
      <w:r w:rsidRPr="00912B34">
        <w:rPr>
          <w:sz w:val="22"/>
          <w:szCs w:val="22"/>
        </w:rPr>
        <w:t xml:space="preserve"> [Last accessed 6th February 2016]</w:t>
      </w:r>
    </w:p>
    <w:p w14:paraId="0E221552" w14:textId="77777777" w:rsidR="00912B34" w:rsidRPr="00912B34" w:rsidRDefault="00912B34" w:rsidP="00912B34">
      <w:pPr>
        <w:pStyle w:val="ListParagraph"/>
        <w:ind w:left="360"/>
        <w:rPr>
          <w:sz w:val="22"/>
          <w:szCs w:val="22"/>
          <w:lang w:val="en"/>
        </w:rPr>
      </w:pPr>
      <w:r w:rsidRPr="00912B34">
        <w:rPr>
          <w:sz w:val="22"/>
          <w:szCs w:val="22"/>
        </w:rPr>
        <w:t xml:space="preserve">[20] Hanley A, Hubbard RB, Navaratnam V. Mortality trends in Asbestosis, Extrinsic Allergic Alveolitis and Sarcoidosis in England and Wales. </w:t>
      </w:r>
      <w:r w:rsidRPr="00912B34">
        <w:rPr>
          <w:i/>
          <w:sz w:val="22"/>
          <w:szCs w:val="22"/>
        </w:rPr>
        <w:t>Respiratory Medicine</w:t>
      </w:r>
      <w:r w:rsidRPr="00912B34">
        <w:rPr>
          <w:sz w:val="22"/>
          <w:szCs w:val="22"/>
        </w:rPr>
        <w:t>. 2011;</w:t>
      </w:r>
      <w:r w:rsidRPr="00912B34">
        <w:rPr>
          <w:b/>
          <w:sz w:val="22"/>
          <w:szCs w:val="22"/>
        </w:rPr>
        <w:t>105</w:t>
      </w:r>
      <w:r w:rsidRPr="00912B34">
        <w:rPr>
          <w:sz w:val="22"/>
          <w:szCs w:val="22"/>
        </w:rPr>
        <w:t>(9):1373–1379.</w:t>
      </w:r>
    </w:p>
    <w:p w14:paraId="4C98B63E" w14:textId="77777777" w:rsidR="00912B34" w:rsidRPr="00912B34" w:rsidRDefault="00912B34" w:rsidP="00912B34">
      <w:pPr>
        <w:pStyle w:val="ListParagraph"/>
        <w:ind w:left="360"/>
        <w:rPr>
          <w:sz w:val="22"/>
          <w:szCs w:val="22"/>
          <w:lang w:val="en"/>
        </w:rPr>
      </w:pPr>
      <w:r w:rsidRPr="00912B34">
        <w:rPr>
          <w:sz w:val="22"/>
          <w:szCs w:val="22"/>
          <w:lang w:val="en"/>
        </w:rPr>
        <w:t xml:space="preserve">[21] Liver disease in Wales: </w:t>
      </w:r>
      <w:hyperlink r:id="rId14" w:history="1">
        <w:r w:rsidRPr="00912B34">
          <w:rPr>
            <w:rStyle w:val="Hyperlink"/>
            <w:sz w:val="22"/>
            <w:szCs w:val="22"/>
            <w:lang w:val="en"/>
          </w:rPr>
          <w:t>https://assemblyinbrief.wordpress.com/2015/05/11/liver-disease-in-wales</w:t>
        </w:r>
      </w:hyperlink>
      <w:r w:rsidRPr="00912B34">
        <w:rPr>
          <w:sz w:val="22"/>
          <w:szCs w:val="22"/>
          <w:lang w:val="en"/>
        </w:rPr>
        <w:t xml:space="preserve"> </w:t>
      </w:r>
      <w:r w:rsidRPr="00912B34">
        <w:rPr>
          <w:sz w:val="22"/>
          <w:szCs w:val="22"/>
        </w:rPr>
        <w:t>[Last accessed 6th February 2016]</w:t>
      </w:r>
    </w:p>
    <w:p w14:paraId="19943EFE" w14:textId="77777777" w:rsidR="00912B34" w:rsidRPr="00912B34" w:rsidRDefault="00912B34" w:rsidP="00912B34">
      <w:pPr>
        <w:pStyle w:val="ListParagraph"/>
        <w:rPr>
          <w:sz w:val="22"/>
          <w:szCs w:val="22"/>
        </w:rPr>
      </w:pPr>
    </w:p>
    <w:p w14:paraId="67416146" w14:textId="77777777" w:rsidR="00912B34" w:rsidRPr="00912B34" w:rsidRDefault="00912B34" w:rsidP="00912B34">
      <w:pPr>
        <w:pStyle w:val="ListParagraph"/>
        <w:ind w:left="360"/>
        <w:rPr>
          <w:sz w:val="22"/>
          <w:szCs w:val="22"/>
          <w:lang w:val="en"/>
        </w:rPr>
      </w:pPr>
      <w:r w:rsidRPr="00912B34">
        <w:rPr>
          <w:sz w:val="22"/>
          <w:szCs w:val="22"/>
          <w:lang w:val="fr-FR"/>
        </w:rPr>
        <w:t>[22] B</w:t>
      </w:r>
      <w:r w:rsidRPr="00912B34">
        <w:rPr>
          <w:noProof/>
          <w:sz w:val="22"/>
          <w:szCs w:val="22"/>
          <w:lang w:val="fr-FR"/>
        </w:rPr>
        <w:t xml:space="preserve">lachier M, Leleu, H, Peck-Radosavljevic M </w:t>
      </w:r>
      <w:r w:rsidRPr="00912B34">
        <w:rPr>
          <w:i/>
          <w:noProof/>
          <w:sz w:val="22"/>
          <w:szCs w:val="22"/>
          <w:lang w:val="fr-FR"/>
        </w:rPr>
        <w:t>et al</w:t>
      </w:r>
      <w:r w:rsidRPr="00912B34">
        <w:rPr>
          <w:noProof/>
          <w:sz w:val="22"/>
          <w:szCs w:val="22"/>
          <w:lang w:val="fr-FR"/>
        </w:rPr>
        <w:t xml:space="preserve">. </w:t>
      </w:r>
      <w:r w:rsidRPr="00912B34">
        <w:rPr>
          <w:noProof/>
          <w:sz w:val="22"/>
          <w:szCs w:val="22"/>
        </w:rPr>
        <w:t xml:space="preserve">The burden of liver disease in Europe: A review of available epidemiological data. </w:t>
      </w:r>
      <w:r w:rsidRPr="00912B34">
        <w:rPr>
          <w:i/>
          <w:noProof/>
          <w:sz w:val="22"/>
          <w:szCs w:val="22"/>
        </w:rPr>
        <w:t>Journal of Hepatology. 2013;</w:t>
      </w:r>
      <w:r w:rsidRPr="00912B34">
        <w:rPr>
          <w:b/>
          <w:noProof/>
          <w:sz w:val="22"/>
          <w:szCs w:val="22"/>
        </w:rPr>
        <w:t>58:</w:t>
      </w:r>
      <w:r w:rsidRPr="00912B34">
        <w:rPr>
          <w:noProof/>
          <w:sz w:val="22"/>
          <w:szCs w:val="22"/>
        </w:rPr>
        <w:t>593–608.</w:t>
      </w:r>
    </w:p>
    <w:p w14:paraId="523DB3D0" w14:textId="77777777" w:rsidR="00912B34" w:rsidRPr="00912B34" w:rsidRDefault="00912B34" w:rsidP="00912B34">
      <w:pPr>
        <w:pStyle w:val="ListParagraph"/>
        <w:ind w:left="360"/>
        <w:rPr>
          <w:sz w:val="22"/>
          <w:szCs w:val="22"/>
          <w:lang w:val="en"/>
        </w:rPr>
      </w:pPr>
      <w:r w:rsidRPr="00A30A5E">
        <w:rPr>
          <w:sz w:val="22"/>
          <w:szCs w:val="22"/>
        </w:rPr>
        <w:t xml:space="preserve">[23] Campbell J, Dedman DJ, Eaton SC </w:t>
      </w:r>
      <w:r w:rsidRPr="00A30A5E">
        <w:rPr>
          <w:i/>
          <w:sz w:val="22"/>
          <w:szCs w:val="22"/>
        </w:rPr>
        <w:t>et al</w:t>
      </w:r>
      <w:r w:rsidRPr="00A30A5E">
        <w:rPr>
          <w:sz w:val="22"/>
          <w:szCs w:val="22"/>
        </w:rPr>
        <w:t xml:space="preserve">. </w:t>
      </w:r>
      <w:r w:rsidRPr="00912B34">
        <w:rPr>
          <w:sz w:val="22"/>
          <w:szCs w:val="22"/>
        </w:rPr>
        <w:t xml:space="preserve">Is the CPRD GOLD population comparable to the U.K. population? </w:t>
      </w:r>
      <w:r w:rsidRPr="00912B34">
        <w:rPr>
          <w:i/>
          <w:iCs/>
          <w:sz w:val="22"/>
          <w:szCs w:val="22"/>
        </w:rPr>
        <w:t xml:space="preserve">Pharmacoepidemiol Drug Saf </w:t>
      </w:r>
      <w:r w:rsidRPr="00912B34">
        <w:rPr>
          <w:sz w:val="22"/>
          <w:szCs w:val="22"/>
        </w:rPr>
        <w:t>2013;</w:t>
      </w:r>
      <w:r w:rsidRPr="00912B34">
        <w:rPr>
          <w:b/>
          <w:sz w:val="22"/>
          <w:szCs w:val="22"/>
        </w:rPr>
        <w:t>22</w:t>
      </w:r>
      <w:r w:rsidRPr="00912B34">
        <w:rPr>
          <w:sz w:val="22"/>
          <w:szCs w:val="22"/>
        </w:rPr>
        <w:t>(suppl1):280.</w:t>
      </w:r>
    </w:p>
    <w:p w14:paraId="2428164B" w14:textId="77777777" w:rsidR="00912B34" w:rsidRPr="00912B34" w:rsidRDefault="00912B34" w:rsidP="00912B34">
      <w:pPr>
        <w:pStyle w:val="ListParagraph"/>
        <w:ind w:left="360"/>
        <w:rPr>
          <w:sz w:val="22"/>
          <w:szCs w:val="22"/>
          <w:lang w:val="en"/>
        </w:rPr>
      </w:pPr>
      <w:r w:rsidRPr="00912B34">
        <w:rPr>
          <w:noProof/>
          <w:sz w:val="22"/>
          <w:szCs w:val="22"/>
        </w:rPr>
        <w:t xml:space="preserve">[24] Navaratnam V, Fleming KM, West J </w:t>
      </w:r>
      <w:r w:rsidRPr="00912B34">
        <w:rPr>
          <w:i/>
          <w:noProof/>
          <w:sz w:val="22"/>
          <w:szCs w:val="22"/>
        </w:rPr>
        <w:t>et al</w:t>
      </w:r>
      <w:r w:rsidRPr="00912B34">
        <w:rPr>
          <w:noProof/>
          <w:sz w:val="22"/>
          <w:szCs w:val="22"/>
        </w:rPr>
        <w:t>. The rising incidence of idiopathic pulmonary fibrosis in the UK</w:t>
      </w:r>
      <w:r w:rsidRPr="00912B34">
        <w:rPr>
          <w:i/>
          <w:noProof/>
          <w:sz w:val="22"/>
          <w:szCs w:val="22"/>
        </w:rPr>
        <w:t xml:space="preserve">. Thorax. 2011; </w:t>
      </w:r>
      <w:r w:rsidRPr="00912B34">
        <w:rPr>
          <w:b/>
          <w:noProof/>
          <w:sz w:val="22"/>
          <w:szCs w:val="22"/>
        </w:rPr>
        <w:t>66</w:t>
      </w:r>
      <w:r w:rsidRPr="00912B34">
        <w:rPr>
          <w:noProof/>
          <w:sz w:val="22"/>
          <w:szCs w:val="22"/>
        </w:rPr>
        <w:t>(6):462–467.</w:t>
      </w:r>
    </w:p>
    <w:p w14:paraId="30EC0C05" w14:textId="77777777" w:rsidR="00912B34" w:rsidRPr="00912B34" w:rsidRDefault="00912B34" w:rsidP="00912B34">
      <w:pPr>
        <w:pStyle w:val="ListParagraph"/>
        <w:ind w:left="360"/>
        <w:rPr>
          <w:sz w:val="22"/>
          <w:szCs w:val="22"/>
          <w:lang w:val="en"/>
        </w:rPr>
      </w:pPr>
      <w:r w:rsidRPr="00912B34">
        <w:rPr>
          <w:noProof/>
          <w:sz w:val="22"/>
          <w:szCs w:val="22"/>
        </w:rPr>
        <w:t xml:space="preserve">[25] Halliday ML, Coates RA, Rankin JG. Changing Trends of Cirrhosis Mortality in Ontario, Canada, 1911–1986. </w:t>
      </w:r>
      <w:r w:rsidRPr="00912B34">
        <w:rPr>
          <w:i/>
          <w:noProof/>
          <w:sz w:val="22"/>
          <w:szCs w:val="22"/>
        </w:rPr>
        <w:t>International Journal of Epidemiology</w:t>
      </w:r>
      <w:r w:rsidRPr="00912B34">
        <w:rPr>
          <w:noProof/>
          <w:sz w:val="22"/>
          <w:szCs w:val="22"/>
        </w:rPr>
        <w:t>.1991;</w:t>
      </w:r>
      <w:r w:rsidRPr="00912B34">
        <w:rPr>
          <w:b/>
          <w:noProof/>
          <w:sz w:val="22"/>
          <w:szCs w:val="22"/>
        </w:rPr>
        <w:t>20</w:t>
      </w:r>
      <w:r w:rsidRPr="00912B34">
        <w:rPr>
          <w:noProof/>
          <w:sz w:val="22"/>
          <w:szCs w:val="22"/>
        </w:rPr>
        <w:t>(1):199–208.</w:t>
      </w:r>
    </w:p>
    <w:p w14:paraId="6A95EE4F" w14:textId="77777777" w:rsidR="00912B34" w:rsidRPr="00912B34" w:rsidRDefault="00912B34" w:rsidP="00912B34">
      <w:pPr>
        <w:pStyle w:val="ListParagraph"/>
        <w:ind w:left="360"/>
        <w:rPr>
          <w:noProof/>
          <w:sz w:val="22"/>
          <w:szCs w:val="22"/>
        </w:rPr>
      </w:pPr>
      <w:r w:rsidRPr="00912B34">
        <w:rPr>
          <w:noProof/>
          <w:sz w:val="22"/>
          <w:szCs w:val="22"/>
        </w:rPr>
        <w:t xml:space="preserve">[26] Bosetti C, Levi F, Luchinni F </w:t>
      </w:r>
      <w:r w:rsidRPr="00912B34">
        <w:rPr>
          <w:i/>
          <w:noProof/>
          <w:sz w:val="22"/>
          <w:szCs w:val="22"/>
        </w:rPr>
        <w:t>et al</w:t>
      </w:r>
      <w:r w:rsidRPr="00912B34">
        <w:rPr>
          <w:noProof/>
          <w:sz w:val="22"/>
          <w:szCs w:val="22"/>
        </w:rPr>
        <w:t xml:space="preserve">. Worldwide mortality from cirrhosis: An update to 2002. </w:t>
      </w:r>
      <w:r w:rsidRPr="00912B34">
        <w:rPr>
          <w:i/>
          <w:noProof/>
          <w:sz w:val="22"/>
          <w:szCs w:val="22"/>
        </w:rPr>
        <w:t>Journal of Hepatology</w:t>
      </w:r>
      <w:r w:rsidRPr="00912B34">
        <w:rPr>
          <w:noProof/>
          <w:sz w:val="22"/>
          <w:szCs w:val="22"/>
        </w:rPr>
        <w:t>.2007</w:t>
      </w:r>
      <w:r w:rsidRPr="00912B34">
        <w:rPr>
          <w:i/>
          <w:noProof/>
          <w:sz w:val="22"/>
          <w:szCs w:val="22"/>
        </w:rPr>
        <w:t>;</w:t>
      </w:r>
      <w:r w:rsidRPr="00912B34">
        <w:rPr>
          <w:b/>
          <w:noProof/>
          <w:sz w:val="22"/>
          <w:szCs w:val="22"/>
        </w:rPr>
        <w:t>46:</w:t>
      </w:r>
      <w:r w:rsidRPr="00912B34">
        <w:rPr>
          <w:noProof/>
          <w:sz w:val="22"/>
          <w:szCs w:val="22"/>
        </w:rPr>
        <w:t>827–839.</w:t>
      </w:r>
    </w:p>
    <w:p w14:paraId="14E44C61" w14:textId="77777777" w:rsidR="00912B34" w:rsidRDefault="00912B34" w:rsidP="0013121C">
      <w:pPr>
        <w:spacing w:after="160" w:line="360" w:lineRule="auto"/>
        <w:rPr>
          <w:rFonts w:asciiTheme="minorHAnsi" w:eastAsia="Times New Roman" w:hAnsiTheme="minorHAnsi" w:cs="Arial"/>
          <w:b/>
          <w:sz w:val="22"/>
          <w:lang w:val="en-US"/>
        </w:rPr>
      </w:pPr>
    </w:p>
    <w:p w14:paraId="1552EC7F" w14:textId="77777777" w:rsidR="00912B34" w:rsidRDefault="00912B34" w:rsidP="0013121C">
      <w:pPr>
        <w:spacing w:after="160" w:line="360" w:lineRule="auto"/>
        <w:rPr>
          <w:rFonts w:asciiTheme="minorHAnsi" w:eastAsia="Times New Roman" w:hAnsiTheme="minorHAnsi" w:cs="Arial"/>
          <w:b/>
          <w:sz w:val="22"/>
          <w:lang w:val="en-US"/>
        </w:rPr>
      </w:pPr>
    </w:p>
    <w:p w14:paraId="29479403" w14:textId="77777777" w:rsidR="00912B34" w:rsidRDefault="00912B34" w:rsidP="0013121C">
      <w:pPr>
        <w:spacing w:after="160" w:line="360" w:lineRule="auto"/>
        <w:rPr>
          <w:rFonts w:asciiTheme="minorHAnsi" w:eastAsia="Times New Roman" w:hAnsiTheme="minorHAnsi" w:cs="Arial"/>
          <w:b/>
          <w:sz w:val="22"/>
          <w:lang w:val="en-US"/>
        </w:rPr>
      </w:pPr>
    </w:p>
    <w:p w14:paraId="3A0602B1" w14:textId="77777777" w:rsidR="00912B34" w:rsidRDefault="00912B34" w:rsidP="0013121C">
      <w:pPr>
        <w:spacing w:after="160" w:line="360" w:lineRule="auto"/>
        <w:rPr>
          <w:rFonts w:asciiTheme="minorHAnsi" w:eastAsia="Times New Roman" w:hAnsiTheme="minorHAnsi" w:cs="Arial"/>
          <w:b/>
          <w:sz w:val="22"/>
          <w:lang w:val="en-US"/>
        </w:rPr>
      </w:pPr>
    </w:p>
    <w:p w14:paraId="13A224B5" w14:textId="77777777" w:rsidR="00912B34" w:rsidRDefault="00912B34" w:rsidP="0013121C">
      <w:pPr>
        <w:spacing w:after="160" w:line="360" w:lineRule="auto"/>
        <w:rPr>
          <w:rFonts w:asciiTheme="minorHAnsi" w:eastAsia="Times New Roman" w:hAnsiTheme="minorHAnsi" w:cs="Arial"/>
          <w:b/>
          <w:sz w:val="22"/>
          <w:lang w:val="en-US"/>
        </w:rPr>
      </w:pPr>
    </w:p>
    <w:p w14:paraId="4E66F684" w14:textId="77777777" w:rsidR="00912B34" w:rsidRDefault="00912B34" w:rsidP="0013121C">
      <w:pPr>
        <w:spacing w:after="160" w:line="360" w:lineRule="auto"/>
        <w:rPr>
          <w:rFonts w:asciiTheme="minorHAnsi" w:eastAsia="Times New Roman" w:hAnsiTheme="minorHAnsi" w:cs="Arial"/>
          <w:b/>
          <w:sz w:val="22"/>
          <w:lang w:val="en-US"/>
        </w:rPr>
      </w:pPr>
    </w:p>
    <w:p w14:paraId="5F0BF9B9" w14:textId="77777777" w:rsidR="00912B34" w:rsidRDefault="00912B34" w:rsidP="0013121C">
      <w:pPr>
        <w:spacing w:after="160" w:line="360" w:lineRule="auto"/>
        <w:rPr>
          <w:rFonts w:asciiTheme="minorHAnsi" w:eastAsia="Times New Roman" w:hAnsiTheme="minorHAnsi" w:cs="Arial"/>
          <w:b/>
          <w:sz w:val="22"/>
          <w:lang w:val="en-US"/>
        </w:rPr>
      </w:pPr>
    </w:p>
    <w:p w14:paraId="69780AE4" w14:textId="77777777" w:rsidR="00912B34" w:rsidRDefault="00912B34" w:rsidP="0013121C">
      <w:pPr>
        <w:spacing w:after="160" w:line="360" w:lineRule="auto"/>
        <w:rPr>
          <w:rFonts w:asciiTheme="minorHAnsi" w:eastAsia="Times New Roman" w:hAnsiTheme="minorHAnsi" w:cs="Arial"/>
          <w:b/>
          <w:sz w:val="22"/>
          <w:lang w:val="en-US"/>
        </w:rPr>
      </w:pPr>
    </w:p>
    <w:p w14:paraId="3D46C11E" w14:textId="77777777" w:rsidR="00912B34" w:rsidRDefault="00912B34" w:rsidP="0013121C">
      <w:pPr>
        <w:spacing w:after="160" w:line="360" w:lineRule="auto"/>
        <w:rPr>
          <w:rFonts w:asciiTheme="minorHAnsi" w:eastAsia="Times New Roman" w:hAnsiTheme="minorHAnsi" w:cs="Arial"/>
          <w:b/>
          <w:sz w:val="22"/>
          <w:lang w:val="en-US"/>
        </w:rPr>
      </w:pPr>
    </w:p>
    <w:p w14:paraId="5E6B7224" w14:textId="77777777" w:rsidR="00912B34" w:rsidRDefault="00912B34" w:rsidP="0013121C">
      <w:pPr>
        <w:spacing w:after="160" w:line="360" w:lineRule="auto"/>
        <w:rPr>
          <w:rFonts w:asciiTheme="minorHAnsi" w:eastAsia="Times New Roman" w:hAnsiTheme="minorHAnsi" w:cs="Arial"/>
          <w:b/>
          <w:sz w:val="22"/>
          <w:lang w:val="en-US"/>
        </w:rPr>
      </w:pPr>
    </w:p>
    <w:p w14:paraId="5B06AB8A" w14:textId="77777777" w:rsidR="00912B34" w:rsidRDefault="00912B34" w:rsidP="0013121C">
      <w:pPr>
        <w:spacing w:after="160" w:line="360" w:lineRule="auto"/>
        <w:rPr>
          <w:rFonts w:asciiTheme="minorHAnsi" w:eastAsia="Times New Roman" w:hAnsiTheme="minorHAnsi" w:cs="Arial"/>
          <w:b/>
          <w:sz w:val="22"/>
          <w:lang w:val="en-US"/>
        </w:rPr>
      </w:pPr>
    </w:p>
    <w:p w14:paraId="29EFAC85" w14:textId="77777777" w:rsidR="00912B34" w:rsidRDefault="00912B34" w:rsidP="0013121C">
      <w:pPr>
        <w:spacing w:after="160" w:line="360" w:lineRule="auto"/>
        <w:rPr>
          <w:rFonts w:asciiTheme="minorHAnsi" w:eastAsia="Times New Roman" w:hAnsiTheme="minorHAnsi" w:cs="Arial"/>
          <w:b/>
          <w:sz w:val="22"/>
          <w:lang w:val="en-US"/>
        </w:rPr>
      </w:pPr>
    </w:p>
    <w:p w14:paraId="6ABA268E" w14:textId="77777777" w:rsidR="00912B34" w:rsidRDefault="00912B34" w:rsidP="0013121C">
      <w:pPr>
        <w:spacing w:after="160" w:line="360" w:lineRule="auto"/>
        <w:rPr>
          <w:rFonts w:asciiTheme="minorHAnsi" w:eastAsia="Times New Roman" w:hAnsiTheme="minorHAnsi" w:cs="Arial"/>
          <w:b/>
          <w:sz w:val="22"/>
          <w:lang w:val="en-US"/>
        </w:rPr>
      </w:pPr>
    </w:p>
    <w:p w14:paraId="0266174A" w14:textId="77777777" w:rsidR="00912B34" w:rsidRDefault="00912B34" w:rsidP="0013121C">
      <w:pPr>
        <w:spacing w:after="160" w:line="360" w:lineRule="auto"/>
        <w:rPr>
          <w:rFonts w:asciiTheme="minorHAnsi" w:eastAsia="Times New Roman" w:hAnsiTheme="minorHAnsi" w:cs="Arial"/>
          <w:b/>
          <w:sz w:val="22"/>
          <w:lang w:val="en-US"/>
        </w:rPr>
      </w:pPr>
    </w:p>
    <w:p w14:paraId="21983578" w14:textId="5EF53B16" w:rsidR="0013121C" w:rsidRPr="006C074B" w:rsidRDefault="0013121C" w:rsidP="0013121C">
      <w:pPr>
        <w:spacing w:after="160" w:line="360" w:lineRule="auto"/>
        <w:rPr>
          <w:rFonts w:asciiTheme="minorHAnsi" w:eastAsia="Arial Unicode MS" w:hAnsiTheme="minorHAnsi" w:cs="Arial"/>
          <w:kern w:val="1"/>
          <w:sz w:val="22"/>
          <w:lang w:eastAsia="ar-SA"/>
        </w:rPr>
      </w:pPr>
      <w:r w:rsidRPr="008302F7">
        <w:rPr>
          <w:rFonts w:asciiTheme="minorHAnsi" w:eastAsia="Times New Roman" w:hAnsiTheme="minorHAnsi" w:cs="Arial"/>
          <w:b/>
          <w:sz w:val="22"/>
          <w:lang w:val="en-US"/>
        </w:rPr>
        <w:t xml:space="preserve">Financial Support: </w:t>
      </w:r>
      <w:r>
        <w:rPr>
          <w:rFonts w:asciiTheme="minorHAnsi" w:eastAsia="Arial Unicode MS" w:hAnsiTheme="minorHAnsi" w:cs="Arial"/>
          <w:kern w:val="1"/>
          <w:sz w:val="22"/>
          <w:lang w:eastAsia="ar-SA"/>
        </w:rPr>
        <w:t xml:space="preserve">This research received no specific grant from any funding agency in the public, commercial or not-for-profit sectors. </w:t>
      </w:r>
      <w:r w:rsidRPr="006C074B">
        <w:rPr>
          <w:rFonts w:asciiTheme="minorHAnsi" w:eastAsia="Arial Unicode MS" w:hAnsiTheme="minorHAnsi" w:cs="Arial"/>
          <w:kern w:val="1"/>
          <w:sz w:val="22"/>
          <w:lang w:eastAsia="ar-SA"/>
        </w:rPr>
        <w:t>S.R. was funded by a Senior</w:t>
      </w:r>
      <w:r w:rsidR="00F70E5B">
        <w:rPr>
          <w:rFonts w:asciiTheme="minorHAnsi" w:eastAsia="Arial Unicode MS" w:hAnsiTheme="minorHAnsi" w:cs="Arial"/>
          <w:kern w:val="1"/>
          <w:sz w:val="22"/>
          <w:lang w:eastAsia="ar-SA"/>
        </w:rPr>
        <w:t xml:space="preserve"> Clinical Reserach</w:t>
      </w:r>
      <w:r w:rsidRPr="006C074B">
        <w:rPr>
          <w:rFonts w:asciiTheme="minorHAnsi" w:eastAsia="Arial Unicode MS" w:hAnsiTheme="minorHAnsi" w:cs="Arial"/>
          <w:kern w:val="1"/>
          <w:sz w:val="22"/>
          <w:lang w:eastAsia="ar-SA"/>
        </w:rPr>
        <w:t xml:space="preserve"> </w:t>
      </w:r>
      <w:r w:rsidR="00F70E5B" w:rsidRPr="006C074B">
        <w:rPr>
          <w:rFonts w:asciiTheme="minorHAnsi" w:eastAsia="Arial Unicode MS" w:hAnsiTheme="minorHAnsi" w:cs="Arial"/>
          <w:kern w:val="1"/>
          <w:sz w:val="22"/>
          <w:lang w:eastAsia="ar-SA"/>
        </w:rPr>
        <w:t>Fellowship</w:t>
      </w:r>
      <w:r w:rsidR="00F70E5B">
        <w:rPr>
          <w:rFonts w:asciiTheme="minorHAnsi" w:eastAsia="Arial Unicode MS" w:hAnsiTheme="minorHAnsi" w:cs="Arial"/>
          <w:kern w:val="1"/>
          <w:sz w:val="22"/>
          <w:lang w:eastAsia="ar-SA"/>
        </w:rPr>
        <w:t xml:space="preserve"> from University of Nottingham/Nottingham University Hospital NHS Trust </w:t>
      </w:r>
      <w:r w:rsidRPr="006C074B">
        <w:rPr>
          <w:rFonts w:asciiTheme="minorHAnsi" w:eastAsia="Arial Unicode MS" w:hAnsiTheme="minorHAnsi" w:cs="Arial"/>
          <w:kern w:val="1"/>
          <w:sz w:val="22"/>
          <w:lang w:eastAsia="ar-SA"/>
        </w:rPr>
        <w:t xml:space="preserve">awarded to J.W. </w:t>
      </w:r>
    </w:p>
    <w:p w14:paraId="6748104A" w14:textId="77777777" w:rsidR="0013121C" w:rsidRPr="00C00ABD" w:rsidRDefault="0013121C" w:rsidP="0013121C">
      <w:pPr>
        <w:spacing w:line="360" w:lineRule="auto"/>
        <w:rPr>
          <w:rFonts w:asciiTheme="minorHAnsi" w:hAnsiTheme="minorHAnsi"/>
          <w:b/>
          <w:sz w:val="22"/>
        </w:rPr>
      </w:pPr>
      <w:r w:rsidRPr="00C00ABD">
        <w:rPr>
          <w:rFonts w:asciiTheme="minorHAnsi" w:hAnsiTheme="minorHAnsi"/>
          <w:b/>
          <w:sz w:val="22"/>
        </w:rPr>
        <w:t xml:space="preserve">Declaration of interest: </w:t>
      </w:r>
      <w:r w:rsidRPr="00C00ABD">
        <w:rPr>
          <w:rFonts w:asciiTheme="minorHAnsi" w:hAnsiTheme="minorHAnsi"/>
          <w:sz w:val="22"/>
        </w:rPr>
        <w:t xml:space="preserve">No conflicts of interest. </w:t>
      </w:r>
      <w:r w:rsidRPr="00C00ABD">
        <w:rPr>
          <w:rFonts w:asciiTheme="minorHAnsi" w:hAnsiTheme="minorHAnsi"/>
          <w:sz w:val="22"/>
          <w:lang w:val="en"/>
        </w:rPr>
        <w:t xml:space="preserve">All authors have completed the Unified Competing Interest form at </w:t>
      </w:r>
      <w:hyperlink r:id="rId15" w:history="1">
        <w:r w:rsidRPr="00C00ABD">
          <w:rPr>
            <w:rStyle w:val="Hyperlink"/>
            <w:rFonts w:asciiTheme="minorHAnsi" w:hAnsiTheme="minorHAnsi"/>
            <w:sz w:val="22"/>
            <w:lang w:val="en"/>
          </w:rPr>
          <w:t>www.icmje.org/coi_disclosure.pdf</w:t>
        </w:r>
      </w:hyperlink>
      <w:r w:rsidRPr="00C00ABD">
        <w:rPr>
          <w:rFonts w:asciiTheme="minorHAnsi" w:hAnsiTheme="minorHAnsi"/>
          <w:sz w:val="22"/>
          <w:lang w:val="en"/>
        </w:rPr>
        <w:t xml:space="preserve"> (available on request from the corresponding author)</w:t>
      </w:r>
      <w:r w:rsidRPr="00C00ABD">
        <w:rPr>
          <w:rFonts w:asciiTheme="minorHAnsi" w:hAnsiTheme="minorHAnsi"/>
          <w:color w:val="000000"/>
          <w:sz w:val="22"/>
        </w:rPr>
        <w:t xml:space="preserve"> and declare: no support from any organisation for the submitted work [or describe if any]; no financial relationships with any organisations that might have an interest in the submitted work in the previous three years [or describe if any], no other relationships or activities that could appear to have influenced the submi</w:t>
      </w:r>
      <w:r>
        <w:rPr>
          <w:rFonts w:asciiTheme="minorHAnsi" w:hAnsiTheme="minorHAnsi"/>
          <w:color w:val="000000"/>
          <w:sz w:val="22"/>
        </w:rPr>
        <w:t>tted work [or describe if any].</w:t>
      </w:r>
    </w:p>
    <w:p w14:paraId="52A5D39A" w14:textId="77777777" w:rsidR="009C2695" w:rsidRPr="009C2695" w:rsidRDefault="00CB6B77" w:rsidP="00A60331">
      <w:pPr>
        <w:spacing w:before="100" w:beforeAutospacing="1" w:after="100" w:afterAutospacing="1" w:line="360" w:lineRule="auto"/>
        <w:rPr>
          <w:rFonts w:asciiTheme="minorHAnsi" w:eastAsia="Times New Roman" w:hAnsiTheme="minorHAnsi" w:cs="Times New Roman"/>
          <w:sz w:val="22"/>
          <w:lang w:val="en" w:eastAsia="en-GB"/>
        </w:rPr>
      </w:pPr>
      <w:r w:rsidRPr="009C2695">
        <w:rPr>
          <w:rFonts w:asciiTheme="minorHAnsi" w:eastAsia="Times New Roman" w:hAnsiTheme="minorHAnsi" w:cs="Arial"/>
          <w:b/>
          <w:sz w:val="22"/>
          <w:lang w:val="en-US"/>
        </w:rPr>
        <w:t xml:space="preserve">Guarantor of the article: </w:t>
      </w:r>
      <w:r w:rsidRPr="009C2695">
        <w:rPr>
          <w:rFonts w:asciiTheme="minorHAnsi" w:hAnsiTheme="minorHAnsi" w:cs="Arial"/>
          <w:bCs/>
          <w:sz w:val="22"/>
        </w:rPr>
        <w:t>S.R accepts full responsibility for the conduct of the study and had access to the data and control of the decision to publish.</w:t>
      </w:r>
      <w:r w:rsidR="009C2695" w:rsidRPr="009C2695">
        <w:rPr>
          <w:rFonts w:asciiTheme="minorHAnsi" w:hAnsiTheme="minorHAnsi" w:cs="Arial"/>
          <w:bCs/>
          <w:sz w:val="22"/>
        </w:rPr>
        <w:t xml:space="preserve"> </w:t>
      </w:r>
      <w:r w:rsidR="00C00ABD">
        <w:rPr>
          <w:rFonts w:asciiTheme="minorHAnsi" w:eastAsia="Times New Roman" w:hAnsiTheme="minorHAnsi" w:cs="Times New Roman"/>
          <w:sz w:val="22"/>
          <w:lang w:val="en" w:eastAsia="en-GB"/>
        </w:rPr>
        <w:t>T</w:t>
      </w:r>
      <w:r w:rsidR="009C2695" w:rsidRPr="009C2695">
        <w:rPr>
          <w:rFonts w:asciiTheme="minorHAnsi" w:eastAsia="Times New Roman" w:hAnsiTheme="minorHAnsi" w:cs="Times New Roman"/>
          <w:sz w:val="22"/>
          <w:lang w:val="en" w:eastAsia="en-GB"/>
        </w:rPr>
        <w:t xml:space="preserve">he lead author (the manuscript's guarantor) affirms that the manuscript is an honest, accurate, and transparent account of the study being reported; that no important aspects </w:t>
      </w:r>
      <w:r w:rsidR="00C00ABD">
        <w:rPr>
          <w:rFonts w:asciiTheme="minorHAnsi" w:eastAsia="Times New Roman" w:hAnsiTheme="minorHAnsi" w:cs="Times New Roman"/>
          <w:sz w:val="22"/>
          <w:lang w:val="en" w:eastAsia="en-GB"/>
        </w:rPr>
        <w:t>of the study have been omitted.</w:t>
      </w:r>
    </w:p>
    <w:p w14:paraId="3EB3AA4A" w14:textId="4711F88A" w:rsidR="00CB6B77" w:rsidRPr="008302F7" w:rsidRDefault="00CB6B77" w:rsidP="00B12EFB">
      <w:pPr>
        <w:spacing w:line="360" w:lineRule="auto"/>
        <w:rPr>
          <w:rFonts w:asciiTheme="minorHAnsi" w:eastAsia="Arial Unicode MS" w:hAnsiTheme="minorHAnsi" w:cs="Arial"/>
          <w:kern w:val="1"/>
          <w:sz w:val="22"/>
          <w:lang w:eastAsia="ar-SA"/>
        </w:rPr>
      </w:pPr>
      <w:r w:rsidRPr="008302F7">
        <w:rPr>
          <w:rFonts w:asciiTheme="minorHAnsi" w:eastAsia="Times New Roman" w:hAnsiTheme="minorHAnsi" w:cs="Arial"/>
          <w:b/>
          <w:sz w:val="22"/>
          <w:lang w:val="en-US"/>
        </w:rPr>
        <w:t>Specific author contribution:</w:t>
      </w:r>
      <w:r w:rsidRPr="008302F7">
        <w:rPr>
          <w:rFonts w:asciiTheme="minorHAnsi" w:eastAsia="Arial Unicode MS" w:hAnsiTheme="minorHAnsi" w:cs="Arial"/>
          <w:kern w:val="1"/>
          <w:sz w:val="22"/>
          <w:lang w:eastAsia="ar-SA"/>
        </w:rPr>
        <w:t xml:space="preserve"> </w:t>
      </w:r>
      <w:r w:rsidR="006C074B">
        <w:rPr>
          <w:rFonts w:asciiTheme="minorHAnsi" w:eastAsia="Arial Unicode MS" w:hAnsiTheme="minorHAnsi" w:cs="Arial"/>
          <w:kern w:val="1"/>
          <w:sz w:val="22"/>
          <w:lang w:eastAsia="ar-SA"/>
        </w:rPr>
        <w:t>J.W.</w:t>
      </w:r>
      <w:r w:rsidRPr="008302F7">
        <w:rPr>
          <w:rFonts w:asciiTheme="minorHAnsi" w:eastAsia="Arial Unicode MS" w:hAnsiTheme="minorHAnsi" w:cs="Arial"/>
          <w:kern w:val="1"/>
          <w:sz w:val="22"/>
          <w:lang w:eastAsia="ar-SA"/>
        </w:rPr>
        <w:t xml:space="preserve"> had the original idea for the study and all authors contributed to its interpretation. S.R was responsible for data management, the statistical analysis and wrote the first draft of the paper. K.M.F. and J.W. revised the paper critically and all authors approved the final version. The funders of this study had no role in the design, analysis or interpretation of the data.</w:t>
      </w:r>
    </w:p>
    <w:p w14:paraId="0D98AF94" w14:textId="77777777" w:rsidR="0013121C" w:rsidRDefault="0013121C" w:rsidP="00827D67">
      <w:pPr>
        <w:spacing w:line="360" w:lineRule="auto"/>
        <w:rPr>
          <w:rFonts w:asciiTheme="minorHAnsi" w:hAnsiTheme="minorHAnsi"/>
          <w:b/>
          <w:sz w:val="22"/>
        </w:rPr>
      </w:pPr>
    </w:p>
    <w:p w14:paraId="35947A50" w14:textId="77777777" w:rsidR="003C2F3E" w:rsidRDefault="009C2695" w:rsidP="003C2F3E">
      <w:pPr>
        <w:spacing w:after="160" w:line="360" w:lineRule="auto"/>
        <w:rPr>
          <w:rFonts w:asciiTheme="minorHAnsi" w:hAnsiTheme="minorHAnsi"/>
          <w:b/>
          <w:sz w:val="22"/>
        </w:rPr>
      </w:pPr>
      <w:r w:rsidRPr="00A60331">
        <w:rPr>
          <w:rFonts w:asciiTheme="minorHAnsi" w:hAnsiTheme="minorHAnsi"/>
          <w:b/>
          <w:sz w:val="22"/>
          <w:lang w:val="en"/>
        </w:rPr>
        <w:t>E</w:t>
      </w:r>
      <w:r w:rsidR="005B3FEF" w:rsidRPr="00A60331">
        <w:rPr>
          <w:rFonts w:asciiTheme="minorHAnsi" w:hAnsiTheme="minorHAnsi"/>
          <w:b/>
          <w:sz w:val="22"/>
          <w:lang w:val="en"/>
        </w:rPr>
        <w:t>thics</w:t>
      </w:r>
      <w:r w:rsidR="00A60331" w:rsidRPr="00A60331">
        <w:rPr>
          <w:rFonts w:asciiTheme="minorHAnsi" w:hAnsiTheme="minorHAnsi"/>
          <w:b/>
          <w:sz w:val="22"/>
          <w:lang w:val="en"/>
        </w:rPr>
        <w:t xml:space="preserve">: </w:t>
      </w:r>
      <w:r w:rsidR="00A60331" w:rsidRPr="00A60331">
        <w:rPr>
          <w:rFonts w:asciiTheme="minorHAnsi" w:eastAsia="Arial Unicode MS" w:hAnsiTheme="minorHAnsi" w:cs="Arial"/>
          <w:kern w:val="1"/>
          <w:sz w:val="22"/>
          <w:lang w:eastAsia="ar-SA"/>
        </w:rPr>
        <w:t>Approval was given by the Independent Scientific and Ethical Committee of the CPRD for the CPRD study (09_065RA_3). Ethical approval was not required for the use of Office for National Statistics mortality data.</w:t>
      </w:r>
    </w:p>
    <w:p w14:paraId="1C2515B9" w14:textId="77777777" w:rsidR="005B3FEF" w:rsidRPr="003C2F3E" w:rsidRDefault="009C2695" w:rsidP="003C2F3E">
      <w:pPr>
        <w:spacing w:after="160" w:line="360" w:lineRule="auto"/>
        <w:rPr>
          <w:rFonts w:asciiTheme="minorHAnsi" w:hAnsiTheme="minorHAnsi"/>
          <w:b/>
          <w:sz w:val="22"/>
        </w:rPr>
      </w:pPr>
      <w:r w:rsidRPr="002B30D2">
        <w:rPr>
          <w:rFonts w:asciiTheme="minorHAnsi" w:hAnsiTheme="minorHAnsi"/>
          <w:b/>
          <w:sz w:val="22"/>
          <w:lang w:val="en"/>
        </w:rPr>
        <w:t>Data sharing</w:t>
      </w:r>
      <w:r w:rsidR="00A60331">
        <w:rPr>
          <w:rFonts w:asciiTheme="minorHAnsi" w:hAnsiTheme="minorHAnsi"/>
          <w:b/>
          <w:sz w:val="22"/>
          <w:lang w:val="en"/>
        </w:rPr>
        <w:t xml:space="preserve">: </w:t>
      </w:r>
      <w:r w:rsidR="00C00ABD">
        <w:rPr>
          <w:rFonts w:asciiTheme="minorHAnsi" w:eastAsia="Times New Roman" w:hAnsiTheme="minorHAnsi" w:cs="Times New Roman"/>
          <w:sz w:val="22"/>
          <w:lang w:val="en" w:eastAsia="en-GB"/>
        </w:rPr>
        <w:t>P</w:t>
      </w:r>
      <w:r w:rsidR="002B30D2" w:rsidRPr="002B30D2">
        <w:rPr>
          <w:rFonts w:asciiTheme="minorHAnsi" w:eastAsia="Times New Roman" w:hAnsiTheme="minorHAnsi" w:cs="Times New Roman"/>
          <w:sz w:val="22"/>
          <w:lang w:val="en" w:eastAsia="en-GB"/>
        </w:rPr>
        <w:t>atient level data and</w:t>
      </w:r>
      <w:r w:rsidR="005B3FEF" w:rsidRPr="002B30D2">
        <w:rPr>
          <w:rFonts w:asciiTheme="minorHAnsi" w:eastAsia="Times New Roman" w:hAnsiTheme="minorHAnsi" w:cs="Times New Roman"/>
          <w:sz w:val="22"/>
          <w:lang w:val="en" w:eastAsia="en-GB"/>
        </w:rPr>
        <w:t xml:space="preserve"> </w:t>
      </w:r>
      <w:r w:rsidR="002B30D2" w:rsidRPr="002B30D2">
        <w:rPr>
          <w:rFonts w:asciiTheme="minorHAnsi" w:eastAsia="Times New Roman" w:hAnsiTheme="minorHAnsi" w:cs="Times New Roman"/>
          <w:sz w:val="22"/>
          <w:lang w:val="en" w:eastAsia="en-GB"/>
        </w:rPr>
        <w:t>full dataset and technical appendix and</w:t>
      </w:r>
      <w:r w:rsidR="005B3FEF" w:rsidRPr="002B30D2">
        <w:rPr>
          <w:rFonts w:asciiTheme="minorHAnsi" w:eastAsia="Times New Roman" w:hAnsiTheme="minorHAnsi" w:cs="Times New Roman"/>
          <w:sz w:val="22"/>
          <w:lang w:val="en" w:eastAsia="en-GB"/>
        </w:rPr>
        <w:t xml:space="preserve"> </w:t>
      </w:r>
      <w:r w:rsidR="002B30D2" w:rsidRPr="002B30D2">
        <w:rPr>
          <w:rFonts w:asciiTheme="minorHAnsi" w:eastAsia="Times New Roman" w:hAnsiTheme="minorHAnsi" w:cs="Times New Roman"/>
          <w:sz w:val="22"/>
          <w:lang w:val="en" w:eastAsia="en-GB"/>
        </w:rPr>
        <w:t xml:space="preserve">statistical code are </w:t>
      </w:r>
      <w:r w:rsidRPr="002B30D2">
        <w:rPr>
          <w:rFonts w:asciiTheme="minorHAnsi" w:eastAsia="Times New Roman" w:hAnsiTheme="minorHAnsi" w:cs="Times New Roman"/>
          <w:sz w:val="22"/>
          <w:lang w:val="en" w:eastAsia="en-GB"/>
        </w:rPr>
        <w:t xml:space="preserve">available </w:t>
      </w:r>
      <w:r w:rsidR="005B3FEF" w:rsidRPr="002B30D2">
        <w:rPr>
          <w:rFonts w:asciiTheme="minorHAnsi" w:eastAsia="Times New Roman" w:hAnsiTheme="minorHAnsi" w:cs="Times New Roman"/>
          <w:sz w:val="22"/>
          <w:lang w:val="en" w:eastAsia="en-GB"/>
        </w:rPr>
        <w:t xml:space="preserve">from the </w:t>
      </w:r>
      <w:r w:rsidR="002B30D2" w:rsidRPr="002B30D2">
        <w:rPr>
          <w:rFonts w:asciiTheme="minorHAnsi" w:eastAsia="Times New Roman" w:hAnsiTheme="minorHAnsi" w:cs="Times New Roman"/>
          <w:sz w:val="22"/>
          <w:lang w:val="en" w:eastAsia="en-GB"/>
        </w:rPr>
        <w:t>corresponding author S</w:t>
      </w:r>
      <w:r w:rsidR="00A60331">
        <w:rPr>
          <w:rFonts w:asciiTheme="minorHAnsi" w:eastAsia="Times New Roman" w:hAnsiTheme="minorHAnsi" w:cs="Times New Roman"/>
          <w:sz w:val="22"/>
          <w:lang w:val="en" w:eastAsia="en-GB"/>
        </w:rPr>
        <w:t>.</w:t>
      </w:r>
      <w:r w:rsidR="002B30D2" w:rsidRPr="002B30D2">
        <w:rPr>
          <w:rFonts w:asciiTheme="minorHAnsi" w:eastAsia="Times New Roman" w:hAnsiTheme="minorHAnsi" w:cs="Times New Roman"/>
          <w:sz w:val="22"/>
          <w:lang w:val="en" w:eastAsia="en-GB"/>
        </w:rPr>
        <w:t>R. C</w:t>
      </w:r>
      <w:r w:rsidR="005B3FEF" w:rsidRPr="002B30D2">
        <w:rPr>
          <w:rFonts w:asciiTheme="minorHAnsi" w:eastAsia="Times New Roman" w:hAnsiTheme="minorHAnsi" w:cs="Times New Roman"/>
          <w:sz w:val="22"/>
          <w:lang w:val="en" w:eastAsia="en-GB"/>
        </w:rPr>
        <w:t>onsent was not obtained but the presented data are anonymised an</w:t>
      </w:r>
      <w:r w:rsidR="002B30D2" w:rsidRPr="002B30D2">
        <w:rPr>
          <w:rFonts w:asciiTheme="minorHAnsi" w:eastAsia="Times New Roman" w:hAnsiTheme="minorHAnsi" w:cs="Times New Roman"/>
          <w:sz w:val="22"/>
          <w:lang w:val="en" w:eastAsia="en-GB"/>
        </w:rPr>
        <w:t>d risk of identification is low.</w:t>
      </w:r>
    </w:p>
    <w:p w14:paraId="55BF18B2" w14:textId="77777777" w:rsidR="00A60331" w:rsidRPr="003C2F3E" w:rsidRDefault="003C2F3E" w:rsidP="00827D67">
      <w:pPr>
        <w:spacing w:line="360" w:lineRule="auto"/>
        <w:rPr>
          <w:rFonts w:asciiTheme="minorHAnsi" w:hAnsiTheme="minorHAnsi"/>
          <w:b/>
          <w:sz w:val="22"/>
        </w:rPr>
      </w:pPr>
      <w:r w:rsidRPr="003C2F3E">
        <w:rPr>
          <w:rFonts w:asciiTheme="minorHAnsi" w:hAnsiTheme="minorHAnsi"/>
          <w:b/>
          <w:color w:val="000000"/>
          <w:sz w:val="22"/>
          <w:lang w:val="en"/>
        </w:rPr>
        <w:t>License:</w:t>
      </w:r>
      <w:r w:rsidRPr="003C2F3E">
        <w:rPr>
          <w:rFonts w:asciiTheme="minorHAnsi" w:hAnsiTheme="minorHAnsi"/>
          <w:color w:val="000000"/>
          <w:sz w:val="22"/>
          <w:lang w:val="en"/>
        </w:rPr>
        <w:t xml:space="preserve"> T</w:t>
      </w:r>
      <w:r w:rsidR="00694EE9" w:rsidRPr="003C2F3E">
        <w:rPr>
          <w:rFonts w:asciiTheme="minorHAnsi" w:hAnsiTheme="minorHAnsi"/>
          <w:color w:val="000000"/>
          <w:sz w:val="22"/>
        </w:rPr>
        <w:t>he Corresponding Author has the right to grant on behalf of all authors and does grant on behalf of all authors, an exclusive licence (or non exclusive for government employees) on a worldwide basis to the BMJ Publishing Group Ltd to permit this article (if accepted) to be published in BMJ editions and any other BMJPGL products and sublicences such use and exploit all subsidiary</w:t>
      </w:r>
      <w:r>
        <w:rPr>
          <w:rFonts w:asciiTheme="minorHAnsi" w:hAnsiTheme="minorHAnsi"/>
          <w:color w:val="000000"/>
          <w:sz w:val="22"/>
        </w:rPr>
        <w:t xml:space="preserve"> </w:t>
      </w:r>
      <w:r w:rsidR="00694EE9" w:rsidRPr="003C2F3E">
        <w:rPr>
          <w:rFonts w:asciiTheme="minorHAnsi" w:hAnsiTheme="minorHAnsi"/>
          <w:color w:val="000000"/>
          <w:sz w:val="22"/>
        </w:rPr>
        <w:t>rights,</w:t>
      </w:r>
      <w:r w:rsidRPr="003C2F3E">
        <w:rPr>
          <w:rFonts w:asciiTheme="minorHAnsi" w:hAnsiTheme="minorHAnsi"/>
          <w:color w:val="000000"/>
          <w:sz w:val="22"/>
        </w:rPr>
        <w:t xml:space="preserve"> as set out in our licence.</w:t>
      </w:r>
      <w:r w:rsidR="00694EE9" w:rsidRPr="003C2F3E">
        <w:rPr>
          <w:rFonts w:asciiTheme="minorHAnsi" w:hAnsiTheme="minorHAnsi"/>
          <w:color w:val="000000"/>
          <w:sz w:val="22"/>
        </w:rPr>
        <w:br/>
      </w:r>
    </w:p>
    <w:p w14:paraId="1F23513D" w14:textId="77777777" w:rsidR="00A60331" w:rsidRDefault="00A60331" w:rsidP="00827D67">
      <w:pPr>
        <w:spacing w:line="360" w:lineRule="auto"/>
        <w:rPr>
          <w:rFonts w:asciiTheme="minorHAnsi" w:hAnsiTheme="minorHAnsi"/>
          <w:b/>
          <w:sz w:val="22"/>
        </w:rPr>
      </w:pPr>
    </w:p>
    <w:p w14:paraId="28F04C35" w14:textId="77777777" w:rsidR="00A60331" w:rsidRDefault="00A60331" w:rsidP="00827D67">
      <w:pPr>
        <w:spacing w:line="360" w:lineRule="auto"/>
        <w:rPr>
          <w:rFonts w:asciiTheme="minorHAnsi" w:hAnsiTheme="minorHAnsi"/>
          <w:b/>
          <w:sz w:val="22"/>
        </w:rPr>
      </w:pPr>
    </w:p>
    <w:p w14:paraId="25A845D4" w14:textId="77777777" w:rsidR="009B13AB" w:rsidRPr="00912B34" w:rsidRDefault="009B13AB" w:rsidP="009B13AB">
      <w:pPr>
        <w:rPr>
          <w:rFonts w:ascii="Arial" w:hAnsi="Arial" w:cs="Arial"/>
          <w:sz w:val="22"/>
        </w:rPr>
      </w:pPr>
    </w:p>
    <w:p w14:paraId="438B8ED0" w14:textId="77777777" w:rsidR="009B13AB" w:rsidRPr="00912B34" w:rsidRDefault="009B13AB" w:rsidP="009B13AB">
      <w:pPr>
        <w:rPr>
          <w:sz w:val="22"/>
        </w:rPr>
      </w:pPr>
    </w:p>
    <w:p w14:paraId="5BF28F43" w14:textId="77777777" w:rsidR="009B13AB" w:rsidRPr="00912B34" w:rsidRDefault="009B13AB" w:rsidP="009B13AB">
      <w:pPr>
        <w:ind w:left="720" w:hanging="720"/>
        <w:rPr>
          <w:sz w:val="22"/>
        </w:rPr>
        <w:sectPr w:rsidR="009B13AB" w:rsidRPr="00912B34" w:rsidSect="00D74BB0">
          <w:type w:val="continuous"/>
          <w:pgSz w:w="11906" w:h="16838"/>
          <w:pgMar w:top="1440" w:right="1440" w:bottom="1440" w:left="1440" w:header="709" w:footer="709" w:gutter="0"/>
          <w:cols w:space="708"/>
          <w:docGrid w:linePitch="360"/>
        </w:sectPr>
      </w:pPr>
    </w:p>
    <w:p w14:paraId="036EE50B" w14:textId="77777777" w:rsidR="009B13AB" w:rsidRPr="00912B34" w:rsidRDefault="008004C8" w:rsidP="009B13AB">
      <w:pPr>
        <w:spacing w:line="360" w:lineRule="auto"/>
        <w:rPr>
          <w:rFonts w:asciiTheme="minorHAnsi" w:eastAsiaTheme="minorEastAsia" w:hAnsiTheme="minorHAnsi"/>
          <w:bCs/>
          <w:color w:val="000000" w:themeColor="text1"/>
          <w:sz w:val="22"/>
          <w:lang w:eastAsia="en-GB"/>
        </w:rPr>
      </w:pPr>
      <w:bookmarkStart w:id="1" w:name="_Toc395194265"/>
      <w:r>
        <w:rPr>
          <w:rFonts w:asciiTheme="minorHAnsi" w:eastAsiaTheme="minorEastAsia" w:hAnsiTheme="minorHAnsi"/>
          <w:b/>
          <w:bCs/>
          <w:color w:val="000000" w:themeColor="text1"/>
          <w:sz w:val="22"/>
          <w:lang w:eastAsia="en-GB"/>
        </w:rPr>
        <w:t>Figure 1 Standardised</w:t>
      </w:r>
      <w:r w:rsidR="009B13AB" w:rsidRPr="00912B34">
        <w:rPr>
          <w:rFonts w:asciiTheme="minorHAnsi" w:eastAsiaTheme="minorEastAsia" w:hAnsiTheme="minorHAnsi"/>
          <w:b/>
          <w:bCs/>
          <w:color w:val="000000" w:themeColor="text1"/>
          <w:sz w:val="22"/>
          <w:lang w:eastAsia="en-GB"/>
        </w:rPr>
        <w:t xml:space="preserve"> mortality rates for England and Wales, 1968-2011, for liver disease and different definitions</w:t>
      </w:r>
      <w:r w:rsidR="009B13AB" w:rsidRPr="00912B34">
        <w:rPr>
          <w:rFonts w:asciiTheme="minorHAnsi" w:eastAsiaTheme="minorEastAsia" w:hAnsiTheme="minorHAnsi" w:cs="Times New Roman"/>
          <w:b/>
          <w:bCs/>
          <w:color w:val="000000" w:themeColor="text1"/>
          <w:sz w:val="22"/>
          <w:lang w:eastAsia="en-GB"/>
        </w:rPr>
        <w:t>†</w:t>
      </w:r>
      <w:r w:rsidR="009B13AB" w:rsidRPr="00912B34">
        <w:rPr>
          <w:rFonts w:asciiTheme="minorHAnsi" w:eastAsiaTheme="minorEastAsia" w:hAnsiTheme="minorHAnsi"/>
          <w:b/>
          <w:bCs/>
          <w:color w:val="000000" w:themeColor="text1"/>
          <w:sz w:val="22"/>
          <w:lang w:eastAsia="en-GB"/>
        </w:rPr>
        <w:t xml:space="preserve"> of cirrhosis</w:t>
      </w:r>
      <w:bookmarkEnd w:id="1"/>
      <w:r>
        <w:rPr>
          <w:rFonts w:asciiTheme="minorHAnsi" w:eastAsiaTheme="minorEastAsia" w:hAnsiTheme="minorHAnsi"/>
          <w:b/>
          <w:bCs/>
          <w:color w:val="000000" w:themeColor="text1"/>
          <w:sz w:val="22"/>
          <w:lang w:eastAsia="en-GB"/>
        </w:rPr>
        <w:t xml:space="preserve">. Standardised </w:t>
      </w:r>
      <w:r w:rsidR="009B13AB" w:rsidRPr="00912B34">
        <w:rPr>
          <w:rFonts w:asciiTheme="minorHAnsi" w:eastAsiaTheme="minorEastAsia" w:hAnsiTheme="minorHAnsi"/>
          <w:b/>
          <w:bCs/>
          <w:color w:val="000000" w:themeColor="text1"/>
          <w:sz w:val="22"/>
          <w:lang w:eastAsia="en-GB"/>
        </w:rPr>
        <w:t>incidence rates for definition 3, from 1998 to 2009.</w:t>
      </w:r>
    </w:p>
    <w:p w14:paraId="50559975" w14:textId="77777777" w:rsidR="009B13AB" w:rsidRPr="00912B34" w:rsidRDefault="009B13AB" w:rsidP="009B13AB">
      <w:pPr>
        <w:spacing w:line="360" w:lineRule="auto"/>
        <w:jc w:val="both"/>
        <w:rPr>
          <w:b/>
          <w:sz w:val="22"/>
        </w:rPr>
      </w:pPr>
    </w:p>
    <w:p w14:paraId="7EECFBC3" w14:textId="77777777" w:rsidR="009B13AB" w:rsidRPr="00912B34" w:rsidRDefault="009B13AB" w:rsidP="009B13AB">
      <w:pPr>
        <w:spacing w:line="360" w:lineRule="auto"/>
        <w:jc w:val="both"/>
        <w:rPr>
          <w:rFonts w:asciiTheme="minorHAnsi" w:eastAsiaTheme="minorEastAsia" w:hAnsiTheme="minorHAnsi"/>
          <w:noProof/>
          <w:color w:val="000000" w:themeColor="text1"/>
          <w:sz w:val="22"/>
          <w:lang w:eastAsia="en-GB"/>
        </w:rPr>
      </w:pPr>
      <w:r w:rsidRPr="00912B34">
        <w:rPr>
          <w:rFonts w:eastAsiaTheme="minorEastAsia"/>
          <w:noProof/>
          <w:sz w:val="22"/>
          <w:lang w:eastAsia="en-GB"/>
        </w:rPr>
        <mc:AlternateContent>
          <mc:Choice Requires="wps">
            <w:drawing>
              <wp:anchor distT="0" distB="0" distL="114300" distR="114300" simplePos="0" relativeHeight="251663360" behindDoc="0" locked="0" layoutInCell="1" allowOverlap="1" wp14:anchorId="792A961E" wp14:editId="71CDE69F">
                <wp:simplePos x="0" y="0"/>
                <wp:positionH relativeFrom="column">
                  <wp:posOffset>10372725</wp:posOffset>
                </wp:positionH>
                <wp:positionV relativeFrom="paragraph">
                  <wp:posOffset>2237105</wp:posOffset>
                </wp:positionV>
                <wp:extent cx="428625" cy="0"/>
                <wp:effectExtent l="0" t="0" r="9525" b="19050"/>
                <wp:wrapNone/>
                <wp:docPr id="34" name="Straight Connector 34"/>
                <wp:cNvGraphicFramePr/>
                <a:graphic xmlns:a="http://schemas.openxmlformats.org/drawingml/2006/main">
                  <a:graphicData uri="http://schemas.microsoft.com/office/word/2010/wordprocessingShape">
                    <wps:wsp>
                      <wps:cNvCnPr/>
                      <wps:spPr>
                        <a:xfrm>
                          <a:off x="0" y="0"/>
                          <a:ext cx="428625" cy="0"/>
                        </a:xfrm>
                        <a:prstGeom prst="line">
                          <a:avLst/>
                        </a:prstGeom>
                        <a:ln w="15875">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C6DB4B" id="Straight Connector 3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16.75pt,176.15pt" to="850.5pt,1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" strokecolor="gray [1629]" strokeweight="1.25pt">
                <v:stroke dashstyle="1 1" joinstyle="miter"/>
              </v:line>
            </w:pict>
          </mc:Fallback>
        </mc:AlternateContent>
      </w:r>
      <w:r w:rsidRPr="00912B34">
        <w:rPr>
          <w:rFonts w:eastAsiaTheme="minorEastAsia"/>
          <w:noProof/>
          <w:sz w:val="22"/>
          <w:lang w:eastAsia="en-GB"/>
        </w:rPr>
        <mc:AlternateContent>
          <mc:Choice Requires="wps">
            <w:drawing>
              <wp:anchor distT="0" distB="0" distL="114300" distR="114300" simplePos="0" relativeHeight="251662336" behindDoc="0" locked="0" layoutInCell="1" allowOverlap="1" wp14:anchorId="031546FE" wp14:editId="62514108">
                <wp:simplePos x="0" y="0"/>
                <wp:positionH relativeFrom="column">
                  <wp:posOffset>10306050</wp:posOffset>
                </wp:positionH>
                <wp:positionV relativeFrom="paragraph">
                  <wp:posOffset>1772920</wp:posOffset>
                </wp:positionV>
                <wp:extent cx="495300" cy="0"/>
                <wp:effectExtent l="0" t="0" r="0" b="19050"/>
                <wp:wrapNone/>
                <wp:docPr id="35" name="Straight Connector 35"/>
                <wp:cNvGraphicFramePr/>
                <a:graphic xmlns:a="http://schemas.openxmlformats.org/drawingml/2006/main">
                  <a:graphicData uri="http://schemas.microsoft.com/office/word/2010/wordprocessingShape">
                    <wps:wsp>
                      <wps:cNvCnPr/>
                      <wps:spPr>
                        <a:xfrm>
                          <a:off x="0" y="0"/>
                          <a:ext cx="495300" cy="0"/>
                        </a:xfrm>
                        <a:prstGeom prst="line">
                          <a:avLst/>
                        </a:prstGeom>
                        <a:ln w="158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7E24D" id="Straight Connector 3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1.5pt,139.6pt" to="850.5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" strokecolor="black [3213]" strokeweight="1.25pt">
                <v:stroke dashstyle="1 1" joinstyle="miter"/>
              </v:line>
            </w:pict>
          </mc:Fallback>
        </mc:AlternateContent>
      </w:r>
      <w:r w:rsidRPr="00912B34">
        <w:rPr>
          <w:rFonts w:eastAsiaTheme="minorEastAsia"/>
          <w:noProof/>
          <w:sz w:val="22"/>
          <w:lang w:eastAsia="en-GB"/>
        </w:rPr>
        <mc:AlternateContent>
          <mc:Choice Requires="wps">
            <w:drawing>
              <wp:anchor distT="0" distB="0" distL="114300" distR="114300" simplePos="0" relativeHeight="251661312" behindDoc="0" locked="0" layoutInCell="1" allowOverlap="1" wp14:anchorId="6238CA0A" wp14:editId="37ABD553">
                <wp:simplePos x="0" y="0"/>
                <wp:positionH relativeFrom="column">
                  <wp:posOffset>10306050</wp:posOffset>
                </wp:positionH>
                <wp:positionV relativeFrom="paragraph">
                  <wp:posOffset>1630045</wp:posOffset>
                </wp:positionV>
                <wp:extent cx="4953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495300" cy="0"/>
                        </a:xfrm>
                        <a:prstGeom prst="line">
                          <a:avLst/>
                        </a:prstGeom>
                        <a:ln w="158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F48D2" id="Straight Connector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1.5pt,128.35pt" to="850.5pt,1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" strokecolor="black [3213]" strokeweight="1.25pt">
                <v:stroke dashstyle="dashDot" joinstyle="miter"/>
              </v:line>
            </w:pict>
          </mc:Fallback>
        </mc:AlternateContent>
      </w:r>
      <w:r w:rsidRPr="00912B34">
        <w:rPr>
          <w:rFonts w:eastAsiaTheme="minorEastAsia"/>
          <w:noProof/>
          <w:sz w:val="22"/>
          <w:lang w:eastAsia="en-GB"/>
        </w:rPr>
        <mc:AlternateContent>
          <mc:Choice Requires="wps">
            <w:drawing>
              <wp:anchor distT="0" distB="0" distL="114300" distR="114300" simplePos="0" relativeHeight="251660288" behindDoc="0" locked="0" layoutInCell="1" allowOverlap="1" wp14:anchorId="56239603" wp14:editId="2E3EC828">
                <wp:simplePos x="0" y="0"/>
                <wp:positionH relativeFrom="column">
                  <wp:posOffset>10306050</wp:posOffset>
                </wp:positionH>
                <wp:positionV relativeFrom="paragraph">
                  <wp:posOffset>1487170</wp:posOffset>
                </wp:positionV>
                <wp:extent cx="457200" cy="0"/>
                <wp:effectExtent l="0" t="0" r="19050" b="19050"/>
                <wp:wrapNone/>
                <wp:docPr id="37" name="Straight Connector 37"/>
                <wp:cNvGraphicFramePr/>
                <a:graphic xmlns:a="http://schemas.openxmlformats.org/drawingml/2006/main">
                  <a:graphicData uri="http://schemas.microsoft.com/office/word/2010/wordprocessingShape">
                    <wps:wsp>
                      <wps:cNvCnPr/>
                      <wps:spPr>
                        <a:xfrm>
                          <a:off x="0" y="0"/>
                          <a:ext cx="457200" cy="0"/>
                        </a:xfrm>
                        <a:prstGeom prst="line">
                          <a:avLst/>
                        </a:prstGeom>
                        <a:ln w="158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7943E" id="Straight Connector 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1.5pt,117.1pt" to="847.5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" strokecolor="black [3213]" strokeweight="1.25pt">
                <v:stroke dashstyle="dash" joinstyle="miter"/>
              </v:line>
            </w:pict>
          </mc:Fallback>
        </mc:AlternateContent>
      </w:r>
      <w:r w:rsidRPr="00912B34">
        <w:rPr>
          <w:rFonts w:eastAsiaTheme="minorEastAsia"/>
          <w:noProof/>
          <w:sz w:val="22"/>
          <w:lang w:eastAsia="en-GB"/>
        </w:rPr>
        <mc:AlternateContent>
          <mc:Choice Requires="wps">
            <w:drawing>
              <wp:anchor distT="0" distB="0" distL="114300" distR="114300" simplePos="0" relativeHeight="251659264" behindDoc="0" locked="0" layoutInCell="1" allowOverlap="1" wp14:anchorId="399182EB" wp14:editId="1E5849CA">
                <wp:simplePos x="0" y="0"/>
                <wp:positionH relativeFrom="column">
                  <wp:posOffset>10267950</wp:posOffset>
                </wp:positionH>
                <wp:positionV relativeFrom="paragraph">
                  <wp:posOffset>1344295</wp:posOffset>
                </wp:positionV>
                <wp:extent cx="495300" cy="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4953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85F9A3" id="Straight Connector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5pt,105.85pt" to="847.5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" strokecolor="black [3213]" strokeweight="1.25pt">
                <v:stroke joinstyle="miter"/>
              </v:line>
            </w:pict>
          </mc:Fallback>
        </mc:AlternateContent>
      </w:r>
      <w:r w:rsidRPr="00912B34">
        <w:rPr>
          <w:noProof/>
          <w:sz w:val="22"/>
          <w:lang w:eastAsia="en-GB"/>
        </w:rPr>
        <w:t xml:space="preserve"> </w:t>
      </w:r>
      <w:r w:rsidRPr="00912B34">
        <w:rPr>
          <w:rFonts w:asciiTheme="minorHAnsi" w:eastAsiaTheme="minorEastAsia" w:hAnsiTheme="minorHAnsi"/>
          <w:b/>
          <w:bCs/>
          <w:color w:val="000000" w:themeColor="text1"/>
          <w:sz w:val="22"/>
          <w:lang w:eastAsia="en-GB"/>
        </w:rPr>
        <w:t xml:space="preserve">Figure 2 </w:t>
      </w:r>
      <w:r w:rsidR="008004C8">
        <w:rPr>
          <w:rFonts w:asciiTheme="minorHAnsi" w:eastAsiaTheme="minorEastAsia" w:hAnsiTheme="minorHAnsi"/>
          <w:b/>
          <w:bCs/>
          <w:color w:val="000000" w:themeColor="text1"/>
          <w:sz w:val="22"/>
          <w:lang w:eastAsia="en-GB"/>
        </w:rPr>
        <w:t>Standardised</w:t>
      </w:r>
      <w:r w:rsidRPr="00912B34">
        <w:rPr>
          <w:rFonts w:asciiTheme="minorHAnsi" w:eastAsiaTheme="minorEastAsia" w:hAnsiTheme="minorHAnsi"/>
          <w:b/>
          <w:bCs/>
          <w:color w:val="000000" w:themeColor="text1"/>
          <w:sz w:val="22"/>
          <w:lang w:eastAsia="en-GB"/>
        </w:rPr>
        <w:t xml:space="preserve"> mortality and incidence rates by age-group in men, according to cirrhosis definitions 1 and 3</w:t>
      </w:r>
      <w:r w:rsidR="008004C8">
        <w:rPr>
          <w:rFonts w:ascii="Times New Roman" w:eastAsiaTheme="minorEastAsia" w:hAnsi="Times New Roman" w:cs="Times New Roman"/>
          <w:b/>
          <w:bCs/>
          <w:color w:val="000000" w:themeColor="text1"/>
          <w:sz w:val="22"/>
          <w:lang w:eastAsia="en-GB"/>
        </w:rPr>
        <w:t>.</w:t>
      </w:r>
    </w:p>
    <w:p w14:paraId="64835502" w14:textId="77777777" w:rsidR="009B13AB" w:rsidRPr="00912B34" w:rsidRDefault="009B13AB" w:rsidP="009B13AB">
      <w:pPr>
        <w:spacing w:line="360" w:lineRule="auto"/>
        <w:jc w:val="both"/>
        <w:rPr>
          <w:rFonts w:asciiTheme="minorHAnsi" w:eastAsiaTheme="minorEastAsia" w:hAnsiTheme="minorHAnsi"/>
          <w:b/>
          <w:bCs/>
          <w:color w:val="000000" w:themeColor="text1"/>
          <w:sz w:val="22"/>
          <w:lang w:eastAsia="en-GB"/>
        </w:rPr>
      </w:pPr>
    </w:p>
    <w:p w14:paraId="1D612098" w14:textId="77777777" w:rsidR="009B13AB" w:rsidRPr="00912B34" w:rsidRDefault="008004C8" w:rsidP="009B13AB">
      <w:pPr>
        <w:spacing w:line="360" w:lineRule="auto"/>
        <w:jc w:val="both"/>
        <w:rPr>
          <w:rFonts w:asciiTheme="minorHAnsi" w:eastAsiaTheme="minorEastAsia" w:hAnsiTheme="minorHAnsi"/>
          <w:noProof/>
          <w:color w:val="000000" w:themeColor="text1"/>
          <w:sz w:val="22"/>
          <w:lang w:eastAsia="en-GB"/>
        </w:rPr>
      </w:pPr>
      <w:r>
        <w:rPr>
          <w:rFonts w:asciiTheme="minorHAnsi" w:eastAsiaTheme="minorEastAsia" w:hAnsiTheme="minorHAnsi"/>
          <w:b/>
          <w:bCs/>
          <w:color w:val="000000" w:themeColor="text1"/>
          <w:sz w:val="22"/>
          <w:lang w:eastAsia="en-GB"/>
        </w:rPr>
        <w:t>Figure 3 Standardised</w:t>
      </w:r>
      <w:r w:rsidR="009B13AB" w:rsidRPr="00912B34">
        <w:rPr>
          <w:rFonts w:asciiTheme="minorHAnsi" w:eastAsiaTheme="minorEastAsia" w:hAnsiTheme="minorHAnsi"/>
          <w:b/>
          <w:bCs/>
          <w:color w:val="000000" w:themeColor="text1"/>
          <w:sz w:val="22"/>
          <w:lang w:eastAsia="en-GB"/>
        </w:rPr>
        <w:t xml:space="preserve"> mortality and incidence rates by age-group in women, according to liver cirrhosis definitions 1 and 3</w:t>
      </w:r>
      <w:r>
        <w:rPr>
          <w:rFonts w:ascii="Times New Roman" w:eastAsiaTheme="minorEastAsia" w:hAnsi="Times New Roman" w:cs="Times New Roman"/>
          <w:b/>
          <w:bCs/>
          <w:color w:val="000000" w:themeColor="text1"/>
          <w:sz w:val="22"/>
          <w:lang w:eastAsia="en-GB"/>
        </w:rPr>
        <w:t>.</w:t>
      </w:r>
    </w:p>
    <w:p w14:paraId="322C2C27" w14:textId="77777777" w:rsidR="00306638" w:rsidRDefault="00306638" w:rsidP="00827D67">
      <w:pPr>
        <w:spacing w:line="360" w:lineRule="auto"/>
        <w:rPr>
          <w:rFonts w:asciiTheme="minorHAnsi" w:hAnsiTheme="minorHAnsi"/>
          <w:b/>
          <w:sz w:val="22"/>
        </w:rPr>
      </w:pPr>
    </w:p>
    <w:p w14:paraId="63A6B233" w14:textId="77777777" w:rsidR="00306638" w:rsidRDefault="00306638" w:rsidP="00827D67">
      <w:pPr>
        <w:spacing w:line="360" w:lineRule="auto"/>
        <w:rPr>
          <w:rFonts w:asciiTheme="minorHAnsi" w:hAnsiTheme="minorHAnsi"/>
          <w:b/>
          <w:sz w:val="22"/>
        </w:rPr>
      </w:pPr>
    </w:p>
    <w:p w14:paraId="0D0F4D29" w14:textId="77777777" w:rsidR="00827D67" w:rsidRDefault="00827D67" w:rsidP="00827D67">
      <w:bookmarkStart w:id="2" w:name="aff-1"/>
      <w:bookmarkEnd w:id="2"/>
    </w:p>
    <w:p w14:paraId="1F0FD053" w14:textId="77777777" w:rsidR="00827D67" w:rsidRDefault="00827D67" w:rsidP="00827D67"/>
    <w:p w14:paraId="3CB7BCFF" w14:textId="77777777" w:rsidR="00827D67" w:rsidRDefault="00827D67" w:rsidP="00827D67">
      <w:r>
        <w:fldChar w:fldCharType="begin"/>
      </w:r>
      <w:r>
        <w:instrText xml:space="preserve"> ADDIN EN.REFLIST </w:instrText>
      </w:r>
      <w:r>
        <w:fldChar w:fldCharType="end"/>
      </w:r>
    </w:p>
    <w:p w14:paraId="6FDA48FE" w14:textId="77777777" w:rsidR="00C71261" w:rsidRDefault="00C71261" w:rsidP="0054619C">
      <w:pPr>
        <w:spacing w:line="360" w:lineRule="auto"/>
        <w:rPr>
          <w:rFonts w:asciiTheme="minorHAnsi" w:hAnsiTheme="minorHAnsi"/>
          <w:sz w:val="22"/>
          <w:lang w:val="en"/>
        </w:rPr>
      </w:pPr>
    </w:p>
    <w:p w14:paraId="242F279E" w14:textId="77777777" w:rsidR="00C71261" w:rsidRDefault="00C71261" w:rsidP="0054619C">
      <w:pPr>
        <w:spacing w:line="360" w:lineRule="auto"/>
        <w:rPr>
          <w:rFonts w:asciiTheme="minorHAnsi" w:hAnsiTheme="minorHAnsi"/>
          <w:sz w:val="22"/>
          <w:lang w:val="en"/>
        </w:rPr>
      </w:pPr>
    </w:p>
    <w:p w14:paraId="400FAF3E" w14:textId="77777777" w:rsidR="00C71261" w:rsidRDefault="00C71261" w:rsidP="0054619C">
      <w:pPr>
        <w:spacing w:line="360" w:lineRule="auto"/>
        <w:rPr>
          <w:rFonts w:asciiTheme="minorHAnsi" w:hAnsiTheme="minorHAnsi"/>
          <w:sz w:val="22"/>
          <w:lang w:val="en"/>
        </w:rPr>
      </w:pPr>
    </w:p>
    <w:p w14:paraId="34C2A502" w14:textId="77777777" w:rsidR="00C71261" w:rsidRDefault="00C71261" w:rsidP="0054619C">
      <w:pPr>
        <w:spacing w:line="360" w:lineRule="auto"/>
        <w:rPr>
          <w:rFonts w:asciiTheme="minorHAnsi" w:hAnsiTheme="minorHAnsi"/>
          <w:sz w:val="22"/>
          <w:lang w:val="en"/>
        </w:rPr>
      </w:pPr>
    </w:p>
    <w:p w14:paraId="2A40FC25" w14:textId="77777777" w:rsidR="00C71261" w:rsidRDefault="00C71261" w:rsidP="0054619C">
      <w:pPr>
        <w:spacing w:line="360" w:lineRule="auto"/>
        <w:rPr>
          <w:rFonts w:asciiTheme="minorHAnsi" w:hAnsiTheme="minorHAnsi"/>
          <w:sz w:val="22"/>
          <w:lang w:val="en"/>
        </w:rPr>
      </w:pPr>
    </w:p>
    <w:p w14:paraId="1A15D6AF" w14:textId="77777777" w:rsidR="00C71261" w:rsidRDefault="00C71261" w:rsidP="0054619C">
      <w:pPr>
        <w:spacing w:line="360" w:lineRule="auto"/>
        <w:rPr>
          <w:rFonts w:asciiTheme="minorHAnsi" w:hAnsiTheme="minorHAnsi"/>
          <w:sz w:val="22"/>
          <w:lang w:val="en"/>
        </w:rPr>
      </w:pPr>
    </w:p>
    <w:p w14:paraId="52D9B6BD" w14:textId="77777777" w:rsidR="00C71261" w:rsidRDefault="00C71261" w:rsidP="0054619C">
      <w:pPr>
        <w:spacing w:line="360" w:lineRule="auto"/>
        <w:rPr>
          <w:rFonts w:asciiTheme="minorHAnsi" w:hAnsiTheme="minorHAnsi"/>
          <w:sz w:val="22"/>
          <w:lang w:val="en"/>
        </w:rPr>
      </w:pPr>
    </w:p>
    <w:p w14:paraId="05444F39" w14:textId="77777777" w:rsidR="00C71261" w:rsidRDefault="00C71261" w:rsidP="0054619C">
      <w:pPr>
        <w:spacing w:line="360" w:lineRule="auto"/>
        <w:rPr>
          <w:rFonts w:asciiTheme="minorHAnsi" w:hAnsiTheme="minorHAnsi"/>
          <w:sz w:val="22"/>
          <w:lang w:val="en"/>
        </w:rPr>
      </w:pPr>
    </w:p>
    <w:p w14:paraId="289FFA07" w14:textId="77777777" w:rsidR="00C71261" w:rsidRDefault="00C71261" w:rsidP="0054619C">
      <w:pPr>
        <w:spacing w:line="360" w:lineRule="auto"/>
        <w:rPr>
          <w:rFonts w:asciiTheme="minorHAnsi" w:hAnsiTheme="minorHAnsi"/>
          <w:sz w:val="22"/>
          <w:lang w:val="en"/>
        </w:rPr>
      </w:pPr>
    </w:p>
    <w:p w14:paraId="1C479A7D" w14:textId="77777777" w:rsidR="00C71261" w:rsidRDefault="00C71261" w:rsidP="0054619C">
      <w:pPr>
        <w:spacing w:line="360" w:lineRule="auto"/>
        <w:rPr>
          <w:rFonts w:asciiTheme="minorHAnsi" w:hAnsiTheme="minorHAnsi"/>
          <w:sz w:val="22"/>
          <w:lang w:val="en"/>
        </w:rPr>
      </w:pPr>
    </w:p>
    <w:p w14:paraId="01FE6CE1" w14:textId="77777777" w:rsidR="00C71261" w:rsidRDefault="00C71261" w:rsidP="0054619C">
      <w:pPr>
        <w:spacing w:line="360" w:lineRule="auto"/>
        <w:rPr>
          <w:rFonts w:asciiTheme="minorHAnsi" w:hAnsiTheme="minorHAnsi"/>
          <w:sz w:val="22"/>
          <w:lang w:val="en"/>
        </w:rPr>
        <w:sectPr w:rsidR="00C71261" w:rsidSect="00D74BB0">
          <w:footerReference w:type="default" r:id="rId16"/>
          <w:type w:val="continuous"/>
          <w:pgSz w:w="11906" w:h="16838"/>
          <w:pgMar w:top="1440" w:right="1440" w:bottom="1440" w:left="1440" w:header="709" w:footer="709" w:gutter="0"/>
          <w:cols w:space="708"/>
          <w:docGrid w:linePitch="360"/>
        </w:sectPr>
      </w:pPr>
    </w:p>
    <w:tbl>
      <w:tblPr>
        <w:tblStyle w:val="TableGrid8"/>
        <w:tblW w:w="14709" w:type="dxa"/>
        <w:tblLook w:val="04A0" w:firstRow="1" w:lastRow="0" w:firstColumn="1" w:lastColumn="0" w:noHBand="0" w:noVBand="1"/>
      </w:tblPr>
      <w:tblGrid>
        <w:gridCol w:w="6111"/>
        <w:gridCol w:w="1106"/>
        <w:gridCol w:w="1207"/>
        <w:gridCol w:w="1607"/>
        <w:gridCol w:w="1276"/>
        <w:gridCol w:w="1683"/>
        <w:gridCol w:w="1719"/>
      </w:tblGrid>
      <w:tr w:rsidR="008F3315" w:rsidRPr="00784677" w14:paraId="27CE3561" w14:textId="77777777" w:rsidTr="00980D87">
        <w:trPr>
          <w:trHeight w:val="798"/>
        </w:trPr>
        <w:tc>
          <w:tcPr>
            <w:tcW w:w="0" w:type="auto"/>
          </w:tcPr>
          <w:p w14:paraId="18A3A173" w14:textId="77777777" w:rsidR="008F3315" w:rsidRPr="00784677" w:rsidRDefault="008F3315" w:rsidP="00980D87">
            <w:pPr>
              <w:spacing w:line="360" w:lineRule="auto"/>
              <w:rPr>
                <w:b/>
                <w:sz w:val="14"/>
                <w:szCs w:val="14"/>
              </w:rPr>
            </w:pPr>
            <w:r w:rsidRPr="00784677">
              <w:rPr>
                <w:b/>
                <w:sz w:val="14"/>
                <w:szCs w:val="14"/>
              </w:rPr>
              <w:t>ICD description</w:t>
            </w:r>
          </w:p>
        </w:tc>
        <w:tc>
          <w:tcPr>
            <w:tcW w:w="0" w:type="auto"/>
          </w:tcPr>
          <w:p w14:paraId="5875649D" w14:textId="77777777" w:rsidR="008F3315" w:rsidRPr="00784677" w:rsidRDefault="008F3315" w:rsidP="00980D87">
            <w:pPr>
              <w:spacing w:line="360" w:lineRule="auto"/>
              <w:jc w:val="left"/>
              <w:rPr>
                <w:b/>
                <w:sz w:val="14"/>
                <w:szCs w:val="14"/>
              </w:rPr>
            </w:pPr>
            <w:r w:rsidRPr="00784677">
              <w:rPr>
                <w:b/>
                <w:sz w:val="14"/>
                <w:szCs w:val="14"/>
              </w:rPr>
              <w:t>ICD-9 code</w:t>
            </w:r>
          </w:p>
        </w:tc>
        <w:tc>
          <w:tcPr>
            <w:tcW w:w="0" w:type="auto"/>
          </w:tcPr>
          <w:p w14:paraId="2AA1AF7B" w14:textId="77777777" w:rsidR="008F3315" w:rsidRPr="00784677" w:rsidRDefault="008F3315" w:rsidP="00980D87">
            <w:pPr>
              <w:spacing w:line="360" w:lineRule="auto"/>
              <w:jc w:val="left"/>
              <w:rPr>
                <w:b/>
                <w:sz w:val="14"/>
                <w:szCs w:val="14"/>
              </w:rPr>
            </w:pPr>
            <w:r w:rsidRPr="00784677">
              <w:rPr>
                <w:b/>
                <w:sz w:val="14"/>
                <w:szCs w:val="14"/>
              </w:rPr>
              <w:t>ICD-10 code</w:t>
            </w:r>
          </w:p>
        </w:tc>
        <w:tc>
          <w:tcPr>
            <w:tcW w:w="2883" w:type="dxa"/>
            <w:gridSpan w:val="2"/>
          </w:tcPr>
          <w:p w14:paraId="17D5D05C" w14:textId="77777777" w:rsidR="008F3315" w:rsidRPr="00784677" w:rsidRDefault="008F3315" w:rsidP="00980D87">
            <w:pPr>
              <w:spacing w:line="360" w:lineRule="auto"/>
              <w:jc w:val="left"/>
              <w:rPr>
                <w:b/>
                <w:sz w:val="14"/>
                <w:szCs w:val="14"/>
              </w:rPr>
            </w:pPr>
            <w:r w:rsidRPr="00784677">
              <w:rPr>
                <w:b/>
                <w:sz w:val="14"/>
                <w:szCs w:val="14"/>
              </w:rPr>
              <w:t>Liver cirrhosis-definition 1</w:t>
            </w:r>
          </w:p>
        </w:tc>
        <w:tc>
          <w:tcPr>
            <w:tcW w:w="3402" w:type="dxa"/>
            <w:gridSpan w:val="2"/>
          </w:tcPr>
          <w:p w14:paraId="00A728A0" w14:textId="77777777" w:rsidR="008F3315" w:rsidRPr="00784677" w:rsidRDefault="008F3315" w:rsidP="00980D87">
            <w:pPr>
              <w:spacing w:line="360" w:lineRule="auto"/>
              <w:jc w:val="left"/>
              <w:rPr>
                <w:b/>
                <w:sz w:val="14"/>
                <w:szCs w:val="14"/>
              </w:rPr>
            </w:pPr>
            <w:r w:rsidRPr="00784677">
              <w:rPr>
                <w:b/>
                <w:sz w:val="14"/>
                <w:szCs w:val="14"/>
              </w:rPr>
              <w:t>Liver cirrhosis-definition 3</w:t>
            </w:r>
          </w:p>
        </w:tc>
      </w:tr>
      <w:tr w:rsidR="008F3315" w:rsidRPr="00784677" w14:paraId="7CA0C403" w14:textId="77777777" w:rsidTr="00980D87">
        <w:trPr>
          <w:trHeight w:hRule="exact" w:val="308"/>
        </w:trPr>
        <w:tc>
          <w:tcPr>
            <w:tcW w:w="0" w:type="auto"/>
          </w:tcPr>
          <w:p w14:paraId="2CE28702" w14:textId="77777777" w:rsidR="008F3315" w:rsidRPr="00784677" w:rsidRDefault="008F3315" w:rsidP="00980D87">
            <w:pPr>
              <w:spacing w:line="360" w:lineRule="auto"/>
              <w:rPr>
                <w:b/>
                <w:sz w:val="14"/>
                <w:szCs w:val="14"/>
              </w:rPr>
            </w:pPr>
          </w:p>
        </w:tc>
        <w:tc>
          <w:tcPr>
            <w:tcW w:w="0" w:type="auto"/>
          </w:tcPr>
          <w:p w14:paraId="0962229F" w14:textId="77777777" w:rsidR="008F3315" w:rsidRPr="00784677" w:rsidRDefault="008F3315" w:rsidP="00980D87">
            <w:pPr>
              <w:spacing w:line="360" w:lineRule="auto"/>
              <w:jc w:val="left"/>
              <w:rPr>
                <w:b/>
                <w:sz w:val="14"/>
                <w:szCs w:val="14"/>
              </w:rPr>
            </w:pPr>
          </w:p>
        </w:tc>
        <w:tc>
          <w:tcPr>
            <w:tcW w:w="0" w:type="auto"/>
          </w:tcPr>
          <w:p w14:paraId="14D6E327" w14:textId="77777777" w:rsidR="008F3315" w:rsidRPr="00784677" w:rsidRDefault="008F3315" w:rsidP="00980D87">
            <w:pPr>
              <w:spacing w:line="360" w:lineRule="auto"/>
              <w:jc w:val="left"/>
              <w:rPr>
                <w:b/>
                <w:sz w:val="14"/>
                <w:szCs w:val="14"/>
              </w:rPr>
            </w:pPr>
          </w:p>
        </w:tc>
        <w:tc>
          <w:tcPr>
            <w:tcW w:w="1607" w:type="dxa"/>
          </w:tcPr>
          <w:p w14:paraId="12D4FF8A" w14:textId="77777777" w:rsidR="008F3315" w:rsidRPr="00784677" w:rsidRDefault="008F3315" w:rsidP="00980D87">
            <w:pPr>
              <w:spacing w:line="360" w:lineRule="auto"/>
              <w:jc w:val="left"/>
              <w:rPr>
                <w:b/>
                <w:sz w:val="14"/>
                <w:szCs w:val="14"/>
              </w:rPr>
            </w:pPr>
            <w:r w:rsidRPr="00784677">
              <w:rPr>
                <w:b/>
                <w:sz w:val="14"/>
                <w:szCs w:val="14"/>
              </w:rPr>
              <w:t>1992</w:t>
            </w:r>
          </w:p>
          <w:p w14:paraId="105BFAFC" w14:textId="77777777" w:rsidR="008F3315" w:rsidRPr="00784677" w:rsidRDefault="008F3315" w:rsidP="00980D87">
            <w:pPr>
              <w:spacing w:line="360" w:lineRule="auto"/>
              <w:jc w:val="left"/>
              <w:rPr>
                <w:b/>
                <w:sz w:val="14"/>
                <w:szCs w:val="14"/>
              </w:rPr>
            </w:pPr>
          </w:p>
          <w:p w14:paraId="33B846F7" w14:textId="77777777" w:rsidR="008F3315" w:rsidRPr="00784677" w:rsidRDefault="008F3315" w:rsidP="00980D87">
            <w:pPr>
              <w:spacing w:line="360" w:lineRule="auto"/>
              <w:jc w:val="left"/>
              <w:rPr>
                <w:b/>
                <w:sz w:val="14"/>
                <w:szCs w:val="14"/>
              </w:rPr>
            </w:pPr>
          </w:p>
        </w:tc>
        <w:tc>
          <w:tcPr>
            <w:tcW w:w="1276" w:type="dxa"/>
          </w:tcPr>
          <w:p w14:paraId="3F873069" w14:textId="77777777" w:rsidR="008F3315" w:rsidRPr="00784677" w:rsidRDefault="008F3315" w:rsidP="00980D87">
            <w:pPr>
              <w:spacing w:line="360" w:lineRule="auto"/>
              <w:jc w:val="left"/>
              <w:rPr>
                <w:b/>
                <w:sz w:val="14"/>
                <w:szCs w:val="14"/>
              </w:rPr>
            </w:pPr>
            <w:r w:rsidRPr="00784677">
              <w:rPr>
                <w:b/>
                <w:sz w:val="14"/>
                <w:szCs w:val="14"/>
              </w:rPr>
              <w:t>2008</w:t>
            </w:r>
          </w:p>
        </w:tc>
        <w:tc>
          <w:tcPr>
            <w:tcW w:w="1683" w:type="dxa"/>
          </w:tcPr>
          <w:p w14:paraId="4058F098" w14:textId="77777777" w:rsidR="008F3315" w:rsidRPr="00784677" w:rsidRDefault="008F3315" w:rsidP="00980D87">
            <w:pPr>
              <w:spacing w:line="360" w:lineRule="auto"/>
              <w:jc w:val="left"/>
              <w:rPr>
                <w:b/>
                <w:sz w:val="14"/>
                <w:szCs w:val="14"/>
              </w:rPr>
            </w:pPr>
            <w:r w:rsidRPr="00784677">
              <w:rPr>
                <w:b/>
                <w:sz w:val="14"/>
                <w:szCs w:val="14"/>
              </w:rPr>
              <w:t>1992</w:t>
            </w:r>
          </w:p>
        </w:tc>
        <w:tc>
          <w:tcPr>
            <w:tcW w:w="1719" w:type="dxa"/>
          </w:tcPr>
          <w:p w14:paraId="2F12BB1B" w14:textId="77777777" w:rsidR="008F3315" w:rsidRPr="00784677" w:rsidRDefault="008F3315" w:rsidP="00980D87">
            <w:pPr>
              <w:spacing w:line="360" w:lineRule="auto"/>
              <w:jc w:val="left"/>
              <w:rPr>
                <w:b/>
                <w:sz w:val="14"/>
                <w:szCs w:val="14"/>
              </w:rPr>
            </w:pPr>
            <w:r w:rsidRPr="00784677">
              <w:rPr>
                <w:b/>
                <w:sz w:val="14"/>
                <w:szCs w:val="14"/>
              </w:rPr>
              <w:t>2008</w:t>
            </w:r>
          </w:p>
        </w:tc>
      </w:tr>
      <w:tr w:rsidR="008F3315" w:rsidRPr="00784677" w14:paraId="69C349B4" w14:textId="77777777" w:rsidTr="00980D87">
        <w:trPr>
          <w:trHeight w:hRule="exact" w:val="308"/>
        </w:trPr>
        <w:tc>
          <w:tcPr>
            <w:tcW w:w="0" w:type="auto"/>
          </w:tcPr>
          <w:p w14:paraId="3E8C92B0" w14:textId="77777777" w:rsidR="008F3315" w:rsidRPr="00784677" w:rsidRDefault="008F3315" w:rsidP="00980D87">
            <w:pPr>
              <w:spacing w:line="360" w:lineRule="auto"/>
              <w:rPr>
                <w:b/>
                <w:sz w:val="14"/>
                <w:szCs w:val="14"/>
              </w:rPr>
            </w:pPr>
          </w:p>
        </w:tc>
        <w:tc>
          <w:tcPr>
            <w:tcW w:w="0" w:type="auto"/>
          </w:tcPr>
          <w:p w14:paraId="31E43D7C" w14:textId="77777777" w:rsidR="008F3315" w:rsidRPr="00784677" w:rsidRDefault="008F3315" w:rsidP="00980D87">
            <w:pPr>
              <w:spacing w:line="360" w:lineRule="auto"/>
              <w:jc w:val="left"/>
              <w:rPr>
                <w:b/>
                <w:sz w:val="14"/>
                <w:szCs w:val="14"/>
              </w:rPr>
            </w:pPr>
          </w:p>
        </w:tc>
        <w:tc>
          <w:tcPr>
            <w:tcW w:w="0" w:type="auto"/>
          </w:tcPr>
          <w:p w14:paraId="1C1785D5" w14:textId="77777777" w:rsidR="008F3315" w:rsidRPr="00784677" w:rsidRDefault="008F3315" w:rsidP="00980D87">
            <w:pPr>
              <w:spacing w:line="360" w:lineRule="auto"/>
              <w:jc w:val="left"/>
              <w:rPr>
                <w:b/>
                <w:sz w:val="14"/>
                <w:szCs w:val="14"/>
              </w:rPr>
            </w:pPr>
          </w:p>
        </w:tc>
        <w:tc>
          <w:tcPr>
            <w:tcW w:w="1607" w:type="dxa"/>
          </w:tcPr>
          <w:p w14:paraId="4D75F04E" w14:textId="77777777" w:rsidR="008F3315" w:rsidRPr="00784677" w:rsidRDefault="008F3315" w:rsidP="00980D87">
            <w:pPr>
              <w:spacing w:line="360" w:lineRule="auto"/>
              <w:jc w:val="left"/>
              <w:rPr>
                <w:b/>
                <w:sz w:val="14"/>
                <w:szCs w:val="14"/>
              </w:rPr>
            </w:pPr>
            <w:r w:rsidRPr="00784677">
              <w:rPr>
                <w:b/>
                <w:sz w:val="14"/>
                <w:szCs w:val="14"/>
              </w:rPr>
              <w:t>n=3050</w:t>
            </w:r>
          </w:p>
        </w:tc>
        <w:tc>
          <w:tcPr>
            <w:tcW w:w="1276" w:type="dxa"/>
          </w:tcPr>
          <w:p w14:paraId="4090B574" w14:textId="77777777" w:rsidR="008F3315" w:rsidRPr="00784677" w:rsidRDefault="008F3315" w:rsidP="00980D87">
            <w:pPr>
              <w:spacing w:line="360" w:lineRule="auto"/>
              <w:jc w:val="left"/>
              <w:rPr>
                <w:b/>
                <w:sz w:val="14"/>
                <w:szCs w:val="14"/>
              </w:rPr>
            </w:pPr>
            <w:r w:rsidRPr="00784677">
              <w:rPr>
                <w:b/>
                <w:sz w:val="14"/>
                <w:szCs w:val="14"/>
              </w:rPr>
              <w:t>n=6469</w:t>
            </w:r>
          </w:p>
        </w:tc>
        <w:tc>
          <w:tcPr>
            <w:tcW w:w="1683" w:type="dxa"/>
          </w:tcPr>
          <w:p w14:paraId="0A8E0A2C" w14:textId="77777777" w:rsidR="008F3315" w:rsidRPr="00784677" w:rsidRDefault="008F3315" w:rsidP="00980D87">
            <w:pPr>
              <w:spacing w:line="360" w:lineRule="auto"/>
              <w:jc w:val="left"/>
              <w:rPr>
                <w:b/>
                <w:sz w:val="14"/>
                <w:szCs w:val="14"/>
              </w:rPr>
            </w:pPr>
            <w:r w:rsidRPr="00784677">
              <w:rPr>
                <w:b/>
                <w:sz w:val="14"/>
                <w:szCs w:val="14"/>
              </w:rPr>
              <w:t>n=2118</w:t>
            </w:r>
          </w:p>
        </w:tc>
        <w:tc>
          <w:tcPr>
            <w:tcW w:w="1719" w:type="dxa"/>
          </w:tcPr>
          <w:p w14:paraId="0628E419" w14:textId="77777777" w:rsidR="008F3315" w:rsidRPr="00784677" w:rsidRDefault="008F3315" w:rsidP="00980D87">
            <w:pPr>
              <w:spacing w:line="360" w:lineRule="auto"/>
              <w:jc w:val="left"/>
              <w:rPr>
                <w:b/>
                <w:sz w:val="14"/>
                <w:szCs w:val="14"/>
              </w:rPr>
            </w:pPr>
            <w:r w:rsidRPr="00784677">
              <w:rPr>
                <w:b/>
                <w:sz w:val="14"/>
                <w:szCs w:val="14"/>
              </w:rPr>
              <w:t>n=2584</w:t>
            </w:r>
          </w:p>
        </w:tc>
      </w:tr>
      <w:tr w:rsidR="008F3315" w:rsidRPr="00784677" w14:paraId="0D578005" w14:textId="77777777" w:rsidTr="00980D87">
        <w:trPr>
          <w:trHeight w:hRule="exact" w:val="308"/>
        </w:trPr>
        <w:tc>
          <w:tcPr>
            <w:tcW w:w="0" w:type="auto"/>
            <w:vAlign w:val="bottom"/>
          </w:tcPr>
          <w:p w14:paraId="03EF6832" w14:textId="77777777" w:rsidR="008F3315" w:rsidRPr="00784677" w:rsidRDefault="008F3315" w:rsidP="00980D87">
            <w:pPr>
              <w:spacing w:line="360" w:lineRule="auto"/>
              <w:rPr>
                <w:sz w:val="14"/>
                <w:szCs w:val="14"/>
              </w:rPr>
            </w:pPr>
            <w:r w:rsidRPr="00784677">
              <w:rPr>
                <w:sz w:val="14"/>
                <w:szCs w:val="14"/>
              </w:rPr>
              <w:t>Alcoholic fatty liver</w:t>
            </w:r>
          </w:p>
        </w:tc>
        <w:tc>
          <w:tcPr>
            <w:tcW w:w="0" w:type="auto"/>
            <w:vAlign w:val="bottom"/>
          </w:tcPr>
          <w:p w14:paraId="127CE590" w14:textId="77777777" w:rsidR="008F3315" w:rsidRPr="00784677" w:rsidRDefault="008F3315" w:rsidP="00980D87">
            <w:pPr>
              <w:spacing w:line="360" w:lineRule="auto"/>
              <w:jc w:val="left"/>
              <w:rPr>
                <w:sz w:val="14"/>
                <w:szCs w:val="14"/>
              </w:rPr>
            </w:pPr>
            <w:r w:rsidRPr="00784677">
              <w:rPr>
                <w:sz w:val="14"/>
                <w:szCs w:val="14"/>
              </w:rPr>
              <w:t>5710</w:t>
            </w:r>
          </w:p>
        </w:tc>
        <w:tc>
          <w:tcPr>
            <w:tcW w:w="0" w:type="auto"/>
            <w:vAlign w:val="bottom"/>
          </w:tcPr>
          <w:p w14:paraId="5C7F7CE8" w14:textId="77777777" w:rsidR="008F3315" w:rsidRPr="00784677" w:rsidRDefault="008F3315" w:rsidP="00980D87">
            <w:pPr>
              <w:spacing w:line="360" w:lineRule="auto"/>
              <w:jc w:val="left"/>
              <w:rPr>
                <w:sz w:val="14"/>
                <w:szCs w:val="14"/>
              </w:rPr>
            </w:pPr>
            <w:r w:rsidRPr="00784677">
              <w:rPr>
                <w:sz w:val="14"/>
                <w:szCs w:val="14"/>
              </w:rPr>
              <w:t>K70.0</w:t>
            </w:r>
          </w:p>
        </w:tc>
        <w:tc>
          <w:tcPr>
            <w:tcW w:w="1607" w:type="dxa"/>
            <w:vAlign w:val="bottom"/>
          </w:tcPr>
          <w:p w14:paraId="21E7C7F2" w14:textId="77777777" w:rsidR="008F3315" w:rsidRPr="00784677" w:rsidRDefault="008F3315" w:rsidP="00980D87">
            <w:pPr>
              <w:spacing w:line="360" w:lineRule="auto"/>
              <w:jc w:val="left"/>
              <w:rPr>
                <w:sz w:val="14"/>
                <w:szCs w:val="14"/>
              </w:rPr>
            </w:pPr>
            <w:r w:rsidRPr="00784677">
              <w:rPr>
                <w:sz w:val="14"/>
                <w:szCs w:val="14"/>
              </w:rPr>
              <w:t>34 (1·1)</w:t>
            </w:r>
          </w:p>
        </w:tc>
        <w:tc>
          <w:tcPr>
            <w:tcW w:w="1276" w:type="dxa"/>
            <w:vAlign w:val="bottom"/>
          </w:tcPr>
          <w:p w14:paraId="53EE4576" w14:textId="77777777" w:rsidR="008F3315" w:rsidRPr="00784677" w:rsidRDefault="008F3315" w:rsidP="00980D87">
            <w:pPr>
              <w:spacing w:line="360" w:lineRule="auto"/>
              <w:jc w:val="left"/>
              <w:rPr>
                <w:sz w:val="14"/>
                <w:szCs w:val="14"/>
              </w:rPr>
            </w:pPr>
            <w:r w:rsidRPr="00784677">
              <w:rPr>
                <w:sz w:val="14"/>
                <w:szCs w:val="14"/>
              </w:rPr>
              <w:t>229 (3·5)</w:t>
            </w:r>
          </w:p>
        </w:tc>
        <w:tc>
          <w:tcPr>
            <w:tcW w:w="1683" w:type="dxa"/>
            <w:vAlign w:val="bottom"/>
          </w:tcPr>
          <w:p w14:paraId="76EBA2B2" w14:textId="77777777" w:rsidR="008F3315" w:rsidRPr="00784677" w:rsidRDefault="008F3315" w:rsidP="00980D87">
            <w:pPr>
              <w:spacing w:line="360" w:lineRule="auto"/>
              <w:jc w:val="left"/>
              <w:rPr>
                <w:sz w:val="14"/>
                <w:szCs w:val="14"/>
              </w:rPr>
            </w:pPr>
            <w:r w:rsidRPr="00784677">
              <w:rPr>
                <w:sz w:val="14"/>
                <w:szCs w:val="14"/>
              </w:rPr>
              <w:t>-</w:t>
            </w:r>
          </w:p>
        </w:tc>
        <w:tc>
          <w:tcPr>
            <w:tcW w:w="1719" w:type="dxa"/>
            <w:vAlign w:val="bottom"/>
          </w:tcPr>
          <w:p w14:paraId="48CD76E8" w14:textId="77777777" w:rsidR="008F3315" w:rsidRPr="00784677" w:rsidRDefault="008F3315" w:rsidP="00980D87">
            <w:pPr>
              <w:spacing w:line="360" w:lineRule="auto"/>
              <w:jc w:val="left"/>
              <w:rPr>
                <w:sz w:val="14"/>
                <w:szCs w:val="14"/>
              </w:rPr>
            </w:pPr>
            <w:r w:rsidRPr="00784677">
              <w:rPr>
                <w:sz w:val="14"/>
                <w:szCs w:val="14"/>
              </w:rPr>
              <w:t>-</w:t>
            </w:r>
          </w:p>
        </w:tc>
      </w:tr>
      <w:tr w:rsidR="008F3315" w:rsidRPr="00784677" w14:paraId="3A5A1A90" w14:textId="77777777" w:rsidTr="00980D87">
        <w:trPr>
          <w:trHeight w:hRule="exact" w:val="308"/>
        </w:trPr>
        <w:tc>
          <w:tcPr>
            <w:tcW w:w="0" w:type="auto"/>
            <w:vAlign w:val="bottom"/>
          </w:tcPr>
          <w:p w14:paraId="70D6FC35" w14:textId="77777777" w:rsidR="008F3315" w:rsidRPr="00784677" w:rsidRDefault="008F3315" w:rsidP="00980D87">
            <w:pPr>
              <w:spacing w:line="360" w:lineRule="auto"/>
              <w:rPr>
                <w:sz w:val="14"/>
                <w:szCs w:val="14"/>
              </w:rPr>
            </w:pPr>
            <w:r w:rsidRPr="00784677">
              <w:rPr>
                <w:sz w:val="14"/>
                <w:szCs w:val="14"/>
              </w:rPr>
              <w:t>Acute alcoholic hepatitis</w:t>
            </w:r>
          </w:p>
        </w:tc>
        <w:tc>
          <w:tcPr>
            <w:tcW w:w="0" w:type="auto"/>
            <w:vAlign w:val="bottom"/>
          </w:tcPr>
          <w:p w14:paraId="02966688" w14:textId="77777777" w:rsidR="008F3315" w:rsidRPr="00784677" w:rsidRDefault="008F3315" w:rsidP="00980D87">
            <w:pPr>
              <w:spacing w:line="360" w:lineRule="auto"/>
              <w:jc w:val="left"/>
              <w:rPr>
                <w:sz w:val="14"/>
                <w:szCs w:val="14"/>
              </w:rPr>
            </w:pPr>
            <w:r w:rsidRPr="00784677">
              <w:rPr>
                <w:sz w:val="14"/>
                <w:szCs w:val="14"/>
              </w:rPr>
              <w:t>5711</w:t>
            </w:r>
          </w:p>
        </w:tc>
        <w:tc>
          <w:tcPr>
            <w:tcW w:w="0" w:type="auto"/>
            <w:vAlign w:val="bottom"/>
          </w:tcPr>
          <w:p w14:paraId="5EE82AD3" w14:textId="77777777" w:rsidR="008F3315" w:rsidRPr="00784677" w:rsidRDefault="008F3315" w:rsidP="00980D87">
            <w:pPr>
              <w:spacing w:line="360" w:lineRule="auto"/>
              <w:jc w:val="left"/>
              <w:rPr>
                <w:sz w:val="14"/>
                <w:szCs w:val="14"/>
              </w:rPr>
            </w:pPr>
            <w:r w:rsidRPr="00784677">
              <w:rPr>
                <w:sz w:val="14"/>
                <w:szCs w:val="14"/>
              </w:rPr>
              <w:t>K70.1</w:t>
            </w:r>
          </w:p>
        </w:tc>
        <w:tc>
          <w:tcPr>
            <w:tcW w:w="1607" w:type="dxa"/>
            <w:vAlign w:val="bottom"/>
          </w:tcPr>
          <w:p w14:paraId="0BBFBC12" w14:textId="77777777" w:rsidR="008F3315" w:rsidRPr="00784677" w:rsidRDefault="008F3315" w:rsidP="00980D87">
            <w:pPr>
              <w:spacing w:line="360" w:lineRule="auto"/>
              <w:jc w:val="left"/>
              <w:rPr>
                <w:sz w:val="14"/>
                <w:szCs w:val="14"/>
              </w:rPr>
            </w:pPr>
            <w:r w:rsidRPr="00784677">
              <w:rPr>
                <w:sz w:val="14"/>
                <w:szCs w:val="14"/>
              </w:rPr>
              <w:t>77 (2·5)</w:t>
            </w:r>
          </w:p>
        </w:tc>
        <w:tc>
          <w:tcPr>
            <w:tcW w:w="1276" w:type="dxa"/>
            <w:vAlign w:val="bottom"/>
          </w:tcPr>
          <w:p w14:paraId="559EB9BB" w14:textId="77777777" w:rsidR="008F3315" w:rsidRPr="00784677" w:rsidRDefault="008F3315" w:rsidP="00980D87">
            <w:pPr>
              <w:spacing w:line="360" w:lineRule="auto"/>
              <w:jc w:val="left"/>
              <w:rPr>
                <w:sz w:val="14"/>
                <w:szCs w:val="14"/>
              </w:rPr>
            </w:pPr>
            <w:r w:rsidRPr="00784677">
              <w:rPr>
                <w:sz w:val="14"/>
                <w:szCs w:val="14"/>
              </w:rPr>
              <w:t>148 (2·3)</w:t>
            </w:r>
          </w:p>
        </w:tc>
        <w:tc>
          <w:tcPr>
            <w:tcW w:w="1683" w:type="dxa"/>
            <w:vAlign w:val="bottom"/>
          </w:tcPr>
          <w:p w14:paraId="454827CE" w14:textId="77777777" w:rsidR="008F3315" w:rsidRPr="00784677" w:rsidRDefault="008F3315" w:rsidP="00980D87">
            <w:pPr>
              <w:spacing w:line="360" w:lineRule="auto"/>
              <w:jc w:val="left"/>
              <w:rPr>
                <w:sz w:val="14"/>
                <w:szCs w:val="14"/>
              </w:rPr>
            </w:pPr>
            <w:r w:rsidRPr="00784677">
              <w:rPr>
                <w:sz w:val="14"/>
                <w:szCs w:val="14"/>
              </w:rPr>
              <w:t>-</w:t>
            </w:r>
          </w:p>
        </w:tc>
        <w:tc>
          <w:tcPr>
            <w:tcW w:w="1719" w:type="dxa"/>
            <w:vAlign w:val="bottom"/>
          </w:tcPr>
          <w:p w14:paraId="7C2BE0C0" w14:textId="77777777" w:rsidR="008F3315" w:rsidRPr="00784677" w:rsidRDefault="008F3315" w:rsidP="00980D87">
            <w:pPr>
              <w:spacing w:line="360" w:lineRule="auto"/>
              <w:jc w:val="left"/>
              <w:rPr>
                <w:sz w:val="14"/>
                <w:szCs w:val="14"/>
              </w:rPr>
            </w:pPr>
            <w:r w:rsidRPr="00784677">
              <w:rPr>
                <w:sz w:val="14"/>
                <w:szCs w:val="14"/>
              </w:rPr>
              <w:t>-</w:t>
            </w:r>
          </w:p>
        </w:tc>
      </w:tr>
      <w:tr w:rsidR="008F3315" w:rsidRPr="00784677" w14:paraId="427DBE9B" w14:textId="77777777" w:rsidTr="00980D87">
        <w:trPr>
          <w:trHeight w:hRule="exact" w:val="308"/>
        </w:trPr>
        <w:tc>
          <w:tcPr>
            <w:tcW w:w="0" w:type="auto"/>
            <w:vAlign w:val="bottom"/>
          </w:tcPr>
          <w:p w14:paraId="2DB9E70C" w14:textId="77777777" w:rsidR="008F3315" w:rsidRPr="00784677" w:rsidRDefault="008F3315" w:rsidP="00980D87">
            <w:pPr>
              <w:spacing w:line="360" w:lineRule="auto"/>
              <w:rPr>
                <w:sz w:val="14"/>
                <w:szCs w:val="14"/>
              </w:rPr>
            </w:pPr>
            <w:r w:rsidRPr="00784677">
              <w:rPr>
                <w:sz w:val="14"/>
                <w:szCs w:val="14"/>
              </w:rPr>
              <w:t>Alcoholic cirrhosis of liver</w:t>
            </w:r>
          </w:p>
        </w:tc>
        <w:tc>
          <w:tcPr>
            <w:tcW w:w="0" w:type="auto"/>
            <w:vAlign w:val="bottom"/>
          </w:tcPr>
          <w:p w14:paraId="4FE17DF1" w14:textId="77777777" w:rsidR="008F3315" w:rsidRPr="00784677" w:rsidRDefault="008F3315" w:rsidP="00980D87">
            <w:pPr>
              <w:spacing w:line="360" w:lineRule="auto"/>
              <w:jc w:val="left"/>
              <w:rPr>
                <w:sz w:val="14"/>
                <w:szCs w:val="14"/>
              </w:rPr>
            </w:pPr>
            <w:r w:rsidRPr="00784677">
              <w:rPr>
                <w:sz w:val="14"/>
                <w:szCs w:val="14"/>
              </w:rPr>
              <w:t>5712</w:t>
            </w:r>
          </w:p>
        </w:tc>
        <w:tc>
          <w:tcPr>
            <w:tcW w:w="0" w:type="auto"/>
            <w:vAlign w:val="bottom"/>
          </w:tcPr>
          <w:p w14:paraId="18A96470" w14:textId="77777777" w:rsidR="008F3315" w:rsidRPr="00784677" w:rsidRDefault="008F3315" w:rsidP="00980D87">
            <w:pPr>
              <w:spacing w:line="360" w:lineRule="auto"/>
              <w:jc w:val="left"/>
              <w:rPr>
                <w:sz w:val="14"/>
                <w:szCs w:val="14"/>
              </w:rPr>
            </w:pPr>
            <w:r w:rsidRPr="00784677">
              <w:rPr>
                <w:sz w:val="14"/>
                <w:szCs w:val="14"/>
              </w:rPr>
              <w:t>K70.3</w:t>
            </w:r>
          </w:p>
        </w:tc>
        <w:tc>
          <w:tcPr>
            <w:tcW w:w="1607" w:type="dxa"/>
            <w:vAlign w:val="bottom"/>
          </w:tcPr>
          <w:p w14:paraId="357EE704" w14:textId="77777777" w:rsidR="008F3315" w:rsidRPr="00784677" w:rsidRDefault="008F3315" w:rsidP="00980D87">
            <w:pPr>
              <w:spacing w:line="360" w:lineRule="auto"/>
              <w:jc w:val="left"/>
              <w:rPr>
                <w:sz w:val="14"/>
                <w:szCs w:val="14"/>
              </w:rPr>
            </w:pPr>
            <w:r w:rsidRPr="00784677">
              <w:rPr>
                <w:sz w:val="14"/>
                <w:szCs w:val="14"/>
              </w:rPr>
              <w:t>749 (24·6)</w:t>
            </w:r>
          </w:p>
        </w:tc>
        <w:tc>
          <w:tcPr>
            <w:tcW w:w="1276" w:type="dxa"/>
            <w:vAlign w:val="bottom"/>
          </w:tcPr>
          <w:p w14:paraId="6071657C" w14:textId="77777777" w:rsidR="008F3315" w:rsidRPr="00784677" w:rsidRDefault="008F3315" w:rsidP="00980D87">
            <w:pPr>
              <w:spacing w:line="360" w:lineRule="auto"/>
              <w:jc w:val="left"/>
              <w:rPr>
                <w:sz w:val="14"/>
                <w:szCs w:val="14"/>
              </w:rPr>
            </w:pPr>
            <w:r w:rsidRPr="00784677">
              <w:rPr>
                <w:sz w:val="14"/>
                <w:szCs w:val="14"/>
              </w:rPr>
              <w:t>1018 (15·7)</w:t>
            </w:r>
          </w:p>
        </w:tc>
        <w:tc>
          <w:tcPr>
            <w:tcW w:w="1683" w:type="dxa"/>
            <w:vAlign w:val="bottom"/>
          </w:tcPr>
          <w:p w14:paraId="794F2880" w14:textId="77777777" w:rsidR="008F3315" w:rsidRPr="00784677" w:rsidRDefault="008F3315" w:rsidP="00980D87">
            <w:pPr>
              <w:spacing w:line="360" w:lineRule="auto"/>
              <w:jc w:val="left"/>
              <w:rPr>
                <w:sz w:val="14"/>
                <w:szCs w:val="14"/>
              </w:rPr>
            </w:pPr>
            <w:r w:rsidRPr="00784677">
              <w:rPr>
                <w:sz w:val="14"/>
                <w:szCs w:val="14"/>
              </w:rPr>
              <w:t>749 (35·4)</w:t>
            </w:r>
          </w:p>
        </w:tc>
        <w:tc>
          <w:tcPr>
            <w:tcW w:w="1719" w:type="dxa"/>
            <w:vAlign w:val="bottom"/>
          </w:tcPr>
          <w:p w14:paraId="6CD1AA43" w14:textId="77777777" w:rsidR="008F3315" w:rsidRPr="00784677" w:rsidRDefault="008F3315" w:rsidP="00980D87">
            <w:pPr>
              <w:spacing w:line="360" w:lineRule="auto"/>
              <w:jc w:val="left"/>
              <w:rPr>
                <w:sz w:val="14"/>
                <w:szCs w:val="14"/>
              </w:rPr>
            </w:pPr>
            <w:r w:rsidRPr="00784677">
              <w:rPr>
                <w:sz w:val="14"/>
                <w:szCs w:val="14"/>
              </w:rPr>
              <w:t>1018 (39·4)</w:t>
            </w:r>
          </w:p>
        </w:tc>
      </w:tr>
      <w:tr w:rsidR="008F3315" w:rsidRPr="00784677" w14:paraId="6CA1665E" w14:textId="77777777" w:rsidTr="00980D87">
        <w:trPr>
          <w:trHeight w:hRule="exact" w:val="308"/>
        </w:trPr>
        <w:tc>
          <w:tcPr>
            <w:tcW w:w="0" w:type="auto"/>
            <w:vAlign w:val="bottom"/>
          </w:tcPr>
          <w:p w14:paraId="6D061A4C" w14:textId="77777777" w:rsidR="008F3315" w:rsidRPr="00784677" w:rsidRDefault="008F3315" w:rsidP="00980D87">
            <w:pPr>
              <w:spacing w:line="360" w:lineRule="auto"/>
              <w:rPr>
                <w:sz w:val="14"/>
                <w:szCs w:val="14"/>
              </w:rPr>
            </w:pPr>
            <w:r w:rsidRPr="00784677">
              <w:rPr>
                <w:sz w:val="14"/>
                <w:szCs w:val="14"/>
              </w:rPr>
              <w:t>Alcoholic liver damage, unspecified</w:t>
            </w:r>
          </w:p>
        </w:tc>
        <w:tc>
          <w:tcPr>
            <w:tcW w:w="0" w:type="auto"/>
            <w:vAlign w:val="bottom"/>
          </w:tcPr>
          <w:p w14:paraId="1E2BB538" w14:textId="77777777" w:rsidR="008F3315" w:rsidRPr="00784677" w:rsidRDefault="008F3315" w:rsidP="00980D87">
            <w:pPr>
              <w:spacing w:line="360" w:lineRule="auto"/>
              <w:jc w:val="left"/>
              <w:rPr>
                <w:sz w:val="14"/>
                <w:szCs w:val="14"/>
              </w:rPr>
            </w:pPr>
            <w:r w:rsidRPr="00784677">
              <w:rPr>
                <w:sz w:val="14"/>
                <w:szCs w:val="14"/>
              </w:rPr>
              <w:t>5713</w:t>
            </w:r>
          </w:p>
        </w:tc>
        <w:tc>
          <w:tcPr>
            <w:tcW w:w="0" w:type="auto"/>
            <w:vAlign w:val="bottom"/>
          </w:tcPr>
          <w:p w14:paraId="0DD3F67F" w14:textId="77777777" w:rsidR="008F3315" w:rsidRPr="00784677" w:rsidRDefault="008F3315" w:rsidP="00980D87">
            <w:pPr>
              <w:spacing w:line="360" w:lineRule="auto"/>
              <w:jc w:val="left"/>
              <w:rPr>
                <w:sz w:val="14"/>
                <w:szCs w:val="14"/>
              </w:rPr>
            </w:pPr>
            <w:r w:rsidRPr="00784677">
              <w:rPr>
                <w:sz w:val="14"/>
                <w:szCs w:val="14"/>
              </w:rPr>
              <w:t>K70.9</w:t>
            </w:r>
          </w:p>
        </w:tc>
        <w:tc>
          <w:tcPr>
            <w:tcW w:w="1607" w:type="dxa"/>
            <w:vAlign w:val="bottom"/>
          </w:tcPr>
          <w:p w14:paraId="17A40EC0" w14:textId="77777777" w:rsidR="008F3315" w:rsidRPr="00784677" w:rsidRDefault="008F3315" w:rsidP="00980D87">
            <w:pPr>
              <w:spacing w:line="360" w:lineRule="auto"/>
              <w:jc w:val="left"/>
              <w:rPr>
                <w:sz w:val="14"/>
                <w:szCs w:val="14"/>
              </w:rPr>
            </w:pPr>
            <w:r w:rsidRPr="00784677">
              <w:rPr>
                <w:sz w:val="14"/>
                <w:szCs w:val="14"/>
              </w:rPr>
              <w:t>647 (21·2)</w:t>
            </w:r>
          </w:p>
        </w:tc>
        <w:tc>
          <w:tcPr>
            <w:tcW w:w="1276" w:type="dxa"/>
            <w:vAlign w:val="bottom"/>
          </w:tcPr>
          <w:p w14:paraId="0BD6A076" w14:textId="77777777" w:rsidR="008F3315" w:rsidRPr="00784677" w:rsidRDefault="008F3315" w:rsidP="00980D87">
            <w:pPr>
              <w:spacing w:line="360" w:lineRule="auto"/>
              <w:jc w:val="left"/>
              <w:rPr>
                <w:sz w:val="14"/>
                <w:szCs w:val="14"/>
              </w:rPr>
            </w:pPr>
            <w:r w:rsidRPr="00784677">
              <w:rPr>
                <w:sz w:val="14"/>
                <w:szCs w:val="14"/>
              </w:rPr>
              <w:t>2594 (40·1)</w:t>
            </w:r>
          </w:p>
        </w:tc>
        <w:tc>
          <w:tcPr>
            <w:tcW w:w="1683" w:type="dxa"/>
            <w:vAlign w:val="bottom"/>
          </w:tcPr>
          <w:p w14:paraId="43D697FF" w14:textId="77777777" w:rsidR="008F3315" w:rsidRPr="00784677" w:rsidRDefault="008F3315" w:rsidP="00980D87">
            <w:pPr>
              <w:spacing w:line="360" w:lineRule="auto"/>
              <w:jc w:val="left"/>
              <w:rPr>
                <w:sz w:val="14"/>
                <w:szCs w:val="14"/>
              </w:rPr>
            </w:pPr>
            <w:r w:rsidRPr="00784677">
              <w:rPr>
                <w:sz w:val="14"/>
                <w:szCs w:val="14"/>
              </w:rPr>
              <w:t>-</w:t>
            </w:r>
          </w:p>
        </w:tc>
        <w:tc>
          <w:tcPr>
            <w:tcW w:w="1719" w:type="dxa"/>
            <w:vAlign w:val="bottom"/>
          </w:tcPr>
          <w:p w14:paraId="1A91F645" w14:textId="77777777" w:rsidR="008F3315" w:rsidRPr="00784677" w:rsidRDefault="008F3315" w:rsidP="00980D87">
            <w:pPr>
              <w:spacing w:line="360" w:lineRule="auto"/>
              <w:jc w:val="left"/>
              <w:rPr>
                <w:sz w:val="14"/>
                <w:szCs w:val="14"/>
              </w:rPr>
            </w:pPr>
            <w:r w:rsidRPr="00784677">
              <w:rPr>
                <w:sz w:val="14"/>
                <w:szCs w:val="14"/>
              </w:rPr>
              <w:t>-</w:t>
            </w:r>
          </w:p>
        </w:tc>
      </w:tr>
      <w:tr w:rsidR="008F3315" w:rsidRPr="00784677" w14:paraId="55A483DC" w14:textId="77777777" w:rsidTr="00980D87">
        <w:trPr>
          <w:trHeight w:hRule="exact" w:val="308"/>
        </w:trPr>
        <w:tc>
          <w:tcPr>
            <w:tcW w:w="0" w:type="auto"/>
            <w:vAlign w:val="bottom"/>
          </w:tcPr>
          <w:p w14:paraId="06E111EC" w14:textId="77777777" w:rsidR="008F3315" w:rsidRPr="00784677" w:rsidRDefault="008F3315" w:rsidP="00980D87">
            <w:pPr>
              <w:spacing w:line="360" w:lineRule="auto"/>
              <w:rPr>
                <w:sz w:val="14"/>
                <w:szCs w:val="14"/>
              </w:rPr>
            </w:pPr>
            <w:r w:rsidRPr="00784677">
              <w:rPr>
                <w:sz w:val="14"/>
                <w:szCs w:val="14"/>
              </w:rPr>
              <w:t>Chronic hepatitis</w:t>
            </w:r>
          </w:p>
        </w:tc>
        <w:tc>
          <w:tcPr>
            <w:tcW w:w="0" w:type="auto"/>
            <w:vAlign w:val="bottom"/>
          </w:tcPr>
          <w:p w14:paraId="03794243" w14:textId="77777777" w:rsidR="008F3315" w:rsidRPr="00784677" w:rsidRDefault="008F3315" w:rsidP="00980D87">
            <w:pPr>
              <w:spacing w:line="360" w:lineRule="auto"/>
              <w:jc w:val="left"/>
              <w:rPr>
                <w:sz w:val="14"/>
                <w:szCs w:val="14"/>
              </w:rPr>
            </w:pPr>
            <w:r w:rsidRPr="00784677">
              <w:rPr>
                <w:sz w:val="14"/>
                <w:szCs w:val="14"/>
              </w:rPr>
              <w:t>5714</w:t>
            </w:r>
          </w:p>
        </w:tc>
        <w:tc>
          <w:tcPr>
            <w:tcW w:w="0" w:type="auto"/>
            <w:vAlign w:val="bottom"/>
          </w:tcPr>
          <w:p w14:paraId="5DEFA84E" w14:textId="77777777" w:rsidR="008F3315" w:rsidRPr="00784677" w:rsidRDefault="008F3315" w:rsidP="00980D87">
            <w:pPr>
              <w:spacing w:line="360" w:lineRule="auto"/>
              <w:jc w:val="left"/>
              <w:rPr>
                <w:sz w:val="14"/>
                <w:szCs w:val="14"/>
              </w:rPr>
            </w:pPr>
            <w:r w:rsidRPr="00784677">
              <w:rPr>
                <w:sz w:val="14"/>
                <w:szCs w:val="14"/>
              </w:rPr>
              <w:t>K73.9</w:t>
            </w:r>
          </w:p>
        </w:tc>
        <w:tc>
          <w:tcPr>
            <w:tcW w:w="1607" w:type="dxa"/>
            <w:vAlign w:val="bottom"/>
          </w:tcPr>
          <w:p w14:paraId="4E18995E" w14:textId="77777777" w:rsidR="008F3315" w:rsidRPr="00784677" w:rsidRDefault="008F3315" w:rsidP="00980D87">
            <w:pPr>
              <w:spacing w:line="360" w:lineRule="auto"/>
              <w:jc w:val="left"/>
              <w:rPr>
                <w:sz w:val="14"/>
                <w:szCs w:val="14"/>
              </w:rPr>
            </w:pPr>
            <w:r w:rsidRPr="00784677">
              <w:rPr>
                <w:sz w:val="14"/>
                <w:szCs w:val="14"/>
              </w:rPr>
              <w:t>95 (3·1)</w:t>
            </w:r>
          </w:p>
        </w:tc>
        <w:tc>
          <w:tcPr>
            <w:tcW w:w="1276" w:type="dxa"/>
            <w:vAlign w:val="bottom"/>
          </w:tcPr>
          <w:p w14:paraId="20C08D9B" w14:textId="77777777" w:rsidR="008F3315" w:rsidRPr="00784677" w:rsidRDefault="008F3315" w:rsidP="00980D87">
            <w:pPr>
              <w:spacing w:line="360" w:lineRule="auto"/>
              <w:jc w:val="left"/>
              <w:rPr>
                <w:sz w:val="14"/>
                <w:szCs w:val="14"/>
              </w:rPr>
            </w:pPr>
            <w:r w:rsidRPr="00784677">
              <w:rPr>
                <w:sz w:val="14"/>
                <w:szCs w:val="14"/>
              </w:rPr>
              <w:t>6 (0·1)</w:t>
            </w:r>
          </w:p>
        </w:tc>
        <w:tc>
          <w:tcPr>
            <w:tcW w:w="1683" w:type="dxa"/>
            <w:vAlign w:val="bottom"/>
          </w:tcPr>
          <w:p w14:paraId="160540B6" w14:textId="77777777" w:rsidR="008F3315" w:rsidRPr="00784677" w:rsidRDefault="008F3315" w:rsidP="00980D87">
            <w:pPr>
              <w:spacing w:line="360" w:lineRule="auto"/>
              <w:jc w:val="left"/>
              <w:rPr>
                <w:sz w:val="14"/>
                <w:szCs w:val="14"/>
              </w:rPr>
            </w:pPr>
            <w:r w:rsidRPr="00784677">
              <w:rPr>
                <w:sz w:val="14"/>
                <w:szCs w:val="14"/>
              </w:rPr>
              <w:t>-</w:t>
            </w:r>
          </w:p>
        </w:tc>
        <w:tc>
          <w:tcPr>
            <w:tcW w:w="1719" w:type="dxa"/>
            <w:vAlign w:val="bottom"/>
          </w:tcPr>
          <w:p w14:paraId="629051F1" w14:textId="77777777" w:rsidR="008F3315" w:rsidRPr="00784677" w:rsidRDefault="008F3315" w:rsidP="00980D87">
            <w:pPr>
              <w:spacing w:line="360" w:lineRule="auto"/>
              <w:jc w:val="left"/>
              <w:rPr>
                <w:sz w:val="14"/>
                <w:szCs w:val="14"/>
              </w:rPr>
            </w:pPr>
            <w:r w:rsidRPr="00784677">
              <w:rPr>
                <w:sz w:val="14"/>
                <w:szCs w:val="14"/>
              </w:rPr>
              <w:t>-</w:t>
            </w:r>
          </w:p>
        </w:tc>
      </w:tr>
      <w:tr w:rsidR="008F3315" w:rsidRPr="00784677" w14:paraId="7A4F4A66" w14:textId="77777777" w:rsidTr="00980D87">
        <w:trPr>
          <w:trHeight w:hRule="exact" w:val="539"/>
        </w:trPr>
        <w:tc>
          <w:tcPr>
            <w:tcW w:w="0" w:type="auto"/>
            <w:vAlign w:val="bottom"/>
          </w:tcPr>
          <w:p w14:paraId="23636BAF" w14:textId="77777777" w:rsidR="008F3315" w:rsidRPr="00784677" w:rsidRDefault="008F3315" w:rsidP="00980D87">
            <w:pPr>
              <w:spacing w:line="360" w:lineRule="auto"/>
              <w:rPr>
                <w:sz w:val="14"/>
                <w:szCs w:val="14"/>
              </w:rPr>
            </w:pPr>
            <w:r w:rsidRPr="00784677">
              <w:rPr>
                <w:sz w:val="14"/>
                <w:szCs w:val="14"/>
              </w:rPr>
              <w:t>Cirrhosis of liver without mention of alcohol/other and unspecified cirrhosis of liver</w:t>
            </w:r>
          </w:p>
        </w:tc>
        <w:tc>
          <w:tcPr>
            <w:tcW w:w="0" w:type="auto"/>
            <w:vAlign w:val="bottom"/>
          </w:tcPr>
          <w:p w14:paraId="3826ED78" w14:textId="77777777" w:rsidR="008F3315" w:rsidRPr="00784677" w:rsidRDefault="008F3315" w:rsidP="00980D87">
            <w:pPr>
              <w:spacing w:line="360" w:lineRule="auto"/>
              <w:jc w:val="left"/>
              <w:rPr>
                <w:sz w:val="14"/>
                <w:szCs w:val="14"/>
              </w:rPr>
            </w:pPr>
            <w:r w:rsidRPr="00784677">
              <w:rPr>
                <w:sz w:val="14"/>
                <w:szCs w:val="14"/>
              </w:rPr>
              <w:t>5715</w:t>
            </w:r>
          </w:p>
        </w:tc>
        <w:tc>
          <w:tcPr>
            <w:tcW w:w="0" w:type="auto"/>
            <w:vAlign w:val="bottom"/>
          </w:tcPr>
          <w:p w14:paraId="4870E6B7" w14:textId="77777777" w:rsidR="008F3315" w:rsidRPr="00784677" w:rsidRDefault="008F3315" w:rsidP="00980D87">
            <w:pPr>
              <w:spacing w:line="360" w:lineRule="auto"/>
              <w:jc w:val="left"/>
              <w:rPr>
                <w:sz w:val="14"/>
                <w:szCs w:val="14"/>
              </w:rPr>
            </w:pPr>
            <w:r w:rsidRPr="00784677">
              <w:rPr>
                <w:sz w:val="14"/>
                <w:szCs w:val="14"/>
              </w:rPr>
              <w:t>K74.6</w:t>
            </w:r>
          </w:p>
        </w:tc>
        <w:tc>
          <w:tcPr>
            <w:tcW w:w="1607" w:type="dxa"/>
            <w:vAlign w:val="bottom"/>
          </w:tcPr>
          <w:p w14:paraId="2E4FD751" w14:textId="77777777" w:rsidR="008F3315" w:rsidRPr="00784677" w:rsidRDefault="008F3315" w:rsidP="00980D87">
            <w:pPr>
              <w:spacing w:line="360" w:lineRule="auto"/>
              <w:jc w:val="left"/>
              <w:rPr>
                <w:sz w:val="14"/>
                <w:szCs w:val="14"/>
              </w:rPr>
            </w:pPr>
            <w:r w:rsidRPr="00784677">
              <w:rPr>
                <w:sz w:val="14"/>
                <w:szCs w:val="14"/>
              </w:rPr>
              <w:t>1106 (36·3)</w:t>
            </w:r>
          </w:p>
        </w:tc>
        <w:tc>
          <w:tcPr>
            <w:tcW w:w="1276" w:type="dxa"/>
            <w:vAlign w:val="bottom"/>
          </w:tcPr>
          <w:p w14:paraId="48041A4A" w14:textId="77777777" w:rsidR="008F3315" w:rsidRPr="00784677" w:rsidRDefault="008F3315" w:rsidP="00980D87">
            <w:pPr>
              <w:spacing w:line="360" w:lineRule="auto"/>
              <w:jc w:val="left"/>
              <w:rPr>
                <w:sz w:val="14"/>
                <w:szCs w:val="14"/>
              </w:rPr>
            </w:pPr>
            <w:r w:rsidRPr="00784677">
              <w:rPr>
                <w:sz w:val="14"/>
                <w:szCs w:val="14"/>
              </w:rPr>
              <w:t>1485 (23)</w:t>
            </w:r>
          </w:p>
        </w:tc>
        <w:tc>
          <w:tcPr>
            <w:tcW w:w="1683" w:type="dxa"/>
            <w:vAlign w:val="bottom"/>
          </w:tcPr>
          <w:p w14:paraId="607156E2" w14:textId="77777777" w:rsidR="008F3315" w:rsidRPr="00784677" w:rsidRDefault="008F3315" w:rsidP="00980D87">
            <w:pPr>
              <w:spacing w:line="360" w:lineRule="auto"/>
              <w:jc w:val="left"/>
              <w:rPr>
                <w:sz w:val="14"/>
                <w:szCs w:val="14"/>
              </w:rPr>
            </w:pPr>
            <w:r w:rsidRPr="00784677">
              <w:rPr>
                <w:sz w:val="14"/>
                <w:szCs w:val="14"/>
              </w:rPr>
              <w:t>1106 (52·2)</w:t>
            </w:r>
          </w:p>
        </w:tc>
        <w:tc>
          <w:tcPr>
            <w:tcW w:w="1719" w:type="dxa"/>
            <w:vAlign w:val="bottom"/>
          </w:tcPr>
          <w:p w14:paraId="771EF94F" w14:textId="77777777" w:rsidR="008F3315" w:rsidRPr="00784677" w:rsidRDefault="008F3315" w:rsidP="00980D87">
            <w:pPr>
              <w:spacing w:line="360" w:lineRule="auto"/>
              <w:jc w:val="left"/>
              <w:rPr>
                <w:sz w:val="14"/>
                <w:szCs w:val="14"/>
              </w:rPr>
            </w:pPr>
            <w:r w:rsidRPr="00784677">
              <w:rPr>
                <w:sz w:val="14"/>
                <w:szCs w:val="14"/>
              </w:rPr>
              <w:t>1485 (57·5)</w:t>
            </w:r>
          </w:p>
        </w:tc>
      </w:tr>
      <w:tr w:rsidR="008F3315" w:rsidRPr="00784677" w14:paraId="0A6A706F" w14:textId="77777777" w:rsidTr="00980D87">
        <w:trPr>
          <w:trHeight w:hRule="exact" w:val="308"/>
        </w:trPr>
        <w:tc>
          <w:tcPr>
            <w:tcW w:w="0" w:type="auto"/>
            <w:vAlign w:val="bottom"/>
          </w:tcPr>
          <w:p w14:paraId="4EE63140" w14:textId="77777777" w:rsidR="008F3315" w:rsidRPr="00784677" w:rsidRDefault="008F3315" w:rsidP="00980D87">
            <w:pPr>
              <w:spacing w:line="360" w:lineRule="auto"/>
              <w:rPr>
                <w:sz w:val="14"/>
                <w:szCs w:val="14"/>
              </w:rPr>
            </w:pPr>
            <w:r w:rsidRPr="00784677">
              <w:rPr>
                <w:sz w:val="14"/>
                <w:szCs w:val="14"/>
              </w:rPr>
              <w:t>Biliary cirrhosis</w:t>
            </w:r>
          </w:p>
        </w:tc>
        <w:tc>
          <w:tcPr>
            <w:tcW w:w="0" w:type="auto"/>
            <w:vAlign w:val="bottom"/>
          </w:tcPr>
          <w:p w14:paraId="6FFC4A60" w14:textId="77777777" w:rsidR="008F3315" w:rsidRPr="00784677" w:rsidRDefault="008F3315" w:rsidP="00980D87">
            <w:pPr>
              <w:spacing w:line="360" w:lineRule="auto"/>
              <w:jc w:val="left"/>
              <w:rPr>
                <w:sz w:val="14"/>
                <w:szCs w:val="14"/>
              </w:rPr>
            </w:pPr>
            <w:r w:rsidRPr="00784677">
              <w:rPr>
                <w:sz w:val="14"/>
                <w:szCs w:val="14"/>
              </w:rPr>
              <w:t>5716</w:t>
            </w:r>
          </w:p>
        </w:tc>
        <w:tc>
          <w:tcPr>
            <w:tcW w:w="0" w:type="auto"/>
            <w:vAlign w:val="bottom"/>
          </w:tcPr>
          <w:p w14:paraId="3CBE34D2" w14:textId="77777777" w:rsidR="008F3315" w:rsidRPr="00784677" w:rsidRDefault="008F3315" w:rsidP="00980D87">
            <w:pPr>
              <w:spacing w:line="360" w:lineRule="auto"/>
              <w:jc w:val="left"/>
              <w:rPr>
                <w:sz w:val="14"/>
                <w:szCs w:val="14"/>
              </w:rPr>
            </w:pPr>
            <w:r w:rsidRPr="00784677">
              <w:rPr>
                <w:sz w:val="14"/>
                <w:szCs w:val="14"/>
              </w:rPr>
              <w:t>K74.5</w:t>
            </w:r>
          </w:p>
        </w:tc>
        <w:tc>
          <w:tcPr>
            <w:tcW w:w="1607" w:type="dxa"/>
            <w:vAlign w:val="bottom"/>
          </w:tcPr>
          <w:p w14:paraId="67FD1E26" w14:textId="77777777" w:rsidR="008F3315" w:rsidRPr="00784677" w:rsidRDefault="008F3315" w:rsidP="00980D87">
            <w:pPr>
              <w:spacing w:line="360" w:lineRule="auto"/>
              <w:jc w:val="left"/>
              <w:rPr>
                <w:sz w:val="14"/>
                <w:szCs w:val="14"/>
              </w:rPr>
            </w:pPr>
            <w:r w:rsidRPr="00784677">
              <w:rPr>
                <w:sz w:val="14"/>
                <w:szCs w:val="14"/>
              </w:rPr>
              <w:t>206 (6·8)</w:t>
            </w:r>
          </w:p>
        </w:tc>
        <w:tc>
          <w:tcPr>
            <w:tcW w:w="1276" w:type="dxa"/>
            <w:vAlign w:val="bottom"/>
          </w:tcPr>
          <w:p w14:paraId="747A8B0B" w14:textId="77777777" w:rsidR="008F3315" w:rsidRPr="00784677" w:rsidRDefault="008F3315" w:rsidP="00980D87">
            <w:pPr>
              <w:spacing w:line="360" w:lineRule="auto"/>
              <w:jc w:val="left"/>
              <w:rPr>
                <w:sz w:val="14"/>
                <w:szCs w:val="14"/>
              </w:rPr>
            </w:pPr>
            <w:r w:rsidRPr="00784677">
              <w:rPr>
                <w:sz w:val="14"/>
                <w:szCs w:val="14"/>
              </w:rPr>
              <w:t>9 (0·1)</w:t>
            </w:r>
          </w:p>
        </w:tc>
        <w:tc>
          <w:tcPr>
            <w:tcW w:w="1683" w:type="dxa"/>
            <w:vAlign w:val="bottom"/>
          </w:tcPr>
          <w:p w14:paraId="1C350CC6" w14:textId="77777777" w:rsidR="008F3315" w:rsidRPr="00784677" w:rsidRDefault="008F3315" w:rsidP="00980D87">
            <w:pPr>
              <w:spacing w:line="360" w:lineRule="auto"/>
              <w:jc w:val="left"/>
              <w:rPr>
                <w:sz w:val="14"/>
                <w:szCs w:val="14"/>
              </w:rPr>
            </w:pPr>
            <w:r w:rsidRPr="00784677">
              <w:rPr>
                <w:sz w:val="14"/>
                <w:szCs w:val="14"/>
              </w:rPr>
              <w:t>206 (9·7)</w:t>
            </w:r>
          </w:p>
        </w:tc>
        <w:tc>
          <w:tcPr>
            <w:tcW w:w="1719" w:type="dxa"/>
            <w:vAlign w:val="bottom"/>
          </w:tcPr>
          <w:p w14:paraId="3A37D16F" w14:textId="77777777" w:rsidR="008F3315" w:rsidRPr="00784677" w:rsidRDefault="008F3315" w:rsidP="00980D87">
            <w:pPr>
              <w:spacing w:line="360" w:lineRule="auto"/>
              <w:jc w:val="left"/>
              <w:rPr>
                <w:sz w:val="14"/>
                <w:szCs w:val="14"/>
              </w:rPr>
            </w:pPr>
            <w:r w:rsidRPr="00784677">
              <w:rPr>
                <w:sz w:val="14"/>
                <w:szCs w:val="14"/>
              </w:rPr>
              <w:t>9 (0·3)</w:t>
            </w:r>
          </w:p>
        </w:tc>
      </w:tr>
      <w:tr w:rsidR="008F3315" w:rsidRPr="00784677" w14:paraId="247F6A3B" w14:textId="77777777" w:rsidTr="00980D87">
        <w:trPr>
          <w:trHeight w:hRule="exact" w:val="308"/>
        </w:trPr>
        <w:tc>
          <w:tcPr>
            <w:tcW w:w="0" w:type="auto"/>
            <w:vAlign w:val="bottom"/>
          </w:tcPr>
          <w:p w14:paraId="30681563" w14:textId="77777777" w:rsidR="008F3315" w:rsidRPr="00784677" w:rsidRDefault="008F3315" w:rsidP="00980D87">
            <w:pPr>
              <w:spacing w:line="360" w:lineRule="auto"/>
              <w:rPr>
                <w:sz w:val="14"/>
                <w:szCs w:val="14"/>
              </w:rPr>
            </w:pPr>
            <w:r w:rsidRPr="00784677">
              <w:rPr>
                <w:sz w:val="14"/>
                <w:szCs w:val="14"/>
              </w:rPr>
              <w:t>Other chronic non-alcoholic liver disease</w:t>
            </w:r>
          </w:p>
        </w:tc>
        <w:tc>
          <w:tcPr>
            <w:tcW w:w="0" w:type="auto"/>
            <w:vAlign w:val="bottom"/>
          </w:tcPr>
          <w:p w14:paraId="2409403F" w14:textId="77777777" w:rsidR="008F3315" w:rsidRPr="00784677" w:rsidRDefault="008F3315" w:rsidP="00980D87">
            <w:pPr>
              <w:spacing w:line="360" w:lineRule="auto"/>
              <w:jc w:val="left"/>
              <w:rPr>
                <w:sz w:val="14"/>
                <w:szCs w:val="14"/>
              </w:rPr>
            </w:pPr>
            <w:r w:rsidRPr="00784677">
              <w:rPr>
                <w:sz w:val="14"/>
                <w:szCs w:val="14"/>
              </w:rPr>
              <w:t>5718</w:t>
            </w:r>
          </w:p>
        </w:tc>
        <w:tc>
          <w:tcPr>
            <w:tcW w:w="0" w:type="auto"/>
            <w:vAlign w:val="bottom"/>
          </w:tcPr>
          <w:p w14:paraId="11F27D18" w14:textId="77777777" w:rsidR="008F3315" w:rsidRPr="00784677" w:rsidRDefault="008F3315" w:rsidP="00980D87">
            <w:pPr>
              <w:spacing w:line="360" w:lineRule="auto"/>
              <w:jc w:val="left"/>
              <w:rPr>
                <w:sz w:val="14"/>
                <w:szCs w:val="14"/>
              </w:rPr>
            </w:pPr>
          </w:p>
        </w:tc>
        <w:tc>
          <w:tcPr>
            <w:tcW w:w="1607" w:type="dxa"/>
            <w:vAlign w:val="bottom"/>
          </w:tcPr>
          <w:p w14:paraId="1EB5AAC8" w14:textId="77777777" w:rsidR="008F3315" w:rsidRPr="00784677" w:rsidRDefault="008F3315" w:rsidP="00980D87">
            <w:pPr>
              <w:spacing w:line="360" w:lineRule="auto"/>
              <w:jc w:val="left"/>
              <w:rPr>
                <w:sz w:val="14"/>
                <w:szCs w:val="14"/>
              </w:rPr>
            </w:pPr>
            <w:r w:rsidRPr="00784677">
              <w:rPr>
                <w:sz w:val="14"/>
                <w:szCs w:val="14"/>
              </w:rPr>
              <w:t>52 (1·7)</w:t>
            </w:r>
          </w:p>
        </w:tc>
        <w:tc>
          <w:tcPr>
            <w:tcW w:w="1276" w:type="dxa"/>
            <w:vAlign w:val="bottom"/>
          </w:tcPr>
          <w:p w14:paraId="3A6582D0" w14:textId="77777777" w:rsidR="008F3315" w:rsidRPr="00784677" w:rsidRDefault="008F3315" w:rsidP="00980D87">
            <w:pPr>
              <w:spacing w:line="360" w:lineRule="auto"/>
              <w:rPr>
                <w:sz w:val="14"/>
                <w:szCs w:val="14"/>
              </w:rPr>
            </w:pPr>
            <w:r w:rsidRPr="00784677">
              <w:rPr>
                <w:sz w:val="14"/>
                <w:szCs w:val="14"/>
              </w:rPr>
              <w:t>-</w:t>
            </w:r>
          </w:p>
        </w:tc>
        <w:tc>
          <w:tcPr>
            <w:tcW w:w="1683" w:type="dxa"/>
            <w:vAlign w:val="bottom"/>
          </w:tcPr>
          <w:p w14:paraId="63583C54" w14:textId="77777777" w:rsidR="008F3315" w:rsidRPr="00784677" w:rsidRDefault="008F3315" w:rsidP="00980D87">
            <w:pPr>
              <w:spacing w:line="360" w:lineRule="auto"/>
              <w:jc w:val="left"/>
              <w:rPr>
                <w:sz w:val="14"/>
                <w:szCs w:val="14"/>
              </w:rPr>
            </w:pPr>
          </w:p>
        </w:tc>
        <w:tc>
          <w:tcPr>
            <w:tcW w:w="1719" w:type="dxa"/>
            <w:vAlign w:val="bottom"/>
          </w:tcPr>
          <w:p w14:paraId="4B0F4964" w14:textId="77777777" w:rsidR="008F3315" w:rsidRPr="00784677" w:rsidRDefault="008F3315" w:rsidP="00980D87">
            <w:pPr>
              <w:spacing w:line="360" w:lineRule="auto"/>
              <w:jc w:val="left"/>
              <w:rPr>
                <w:sz w:val="14"/>
                <w:szCs w:val="14"/>
              </w:rPr>
            </w:pPr>
          </w:p>
        </w:tc>
      </w:tr>
      <w:tr w:rsidR="008F3315" w:rsidRPr="00784677" w14:paraId="6593A733" w14:textId="77777777" w:rsidTr="00980D87">
        <w:trPr>
          <w:trHeight w:hRule="exact" w:val="308"/>
        </w:trPr>
        <w:tc>
          <w:tcPr>
            <w:tcW w:w="0" w:type="auto"/>
            <w:vAlign w:val="bottom"/>
          </w:tcPr>
          <w:p w14:paraId="471B184C" w14:textId="77777777" w:rsidR="008F3315" w:rsidRPr="00784677" w:rsidRDefault="008F3315" w:rsidP="00980D87">
            <w:pPr>
              <w:spacing w:line="360" w:lineRule="auto"/>
              <w:rPr>
                <w:sz w:val="14"/>
                <w:szCs w:val="14"/>
              </w:rPr>
            </w:pPr>
            <w:r w:rsidRPr="00784677">
              <w:rPr>
                <w:sz w:val="14"/>
                <w:szCs w:val="14"/>
              </w:rPr>
              <w:t>Unspec</w:t>
            </w:r>
            <w:r>
              <w:rPr>
                <w:sz w:val="14"/>
                <w:szCs w:val="14"/>
              </w:rPr>
              <w:t>ified</w:t>
            </w:r>
            <w:r w:rsidRPr="00784677">
              <w:rPr>
                <w:sz w:val="14"/>
                <w:szCs w:val="14"/>
              </w:rPr>
              <w:t xml:space="preserve"> chronic liver disease without mention of alcohol</w:t>
            </w:r>
          </w:p>
        </w:tc>
        <w:tc>
          <w:tcPr>
            <w:tcW w:w="0" w:type="auto"/>
            <w:vAlign w:val="bottom"/>
          </w:tcPr>
          <w:p w14:paraId="758004A8" w14:textId="77777777" w:rsidR="008F3315" w:rsidRPr="00784677" w:rsidRDefault="008F3315" w:rsidP="00980D87">
            <w:pPr>
              <w:spacing w:line="360" w:lineRule="auto"/>
              <w:jc w:val="left"/>
              <w:rPr>
                <w:sz w:val="14"/>
                <w:szCs w:val="14"/>
              </w:rPr>
            </w:pPr>
            <w:r w:rsidRPr="00784677">
              <w:rPr>
                <w:sz w:val="14"/>
                <w:szCs w:val="14"/>
              </w:rPr>
              <w:t>5719</w:t>
            </w:r>
          </w:p>
        </w:tc>
        <w:tc>
          <w:tcPr>
            <w:tcW w:w="0" w:type="auto"/>
            <w:vAlign w:val="bottom"/>
          </w:tcPr>
          <w:p w14:paraId="4B3F9432" w14:textId="77777777" w:rsidR="008F3315" w:rsidRPr="00784677" w:rsidRDefault="008F3315" w:rsidP="00980D87">
            <w:pPr>
              <w:spacing w:line="360" w:lineRule="auto"/>
              <w:jc w:val="left"/>
              <w:rPr>
                <w:sz w:val="14"/>
                <w:szCs w:val="14"/>
              </w:rPr>
            </w:pPr>
          </w:p>
        </w:tc>
        <w:tc>
          <w:tcPr>
            <w:tcW w:w="1607" w:type="dxa"/>
            <w:vAlign w:val="bottom"/>
          </w:tcPr>
          <w:p w14:paraId="6125230B" w14:textId="77777777" w:rsidR="008F3315" w:rsidRPr="00784677" w:rsidRDefault="008F3315" w:rsidP="00980D87">
            <w:pPr>
              <w:spacing w:line="360" w:lineRule="auto"/>
              <w:jc w:val="left"/>
              <w:rPr>
                <w:sz w:val="14"/>
                <w:szCs w:val="14"/>
              </w:rPr>
            </w:pPr>
            <w:r w:rsidRPr="00784677">
              <w:rPr>
                <w:sz w:val="14"/>
                <w:szCs w:val="14"/>
              </w:rPr>
              <w:t>84 (2·8)</w:t>
            </w:r>
          </w:p>
        </w:tc>
        <w:tc>
          <w:tcPr>
            <w:tcW w:w="1276" w:type="dxa"/>
            <w:vAlign w:val="bottom"/>
          </w:tcPr>
          <w:p w14:paraId="68BE57E0" w14:textId="77777777" w:rsidR="008F3315" w:rsidRPr="00784677" w:rsidRDefault="008F3315" w:rsidP="00980D87">
            <w:pPr>
              <w:spacing w:line="360" w:lineRule="auto"/>
              <w:rPr>
                <w:sz w:val="14"/>
                <w:szCs w:val="14"/>
              </w:rPr>
            </w:pPr>
            <w:r w:rsidRPr="00784677">
              <w:rPr>
                <w:sz w:val="14"/>
                <w:szCs w:val="14"/>
              </w:rPr>
              <w:t>-</w:t>
            </w:r>
          </w:p>
        </w:tc>
        <w:tc>
          <w:tcPr>
            <w:tcW w:w="1683" w:type="dxa"/>
            <w:vAlign w:val="bottom"/>
          </w:tcPr>
          <w:p w14:paraId="693E2861" w14:textId="77777777" w:rsidR="008F3315" w:rsidRPr="00784677" w:rsidRDefault="008F3315" w:rsidP="00980D87">
            <w:pPr>
              <w:spacing w:line="360" w:lineRule="auto"/>
              <w:jc w:val="left"/>
              <w:rPr>
                <w:sz w:val="14"/>
                <w:szCs w:val="14"/>
              </w:rPr>
            </w:pPr>
          </w:p>
        </w:tc>
        <w:tc>
          <w:tcPr>
            <w:tcW w:w="1719" w:type="dxa"/>
            <w:vAlign w:val="bottom"/>
          </w:tcPr>
          <w:p w14:paraId="10A002AF" w14:textId="77777777" w:rsidR="008F3315" w:rsidRPr="00784677" w:rsidRDefault="008F3315" w:rsidP="00980D87">
            <w:pPr>
              <w:spacing w:line="360" w:lineRule="auto"/>
              <w:jc w:val="left"/>
              <w:rPr>
                <w:sz w:val="14"/>
                <w:szCs w:val="14"/>
              </w:rPr>
            </w:pPr>
          </w:p>
        </w:tc>
      </w:tr>
      <w:tr w:rsidR="008F3315" w:rsidRPr="00784677" w14:paraId="0B177A83" w14:textId="77777777" w:rsidTr="00980D87">
        <w:trPr>
          <w:trHeight w:hRule="exact" w:val="308"/>
        </w:trPr>
        <w:tc>
          <w:tcPr>
            <w:tcW w:w="0" w:type="auto"/>
            <w:vAlign w:val="bottom"/>
          </w:tcPr>
          <w:p w14:paraId="6C822F22" w14:textId="77777777" w:rsidR="008F3315" w:rsidRPr="00784677" w:rsidRDefault="008F3315" w:rsidP="00980D87">
            <w:pPr>
              <w:spacing w:line="360" w:lineRule="auto"/>
              <w:rPr>
                <w:sz w:val="14"/>
                <w:szCs w:val="14"/>
              </w:rPr>
            </w:pPr>
            <w:r w:rsidRPr="00784677">
              <w:rPr>
                <w:sz w:val="14"/>
                <w:szCs w:val="14"/>
              </w:rPr>
              <w:t>Oesophageal varices with bleeding</w:t>
            </w:r>
          </w:p>
        </w:tc>
        <w:tc>
          <w:tcPr>
            <w:tcW w:w="0" w:type="auto"/>
            <w:vAlign w:val="bottom"/>
          </w:tcPr>
          <w:p w14:paraId="595722DC" w14:textId="77777777" w:rsidR="008F3315" w:rsidRPr="00784677" w:rsidRDefault="008F3315" w:rsidP="00980D87">
            <w:pPr>
              <w:spacing w:line="360" w:lineRule="auto"/>
              <w:jc w:val="left"/>
              <w:rPr>
                <w:sz w:val="14"/>
                <w:szCs w:val="14"/>
              </w:rPr>
            </w:pPr>
            <w:r w:rsidRPr="00784677">
              <w:rPr>
                <w:sz w:val="14"/>
                <w:szCs w:val="14"/>
              </w:rPr>
              <w:t>4560</w:t>
            </w:r>
          </w:p>
        </w:tc>
        <w:tc>
          <w:tcPr>
            <w:tcW w:w="0" w:type="auto"/>
            <w:vAlign w:val="bottom"/>
          </w:tcPr>
          <w:p w14:paraId="7EE14755" w14:textId="77777777" w:rsidR="008F3315" w:rsidRPr="00784677" w:rsidRDefault="008F3315" w:rsidP="00980D87">
            <w:pPr>
              <w:spacing w:line="360" w:lineRule="auto"/>
              <w:jc w:val="left"/>
              <w:rPr>
                <w:sz w:val="14"/>
                <w:szCs w:val="14"/>
              </w:rPr>
            </w:pPr>
            <w:r w:rsidRPr="00784677">
              <w:rPr>
                <w:sz w:val="14"/>
                <w:szCs w:val="14"/>
              </w:rPr>
              <w:t>I85.0</w:t>
            </w:r>
          </w:p>
        </w:tc>
        <w:tc>
          <w:tcPr>
            <w:tcW w:w="1607" w:type="dxa"/>
            <w:vAlign w:val="bottom"/>
          </w:tcPr>
          <w:p w14:paraId="237A79EC" w14:textId="77777777" w:rsidR="008F3315" w:rsidRPr="00784677" w:rsidRDefault="008F3315" w:rsidP="00980D87">
            <w:pPr>
              <w:spacing w:line="360" w:lineRule="auto"/>
              <w:jc w:val="left"/>
              <w:rPr>
                <w:sz w:val="14"/>
                <w:szCs w:val="14"/>
              </w:rPr>
            </w:pPr>
            <w:r w:rsidRPr="00784677">
              <w:rPr>
                <w:sz w:val="14"/>
                <w:szCs w:val="14"/>
              </w:rPr>
              <w:t>-</w:t>
            </w:r>
          </w:p>
        </w:tc>
        <w:tc>
          <w:tcPr>
            <w:tcW w:w="1276" w:type="dxa"/>
            <w:vAlign w:val="bottom"/>
          </w:tcPr>
          <w:p w14:paraId="2CA417E5" w14:textId="77777777" w:rsidR="008F3315" w:rsidRPr="00784677" w:rsidRDefault="008F3315" w:rsidP="00980D87">
            <w:pPr>
              <w:spacing w:line="360" w:lineRule="auto"/>
              <w:rPr>
                <w:sz w:val="14"/>
                <w:szCs w:val="14"/>
              </w:rPr>
            </w:pPr>
            <w:r w:rsidRPr="00784677">
              <w:rPr>
                <w:sz w:val="14"/>
                <w:szCs w:val="14"/>
              </w:rPr>
              <w:t>-</w:t>
            </w:r>
          </w:p>
        </w:tc>
        <w:tc>
          <w:tcPr>
            <w:tcW w:w="1683" w:type="dxa"/>
            <w:vAlign w:val="bottom"/>
          </w:tcPr>
          <w:p w14:paraId="2E3578C5" w14:textId="77777777" w:rsidR="008F3315" w:rsidRPr="00784677" w:rsidRDefault="008F3315" w:rsidP="00980D87">
            <w:pPr>
              <w:spacing w:line="360" w:lineRule="auto"/>
              <w:jc w:val="left"/>
              <w:rPr>
                <w:sz w:val="14"/>
                <w:szCs w:val="14"/>
              </w:rPr>
            </w:pPr>
            <w:r w:rsidRPr="00784677">
              <w:rPr>
                <w:sz w:val="14"/>
                <w:szCs w:val="14"/>
              </w:rPr>
              <w:t>42 (2</w:t>
            </w:r>
            <w:r w:rsidRPr="00784677">
              <w:rPr>
                <w:rFonts w:ascii="Estrangelo Edessa" w:hAnsi="Estrangelo Edessa" w:cs="Estrangelo Edessa"/>
                <w:sz w:val="14"/>
                <w:szCs w:val="14"/>
              </w:rPr>
              <w:t>·</w:t>
            </w:r>
            <w:r w:rsidRPr="00784677">
              <w:rPr>
                <w:sz w:val="14"/>
                <w:szCs w:val="14"/>
              </w:rPr>
              <w:t>0)</w:t>
            </w:r>
          </w:p>
        </w:tc>
        <w:tc>
          <w:tcPr>
            <w:tcW w:w="1719" w:type="dxa"/>
            <w:vAlign w:val="bottom"/>
          </w:tcPr>
          <w:p w14:paraId="5466E978" w14:textId="77777777" w:rsidR="008F3315" w:rsidRPr="00784677" w:rsidRDefault="008F3315" w:rsidP="00980D87">
            <w:pPr>
              <w:spacing w:line="360" w:lineRule="auto"/>
              <w:jc w:val="left"/>
              <w:rPr>
                <w:sz w:val="14"/>
                <w:szCs w:val="14"/>
              </w:rPr>
            </w:pPr>
            <w:r w:rsidRPr="00784677">
              <w:rPr>
                <w:sz w:val="14"/>
                <w:szCs w:val="14"/>
              </w:rPr>
              <w:t>35 (1·4)</w:t>
            </w:r>
          </w:p>
        </w:tc>
      </w:tr>
      <w:tr w:rsidR="008F3315" w:rsidRPr="00784677" w14:paraId="51105208" w14:textId="77777777" w:rsidTr="00980D87">
        <w:trPr>
          <w:trHeight w:hRule="exact" w:val="308"/>
        </w:trPr>
        <w:tc>
          <w:tcPr>
            <w:tcW w:w="0" w:type="auto"/>
            <w:vAlign w:val="bottom"/>
          </w:tcPr>
          <w:p w14:paraId="1EC3A5DE" w14:textId="77777777" w:rsidR="008F3315" w:rsidRPr="00784677" w:rsidRDefault="008F3315" w:rsidP="00980D87">
            <w:pPr>
              <w:spacing w:line="360" w:lineRule="auto"/>
              <w:rPr>
                <w:sz w:val="14"/>
                <w:szCs w:val="14"/>
              </w:rPr>
            </w:pPr>
            <w:r w:rsidRPr="00784677">
              <w:rPr>
                <w:sz w:val="14"/>
                <w:szCs w:val="14"/>
              </w:rPr>
              <w:t>Oesophageal varices without bleeding</w:t>
            </w:r>
          </w:p>
        </w:tc>
        <w:tc>
          <w:tcPr>
            <w:tcW w:w="0" w:type="auto"/>
            <w:vAlign w:val="bottom"/>
          </w:tcPr>
          <w:p w14:paraId="52BF0AEB" w14:textId="77777777" w:rsidR="008F3315" w:rsidRPr="00784677" w:rsidRDefault="008F3315" w:rsidP="00980D87">
            <w:pPr>
              <w:spacing w:line="360" w:lineRule="auto"/>
              <w:jc w:val="left"/>
              <w:rPr>
                <w:sz w:val="14"/>
                <w:szCs w:val="14"/>
              </w:rPr>
            </w:pPr>
            <w:r w:rsidRPr="00784677">
              <w:rPr>
                <w:sz w:val="14"/>
                <w:szCs w:val="14"/>
              </w:rPr>
              <w:t>4561</w:t>
            </w:r>
          </w:p>
        </w:tc>
        <w:tc>
          <w:tcPr>
            <w:tcW w:w="0" w:type="auto"/>
            <w:vAlign w:val="bottom"/>
          </w:tcPr>
          <w:p w14:paraId="0612A7FA" w14:textId="77777777" w:rsidR="008F3315" w:rsidRPr="00784677" w:rsidRDefault="008F3315" w:rsidP="00980D87">
            <w:pPr>
              <w:spacing w:line="360" w:lineRule="auto"/>
              <w:jc w:val="left"/>
              <w:rPr>
                <w:sz w:val="14"/>
                <w:szCs w:val="14"/>
              </w:rPr>
            </w:pPr>
            <w:r w:rsidRPr="00784677">
              <w:rPr>
                <w:sz w:val="14"/>
                <w:szCs w:val="14"/>
              </w:rPr>
              <w:t>I85.9</w:t>
            </w:r>
          </w:p>
        </w:tc>
        <w:tc>
          <w:tcPr>
            <w:tcW w:w="1607" w:type="dxa"/>
            <w:vAlign w:val="bottom"/>
          </w:tcPr>
          <w:p w14:paraId="14C2C3B1" w14:textId="77777777" w:rsidR="008F3315" w:rsidRPr="00784677" w:rsidRDefault="008F3315" w:rsidP="00980D87">
            <w:pPr>
              <w:spacing w:line="360" w:lineRule="auto"/>
              <w:jc w:val="left"/>
              <w:rPr>
                <w:sz w:val="14"/>
                <w:szCs w:val="14"/>
              </w:rPr>
            </w:pPr>
            <w:r w:rsidRPr="00784677">
              <w:rPr>
                <w:sz w:val="14"/>
                <w:szCs w:val="14"/>
              </w:rPr>
              <w:t>-</w:t>
            </w:r>
          </w:p>
        </w:tc>
        <w:tc>
          <w:tcPr>
            <w:tcW w:w="1276" w:type="dxa"/>
            <w:vAlign w:val="bottom"/>
          </w:tcPr>
          <w:p w14:paraId="0EDA14AD" w14:textId="77777777" w:rsidR="008F3315" w:rsidRPr="00784677" w:rsidRDefault="008F3315" w:rsidP="00980D87">
            <w:pPr>
              <w:spacing w:line="360" w:lineRule="auto"/>
              <w:rPr>
                <w:sz w:val="14"/>
                <w:szCs w:val="14"/>
              </w:rPr>
            </w:pPr>
            <w:r w:rsidRPr="00784677">
              <w:rPr>
                <w:sz w:val="14"/>
                <w:szCs w:val="14"/>
              </w:rPr>
              <w:t>-</w:t>
            </w:r>
          </w:p>
        </w:tc>
        <w:tc>
          <w:tcPr>
            <w:tcW w:w="1683" w:type="dxa"/>
            <w:vAlign w:val="bottom"/>
          </w:tcPr>
          <w:p w14:paraId="5F57ED3D" w14:textId="77777777" w:rsidR="008F3315" w:rsidRPr="00784677" w:rsidRDefault="008F3315" w:rsidP="00980D87">
            <w:pPr>
              <w:spacing w:line="360" w:lineRule="auto"/>
              <w:jc w:val="left"/>
              <w:rPr>
                <w:sz w:val="14"/>
                <w:szCs w:val="14"/>
              </w:rPr>
            </w:pPr>
            <w:r w:rsidRPr="00784677">
              <w:rPr>
                <w:sz w:val="14"/>
                <w:szCs w:val="14"/>
              </w:rPr>
              <w:t>15 (0·7)</w:t>
            </w:r>
          </w:p>
        </w:tc>
        <w:tc>
          <w:tcPr>
            <w:tcW w:w="1719" w:type="dxa"/>
            <w:vAlign w:val="bottom"/>
          </w:tcPr>
          <w:p w14:paraId="4B35266F" w14:textId="77777777" w:rsidR="008F3315" w:rsidRPr="00784677" w:rsidRDefault="008F3315" w:rsidP="00980D87">
            <w:pPr>
              <w:spacing w:line="360" w:lineRule="auto"/>
              <w:jc w:val="left"/>
              <w:rPr>
                <w:sz w:val="14"/>
                <w:szCs w:val="14"/>
              </w:rPr>
            </w:pPr>
            <w:r w:rsidRPr="00784677">
              <w:rPr>
                <w:sz w:val="14"/>
                <w:szCs w:val="14"/>
              </w:rPr>
              <w:t>6 (0·2)</w:t>
            </w:r>
          </w:p>
        </w:tc>
      </w:tr>
      <w:tr w:rsidR="008F3315" w:rsidRPr="00784677" w14:paraId="155DAAE4" w14:textId="77777777" w:rsidTr="00980D87">
        <w:trPr>
          <w:trHeight w:hRule="exact" w:val="308"/>
        </w:trPr>
        <w:tc>
          <w:tcPr>
            <w:tcW w:w="0" w:type="auto"/>
            <w:vAlign w:val="bottom"/>
          </w:tcPr>
          <w:p w14:paraId="7A27D159" w14:textId="77777777" w:rsidR="008F3315" w:rsidRPr="00784677" w:rsidRDefault="008F3315" w:rsidP="00980D87">
            <w:pPr>
              <w:spacing w:line="360" w:lineRule="auto"/>
              <w:rPr>
                <w:sz w:val="14"/>
                <w:szCs w:val="14"/>
              </w:rPr>
            </w:pPr>
            <w:r w:rsidRPr="00784677">
              <w:rPr>
                <w:sz w:val="14"/>
                <w:szCs w:val="14"/>
              </w:rPr>
              <w:t>Alcoholic fibrosis and sclerosis of liver</w:t>
            </w:r>
          </w:p>
        </w:tc>
        <w:tc>
          <w:tcPr>
            <w:tcW w:w="0" w:type="auto"/>
            <w:vAlign w:val="bottom"/>
          </w:tcPr>
          <w:p w14:paraId="6497385E" w14:textId="77777777" w:rsidR="008F3315" w:rsidRPr="00784677" w:rsidRDefault="008F3315" w:rsidP="00980D87">
            <w:pPr>
              <w:spacing w:line="360" w:lineRule="auto"/>
              <w:jc w:val="left"/>
              <w:rPr>
                <w:sz w:val="14"/>
                <w:szCs w:val="14"/>
              </w:rPr>
            </w:pPr>
          </w:p>
        </w:tc>
        <w:tc>
          <w:tcPr>
            <w:tcW w:w="0" w:type="auto"/>
            <w:vAlign w:val="bottom"/>
          </w:tcPr>
          <w:p w14:paraId="185A63DD" w14:textId="77777777" w:rsidR="008F3315" w:rsidRPr="00784677" w:rsidRDefault="008F3315" w:rsidP="00980D87">
            <w:pPr>
              <w:spacing w:line="360" w:lineRule="auto"/>
              <w:jc w:val="left"/>
              <w:rPr>
                <w:sz w:val="14"/>
                <w:szCs w:val="14"/>
              </w:rPr>
            </w:pPr>
            <w:r w:rsidRPr="00784677">
              <w:rPr>
                <w:sz w:val="14"/>
                <w:szCs w:val="14"/>
              </w:rPr>
              <w:t>K70.2</w:t>
            </w:r>
          </w:p>
        </w:tc>
        <w:tc>
          <w:tcPr>
            <w:tcW w:w="1607" w:type="dxa"/>
            <w:vAlign w:val="bottom"/>
          </w:tcPr>
          <w:p w14:paraId="5EB5D679" w14:textId="77777777" w:rsidR="008F3315" w:rsidRPr="00784677" w:rsidRDefault="008F3315" w:rsidP="00980D87">
            <w:pPr>
              <w:spacing w:line="360" w:lineRule="auto"/>
              <w:rPr>
                <w:sz w:val="14"/>
                <w:szCs w:val="14"/>
              </w:rPr>
            </w:pPr>
            <w:r w:rsidRPr="00784677">
              <w:rPr>
                <w:sz w:val="14"/>
                <w:szCs w:val="14"/>
              </w:rPr>
              <w:t>-</w:t>
            </w:r>
          </w:p>
        </w:tc>
        <w:tc>
          <w:tcPr>
            <w:tcW w:w="1276" w:type="dxa"/>
            <w:vAlign w:val="bottom"/>
          </w:tcPr>
          <w:p w14:paraId="00F1BAD9" w14:textId="77777777" w:rsidR="008F3315" w:rsidRPr="00784677" w:rsidRDefault="008F3315" w:rsidP="00980D87">
            <w:pPr>
              <w:spacing w:line="360" w:lineRule="auto"/>
              <w:jc w:val="left"/>
              <w:rPr>
                <w:sz w:val="14"/>
                <w:szCs w:val="14"/>
              </w:rPr>
            </w:pPr>
            <w:r w:rsidRPr="00784677">
              <w:rPr>
                <w:sz w:val="14"/>
                <w:szCs w:val="14"/>
              </w:rPr>
              <w:t>1 (0·02)</w:t>
            </w:r>
          </w:p>
        </w:tc>
        <w:tc>
          <w:tcPr>
            <w:tcW w:w="1683" w:type="dxa"/>
            <w:vAlign w:val="bottom"/>
          </w:tcPr>
          <w:p w14:paraId="5499D6F8" w14:textId="77777777" w:rsidR="008F3315" w:rsidRPr="00784677" w:rsidRDefault="008F3315" w:rsidP="00980D87">
            <w:pPr>
              <w:spacing w:line="360" w:lineRule="auto"/>
              <w:rPr>
                <w:sz w:val="14"/>
                <w:szCs w:val="14"/>
              </w:rPr>
            </w:pPr>
            <w:r w:rsidRPr="00784677">
              <w:rPr>
                <w:sz w:val="14"/>
                <w:szCs w:val="14"/>
              </w:rPr>
              <w:t>-</w:t>
            </w:r>
          </w:p>
        </w:tc>
        <w:tc>
          <w:tcPr>
            <w:tcW w:w="1719" w:type="dxa"/>
            <w:vAlign w:val="bottom"/>
          </w:tcPr>
          <w:p w14:paraId="2CD8D485" w14:textId="77777777" w:rsidR="008F3315" w:rsidRPr="00784677" w:rsidRDefault="008F3315" w:rsidP="00980D87">
            <w:pPr>
              <w:spacing w:line="360" w:lineRule="auto"/>
              <w:jc w:val="left"/>
              <w:rPr>
                <w:sz w:val="14"/>
                <w:szCs w:val="14"/>
              </w:rPr>
            </w:pPr>
            <w:r w:rsidRPr="00784677">
              <w:rPr>
                <w:sz w:val="14"/>
                <w:szCs w:val="14"/>
              </w:rPr>
              <w:t>-</w:t>
            </w:r>
          </w:p>
        </w:tc>
      </w:tr>
      <w:tr w:rsidR="008F3315" w:rsidRPr="00784677" w14:paraId="165FABA0" w14:textId="77777777" w:rsidTr="00980D87">
        <w:trPr>
          <w:trHeight w:hRule="exact" w:val="308"/>
        </w:trPr>
        <w:tc>
          <w:tcPr>
            <w:tcW w:w="0" w:type="auto"/>
            <w:vAlign w:val="bottom"/>
          </w:tcPr>
          <w:p w14:paraId="4571A5A0" w14:textId="77777777" w:rsidR="008F3315" w:rsidRPr="00784677" w:rsidRDefault="008F3315" w:rsidP="00980D87">
            <w:pPr>
              <w:spacing w:line="360" w:lineRule="auto"/>
              <w:rPr>
                <w:sz w:val="14"/>
                <w:szCs w:val="14"/>
              </w:rPr>
            </w:pPr>
            <w:r w:rsidRPr="00784677">
              <w:rPr>
                <w:sz w:val="14"/>
                <w:szCs w:val="14"/>
              </w:rPr>
              <w:t>Alcoholic hepatic failure</w:t>
            </w:r>
          </w:p>
        </w:tc>
        <w:tc>
          <w:tcPr>
            <w:tcW w:w="0" w:type="auto"/>
            <w:vAlign w:val="bottom"/>
          </w:tcPr>
          <w:p w14:paraId="33EBB8D4" w14:textId="77777777" w:rsidR="008F3315" w:rsidRPr="00784677" w:rsidRDefault="008F3315" w:rsidP="00980D87">
            <w:pPr>
              <w:spacing w:line="360" w:lineRule="auto"/>
              <w:jc w:val="left"/>
              <w:rPr>
                <w:sz w:val="14"/>
                <w:szCs w:val="14"/>
              </w:rPr>
            </w:pPr>
          </w:p>
        </w:tc>
        <w:tc>
          <w:tcPr>
            <w:tcW w:w="0" w:type="auto"/>
            <w:vAlign w:val="bottom"/>
          </w:tcPr>
          <w:p w14:paraId="751E5E5A" w14:textId="77777777" w:rsidR="008F3315" w:rsidRPr="00784677" w:rsidRDefault="008F3315" w:rsidP="00980D87">
            <w:pPr>
              <w:spacing w:line="360" w:lineRule="auto"/>
              <w:jc w:val="left"/>
              <w:rPr>
                <w:sz w:val="14"/>
                <w:szCs w:val="14"/>
              </w:rPr>
            </w:pPr>
            <w:r w:rsidRPr="00784677">
              <w:rPr>
                <w:sz w:val="14"/>
                <w:szCs w:val="14"/>
              </w:rPr>
              <w:t>K70.4</w:t>
            </w:r>
          </w:p>
        </w:tc>
        <w:tc>
          <w:tcPr>
            <w:tcW w:w="1607" w:type="dxa"/>
            <w:vAlign w:val="bottom"/>
          </w:tcPr>
          <w:p w14:paraId="29168B86" w14:textId="77777777" w:rsidR="008F3315" w:rsidRPr="00784677" w:rsidRDefault="008F3315" w:rsidP="00980D87">
            <w:pPr>
              <w:spacing w:line="360" w:lineRule="auto"/>
              <w:rPr>
                <w:sz w:val="14"/>
                <w:szCs w:val="14"/>
              </w:rPr>
            </w:pPr>
            <w:r w:rsidRPr="00784677">
              <w:rPr>
                <w:sz w:val="14"/>
                <w:szCs w:val="14"/>
              </w:rPr>
              <w:t>-</w:t>
            </w:r>
          </w:p>
        </w:tc>
        <w:tc>
          <w:tcPr>
            <w:tcW w:w="1276" w:type="dxa"/>
            <w:vAlign w:val="bottom"/>
          </w:tcPr>
          <w:p w14:paraId="60F34BA6" w14:textId="77777777" w:rsidR="008F3315" w:rsidRPr="00784677" w:rsidRDefault="008F3315" w:rsidP="00980D87">
            <w:pPr>
              <w:spacing w:line="360" w:lineRule="auto"/>
              <w:jc w:val="left"/>
              <w:rPr>
                <w:sz w:val="14"/>
                <w:szCs w:val="14"/>
              </w:rPr>
            </w:pPr>
            <w:r w:rsidRPr="00784677">
              <w:rPr>
                <w:sz w:val="14"/>
                <w:szCs w:val="14"/>
              </w:rPr>
              <w:t>774 (12)</w:t>
            </w:r>
          </w:p>
        </w:tc>
        <w:tc>
          <w:tcPr>
            <w:tcW w:w="1683" w:type="dxa"/>
            <w:vAlign w:val="bottom"/>
          </w:tcPr>
          <w:p w14:paraId="70AA1371" w14:textId="77777777" w:rsidR="008F3315" w:rsidRPr="00784677" w:rsidRDefault="008F3315" w:rsidP="00980D87">
            <w:pPr>
              <w:spacing w:line="360" w:lineRule="auto"/>
              <w:rPr>
                <w:sz w:val="14"/>
                <w:szCs w:val="14"/>
              </w:rPr>
            </w:pPr>
            <w:r w:rsidRPr="00784677">
              <w:rPr>
                <w:sz w:val="14"/>
                <w:szCs w:val="14"/>
              </w:rPr>
              <w:t>-</w:t>
            </w:r>
          </w:p>
        </w:tc>
        <w:tc>
          <w:tcPr>
            <w:tcW w:w="1719" w:type="dxa"/>
            <w:vAlign w:val="bottom"/>
          </w:tcPr>
          <w:p w14:paraId="47B8C4B8" w14:textId="77777777" w:rsidR="008F3315" w:rsidRPr="00784677" w:rsidRDefault="008F3315" w:rsidP="00980D87">
            <w:pPr>
              <w:spacing w:line="360" w:lineRule="auto"/>
              <w:jc w:val="left"/>
              <w:rPr>
                <w:sz w:val="14"/>
                <w:szCs w:val="14"/>
              </w:rPr>
            </w:pPr>
            <w:r w:rsidRPr="00784677">
              <w:rPr>
                <w:sz w:val="14"/>
                <w:szCs w:val="14"/>
              </w:rPr>
              <w:t>-</w:t>
            </w:r>
          </w:p>
        </w:tc>
      </w:tr>
      <w:tr w:rsidR="008F3315" w:rsidRPr="00784677" w14:paraId="2F9CE8ED" w14:textId="77777777" w:rsidTr="00980D87">
        <w:trPr>
          <w:trHeight w:hRule="exact" w:val="308"/>
        </w:trPr>
        <w:tc>
          <w:tcPr>
            <w:tcW w:w="0" w:type="auto"/>
            <w:vAlign w:val="bottom"/>
          </w:tcPr>
          <w:p w14:paraId="6F47D85D" w14:textId="77777777" w:rsidR="008F3315" w:rsidRPr="00784677" w:rsidRDefault="008F3315" w:rsidP="00980D87">
            <w:pPr>
              <w:spacing w:line="360" w:lineRule="auto"/>
              <w:rPr>
                <w:sz w:val="14"/>
                <w:szCs w:val="14"/>
              </w:rPr>
            </w:pPr>
            <w:r w:rsidRPr="00784677">
              <w:rPr>
                <w:sz w:val="14"/>
                <w:szCs w:val="14"/>
              </w:rPr>
              <w:t>Chronic hepatic failure</w:t>
            </w:r>
          </w:p>
        </w:tc>
        <w:tc>
          <w:tcPr>
            <w:tcW w:w="0" w:type="auto"/>
            <w:vAlign w:val="bottom"/>
          </w:tcPr>
          <w:p w14:paraId="32444D50" w14:textId="77777777" w:rsidR="008F3315" w:rsidRPr="00784677" w:rsidRDefault="008F3315" w:rsidP="00980D87">
            <w:pPr>
              <w:spacing w:line="360" w:lineRule="auto"/>
              <w:jc w:val="left"/>
              <w:rPr>
                <w:sz w:val="14"/>
                <w:szCs w:val="14"/>
              </w:rPr>
            </w:pPr>
          </w:p>
        </w:tc>
        <w:tc>
          <w:tcPr>
            <w:tcW w:w="0" w:type="auto"/>
            <w:vAlign w:val="bottom"/>
          </w:tcPr>
          <w:p w14:paraId="0156D4B3" w14:textId="77777777" w:rsidR="008F3315" w:rsidRPr="00784677" w:rsidRDefault="008F3315" w:rsidP="00980D87">
            <w:pPr>
              <w:spacing w:line="360" w:lineRule="auto"/>
              <w:jc w:val="left"/>
              <w:rPr>
                <w:sz w:val="14"/>
                <w:szCs w:val="14"/>
              </w:rPr>
            </w:pPr>
            <w:r w:rsidRPr="00784677">
              <w:rPr>
                <w:sz w:val="14"/>
                <w:szCs w:val="14"/>
              </w:rPr>
              <w:t>K72.1</w:t>
            </w:r>
          </w:p>
        </w:tc>
        <w:tc>
          <w:tcPr>
            <w:tcW w:w="1607" w:type="dxa"/>
            <w:vAlign w:val="bottom"/>
          </w:tcPr>
          <w:p w14:paraId="7B2A9A4F" w14:textId="77777777" w:rsidR="008F3315" w:rsidRPr="00784677" w:rsidRDefault="008F3315" w:rsidP="00980D87">
            <w:pPr>
              <w:spacing w:line="360" w:lineRule="auto"/>
              <w:rPr>
                <w:sz w:val="14"/>
                <w:szCs w:val="14"/>
              </w:rPr>
            </w:pPr>
            <w:r w:rsidRPr="00784677">
              <w:rPr>
                <w:sz w:val="14"/>
                <w:szCs w:val="14"/>
              </w:rPr>
              <w:t>-</w:t>
            </w:r>
          </w:p>
        </w:tc>
        <w:tc>
          <w:tcPr>
            <w:tcW w:w="1276" w:type="dxa"/>
            <w:vAlign w:val="bottom"/>
          </w:tcPr>
          <w:p w14:paraId="2C6ECD40" w14:textId="77777777" w:rsidR="008F3315" w:rsidRPr="00784677" w:rsidRDefault="008F3315" w:rsidP="00980D87">
            <w:pPr>
              <w:spacing w:line="360" w:lineRule="auto"/>
              <w:jc w:val="left"/>
              <w:rPr>
                <w:sz w:val="14"/>
                <w:szCs w:val="14"/>
              </w:rPr>
            </w:pPr>
            <w:r w:rsidRPr="00784677">
              <w:rPr>
                <w:sz w:val="14"/>
                <w:szCs w:val="14"/>
              </w:rPr>
              <w:t>-</w:t>
            </w:r>
          </w:p>
        </w:tc>
        <w:tc>
          <w:tcPr>
            <w:tcW w:w="1683" w:type="dxa"/>
            <w:vAlign w:val="bottom"/>
          </w:tcPr>
          <w:p w14:paraId="31C4DBB4" w14:textId="77777777" w:rsidR="008F3315" w:rsidRPr="00784677" w:rsidRDefault="008F3315" w:rsidP="00980D87">
            <w:pPr>
              <w:spacing w:line="360" w:lineRule="auto"/>
              <w:rPr>
                <w:sz w:val="14"/>
                <w:szCs w:val="14"/>
              </w:rPr>
            </w:pPr>
            <w:r w:rsidRPr="00784677">
              <w:rPr>
                <w:sz w:val="14"/>
                <w:szCs w:val="14"/>
              </w:rPr>
              <w:t>-</w:t>
            </w:r>
          </w:p>
        </w:tc>
        <w:tc>
          <w:tcPr>
            <w:tcW w:w="1719" w:type="dxa"/>
            <w:vAlign w:val="bottom"/>
          </w:tcPr>
          <w:p w14:paraId="682D5EDB" w14:textId="77777777" w:rsidR="008F3315" w:rsidRPr="00784677" w:rsidRDefault="008F3315" w:rsidP="00980D87">
            <w:pPr>
              <w:spacing w:line="360" w:lineRule="auto"/>
              <w:jc w:val="left"/>
              <w:rPr>
                <w:sz w:val="14"/>
                <w:szCs w:val="14"/>
              </w:rPr>
            </w:pPr>
            <w:r w:rsidRPr="00784677">
              <w:rPr>
                <w:sz w:val="14"/>
                <w:szCs w:val="14"/>
              </w:rPr>
              <w:t>10 (0·4)</w:t>
            </w:r>
          </w:p>
        </w:tc>
      </w:tr>
      <w:tr w:rsidR="008F3315" w:rsidRPr="00784677" w14:paraId="460210D4" w14:textId="77777777" w:rsidTr="00980D87">
        <w:trPr>
          <w:trHeight w:hRule="exact" w:val="308"/>
        </w:trPr>
        <w:tc>
          <w:tcPr>
            <w:tcW w:w="0" w:type="auto"/>
            <w:vAlign w:val="bottom"/>
          </w:tcPr>
          <w:p w14:paraId="31A09F1F" w14:textId="77777777" w:rsidR="008F3315" w:rsidRPr="00784677" w:rsidRDefault="008F3315" w:rsidP="00980D87">
            <w:pPr>
              <w:spacing w:line="360" w:lineRule="auto"/>
              <w:rPr>
                <w:sz w:val="14"/>
                <w:szCs w:val="14"/>
              </w:rPr>
            </w:pPr>
            <w:r w:rsidRPr="00784677">
              <w:rPr>
                <w:sz w:val="14"/>
                <w:szCs w:val="14"/>
              </w:rPr>
              <w:t>Chronic active hepatitis, not elsewhere classified</w:t>
            </w:r>
          </w:p>
        </w:tc>
        <w:tc>
          <w:tcPr>
            <w:tcW w:w="0" w:type="auto"/>
            <w:vAlign w:val="bottom"/>
          </w:tcPr>
          <w:p w14:paraId="7A0525A0" w14:textId="77777777" w:rsidR="008F3315" w:rsidRPr="00784677" w:rsidRDefault="008F3315" w:rsidP="00980D87">
            <w:pPr>
              <w:spacing w:line="360" w:lineRule="auto"/>
              <w:jc w:val="left"/>
              <w:rPr>
                <w:sz w:val="14"/>
                <w:szCs w:val="14"/>
              </w:rPr>
            </w:pPr>
          </w:p>
        </w:tc>
        <w:tc>
          <w:tcPr>
            <w:tcW w:w="0" w:type="auto"/>
            <w:vAlign w:val="bottom"/>
          </w:tcPr>
          <w:p w14:paraId="32816243" w14:textId="77777777" w:rsidR="008F3315" w:rsidRPr="00784677" w:rsidRDefault="008F3315" w:rsidP="00980D87">
            <w:pPr>
              <w:spacing w:line="360" w:lineRule="auto"/>
              <w:jc w:val="left"/>
              <w:rPr>
                <w:sz w:val="14"/>
                <w:szCs w:val="14"/>
              </w:rPr>
            </w:pPr>
            <w:r w:rsidRPr="00784677">
              <w:rPr>
                <w:sz w:val="14"/>
                <w:szCs w:val="14"/>
              </w:rPr>
              <w:t>K73.2</w:t>
            </w:r>
          </w:p>
        </w:tc>
        <w:tc>
          <w:tcPr>
            <w:tcW w:w="1607" w:type="dxa"/>
            <w:vAlign w:val="bottom"/>
          </w:tcPr>
          <w:p w14:paraId="28A376FD" w14:textId="77777777" w:rsidR="008F3315" w:rsidRPr="00784677" w:rsidRDefault="008F3315" w:rsidP="00980D87">
            <w:pPr>
              <w:spacing w:line="360" w:lineRule="auto"/>
              <w:rPr>
                <w:sz w:val="14"/>
                <w:szCs w:val="14"/>
              </w:rPr>
            </w:pPr>
            <w:r w:rsidRPr="00784677">
              <w:rPr>
                <w:sz w:val="14"/>
                <w:szCs w:val="14"/>
              </w:rPr>
              <w:t>-</w:t>
            </w:r>
          </w:p>
        </w:tc>
        <w:tc>
          <w:tcPr>
            <w:tcW w:w="1276" w:type="dxa"/>
            <w:vAlign w:val="bottom"/>
          </w:tcPr>
          <w:p w14:paraId="221888CD" w14:textId="77777777" w:rsidR="008F3315" w:rsidRPr="00784677" w:rsidRDefault="008F3315" w:rsidP="00980D87">
            <w:pPr>
              <w:spacing w:line="360" w:lineRule="auto"/>
              <w:jc w:val="left"/>
              <w:rPr>
                <w:sz w:val="14"/>
                <w:szCs w:val="14"/>
              </w:rPr>
            </w:pPr>
            <w:r w:rsidRPr="00784677">
              <w:rPr>
                <w:sz w:val="14"/>
                <w:szCs w:val="14"/>
              </w:rPr>
              <w:t>58 (0·9)</w:t>
            </w:r>
          </w:p>
        </w:tc>
        <w:tc>
          <w:tcPr>
            <w:tcW w:w="1683" w:type="dxa"/>
            <w:vAlign w:val="bottom"/>
          </w:tcPr>
          <w:p w14:paraId="2244DF7D" w14:textId="77777777" w:rsidR="008F3315" w:rsidRPr="00784677" w:rsidRDefault="008F3315" w:rsidP="00980D87">
            <w:pPr>
              <w:spacing w:line="360" w:lineRule="auto"/>
              <w:rPr>
                <w:sz w:val="14"/>
                <w:szCs w:val="14"/>
              </w:rPr>
            </w:pPr>
            <w:r w:rsidRPr="00784677">
              <w:rPr>
                <w:sz w:val="14"/>
                <w:szCs w:val="14"/>
              </w:rPr>
              <w:t>-</w:t>
            </w:r>
          </w:p>
        </w:tc>
        <w:tc>
          <w:tcPr>
            <w:tcW w:w="1719" w:type="dxa"/>
            <w:vAlign w:val="bottom"/>
          </w:tcPr>
          <w:p w14:paraId="473E8F08" w14:textId="77777777" w:rsidR="008F3315" w:rsidRPr="00784677" w:rsidRDefault="008F3315" w:rsidP="00980D87">
            <w:pPr>
              <w:spacing w:line="360" w:lineRule="auto"/>
              <w:jc w:val="left"/>
              <w:rPr>
                <w:sz w:val="14"/>
                <w:szCs w:val="14"/>
              </w:rPr>
            </w:pPr>
            <w:r w:rsidRPr="00784677">
              <w:rPr>
                <w:sz w:val="14"/>
                <w:szCs w:val="14"/>
              </w:rPr>
              <w:t>-</w:t>
            </w:r>
          </w:p>
        </w:tc>
      </w:tr>
      <w:tr w:rsidR="008F3315" w:rsidRPr="00784677" w14:paraId="658B7D64" w14:textId="77777777" w:rsidTr="00980D87">
        <w:trPr>
          <w:trHeight w:hRule="exact" w:val="308"/>
        </w:trPr>
        <w:tc>
          <w:tcPr>
            <w:tcW w:w="0" w:type="auto"/>
            <w:vAlign w:val="bottom"/>
          </w:tcPr>
          <w:p w14:paraId="584C7692" w14:textId="77777777" w:rsidR="008F3315" w:rsidRPr="00784677" w:rsidRDefault="008F3315" w:rsidP="00980D87">
            <w:pPr>
              <w:spacing w:line="360" w:lineRule="auto"/>
              <w:rPr>
                <w:sz w:val="14"/>
                <w:szCs w:val="14"/>
              </w:rPr>
            </w:pPr>
            <w:r w:rsidRPr="00784677">
              <w:rPr>
                <w:sz w:val="14"/>
                <w:szCs w:val="14"/>
              </w:rPr>
              <w:t>Hepatic fibrosis</w:t>
            </w:r>
          </w:p>
        </w:tc>
        <w:tc>
          <w:tcPr>
            <w:tcW w:w="0" w:type="auto"/>
            <w:vAlign w:val="bottom"/>
          </w:tcPr>
          <w:p w14:paraId="086DABEA" w14:textId="77777777" w:rsidR="008F3315" w:rsidRPr="00784677" w:rsidRDefault="008F3315" w:rsidP="00980D87">
            <w:pPr>
              <w:spacing w:line="360" w:lineRule="auto"/>
              <w:jc w:val="left"/>
              <w:rPr>
                <w:sz w:val="14"/>
                <w:szCs w:val="14"/>
              </w:rPr>
            </w:pPr>
          </w:p>
        </w:tc>
        <w:tc>
          <w:tcPr>
            <w:tcW w:w="0" w:type="auto"/>
            <w:vAlign w:val="bottom"/>
          </w:tcPr>
          <w:p w14:paraId="7268E08F" w14:textId="77777777" w:rsidR="008F3315" w:rsidRPr="00784677" w:rsidRDefault="008F3315" w:rsidP="00980D87">
            <w:pPr>
              <w:spacing w:line="360" w:lineRule="auto"/>
              <w:jc w:val="left"/>
              <w:rPr>
                <w:sz w:val="14"/>
                <w:szCs w:val="14"/>
              </w:rPr>
            </w:pPr>
            <w:r w:rsidRPr="00784677">
              <w:rPr>
                <w:sz w:val="14"/>
                <w:szCs w:val="14"/>
              </w:rPr>
              <w:t>K74.0</w:t>
            </w:r>
          </w:p>
        </w:tc>
        <w:tc>
          <w:tcPr>
            <w:tcW w:w="1607" w:type="dxa"/>
            <w:vAlign w:val="bottom"/>
          </w:tcPr>
          <w:p w14:paraId="3C7BC2C3" w14:textId="77777777" w:rsidR="008F3315" w:rsidRPr="00784677" w:rsidRDefault="008F3315" w:rsidP="00980D87">
            <w:pPr>
              <w:spacing w:line="360" w:lineRule="auto"/>
              <w:rPr>
                <w:sz w:val="14"/>
                <w:szCs w:val="14"/>
              </w:rPr>
            </w:pPr>
            <w:r w:rsidRPr="00784677">
              <w:rPr>
                <w:sz w:val="14"/>
                <w:szCs w:val="14"/>
              </w:rPr>
              <w:t>-</w:t>
            </w:r>
          </w:p>
        </w:tc>
        <w:tc>
          <w:tcPr>
            <w:tcW w:w="1276" w:type="dxa"/>
            <w:vAlign w:val="bottom"/>
          </w:tcPr>
          <w:p w14:paraId="72EB9392" w14:textId="77777777" w:rsidR="008F3315" w:rsidRPr="00784677" w:rsidRDefault="008F3315" w:rsidP="00980D87">
            <w:pPr>
              <w:spacing w:line="360" w:lineRule="auto"/>
              <w:jc w:val="left"/>
              <w:rPr>
                <w:sz w:val="14"/>
                <w:szCs w:val="14"/>
              </w:rPr>
            </w:pPr>
            <w:r w:rsidRPr="00784677">
              <w:rPr>
                <w:sz w:val="14"/>
                <w:szCs w:val="14"/>
              </w:rPr>
              <w:t>5 (0·08)</w:t>
            </w:r>
          </w:p>
        </w:tc>
        <w:tc>
          <w:tcPr>
            <w:tcW w:w="1683" w:type="dxa"/>
            <w:vAlign w:val="bottom"/>
          </w:tcPr>
          <w:p w14:paraId="528934FC" w14:textId="77777777" w:rsidR="008F3315" w:rsidRPr="00784677" w:rsidRDefault="008F3315" w:rsidP="00980D87">
            <w:pPr>
              <w:spacing w:line="360" w:lineRule="auto"/>
              <w:rPr>
                <w:sz w:val="14"/>
                <w:szCs w:val="14"/>
              </w:rPr>
            </w:pPr>
            <w:r w:rsidRPr="00784677">
              <w:rPr>
                <w:sz w:val="14"/>
                <w:szCs w:val="14"/>
              </w:rPr>
              <w:t>-</w:t>
            </w:r>
          </w:p>
        </w:tc>
        <w:tc>
          <w:tcPr>
            <w:tcW w:w="1719" w:type="dxa"/>
            <w:vAlign w:val="bottom"/>
          </w:tcPr>
          <w:p w14:paraId="74C28594" w14:textId="77777777" w:rsidR="008F3315" w:rsidRPr="00784677" w:rsidRDefault="008F3315" w:rsidP="00980D87">
            <w:pPr>
              <w:spacing w:line="360" w:lineRule="auto"/>
              <w:jc w:val="left"/>
              <w:rPr>
                <w:sz w:val="14"/>
                <w:szCs w:val="14"/>
              </w:rPr>
            </w:pPr>
            <w:r w:rsidRPr="00784677">
              <w:rPr>
                <w:sz w:val="14"/>
                <w:szCs w:val="14"/>
              </w:rPr>
              <w:t>-</w:t>
            </w:r>
          </w:p>
        </w:tc>
      </w:tr>
      <w:tr w:rsidR="008F3315" w:rsidRPr="00784677" w14:paraId="409F5E8F" w14:textId="77777777" w:rsidTr="00980D87">
        <w:trPr>
          <w:trHeight w:hRule="exact" w:val="308"/>
        </w:trPr>
        <w:tc>
          <w:tcPr>
            <w:tcW w:w="0" w:type="auto"/>
            <w:vAlign w:val="bottom"/>
          </w:tcPr>
          <w:p w14:paraId="335664A2" w14:textId="77777777" w:rsidR="008F3315" w:rsidRPr="00784677" w:rsidRDefault="008F3315" w:rsidP="00980D87">
            <w:pPr>
              <w:spacing w:line="360" w:lineRule="auto"/>
              <w:rPr>
                <w:sz w:val="14"/>
                <w:szCs w:val="14"/>
              </w:rPr>
            </w:pPr>
            <w:r w:rsidRPr="00784677">
              <w:rPr>
                <w:sz w:val="14"/>
                <w:szCs w:val="14"/>
              </w:rPr>
              <w:t>Hepatic sclerosis</w:t>
            </w:r>
          </w:p>
        </w:tc>
        <w:tc>
          <w:tcPr>
            <w:tcW w:w="0" w:type="auto"/>
            <w:vAlign w:val="bottom"/>
          </w:tcPr>
          <w:p w14:paraId="145F65A2" w14:textId="77777777" w:rsidR="008F3315" w:rsidRPr="00784677" w:rsidRDefault="008F3315" w:rsidP="00980D87">
            <w:pPr>
              <w:spacing w:line="360" w:lineRule="auto"/>
              <w:jc w:val="left"/>
              <w:rPr>
                <w:sz w:val="14"/>
                <w:szCs w:val="14"/>
              </w:rPr>
            </w:pPr>
          </w:p>
        </w:tc>
        <w:tc>
          <w:tcPr>
            <w:tcW w:w="0" w:type="auto"/>
            <w:vAlign w:val="bottom"/>
          </w:tcPr>
          <w:p w14:paraId="2ACAB5F8" w14:textId="77777777" w:rsidR="008F3315" w:rsidRPr="00784677" w:rsidRDefault="008F3315" w:rsidP="00980D87">
            <w:pPr>
              <w:spacing w:line="360" w:lineRule="auto"/>
              <w:jc w:val="left"/>
              <w:rPr>
                <w:sz w:val="14"/>
                <w:szCs w:val="14"/>
              </w:rPr>
            </w:pPr>
            <w:r w:rsidRPr="00784677">
              <w:rPr>
                <w:sz w:val="14"/>
                <w:szCs w:val="14"/>
              </w:rPr>
              <w:t>K74.1</w:t>
            </w:r>
          </w:p>
        </w:tc>
        <w:tc>
          <w:tcPr>
            <w:tcW w:w="1607" w:type="dxa"/>
            <w:vAlign w:val="bottom"/>
          </w:tcPr>
          <w:p w14:paraId="3DB3B4D3" w14:textId="77777777" w:rsidR="008F3315" w:rsidRPr="00784677" w:rsidRDefault="008F3315" w:rsidP="00980D87">
            <w:pPr>
              <w:spacing w:line="360" w:lineRule="auto"/>
              <w:rPr>
                <w:sz w:val="14"/>
                <w:szCs w:val="14"/>
              </w:rPr>
            </w:pPr>
            <w:r w:rsidRPr="00784677">
              <w:rPr>
                <w:sz w:val="14"/>
                <w:szCs w:val="14"/>
              </w:rPr>
              <w:t>-</w:t>
            </w:r>
          </w:p>
        </w:tc>
        <w:tc>
          <w:tcPr>
            <w:tcW w:w="1276" w:type="dxa"/>
            <w:vAlign w:val="bottom"/>
          </w:tcPr>
          <w:p w14:paraId="322CD24D" w14:textId="77777777" w:rsidR="008F3315" w:rsidRPr="00784677" w:rsidRDefault="008F3315" w:rsidP="00980D87">
            <w:pPr>
              <w:spacing w:line="360" w:lineRule="auto"/>
              <w:jc w:val="left"/>
              <w:rPr>
                <w:sz w:val="14"/>
                <w:szCs w:val="14"/>
              </w:rPr>
            </w:pPr>
            <w:r w:rsidRPr="00784677">
              <w:rPr>
                <w:sz w:val="14"/>
                <w:szCs w:val="14"/>
              </w:rPr>
              <w:t>1 (0·02)</w:t>
            </w:r>
          </w:p>
        </w:tc>
        <w:tc>
          <w:tcPr>
            <w:tcW w:w="1683" w:type="dxa"/>
            <w:vAlign w:val="bottom"/>
          </w:tcPr>
          <w:p w14:paraId="7C8CB108" w14:textId="77777777" w:rsidR="008F3315" w:rsidRPr="00784677" w:rsidRDefault="008F3315" w:rsidP="00980D87">
            <w:pPr>
              <w:spacing w:line="360" w:lineRule="auto"/>
              <w:rPr>
                <w:sz w:val="14"/>
                <w:szCs w:val="14"/>
              </w:rPr>
            </w:pPr>
            <w:r w:rsidRPr="00784677">
              <w:rPr>
                <w:sz w:val="14"/>
                <w:szCs w:val="14"/>
              </w:rPr>
              <w:t>-</w:t>
            </w:r>
          </w:p>
        </w:tc>
        <w:tc>
          <w:tcPr>
            <w:tcW w:w="1719" w:type="dxa"/>
            <w:vAlign w:val="bottom"/>
          </w:tcPr>
          <w:p w14:paraId="3C7070AD" w14:textId="77777777" w:rsidR="008F3315" w:rsidRPr="00784677" w:rsidRDefault="008F3315" w:rsidP="00980D87">
            <w:pPr>
              <w:spacing w:line="360" w:lineRule="auto"/>
              <w:jc w:val="left"/>
              <w:rPr>
                <w:sz w:val="14"/>
                <w:szCs w:val="14"/>
              </w:rPr>
            </w:pPr>
            <w:r w:rsidRPr="00784677">
              <w:rPr>
                <w:sz w:val="14"/>
                <w:szCs w:val="14"/>
              </w:rPr>
              <w:t>-</w:t>
            </w:r>
          </w:p>
        </w:tc>
      </w:tr>
      <w:tr w:rsidR="008F3315" w:rsidRPr="00784677" w14:paraId="0CCFDE37" w14:textId="77777777" w:rsidTr="00980D87">
        <w:trPr>
          <w:trHeight w:hRule="exact" w:val="308"/>
        </w:trPr>
        <w:tc>
          <w:tcPr>
            <w:tcW w:w="0" w:type="auto"/>
            <w:vAlign w:val="bottom"/>
          </w:tcPr>
          <w:p w14:paraId="3CFB7941" w14:textId="77777777" w:rsidR="008F3315" w:rsidRPr="00784677" w:rsidRDefault="008F3315" w:rsidP="00980D87">
            <w:pPr>
              <w:spacing w:line="360" w:lineRule="auto"/>
              <w:rPr>
                <w:sz w:val="14"/>
                <w:szCs w:val="14"/>
              </w:rPr>
            </w:pPr>
            <w:r w:rsidRPr="00784677">
              <w:rPr>
                <w:sz w:val="14"/>
                <w:szCs w:val="14"/>
              </w:rPr>
              <w:t>Primary biliary cirrhosis</w:t>
            </w:r>
          </w:p>
        </w:tc>
        <w:tc>
          <w:tcPr>
            <w:tcW w:w="0" w:type="auto"/>
            <w:vAlign w:val="bottom"/>
          </w:tcPr>
          <w:p w14:paraId="16677C45" w14:textId="77777777" w:rsidR="008F3315" w:rsidRPr="00784677" w:rsidRDefault="008F3315" w:rsidP="00980D87">
            <w:pPr>
              <w:spacing w:line="360" w:lineRule="auto"/>
              <w:jc w:val="left"/>
              <w:rPr>
                <w:sz w:val="14"/>
                <w:szCs w:val="14"/>
              </w:rPr>
            </w:pPr>
          </w:p>
        </w:tc>
        <w:tc>
          <w:tcPr>
            <w:tcW w:w="0" w:type="auto"/>
            <w:vAlign w:val="bottom"/>
          </w:tcPr>
          <w:p w14:paraId="1B172BC0" w14:textId="77777777" w:rsidR="008F3315" w:rsidRPr="00784677" w:rsidRDefault="008F3315" w:rsidP="00980D87">
            <w:pPr>
              <w:spacing w:line="360" w:lineRule="auto"/>
              <w:jc w:val="left"/>
              <w:rPr>
                <w:sz w:val="14"/>
                <w:szCs w:val="14"/>
              </w:rPr>
            </w:pPr>
            <w:r w:rsidRPr="00784677">
              <w:rPr>
                <w:sz w:val="14"/>
                <w:szCs w:val="14"/>
              </w:rPr>
              <w:t>K74.3</w:t>
            </w:r>
          </w:p>
        </w:tc>
        <w:tc>
          <w:tcPr>
            <w:tcW w:w="1607" w:type="dxa"/>
            <w:vAlign w:val="bottom"/>
          </w:tcPr>
          <w:p w14:paraId="62F61F91" w14:textId="77777777" w:rsidR="008F3315" w:rsidRPr="00784677" w:rsidRDefault="008F3315" w:rsidP="00980D87">
            <w:pPr>
              <w:spacing w:line="360" w:lineRule="auto"/>
              <w:rPr>
                <w:sz w:val="14"/>
                <w:szCs w:val="14"/>
              </w:rPr>
            </w:pPr>
            <w:r w:rsidRPr="00784677">
              <w:rPr>
                <w:sz w:val="14"/>
                <w:szCs w:val="14"/>
              </w:rPr>
              <w:t>-</w:t>
            </w:r>
          </w:p>
        </w:tc>
        <w:tc>
          <w:tcPr>
            <w:tcW w:w="1276" w:type="dxa"/>
            <w:vAlign w:val="bottom"/>
          </w:tcPr>
          <w:p w14:paraId="1725EE12" w14:textId="77777777" w:rsidR="008F3315" w:rsidRPr="00784677" w:rsidRDefault="008F3315" w:rsidP="00980D87">
            <w:pPr>
              <w:spacing w:line="360" w:lineRule="auto"/>
              <w:jc w:val="left"/>
              <w:rPr>
                <w:sz w:val="14"/>
                <w:szCs w:val="14"/>
              </w:rPr>
            </w:pPr>
            <w:r w:rsidRPr="00784677">
              <w:rPr>
                <w:sz w:val="14"/>
                <w:szCs w:val="14"/>
              </w:rPr>
              <w:t>137 (2·1)</w:t>
            </w:r>
          </w:p>
        </w:tc>
        <w:tc>
          <w:tcPr>
            <w:tcW w:w="1683" w:type="dxa"/>
            <w:vAlign w:val="bottom"/>
          </w:tcPr>
          <w:p w14:paraId="252AEDB3" w14:textId="77777777" w:rsidR="008F3315" w:rsidRPr="00784677" w:rsidRDefault="008F3315" w:rsidP="00980D87">
            <w:pPr>
              <w:spacing w:line="360" w:lineRule="auto"/>
              <w:rPr>
                <w:sz w:val="14"/>
                <w:szCs w:val="14"/>
              </w:rPr>
            </w:pPr>
            <w:r w:rsidRPr="00784677">
              <w:rPr>
                <w:sz w:val="14"/>
                <w:szCs w:val="14"/>
              </w:rPr>
              <w:t>-</w:t>
            </w:r>
          </w:p>
        </w:tc>
        <w:tc>
          <w:tcPr>
            <w:tcW w:w="1719" w:type="dxa"/>
            <w:vAlign w:val="bottom"/>
          </w:tcPr>
          <w:p w14:paraId="7AEDB89A" w14:textId="77777777" w:rsidR="008F3315" w:rsidRPr="00784677" w:rsidRDefault="008F3315" w:rsidP="00980D87">
            <w:pPr>
              <w:spacing w:line="360" w:lineRule="auto"/>
              <w:jc w:val="left"/>
              <w:rPr>
                <w:sz w:val="14"/>
                <w:szCs w:val="14"/>
              </w:rPr>
            </w:pPr>
            <w:r w:rsidRPr="00784677">
              <w:rPr>
                <w:sz w:val="14"/>
                <w:szCs w:val="14"/>
              </w:rPr>
              <w:t>-</w:t>
            </w:r>
          </w:p>
        </w:tc>
      </w:tr>
      <w:tr w:rsidR="008F3315" w:rsidRPr="00784677" w14:paraId="3D736EFF" w14:textId="77777777" w:rsidTr="00980D87">
        <w:trPr>
          <w:trHeight w:hRule="exact" w:val="308"/>
        </w:trPr>
        <w:tc>
          <w:tcPr>
            <w:tcW w:w="0" w:type="auto"/>
            <w:vAlign w:val="bottom"/>
          </w:tcPr>
          <w:p w14:paraId="1D8C979C" w14:textId="77777777" w:rsidR="008F3315" w:rsidRPr="00784677" w:rsidRDefault="008F3315" w:rsidP="00980D87">
            <w:pPr>
              <w:spacing w:line="360" w:lineRule="auto"/>
              <w:rPr>
                <w:sz w:val="14"/>
                <w:szCs w:val="14"/>
              </w:rPr>
            </w:pPr>
            <w:r w:rsidRPr="00784677">
              <w:rPr>
                <w:sz w:val="14"/>
                <w:szCs w:val="14"/>
              </w:rPr>
              <w:t>Secondary biliary cirrhosis</w:t>
            </w:r>
          </w:p>
        </w:tc>
        <w:tc>
          <w:tcPr>
            <w:tcW w:w="0" w:type="auto"/>
            <w:vAlign w:val="bottom"/>
          </w:tcPr>
          <w:p w14:paraId="35A0F4EB" w14:textId="77777777" w:rsidR="008F3315" w:rsidRPr="00784677" w:rsidRDefault="008F3315" w:rsidP="00980D87">
            <w:pPr>
              <w:spacing w:line="360" w:lineRule="auto"/>
              <w:jc w:val="left"/>
              <w:rPr>
                <w:sz w:val="14"/>
                <w:szCs w:val="14"/>
              </w:rPr>
            </w:pPr>
          </w:p>
        </w:tc>
        <w:tc>
          <w:tcPr>
            <w:tcW w:w="0" w:type="auto"/>
            <w:vAlign w:val="bottom"/>
          </w:tcPr>
          <w:p w14:paraId="7AE0AC84" w14:textId="77777777" w:rsidR="008F3315" w:rsidRPr="00784677" w:rsidRDefault="008F3315" w:rsidP="00980D87">
            <w:pPr>
              <w:spacing w:line="360" w:lineRule="auto"/>
              <w:jc w:val="left"/>
              <w:rPr>
                <w:sz w:val="14"/>
                <w:szCs w:val="14"/>
              </w:rPr>
            </w:pPr>
            <w:r w:rsidRPr="00784677">
              <w:rPr>
                <w:sz w:val="14"/>
                <w:szCs w:val="14"/>
              </w:rPr>
              <w:t>K74.4</w:t>
            </w:r>
          </w:p>
        </w:tc>
        <w:tc>
          <w:tcPr>
            <w:tcW w:w="1607" w:type="dxa"/>
            <w:vAlign w:val="bottom"/>
          </w:tcPr>
          <w:p w14:paraId="1847394B" w14:textId="77777777" w:rsidR="008F3315" w:rsidRPr="00784677" w:rsidRDefault="008F3315" w:rsidP="00980D87">
            <w:pPr>
              <w:spacing w:line="360" w:lineRule="auto"/>
              <w:rPr>
                <w:sz w:val="14"/>
                <w:szCs w:val="14"/>
              </w:rPr>
            </w:pPr>
            <w:r w:rsidRPr="00784677">
              <w:rPr>
                <w:sz w:val="14"/>
                <w:szCs w:val="14"/>
              </w:rPr>
              <w:t>-</w:t>
            </w:r>
          </w:p>
        </w:tc>
        <w:tc>
          <w:tcPr>
            <w:tcW w:w="1276" w:type="dxa"/>
            <w:vAlign w:val="bottom"/>
          </w:tcPr>
          <w:p w14:paraId="7F6DB71A" w14:textId="77777777" w:rsidR="008F3315" w:rsidRPr="00784677" w:rsidRDefault="008F3315" w:rsidP="00980D87">
            <w:pPr>
              <w:spacing w:line="360" w:lineRule="auto"/>
              <w:jc w:val="left"/>
              <w:rPr>
                <w:sz w:val="14"/>
                <w:szCs w:val="14"/>
              </w:rPr>
            </w:pPr>
            <w:r w:rsidRPr="00784677">
              <w:rPr>
                <w:sz w:val="14"/>
                <w:szCs w:val="14"/>
              </w:rPr>
              <w:t>&lt;5 (0·1)</w:t>
            </w:r>
          </w:p>
        </w:tc>
        <w:tc>
          <w:tcPr>
            <w:tcW w:w="1683" w:type="dxa"/>
            <w:vAlign w:val="bottom"/>
          </w:tcPr>
          <w:p w14:paraId="2F165DE0" w14:textId="77777777" w:rsidR="008F3315" w:rsidRPr="00784677" w:rsidRDefault="008F3315" w:rsidP="00980D87">
            <w:pPr>
              <w:spacing w:line="360" w:lineRule="auto"/>
              <w:rPr>
                <w:sz w:val="14"/>
                <w:szCs w:val="14"/>
              </w:rPr>
            </w:pPr>
            <w:r w:rsidRPr="00784677">
              <w:rPr>
                <w:sz w:val="14"/>
                <w:szCs w:val="14"/>
              </w:rPr>
              <w:t>-</w:t>
            </w:r>
          </w:p>
        </w:tc>
        <w:tc>
          <w:tcPr>
            <w:tcW w:w="1719" w:type="dxa"/>
            <w:vAlign w:val="bottom"/>
          </w:tcPr>
          <w:p w14:paraId="081C36EA" w14:textId="77777777" w:rsidR="008F3315" w:rsidRPr="00784677" w:rsidRDefault="008F3315" w:rsidP="00980D87">
            <w:pPr>
              <w:spacing w:line="360" w:lineRule="auto"/>
              <w:jc w:val="left"/>
              <w:rPr>
                <w:sz w:val="14"/>
                <w:szCs w:val="14"/>
              </w:rPr>
            </w:pPr>
            <w:r w:rsidRPr="00784677">
              <w:rPr>
                <w:sz w:val="14"/>
                <w:szCs w:val="14"/>
              </w:rPr>
              <w:t>&lt;5 (0·2)</w:t>
            </w:r>
          </w:p>
        </w:tc>
      </w:tr>
      <w:tr w:rsidR="008F3315" w:rsidRPr="00784677" w14:paraId="146A3CA6" w14:textId="77777777" w:rsidTr="00980D87">
        <w:trPr>
          <w:trHeight w:hRule="exact" w:val="308"/>
        </w:trPr>
        <w:tc>
          <w:tcPr>
            <w:tcW w:w="0" w:type="auto"/>
            <w:vAlign w:val="bottom"/>
          </w:tcPr>
          <w:p w14:paraId="10760B20" w14:textId="77777777" w:rsidR="008F3315" w:rsidRPr="00784677" w:rsidRDefault="008F3315" w:rsidP="00980D87">
            <w:pPr>
              <w:spacing w:line="360" w:lineRule="auto"/>
              <w:rPr>
                <w:sz w:val="14"/>
                <w:szCs w:val="14"/>
              </w:rPr>
            </w:pPr>
            <w:r w:rsidRPr="00784677">
              <w:rPr>
                <w:sz w:val="14"/>
                <w:szCs w:val="14"/>
              </w:rPr>
              <w:t>Other and unspecified cirrhosis of liver</w:t>
            </w:r>
          </w:p>
        </w:tc>
        <w:tc>
          <w:tcPr>
            <w:tcW w:w="0" w:type="auto"/>
            <w:vAlign w:val="bottom"/>
          </w:tcPr>
          <w:p w14:paraId="1B957FFA" w14:textId="77777777" w:rsidR="008F3315" w:rsidRPr="00784677" w:rsidRDefault="008F3315" w:rsidP="00980D87">
            <w:pPr>
              <w:spacing w:line="360" w:lineRule="auto"/>
              <w:jc w:val="left"/>
              <w:rPr>
                <w:sz w:val="14"/>
                <w:szCs w:val="14"/>
              </w:rPr>
            </w:pPr>
          </w:p>
        </w:tc>
        <w:tc>
          <w:tcPr>
            <w:tcW w:w="0" w:type="auto"/>
            <w:vAlign w:val="bottom"/>
          </w:tcPr>
          <w:p w14:paraId="515B59E2" w14:textId="77777777" w:rsidR="008F3315" w:rsidRPr="00784677" w:rsidRDefault="008F3315" w:rsidP="00980D87">
            <w:pPr>
              <w:spacing w:line="360" w:lineRule="auto"/>
              <w:jc w:val="left"/>
              <w:rPr>
                <w:sz w:val="14"/>
                <w:szCs w:val="14"/>
              </w:rPr>
            </w:pPr>
            <w:r w:rsidRPr="00784677">
              <w:rPr>
                <w:sz w:val="14"/>
                <w:szCs w:val="14"/>
              </w:rPr>
              <w:t>K74.6</w:t>
            </w:r>
          </w:p>
        </w:tc>
        <w:tc>
          <w:tcPr>
            <w:tcW w:w="1607" w:type="dxa"/>
            <w:vAlign w:val="bottom"/>
          </w:tcPr>
          <w:p w14:paraId="3894188E" w14:textId="77777777" w:rsidR="008F3315" w:rsidRPr="00784677" w:rsidRDefault="008F3315" w:rsidP="00980D87">
            <w:pPr>
              <w:spacing w:line="360" w:lineRule="auto"/>
              <w:rPr>
                <w:sz w:val="14"/>
                <w:szCs w:val="14"/>
              </w:rPr>
            </w:pPr>
            <w:r w:rsidRPr="00784677">
              <w:rPr>
                <w:sz w:val="14"/>
                <w:szCs w:val="14"/>
              </w:rPr>
              <w:t>-</w:t>
            </w:r>
          </w:p>
        </w:tc>
        <w:tc>
          <w:tcPr>
            <w:tcW w:w="1276" w:type="dxa"/>
            <w:vAlign w:val="bottom"/>
          </w:tcPr>
          <w:p w14:paraId="247ED72E" w14:textId="77777777" w:rsidR="008F3315" w:rsidRPr="00784677" w:rsidRDefault="008F3315" w:rsidP="00980D87">
            <w:pPr>
              <w:spacing w:line="360" w:lineRule="auto"/>
              <w:rPr>
                <w:sz w:val="14"/>
                <w:szCs w:val="14"/>
              </w:rPr>
            </w:pPr>
            <w:r w:rsidRPr="00784677">
              <w:rPr>
                <w:sz w:val="14"/>
                <w:szCs w:val="14"/>
              </w:rPr>
              <w:t>-</w:t>
            </w:r>
          </w:p>
        </w:tc>
        <w:tc>
          <w:tcPr>
            <w:tcW w:w="1683" w:type="dxa"/>
            <w:vAlign w:val="bottom"/>
          </w:tcPr>
          <w:p w14:paraId="3111C027" w14:textId="77777777" w:rsidR="008F3315" w:rsidRPr="00784677" w:rsidRDefault="008F3315" w:rsidP="00980D87">
            <w:pPr>
              <w:spacing w:line="360" w:lineRule="auto"/>
              <w:rPr>
                <w:sz w:val="14"/>
                <w:szCs w:val="14"/>
              </w:rPr>
            </w:pPr>
            <w:r w:rsidRPr="00784677">
              <w:rPr>
                <w:sz w:val="14"/>
                <w:szCs w:val="14"/>
              </w:rPr>
              <w:t>-</w:t>
            </w:r>
          </w:p>
        </w:tc>
        <w:tc>
          <w:tcPr>
            <w:tcW w:w="1719" w:type="dxa"/>
            <w:vAlign w:val="bottom"/>
          </w:tcPr>
          <w:p w14:paraId="110553BD" w14:textId="77777777" w:rsidR="008F3315" w:rsidRPr="00784677" w:rsidRDefault="008F3315" w:rsidP="00980D87">
            <w:pPr>
              <w:spacing w:line="360" w:lineRule="auto"/>
              <w:jc w:val="left"/>
              <w:rPr>
                <w:sz w:val="14"/>
                <w:szCs w:val="14"/>
              </w:rPr>
            </w:pPr>
            <w:r w:rsidRPr="00784677">
              <w:rPr>
                <w:sz w:val="14"/>
                <w:szCs w:val="14"/>
              </w:rPr>
              <w:t>-</w:t>
            </w:r>
          </w:p>
        </w:tc>
      </w:tr>
      <w:tr w:rsidR="008F3315" w:rsidRPr="00784677" w14:paraId="7C2F7F95" w14:textId="77777777" w:rsidTr="00980D87">
        <w:trPr>
          <w:trHeight w:hRule="exact" w:val="308"/>
        </w:trPr>
        <w:tc>
          <w:tcPr>
            <w:tcW w:w="0" w:type="auto"/>
            <w:vAlign w:val="bottom"/>
          </w:tcPr>
          <w:p w14:paraId="4AA56E9E" w14:textId="77777777" w:rsidR="008F3315" w:rsidRPr="00784677" w:rsidRDefault="008F3315" w:rsidP="00980D87">
            <w:pPr>
              <w:spacing w:line="360" w:lineRule="auto"/>
              <w:rPr>
                <w:sz w:val="14"/>
                <w:szCs w:val="14"/>
              </w:rPr>
            </w:pPr>
            <w:r w:rsidRPr="00784677">
              <w:rPr>
                <w:sz w:val="14"/>
                <w:szCs w:val="14"/>
              </w:rPr>
              <w:t>Portal hypertension</w:t>
            </w:r>
          </w:p>
        </w:tc>
        <w:tc>
          <w:tcPr>
            <w:tcW w:w="0" w:type="auto"/>
            <w:vAlign w:val="bottom"/>
          </w:tcPr>
          <w:p w14:paraId="479173B9" w14:textId="77777777" w:rsidR="008F3315" w:rsidRPr="00784677" w:rsidRDefault="008F3315" w:rsidP="00980D87">
            <w:pPr>
              <w:spacing w:line="360" w:lineRule="auto"/>
              <w:jc w:val="left"/>
              <w:rPr>
                <w:sz w:val="14"/>
                <w:szCs w:val="14"/>
              </w:rPr>
            </w:pPr>
          </w:p>
        </w:tc>
        <w:tc>
          <w:tcPr>
            <w:tcW w:w="0" w:type="auto"/>
            <w:vAlign w:val="bottom"/>
          </w:tcPr>
          <w:p w14:paraId="32114F42" w14:textId="77777777" w:rsidR="008F3315" w:rsidRPr="00784677" w:rsidRDefault="008F3315" w:rsidP="00980D87">
            <w:pPr>
              <w:spacing w:line="360" w:lineRule="auto"/>
              <w:jc w:val="left"/>
              <w:rPr>
                <w:sz w:val="14"/>
                <w:szCs w:val="14"/>
              </w:rPr>
            </w:pPr>
            <w:r w:rsidRPr="00784677">
              <w:rPr>
                <w:sz w:val="14"/>
                <w:szCs w:val="14"/>
              </w:rPr>
              <w:t>K76.6</w:t>
            </w:r>
          </w:p>
        </w:tc>
        <w:tc>
          <w:tcPr>
            <w:tcW w:w="1607" w:type="dxa"/>
            <w:vAlign w:val="bottom"/>
          </w:tcPr>
          <w:p w14:paraId="5D1A62A7" w14:textId="77777777" w:rsidR="008F3315" w:rsidRPr="00784677" w:rsidRDefault="008F3315" w:rsidP="00980D87">
            <w:pPr>
              <w:spacing w:line="360" w:lineRule="auto"/>
              <w:rPr>
                <w:sz w:val="14"/>
                <w:szCs w:val="14"/>
              </w:rPr>
            </w:pPr>
            <w:r w:rsidRPr="00784677">
              <w:rPr>
                <w:sz w:val="14"/>
                <w:szCs w:val="14"/>
              </w:rPr>
              <w:t>-</w:t>
            </w:r>
          </w:p>
        </w:tc>
        <w:tc>
          <w:tcPr>
            <w:tcW w:w="1276" w:type="dxa"/>
            <w:vAlign w:val="bottom"/>
          </w:tcPr>
          <w:p w14:paraId="58478C0A" w14:textId="77777777" w:rsidR="008F3315" w:rsidRPr="00784677" w:rsidRDefault="008F3315" w:rsidP="00980D87">
            <w:pPr>
              <w:spacing w:line="360" w:lineRule="auto"/>
              <w:jc w:val="left"/>
              <w:rPr>
                <w:sz w:val="14"/>
                <w:szCs w:val="14"/>
              </w:rPr>
            </w:pPr>
            <w:r w:rsidRPr="00784677">
              <w:rPr>
                <w:sz w:val="14"/>
                <w:szCs w:val="14"/>
              </w:rPr>
              <w:t>-</w:t>
            </w:r>
          </w:p>
        </w:tc>
        <w:tc>
          <w:tcPr>
            <w:tcW w:w="1683" w:type="dxa"/>
            <w:vAlign w:val="bottom"/>
          </w:tcPr>
          <w:p w14:paraId="4BD440A3" w14:textId="77777777" w:rsidR="008F3315" w:rsidRPr="00784677" w:rsidRDefault="008F3315" w:rsidP="00980D87">
            <w:pPr>
              <w:spacing w:line="360" w:lineRule="auto"/>
              <w:rPr>
                <w:sz w:val="14"/>
                <w:szCs w:val="14"/>
              </w:rPr>
            </w:pPr>
            <w:r w:rsidRPr="00784677">
              <w:rPr>
                <w:sz w:val="14"/>
                <w:szCs w:val="14"/>
              </w:rPr>
              <w:t>-</w:t>
            </w:r>
          </w:p>
        </w:tc>
        <w:tc>
          <w:tcPr>
            <w:tcW w:w="1719" w:type="dxa"/>
            <w:vAlign w:val="bottom"/>
          </w:tcPr>
          <w:p w14:paraId="28C0815C" w14:textId="77777777" w:rsidR="008F3315" w:rsidRPr="00784677" w:rsidRDefault="008F3315" w:rsidP="008F3315">
            <w:pPr>
              <w:pStyle w:val="ListParagraph"/>
              <w:numPr>
                <w:ilvl w:val="0"/>
                <w:numId w:val="3"/>
              </w:numPr>
              <w:spacing w:after="0" w:line="360" w:lineRule="auto"/>
              <w:jc w:val="left"/>
              <w:rPr>
                <w:sz w:val="14"/>
                <w:szCs w:val="14"/>
              </w:rPr>
            </w:pPr>
            <w:r w:rsidRPr="00784677">
              <w:rPr>
                <w:sz w:val="14"/>
                <w:szCs w:val="14"/>
              </w:rPr>
              <w:t>(0·7)</w:t>
            </w:r>
          </w:p>
        </w:tc>
      </w:tr>
    </w:tbl>
    <w:p w14:paraId="453E7D2D" w14:textId="77777777" w:rsidR="008F3315" w:rsidRPr="00784677" w:rsidRDefault="008F3315" w:rsidP="008F3315">
      <w:pPr>
        <w:spacing w:line="360" w:lineRule="auto"/>
        <w:jc w:val="both"/>
        <w:rPr>
          <w:b/>
          <w:sz w:val="16"/>
          <w:szCs w:val="16"/>
        </w:rPr>
      </w:pPr>
      <w:r w:rsidRPr="00784677">
        <w:rPr>
          <w:rFonts w:asciiTheme="minorHAnsi" w:eastAsiaTheme="minorEastAsia" w:hAnsiTheme="minorHAnsi"/>
          <w:b/>
          <w:bCs/>
          <w:color w:val="000000" w:themeColor="text1"/>
          <w:sz w:val="16"/>
          <w:szCs w:val="16"/>
          <w:lang w:eastAsia="en-GB"/>
        </w:rPr>
        <w:t>Table 1 Distribution of causes of death for liver cirrhosis definitions 1 and 3 in 1992 and 2008, n (%)</w:t>
      </w:r>
    </w:p>
    <w:p w14:paraId="0954FF8B" w14:textId="77777777" w:rsidR="008F3315" w:rsidRDefault="008F3315" w:rsidP="008F3315"/>
    <w:p w14:paraId="1CDC22F5" w14:textId="222F9DCD" w:rsidR="00C71261" w:rsidRPr="008F3315" w:rsidRDefault="00C71261" w:rsidP="002B30D2">
      <w:pPr>
        <w:spacing w:line="360" w:lineRule="auto"/>
        <w:rPr>
          <w:rFonts w:asciiTheme="minorHAnsi" w:hAnsiTheme="minorHAnsi"/>
          <w:sz w:val="22"/>
        </w:rPr>
      </w:pPr>
    </w:p>
    <w:sectPr w:rsidR="00C71261" w:rsidRPr="008F3315" w:rsidSect="008F3315">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864D7" w14:textId="77777777" w:rsidR="007E079E" w:rsidRDefault="007E079E" w:rsidP="00222E43">
      <w:r>
        <w:separator/>
      </w:r>
    </w:p>
  </w:endnote>
  <w:endnote w:type="continuationSeparator" w:id="0">
    <w:p w14:paraId="01089734" w14:textId="77777777" w:rsidR="007E079E" w:rsidRDefault="007E079E" w:rsidP="0022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nionPro-Regular">
    <w:panose1 w:val="00000000000000000000"/>
    <w:charset w:val="00"/>
    <w:family w:val="auto"/>
    <w:notTrueType/>
    <w:pitch w:val="default"/>
    <w:sig w:usb0="00000003" w:usb1="00000000" w:usb2="00000000" w:usb3="00000000" w:csb0="00000001" w:csb1="00000000"/>
  </w:font>
  <w:font w:name="Estrangelo Edessa">
    <w:altName w:val="Times New Roman"/>
    <w:panose1 w:val="00000000000000000000"/>
    <w:charset w:val="01"/>
    <w:family w:val="roman"/>
    <w:notTrueType/>
    <w:pitch w:val="variable"/>
  </w:font>
  <w:font w:name="MS Mincho">
    <w:altName w:val="ＭＳ 明朝"/>
    <w:panose1 w:val="02020609040205080304"/>
    <w:charset w:val="80"/>
    <w:family w:val="roman"/>
    <w:notTrueType/>
    <w:pitch w:val="fixed"/>
    <w:sig w:usb0="00000001" w:usb1="08070000" w:usb2="00000010" w:usb3="00000000" w:csb0="00020000" w:csb1="00000000"/>
  </w:font>
  <w:font w:name="JSTimesNewRomanPS-Bold">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863967"/>
      <w:docPartObj>
        <w:docPartGallery w:val="Page Numbers (Bottom of Page)"/>
        <w:docPartUnique/>
      </w:docPartObj>
    </w:sdtPr>
    <w:sdtEndPr>
      <w:rPr>
        <w:noProof/>
      </w:rPr>
    </w:sdtEndPr>
    <w:sdtContent>
      <w:p w14:paraId="05950BDF" w14:textId="77777777" w:rsidR="000400D5" w:rsidRDefault="000400D5">
        <w:pPr>
          <w:pStyle w:val="Footer"/>
          <w:jc w:val="right"/>
        </w:pPr>
        <w:r>
          <w:fldChar w:fldCharType="begin"/>
        </w:r>
        <w:r>
          <w:instrText xml:space="preserve"> PAGE   \* MERGEFORMAT </w:instrText>
        </w:r>
        <w:r>
          <w:fldChar w:fldCharType="separate"/>
        </w:r>
        <w:r w:rsidR="00871452">
          <w:rPr>
            <w:noProof/>
          </w:rPr>
          <w:t>2</w:t>
        </w:r>
        <w:r>
          <w:rPr>
            <w:noProof/>
          </w:rPr>
          <w:fldChar w:fldCharType="end"/>
        </w:r>
      </w:p>
    </w:sdtContent>
  </w:sdt>
  <w:p w14:paraId="41F50FDA" w14:textId="77777777" w:rsidR="000400D5" w:rsidRDefault="000400D5" w:rsidP="00030D3E">
    <w:pPr>
      <w:pStyle w:val="Footer"/>
      <w:tabs>
        <w:tab w:val="clear" w:pos="4513"/>
        <w:tab w:val="clear" w:pos="9026"/>
        <w:tab w:val="left" w:pos="127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508941"/>
      <w:docPartObj>
        <w:docPartGallery w:val="Page Numbers (Bottom of Page)"/>
        <w:docPartUnique/>
      </w:docPartObj>
    </w:sdtPr>
    <w:sdtEndPr>
      <w:rPr>
        <w:noProof/>
      </w:rPr>
    </w:sdtEndPr>
    <w:sdtContent>
      <w:p w14:paraId="2141B4EB" w14:textId="77777777" w:rsidR="00CB6B77" w:rsidRDefault="00CB6B77">
        <w:pPr>
          <w:pStyle w:val="Footer"/>
          <w:jc w:val="right"/>
        </w:pPr>
        <w:r>
          <w:fldChar w:fldCharType="begin"/>
        </w:r>
        <w:r>
          <w:instrText xml:space="preserve"> PAGE   \* MERGEFORMAT </w:instrText>
        </w:r>
        <w:r>
          <w:fldChar w:fldCharType="separate"/>
        </w:r>
        <w:r w:rsidR="00871452">
          <w:rPr>
            <w:noProof/>
          </w:rPr>
          <w:t>20</w:t>
        </w:r>
        <w:r>
          <w:rPr>
            <w:noProof/>
          </w:rPr>
          <w:fldChar w:fldCharType="end"/>
        </w:r>
      </w:p>
    </w:sdtContent>
  </w:sdt>
  <w:p w14:paraId="70C67236" w14:textId="77777777" w:rsidR="00CB6B77" w:rsidRDefault="00CB6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ACFC0" w14:textId="77777777" w:rsidR="007E079E" w:rsidRDefault="007E079E" w:rsidP="00222E43">
      <w:r>
        <w:separator/>
      </w:r>
    </w:p>
  </w:footnote>
  <w:footnote w:type="continuationSeparator" w:id="0">
    <w:p w14:paraId="21BE4561" w14:textId="77777777" w:rsidR="007E079E" w:rsidRDefault="007E079E" w:rsidP="00222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1DB6055"/>
    <w:multiLevelType w:val="hybridMultilevel"/>
    <w:tmpl w:val="F500BC40"/>
    <w:lvl w:ilvl="0" w:tplc="9D8C86C2">
      <w:start w:val="1"/>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F371B"/>
    <w:multiLevelType w:val="multilevel"/>
    <w:tmpl w:val="A8A665F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905C9"/>
    <w:multiLevelType w:val="multilevel"/>
    <w:tmpl w:val="2FEE0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5A6DBB"/>
    <w:multiLevelType w:val="hybridMultilevel"/>
    <w:tmpl w:val="A91037BC"/>
    <w:lvl w:ilvl="0" w:tplc="92146ED2">
      <w:start w:val="1"/>
      <w:numFmt w:val="decimal"/>
      <w:lvlText w:val="%1."/>
      <w:lvlJc w:val="left"/>
      <w:pPr>
        <w:ind w:left="360" w:hanging="360"/>
      </w:pPr>
      <w:rPr>
        <w:rFonts w:ascii="Arial" w:eastAsia="Calibri" w:hAnsi="Arial" w:cs="Arial"/>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AFF18F0"/>
    <w:multiLevelType w:val="hybridMultilevel"/>
    <w:tmpl w:val="F9DE7CA4"/>
    <w:lvl w:ilvl="0" w:tplc="28D007DA">
      <w:start w:val="1"/>
      <w:numFmt w:val="decimal"/>
      <w:lvlText w:val="%1"/>
      <w:lvlJc w:val="left"/>
      <w:pPr>
        <w:ind w:left="360" w:hanging="360"/>
      </w:pPr>
      <w:rPr>
        <w:rFonts w:hint="default"/>
        <w:b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0DDD0DA3"/>
    <w:multiLevelType w:val="multilevel"/>
    <w:tmpl w:val="A992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062B2"/>
    <w:multiLevelType w:val="hybridMultilevel"/>
    <w:tmpl w:val="02B8AB80"/>
    <w:lvl w:ilvl="0" w:tplc="DB7806A4">
      <w:start w:val="1"/>
      <w:numFmt w:val="lowerLetter"/>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793D8B"/>
    <w:multiLevelType w:val="hybridMultilevel"/>
    <w:tmpl w:val="8698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77300"/>
    <w:multiLevelType w:val="hybridMultilevel"/>
    <w:tmpl w:val="24AC2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E363D"/>
    <w:multiLevelType w:val="hybridMultilevel"/>
    <w:tmpl w:val="5DAAD4D0"/>
    <w:lvl w:ilvl="0" w:tplc="934651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A67983"/>
    <w:multiLevelType w:val="multilevel"/>
    <w:tmpl w:val="BD66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C718B"/>
    <w:multiLevelType w:val="hybridMultilevel"/>
    <w:tmpl w:val="6D14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644A8"/>
    <w:multiLevelType w:val="hybridMultilevel"/>
    <w:tmpl w:val="D0586490"/>
    <w:lvl w:ilvl="0" w:tplc="EF8C60D8">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2F79B1"/>
    <w:multiLevelType w:val="hybridMultilevel"/>
    <w:tmpl w:val="4E00BE76"/>
    <w:lvl w:ilvl="0" w:tplc="6B74DD66">
      <w:start w:val="1"/>
      <w:numFmt w:val="decimal"/>
      <w:lvlText w:val="%1"/>
      <w:lvlJc w:val="left"/>
      <w:pPr>
        <w:ind w:left="720" w:hanging="360"/>
      </w:pPr>
      <w:rPr>
        <w:rFonts w:ascii="Verdana" w:eastAsiaTheme="majorEastAsia" w:hAnsi="Verdana" w:cstheme="maj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D45E9"/>
    <w:multiLevelType w:val="hybridMultilevel"/>
    <w:tmpl w:val="687A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8778C"/>
    <w:multiLevelType w:val="hybridMultilevel"/>
    <w:tmpl w:val="E560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D59E0"/>
    <w:multiLevelType w:val="multilevel"/>
    <w:tmpl w:val="5642B6D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446008"/>
    <w:multiLevelType w:val="hybridMultilevel"/>
    <w:tmpl w:val="21D092CE"/>
    <w:lvl w:ilvl="0" w:tplc="4EFCAEB6">
      <w:start w:val="1"/>
      <w:numFmt w:val="decimal"/>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4A4FC7"/>
    <w:multiLevelType w:val="hybridMultilevel"/>
    <w:tmpl w:val="F500BC40"/>
    <w:lvl w:ilvl="0" w:tplc="9D8C86C2">
      <w:start w:val="1"/>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675240"/>
    <w:multiLevelType w:val="hybridMultilevel"/>
    <w:tmpl w:val="F500BC40"/>
    <w:lvl w:ilvl="0" w:tplc="9D8C86C2">
      <w:start w:val="1"/>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285642"/>
    <w:multiLevelType w:val="hybridMultilevel"/>
    <w:tmpl w:val="F500BC40"/>
    <w:lvl w:ilvl="0" w:tplc="9D8C86C2">
      <w:start w:val="1"/>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625089"/>
    <w:multiLevelType w:val="multilevel"/>
    <w:tmpl w:val="DA707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340BAC"/>
    <w:multiLevelType w:val="hybridMultilevel"/>
    <w:tmpl w:val="C3E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666E7B"/>
    <w:multiLevelType w:val="hybridMultilevel"/>
    <w:tmpl w:val="5116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466F8D"/>
    <w:multiLevelType w:val="hybridMultilevel"/>
    <w:tmpl w:val="457C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40EC3"/>
    <w:multiLevelType w:val="hybridMultilevel"/>
    <w:tmpl w:val="D9B0E378"/>
    <w:lvl w:ilvl="0" w:tplc="99FC011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FB6494"/>
    <w:multiLevelType w:val="multilevel"/>
    <w:tmpl w:val="88CA3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2"/>
  </w:num>
  <w:num w:numId="4">
    <w:abstractNumId w:val="13"/>
  </w:num>
  <w:num w:numId="5">
    <w:abstractNumId w:val="8"/>
  </w:num>
  <w:num w:numId="6">
    <w:abstractNumId w:val="23"/>
  </w:num>
  <w:num w:numId="7">
    <w:abstractNumId w:val="7"/>
  </w:num>
  <w:num w:numId="8">
    <w:abstractNumId w:val="11"/>
  </w:num>
  <w:num w:numId="9">
    <w:abstractNumId w:val="14"/>
  </w:num>
  <w:num w:numId="10">
    <w:abstractNumId w:val="25"/>
  </w:num>
  <w:num w:numId="11">
    <w:abstractNumId w:val="18"/>
  </w:num>
  <w:num w:numId="12">
    <w:abstractNumId w:val="3"/>
  </w:num>
  <w:num w:numId="13">
    <w:abstractNumId w:val="5"/>
  </w:num>
  <w:num w:numId="14">
    <w:abstractNumId w:val="1"/>
  </w:num>
  <w:num w:numId="15">
    <w:abstractNumId w:val="26"/>
  </w:num>
  <w:num w:numId="16">
    <w:abstractNumId w:val="2"/>
  </w:num>
  <w:num w:numId="17">
    <w:abstractNumId w:val="21"/>
  </w:num>
  <w:num w:numId="18">
    <w:abstractNumId w:val="16"/>
  </w:num>
  <w:num w:numId="19">
    <w:abstractNumId w:val="17"/>
  </w:num>
  <w:num w:numId="20">
    <w:abstractNumId w:val="15"/>
  </w:num>
  <w:num w:numId="21">
    <w:abstractNumId w:val="24"/>
  </w:num>
  <w:num w:numId="22">
    <w:abstractNumId w:val="22"/>
  </w:num>
  <w:num w:numId="23">
    <w:abstractNumId w:val="19"/>
  </w:num>
  <w:num w:numId="24">
    <w:abstractNumId w:val="20"/>
  </w:num>
  <w:num w:numId="25">
    <w:abstractNumId w:val="0"/>
  </w:num>
  <w:num w:numId="26">
    <w:abstractNumId w:val="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Sample_Library_X6&lt;record-ids&gt;&lt;item&gt;1482&lt;/item&gt;&lt;/record-ids&gt;&lt;/item&gt;&lt;/Libraries&gt;"/>
  </w:docVars>
  <w:rsids>
    <w:rsidRoot w:val="000463B2"/>
    <w:rsid w:val="00001B06"/>
    <w:rsid w:val="00001E50"/>
    <w:rsid w:val="00005509"/>
    <w:rsid w:val="000066C1"/>
    <w:rsid w:val="0001280C"/>
    <w:rsid w:val="00013E2D"/>
    <w:rsid w:val="00020899"/>
    <w:rsid w:val="00027F55"/>
    <w:rsid w:val="00036CC3"/>
    <w:rsid w:val="000400D5"/>
    <w:rsid w:val="00043999"/>
    <w:rsid w:val="00043B69"/>
    <w:rsid w:val="00045DD7"/>
    <w:rsid w:val="000463B2"/>
    <w:rsid w:val="000471C0"/>
    <w:rsid w:val="000516C8"/>
    <w:rsid w:val="0005197E"/>
    <w:rsid w:val="00052F1A"/>
    <w:rsid w:val="00054AB9"/>
    <w:rsid w:val="000561D6"/>
    <w:rsid w:val="000628E2"/>
    <w:rsid w:val="00074F91"/>
    <w:rsid w:val="00092F5B"/>
    <w:rsid w:val="000974E5"/>
    <w:rsid w:val="000A544A"/>
    <w:rsid w:val="000B03C1"/>
    <w:rsid w:val="000B295B"/>
    <w:rsid w:val="000B7E61"/>
    <w:rsid w:val="000C2111"/>
    <w:rsid w:val="000C2DC7"/>
    <w:rsid w:val="000C5EFC"/>
    <w:rsid w:val="000D27A2"/>
    <w:rsid w:val="000D6F13"/>
    <w:rsid w:val="000E11A8"/>
    <w:rsid w:val="000E1F5A"/>
    <w:rsid w:val="000E37C0"/>
    <w:rsid w:val="000E6E50"/>
    <w:rsid w:val="000F0869"/>
    <w:rsid w:val="000F2EFF"/>
    <w:rsid w:val="00102A7B"/>
    <w:rsid w:val="00104CA8"/>
    <w:rsid w:val="00115E76"/>
    <w:rsid w:val="001217A3"/>
    <w:rsid w:val="0012287F"/>
    <w:rsid w:val="00123538"/>
    <w:rsid w:val="00124E52"/>
    <w:rsid w:val="0013121C"/>
    <w:rsid w:val="001326F0"/>
    <w:rsid w:val="001365F3"/>
    <w:rsid w:val="00137D9B"/>
    <w:rsid w:val="001500AF"/>
    <w:rsid w:val="001536C9"/>
    <w:rsid w:val="00154E18"/>
    <w:rsid w:val="001554EB"/>
    <w:rsid w:val="001620C7"/>
    <w:rsid w:val="00172D81"/>
    <w:rsid w:val="00174313"/>
    <w:rsid w:val="00176461"/>
    <w:rsid w:val="00177FF1"/>
    <w:rsid w:val="0018625F"/>
    <w:rsid w:val="001911C4"/>
    <w:rsid w:val="00194F24"/>
    <w:rsid w:val="001A299C"/>
    <w:rsid w:val="001A4AF8"/>
    <w:rsid w:val="001A5092"/>
    <w:rsid w:val="001A5BA9"/>
    <w:rsid w:val="001A5F7F"/>
    <w:rsid w:val="001B3175"/>
    <w:rsid w:val="001C2CE2"/>
    <w:rsid w:val="001C4EB1"/>
    <w:rsid w:val="001D10D9"/>
    <w:rsid w:val="001E0BBB"/>
    <w:rsid w:val="001F1DB8"/>
    <w:rsid w:val="001F69FD"/>
    <w:rsid w:val="001F718A"/>
    <w:rsid w:val="00201972"/>
    <w:rsid w:val="00203E94"/>
    <w:rsid w:val="002056C2"/>
    <w:rsid w:val="00205E67"/>
    <w:rsid w:val="00205E92"/>
    <w:rsid w:val="00213238"/>
    <w:rsid w:val="00216603"/>
    <w:rsid w:val="00216C87"/>
    <w:rsid w:val="00222E43"/>
    <w:rsid w:val="00227D8D"/>
    <w:rsid w:val="0023134A"/>
    <w:rsid w:val="002379C4"/>
    <w:rsid w:val="00242358"/>
    <w:rsid w:val="002500DB"/>
    <w:rsid w:val="00251CF9"/>
    <w:rsid w:val="00253C69"/>
    <w:rsid w:val="00255AF9"/>
    <w:rsid w:val="002668B7"/>
    <w:rsid w:val="00271000"/>
    <w:rsid w:val="00274769"/>
    <w:rsid w:val="0028115A"/>
    <w:rsid w:val="00282B4D"/>
    <w:rsid w:val="00287FCE"/>
    <w:rsid w:val="00293034"/>
    <w:rsid w:val="002945C1"/>
    <w:rsid w:val="002A31DD"/>
    <w:rsid w:val="002A5CAD"/>
    <w:rsid w:val="002A6BE3"/>
    <w:rsid w:val="002B30D2"/>
    <w:rsid w:val="002B39E1"/>
    <w:rsid w:val="002B62C1"/>
    <w:rsid w:val="002B63AD"/>
    <w:rsid w:val="002C2F7A"/>
    <w:rsid w:val="002C3F23"/>
    <w:rsid w:val="002D39A8"/>
    <w:rsid w:val="002D3DD3"/>
    <w:rsid w:val="002E2DD1"/>
    <w:rsid w:val="002F2C13"/>
    <w:rsid w:val="002F78A7"/>
    <w:rsid w:val="002F7B81"/>
    <w:rsid w:val="0030104B"/>
    <w:rsid w:val="003021AC"/>
    <w:rsid w:val="0030225B"/>
    <w:rsid w:val="00306176"/>
    <w:rsid w:val="00306495"/>
    <w:rsid w:val="00306638"/>
    <w:rsid w:val="00306E8F"/>
    <w:rsid w:val="00310200"/>
    <w:rsid w:val="00315DE4"/>
    <w:rsid w:val="00320F20"/>
    <w:rsid w:val="003243BB"/>
    <w:rsid w:val="003247E9"/>
    <w:rsid w:val="00325FBD"/>
    <w:rsid w:val="00327A04"/>
    <w:rsid w:val="0033230D"/>
    <w:rsid w:val="00334069"/>
    <w:rsid w:val="00334889"/>
    <w:rsid w:val="0034036B"/>
    <w:rsid w:val="00343CB3"/>
    <w:rsid w:val="0035127D"/>
    <w:rsid w:val="0035315F"/>
    <w:rsid w:val="00354509"/>
    <w:rsid w:val="00356B7D"/>
    <w:rsid w:val="003633DE"/>
    <w:rsid w:val="003652B5"/>
    <w:rsid w:val="00370890"/>
    <w:rsid w:val="00374A83"/>
    <w:rsid w:val="003764A0"/>
    <w:rsid w:val="00380B79"/>
    <w:rsid w:val="00394946"/>
    <w:rsid w:val="003A0DA1"/>
    <w:rsid w:val="003A5207"/>
    <w:rsid w:val="003B0B33"/>
    <w:rsid w:val="003B231D"/>
    <w:rsid w:val="003B695E"/>
    <w:rsid w:val="003B6D2A"/>
    <w:rsid w:val="003B78F8"/>
    <w:rsid w:val="003C0D8F"/>
    <w:rsid w:val="003C2F3E"/>
    <w:rsid w:val="003D5FE6"/>
    <w:rsid w:val="003E0A42"/>
    <w:rsid w:val="003F037A"/>
    <w:rsid w:val="003F43B0"/>
    <w:rsid w:val="004031FA"/>
    <w:rsid w:val="004036D6"/>
    <w:rsid w:val="00407D73"/>
    <w:rsid w:val="00411F55"/>
    <w:rsid w:val="004136DE"/>
    <w:rsid w:val="004156E0"/>
    <w:rsid w:val="00417D3C"/>
    <w:rsid w:val="00426BB7"/>
    <w:rsid w:val="00435D04"/>
    <w:rsid w:val="004360F1"/>
    <w:rsid w:val="004419B2"/>
    <w:rsid w:val="0044208F"/>
    <w:rsid w:val="004474DC"/>
    <w:rsid w:val="004514DB"/>
    <w:rsid w:val="004533E6"/>
    <w:rsid w:val="00454F67"/>
    <w:rsid w:val="00464891"/>
    <w:rsid w:val="00472352"/>
    <w:rsid w:val="004747D5"/>
    <w:rsid w:val="004762E0"/>
    <w:rsid w:val="00484BB4"/>
    <w:rsid w:val="00485B6D"/>
    <w:rsid w:val="0049763C"/>
    <w:rsid w:val="004A0487"/>
    <w:rsid w:val="004A226C"/>
    <w:rsid w:val="004A3CE3"/>
    <w:rsid w:val="004A6311"/>
    <w:rsid w:val="004B3B2D"/>
    <w:rsid w:val="004C1388"/>
    <w:rsid w:val="004C1A8E"/>
    <w:rsid w:val="004C1E65"/>
    <w:rsid w:val="004C2B0F"/>
    <w:rsid w:val="004C4BF6"/>
    <w:rsid w:val="004C6250"/>
    <w:rsid w:val="004D627C"/>
    <w:rsid w:val="004D6DF3"/>
    <w:rsid w:val="004E281A"/>
    <w:rsid w:val="004E2F0D"/>
    <w:rsid w:val="004F699E"/>
    <w:rsid w:val="00501C91"/>
    <w:rsid w:val="00502F9D"/>
    <w:rsid w:val="00503EE9"/>
    <w:rsid w:val="005052A6"/>
    <w:rsid w:val="00506CC9"/>
    <w:rsid w:val="005070EB"/>
    <w:rsid w:val="00510B1D"/>
    <w:rsid w:val="0051266B"/>
    <w:rsid w:val="00512997"/>
    <w:rsid w:val="00513266"/>
    <w:rsid w:val="005132B4"/>
    <w:rsid w:val="00514F63"/>
    <w:rsid w:val="00516FF0"/>
    <w:rsid w:val="00517E86"/>
    <w:rsid w:val="00520775"/>
    <w:rsid w:val="00520940"/>
    <w:rsid w:val="005237E2"/>
    <w:rsid w:val="00524440"/>
    <w:rsid w:val="005268FA"/>
    <w:rsid w:val="00532F16"/>
    <w:rsid w:val="00533863"/>
    <w:rsid w:val="005362CA"/>
    <w:rsid w:val="0054619C"/>
    <w:rsid w:val="00546805"/>
    <w:rsid w:val="005507B8"/>
    <w:rsid w:val="00555F13"/>
    <w:rsid w:val="00572E16"/>
    <w:rsid w:val="00573D00"/>
    <w:rsid w:val="00590E1F"/>
    <w:rsid w:val="00592AE0"/>
    <w:rsid w:val="005954FF"/>
    <w:rsid w:val="005B1067"/>
    <w:rsid w:val="005B35A8"/>
    <w:rsid w:val="005B3FEF"/>
    <w:rsid w:val="005B53CA"/>
    <w:rsid w:val="005B5F21"/>
    <w:rsid w:val="005C3489"/>
    <w:rsid w:val="005C43DF"/>
    <w:rsid w:val="005C701D"/>
    <w:rsid w:val="005D0D2B"/>
    <w:rsid w:val="005D6707"/>
    <w:rsid w:val="005D6F6A"/>
    <w:rsid w:val="005E7C2D"/>
    <w:rsid w:val="005F655F"/>
    <w:rsid w:val="005F6C40"/>
    <w:rsid w:val="00600060"/>
    <w:rsid w:val="00601229"/>
    <w:rsid w:val="006026DA"/>
    <w:rsid w:val="00604FC4"/>
    <w:rsid w:val="0062234C"/>
    <w:rsid w:val="00622685"/>
    <w:rsid w:val="006308A6"/>
    <w:rsid w:val="00633CDB"/>
    <w:rsid w:val="00634AA8"/>
    <w:rsid w:val="00635316"/>
    <w:rsid w:val="00635941"/>
    <w:rsid w:val="00637496"/>
    <w:rsid w:val="00637A7A"/>
    <w:rsid w:val="006603C7"/>
    <w:rsid w:val="00660F8F"/>
    <w:rsid w:val="00663CDA"/>
    <w:rsid w:val="00665868"/>
    <w:rsid w:val="00671879"/>
    <w:rsid w:val="0067657B"/>
    <w:rsid w:val="00676C21"/>
    <w:rsid w:val="00685D1E"/>
    <w:rsid w:val="0068678B"/>
    <w:rsid w:val="0069257E"/>
    <w:rsid w:val="00692997"/>
    <w:rsid w:val="00694EE9"/>
    <w:rsid w:val="00696D49"/>
    <w:rsid w:val="006A42B9"/>
    <w:rsid w:val="006A7DC4"/>
    <w:rsid w:val="006B31D4"/>
    <w:rsid w:val="006B44C3"/>
    <w:rsid w:val="006B5061"/>
    <w:rsid w:val="006C074B"/>
    <w:rsid w:val="006D0134"/>
    <w:rsid w:val="006E3869"/>
    <w:rsid w:val="006E58E7"/>
    <w:rsid w:val="006E60C1"/>
    <w:rsid w:val="006E7468"/>
    <w:rsid w:val="006E75BC"/>
    <w:rsid w:val="006F156F"/>
    <w:rsid w:val="006F547B"/>
    <w:rsid w:val="007042A7"/>
    <w:rsid w:val="00705A6A"/>
    <w:rsid w:val="00705C3D"/>
    <w:rsid w:val="00710B5A"/>
    <w:rsid w:val="0072370D"/>
    <w:rsid w:val="00736680"/>
    <w:rsid w:val="0074105A"/>
    <w:rsid w:val="007434F1"/>
    <w:rsid w:val="00747D48"/>
    <w:rsid w:val="0075139E"/>
    <w:rsid w:val="00754487"/>
    <w:rsid w:val="00754C05"/>
    <w:rsid w:val="00755E42"/>
    <w:rsid w:val="00757307"/>
    <w:rsid w:val="007641ED"/>
    <w:rsid w:val="00774850"/>
    <w:rsid w:val="007835A4"/>
    <w:rsid w:val="0079706F"/>
    <w:rsid w:val="007A0061"/>
    <w:rsid w:val="007A1CE5"/>
    <w:rsid w:val="007B1B72"/>
    <w:rsid w:val="007B2AFA"/>
    <w:rsid w:val="007C0FC7"/>
    <w:rsid w:val="007C36F4"/>
    <w:rsid w:val="007C5F50"/>
    <w:rsid w:val="007D236D"/>
    <w:rsid w:val="007D7534"/>
    <w:rsid w:val="007E06C5"/>
    <w:rsid w:val="007E079E"/>
    <w:rsid w:val="007E353E"/>
    <w:rsid w:val="007E366C"/>
    <w:rsid w:val="007F100E"/>
    <w:rsid w:val="007F1970"/>
    <w:rsid w:val="007F6473"/>
    <w:rsid w:val="007F736C"/>
    <w:rsid w:val="008004C8"/>
    <w:rsid w:val="008015BE"/>
    <w:rsid w:val="008027A9"/>
    <w:rsid w:val="00805823"/>
    <w:rsid w:val="00822329"/>
    <w:rsid w:val="00826023"/>
    <w:rsid w:val="00826A98"/>
    <w:rsid w:val="00827D67"/>
    <w:rsid w:val="008302F7"/>
    <w:rsid w:val="008310D6"/>
    <w:rsid w:val="00835094"/>
    <w:rsid w:val="00850781"/>
    <w:rsid w:val="008555EF"/>
    <w:rsid w:val="008565FC"/>
    <w:rsid w:val="00857AA8"/>
    <w:rsid w:val="00857B6D"/>
    <w:rsid w:val="0087046B"/>
    <w:rsid w:val="00871452"/>
    <w:rsid w:val="008823A4"/>
    <w:rsid w:val="008846D6"/>
    <w:rsid w:val="00892E42"/>
    <w:rsid w:val="00896B91"/>
    <w:rsid w:val="00896FDE"/>
    <w:rsid w:val="008A2F39"/>
    <w:rsid w:val="008A6A07"/>
    <w:rsid w:val="008A6F19"/>
    <w:rsid w:val="008A7EFB"/>
    <w:rsid w:val="008B04B2"/>
    <w:rsid w:val="008B3B71"/>
    <w:rsid w:val="008B57F2"/>
    <w:rsid w:val="008B6B0C"/>
    <w:rsid w:val="008C0A38"/>
    <w:rsid w:val="008C2122"/>
    <w:rsid w:val="008C3173"/>
    <w:rsid w:val="008C4913"/>
    <w:rsid w:val="008D65A9"/>
    <w:rsid w:val="008D7688"/>
    <w:rsid w:val="008E0702"/>
    <w:rsid w:val="008E4DBE"/>
    <w:rsid w:val="008E72EC"/>
    <w:rsid w:val="008F2C3C"/>
    <w:rsid w:val="008F3315"/>
    <w:rsid w:val="00906FDE"/>
    <w:rsid w:val="00911C2F"/>
    <w:rsid w:val="00912B34"/>
    <w:rsid w:val="00921A88"/>
    <w:rsid w:val="00921B0F"/>
    <w:rsid w:val="0093027F"/>
    <w:rsid w:val="0093453D"/>
    <w:rsid w:val="00940864"/>
    <w:rsid w:val="00944303"/>
    <w:rsid w:val="00954F99"/>
    <w:rsid w:val="009639EA"/>
    <w:rsid w:val="009646FA"/>
    <w:rsid w:val="00966D63"/>
    <w:rsid w:val="00971EE4"/>
    <w:rsid w:val="009720DC"/>
    <w:rsid w:val="009727D4"/>
    <w:rsid w:val="00984124"/>
    <w:rsid w:val="00984795"/>
    <w:rsid w:val="0099162F"/>
    <w:rsid w:val="009918AD"/>
    <w:rsid w:val="00994247"/>
    <w:rsid w:val="009965C0"/>
    <w:rsid w:val="009A2B2F"/>
    <w:rsid w:val="009A3EC0"/>
    <w:rsid w:val="009A723C"/>
    <w:rsid w:val="009A7E4E"/>
    <w:rsid w:val="009B0F80"/>
    <w:rsid w:val="009B13AB"/>
    <w:rsid w:val="009B218E"/>
    <w:rsid w:val="009B3D66"/>
    <w:rsid w:val="009C203B"/>
    <w:rsid w:val="009C2695"/>
    <w:rsid w:val="009C39F7"/>
    <w:rsid w:val="009C4097"/>
    <w:rsid w:val="009C40BF"/>
    <w:rsid w:val="009D0E7E"/>
    <w:rsid w:val="009D4E5B"/>
    <w:rsid w:val="009D6237"/>
    <w:rsid w:val="009E2B39"/>
    <w:rsid w:val="009E59D1"/>
    <w:rsid w:val="009F226C"/>
    <w:rsid w:val="009F48A3"/>
    <w:rsid w:val="009F6F47"/>
    <w:rsid w:val="009F7099"/>
    <w:rsid w:val="00A059F0"/>
    <w:rsid w:val="00A05B4C"/>
    <w:rsid w:val="00A14207"/>
    <w:rsid w:val="00A20B7D"/>
    <w:rsid w:val="00A26900"/>
    <w:rsid w:val="00A30A5E"/>
    <w:rsid w:val="00A320E7"/>
    <w:rsid w:val="00A3641C"/>
    <w:rsid w:val="00A40258"/>
    <w:rsid w:val="00A41323"/>
    <w:rsid w:val="00A54A32"/>
    <w:rsid w:val="00A56D20"/>
    <w:rsid w:val="00A60331"/>
    <w:rsid w:val="00A61B1C"/>
    <w:rsid w:val="00A657D8"/>
    <w:rsid w:val="00A70990"/>
    <w:rsid w:val="00A745C2"/>
    <w:rsid w:val="00A76A5D"/>
    <w:rsid w:val="00A7758C"/>
    <w:rsid w:val="00A9475E"/>
    <w:rsid w:val="00A956E4"/>
    <w:rsid w:val="00AA072E"/>
    <w:rsid w:val="00AA1006"/>
    <w:rsid w:val="00AA4852"/>
    <w:rsid w:val="00AA78F9"/>
    <w:rsid w:val="00AA795F"/>
    <w:rsid w:val="00AA7E1A"/>
    <w:rsid w:val="00AB073E"/>
    <w:rsid w:val="00AB5A24"/>
    <w:rsid w:val="00AC159D"/>
    <w:rsid w:val="00AC1996"/>
    <w:rsid w:val="00AC7463"/>
    <w:rsid w:val="00AD3C90"/>
    <w:rsid w:val="00AD70CA"/>
    <w:rsid w:val="00AE2D3B"/>
    <w:rsid w:val="00AE2FBD"/>
    <w:rsid w:val="00AE64AD"/>
    <w:rsid w:val="00AF35E9"/>
    <w:rsid w:val="00B01EDA"/>
    <w:rsid w:val="00B01F38"/>
    <w:rsid w:val="00B024D2"/>
    <w:rsid w:val="00B04AB6"/>
    <w:rsid w:val="00B04DC3"/>
    <w:rsid w:val="00B057F7"/>
    <w:rsid w:val="00B06D3E"/>
    <w:rsid w:val="00B125B4"/>
    <w:rsid w:val="00B12EFB"/>
    <w:rsid w:val="00B1322A"/>
    <w:rsid w:val="00B22C28"/>
    <w:rsid w:val="00B26543"/>
    <w:rsid w:val="00B544C1"/>
    <w:rsid w:val="00B54E05"/>
    <w:rsid w:val="00B55A4B"/>
    <w:rsid w:val="00B57AF5"/>
    <w:rsid w:val="00B6316E"/>
    <w:rsid w:val="00B65B1E"/>
    <w:rsid w:val="00B65C7A"/>
    <w:rsid w:val="00B65DC6"/>
    <w:rsid w:val="00B65FE1"/>
    <w:rsid w:val="00B6784A"/>
    <w:rsid w:val="00B71D25"/>
    <w:rsid w:val="00B7369F"/>
    <w:rsid w:val="00B8582B"/>
    <w:rsid w:val="00B85943"/>
    <w:rsid w:val="00B9120B"/>
    <w:rsid w:val="00B9213F"/>
    <w:rsid w:val="00B92769"/>
    <w:rsid w:val="00B92C90"/>
    <w:rsid w:val="00BA2211"/>
    <w:rsid w:val="00BA406D"/>
    <w:rsid w:val="00BA40A4"/>
    <w:rsid w:val="00BA4220"/>
    <w:rsid w:val="00BC2295"/>
    <w:rsid w:val="00BD7930"/>
    <w:rsid w:val="00BE53BA"/>
    <w:rsid w:val="00C00ABD"/>
    <w:rsid w:val="00C02AF3"/>
    <w:rsid w:val="00C03582"/>
    <w:rsid w:val="00C03873"/>
    <w:rsid w:val="00C06AA7"/>
    <w:rsid w:val="00C17997"/>
    <w:rsid w:val="00C2499B"/>
    <w:rsid w:val="00C307CA"/>
    <w:rsid w:val="00C37B41"/>
    <w:rsid w:val="00C445A5"/>
    <w:rsid w:val="00C4555D"/>
    <w:rsid w:val="00C51267"/>
    <w:rsid w:val="00C605F5"/>
    <w:rsid w:val="00C66F65"/>
    <w:rsid w:val="00C70CF8"/>
    <w:rsid w:val="00C71261"/>
    <w:rsid w:val="00C74696"/>
    <w:rsid w:val="00C806FF"/>
    <w:rsid w:val="00C82B39"/>
    <w:rsid w:val="00C86ADB"/>
    <w:rsid w:val="00C86EF9"/>
    <w:rsid w:val="00C95985"/>
    <w:rsid w:val="00CA2BCB"/>
    <w:rsid w:val="00CA3B21"/>
    <w:rsid w:val="00CA7D9C"/>
    <w:rsid w:val="00CB0A9B"/>
    <w:rsid w:val="00CB27D1"/>
    <w:rsid w:val="00CB6B77"/>
    <w:rsid w:val="00CC2983"/>
    <w:rsid w:val="00CC628A"/>
    <w:rsid w:val="00CC6CF4"/>
    <w:rsid w:val="00CC705E"/>
    <w:rsid w:val="00CD466A"/>
    <w:rsid w:val="00CD5498"/>
    <w:rsid w:val="00CD6A04"/>
    <w:rsid w:val="00CD74BB"/>
    <w:rsid w:val="00CE1252"/>
    <w:rsid w:val="00CE6056"/>
    <w:rsid w:val="00CF1015"/>
    <w:rsid w:val="00CF1E59"/>
    <w:rsid w:val="00D02A50"/>
    <w:rsid w:val="00D0444F"/>
    <w:rsid w:val="00D1002D"/>
    <w:rsid w:val="00D151E8"/>
    <w:rsid w:val="00D1621A"/>
    <w:rsid w:val="00D17425"/>
    <w:rsid w:val="00D17591"/>
    <w:rsid w:val="00D231A6"/>
    <w:rsid w:val="00D24BFC"/>
    <w:rsid w:val="00D24CF9"/>
    <w:rsid w:val="00D26896"/>
    <w:rsid w:val="00D27D3E"/>
    <w:rsid w:val="00D338F1"/>
    <w:rsid w:val="00D415B7"/>
    <w:rsid w:val="00D51B4C"/>
    <w:rsid w:val="00D5464B"/>
    <w:rsid w:val="00D57742"/>
    <w:rsid w:val="00D6398D"/>
    <w:rsid w:val="00D651B7"/>
    <w:rsid w:val="00D74BB0"/>
    <w:rsid w:val="00D81E75"/>
    <w:rsid w:val="00D96571"/>
    <w:rsid w:val="00D97E76"/>
    <w:rsid w:val="00DA0226"/>
    <w:rsid w:val="00DA548C"/>
    <w:rsid w:val="00DB0B6E"/>
    <w:rsid w:val="00DB248E"/>
    <w:rsid w:val="00DC2B6B"/>
    <w:rsid w:val="00DC4075"/>
    <w:rsid w:val="00DD4437"/>
    <w:rsid w:val="00DD46A4"/>
    <w:rsid w:val="00DD504F"/>
    <w:rsid w:val="00DF0DB5"/>
    <w:rsid w:val="00DF26DA"/>
    <w:rsid w:val="00DF2861"/>
    <w:rsid w:val="00DF5E2B"/>
    <w:rsid w:val="00DF6FAC"/>
    <w:rsid w:val="00E00072"/>
    <w:rsid w:val="00E00C95"/>
    <w:rsid w:val="00E0402B"/>
    <w:rsid w:val="00E10D03"/>
    <w:rsid w:val="00E16CE6"/>
    <w:rsid w:val="00E234A4"/>
    <w:rsid w:val="00E23C42"/>
    <w:rsid w:val="00E25FA2"/>
    <w:rsid w:val="00E315C8"/>
    <w:rsid w:val="00E31733"/>
    <w:rsid w:val="00E370A1"/>
    <w:rsid w:val="00E439D9"/>
    <w:rsid w:val="00E459C1"/>
    <w:rsid w:val="00E53D11"/>
    <w:rsid w:val="00E57CDD"/>
    <w:rsid w:val="00E64FC2"/>
    <w:rsid w:val="00E661F4"/>
    <w:rsid w:val="00E766EB"/>
    <w:rsid w:val="00E803B6"/>
    <w:rsid w:val="00E82744"/>
    <w:rsid w:val="00E849C7"/>
    <w:rsid w:val="00E85437"/>
    <w:rsid w:val="00E861A8"/>
    <w:rsid w:val="00E90A40"/>
    <w:rsid w:val="00E9227B"/>
    <w:rsid w:val="00E94093"/>
    <w:rsid w:val="00E97F63"/>
    <w:rsid w:val="00EA0374"/>
    <w:rsid w:val="00EA38D9"/>
    <w:rsid w:val="00EA3CA9"/>
    <w:rsid w:val="00EA5B0F"/>
    <w:rsid w:val="00EB2419"/>
    <w:rsid w:val="00EB3516"/>
    <w:rsid w:val="00EB4AB4"/>
    <w:rsid w:val="00EB519E"/>
    <w:rsid w:val="00EC22FB"/>
    <w:rsid w:val="00EC3D8A"/>
    <w:rsid w:val="00ED67AE"/>
    <w:rsid w:val="00ED7574"/>
    <w:rsid w:val="00EE1D4E"/>
    <w:rsid w:val="00EE55CC"/>
    <w:rsid w:val="00EE6287"/>
    <w:rsid w:val="00EF6894"/>
    <w:rsid w:val="00F04F78"/>
    <w:rsid w:val="00F067E3"/>
    <w:rsid w:val="00F070AE"/>
    <w:rsid w:val="00F1313A"/>
    <w:rsid w:val="00F20ED3"/>
    <w:rsid w:val="00F2604E"/>
    <w:rsid w:val="00F26D9A"/>
    <w:rsid w:val="00F2745A"/>
    <w:rsid w:val="00F3471B"/>
    <w:rsid w:val="00F36643"/>
    <w:rsid w:val="00F36810"/>
    <w:rsid w:val="00F4166D"/>
    <w:rsid w:val="00F4212D"/>
    <w:rsid w:val="00F70E5B"/>
    <w:rsid w:val="00F7173B"/>
    <w:rsid w:val="00F8017F"/>
    <w:rsid w:val="00F85A17"/>
    <w:rsid w:val="00F87E4A"/>
    <w:rsid w:val="00F92FE1"/>
    <w:rsid w:val="00F96BC9"/>
    <w:rsid w:val="00FA0937"/>
    <w:rsid w:val="00FA0FE8"/>
    <w:rsid w:val="00FA1217"/>
    <w:rsid w:val="00FB5F1E"/>
    <w:rsid w:val="00FB6229"/>
    <w:rsid w:val="00FB631E"/>
    <w:rsid w:val="00FB74E6"/>
    <w:rsid w:val="00FC64A8"/>
    <w:rsid w:val="00FD73F9"/>
    <w:rsid w:val="00FD74EE"/>
    <w:rsid w:val="00FD76B3"/>
    <w:rsid w:val="00FE2EAA"/>
    <w:rsid w:val="00FE4D67"/>
    <w:rsid w:val="00FE7F79"/>
    <w:rsid w:val="00FF56BC"/>
    <w:rsid w:val="00FF5FCF"/>
    <w:rsid w:val="00FF6534"/>
    <w:rsid w:val="00FF71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74B44E"/>
  <w15:docId w15:val="{9B575FED-F0E6-4AB7-92EE-52EECE92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7E3"/>
    <w:pPr>
      <w:spacing w:after="0" w:line="240" w:lineRule="auto"/>
    </w:pPr>
    <w:rPr>
      <w:rFonts w:ascii="Verdana" w:hAnsi="Verdana"/>
      <w:sz w:val="20"/>
    </w:rPr>
  </w:style>
  <w:style w:type="paragraph" w:styleId="Heading1">
    <w:name w:val="heading 1"/>
    <w:basedOn w:val="Normal"/>
    <w:next w:val="Normal"/>
    <w:link w:val="Heading1Char"/>
    <w:uiPriority w:val="9"/>
    <w:qFormat/>
    <w:rsid w:val="00C307C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unhideWhenUsed/>
    <w:qFormat/>
    <w:rsid w:val="00B22C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3A0DA1"/>
    <w:pPr>
      <w:outlineLvl w:val="3"/>
    </w:pPr>
    <w:rPr>
      <w:rFonts w:ascii="Times New Roman" w:eastAsia="Times New Roman" w:hAnsi="Times New Roman" w:cs="Times New Roman"/>
      <w:b/>
      <w:bCs/>
      <w:color w:val="666666"/>
      <w:sz w:val="23"/>
      <w:szCs w:val="2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591"/>
    <w:rPr>
      <w:rFonts w:ascii="Tahoma" w:hAnsi="Tahoma" w:cs="Tahoma"/>
      <w:sz w:val="16"/>
      <w:szCs w:val="16"/>
    </w:rPr>
  </w:style>
  <w:style w:type="character" w:customStyle="1" w:styleId="BalloonTextChar">
    <w:name w:val="Balloon Text Char"/>
    <w:basedOn w:val="DefaultParagraphFont"/>
    <w:link w:val="BalloonText"/>
    <w:uiPriority w:val="99"/>
    <w:semiHidden/>
    <w:rsid w:val="00D17591"/>
    <w:rPr>
      <w:rFonts w:ascii="Tahoma" w:hAnsi="Tahoma" w:cs="Tahoma"/>
      <w:sz w:val="16"/>
      <w:szCs w:val="16"/>
    </w:rPr>
  </w:style>
  <w:style w:type="paragraph" w:styleId="ListParagraph">
    <w:name w:val="List Paragraph"/>
    <w:basedOn w:val="Normal"/>
    <w:uiPriority w:val="34"/>
    <w:qFormat/>
    <w:rsid w:val="00D17591"/>
    <w:pPr>
      <w:spacing w:after="200" w:line="480" w:lineRule="auto"/>
      <w:ind w:left="720"/>
      <w:contextualSpacing/>
      <w:jc w:val="both"/>
    </w:pPr>
    <w:rPr>
      <w:rFonts w:ascii="Arial" w:eastAsia="Calibri" w:hAnsi="Arial" w:cs="Arial"/>
      <w:szCs w:val="20"/>
    </w:rPr>
  </w:style>
  <w:style w:type="paragraph" w:styleId="NormalWeb">
    <w:name w:val="Normal (Web)"/>
    <w:basedOn w:val="Normal"/>
    <w:uiPriority w:val="99"/>
    <w:semiHidden/>
    <w:unhideWhenUsed/>
    <w:rsid w:val="00660F8F"/>
    <w:pPr>
      <w:spacing w:before="100" w:beforeAutospacing="1" w:after="100" w:afterAutospacing="1"/>
    </w:pPr>
    <w:rPr>
      <w:rFonts w:ascii="Times New Roman" w:eastAsiaTheme="minorEastAsia" w:hAnsi="Times New Roman" w:cs="Times New Roman"/>
      <w:sz w:val="24"/>
      <w:szCs w:val="24"/>
      <w:lang w:eastAsia="en-GB"/>
    </w:rPr>
  </w:style>
  <w:style w:type="table" w:customStyle="1" w:styleId="TableGrid8">
    <w:name w:val="Table Grid8"/>
    <w:basedOn w:val="TableNormal"/>
    <w:next w:val="TableGrid"/>
    <w:uiPriority w:val="59"/>
    <w:rsid w:val="00001E50"/>
    <w:pPr>
      <w:spacing w:after="0" w:line="240" w:lineRule="auto"/>
      <w:jc w:val="both"/>
    </w:pPr>
    <w:rPr>
      <w:rFonts w:ascii="Arial" w:eastAsia="Calibri" w:hAnsi="Arial" w:cs="Arial"/>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1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E43"/>
    <w:pPr>
      <w:tabs>
        <w:tab w:val="center" w:pos="4513"/>
        <w:tab w:val="right" w:pos="9026"/>
      </w:tabs>
    </w:pPr>
  </w:style>
  <w:style w:type="character" w:customStyle="1" w:styleId="HeaderChar">
    <w:name w:val="Header Char"/>
    <w:basedOn w:val="DefaultParagraphFont"/>
    <w:link w:val="Header"/>
    <w:uiPriority w:val="99"/>
    <w:rsid w:val="00222E43"/>
    <w:rPr>
      <w:rFonts w:ascii="Verdana" w:hAnsi="Verdana"/>
      <w:sz w:val="20"/>
    </w:rPr>
  </w:style>
  <w:style w:type="paragraph" w:styleId="Footer">
    <w:name w:val="footer"/>
    <w:basedOn w:val="Normal"/>
    <w:link w:val="FooterChar"/>
    <w:uiPriority w:val="99"/>
    <w:unhideWhenUsed/>
    <w:rsid w:val="00222E43"/>
    <w:pPr>
      <w:tabs>
        <w:tab w:val="center" w:pos="4513"/>
        <w:tab w:val="right" w:pos="9026"/>
      </w:tabs>
    </w:pPr>
  </w:style>
  <w:style w:type="character" w:customStyle="1" w:styleId="FooterChar">
    <w:name w:val="Footer Char"/>
    <w:basedOn w:val="DefaultParagraphFont"/>
    <w:link w:val="Footer"/>
    <w:uiPriority w:val="99"/>
    <w:rsid w:val="00222E43"/>
    <w:rPr>
      <w:rFonts w:ascii="Verdana" w:hAnsi="Verdana"/>
      <w:sz w:val="20"/>
    </w:rPr>
  </w:style>
  <w:style w:type="character" w:styleId="CommentReference">
    <w:name w:val="annotation reference"/>
    <w:basedOn w:val="DefaultParagraphFont"/>
    <w:uiPriority w:val="99"/>
    <w:semiHidden/>
    <w:unhideWhenUsed/>
    <w:rsid w:val="00E803B6"/>
    <w:rPr>
      <w:sz w:val="16"/>
      <w:szCs w:val="16"/>
    </w:rPr>
  </w:style>
  <w:style w:type="paragraph" w:styleId="CommentText">
    <w:name w:val="annotation text"/>
    <w:basedOn w:val="Normal"/>
    <w:link w:val="CommentTextChar"/>
    <w:uiPriority w:val="99"/>
    <w:unhideWhenUsed/>
    <w:rsid w:val="00E803B6"/>
    <w:rPr>
      <w:szCs w:val="20"/>
    </w:rPr>
  </w:style>
  <w:style w:type="character" w:customStyle="1" w:styleId="CommentTextChar">
    <w:name w:val="Comment Text Char"/>
    <w:basedOn w:val="DefaultParagraphFont"/>
    <w:link w:val="CommentText"/>
    <w:uiPriority w:val="99"/>
    <w:rsid w:val="00E803B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803B6"/>
    <w:rPr>
      <w:b/>
      <w:bCs/>
    </w:rPr>
  </w:style>
  <w:style w:type="character" w:customStyle="1" w:styleId="CommentSubjectChar">
    <w:name w:val="Comment Subject Char"/>
    <w:basedOn w:val="CommentTextChar"/>
    <w:link w:val="CommentSubject"/>
    <w:uiPriority w:val="99"/>
    <w:semiHidden/>
    <w:rsid w:val="00E803B6"/>
    <w:rPr>
      <w:rFonts w:ascii="Verdana" w:hAnsi="Verdana"/>
      <w:b/>
      <w:bCs/>
      <w:sz w:val="20"/>
      <w:szCs w:val="20"/>
    </w:rPr>
  </w:style>
  <w:style w:type="character" w:customStyle="1" w:styleId="Heading4Char">
    <w:name w:val="Heading 4 Char"/>
    <w:basedOn w:val="DefaultParagraphFont"/>
    <w:link w:val="Heading4"/>
    <w:uiPriority w:val="9"/>
    <w:rsid w:val="003A0DA1"/>
    <w:rPr>
      <w:rFonts w:ascii="Times New Roman" w:eastAsia="Times New Roman" w:hAnsi="Times New Roman" w:cs="Times New Roman"/>
      <w:b/>
      <w:bCs/>
      <w:color w:val="666666"/>
      <w:sz w:val="23"/>
      <w:szCs w:val="23"/>
      <w:lang w:eastAsia="en-GB"/>
    </w:rPr>
  </w:style>
  <w:style w:type="character" w:styleId="Hyperlink">
    <w:name w:val="Hyperlink"/>
    <w:basedOn w:val="DefaultParagraphFont"/>
    <w:uiPriority w:val="99"/>
    <w:unhideWhenUsed/>
    <w:rsid w:val="00C82B39"/>
    <w:rPr>
      <w:color w:val="0563C1" w:themeColor="hyperlink"/>
      <w:u w:val="single"/>
    </w:rPr>
  </w:style>
  <w:style w:type="character" w:customStyle="1" w:styleId="Heading1Char">
    <w:name w:val="Heading 1 Char"/>
    <w:basedOn w:val="DefaultParagraphFont"/>
    <w:link w:val="Heading1"/>
    <w:uiPriority w:val="9"/>
    <w:rsid w:val="00C307CA"/>
    <w:rPr>
      <w:rFonts w:asciiTheme="majorHAnsi" w:eastAsiaTheme="majorEastAsia" w:hAnsiTheme="majorHAnsi" w:cstheme="majorBidi"/>
      <w:b/>
      <w:bCs/>
      <w:color w:val="2E74B5" w:themeColor="accent1" w:themeShade="BF"/>
      <w:sz w:val="28"/>
      <w:szCs w:val="28"/>
    </w:rPr>
  </w:style>
  <w:style w:type="character" w:customStyle="1" w:styleId="apple-converted-space">
    <w:name w:val="apple-converted-space"/>
    <w:basedOn w:val="DefaultParagraphFont"/>
    <w:rsid w:val="00C307CA"/>
  </w:style>
  <w:style w:type="character" w:customStyle="1" w:styleId="collapsetext">
    <w:name w:val="collapsetext"/>
    <w:basedOn w:val="DefaultParagraphFont"/>
    <w:rsid w:val="00C307CA"/>
  </w:style>
  <w:style w:type="character" w:customStyle="1" w:styleId="showinfo">
    <w:name w:val="showinfo"/>
    <w:basedOn w:val="DefaultParagraphFont"/>
    <w:rsid w:val="00C307CA"/>
  </w:style>
  <w:style w:type="paragraph" w:styleId="HTMLAddress">
    <w:name w:val="HTML Address"/>
    <w:basedOn w:val="Normal"/>
    <w:link w:val="HTMLAddressChar"/>
    <w:uiPriority w:val="99"/>
    <w:semiHidden/>
    <w:unhideWhenUsed/>
    <w:rsid w:val="001D10D9"/>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1D10D9"/>
    <w:rPr>
      <w:rFonts w:ascii="Times New Roman" w:eastAsia="Times New Roman" w:hAnsi="Times New Roman" w:cs="Times New Roman"/>
      <w:i/>
      <w:iCs/>
      <w:sz w:val="24"/>
      <w:szCs w:val="24"/>
      <w:lang w:eastAsia="en-GB"/>
    </w:rPr>
  </w:style>
  <w:style w:type="character" w:customStyle="1" w:styleId="jnl-title">
    <w:name w:val="jnl-title"/>
    <w:basedOn w:val="DefaultParagraphFont"/>
    <w:rsid w:val="001D10D9"/>
  </w:style>
  <w:style w:type="character" w:customStyle="1" w:styleId="jnl-url">
    <w:name w:val="jnl-url"/>
    <w:basedOn w:val="DefaultParagraphFont"/>
    <w:rsid w:val="001D10D9"/>
  </w:style>
  <w:style w:type="character" w:customStyle="1" w:styleId="slug-vol">
    <w:name w:val="slug-vol"/>
    <w:basedOn w:val="DefaultParagraphFont"/>
    <w:rsid w:val="001D10D9"/>
  </w:style>
  <w:style w:type="character" w:customStyle="1" w:styleId="slug-issue">
    <w:name w:val="slug-issue"/>
    <w:basedOn w:val="DefaultParagraphFont"/>
    <w:rsid w:val="001D10D9"/>
  </w:style>
  <w:style w:type="character" w:customStyle="1" w:styleId="slug-doi-wrapper2">
    <w:name w:val="slug-doi-wrapper2"/>
    <w:basedOn w:val="DefaultParagraphFont"/>
    <w:rsid w:val="001D10D9"/>
  </w:style>
  <w:style w:type="character" w:customStyle="1" w:styleId="slug-doi">
    <w:name w:val="slug-doi"/>
    <w:basedOn w:val="DefaultParagraphFont"/>
    <w:rsid w:val="001D10D9"/>
  </w:style>
  <w:style w:type="character" w:customStyle="1" w:styleId="name2">
    <w:name w:val="name2"/>
    <w:basedOn w:val="DefaultParagraphFont"/>
    <w:rsid w:val="001D10D9"/>
  </w:style>
  <w:style w:type="paragraph" w:customStyle="1" w:styleId="EndNoteBibliographyTitle">
    <w:name w:val="EndNote Bibliography Title"/>
    <w:basedOn w:val="Normal"/>
    <w:link w:val="EndNoteBibliographyTitleChar"/>
    <w:rsid w:val="0054619C"/>
    <w:pPr>
      <w:jc w:val="center"/>
    </w:pPr>
    <w:rPr>
      <w:noProof/>
      <w:lang w:val="en-US"/>
    </w:rPr>
  </w:style>
  <w:style w:type="character" w:customStyle="1" w:styleId="EndNoteBibliographyTitleChar">
    <w:name w:val="EndNote Bibliography Title Char"/>
    <w:basedOn w:val="DefaultParagraphFont"/>
    <w:link w:val="EndNoteBibliographyTitle"/>
    <w:rsid w:val="0054619C"/>
    <w:rPr>
      <w:rFonts w:ascii="Verdana" w:hAnsi="Verdana"/>
      <w:noProof/>
      <w:sz w:val="20"/>
      <w:lang w:val="en-US"/>
    </w:rPr>
  </w:style>
  <w:style w:type="paragraph" w:customStyle="1" w:styleId="EndNoteBibliography">
    <w:name w:val="EndNote Bibliography"/>
    <w:basedOn w:val="Normal"/>
    <w:link w:val="EndNoteBibliographyChar"/>
    <w:rsid w:val="0054619C"/>
    <w:rPr>
      <w:noProof/>
      <w:lang w:val="en-US"/>
    </w:rPr>
  </w:style>
  <w:style w:type="character" w:customStyle="1" w:styleId="EndNoteBibliographyChar">
    <w:name w:val="EndNote Bibliography Char"/>
    <w:basedOn w:val="DefaultParagraphFont"/>
    <w:link w:val="EndNoteBibliography"/>
    <w:rsid w:val="0054619C"/>
    <w:rPr>
      <w:rFonts w:ascii="Verdana" w:hAnsi="Verdana"/>
      <w:noProof/>
      <w:sz w:val="20"/>
      <w:lang w:val="en-US"/>
    </w:rPr>
  </w:style>
  <w:style w:type="character" w:customStyle="1" w:styleId="Heading3Char">
    <w:name w:val="Heading 3 Char"/>
    <w:basedOn w:val="DefaultParagraphFont"/>
    <w:link w:val="Heading3"/>
    <w:uiPriority w:val="9"/>
    <w:rsid w:val="00B22C28"/>
    <w:rPr>
      <w:rFonts w:asciiTheme="majorHAnsi" w:eastAsiaTheme="majorEastAsia" w:hAnsiTheme="majorHAnsi" w:cstheme="majorBidi"/>
      <w:b/>
      <w:bCs/>
      <w:color w:val="5B9BD5" w:themeColor="accent1"/>
      <w:sz w:val="20"/>
    </w:rPr>
  </w:style>
  <w:style w:type="character" w:customStyle="1" w:styleId="italicizeit1">
    <w:name w:val="italicizeit1"/>
    <w:basedOn w:val="DefaultParagraphFont"/>
    <w:rsid w:val="00B9120B"/>
    <w:rPr>
      <w:i/>
      <w:iCs/>
    </w:rPr>
  </w:style>
  <w:style w:type="character" w:customStyle="1" w:styleId="boldit1">
    <w:name w:val="boldit1"/>
    <w:basedOn w:val="DefaultParagraphFont"/>
    <w:rsid w:val="00B91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48170">
      <w:bodyDiv w:val="1"/>
      <w:marLeft w:val="0"/>
      <w:marRight w:val="0"/>
      <w:marTop w:val="0"/>
      <w:marBottom w:val="0"/>
      <w:divBdr>
        <w:top w:val="none" w:sz="0" w:space="0" w:color="auto"/>
        <w:left w:val="none" w:sz="0" w:space="0" w:color="auto"/>
        <w:bottom w:val="none" w:sz="0" w:space="0" w:color="auto"/>
        <w:right w:val="none" w:sz="0" w:space="0" w:color="auto"/>
      </w:divBdr>
      <w:divsChild>
        <w:div w:id="1728333642">
          <w:marLeft w:val="0"/>
          <w:marRight w:val="0"/>
          <w:marTop w:val="100"/>
          <w:marBottom w:val="100"/>
          <w:divBdr>
            <w:top w:val="none" w:sz="0" w:space="0" w:color="auto"/>
            <w:left w:val="single" w:sz="6" w:space="0" w:color="CCCCCC"/>
            <w:bottom w:val="none" w:sz="0" w:space="0" w:color="auto"/>
            <w:right w:val="single" w:sz="6" w:space="0" w:color="CCCCCC"/>
          </w:divBdr>
          <w:divsChild>
            <w:div w:id="968121734">
              <w:marLeft w:val="0"/>
              <w:marRight w:val="0"/>
              <w:marTop w:val="100"/>
              <w:marBottom w:val="240"/>
              <w:divBdr>
                <w:top w:val="none" w:sz="0" w:space="0" w:color="auto"/>
                <w:left w:val="none" w:sz="0" w:space="0" w:color="auto"/>
                <w:bottom w:val="none" w:sz="0" w:space="0" w:color="auto"/>
                <w:right w:val="none" w:sz="0" w:space="0" w:color="auto"/>
              </w:divBdr>
              <w:divsChild>
                <w:div w:id="477501410">
                  <w:marLeft w:val="0"/>
                  <w:marRight w:val="0"/>
                  <w:marTop w:val="0"/>
                  <w:marBottom w:val="0"/>
                  <w:divBdr>
                    <w:top w:val="none" w:sz="0" w:space="0" w:color="auto"/>
                    <w:left w:val="none" w:sz="0" w:space="0" w:color="auto"/>
                    <w:bottom w:val="none" w:sz="0" w:space="0" w:color="auto"/>
                    <w:right w:val="none" w:sz="0" w:space="0" w:color="auto"/>
                  </w:divBdr>
                </w:div>
              </w:divsChild>
            </w:div>
            <w:div w:id="2088645104">
              <w:marLeft w:val="0"/>
              <w:marRight w:val="0"/>
              <w:marTop w:val="0"/>
              <w:marBottom w:val="0"/>
              <w:divBdr>
                <w:top w:val="none" w:sz="0" w:space="0" w:color="auto"/>
                <w:left w:val="none" w:sz="0" w:space="0" w:color="auto"/>
                <w:bottom w:val="none" w:sz="0" w:space="0" w:color="auto"/>
                <w:right w:val="none" w:sz="0" w:space="0" w:color="auto"/>
              </w:divBdr>
              <w:divsChild>
                <w:div w:id="84690849">
                  <w:marLeft w:val="0"/>
                  <w:marRight w:val="0"/>
                  <w:marTop w:val="150"/>
                  <w:marBottom w:val="0"/>
                  <w:divBdr>
                    <w:top w:val="none" w:sz="0" w:space="0" w:color="auto"/>
                    <w:left w:val="none" w:sz="0" w:space="0" w:color="auto"/>
                    <w:bottom w:val="none" w:sz="0" w:space="0" w:color="auto"/>
                    <w:right w:val="none" w:sz="0" w:space="0" w:color="auto"/>
                  </w:divBdr>
                </w:div>
                <w:div w:id="685980443">
                  <w:marLeft w:val="0"/>
                  <w:marRight w:val="0"/>
                  <w:marTop w:val="0"/>
                  <w:marBottom w:val="0"/>
                  <w:divBdr>
                    <w:top w:val="none" w:sz="0" w:space="0" w:color="auto"/>
                    <w:left w:val="none" w:sz="0" w:space="0" w:color="auto"/>
                    <w:bottom w:val="none" w:sz="0" w:space="0" w:color="auto"/>
                    <w:right w:val="none" w:sz="0" w:space="0" w:color="auto"/>
                  </w:divBdr>
                  <w:divsChild>
                    <w:div w:id="6688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61462">
      <w:bodyDiv w:val="1"/>
      <w:marLeft w:val="0"/>
      <w:marRight w:val="0"/>
      <w:marTop w:val="0"/>
      <w:marBottom w:val="0"/>
      <w:divBdr>
        <w:top w:val="none" w:sz="0" w:space="0" w:color="auto"/>
        <w:left w:val="none" w:sz="0" w:space="0" w:color="auto"/>
        <w:bottom w:val="none" w:sz="0" w:space="0" w:color="auto"/>
        <w:right w:val="none" w:sz="0" w:space="0" w:color="auto"/>
      </w:divBdr>
      <w:divsChild>
        <w:div w:id="1522082837">
          <w:marLeft w:val="0"/>
          <w:marRight w:val="0"/>
          <w:marTop w:val="100"/>
          <w:marBottom w:val="100"/>
          <w:divBdr>
            <w:top w:val="none" w:sz="0" w:space="0" w:color="auto"/>
            <w:left w:val="none" w:sz="0" w:space="0" w:color="auto"/>
            <w:bottom w:val="none" w:sz="0" w:space="0" w:color="auto"/>
            <w:right w:val="none" w:sz="0" w:space="0" w:color="auto"/>
          </w:divBdr>
          <w:divsChild>
            <w:div w:id="1989087052">
              <w:marLeft w:val="0"/>
              <w:marRight w:val="0"/>
              <w:marTop w:val="0"/>
              <w:marBottom w:val="0"/>
              <w:divBdr>
                <w:top w:val="none" w:sz="0" w:space="0" w:color="auto"/>
                <w:left w:val="none" w:sz="0" w:space="0" w:color="auto"/>
                <w:bottom w:val="none" w:sz="0" w:space="0" w:color="auto"/>
                <w:right w:val="none" w:sz="0" w:space="0" w:color="auto"/>
              </w:divBdr>
              <w:divsChild>
                <w:div w:id="872116141">
                  <w:marLeft w:val="0"/>
                  <w:marRight w:val="0"/>
                  <w:marTop w:val="0"/>
                  <w:marBottom w:val="0"/>
                  <w:divBdr>
                    <w:top w:val="none" w:sz="0" w:space="0" w:color="auto"/>
                    <w:left w:val="none" w:sz="0" w:space="0" w:color="auto"/>
                    <w:bottom w:val="none" w:sz="0" w:space="0" w:color="auto"/>
                    <w:right w:val="none" w:sz="0" w:space="0" w:color="auto"/>
                  </w:divBdr>
                  <w:divsChild>
                    <w:div w:id="1463230507">
                      <w:marLeft w:val="0"/>
                      <w:marRight w:val="0"/>
                      <w:marTop w:val="0"/>
                      <w:marBottom w:val="0"/>
                      <w:divBdr>
                        <w:top w:val="none" w:sz="0" w:space="0" w:color="auto"/>
                        <w:left w:val="none" w:sz="0" w:space="0" w:color="auto"/>
                        <w:bottom w:val="none" w:sz="0" w:space="0" w:color="auto"/>
                        <w:right w:val="none" w:sz="0" w:space="0" w:color="auto"/>
                      </w:divBdr>
                      <w:divsChild>
                        <w:div w:id="1046757523">
                          <w:marLeft w:val="0"/>
                          <w:marRight w:val="0"/>
                          <w:marTop w:val="0"/>
                          <w:marBottom w:val="0"/>
                          <w:divBdr>
                            <w:top w:val="none" w:sz="0" w:space="0" w:color="auto"/>
                            <w:left w:val="none" w:sz="0" w:space="0" w:color="auto"/>
                            <w:bottom w:val="none" w:sz="0" w:space="0" w:color="auto"/>
                            <w:right w:val="none" w:sz="0" w:space="0" w:color="auto"/>
                          </w:divBdr>
                          <w:divsChild>
                            <w:div w:id="1807774436">
                              <w:marLeft w:val="0"/>
                              <w:marRight w:val="0"/>
                              <w:marTop w:val="0"/>
                              <w:marBottom w:val="0"/>
                              <w:divBdr>
                                <w:top w:val="none" w:sz="0" w:space="0" w:color="auto"/>
                                <w:left w:val="none" w:sz="0" w:space="0" w:color="auto"/>
                                <w:bottom w:val="none" w:sz="0" w:space="0" w:color="auto"/>
                                <w:right w:val="none" w:sz="0" w:space="0" w:color="auto"/>
                              </w:divBdr>
                              <w:divsChild>
                                <w:div w:id="951059382">
                                  <w:marLeft w:val="0"/>
                                  <w:marRight w:val="0"/>
                                  <w:marTop w:val="0"/>
                                  <w:marBottom w:val="0"/>
                                  <w:divBdr>
                                    <w:top w:val="none" w:sz="0" w:space="0" w:color="auto"/>
                                    <w:left w:val="none" w:sz="0" w:space="0" w:color="auto"/>
                                    <w:bottom w:val="none" w:sz="0" w:space="0" w:color="auto"/>
                                    <w:right w:val="none" w:sz="0" w:space="0" w:color="auto"/>
                                  </w:divBdr>
                                  <w:divsChild>
                                    <w:div w:id="515585453">
                                      <w:marLeft w:val="0"/>
                                      <w:marRight w:val="0"/>
                                      <w:marTop w:val="0"/>
                                      <w:marBottom w:val="0"/>
                                      <w:divBdr>
                                        <w:top w:val="none" w:sz="0" w:space="0" w:color="auto"/>
                                        <w:left w:val="none" w:sz="0" w:space="0" w:color="auto"/>
                                        <w:bottom w:val="none" w:sz="0" w:space="0" w:color="auto"/>
                                        <w:right w:val="none" w:sz="0" w:space="0" w:color="auto"/>
                                      </w:divBdr>
                                      <w:divsChild>
                                        <w:div w:id="1051265429">
                                          <w:marLeft w:val="0"/>
                                          <w:marRight w:val="0"/>
                                          <w:marTop w:val="0"/>
                                          <w:marBottom w:val="0"/>
                                          <w:divBdr>
                                            <w:top w:val="none" w:sz="0" w:space="0" w:color="auto"/>
                                            <w:left w:val="none" w:sz="0" w:space="0" w:color="auto"/>
                                            <w:bottom w:val="none" w:sz="0" w:space="0" w:color="auto"/>
                                            <w:right w:val="none" w:sz="0" w:space="0" w:color="auto"/>
                                          </w:divBdr>
                                          <w:divsChild>
                                            <w:div w:id="690377715">
                                              <w:marLeft w:val="0"/>
                                              <w:marRight w:val="0"/>
                                              <w:marTop w:val="0"/>
                                              <w:marBottom w:val="0"/>
                                              <w:divBdr>
                                                <w:top w:val="none" w:sz="0" w:space="0" w:color="auto"/>
                                                <w:left w:val="none" w:sz="0" w:space="0" w:color="auto"/>
                                                <w:bottom w:val="none" w:sz="0" w:space="0" w:color="auto"/>
                                                <w:right w:val="none" w:sz="0" w:space="0" w:color="auto"/>
                                              </w:divBdr>
                                              <w:divsChild>
                                                <w:div w:id="1628004733">
                                                  <w:marLeft w:val="0"/>
                                                  <w:marRight w:val="0"/>
                                                  <w:marTop w:val="0"/>
                                                  <w:marBottom w:val="0"/>
                                                  <w:divBdr>
                                                    <w:top w:val="none" w:sz="0" w:space="0" w:color="auto"/>
                                                    <w:left w:val="none" w:sz="0" w:space="0" w:color="auto"/>
                                                    <w:bottom w:val="none" w:sz="0" w:space="0" w:color="auto"/>
                                                    <w:right w:val="none" w:sz="0" w:space="0" w:color="auto"/>
                                                  </w:divBdr>
                                                  <w:divsChild>
                                                    <w:div w:id="524829920">
                                                      <w:marLeft w:val="0"/>
                                                      <w:marRight w:val="0"/>
                                                      <w:marTop w:val="0"/>
                                                      <w:marBottom w:val="0"/>
                                                      <w:divBdr>
                                                        <w:top w:val="none" w:sz="0" w:space="0" w:color="auto"/>
                                                        <w:left w:val="none" w:sz="0" w:space="0" w:color="auto"/>
                                                        <w:bottom w:val="none" w:sz="0" w:space="0" w:color="auto"/>
                                                        <w:right w:val="none" w:sz="0" w:space="0" w:color="auto"/>
                                                      </w:divBdr>
                                                      <w:divsChild>
                                                        <w:div w:id="1658455551">
                                                          <w:marLeft w:val="0"/>
                                                          <w:marRight w:val="0"/>
                                                          <w:marTop w:val="0"/>
                                                          <w:marBottom w:val="0"/>
                                                          <w:divBdr>
                                                            <w:top w:val="none" w:sz="0" w:space="0" w:color="auto"/>
                                                            <w:left w:val="none" w:sz="0" w:space="0" w:color="auto"/>
                                                            <w:bottom w:val="none" w:sz="0" w:space="0" w:color="auto"/>
                                                            <w:right w:val="none" w:sz="0" w:space="0" w:color="auto"/>
                                                          </w:divBdr>
                                                          <w:divsChild>
                                                            <w:div w:id="733167126">
                                                              <w:marLeft w:val="0"/>
                                                              <w:marRight w:val="0"/>
                                                              <w:marTop w:val="0"/>
                                                              <w:marBottom w:val="0"/>
                                                              <w:divBdr>
                                                                <w:top w:val="none" w:sz="0" w:space="0" w:color="auto"/>
                                                                <w:left w:val="none" w:sz="0" w:space="0" w:color="auto"/>
                                                                <w:bottom w:val="none" w:sz="0" w:space="0" w:color="auto"/>
                                                                <w:right w:val="none" w:sz="0" w:space="0" w:color="auto"/>
                                                              </w:divBdr>
                                                              <w:divsChild>
                                                                <w:div w:id="1523546829">
                                                                  <w:marLeft w:val="0"/>
                                                                  <w:marRight w:val="0"/>
                                                                  <w:marTop w:val="0"/>
                                                                  <w:marBottom w:val="0"/>
                                                                  <w:divBdr>
                                                                    <w:top w:val="none" w:sz="0" w:space="0" w:color="auto"/>
                                                                    <w:left w:val="none" w:sz="0" w:space="0" w:color="auto"/>
                                                                    <w:bottom w:val="none" w:sz="0" w:space="0" w:color="auto"/>
                                                                    <w:right w:val="none" w:sz="0" w:space="0" w:color="auto"/>
                                                                  </w:divBdr>
                                                                  <w:divsChild>
                                                                    <w:div w:id="1611745671">
                                                                      <w:marLeft w:val="0"/>
                                                                      <w:marRight w:val="0"/>
                                                                      <w:marTop w:val="0"/>
                                                                      <w:marBottom w:val="0"/>
                                                                      <w:divBdr>
                                                                        <w:top w:val="none" w:sz="0" w:space="0" w:color="auto"/>
                                                                        <w:left w:val="none" w:sz="0" w:space="0" w:color="auto"/>
                                                                        <w:bottom w:val="none" w:sz="0" w:space="0" w:color="auto"/>
                                                                        <w:right w:val="none" w:sz="0" w:space="0" w:color="auto"/>
                                                                      </w:divBdr>
                                                                      <w:divsChild>
                                                                        <w:div w:id="1408721639">
                                                                          <w:marLeft w:val="0"/>
                                                                          <w:marRight w:val="0"/>
                                                                          <w:marTop w:val="0"/>
                                                                          <w:marBottom w:val="0"/>
                                                                          <w:divBdr>
                                                                            <w:top w:val="none" w:sz="0" w:space="0" w:color="auto"/>
                                                                            <w:left w:val="none" w:sz="0" w:space="0" w:color="auto"/>
                                                                            <w:bottom w:val="none" w:sz="0" w:space="0" w:color="auto"/>
                                                                            <w:right w:val="none" w:sz="0" w:space="0" w:color="auto"/>
                                                                          </w:divBdr>
                                                                          <w:divsChild>
                                                                            <w:div w:id="264926365">
                                                                              <w:marLeft w:val="0"/>
                                                                              <w:marRight w:val="0"/>
                                                                              <w:marTop w:val="0"/>
                                                                              <w:marBottom w:val="0"/>
                                                                              <w:divBdr>
                                                                                <w:top w:val="none" w:sz="0" w:space="0" w:color="auto"/>
                                                                                <w:left w:val="none" w:sz="0" w:space="0" w:color="auto"/>
                                                                                <w:bottom w:val="none" w:sz="0" w:space="0" w:color="auto"/>
                                                                                <w:right w:val="none" w:sz="0" w:space="0" w:color="auto"/>
                                                                              </w:divBdr>
                                                                              <w:divsChild>
                                                                                <w:div w:id="754978524">
                                                                                  <w:marLeft w:val="0"/>
                                                                                  <w:marRight w:val="0"/>
                                                                                  <w:marTop w:val="0"/>
                                                                                  <w:marBottom w:val="0"/>
                                                                                  <w:divBdr>
                                                                                    <w:top w:val="none" w:sz="0" w:space="0" w:color="auto"/>
                                                                                    <w:left w:val="none" w:sz="0" w:space="0" w:color="auto"/>
                                                                                    <w:bottom w:val="none" w:sz="0" w:space="0" w:color="auto"/>
                                                                                    <w:right w:val="none" w:sz="0" w:space="0" w:color="auto"/>
                                                                                  </w:divBdr>
                                                                                  <w:divsChild>
                                                                                    <w:div w:id="1772697722">
                                                                                      <w:marLeft w:val="0"/>
                                                                                      <w:marRight w:val="0"/>
                                                                                      <w:marTop w:val="0"/>
                                                                                      <w:marBottom w:val="0"/>
                                                                                      <w:divBdr>
                                                                                        <w:top w:val="none" w:sz="0" w:space="0" w:color="auto"/>
                                                                                        <w:left w:val="none" w:sz="0" w:space="0" w:color="auto"/>
                                                                                        <w:bottom w:val="none" w:sz="0" w:space="0" w:color="auto"/>
                                                                                        <w:right w:val="none" w:sz="0" w:space="0" w:color="auto"/>
                                                                                      </w:divBdr>
                                                                                      <w:divsChild>
                                                                                        <w:div w:id="1582835227">
                                                                                          <w:marLeft w:val="0"/>
                                                                                          <w:marRight w:val="0"/>
                                                                                          <w:marTop w:val="0"/>
                                                                                          <w:marBottom w:val="0"/>
                                                                                          <w:divBdr>
                                                                                            <w:top w:val="none" w:sz="0" w:space="0" w:color="auto"/>
                                                                                            <w:left w:val="none" w:sz="0" w:space="0" w:color="auto"/>
                                                                                            <w:bottom w:val="none" w:sz="0" w:space="0" w:color="auto"/>
                                                                                            <w:right w:val="none" w:sz="0" w:space="0" w:color="auto"/>
                                                                                          </w:divBdr>
                                                                                          <w:divsChild>
                                                                                            <w:div w:id="1983847311">
                                                                                              <w:marLeft w:val="0"/>
                                                                                              <w:marRight w:val="0"/>
                                                                                              <w:marTop w:val="0"/>
                                                                                              <w:marBottom w:val="0"/>
                                                                                              <w:divBdr>
                                                                                                <w:top w:val="none" w:sz="0" w:space="0" w:color="auto"/>
                                                                                                <w:left w:val="none" w:sz="0" w:space="0" w:color="auto"/>
                                                                                                <w:bottom w:val="none" w:sz="0" w:space="0" w:color="auto"/>
                                                                                                <w:right w:val="none" w:sz="0" w:space="0" w:color="auto"/>
                                                                                              </w:divBdr>
                                                                                              <w:divsChild>
                                                                                                <w:div w:id="1609043432">
                                                                                                  <w:marLeft w:val="0"/>
                                                                                                  <w:marRight w:val="0"/>
                                                                                                  <w:marTop w:val="0"/>
                                                                                                  <w:marBottom w:val="0"/>
                                                                                                  <w:divBdr>
                                                                                                    <w:top w:val="none" w:sz="0" w:space="0" w:color="auto"/>
                                                                                                    <w:left w:val="none" w:sz="0" w:space="0" w:color="auto"/>
                                                                                                    <w:bottom w:val="none" w:sz="0" w:space="0" w:color="auto"/>
                                                                                                    <w:right w:val="none" w:sz="0" w:space="0" w:color="auto"/>
                                                                                                  </w:divBdr>
                                                                                                  <w:divsChild>
                                                                                                    <w:div w:id="148519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8835395">
      <w:bodyDiv w:val="1"/>
      <w:marLeft w:val="0"/>
      <w:marRight w:val="0"/>
      <w:marTop w:val="0"/>
      <w:marBottom w:val="0"/>
      <w:divBdr>
        <w:top w:val="none" w:sz="0" w:space="0" w:color="auto"/>
        <w:left w:val="none" w:sz="0" w:space="0" w:color="auto"/>
        <w:bottom w:val="none" w:sz="0" w:space="0" w:color="auto"/>
        <w:right w:val="none" w:sz="0" w:space="0" w:color="auto"/>
      </w:divBdr>
      <w:divsChild>
        <w:div w:id="1298756004">
          <w:marLeft w:val="0"/>
          <w:marRight w:val="0"/>
          <w:marTop w:val="0"/>
          <w:marBottom w:val="0"/>
          <w:divBdr>
            <w:top w:val="none" w:sz="0" w:space="0" w:color="auto"/>
            <w:left w:val="none" w:sz="0" w:space="0" w:color="auto"/>
            <w:bottom w:val="none" w:sz="0" w:space="0" w:color="auto"/>
            <w:right w:val="none" w:sz="0" w:space="0" w:color="auto"/>
          </w:divBdr>
          <w:divsChild>
            <w:div w:id="93137351">
              <w:marLeft w:val="0"/>
              <w:marRight w:val="0"/>
              <w:marTop w:val="0"/>
              <w:marBottom w:val="0"/>
              <w:divBdr>
                <w:top w:val="none" w:sz="0" w:space="0" w:color="auto"/>
                <w:left w:val="none" w:sz="0" w:space="0" w:color="auto"/>
                <w:bottom w:val="none" w:sz="0" w:space="0" w:color="auto"/>
                <w:right w:val="none" w:sz="0" w:space="0" w:color="auto"/>
              </w:divBdr>
              <w:divsChild>
                <w:div w:id="1923222429">
                  <w:marLeft w:val="0"/>
                  <w:marRight w:val="0"/>
                  <w:marTop w:val="0"/>
                  <w:marBottom w:val="0"/>
                  <w:divBdr>
                    <w:top w:val="none" w:sz="0" w:space="0" w:color="auto"/>
                    <w:left w:val="none" w:sz="0" w:space="0" w:color="auto"/>
                    <w:bottom w:val="none" w:sz="0" w:space="0" w:color="auto"/>
                    <w:right w:val="none" w:sz="0" w:space="0" w:color="auto"/>
                  </w:divBdr>
                  <w:divsChild>
                    <w:div w:id="126364021">
                      <w:marLeft w:val="0"/>
                      <w:marRight w:val="0"/>
                      <w:marTop w:val="0"/>
                      <w:marBottom w:val="0"/>
                      <w:divBdr>
                        <w:top w:val="none" w:sz="0" w:space="0" w:color="auto"/>
                        <w:left w:val="none" w:sz="0" w:space="0" w:color="auto"/>
                        <w:bottom w:val="none" w:sz="0" w:space="0" w:color="auto"/>
                        <w:right w:val="none" w:sz="0" w:space="0" w:color="auto"/>
                      </w:divBdr>
                      <w:divsChild>
                        <w:div w:id="1813134590">
                          <w:marLeft w:val="0"/>
                          <w:marRight w:val="0"/>
                          <w:marTop w:val="0"/>
                          <w:marBottom w:val="0"/>
                          <w:divBdr>
                            <w:top w:val="none" w:sz="0" w:space="0" w:color="auto"/>
                            <w:left w:val="none" w:sz="0" w:space="0" w:color="auto"/>
                            <w:bottom w:val="none" w:sz="0" w:space="0" w:color="auto"/>
                            <w:right w:val="none" w:sz="0" w:space="0" w:color="auto"/>
                          </w:divBdr>
                          <w:divsChild>
                            <w:div w:id="221795830">
                              <w:marLeft w:val="0"/>
                              <w:marRight w:val="0"/>
                              <w:marTop w:val="0"/>
                              <w:marBottom w:val="0"/>
                              <w:divBdr>
                                <w:top w:val="none" w:sz="0" w:space="0" w:color="auto"/>
                                <w:left w:val="none" w:sz="0" w:space="0" w:color="auto"/>
                                <w:bottom w:val="none" w:sz="0" w:space="0" w:color="auto"/>
                                <w:right w:val="none" w:sz="0" w:space="0" w:color="auto"/>
                              </w:divBdr>
                              <w:divsChild>
                                <w:div w:id="1425808786">
                                  <w:marLeft w:val="0"/>
                                  <w:marRight w:val="0"/>
                                  <w:marTop w:val="0"/>
                                  <w:marBottom w:val="0"/>
                                  <w:divBdr>
                                    <w:top w:val="none" w:sz="0" w:space="0" w:color="auto"/>
                                    <w:left w:val="none" w:sz="0" w:space="0" w:color="auto"/>
                                    <w:bottom w:val="none" w:sz="0" w:space="0" w:color="auto"/>
                                    <w:right w:val="none" w:sz="0" w:space="0" w:color="auto"/>
                                  </w:divBdr>
                                  <w:divsChild>
                                    <w:div w:id="1977027217">
                                      <w:marLeft w:val="0"/>
                                      <w:marRight w:val="0"/>
                                      <w:marTop w:val="0"/>
                                      <w:marBottom w:val="0"/>
                                      <w:divBdr>
                                        <w:top w:val="none" w:sz="0" w:space="0" w:color="auto"/>
                                        <w:left w:val="none" w:sz="0" w:space="0" w:color="auto"/>
                                        <w:bottom w:val="none" w:sz="0" w:space="0" w:color="auto"/>
                                        <w:right w:val="none" w:sz="0" w:space="0" w:color="auto"/>
                                      </w:divBdr>
                                      <w:divsChild>
                                        <w:div w:id="643655694">
                                          <w:marLeft w:val="0"/>
                                          <w:marRight w:val="0"/>
                                          <w:marTop w:val="0"/>
                                          <w:marBottom w:val="0"/>
                                          <w:divBdr>
                                            <w:top w:val="none" w:sz="0" w:space="0" w:color="auto"/>
                                            <w:left w:val="none" w:sz="0" w:space="0" w:color="auto"/>
                                            <w:bottom w:val="none" w:sz="0" w:space="0" w:color="auto"/>
                                            <w:right w:val="none" w:sz="0" w:space="0" w:color="auto"/>
                                          </w:divBdr>
                                          <w:divsChild>
                                            <w:div w:id="1393233475">
                                              <w:marLeft w:val="0"/>
                                              <w:marRight w:val="0"/>
                                              <w:marTop w:val="0"/>
                                              <w:marBottom w:val="0"/>
                                              <w:divBdr>
                                                <w:top w:val="none" w:sz="0" w:space="0" w:color="auto"/>
                                                <w:left w:val="none" w:sz="0" w:space="0" w:color="auto"/>
                                                <w:bottom w:val="none" w:sz="0" w:space="0" w:color="auto"/>
                                                <w:right w:val="none" w:sz="0" w:space="0" w:color="auto"/>
                                              </w:divBdr>
                                              <w:divsChild>
                                                <w:div w:id="1753089323">
                                                  <w:marLeft w:val="0"/>
                                                  <w:marRight w:val="0"/>
                                                  <w:marTop w:val="0"/>
                                                  <w:marBottom w:val="0"/>
                                                  <w:divBdr>
                                                    <w:top w:val="none" w:sz="0" w:space="0" w:color="auto"/>
                                                    <w:left w:val="none" w:sz="0" w:space="0" w:color="auto"/>
                                                    <w:bottom w:val="none" w:sz="0" w:space="0" w:color="auto"/>
                                                    <w:right w:val="none" w:sz="0" w:space="0" w:color="auto"/>
                                                  </w:divBdr>
                                                  <w:divsChild>
                                                    <w:div w:id="17023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2831482">
      <w:bodyDiv w:val="1"/>
      <w:marLeft w:val="0"/>
      <w:marRight w:val="0"/>
      <w:marTop w:val="0"/>
      <w:marBottom w:val="0"/>
      <w:divBdr>
        <w:top w:val="none" w:sz="0" w:space="0" w:color="auto"/>
        <w:left w:val="none" w:sz="0" w:space="0" w:color="auto"/>
        <w:bottom w:val="none" w:sz="0" w:space="0" w:color="auto"/>
        <w:right w:val="none" w:sz="0" w:space="0" w:color="auto"/>
      </w:divBdr>
      <w:divsChild>
        <w:div w:id="97760842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n.wikipedia.org/wiki/List_of_ICD-9_cod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ns.gov.uk" TargetMode="External"/><Relationship Id="rId12" Type="http://schemas.openxmlformats.org/officeDocument/2006/relationships/hyperlink" Target="http://www.wolfbane.com/icd/icd8.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classifications/icd/en/" TargetMode="External"/><Relationship Id="rId5" Type="http://schemas.openxmlformats.org/officeDocument/2006/relationships/footnotes" Target="footnotes.xml"/><Relationship Id="rId15" Type="http://schemas.openxmlformats.org/officeDocument/2006/relationships/hyperlink" Target="http://www.icmje.org/coi_disclosure.pdf" TargetMode="External"/><Relationship Id="rId10" Type="http://schemas.openxmlformats.org/officeDocument/2006/relationships/hyperlink" Target="http://www.bsg.org.uk/clinical/commissioning-report/management-of-patients-with-chronic-liver-diseases.html" TargetMode="External"/><Relationship Id="rId4" Type="http://schemas.openxmlformats.org/officeDocument/2006/relationships/webSettings" Target="webSettings.xml"/><Relationship Id="rId9" Type="http://schemas.openxmlformats.org/officeDocument/2006/relationships/hyperlink" Target="http://www.parliament.uk/business/publications/research/briefing-papers/SN05021/alcohol-minimum-pricing" TargetMode="External"/><Relationship Id="rId14" Type="http://schemas.openxmlformats.org/officeDocument/2006/relationships/hyperlink" Target="https://assemblyinbrief.wordpress.com/2015/05/11/liver-disease-in-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4931</Words>
  <Characters>28111</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32977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UoN User</dc:creator>
  <cp:lastModifiedBy>Fleming, Kate</cp:lastModifiedBy>
  <cp:revision>2</cp:revision>
  <cp:lastPrinted>2015-05-16T09:43:00Z</cp:lastPrinted>
  <dcterms:created xsi:type="dcterms:W3CDTF">2017-10-10T11:01:00Z</dcterms:created>
  <dcterms:modified xsi:type="dcterms:W3CDTF">2017-10-10T11:01:00Z</dcterms:modified>
</cp:coreProperties>
</file>