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F0" w:rsidRPr="00EA1E04" w:rsidRDefault="00A81CF1" w:rsidP="009742F0">
      <w:pPr>
        <w:jc w:val="both"/>
        <w:rPr>
          <w:b/>
          <w:bCs/>
          <w:sz w:val="24"/>
          <w:szCs w:val="24"/>
        </w:rPr>
      </w:pPr>
      <w:bookmarkStart w:id="0" w:name="_GoBack"/>
      <w:bookmarkEnd w:id="0"/>
      <w:r w:rsidRPr="00EA1E04">
        <w:rPr>
          <w:b/>
          <w:bCs/>
          <w:sz w:val="24"/>
          <w:szCs w:val="24"/>
        </w:rPr>
        <w:t xml:space="preserve">Sex and age </w:t>
      </w:r>
      <w:r w:rsidR="00C21B3D" w:rsidRPr="00EA1E04">
        <w:rPr>
          <w:b/>
          <w:bCs/>
          <w:sz w:val="24"/>
          <w:szCs w:val="24"/>
        </w:rPr>
        <w:t xml:space="preserve">differences </w:t>
      </w:r>
      <w:r w:rsidRPr="00EA1E04">
        <w:rPr>
          <w:b/>
          <w:bCs/>
          <w:sz w:val="24"/>
          <w:szCs w:val="24"/>
        </w:rPr>
        <w:t>in the</w:t>
      </w:r>
      <w:r w:rsidR="009742F0" w:rsidRPr="00EA1E04">
        <w:rPr>
          <w:b/>
          <w:bCs/>
          <w:sz w:val="24"/>
          <w:szCs w:val="24"/>
        </w:rPr>
        <w:t xml:space="preserve"> early identification and </w:t>
      </w:r>
      <w:r w:rsidR="00D17CBA" w:rsidRPr="00EA1E04">
        <w:rPr>
          <w:b/>
          <w:bCs/>
          <w:sz w:val="24"/>
          <w:szCs w:val="24"/>
        </w:rPr>
        <w:t xml:space="preserve">treatment of </w:t>
      </w:r>
      <w:r w:rsidR="009742F0" w:rsidRPr="00EA1E04">
        <w:rPr>
          <w:b/>
          <w:bCs/>
          <w:sz w:val="24"/>
          <w:szCs w:val="24"/>
        </w:rPr>
        <w:t xml:space="preserve">alcohol use: a population based study of patients with alcoholic cirrhosis </w:t>
      </w:r>
    </w:p>
    <w:p w:rsidR="008716AE" w:rsidRPr="00EA1E04" w:rsidRDefault="008716AE" w:rsidP="009742F0">
      <w:pPr>
        <w:jc w:val="both"/>
        <w:rPr>
          <w:sz w:val="24"/>
          <w:szCs w:val="24"/>
        </w:rPr>
      </w:pPr>
    </w:p>
    <w:p w:rsidR="009742F0" w:rsidRPr="00EA1E04" w:rsidRDefault="009742F0" w:rsidP="009742F0">
      <w:pPr>
        <w:jc w:val="both"/>
        <w:rPr>
          <w:sz w:val="24"/>
          <w:szCs w:val="24"/>
        </w:rPr>
      </w:pPr>
      <w:r w:rsidRPr="00EA1E04">
        <w:rPr>
          <w:sz w:val="24"/>
          <w:szCs w:val="24"/>
        </w:rPr>
        <w:t>H</w:t>
      </w:r>
      <w:r w:rsidR="000A26FE" w:rsidRPr="00EA1E04">
        <w:rPr>
          <w:sz w:val="24"/>
          <w:szCs w:val="24"/>
        </w:rPr>
        <w:t>armony E</w:t>
      </w:r>
      <w:r w:rsidRPr="00EA1E04">
        <w:rPr>
          <w:sz w:val="24"/>
          <w:szCs w:val="24"/>
        </w:rPr>
        <w:t xml:space="preserve"> Otete</w:t>
      </w:r>
      <w:r w:rsidR="001D1C7C" w:rsidRPr="00EA1E04">
        <w:rPr>
          <w:sz w:val="24"/>
          <w:szCs w:val="24"/>
        </w:rPr>
        <w:t>, E</w:t>
      </w:r>
      <w:r w:rsidR="000A26FE" w:rsidRPr="00EA1E04">
        <w:rPr>
          <w:sz w:val="24"/>
          <w:szCs w:val="24"/>
        </w:rPr>
        <w:t>lizabeth</w:t>
      </w:r>
      <w:r w:rsidRPr="00EA1E04">
        <w:rPr>
          <w:sz w:val="24"/>
          <w:szCs w:val="24"/>
        </w:rPr>
        <w:t xml:space="preserve"> Orton</w:t>
      </w:r>
      <w:r w:rsidR="001D1C7C" w:rsidRPr="00EA1E04">
        <w:rPr>
          <w:sz w:val="24"/>
          <w:szCs w:val="24"/>
        </w:rPr>
        <w:t>, J</w:t>
      </w:r>
      <w:r w:rsidR="000A26FE" w:rsidRPr="00EA1E04">
        <w:rPr>
          <w:sz w:val="24"/>
          <w:szCs w:val="24"/>
        </w:rPr>
        <w:t>oe</w:t>
      </w:r>
      <w:r w:rsidR="001D1C7C" w:rsidRPr="00EA1E04">
        <w:rPr>
          <w:sz w:val="24"/>
          <w:szCs w:val="24"/>
        </w:rPr>
        <w:t xml:space="preserve"> </w:t>
      </w:r>
      <w:r w:rsidRPr="00EA1E04">
        <w:rPr>
          <w:sz w:val="24"/>
          <w:szCs w:val="24"/>
        </w:rPr>
        <w:t>West</w:t>
      </w:r>
      <w:r w:rsidR="001D1C7C" w:rsidRPr="00EA1E04">
        <w:rPr>
          <w:sz w:val="24"/>
          <w:szCs w:val="24"/>
        </w:rPr>
        <w:t>, K</w:t>
      </w:r>
      <w:r w:rsidR="000A26FE" w:rsidRPr="00EA1E04">
        <w:rPr>
          <w:sz w:val="24"/>
          <w:szCs w:val="24"/>
        </w:rPr>
        <w:t>ate</w:t>
      </w:r>
      <w:r w:rsidRPr="00EA1E04">
        <w:rPr>
          <w:sz w:val="24"/>
          <w:szCs w:val="24"/>
        </w:rPr>
        <w:t xml:space="preserve"> </w:t>
      </w:r>
      <w:r w:rsidR="001D1C7C" w:rsidRPr="00EA1E04">
        <w:rPr>
          <w:sz w:val="24"/>
          <w:szCs w:val="24"/>
        </w:rPr>
        <w:t xml:space="preserve">M </w:t>
      </w:r>
      <w:r w:rsidRPr="00EA1E04">
        <w:rPr>
          <w:sz w:val="24"/>
          <w:szCs w:val="24"/>
        </w:rPr>
        <w:t>Fleming</w:t>
      </w:r>
    </w:p>
    <w:p w:rsidR="008716AE" w:rsidRPr="00EA1E04" w:rsidRDefault="008716AE" w:rsidP="009742F0">
      <w:pPr>
        <w:jc w:val="both"/>
        <w:rPr>
          <w:b/>
          <w:sz w:val="24"/>
          <w:szCs w:val="24"/>
          <w:vertAlign w:val="superscript"/>
        </w:rPr>
      </w:pPr>
    </w:p>
    <w:p w:rsidR="00353609" w:rsidRPr="00EA1E04" w:rsidRDefault="004F38E2" w:rsidP="009742F0">
      <w:pPr>
        <w:jc w:val="both"/>
        <w:rPr>
          <w:sz w:val="24"/>
          <w:szCs w:val="24"/>
          <w:vertAlign w:val="superscript"/>
        </w:rPr>
      </w:pPr>
      <w:r w:rsidRPr="00EA1E04">
        <w:rPr>
          <w:sz w:val="24"/>
          <w:szCs w:val="24"/>
        </w:rPr>
        <w:t>Harmony E Otete Doctoral student</w:t>
      </w:r>
      <w:r w:rsidR="00353609" w:rsidRPr="00EA1E04">
        <w:rPr>
          <w:sz w:val="24"/>
          <w:szCs w:val="24"/>
          <w:vertAlign w:val="superscript"/>
        </w:rPr>
        <w:t>1</w:t>
      </w:r>
      <w:r w:rsidR="00847BA7" w:rsidRPr="00EA1E04">
        <w:rPr>
          <w:sz w:val="24"/>
          <w:szCs w:val="24"/>
          <w:vertAlign w:val="superscript"/>
        </w:rPr>
        <w:t>,</w:t>
      </w:r>
      <w:r w:rsidR="00353609" w:rsidRPr="00EA1E04">
        <w:rPr>
          <w:sz w:val="24"/>
          <w:szCs w:val="24"/>
          <w:vertAlign w:val="superscript"/>
        </w:rPr>
        <w:t>2</w:t>
      </w:r>
      <w:r w:rsidR="000A26FE" w:rsidRPr="00EA1E04">
        <w:rPr>
          <w:sz w:val="24"/>
          <w:szCs w:val="24"/>
        </w:rPr>
        <w:t xml:space="preserve"> </w:t>
      </w:r>
      <w:r w:rsidR="00353609" w:rsidRPr="00EA1E04">
        <w:rPr>
          <w:sz w:val="24"/>
          <w:szCs w:val="24"/>
        </w:rPr>
        <w:t xml:space="preserve">, </w:t>
      </w:r>
      <w:r w:rsidR="008716AE" w:rsidRPr="00EA1E04">
        <w:rPr>
          <w:sz w:val="24"/>
          <w:szCs w:val="24"/>
        </w:rPr>
        <w:t xml:space="preserve">Elizabeth Orton </w:t>
      </w:r>
      <w:r w:rsidR="00921D40" w:rsidRPr="00EA1E04">
        <w:rPr>
          <w:sz w:val="24"/>
          <w:szCs w:val="24"/>
        </w:rPr>
        <w:t xml:space="preserve">Associate Professor </w:t>
      </w:r>
      <w:r w:rsidR="00353609" w:rsidRPr="00EA1E04">
        <w:rPr>
          <w:sz w:val="24"/>
          <w:szCs w:val="24"/>
        </w:rPr>
        <w:t xml:space="preserve">and </w:t>
      </w:r>
      <w:r w:rsidR="00DB7188" w:rsidRPr="00EA1E04">
        <w:rPr>
          <w:sz w:val="24"/>
          <w:szCs w:val="24"/>
        </w:rPr>
        <w:t>C</w:t>
      </w:r>
      <w:r w:rsidR="00353609" w:rsidRPr="00EA1E04">
        <w:rPr>
          <w:sz w:val="24"/>
          <w:szCs w:val="24"/>
        </w:rPr>
        <w:t xml:space="preserve">onsultant in Public </w:t>
      </w:r>
      <w:r w:rsidR="00537B8F" w:rsidRPr="00EA1E04">
        <w:rPr>
          <w:sz w:val="24"/>
          <w:szCs w:val="24"/>
        </w:rPr>
        <w:t>H</w:t>
      </w:r>
      <w:r w:rsidR="00353609" w:rsidRPr="00EA1E04">
        <w:rPr>
          <w:sz w:val="24"/>
          <w:szCs w:val="24"/>
        </w:rPr>
        <w:t>ealth</w:t>
      </w:r>
      <w:r w:rsidR="00353609" w:rsidRPr="00EA1E04">
        <w:rPr>
          <w:sz w:val="24"/>
          <w:szCs w:val="24"/>
          <w:vertAlign w:val="superscript"/>
        </w:rPr>
        <w:t>3</w:t>
      </w:r>
      <w:r w:rsidR="00353609" w:rsidRPr="00EA1E04">
        <w:rPr>
          <w:sz w:val="24"/>
          <w:szCs w:val="24"/>
        </w:rPr>
        <w:t>,</w:t>
      </w:r>
      <w:r w:rsidR="008716AE" w:rsidRPr="00EA1E04">
        <w:rPr>
          <w:sz w:val="24"/>
          <w:szCs w:val="24"/>
        </w:rPr>
        <w:t xml:space="preserve"> Joe West </w:t>
      </w:r>
      <w:r w:rsidR="00353609" w:rsidRPr="00EA1E04">
        <w:rPr>
          <w:sz w:val="24"/>
          <w:szCs w:val="24"/>
        </w:rPr>
        <w:t>Clinical Associate P</w:t>
      </w:r>
      <w:r w:rsidR="008716AE" w:rsidRPr="00EA1E04">
        <w:rPr>
          <w:sz w:val="24"/>
          <w:szCs w:val="24"/>
        </w:rPr>
        <w:t xml:space="preserve">rofessor </w:t>
      </w:r>
      <w:r w:rsidR="00353609" w:rsidRPr="00EA1E04">
        <w:rPr>
          <w:sz w:val="24"/>
          <w:szCs w:val="24"/>
        </w:rPr>
        <w:t>and Reader in Epidemiology</w:t>
      </w:r>
      <w:r w:rsidR="00C817A3" w:rsidRPr="00EA1E04">
        <w:rPr>
          <w:sz w:val="24"/>
          <w:szCs w:val="24"/>
          <w:vertAlign w:val="superscript"/>
        </w:rPr>
        <w:t>1</w:t>
      </w:r>
      <w:r w:rsidR="00353609" w:rsidRPr="00EA1E04">
        <w:rPr>
          <w:sz w:val="24"/>
          <w:szCs w:val="24"/>
        </w:rPr>
        <w:t xml:space="preserve">, </w:t>
      </w:r>
      <w:r w:rsidR="008716AE" w:rsidRPr="00EA1E04">
        <w:rPr>
          <w:sz w:val="24"/>
          <w:szCs w:val="24"/>
        </w:rPr>
        <w:t xml:space="preserve">Kate M Fleming </w:t>
      </w:r>
      <w:r w:rsidR="00921D40" w:rsidRPr="00EA1E04">
        <w:rPr>
          <w:sz w:val="24"/>
          <w:szCs w:val="24"/>
        </w:rPr>
        <w:t xml:space="preserve">Assistant Professor </w:t>
      </w:r>
      <w:r w:rsidR="00353609" w:rsidRPr="00EA1E04">
        <w:rPr>
          <w:sz w:val="24"/>
          <w:szCs w:val="24"/>
        </w:rPr>
        <w:t>in Gastrointestinal Epidemiology</w:t>
      </w:r>
      <w:r w:rsidR="00921D40" w:rsidRPr="00EA1E04">
        <w:rPr>
          <w:sz w:val="24"/>
          <w:szCs w:val="24"/>
        </w:rPr>
        <w:t xml:space="preserve"> and Database Epidemiology</w:t>
      </w:r>
      <w:r w:rsidR="00353609" w:rsidRPr="00EA1E04">
        <w:rPr>
          <w:sz w:val="24"/>
          <w:szCs w:val="24"/>
        </w:rPr>
        <w:t xml:space="preserve"> </w:t>
      </w:r>
      <w:r w:rsidR="00353609" w:rsidRPr="00EA1E04">
        <w:rPr>
          <w:sz w:val="24"/>
          <w:szCs w:val="24"/>
          <w:vertAlign w:val="superscript"/>
        </w:rPr>
        <w:t>1</w:t>
      </w:r>
      <w:r w:rsidR="00847BA7" w:rsidRPr="00EA1E04">
        <w:rPr>
          <w:sz w:val="24"/>
          <w:szCs w:val="24"/>
          <w:vertAlign w:val="superscript"/>
        </w:rPr>
        <w:t>,</w:t>
      </w:r>
      <w:r w:rsidR="00353609" w:rsidRPr="00EA1E04">
        <w:rPr>
          <w:sz w:val="24"/>
          <w:szCs w:val="24"/>
          <w:vertAlign w:val="superscript"/>
        </w:rPr>
        <w:t xml:space="preserve">2 </w:t>
      </w:r>
    </w:p>
    <w:p w:rsidR="00AC2E35" w:rsidRPr="00EA1E04" w:rsidRDefault="00AC2E35" w:rsidP="009742F0">
      <w:pPr>
        <w:jc w:val="both"/>
        <w:rPr>
          <w:sz w:val="24"/>
          <w:szCs w:val="24"/>
        </w:rPr>
      </w:pPr>
    </w:p>
    <w:p w:rsidR="00353609" w:rsidRPr="00EA1E04" w:rsidRDefault="00353609" w:rsidP="009742F0">
      <w:pPr>
        <w:jc w:val="both"/>
        <w:rPr>
          <w:i/>
          <w:sz w:val="24"/>
          <w:szCs w:val="24"/>
        </w:rPr>
      </w:pPr>
      <w:r w:rsidRPr="00EA1E04">
        <w:rPr>
          <w:i/>
          <w:sz w:val="24"/>
          <w:szCs w:val="24"/>
          <w:vertAlign w:val="superscript"/>
        </w:rPr>
        <w:t>1</w:t>
      </w:r>
      <w:r w:rsidRPr="00EA1E04">
        <w:rPr>
          <w:i/>
          <w:sz w:val="24"/>
          <w:szCs w:val="24"/>
        </w:rPr>
        <w:t>Division of Epidemiology and Pub</w:t>
      </w:r>
      <w:r w:rsidR="00AC0FA8" w:rsidRPr="00EA1E04">
        <w:rPr>
          <w:i/>
          <w:sz w:val="24"/>
          <w:szCs w:val="24"/>
        </w:rPr>
        <w:t xml:space="preserve">lic </w:t>
      </w:r>
      <w:r w:rsidR="00C817A3" w:rsidRPr="00EA1E04">
        <w:rPr>
          <w:i/>
          <w:sz w:val="24"/>
          <w:szCs w:val="24"/>
        </w:rPr>
        <w:t>H</w:t>
      </w:r>
      <w:r w:rsidR="00AC0FA8" w:rsidRPr="00EA1E04">
        <w:rPr>
          <w:i/>
          <w:sz w:val="24"/>
          <w:szCs w:val="24"/>
        </w:rPr>
        <w:t>ealth, School of Medicine</w:t>
      </w:r>
      <w:r w:rsidRPr="00EA1E04">
        <w:rPr>
          <w:i/>
          <w:sz w:val="24"/>
          <w:szCs w:val="24"/>
        </w:rPr>
        <w:t>, University of Nottingham UK</w:t>
      </w:r>
    </w:p>
    <w:p w:rsidR="00353609" w:rsidRPr="00EA1E04" w:rsidRDefault="00353609" w:rsidP="009742F0">
      <w:pPr>
        <w:jc w:val="both"/>
        <w:rPr>
          <w:i/>
          <w:sz w:val="24"/>
          <w:szCs w:val="24"/>
        </w:rPr>
      </w:pPr>
      <w:r w:rsidRPr="00EA1E04">
        <w:rPr>
          <w:i/>
          <w:sz w:val="24"/>
          <w:szCs w:val="24"/>
          <w:vertAlign w:val="superscript"/>
        </w:rPr>
        <w:t xml:space="preserve">2 </w:t>
      </w:r>
      <w:r w:rsidRPr="00EA1E04">
        <w:rPr>
          <w:i/>
          <w:sz w:val="24"/>
          <w:szCs w:val="24"/>
        </w:rPr>
        <w:t>UK Centre for Tobacco and Alcohol Control Studies(UKCTAS), University of Nottingham, Nottingham, UK</w:t>
      </w:r>
    </w:p>
    <w:p w:rsidR="00353609" w:rsidRPr="00EA1E04" w:rsidRDefault="00353609" w:rsidP="009742F0">
      <w:pPr>
        <w:jc w:val="both"/>
        <w:rPr>
          <w:i/>
          <w:sz w:val="24"/>
          <w:szCs w:val="24"/>
        </w:rPr>
      </w:pPr>
      <w:r w:rsidRPr="00EA1E04">
        <w:rPr>
          <w:i/>
          <w:sz w:val="24"/>
          <w:szCs w:val="24"/>
          <w:vertAlign w:val="superscript"/>
        </w:rPr>
        <w:t xml:space="preserve">3 </w:t>
      </w:r>
      <w:r w:rsidRPr="00EA1E04">
        <w:rPr>
          <w:i/>
          <w:sz w:val="24"/>
          <w:szCs w:val="24"/>
        </w:rPr>
        <w:t>Division of Primary Care, School of Medicine, University of Nottingham, UK</w:t>
      </w:r>
    </w:p>
    <w:p w:rsidR="00353609" w:rsidRPr="00EA1E04" w:rsidRDefault="00353609" w:rsidP="009742F0">
      <w:pPr>
        <w:jc w:val="both"/>
        <w:rPr>
          <w:sz w:val="24"/>
          <w:szCs w:val="24"/>
        </w:rPr>
      </w:pPr>
      <w:r w:rsidRPr="00EA1E04">
        <w:rPr>
          <w:sz w:val="24"/>
          <w:szCs w:val="24"/>
        </w:rPr>
        <w:t xml:space="preserve"> </w:t>
      </w:r>
    </w:p>
    <w:p w:rsidR="000A26FE" w:rsidRPr="00EA1E04" w:rsidRDefault="000A26FE">
      <w:pPr>
        <w:rPr>
          <w:sz w:val="24"/>
          <w:szCs w:val="24"/>
        </w:rPr>
      </w:pPr>
      <w:r w:rsidRPr="00EA1E04">
        <w:rPr>
          <w:sz w:val="24"/>
          <w:szCs w:val="24"/>
        </w:rPr>
        <w:t>Correspond</w:t>
      </w:r>
      <w:r w:rsidR="000B244E" w:rsidRPr="00EA1E04">
        <w:rPr>
          <w:sz w:val="24"/>
          <w:szCs w:val="24"/>
        </w:rPr>
        <w:t>ence to</w:t>
      </w:r>
      <w:r w:rsidRPr="00EA1E04">
        <w:rPr>
          <w:sz w:val="24"/>
          <w:szCs w:val="24"/>
        </w:rPr>
        <w:t xml:space="preserve">: Harmony </w:t>
      </w:r>
      <w:r w:rsidR="001A56EF" w:rsidRPr="00EA1E04">
        <w:rPr>
          <w:sz w:val="24"/>
          <w:szCs w:val="24"/>
        </w:rPr>
        <w:t>E Otete,</w:t>
      </w:r>
      <w:r w:rsidRPr="00EA1E04">
        <w:rPr>
          <w:b/>
          <w:sz w:val="24"/>
          <w:szCs w:val="24"/>
        </w:rPr>
        <w:t xml:space="preserve"> </w:t>
      </w:r>
      <w:r w:rsidRPr="00EA1E04">
        <w:rPr>
          <w:sz w:val="24"/>
          <w:szCs w:val="24"/>
        </w:rPr>
        <w:t xml:space="preserve">Email: </w:t>
      </w:r>
      <w:hyperlink r:id="rId8" w:history="1">
        <w:r w:rsidRPr="00EA1E04">
          <w:rPr>
            <w:rStyle w:val="Hyperlink"/>
            <w:color w:val="auto"/>
            <w:sz w:val="24"/>
            <w:szCs w:val="24"/>
          </w:rPr>
          <w:t>mcxehot@nottingham.ac.uk</w:t>
        </w:r>
      </w:hyperlink>
    </w:p>
    <w:p w:rsidR="000A26FE" w:rsidRPr="00EA1E04" w:rsidRDefault="000A26FE">
      <w:pPr>
        <w:rPr>
          <w:sz w:val="24"/>
          <w:szCs w:val="24"/>
        </w:rPr>
      </w:pPr>
    </w:p>
    <w:p w:rsidR="006F156D" w:rsidRPr="00EA1E04" w:rsidRDefault="0017476B" w:rsidP="008A6BCB">
      <w:pPr>
        <w:rPr>
          <w:sz w:val="24"/>
          <w:szCs w:val="24"/>
        </w:rPr>
      </w:pPr>
      <w:r w:rsidRPr="00EA1E04">
        <w:rPr>
          <w:sz w:val="24"/>
          <w:szCs w:val="24"/>
        </w:rPr>
        <w:t>Declaration of interest: None</w:t>
      </w:r>
    </w:p>
    <w:p w:rsidR="006F156D" w:rsidRPr="00EA1E04" w:rsidRDefault="006F156D">
      <w:pPr>
        <w:rPr>
          <w:sz w:val="24"/>
          <w:szCs w:val="24"/>
        </w:rPr>
      </w:pPr>
      <w:r w:rsidRPr="00EA1E04">
        <w:rPr>
          <w:sz w:val="24"/>
          <w:szCs w:val="24"/>
        </w:rPr>
        <w:br w:type="page"/>
      </w:r>
    </w:p>
    <w:p w:rsidR="009742F0" w:rsidRPr="00EA1E04" w:rsidRDefault="003110D5" w:rsidP="008A6BCB">
      <w:pPr>
        <w:rPr>
          <w:sz w:val="24"/>
          <w:szCs w:val="24"/>
        </w:rPr>
      </w:pPr>
      <w:r w:rsidRPr="00EA1E04">
        <w:rPr>
          <w:b/>
          <w:sz w:val="24"/>
          <w:szCs w:val="24"/>
        </w:rPr>
        <w:lastRenderedPageBreak/>
        <w:t>ABSTRACT</w:t>
      </w:r>
    </w:p>
    <w:p w:rsidR="00AB4B90" w:rsidRPr="00EA1E04" w:rsidRDefault="009E40D1" w:rsidP="000A3E8D">
      <w:pPr>
        <w:spacing w:line="360" w:lineRule="auto"/>
        <w:jc w:val="both"/>
        <w:rPr>
          <w:sz w:val="24"/>
          <w:szCs w:val="24"/>
        </w:rPr>
      </w:pPr>
      <w:r w:rsidRPr="00EA1E04">
        <w:rPr>
          <w:sz w:val="24"/>
          <w:szCs w:val="24"/>
        </w:rPr>
        <w:t>Aim: T</w:t>
      </w:r>
      <w:r w:rsidR="00CA427A" w:rsidRPr="00EA1E04">
        <w:rPr>
          <w:sz w:val="24"/>
          <w:szCs w:val="24"/>
        </w:rPr>
        <w:t xml:space="preserve">o </w:t>
      </w:r>
      <w:r w:rsidR="00C21B3D" w:rsidRPr="00EA1E04">
        <w:rPr>
          <w:sz w:val="24"/>
          <w:szCs w:val="24"/>
        </w:rPr>
        <w:t>estimate</w:t>
      </w:r>
      <w:r w:rsidR="00CA427A" w:rsidRPr="00EA1E04">
        <w:rPr>
          <w:sz w:val="24"/>
          <w:szCs w:val="24"/>
        </w:rPr>
        <w:t xml:space="preserve"> </w:t>
      </w:r>
      <w:r w:rsidR="00C21B3D" w:rsidRPr="00EA1E04">
        <w:rPr>
          <w:sz w:val="24"/>
          <w:szCs w:val="24"/>
        </w:rPr>
        <w:t xml:space="preserve">sex differences in </w:t>
      </w:r>
      <w:r w:rsidR="00CA427A" w:rsidRPr="00EA1E04">
        <w:rPr>
          <w:sz w:val="24"/>
          <w:szCs w:val="24"/>
        </w:rPr>
        <w:t xml:space="preserve">healthcare utilisation </w:t>
      </w:r>
      <w:r w:rsidR="00211A8F" w:rsidRPr="00EA1E04">
        <w:rPr>
          <w:sz w:val="24"/>
          <w:szCs w:val="24"/>
        </w:rPr>
        <w:t xml:space="preserve">among harmful/hazardous drinkers </w:t>
      </w:r>
      <w:r w:rsidR="00404E86" w:rsidRPr="00EA1E04">
        <w:rPr>
          <w:sz w:val="24"/>
          <w:szCs w:val="24"/>
        </w:rPr>
        <w:t>in the period before</w:t>
      </w:r>
      <w:r w:rsidR="0049125E" w:rsidRPr="00EA1E04">
        <w:rPr>
          <w:sz w:val="24"/>
          <w:szCs w:val="24"/>
        </w:rPr>
        <w:t xml:space="preserve"> </w:t>
      </w:r>
      <w:r w:rsidR="00211A8F" w:rsidRPr="00EA1E04">
        <w:rPr>
          <w:sz w:val="24"/>
          <w:szCs w:val="24"/>
        </w:rPr>
        <w:t>alcoholic cirrhosis</w:t>
      </w:r>
      <w:r w:rsidR="00404E86" w:rsidRPr="00EA1E04">
        <w:rPr>
          <w:sz w:val="24"/>
          <w:szCs w:val="24"/>
        </w:rPr>
        <w:t xml:space="preserve"> diagnosis</w:t>
      </w:r>
      <w:r w:rsidR="00C21B3D" w:rsidRPr="00EA1E04">
        <w:rPr>
          <w:sz w:val="24"/>
          <w:szCs w:val="24"/>
        </w:rPr>
        <w:t>, and estimat</w:t>
      </w:r>
      <w:r w:rsidR="00526C16" w:rsidRPr="00EA1E04">
        <w:rPr>
          <w:sz w:val="24"/>
          <w:szCs w:val="24"/>
        </w:rPr>
        <w:t xml:space="preserve">e </w:t>
      </w:r>
      <w:r w:rsidR="00BB79AB" w:rsidRPr="00EA1E04">
        <w:rPr>
          <w:sz w:val="24"/>
          <w:szCs w:val="24"/>
        </w:rPr>
        <w:t xml:space="preserve">sex differences in </w:t>
      </w:r>
      <w:r w:rsidR="00526C16" w:rsidRPr="00EA1E04">
        <w:rPr>
          <w:sz w:val="24"/>
          <w:szCs w:val="24"/>
        </w:rPr>
        <w:t>the extent to which</w:t>
      </w:r>
      <w:r w:rsidR="00C21B3D" w:rsidRPr="00EA1E04">
        <w:rPr>
          <w:sz w:val="24"/>
          <w:szCs w:val="24"/>
        </w:rPr>
        <w:t xml:space="preserve"> alcohol use</w:t>
      </w:r>
      <w:r w:rsidR="00526C16" w:rsidRPr="00EA1E04">
        <w:rPr>
          <w:sz w:val="24"/>
          <w:szCs w:val="24"/>
        </w:rPr>
        <w:t xml:space="preserve"> </w:t>
      </w:r>
      <w:r w:rsidR="00C21B3D" w:rsidRPr="00EA1E04">
        <w:rPr>
          <w:sz w:val="24"/>
          <w:szCs w:val="24"/>
        </w:rPr>
        <w:t xml:space="preserve">and </w:t>
      </w:r>
      <w:r w:rsidR="00526C16" w:rsidRPr="00EA1E04">
        <w:rPr>
          <w:sz w:val="24"/>
          <w:szCs w:val="24"/>
        </w:rPr>
        <w:t>brief</w:t>
      </w:r>
      <w:r w:rsidR="00D17CBA" w:rsidRPr="00EA1E04">
        <w:rPr>
          <w:sz w:val="24"/>
          <w:szCs w:val="24"/>
        </w:rPr>
        <w:t xml:space="preserve"> alcohol</w:t>
      </w:r>
      <w:r w:rsidR="00526C16" w:rsidRPr="00EA1E04">
        <w:rPr>
          <w:sz w:val="24"/>
          <w:szCs w:val="24"/>
        </w:rPr>
        <w:t xml:space="preserve"> interventions were d</w:t>
      </w:r>
      <w:r w:rsidR="00291900" w:rsidRPr="00EA1E04">
        <w:rPr>
          <w:sz w:val="24"/>
          <w:szCs w:val="24"/>
        </w:rPr>
        <w:t xml:space="preserve">ocumented </w:t>
      </w:r>
      <w:r w:rsidR="00526C16" w:rsidRPr="00EA1E04">
        <w:rPr>
          <w:sz w:val="24"/>
          <w:szCs w:val="24"/>
        </w:rPr>
        <w:t xml:space="preserve">for </w:t>
      </w:r>
      <w:r w:rsidR="008B3B62" w:rsidRPr="00EA1E04">
        <w:rPr>
          <w:sz w:val="24"/>
          <w:szCs w:val="24"/>
        </w:rPr>
        <w:t>these</w:t>
      </w:r>
      <w:r w:rsidR="00C21B3D" w:rsidRPr="00EA1E04">
        <w:rPr>
          <w:sz w:val="24"/>
          <w:szCs w:val="24"/>
        </w:rPr>
        <w:t xml:space="preserve"> </w:t>
      </w:r>
      <w:r w:rsidR="00097F84" w:rsidRPr="00EA1E04">
        <w:rPr>
          <w:sz w:val="24"/>
          <w:szCs w:val="24"/>
        </w:rPr>
        <w:t>individuals</w:t>
      </w:r>
      <w:r w:rsidR="002F6E9E" w:rsidRPr="00EA1E04">
        <w:rPr>
          <w:sz w:val="24"/>
          <w:szCs w:val="24"/>
        </w:rPr>
        <w:t xml:space="preserve"> compared </w:t>
      </w:r>
      <w:r w:rsidR="00EA1E04" w:rsidRPr="00EA1E04">
        <w:rPr>
          <w:sz w:val="24"/>
          <w:szCs w:val="24"/>
        </w:rPr>
        <w:t>with</w:t>
      </w:r>
      <w:r w:rsidR="002F6E9E" w:rsidRPr="00EA1E04">
        <w:rPr>
          <w:sz w:val="24"/>
          <w:szCs w:val="24"/>
        </w:rPr>
        <w:t xml:space="preserve"> a control cohort</w:t>
      </w:r>
      <w:r w:rsidR="00C21B3D" w:rsidRPr="00EA1E04">
        <w:rPr>
          <w:sz w:val="24"/>
          <w:szCs w:val="24"/>
        </w:rPr>
        <w:t>.</w:t>
      </w:r>
      <w:r w:rsidR="00CA427A" w:rsidRPr="00EA1E04">
        <w:rPr>
          <w:sz w:val="24"/>
          <w:szCs w:val="24"/>
        </w:rPr>
        <w:t xml:space="preserve"> </w:t>
      </w:r>
    </w:p>
    <w:p w:rsidR="008A0D67" w:rsidRPr="00EA1E04" w:rsidRDefault="008A0D67" w:rsidP="008A0D67">
      <w:pPr>
        <w:spacing w:line="360" w:lineRule="auto"/>
        <w:jc w:val="both"/>
        <w:rPr>
          <w:sz w:val="24"/>
          <w:szCs w:val="24"/>
        </w:rPr>
      </w:pPr>
      <w:r w:rsidRPr="00EA1E04">
        <w:rPr>
          <w:sz w:val="24"/>
          <w:szCs w:val="24"/>
        </w:rPr>
        <w:t>Desig</w:t>
      </w:r>
      <w:r w:rsidR="00EC1196" w:rsidRPr="00EA1E04">
        <w:rPr>
          <w:sz w:val="24"/>
          <w:szCs w:val="24"/>
        </w:rPr>
        <w:t>n</w:t>
      </w:r>
      <w:r w:rsidRPr="00EA1E04">
        <w:rPr>
          <w:sz w:val="24"/>
          <w:szCs w:val="24"/>
        </w:rPr>
        <w:t xml:space="preserve">: Retrospective </w:t>
      </w:r>
      <w:r w:rsidR="00EC1196" w:rsidRPr="00EA1E04">
        <w:rPr>
          <w:sz w:val="24"/>
          <w:szCs w:val="24"/>
        </w:rPr>
        <w:t xml:space="preserve">study using </w:t>
      </w:r>
      <w:r w:rsidR="00525544" w:rsidRPr="00EA1E04">
        <w:rPr>
          <w:sz w:val="24"/>
          <w:szCs w:val="24"/>
        </w:rPr>
        <w:t>linked UK general practice and hospital admissions data</w:t>
      </w:r>
      <w:r w:rsidR="00EA1E04" w:rsidRPr="00EA1E04">
        <w:rPr>
          <w:sz w:val="24"/>
          <w:szCs w:val="24"/>
        </w:rPr>
        <w:t xml:space="preserve"> in England</w:t>
      </w:r>
      <w:r w:rsidR="00525544" w:rsidRPr="00EA1E04">
        <w:rPr>
          <w:sz w:val="24"/>
          <w:szCs w:val="24"/>
        </w:rPr>
        <w:t xml:space="preserve">. </w:t>
      </w:r>
    </w:p>
    <w:p w:rsidR="008A0D67" w:rsidRPr="00EA1E04" w:rsidRDefault="008A0D67" w:rsidP="008A0D67">
      <w:pPr>
        <w:spacing w:line="360" w:lineRule="auto"/>
        <w:jc w:val="both"/>
        <w:rPr>
          <w:sz w:val="24"/>
          <w:szCs w:val="24"/>
        </w:rPr>
      </w:pPr>
      <w:r w:rsidRPr="00EA1E04">
        <w:rPr>
          <w:sz w:val="24"/>
          <w:szCs w:val="24"/>
        </w:rPr>
        <w:t xml:space="preserve">Setting: </w:t>
      </w:r>
      <w:r w:rsidR="00EA1E04" w:rsidRPr="00EA1E04">
        <w:rPr>
          <w:sz w:val="24"/>
          <w:szCs w:val="24"/>
        </w:rPr>
        <w:t>Three hundred and fifty-seven general</w:t>
      </w:r>
      <w:r w:rsidR="00525544" w:rsidRPr="00EA1E04">
        <w:rPr>
          <w:sz w:val="24"/>
          <w:szCs w:val="24"/>
        </w:rPr>
        <w:t xml:space="preserve"> </w:t>
      </w:r>
      <w:r w:rsidR="00074CC7" w:rsidRPr="00EA1E04">
        <w:rPr>
          <w:sz w:val="24"/>
          <w:szCs w:val="24"/>
        </w:rPr>
        <w:t>practitioner (</w:t>
      </w:r>
      <w:r w:rsidR="00525544" w:rsidRPr="00EA1E04">
        <w:rPr>
          <w:sz w:val="24"/>
          <w:szCs w:val="24"/>
        </w:rPr>
        <w:t>GP)</w:t>
      </w:r>
      <w:r w:rsidR="008A4BD6" w:rsidRPr="00EA1E04">
        <w:rPr>
          <w:sz w:val="24"/>
          <w:szCs w:val="24"/>
        </w:rPr>
        <w:t xml:space="preserve"> practices</w:t>
      </w:r>
      <w:r w:rsidR="00525544" w:rsidRPr="00EA1E04">
        <w:rPr>
          <w:sz w:val="24"/>
          <w:szCs w:val="24"/>
        </w:rPr>
        <w:t xml:space="preserve"> </w:t>
      </w:r>
      <w:r w:rsidR="008A4BD6" w:rsidRPr="00EA1E04">
        <w:rPr>
          <w:sz w:val="24"/>
          <w:szCs w:val="24"/>
        </w:rPr>
        <w:t>in</w:t>
      </w:r>
      <w:r w:rsidRPr="00EA1E04">
        <w:rPr>
          <w:sz w:val="24"/>
          <w:szCs w:val="24"/>
        </w:rPr>
        <w:t xml:space="preserve"> </w:t>
      </w:r>
      <w:r w:rsidR="00097F84" w:rsidRPr="00EA1E04">
        <w:rPr>
          <w:sz w:val="24"/>
          <w:szCs w:val="24"/>
        </w:rPr>
        <w:t>England.</w:t>
      </w:r>
    </w:p>
    <w:p w:rsidR="00300475" w:rsidRPr="00EA1E04" w:rsidRDefault="00525544" w:rsidP="008A0D67">
      <w:pPr>
        <w:spacing w:line="360" w:lineRule="auto"/>
        <w:jc w:val="both"/>
        <w:rPr>
          <w:sz w:val="24"/>
          <w:szCs w:val="24"/>
        </w:rPr>
      </w:pPr>
      <w:r w:rsidRPr="00EA1E04">
        <w:rPr>
          <w:sz w:val="24"/>
          <w:szCs w:val="24"/>
        </w:rPr>
        <w:t>Participants:</w:t>
      </w:r>
      <w:r w:rsidR="008A0D67" w:rsidRPr="00EA1E04">
        <w:rPr>
          <w:sz w:val="24"/>
          <w:szCs w:val="24"/>
        </w:rPr>
        <w:t xml:space="preserve"> </w:t>
      </w:r>
      <w:r w:rsidR="00EA1E04" w:rsidRPr="00EA1E04">
        <w:rPr>
          <w:sz w:val="24"/>
          <w:szCs w:val="24"/>
        </w:rPr>
        <w:t xml:space="preserve">A total of </w:t>
      </w:r>
      <w:r w:rsidR="008A0D67" w:rsidRPr="00EA1E04">
        <w:rPr>
          <w:sz w:val="24"/>
          <w:szCs w:val="24"/>
        </w:rPr>
        <w:t xml:space="preserve">2,479 </w:t>
      </w:r>
      <w:r w:rsidR="00C21B3D" w:rsidRPr="00EA1E04">
        <w:rPr>
          <w:sz w:val="24"/>
          <w:szCs w:val="24"/>
        </w:rPr>
        <w:t>individuals</w:t>
      </w:r>
      <w:r w:rsidR="008A0D67" w:rsidRPr="00EA1E04">
        <w:rPr>
          <w:sz w:val="24"/>
          <w:szCs w:val="24"/>
        </w:rPr>
        <w:t xml:space="preserve"> </w:t>
      </w:r>
      <w:r w:rsidR="009E40D1" w:rsidRPr="00EA1E04">
        <w:rPr>
          <w:sz w:val="24"/>
          <w:szCs w:val="24"/>
        </w:rPr>
        <w:t xml:space="preserve">with alcoholic </w:t>
      </w:r>
      <w:r w:rsidRPr="00EA1E04">
        <w:rPr>
          <w:sz w:val="24"/>
          <w:szCs w:val="24"/>
        </w:rPr>
        <w:t xml:space="preserve">cirrhosis </w:t>
      </w:r>
      <w:r w:rsidR="00526C16" w:rsidRPr="00EA1E04">
        <w:rPr>
          <w:sz w:val="24"/>
          <w:szCs w:val="24"/>
        </w:rPr>
        <w:t>(mean age</w:t>
      </w:r>
      <w:r w:rsidR="003B334C" w:rsidRPr="00EA1E04">
        <w:rPr>
          <w:sz w:val="24"/>
          <w:szCs w:val="24"/>
        </w:rPr>
        <w:t xml:space="preserve"> at diagnosis</w:t>
      </w:r>
      <w:r w:rsidR="00097F84" w:rsidRPr="00EA1E04">
        <w:rPr>
          <w:sz w:val="24"/>
          <w:szCs w:val="24"/>
        </w:rPr>
        <w:t>=</w:t>
      </w:r>
      <w:r w:rsidR="009039C5" w:rsidRPr="00EA1E04">
        <w:rPr>
          <w:sz w:val="24"/>
          <w:szCs w:val="24"/>
        </w:rPr>
        <w:t>5</w:t>
      </w:r>
      <w:r w:rsidR="00A42EE3" w:rsidRPr="00EA1E04">
        <w:rPr>
          <w:sz w:val="24"/>
          <w:szCs w:val="24"/>
        </w:rPr>
        <w:t>6</w:t>
      </w:r>
      <w:r w:rsidR="009039C5" w:rsidRPr="00EA1E04">
        <w:rPr>
          <w:sz w:val="24"/>
          <w:szCs w:val="24"/>
        </w:rPr>
        <w:t>years</w:t>
      </w:r>
      <w:r w:rsidR="00526C16" w:rsidRPr="00EA1E04">
        <w:rPr>
          <w:sz w:val="24"/>
          <w:szCs w:val="24"/>
        </w:rPr>
        <w:t>)</w:t>
      </w:r>
      <w:r w:rsidR="009039C5" w:rsidRPr="00EA1E04">
        <w:rPr>
          <w:sz w:val="24"/>
          <w:szCs w:val="24"/>
        </w:rPr>
        <w:t xml:space="preserve"> </w:t>
      </w:r>
      <w:r w:rsidR="00C6191D" w:rsidRPr="00EA1E04">
        <w:rPr>
          <w:sz w:val="24"/>
          <w:szCs w:val="24"/>
        </w:rPr>
        <w:t xml:space="preserve">of whom 67% </w:t>
      </w:r>
      <w:r w:rsidR="00537B8F" w:rsidRPr="00EA1E04">
        <w:rPr>
          <w:sz w:val="24"/>
          <w:szCs w:val="24"/>
        </w:rPr>
        <w:t xml:space="preserve">were </w:t>
      </w:r>
      <w:r w:rsidR="00C6191D" w:rsidRPr="00EA1E04">
        <w:rPr>
          <w:sz w:val="24"/>
          <w:szCs w:val="24"/>
        </w:rPr>
        <w:t xml:space="preserve">men; </w:t>
      </w:r>
      <w:r w:rsidR="009E40D1" w:rsidRPr="00EA1E04">
        <w:rPr>
          <w:sz w:val="24"/>
          <w:szCs w:val="24"/>
        </w:rPr>
        <w:t xml:space="preserve">and </w:t>
      </w:r>
      <w:r w:rsidR="008A0D67" w:rsidRPr="00EA1E04">
        <w:rPr>
          <w:sz w:val="24"/>
          <w:szCs w:val="24"/>
        </w:rPr>
        <w:t>24,790</w:t>
      </w:r>
      <w:r w:rsidR="00C21B3D" w:rsidRPr="00EA1E04">
        <w:rPr>
          <w:sz w:val="24"/>
          <w:szCs w:val="24"/>
        </w:rPr>
        <w:t xml:space="preserve"> controls without the </w:t>
      </w:r>
      <w:r w:rsidR="00291900" w:rsidRPr="00EA1E04">
        <w:rPr>
          <w:sz w:val="24"/>
          <w:szCs w:val="24"/>
        </w:rPr>
        <w:t>disease.</w:t>
      </w:r>
    </w:p>
    <w:p w:rsidR="008A0D67" w:rsidRPr="00EA1E04" w:rsidRDefault="009E40D1" w:rsidP="008A0D67">
      <w:pPr>
        <w:spacing w:line="360" w:lineRule="auto"/>
        <w:jc w:val="both"/>
        <w:rPr>
          <w:sz w:val="24"/>
          <w:szCs w:val="24"/>
        </w:rPr>
      </w:pPr>
      <w:r w:rsidRPr="00EA1E04">
        <w:rPr>
          <w:sz w:val="24"/>
          <w:szCs w:val="24"/>
        </w:rPr>
        <w:t>M</w:t>
      </w:r>
      <w:r w:rsidR="00291900" w:rsidRPr="00EA1E04">
        <w:rPr>
          <w:sz w:val="24"/>
          <w:szCs w:val="24"/>
        </w:rPr>
        <w:t>easurements</w:t>
      </w:r>
      <w:r w:rsidR="008A0D67" w:rsidRPr="00EA1E04">
        <w:rPr>
          <w:sz w:val="24"/>
          <w:szCs w:val="24"/>
        </w:rPr>
        <w:t xml:space="preserve">: </w:t>
      </w:r>
      <w:r w:rsidR="00291900" w:rsidRPr="00EA1E04">
        <w:rPr>
          <w:sz w:val="24"/>
          <w:szCs w:val="24"/>
        </w:rPr>
        <w:t>R</w:t>
      </w:r>
      <w:r w:rsidR="0059148B" w:rsidRPr="00EA1E04">
        <w:rPr>
          <w:sz w:val="24"/>
          <w:szCs w:val="24"/>
        </w:rPr>
        <w:t xml:space="preserve">ates of primary care visits and hospital admissions </w:t>
      </w:r>
      <w:r w:rsidR="00537B8F" w:rsidRPr="00EA1E04">
        <w:rPr>
          <w:sz w:val="24"/>
          <w:szCs w:val="24"/>
        </w:rPr>
        <w:t xml:space="preserve">prior to the diagnosis of </w:t>
      </w:r>
      <w:r w:rsidR="0059148B" w:rsidRPr="00EA1E04">
        <w:rPr>
          <w:sz w:val="24"/>
          <w:szCs w:val="24"/>
        </w:rPr>
        <w:t>alcoholic cirrhosis</w:t>
      </w:r>
      <w:r w:rsidR="006817BC" w:rsidRPr="00EA1E04">
        <w:rPr>
          <w:sz w:val="24"/>
          <w:szCs w:val="24"/>
        </w:rPr>
        <w:t xml:space="preserve"> for men and women</w:t>
      </w:r>
      <w:r w:rsidR="00097F84" w:rsidRPr="00EA1E04">
        <w:rPr>
          <w:sz w:val="24"/>
          <w:szCs w:val="24"/>
        </w:rPr>
        <w:t>,</w:t>
      </w:r>
      <w:r w:rsidR="00291900" w:rsidRPr="00EA1E04">
        <w:rPr>
          <w:sz w:val="24"/>
          <w:szCs w:val="24"/>
        </w:rPr>
        <w:t xml:space="preserve"> and </w:t>
      </w:r>
      <w:r w:rsidR="0059148B" w:rsidRPr="00EA1E04">
        <w:rPr>
          <w:sz w:val="24"/>
          <w:szCs w:val="24"/>
        </w:rPr>
        <w:t xml:space="preserve">the proportion of </w:t>
      </w:r>
      <w:r w:rsidR="006817BC" w:rsidRPr="00EA1E04">
        <w:rPr>
          <w:sz w:val="24"/>
          <w:szCs w:val="24"/>
        </w:rPr>
        <w:t xml:space="preserve">men and women </w:t>
      </w:r>
      <w:r w:rsidR="0059148B" w:rsidRPr="00EA1E04">
        <w:rPr>
          <w:sz w:val="24"/>
          <w:szCs w:val="24"/>
        </w:rPr>
        <w:t xml:space="preserve">with alcohol consumption </w:t>
      </w:r>
      <w:r w:rsidR="00537B8F" w:rsidRPr="00EA1E04">
        <w:rPr>
          <w:sz w:val="24"/>
          <w:szCs w:val="24"/>
        </w:rPr>
        <w:t>and/</w:t>
      </w:r>
      <w:r w:rsidR="0059148B" w:rsidRPr="00EA1E04">
        <w:rPr>
          <w:sz w:val="24"/>
          <w:szCs w:val="24"/>
        </w:rPr>
        <w:t>or alcohol brief intervention</w:t>
      </w:r>
      <w:r w:rsidR="00537B8F" w:rsidRPr="00EA1E04">
        <w:rPr>
          <w:sz w:val="24"/>
          <w:szCs w:val="24"/>
        </w:rPr>
        <w:t xml:space="preserve"> documented in their medical record</w:t>
      </w:r>
      <w:r w:rsidR="0059148B" w:rsidRPr="00EA1E04">
        <w:rPr>
          <w:sz w:val="24"/>
          <w:szCs w:val="24"/>
        </w:rPr>
        <w:t>.</w:t>
      </w:r>
    </w:p>
    <w:p w:rsidR="008A6BCB" w:rsidRPr="00EA1E04" w:rsidRDefault="00291900" w:rsidP="000A3E8D">
      <w:pPr>
        <w:spacing w:line="360" w:lineRule="auto"/>
        <w:jc w:val="both"/>
        <w:rPr>
          <w:sz w:val="24"/>
          <w:szCs w:val="24"/>
        </w:rPr>
      </w:pPr>
      <w:r w:rsidRPr="00EA1E04">
        <w:rPr>
          <w:sz w:val="24"/>
          <w:szCs w:val="24"/>
        </w:rPr>
        <w:t>Findings</w:t>
      </w:r>
    </w:p>
    <w:p w:rsidR="000A3E8D" w:rsidRPr="00EA1E04" w:rsidRDefault="00211A8F" w:rsidP="00EA1E04">
      <w:pPr>
        <w:spacing w:line="360" w:lineRule="auto"/>
        <w:jc w:val="both"/>
        <w:rPr>
          <w:sz w:val="24"/>
          <w:szCs w:val="24"/>
        </w:rPr>
      </w:pPr>
      <w:r w:rsidRPr="00EA1E04">
        <w:rPr>
          <w:sz w:val="24"/>
          <w:szCs w:val="24"/>
        </w:rPr>
        <w:t xml:space="preserve">Compared </w:t>
      </w:r>
      <w:r w:rsidR="00EA1E04" w:rsidRPr="00EA1E04">
        <w:rPr>
          <w:sz w:val="24"/>
          <w:szCs w:val="24"/>
        </w:rPr>
        <w:t>with</w:t>
      </w:r>
      <w:r w:rsidRPr="00EA1E04">
        <w:rPr>
          <w:sz w:val="24"/>
          <w:szCs w:val="24"/>
        </w:rPr>
        <w:t xml:space="preserve"> the general population, </w:t>
      </w:r>
      <w:r w:rsidR="00EA1E04" w:rsidRPr="00EA1E04">
        <w:rPr>
          <w:sz w:val="24"/>
          <w:szCs w:val="24"/>
        </w:rPr>
        <w:t xml:space="preserve">Compared with the general population, patients with alcoholic cirrhosis used primary and secondary health-care services more frequently in the years leading up to their diagnosis. In the years prior to diagnosis, men used primary and secondary healthcare services more than did women (P for sex interaction P&lt;0.0001). Men were more likely than women to have their alcohol use recorded [odds ratio (OR)men=1.96, 95% confidence interval (CI)=1.7–2.3; women=1.63, 95% CI=1.4–1.8, P for sex interaction P&lt;0.0017]. By contrast, alcohol interventions were recorded more commonly among women (OR men=4.3, 95% CI=3.7–4.9; women=5.8, 95% CI=4.7–6.9, P for sex interaction=0.07), although less common with increasing age (P for age interaction=0.009). </w:t>
      </w:r>
    </w:p>
    <w:p w:rsidR="000A3E8D" w:rsidRPr="00EA1E04" w:rsidRDefault="000A3E8D" w:rsidP="00097F84">
      <w:pPr>
        <w:tabs>
          <w:tab w:val="left" w:pos="7254"/>
        </w:tabs>
        <w:spacing w:line="360" w:lineRule="auto"/>
        <w:jc w:val="both"/>
        <w:rPr>
          <w:sz w:val="24"/>
          <w:szCs w:val="24"/>
        </w:rPr>
      </w:pPr>
      <w:r w:rsidRPr="00EA1E04">
        <w:rPr>
          <w:sz w:val="24"/>
          <w:szCs w:val="24"/>
        </w:rPr>
        <w:t>Conclusion</w:t>
      </w:r>
      <w:r w:rsidR="001003D1" w:rsidRPr="00EA1E04">
        <w:rPr>
          <w:sz w:val="24"/>
          <w:szCs w:val="24"/>
        </w:rPr>
        <w:t>s</w:t>
      </w:r>
      <w:r w:rsidR="00097F84" w:rsidRPr="00EA1E04">
        <w:rPr>
          <w:sz w:val="24"/>
          <w:szCs w:val="24"/>
        </w:rPr>
        <w:tab/>
      </w:r>
    </w:p>
    <w:p w:rsidR="0017792A" w:rsidRPr="00EA1E04" w:rsidRDefault="00BB79AB" w:rsidP="007719C5">
      <w:pPr>
        <w:spacing w:line="360" w:lineRule="auto"/>
        <w:rPr>
          <w:sz w:val="24"/>
          <w:szCs w:val="24"/>
        </w:rPr>
      </w:pPr>
      <w:r w:rsidRPr="00EA1E04">
        <w:rPr>
          <w:sz w:val="24"/>
          <w:szCs w:val="24"/>
        </w:rPr>
        <w:t xml:space="preserve">In </w:t>
      </w:r>
      <w:r w:rsidR="00F41E29" w:rsidRPr="00EA1E04">
        <w:rPr>
          <w:sz w:val="24"/>
          <w:szCs w:val="24"/>
        </w:rPr>
        <w:t xml:space="preserve">the </w:t>
      </w:r>
      <w:r w:rsidRPr="00EA1E04">
        <w:rPr>
          <w:sz w:val="24"/>
          <w:szCs w:val="24"/>
        </w:rPr>
        <w:t xml:space="preserve">UK, </w:t>
      </w:r>
      <w:r w:rsidR="00097F84" w:rsidRPr="00EA1E04">
        <w:rPr>
          <w:sz w:val="24"/>
          <w:szCs w:val="24"/>
        </w:rPr>
        <w:t xml:space="preserve">prior to alcoholic cirrhosis diagnosis, excess </w:t>
      </w:r>
      <w:r w:rsidR="00474795" w:rsidRPr="00EA1E04">
        <w:rPr>
          <w:sz w:val="24"/>
          <w:szCs w:val="24"/>
        </w:rPr>
        <w:t>healthcare</w:t>
      </w:r>
      <w:r w:rsidRPr="00EA1E04">
        <w:rPr>
          <w:sz w:val="24"/>
          <w:szCs w:val="24"/>
        </w:rPr>
        <w:t xml:space="preserve"> utilisation is higher in men</w:t>
      </w:r>
      <w:r w:rsidR="00474795" w:rsidRPr="00EA1E04">
        <w:rPr>
          <w:sz w:val="24"/>
          <w:szCs w:val="24"/>
        </w:rPr>
        <w:t xml:space="preserve"> than women</w:t>
      </w:r>
      <w:r w:rsidRPr="00EA1E04">
        <w:rPr>
          <w:sz w:val="24"/>
          <w:szCs w:val="24"/>
        </w:rPr>
        <w:t xml:space="preserve"> and men are more likely than women to have their alcohol use recorded. However, women appear to be more likely than men to receive </w:t>
      </w:r>
      <w:r w:rsidR="002F6E9E" w:rsidRPr="00EA1E04">
        <w:rPr>
          <w:sz w:val="24"/>
          <w:szCs w:val="24"/>
        </w:rPr>
        <w:t xml:space="preserve">alcohol </w:t>
      </w:r>
      <w:r w:rsidRPr="00EA1E04">
        <w:rPr>
          <w:sz w:val="24"/>
          <w:szCs w:val="24"/>
        </w:rPr>
        <w:t xml:space="preserve">brief </w:t>
      </w:r>
      <w:r w:rsidR="00B915EB" w:rsidRPr="00EA1E04">
        <w:rPr>
          <w:sz w:val="24"/>
          <w:szCs w:val="24"/>
        </w:rPr>
        <w:t>interventions</w:t>
      </w:r>
      <w:r w:rsidR="00474795" w:rsidRPr="00EA1E04">
        <w:rPr>
          <w:sz w:val="24"/>
          <w:szCs w:val="24"/>
        </w:rPr>
        <w:t>.</w:t>
      </w:r>
      <w:r w:rsidR="009742F0" w:rsidRPr="00EA1E04">
        <w:rPr>
          <w:b/>
          <w:sz w:val="24"/>
          <w:szCs w:val="24"/>
        </w:rPr>
        <w:br w:type="page"/>
      </w:r>
    </w:p>
    <w:p w:rsidR="009742F0" w:rsidRPr="00EA1E04" w:rsidRDefault="001141B7" w:rsidP="009742F0">
      <w:pPr>
        <w:jc w:val="both"/>
        <w:rPr>
          <w:b/>
          <w:sz w:val="24"/>
          <w:szCs w:val="24"/>
        </w:rPr>
      </w:pPr>
      <w:r w:rsidRPr="00EA1E04">
        <w:rPr>
          <w:b/>
          <w:sz w:val="24"/>
          <w:szCs w:val="24"/>
        </w:rPr>
        <w:lastRenderedPageBreak/>
        <w:t>BACKGROUND</w:t>
      </w:r>
    </w:p>
    <w:p w:rsidR="009742F0" w:rsidRPr="00EA1E04" w:rsidRDefault="00D17CBA" w:rsidP="009742F0">
      <w:pPr>
        <w:spacing w:line="360" w:lineRule="auto"/>
        <w:jc w:val="both"/>
        <w:rPr>
          <w:sz w:val="24"/>
          <w:szCs w:val="24"/>
        </w:rPr>
      </w:pPr>
      <w:r w:rsidRPr="00EA1E04">
        <w:rPr>
          <w:sz w:val="24"/>
          <w:szCs w:val="24"/>
        </w:rPr>
        <w:t>Alcohol-</w:t>
      </w:r>
      <w:r w:rsidR="00971C00" w:rsidRPr="00EA1E04">
        <w:rPr>
          <w:sz w:val="24"/>
          <w:szCs w:val="24"/>
        </w:rPr>
        <w:t>use disorders are</w:t>
      </w:r>
      <w:r w:rsidR="009742F0" w:rsidRPr="00EA1E04">
        <w:rPr>
          <w:sz w:val="24"/>
          <w:szCs w:val="24"/>
        </w:rPr>
        <w:t xml:space="preserve"> largely preventable</w:t>
      </w:r>
      <w:r w:rsidR="00140689" w:rsidRPr="00EA1E04">
        <w:rPr>
          <w:sz w:val="24"/>
          <w:szCs w:val="24"/>
        </w:rPr>
        <w:t xml:space="preserve">, yet </w:t>
      </w:r>
      <w:r w:rsidR="00F958B5" w:rsidRPr="00EA1E04">
        <w:rPr>
          <w:sz w:val="24"/>
          <w:szCs w:val="24"/>
        </w:rPr>
        <w:t>they</w:t>
      </w:r>
      <w:r w:rsidR="00140689" w:rsidRPr="00EA1E04">
        <w:rPr>
          <w:sz w:val="24"/>
          <w:szCs w:val="24"/>
        </w:rPr>
        <w:t xml:space="preserve"> remain </w:t>
      </w:r>
      <w:r w:rsidR="005218A2" w:rsidRPr="00EA1E04">
        <w:rPr>
          <w:sz w:val="24"/>
          <w:szCs w:val="24"/>
        </w:rPr>
        <w:t xml:space="preserve">widespread </w:t>
      </w:r>
      <w:r w:rsidR="00140689" w:rsidRPr="00EA1E04">
        <w:rPr>
          <w:sz w:val="24"/>
          <w:szCs w:val="24"/>
        </w:rPr>
        <w:t xml:space="preserve">in Europe and North America </w:t>
      </w:r>
      <w:r w:rsidR="009742F0" w:rsidRPr="00EA1E04">
        <w:rPr>
          <w:sz w:val="24"/>
          <w:szCs w:val="24"/>
        </w:rPr>
        <w:fldChar w:fldCharType="begin"/>
      </w:r>
      <w:r w:rsidR="00111716" w:rsidRPr="00EA1E04">
        <w:rPr>
          <w:sz w:val="24"/>
          <w:szCs w:val="24"/>
        </w:rPr>
        <w:instrText xml:space="preserve"> ADDIN ZOTERO_ITEM CSL_CITATION {"citationID":"LgLsvz9e","properties":{"formattedCitation":"(1)","plainCitation":"(1)"},"citationItems":[{"id":105,"uris":["http://zotero.org/users/1897183/items/D2J49MP5"],"uri":["http://zotero.org/users/1897183/items/D2J49MP5"],"itemData":{"id":105,"type":"report","title":"Global status report on alcohol and health","author":[{"family":"World Health Organisation","given":""}],"issued":{"date-parts":[["2011"]]}}}],"schema":"https://github.com/citation-style-language/schema/raw/master/csl-citation.json"} </w:instrText>
      </w:r>
      <w:r w:rsidR="009742F0" w:rsidRPr="00EA1E04">
        <w:rPr>
          <w:sz w:val="24"/>
          <w:szCs w:val="24"/>
        </w:rPr>
        <w:fldChar w:fldCharType="separate"/>
      </w:r>
      <w:r w:rsidR="00111716" w:rsidRPr="00EA1E04">
        <w:rPr>
          <w:rFonts w:ascii="Calibri" w:hAnsi="Calibri"/>
          <w:sz w:val="24"/>
        </w:rPr>
        <w:t>(1)</w:t>
      </w:r>
      <w:r w:rsidR="009742F0" w:rsidRPr="00EA1E04">
        <w:rPr>
          <w:sz w:val="24"/>
          <w:szCs w:val="24"/>
        </w:rPr>
        <w:fldChar w:fldCharType="end"/>
      </w:r>
      <w:r w:rsidR="009742F0" w:rsidRPr="00EA1E04">
        <w:rPr>
          <w:sz w:val="24"/>
          <w:szCs w:val="24"/>
        </w:rPr>
        <w:t xml:space="preserve">. </w:t>
      </w:r>
      <w:r w:rsidR="004D2D8B" w:rsidRPr="00EA1E04">
        <w:rPr>
          <w:sz w:val="24"/>
          <w:szCs w:val="24"/>
        </w:rPr>
        <w:t xml:space="preserve">Among the various disorders, </w:t>
      </w:r>
      <w:r w:rsidR="00971C00" w:rsidRPr="00EA1E04">
        <w:rPr>
          <w:sz w:val="24"/>
          <w:szCs w:val="24"/>
        </w:rPr>
        <w:t>alcoholic</w:t>
      </w:r>
      <w:r w:rsidR="009742F0" w:rsidRPr="00EA1E04">
        <w:rPr>
          <w:sz w:val="24"/>
          <w:szCs w:val="24"/>
        </w:rPr>
        <w:t xml:space="preserve"> liver cirrhosis</w:t>
      </w:r>
      <w:r w:rsidR="004D2D8B" w:rsidRPr="00EA1E04">
        <w:rPr>
          <w:sz w:val="24"/>
          <w:szCs w:val="24"/>
        </w:rPr>
        <w:t xml:space="preserve"> </w:t>
      </w:r>
      <w:r w:rsidR="009729BD" w:rsidRPr="00EA1E04">
        <w:rPr>
          <w:sz w:val="24"/>
          <w:szCs w:val="24"/>
        </w:rPr>
        <w:t>i</w:t>
      </w:r>
      <w:r w:rsidR="004D2D8B" w:rsidRPr="00EA1E04">
        <w:rPr>
          <w:sz w:val="24"/>
          <w:szCs w:val="24"/>
        </w:rPr>
        <w:t>n particular</w:t>
      </w:r>
      <w:r w:rsidR="009742F0" w:rsidRPr="00EA1E04">
        <w:rPr>
          <w:sz w:val="24"/>
          <w:szCs w:val="24"/>
        </w:rPr>
        <w:t xml:space="preserve"> has seen a substantial increase in recent times</w:t>
      </w:r>
      <w:r w:rsidR="00111716" w:rsidRPr="00EA1E04">
        <w:rPr>
          <w:sz w:val="24"/>
          <w:szCs w:val="24"/>
        </w:rPr>
        <w:fldChar w:fldCharType="begin"/>
      </w:r>
      <w:r w:rsidR="00111716" w:rsidRPr="00EA1E04">
        <w:rPr>
          <w:sz w:val="24"/>
          <w:szCs w:val="24"/>
        </w:rPr>
        <w:instrText xml:space="preserve"> ADDIN ZOTERO_ITEM CSL_CITATION {"citationID":"kj8f8a913","properties":{"formattedCitation":"(2)","plainCitation":"(2)"},"citationItems":[{"id":73,"uris":["http://zotero.org/users/1897183/items/CNCWFBWG"],"uri":["http://zotero.org/users/1897183/items/CNCWFBWG"],"itemData":{"id":73,"type":"article-journal","title":"Global burden of alcoholic liver diseases","container-title":"Journal of Hepatology","issue":"0","abstract":"Summary Liver diseases contribute markedly to the global burden of mortality and disease. This paper provides an overview from a global perspective of the contribution of alcohol to liver diseases. The Global Burden of Disease study methodology was used to estimate the burden of alcohol-attributable liver cirrhosis and alcohol-attributable liver cancer in 2010 as measured by deaths and disability adjusted life years (DALYs). This methodology estimates attributable fractions based on alcohol exposure distribution and relative risks associated with different levels of drinking. Globally, in 2010, alcohol-attributable liver cirrhosis was responsible for 493,300 deaths (156,900 female deaths and 336,400 male deaths) and 14,544,000 DALYs (4,112,000 DALYs for women and 10,432,000 DALYs for men), representing 0.9% (0.7% for women and 1.2% for men) of all global deaths and 0.6% (0.4% for women and 0.8% for men) of all global DALYs, and 47.9% of all liver cirrhosis deaths (46.5% for women and 48.5% for men) and 46.9% of all liver cirrhosis DALYs (44.5% for women and 47.9% for men). Alcohol-attributable liver cancer was responsible for 80,600 deaths (14,800 female deaths and 65,900 male deaths) and 2,142,000 DALYs (335,000 DALYs for women and 1,807,000 DALYs for men). The burden of alcohol-attributable liver cirrhosis and liver cancer is high and entirely preventable. Interventions to reduce alcohol consumption are recommended as a population health priority and may range from taxation increases for alcoholic beverages to increases in screening and treatment rates for alcohol use disorders.","URL":"http://www.sciencedirect.com/science/article/pii/S0168827813001840","DOI":"10.1016/j.jhep.2013.03.007","ISSN":"0168-8278","shortTitle":"Global burden of alcoholic liver diseases","author":[{"family":"Rehm","given":"Jürgen"},{"family":"Samokhvalov","given":"Andriy V."},{"family":"Shield","given":"Kevin D."}]}}],"schema":"https://github.com/citation-style-language/schema/raw/master/csl-citation.json"} </w:instrText>
      </w:r>
      <w:r w:rsidR="00111716" w:rsidRPr="00EA1E04">
        <w:rPr>
          <w:sz w:val="24"/>
          <w:szCs w:val="24"/>
        </w:rPr>
        <w:fldChar w:fldCharType="separate"/>
      </w:r>
      <w:r w:rsidR="00111716" w:rsidRPr="00EA1E04">
        <w:rPr>
          <w:rFonts w:ascii="Calibri" w:hAnsi="Calibri"/>
          <w:sz w:val="24"/>
        </w:rPr>
        <w:t>(2)</w:t>
      </w:r>
      <w:r w:rsidR="00111716" w:rsidRPr="00EA1E04">
        <w:rPr>
          <w:sz w:val="24"/>
          <w:szCs w:val="24"/>
        </w:rPr>
        <w:fldChar w:fldCharType="end"/>
      </w:r>
      <w:r w:rsidR="00140689" w:rsidRPr="00EA1E04">
        <w:rPr>
          <w:sz w:val="24"/>
          <w:szCs w:val="24"/>
        </w:rPr>
        <w:t xml:space="preserve">. In the UK, alcoholic liver </w:t>
      </w:r>
      <w:r w:rsidR="00E01D86" w:rsidRPr="00EA1E04">
        <w:rPr>
          <w:sz w:val="24"/>
          <w:szCs w:val="24"/>
        </w:rPr>
        <w:t>related deaths</w:t>
      </w:r>
      <w:r w:rsidR="00140689" w:rsidRPr="00EA1E04">
        <w:rPr>
          <w:sz w:val="24"/>
          <w:szCs w:val="24"/>
        </w:rPr>
        <w:t xml:space="preserve"> </w:t>
      </w:r>
      <w:r w:rsidR="009742F0" w:rsidRPr="00EA1E04">
        <w:rPr>
          <w:sz w:val="24"/>
          <w:szCs w:val="24"/>
        </w:rPr>
        <w:t xml:space="preserve">have increased 3-fold over the last three decades, hospitalisations have increased by over 100% between 2003 and 2010 and the number of new incident cases </w:t>
      </w:r>
      <w:r w:rsidR="005218A2" w:rsidRPr="00EA1E04">
        <w:rPr>
          <w:sz w:val="24"/>
          <w:szCs w:val="24"/>
        </w:rPr>
        <w:t>have</w:t>
      </w:r>
      <w:r w:rsidR="004D2D8B" w:rsidRPr="00EA1E04">
        <w:rPr>
          <w:sz w:val="24"/>
          <w:szCs w:val="24"/>
        </w:rPr>
        <w:t xml:space="preserve"> </w:t>
      </w:r>
      <w:r w:rsidR="009742F0" w:rsidRPr="00EA1E04">
        <w:rPr>
          <w:sz w:val="24"/>
          <w:szCs w:val="24"/>
        </w:rPr>
        <w:t xml:space="preserve">increased by over 50% from 24.6 in 1998 to 38.4 per 100,000 person years in 2009 </w:t>
      </w:r>
      <w:r w:rsidR="009742F0" w:rsidRPr="00EA1E04">
        <w:rPr>
          <w:sz w:val="24"/>
          <w:szCs w:val="24"/>
        </w:rPr>
        <w:fldChar w:fldCharType="begin"/>
      </w:r>
      <w:r w:rsidR="00111716" w:rsidRPr="00EA1E04">
        <w:rPr>
          <w:sz w:val="24"/>
          <w:szCs w:val="24"/>
        </w:rPr>
        <w:instrText xml:space="preserve"> ADDIN ZOTERO_ITEM CSL_CITATION {"citationID":"dKkOySvO","properties":{"formattedCitation":"{\\rtf (3\\uc0\\u8211{}6)}","plainCitation":"(3–6)"},"citationItems":[{"id":29,"uris":["http://zotero.org/users/1897183/items/MWSKV7W4"],"uri":["http://zotero.org/users/1897183/items/MWSKV7W4"],"itemData":{"id":29,"type":"article-journal","title":"Incidence and prevalence of cirrhosis in the United Kingdom, 1992–2001: A general population-based study","container-title":"Journal of Hepatology","page":"732-738","volume":"49","issue":"5","DOI":"10.1016/j.jhep.2008.05.023","ISSN":"0168-8278","shortTitle":"Incidence and prevalence of cirrhosis in the United Kingdom, 1992–2001: A general population-based study","author":[{"family":"Fleming","given":"Kate M."},{"family":"Aithal","given":"Guruprasad P."},{"family":"Solaymani-Dodaran","given":"Masoud"},{"family":"Card","given":"Timothy R."},{"family":"West","given":"Joe"}],"issued":{"literal":"11"}}},{"id":113,"uris":["http://zotero.org/users/1897183/items/9IFFMB4Q"],"uri":["http://zotero.org/users/1897183/items/9IFFMB4Q"],"itemData":{"id":113,"type":"article-journal","title":"Liver cirrhosis mortality rates in Britain from 1950 to 2002: an analysis of routine data","container-title":"The Lancet","page":"52-56","volume":"367","issue":"9504","DOI":"10.1016/S0140-6736(06)67924-5","ISSN":"0140-6736","journalAbbreviation":"The Lancet","author":[{"family":"Leon","given":"David A"},{"family":"McCambridge","given":"Jim"}],"issued":{"literal":"7"},"accessed":{"date-parts":[["2006",1,13]]}}},{"id":67,"uris":["http://zotero.org/users/1897183/items/JGIGF7JH"],"uri":["http://zotero.org/users/1897183/items/JGIGF7JH"],"itemData":{"id":67,"type":"report","title":"Statistics on Alcohol: England, 2013","collection-editor":[{"family":"Department of Health","given":""}],"author":[{"family":"Office for National Statistics","given":""}],"issued":{"date-parts":[["2013"]]}}},{"id":198,"uris":["http://zotero.org/users/1897183/items/VBSK9524"],"uri":["http://zotero.org/users/1897183/items/VBSK9524"],"itemData":{"id":198,"type":"article-journal","title":"Addressing liver disease in the UK: a blueprint for attaining excellence in health care and reducing premature mortality from lifestyle issues of excess consumption of alcohol, obesity, and viral hepatitis","container-title":"The Lancet","page":"1953-1997","volume":"384","issue":"9958","ISSN":"0140-6736","journalAbbreviation":"The Lancet","author":[{"family":"Williams","given":"Roger"},{"family":"Aspinall","given":"Richard"},{"family":"Bellis","given":"Mark"},{"family":"Camps-Walsh","given":"Ginette"},{"family":"Cramp","given":"Matthew"},{"family":"Dhawan","given":"Anil"},{"family":"Ferguson","given":"James"},{"family":"Forton","given":"Dan"},{"family":"Foster","given":"Graham"},{"family":"Gilmore","given":"Sir Ian"},{"family":"Hickman","given":"Matthew"},{"family":"Hudson","given":"Mark"},{"family":"Kelly","given":"Deirdre"},{"family":"Langford","given":"Andrew"},{"family":"Lombard","given":"Martin"},{"family":"Longworth","given":"Louise"},{"family":"Martin","given":"Natasha"},{"family":"Moriarty","given":"Kieran"},{"family":"Newsome","given":"Philip"},{"family":"O'Grady","given":"John"},{"family":"Pryke","given":"Rachel"},{"family":"Rutter","given":"Harry"},{"family":"Ryder","given":"Stephen"},{"family":"Sheron","given":"Nick"},{"family":"Smith","given":"Tom"}],"issued":{"date-parts":[["2014",11,29]]}}}],"schema":"https://github.com/citation-style-language/schema/raw/master/csl-citation.json"} </w:instrText>
      </w:r>
      <w:r w:rsidR="009742F0" w:rsidRPr="00EA1E04">
        <w:rPr>
          <w:sz w:val="24"/>
          <w:szCs w:val="24"/>
        </w:rPr>
        <w:fldChar w:fldCharType="separate"/>
      </w:r>
      <w:r w:rsidR="00111716" w:rsidRPr="00EA1E04">
        <w:rPr>
          <w:rFonts w:ascii="Calibri" w:hAnsi="Calibri" w:cs="Times New Roman"/>
          <w:sz w:val="24"/>
          <w:szCs w:val="24"/>
        </w:rPr>
        <w:t>(3–6)</w:t>
      </w:r>
      <w:r w:rsidR="009742F0" w:rsidRPr="00EA1E04">
        <w:rPr>
          <w:sz w:val="24"/>
          <w:szCs w:val="24"/>
        </w:rPr>
        <w:fldChar w:fldCharType="end"/>
      </w:r>
      <w:r w:rsidR="009742F0" w:rsidRPr="00EA1E04">
        <w:rPr>
          <w:sz w:val="24"/>
          <w:szCs w:val="24"/>
        </w:rPr>
        <w:t>.</w:t>
      </w:r>
      <w:r w:rsidR="009742F0" w:rsidRPr="00EA1E04">
        <w:rPr>
          <w:b/>
          <w:sz w:val="24"/>
          <w:szCs w:val="24"/>
        </w:rPr>
        <w:t xml:space="preserve"> </w:t>
      </w:r>
      <w:r w:rsidR="004D2D8B" w:rsidRPr="00EA1E04">
        <w:rPr>
          <w:sz w:val="24"/>
          <w:szCs w:val="24"/>
        </w:rPr>
        <w:t>Similarly, reports from Finland also suggest up to a 50% increase in rates from alcohol related liver deaths between 1998 and 2008</w:t>
      </w:r>
      <w:r w:rsidR="009729BD" w:rsidRPr="00EA1E04">
        <w:rPr>
          <w:sz w:val="24"/>
          <w:szCs w:val="24"/>
        </w:rPr>
        <w:fldChar w:fldCharType="begin"/>
      </w:r>
      <w:r w:rsidR="00111716" w:rsidRPr="00EA1E04">
        <w:rPr>
          <w:sz w:val="24"/>
          <w:szCs w:val="24"/>
        </w:rPr>
        <w:instrText xml:space="preserve"> ADDIN ZOTERO_ITEM CSL_CITATION {"citationID":"174hmkcefb","properties":{"formattedCitation":"(7)","plainCitation":"(7)"},"citationItems":[{"id":183,"uris":["http://zotero.org/users/1897183/items/CME4CKCN"],"uri":["http://zotero.org/users/1897183/items/CME4CKCN"],"itemData":{"id":183,"type":"article-journal","title":"A new environment: Trends in alcohol consumption, harms and policy: Finland 1990-2010","container-title":"Nordic studies in Alcohol and Drugs","page":"497-513","volume":"27","issue":"5","DOI":"http://www.nordicwelfare.org/PageFiles/4910/497_514_Karlsson.pdf","author":[{"family":"Karlsson","given":"Thomas"},{"family":"Makela","given":"Pia"},{"family":"Osterberg","given":"Esa"},{"family":"Tigerstedt","given":"Christopher"}],"issued":{"date-parts":[["2010"]]}}}],"schema":"https://github.com/citation-style-language/schema/raw/master/csl-citation.json"} </w:instrText>
      </w:r>
      <w:r w:rsidR="009729BD" w:rsidRPr="00EA1E04">
        <w:rPr>
          <w:sz w:val="24"/>
          <w:szCs w:val="24"/>
        </w:rPr>
        <w:fldChar w:fldCharType="separate"/>
      </w:r>
      <w:r w:rsidR="00111716" w:rsidRPr="00EA1E04">
        <w:rPr>
          <w:rFonts w:ascii="Calibri" w:hAnsi="Calibri"/>
          <w:sz w:val="24"/>
        </w:rPr>
        <w:t>(7)</w:t>
      </w:r>
      <w:r w:rsidR="009729BD" w:rsidRPr="00EA1E04">
        <w:rPr>
          <w:sz w:val="24"/>
          <w:szCs w:val="24"/>
        </w:rPr>
        <w:fldChar w:fldCharType="end"/>
      </w:r>
      <w:r w:rsidR="004D2D8B" w:rsidRPr="00EA1E04">
        <w:rPr>
          <w:sz w:val="24"/>
          <w:szCs w:val="24"/>
        </w:rPr>
        <w:t>.</w:t>
      </w:r>
    </w:p>
    <w:p w:rsidR="00822E2B" w:rsidRPr="00EA1E04" w:rsidRDefault="00987C88" w:rsidP="009742F0">
      <w:pPr>
        <w:spacing w:line="360" w:lineRule="auto"/>
        <w:jc w:val="both"/>
        <w:rPr>
          <w:sz w:val="24"/>
          <w:szCs w:val="24"/>
        </w:rPr>
      </w:pPr>
      <w:r w:rsidRPr="00EA1E04">
        <w:rPr>
          <w:sz w:val="24"/>
          <w:szCs w:val="24"/>
        </w:rPr>
        <w:t>Both internationally and in the UK, h</w:t>
      </w:r>
      <w:r w:rsidR="009742F0" w:rsidRPr="00EA1E04">
        <w:rPr>
          <w:sz w:val="24"/>
          <w:szCs w:val="24"/>
        </w:rPr>
        <w:t>ealthcare professionals are</w:t>
      </w:r>
      <w:r w:rsidR="00822E2B" w:rsidRPr="00EA1E04">
        <w:rPr>
          <w:sz w:val="24"/>
          <w:szCs w:val="24"/>
        </w:rPr>
        <w:t xml:space="preserve"> </w:t>
      </w:r>
      <w:r w:rsidR="00DB2D95" w:rsidRPr="00EA1E04">
        <w:rPr>
          <w:sz w:val="24"/>
          <w:szCs w:val="24"/>
        </w:rPr>
        <w:t>increasingly tasked</w:t>
      </w:r>
      <w:r w:rsidR="00822E2B" w:rsidRPr="00EA1E04">
        <w:rPr>
          <w:sz w:val="24"/>
          <w:szCs w:val="24"/>
        </w:rPr>
        <w:t xml:space="preserve"> with the responsibility</w:t>
      </w:r>
      <w:r w:rsidR="009742F0" w:rsidRPr="00EA1E04">
        <w:rPr>
          <w:sz w:val="24"/>
          <w:szCs w:val="24"/>
        </w:rPr>
        <w:t xml:space="preserve"> </w:t>
      </w:r>
      <w:r w:rsidR="00822E2B" w:rsidRPr="00EA1E04">
        <w:rPr>
          <w:sz w:val="24"/>
          <w:szCs w:val="24"/>
        </w:rPr>
        <w:t xml:space="preserve">of </w:t>
      </w:r>
      <w:r w:rsidR="009742F0" w:rsidRPr="00EA1E04">
        <w:rPr>
          <w:sz w:val="24"/>
          <w:szCs w:val="24"/>
        </w:rPr>
        <w:t>help</w:t>
      </w:r>
      <w:r w:rsidR="00822E2B" w:rsidRPr="00EA1E04">
        <w:rPr>
          <w:sz w:val="24"/>
          <w:szCs w:val="24"/>
        </w:rPr>
        <w:t>ing</w:t>
      </w:r>
      <w:r w:rsidR="009742F0" w:rsidRPr="00EA1E04">
        <w:rPr>
          <w:sz w:val="24"/>
          <w:szCs w:val="24"/>
        </w:rPr>
        <w:t xml:space="preserve"> harmful or hazardous drinkers cut down on their alcohol consumption before they get to the point of developing chronic disorders such as cirrhosis </w:t>
      </w:r>
      <w:r w:rsidR="009742F0" w:rsidRPr="00EA1E04">
        <w:rPr>
          <w:sz w:val="24"/>
          <w:szCs w:val="24"/>
        </w:rPr>
        <w:fldChar w:fldCharType="begin"/>
      </w:r>
      <w:r w:rsidRPr="00EA1E04">
        <w:rPr>
          <w:sz w:val="24"/>
          <w:szCs w:val="24"/>
        </w:rPr>
        <w:instrText xml:space="preserve"> ADDIN ZOTERO_ITEM CSL_CITATION {"citationID":"HtXRJh2n","properties":{"formattedCitation":"{\\rtf (8\\uc0\\u8211{}11)}","plainCitation":"(8–11)"},"citationItems":[{"id":66,"uris":["http://zotero.org/users/1897183/items/MEVVVN5K"],"uri":["http://zotero.org/users/1897183/items/MEVVVN5K"],"itemData":{"id":66,"type":"report","title":"Alcohol use disorders: preventing the development of hazardous and harmful drinking","publisher-place":"UK","event-place":"UK","collection-editor":[{"family":"Department of Health","given":""}],"author":[{"family":"NICE","given":""}],"issued":{"date-parts":[["2010"]]}}},{"id":36,"uris":["http://zotero.org/users/1897183/items/KP8ZFF36"],"uri":["http://zotero.org/users/1897183/items/KP8ZFF36"],"itemData":{"id":36,"type":"article-journal","title":"Reducing the harms of alcohol in the UK","container-title":"BMJ","page":"1271-1272","volume":"335","issue":"7633","DOI":"10.1136/bmj.39426.523715.80","shortTitle":"Reducing the harms of alcohol in the UK","author":[{"family":"Gilmore","given":"Ian"},{"family":"Sheron","given":"Nick"}],"issued":{"date-parts":[["2007",12,20]]}}},{"id":334,"uris":["http://zotero.org/users/1897183/items/9Q622IPH"],"uri":["http://zotero.org/users/1897183/items/9Q622IPH"],"itemData":{"id":334,"type":"article","title":"The Physicians Guide to Helping Patients with Alcohol Problems","publisher":"National Institute on Alcohol Abuse and Alcoholism,Rockville.","URL":"http://www.ncbi.nlm.nih.gov/pmc/articles/PMC4160686/#ref13","issued":{"date-parts":[["1995"]]}}},{"id":80,"uris":["http://zotero.org/users/1897183/items/IHZJJN7D"],"uri":["http://zotero.org/users/1897183/items/IHZJJN7D"],"itemData":{"id":80,"type":"report","title":"The management of harmful drinking and alcohol dependence in primary care","collection-editor":[{"family":"Healthcare Improvement Scotland","given":""}],"author":[{"family":"Scottish Intercollegiate Guidelines Network (SIGN)","given":""}],"issued":{"date-parts":[["2004"]]}}}],"schema":"https://github.com/citation-style-language/schema/raw/master/csl-citation.json"} </w:instrText>
      </w:r>
      <w:r w:rsidR="009742F0" w:rsidRPr="00EA1E04">
        <w:rPr>
          <w:sz w:val="24"/>
          <w:szCs w:val="24"/>
        </w:rPr>
        <w:fldChar w:fldCharType="separate"/>
      </w:r>
      <w:r w:rsidRPr="00EA1E04">
        <w:rPr>
          <w:rFonts w:ascii="Calibri" w:hAnsi="Calibri" w:cs="Times New Roman"/>
          <w:sz w:val="24"/>
          <w:szCs w:val="24"/>
        </w:rPr>
        <w:t>(8–11)</w:t>
      </w:r>
      <w:r w:rsidR="009742F0" w:rsidRPr="00EA1E04">
        <w:rPr>
          <w:sz w:val="24"/>
          <w:szCs w:val="24"/>
        </w:rPr>
        <w:fldChar w:fldCharType="end"/>
      </w:r>
      <w:r w:rsidR="009742F0" w:rsidRPr="00EA1E04">
        <w:rPr>
          <w:sz w:val="24"/>
          <w:szCs w:val="24"/>
        </w:rPr>
        <w:t xml:space="preserve">. </w:t>
      </w:r>
      <w:r w:rsidR="00C74586" w:rsidRPr="00EA1E04">
        <w:rPr>
          <w:sz w:val="24"/>
          <w:szCs w:val="24"/>
        </w:rPr>
        <w:t xml:space="preserve">This can be achieved through </w:t>
      </w:r>
      <w:r w:rsidR="009742F0" w:rsidRPr="00EA1E04">
        <w:rPr>
          <w:sz w:val="24"/>
          <w:szCs w:val="24"/>
        </w:rPr>
        <w:t xml:space="preserve"> screen</w:t>
      </w:r>
      <w:r w:rsidR="00C74586" w:rsidRPr="00EA1E04">
        <w:rPr>
          <w:sz w:val="24"/>
          <w:szCs w:val="24"/>
        </w:rPr>
        <w:t>ing</w:t>
      </w:r>
      <w:r w:rsidR="00D17CBA" w:rsidRPr="00EA1E04">
        <w:rPr>
          <w:sz w:val="24"/>
          <w:szCs w:val="24"/>
        </w:rPr>
        <w:t xml:space="preserve"> for alcohol use </w:t>
      </w:r>
      <w:r w:rsidR="00977ECD" w:rsidRPr="00EA1E04">
        <w:rPr>
          <w:sz w:val="24"/>
          <w:szCs w:val="24"/>
        </w:rPr>
        <w:t xml:space="preserve">using </w:t>
      </w:r>
      <w:r w:rsidR="00F958B5" w:rsidRPr="00EA1E04">
        <w:rPr>
          <w:sz w:val="24"/>
          <w:szCs w:val="24"/>
        </w:rPr>
        <w:t>validated</w:t>
      </w:r>
      <w:r w:rsidR="00977ECD" w:rsidRPr="00EA1E04">
        <w:rPr>
          <w:sz w:val="24"/>
          <w:szCs w:val="24"/>
        </w:rPr>
        <w:t xml:space="preserve"> </w:t>
      </w:r>
      <w:r w:rsidR="00111716" w:rsidRPr="00EA1E04">
        <w:rPr>
          <w:sz w:val="24"/>
          <w:szCs w:val="24"/>
        </w:rPr>
        <w:t>questionnaires</w:t>
      </w:r>
      <w:r w:rsidR="009742F0" w:rsidRPr="00EA1E04">
        <w:rPr>
          <w:sz w:val="24"/>
          <w:szCs w:val="24"/>
        </w:rPr>
        <w:t xml:space="preserve">, </w:t>
      </w:r>
      <w:r w:rsidR="00C74586" w:rsidRPr="00EA1E04">
        <w:rPr>
          <w:sz w:val="24"/>
          <w:szCs w:val="24"/>
        </w:rPr>
        <w:t>after which healthcare professionals can deliver</w:t>
      </w:r>
      <w:r w:rsidR="00822E2B" w:rsidRPr="00EA1E04">
        <w:rPr>
          <w:sz w:val="24"/>
          <w:szCs w:val="24"/>
        </w:rPr>
        <w:t xml:space="preserve"> brief</w:t>
      </w:r>
      <w:r w:rsidR="009742F0" w:rsidRPr="00EA1E04">
        <w:rPr>
          <w:sz w:val="24"/>
          <w:szCs w:val="24"/>
        </w:rPr>
        <w:t xml:space="preserve"> intervention</w:t>
      </w:r>
      <w:r w:rsidR="00C74586" w:rsidRPr="00EA1E04">
        <w:rPr>
          <w:sz w:val="24"/>
          <w:szCs w:val="24"/>
        </w:rPr>
        <w:t xml:space="preserve">s to those at </w:t>
      </w:r>
      <w:r w:rsidR="00822E2B" w:rsidRPr="00EA1E04">
        <w:rPr>
          <w:sz w:val="24"/>
          <w:szCs w:val="24"/>
        </w:rPr>
        <w:t xml:space="preserve">higher </w:t>
      </w:r>
      <w:r w:rsidR="00C74586" w:rsidRPr="00EA1E04">
        <w:rPr>
          <w:sz w:val="24"/>
          <w:szCs w:val="24"/>
        </w:rPr>
        <w:t>risk</w:t>
      </w:r>
      <w:r w:rsidR="009742F0" w:rsidRPr="00EA1E04">
        <w:rPr>
          <w:sz w:val="24"/>
          <w:szCs w:val="24"/>
        </w:rPr>
        <w:fldChar w:fldCharType="begin"/>
      </w:r>
      <w:r w:rsidR="00111716" w:rsidRPr="00EA1E04">
        <w:rPr>
          <w:sz w:val="24"/>
          <w:szCs w:val="24"/>
        </w:rPr>
        <w:instrText xml:space="preserve"> ADDIN ZOTERO_ITEM CSL_CITATION {"citationID":"J0YU0UtV","properties":{"formattedCitation":"{\\rtf (11\\uc0\\u8211{}13)}","plainCitation":"(11–13)"},"citationItems":[{"id":80,"uris":["http://zotero.org/users/1897183/items/IHZJJN7D"],"uri":["http://zotero.org/users/1897183/items/IHZJJN7D"],"itemData":{"id":80,"type":"report","title":"The management of harmful drinking and alcohol dependence in primary care","collection-editor":[{"family":"Healthcare Improvement Scotland","given":""}],"author":[{"family":"Scottish Intercollegiate Guidelines Network (SIGN)","given":""}],"issued":{"date-parts":[["2004"]]}}},{"id":56,"uris":["http://zotero.org/users/1897183/items/5R3G49VX"],"uri":["http://zotero.org/users/1897183/items/5R3G49VX"],"itemData":{"id":56,"type":"article-journal","title":"Brief interventions for alcohol problems: a meta-analytic review of controlled investigations in treatment-seeking and non-treatment-seeking populations","container-title":"Addiction","page":"279-292","volume":"97","issue":"3","archive_location":"WOS:000174465400005","abstract":"Brief interventions for alcohol use disorders have been the focus of considerable research. In this meta-analytic review, we considered Studies comparing brief interventions with either control or extended treatment conditions. We calculated the effect sizes for multiple drinking-related outcomes at multiple follow-up points, and took into account the critical distinction between treatment-seeking and non-treatment-seeking samples. Most investigations fell into one of two types: those comparing brief interventions with control conditions in non-treatment-seeking samples (n = 34) and those comparing brief interventions with extended treatment in treatment-seeking samples (n = 20). For studies of the first type. small to medium aggregate effect sizes in favor of brief interventions emerged across different follow-up points. At follow-up after &gt; 3-6 months. the effect for brief interventions compared to control conditions was significantly larger when individuals with more severe alcohol problems were excluded. For studies of the second type. the effect sizes were largely not significantly different from zero. This review summarizes additional positive evidence for brief interventions compared to control conditions typically delivered by health-care professionals to non-treatment-seeking samples. The results concur with previous reviews that found little difference between brief and extended treatment conditions. Because the evidence regarding brief interventions comes from different types of investigation with different samples, generalizations should be restricted to the populations, treatment characteristics and contexts represented in those studies.","DOI":"10.1046/j.1360-0443.2002.00018.x","ISSN":"0965-2140","shortTitle":"Brief interventions for alcohol problems: a meta-analytic review of controlled investigations in treatment-seeking and non-treatment-seeking populations","language":"English","author":[{"family":"Moyer","given":"A."},{"family":"Finney","given":"J. W."},{"family":"Swearingen","given":"C. E."},{"family":"Vergun","given":"P."}],"issued":{"date-parts":[["2002",3]]}}},{"id":129,"uris":["http://zotero.org/users/1897183/items/Q8XH3AI2"],"uri":["http://zotero.org/users/1897183/items/Q8XH3AI2"],"itemData":{"id":129,"type":"article-journal","title":"Reduction of alcohol consumption by brief alcohol intervention in primary care: systematic review and meta-analysis","container-title":"Archives of internal medicine","page":"986-995","volume":"165","issue":"9","abstract":"BACKGROUND: Numerous trials of the efficacy of brief alcohol intervention have been conducted in various settings among individuals with a wide range of alcohol disorders. Nevertheless, the efficacy of the intervention is likely to be influenced by the context. We evaluated the evidence of efficacy of brief alcohol interventions aimed at reducing long-term alcohol use and related harm in individuals attending primary care facilities but not seeking help for alcohol-related problems.\nMETHODS: We selected randomized trials reporting at least 1 outcome related to alcohol consumption conducted in outpatients who were actively attending primary care centers or seeing providers. Data sources were the Cochrane Central Register of Controlled Trials, MEDLINE, PsycINFO, ISI Web of Science, ETOH database, and bibliographies of retrieved references and previous reviews. Study selection and data abstraction were performed independently and in duplicate. We assessed the validity of the studies and performed a meta-analysis of studies reporting alcohol consumption at 6 or 12 months of follow-up.\nRESULTS: We examined 19 trials that included 5639 individuals. Seventeen trials reported a measure of alcohol consumption, of which 8 reported a significant effect of intervention. The adjusted intention-to-treat analysis showed a mean pooled difference of -38 g of ethanol (approximately 4 drinks) per week (95% confidence interval, -51 to -24 g/wk) in favor of the brief alcohol intervention group. Evidence of other outcome measures was inconclusive.\nCONCLUSION: Focusing on patients in primary care, our systematic review and meta-analysis indicated that brief alcohol intervention is effective in reducing alcohol consumption at 6 and 12 months.","DOI":"10.1001/archinte.165.9.986","ISSN":"0003-9926","note":"PMID: 15883236","journalAbbreviation":"Arch. Intern. Med.","language":"eng","author":[{"family":"Bertholet","given":"Nicolas"},{"family":"Daeppen","given":"Jean-Bernard"},{"family":"Wietlisbach","given":"Vincent"},{"family":"Fleming","given":"Michael"},{"family":"Burnand","given":"Bernard"}],"issued":{"date-parts":[["2005",5,9]]},"PMID":"15883236"}}],"schema":"https://github.com/citation-style-language/schema/raw/master/csl-citation.json"} </w:instrText>
      </w:r>
      <w:r w:rsidR="009742F0" w:rsidRPr="00EA1E04">
        <w:rPr>
          <w:sz w:val="24"/>
          <w:szCs w:val="24"/>
        </w:rPr>
        <w:fldChar w:fldCharType="separate"/>
      </w:r>
      <w:r w:rsidR="00111716" w:rsidRPr="00EA1E04">
        <w:rPr>
          <w:rFonts w:ascii="Calibri" w:hAnsi="Calibri" w:cs="Times New Roman"/>
          <w:sz w:val="24"/>
          <w:szCs w:val="24"/>
        </w:rPr>
        <w:t>(11–13)</w:t>
      </w:r>
      <w:r w:rsidR="009742F0" w:rsidRPr="00EA1E04">
        <w:rPr>
          <w:sz w:val="24"/>
          <w:szCs w:val="24"/>
        </w:rPr>
        <w:fldChar w:fldCharType="end"/>
      </w:r>
      <w:r w:rsidR="00C74586" w:rsidRPr="00EA1E04">
        <w:rPr>
          <w:sz w:val="24"/>
          <w:szCs w:val="24"/>
        </w:rPr>
        <w:t xml:space="preserve">. </w:t>
      </w:r>
      <w:r w:rsidR="003A1D2C" w:rsidRPr="00EA1E04">
        <w:rPr>
          <w:sz w:val="24"/>
          <w:szCs w:val="24"/>
        </w:rPr>
        <w:t>Previous r</w:t>
      </w:r>
      <w:r w:rsidR="00822E2B" w:rsidRPr="00EA1E04">
        <w:rPr>
          <w:sz w:val="24"/>
          <w:szCs w:val="24"/>
        </w:rPr>
        <w:t xml:space="preserve">esearch on brief interventions suggests that well designed </w:t>
      </w:r>
      <w:r w:rsidR="00AD163C" w:rsidRPr="00EA1E04">
        <w:rPr>
          <w:sz w:val="24"/>
          <w:szCs w:val="24"/>
        </w:rPr>
        <w:t>alcohol brief i</w:t>
      </w:r>
      <w:r w:rsidR="00C74586" w:rsidRPr="00EA1E04">
        <w:rPr>
          <w:sz w:val="24"/>
          <w:szCs w:val="24"/>
        </w:rPr>
        <w:t>nterventions</w:t>
      </w:r>
      <w:r w:rsidR="00AD163C" w:rsidRPr="00EA1E04">
        <w:rPr>
          <w:sz w:val="24"/>
          <w:szCs w:val="24"/>
        </w:rPr>
        <w:t>(ABI)</w:t>
      </w:r>
      <w:r w:rsidR="007D4D26" w:rsidRPr="00EA1E04">
        <w:rPr>
          <w:sz w:val="24"/>
          <w:szCs w:val="24"/>
        </w:rPr>
        <w:t>,</w:t>
      </w:r>
      <w:r w:rsidR="00C74586" w:rsidRPr="00EA1E04">
        <w:rPr>
          <w:sz w:val="24"/>
          <w:szCs w:val="24"/>
        </w:rPr>
        <w:t xml:space="preserve"> which </w:t>
      </w:r>
      <w:r w:rsidR="00822E2B" w:rsidRPr="00EA1E04">
        <w:rPr>
          <w:sz w:val="24"/>
          <w:szCs w:val="24"/>
        </w:rPr>
        <w:t xml:space="preserve">can </w:t>
      </w:r>
      <w:r w:rsidR="009742F0" w:rsidRPr="00EA1E04">
        <w:rPr>
          <w:sz w:val="24"/>
          <w:szCs w:val="24"/>
        </w:rPr>
        <w:t>be</w:t>
      </w:r>
      <w:r w:rsidR="00822E2B" w:rsidRPr="00EA1E04">
        <w:rPr>
          <w:sz w:val="24"/>
          <w:szCs w:val="24"/>
        </w:rPr>
        <w:t xml:space="preserve"> easily administered</w:t>
      </w:r>
      <w:r w:rsidR="009742F0" w:rsidRPr="00EA1E04">
        <w:rPr>
          <w:sz w:val="24"/>
          <w:szCs w:val="24"/>
        </w:rPr>
        <w:t xml:space="preserve"> during patient consultations</w:t>
      </w:r>
      <w:r w:rsidR="009E436E" w:rsidRPr="00EA1E04">
        <w:rPr>
          <w:sz w:val="24"/>
          <w:szCs w:val="24"/>
        </w:rPr>
        <w:t xml:space="preserve"> in primary care</w:t>
      </w:r>
      <w:r w:rsidR="007D4D26" w:rsidRPr="00EA1E04">
        <w:rPr>
          <w:sz w:val="24"/>
          <w:szCs w:val="24"/>
        </w:rPr>
        <w:t>,</w:t>
      </w:r>
      <w:r w:rsidR="007E4AB8" w:rsidRPr="00EA1E04">
        <w:rPr>
          <w:sz w:val="24"/>
          <w:szCs w:val="24"/>
        </w:rPr>
        <w:t xml:space="preserve"> </w:t>
      </w:r>
      <w:r w:rsidR="00822E2B" w:rsidRPr="00EA1E04">
        <w:rPr>
          <w:sz w:val="24"/>
          <w:szCs w:val="24"/>
        </w:rPr>
        <w:t xml:space="preserve">are </w:t>
      </w:r>
      <w:r w:rsidR="009742F0" w:rsidRPr="00EA1E04">
        <w:rPr>
          <w:sz w:val="24"/>
          <w:szCs w:val="24"/>
        </w:rPr>
        <w:t xml:space="preserve">effective in reducing risky alcohol </w:t>
      </w:r>
      <w:r w:rsidR="00D17CBA" w:rsidRPr="00EA1E04">
        <w:rPr>
          <w:sz w:val="24"/>
          <w:szCs w:val="24"/>
        </w:rPr>
        <w:t>use</w:t>
      </w:r>
      <w:r w:rsidR="00822E2B" w:rsidRPr="00EA1E04">
        <w:rPr>
          <w:sz w:val="24"/>
          <w:szCs w:val="24"/>
        </w:rPr>
        <w:t xml:space="preserve"> and its related harms</w:t>
      </w:r>
      <w:r w:rsidR="009742F0" w:rsidRPr="00EA1E04">
        <w:rPr>
          <w:sz w:val="24"/>
          <w:szCs w:val="24"/>
        </w:rPr>
        <w:t xml:space="preserve"> </w:t>
      </w:r>
      <w:r w:rsidR="009742F0" w:rsidRPr="00EA1E04">
        <w:rPr>
          <w:sz w:val="24"/>
          <w:szCs w:val="24"/>
        </w:rPr>
        <w:fldChar w:fldCharType="begin"/>
      </w:r>
      <w:r w:rsidR="00D636D7" w:rsidRPr="00EA1E04">
        <w:rPr>
          <w:sz w:val="24"/>
          <w:szCs w:val="24"/>
        </w:rPr>
        <w:instrText xml:space="preserve"> ADDIN ZOTERO_ITEM CSL_CITATION {"citationID":"p06ZrLp7","properties":{"formattedCitation":"{\\rtf (13\\uc0\\u8211{}17)}","plainCitation":"(13–17)"},"citationItems":[{"id":46,"uris":["http://zotero.org/users/1897183/items/XQMRTQC3"],"uri":["http://zotero.org/users/1897183/items/XQMRTQC3"],"itemData":{"id":46,"type":"article-journal","title":"Effectiveness of screening and brief alcohol intervention in primary care (SIPS trial): pragmatic cluster randomised controlled trial","container-title":"BMJ","volume":"346","DOI":"10.1136/bmj.e8501","shortTitle":"Effectiveness of screening and brief alcohol intervention in primary care (SIPS trial): pragmatic cluster randomised controlled trial","author":[{"family":"Kaner","given":"Eileen"},{"family":"Bland","given":"Martin"},{"family":"Cassidy","given":"Paul"},{"family":"Coulton","given":"Simon"},{"family":"Dale","given":"Veronica"},{"family":"Deluca","given":"Paolo"},{"family":"Gilvarry","given":"Eilish"},{"family":"Godfrey","given":"Christine"},{"family":"Heather","given":"Nick"},{"family":"Myles","given":"Judy"},{"family":"Newbury-Birch","given":"Dorothy"},{"family":"Oyefeso","given":"Adenekan"},{"family":"Parrott","given":"Steve"},{"family":"Perryman","given":"Katherine"},{"family":"Phillips","given":"Tom"},{"family":"Shepherd","given":"Jonathan"},{"family":"Drummond","given":"Colin"}],"issued":{"date-parts":[["2013",1,9]],"season":"12:16:01"}}},{"id":129,"uris":["http://zotero.org/users/1897183/items/Q8XH3AI2"],"uri":["http://zotero.org/users/1897183/items/Q8XH3AI2"],"itemData":{"id":129,"type":"article-journal","title":"Reduction of alcohol consumption by brief alcohol intervention in primary care: systematic review and meta-analysis","container-title":"Archives of internal medicine","page":"986-995","volume":"165","issue":"9","abstract":"BACKGROUND: Numerous trials of the efficacy of brief alcohol intervention have been conducted in various settings among individuals with a wide range of alcohol disorders. Nevertheless, the efficacy of the intervention is likely to be influenced by the context. We evaluated the evidence of efficacy of brief alcohol interventions aimed at reducing long-term alcohol use and related harm in individuals attending primary care facilities but not seeking help for alcohol-related problems.\nMETHODS: We selected randomized trials reporting at least 1 outcome related to alcohol consumption conducted in outpatients who were actively attending primary care centers or seeing providers. Data sources were the Cochrane Central Register of Controlled Trials, MEDLINE, PsycINFO, ISI Web of Science, ETOH database, and bibliographies of retrieved references and previous reviews. Study selection and data abstraction were performed independently and in duplicate. We assessed the validity of the studies and performed a meta-analysis of studies reporting alcohol consumption at 6 or 12 months of follow-up.\nRESULTS: We examined 19 trials that included 5639 individuals. Seventeen trials reported a measure of alcohol consumption, of which 8 reported a significant effect of intervention. The adjusted intention-to-treat analysis showed a mean pooled difference of -38 g of ethanol (approximately 4 drinks) per week (95% confidence interval, -51 to -24 g/wk) in favor of the brief alcohol intervention group. Evidence of other outcome measures was inconclusive.\nCONCLUSION: Focusing on patients in primary care, our systematic review and meta-analysis indicated that brief alcohol intervention is effective in reducing alcohol consumption at 6 and 12 months.","DOI":"10.1001/archinte.165.9.986","ISSN":"0003-9926","note":"PMID: 15883236","journalAbbreviation":"Arch. Intern. Med.","language":"eng","author":[{"family":"Bertholet","given":"Nicolas"},{"family":"Daeppen","given":"Jean-Bernard"},{"family":"Wietlisbach","given":"Vincent"},{"family":"Fleming","given":"Michael"},{"family":"Burnand","given":"Bernard"}],"issued":{"date-parts":[["2005",5,9]]},"PMID":"15883236"}},{"id":192,"uris":["http://zotero.org/users/1897183/items/DGWHWEIT"],"uri":["http://zotero.org/users/1897183/items/DGWHWEIT"],"itemData":{"id":192,"type":"article-journal","title":"Brief intervention, three decades on","container-title":"Nordic studies On Alcohol and Drugs","page":"453-467","volume":"25","issue":"6","author":[{"family":"Nilsen","given":"P"},{"family":"Kaner","given":"Eileen"},{"family":"Babor","given":"Thomas"}],"issued":{"date-parts":[["2008"]]}}},{"id":230,"uris":["http://zotero.org/users/1897183/items/ACVSZCTV"],"uri":["http://zotero.org/users/1897183/items/ACVSZCTV"],"itemData":{"id":230,"type":"article-journal","title":"Brief interventions in routine health care: a population-based study of conversations about alcohol in Sweden.","container-title":"Addiction (Abingdon, England)","page":"1748-1756","volume":"106","issue":"10","abstract":"AIMS: To investigate how brief alcohol interventions are delivered in routine practice in the Swedish health-care system. DESIGN, SETTING AND PARTICIPANTS: A cross-sectional sample of 6000 individuals representative of the adult population aged 18-64 years registered in the Swedish total population register was drawn randomly. Data were collected in 2010 by means of a mail questionnaire. The response rate was 54%. MEASUREMENTS: The questionnaire consisted of 27 questions, of which 15 variables were extracted for use in this study. Whether alcohol had been discussed and the duration, contents, experiences and effects of any conversations about alcohol, as reported by patients themselves, were assessed. FINDINGS: Sixty-six per cent of the respondents had visited health-care services  in the past 12 months and 20% of these had had one or more conversations about alcohol during these visits (13% of the population aged 18-64 years). The duration of the conversations was generally brief, with 94% taking less than 5 minutes, and were not experienced as problematic. The duration, contents, experiences and effects of these conversations generally varied between abstainers, moderate, hazardous and excessive drinkers. Twelve per cent of those  having a conversation about alcohol reported that it led to reduced alcohol consumption. Reduced alcohol consumption was more likely when conversations lasted for 1-10 minutes rather than less than 1 minute and included advice on how to reduce consumption. CONCLUSIONS: Population survey data in Sweden suggest that when health-care professionals give brief advice to reduce alcohol consumption, greater effects are observed when the advice is longer and includes advice on how to achieve it.","DOI":"10.1111/j.1360-0443.2011.03476.x","note":"PMID: 21518068","journalAbbreviation":"Addiction","language":"eng","author":[{"family":"Nilsen","given":"Per"},{"family":"McCambridge","given":"Jim"},{"family":"Karlsson","given":"Nadine"},{"family":"Bendtsen","given":"Preben"}],"issued":{"date-parts":[["2011",10]]},"PMID":"21518068"}},{"id":339,"uris":["http://zotero.org/users/1897183/items/BUWU2IQ7"],"uri":["http://zotero.org/users/1897183/items/BUWU2IQ7"],"itemData":{"id":339,"type":"article-journal","title":"Brief physician- and nurse practitioner–delivered counseling for high-risk drinkers: Does it work?","container-title":"Archives of Internal Medicine","page":"2198-2205","volume":"159","issue":"18","abstract":"Background \nThere is a need for primary care providers to have brief effective methods to intervene with high-risk drinkers during a regular outpatient visit.Objective\nTo determine whether brief physician- and nurse practitioner–delivered counseling intervention is efficacious as part of routine primary care in reducing alcohol consumption by high-risk drinkers.Methods\nAcademic medical center–affiliated primary care practice sites were randomized to special intervention or to usual care. From a screened population of 9772 patients seeking routine medical care with their primary care providers, 530 high-risk drinkers were entered into the study. Special intervention included training providers in a brief (5- to 10-minute) patient-centered counseling intervention, and an office support system that screened patients, cued providers to intervene, and made patient education materials available. The primary outcome measures were change in alcohol use from baseline to 6 months as measured by weekly alcohol consumption and frequency of binge drinking episodes.Results\nParticipants in the special intervention and usual care groups were similar on important background variables and potential confounders except that special intervention participants had significantly higher baseline levels of alcohol usage (P=.01). At 6-month follow-up, in the 91% of the cohort who provided follow-up information, alcohol consumption was significantly reduced when adjusted for age, sex, and baseline alcohol usage (special intervention, −5.8 drinks per week; usual care, −3.4 drinks per week; P=.001).Conclusions\nThis study provides evidence that screening and very brief (5- to 10-minute) advice and counseling delivered by a physician or nurse practitioner as part of routine primary care significantly reduces alcohol consumption by high-risk drinkers.","DOI":"10.1001/archinte.159.18.2198","ISSN":"0003-9926","journalAbbreviation":"Archives of Internal Medicine","author":[{"family":"Ockene JK","given":""},{"family":"Adams A","given":""},{"family":"Hurley TG","given":""},{"family":"Wheeler EV","given":""},{"family":"Hebert JR","given":""}],"issued":{"date-parts":[["1999",10,11]]}}}],"schema":"https://github.com/citation-style-language/schema/raw/master/csl-citation.json"} </w:instrText>
      </w:r>
      <w:r w:rsidR="009742F0" w:rsidRPr="00EA1E04">
        <w:rPr>
          <w:sz w:val="24"/>
          <w:szCs w:val="24"/>
        </w:rPr>
        <w:fldChar w:fldCharType="separate"/>
      </w:r>
      <w:r w:rsidR="00D636D7" w:rsidRPr="00EA1E04">
        <w:rPr>
          <w:rFonts w:ascii="Calibri" w:hAnsi="Calibri" w:cs="Times New Roman"/>
          <w:sz w:val="24"/>
          <w:szCs w:val="24"/>
        </w:rPr>
        <w:t>(13–17)</w:t>
      </w:r>
      <w:r w:rsidR="009742F0" w:rsidRPr="00EA1E04">
        <w:rPr>
          <w:sz w:val="24"/>
          <w:szCs w:val="24"/>
        </w:rPr>
        <w:fldChar w:fldCharType="end"/>
      </w:r>
      <w:r w:rsidR="009742F0" w:rsidRPr="00EA1E04">
        <w:rPr>
          <w:sz w:val="24"/>
          <w:szCs w:val="24"/>
        </w:rPr>
        <w:t xml:space="preserve">. </w:t>
      </w:r>
      <w:r w:rsidR="00822E2B" w:rsidRPr="00EA1E04">
        <w:rPr>
          <w:sz w:val="24"/>
          <w:szCs w:val="24"/>
        </w:rPr>
        <w:t xml:space="preserve">Recognising this potential effectiveness, efforts to promote the implementation of screening and brief </w:t>
      </w:r>
      <w:r w:rsidR="00D17CBA" w:rsidRPr="00EA1E04">
        <w:rPr>
          <w:sz w:val="24"/>
          <w:szCs w:val="24"/>
        </w:rPr>
        <w:t xml:space="preserve">alcohol </w:t>
      </w:r>
      <w:r w:rsidR="00822E2B" w:rsidRPr="00EA1E04">
        <w:rPr>
          <w:sz w:val="24"/>
          <w:szCs w:val="24"/>
        </w:rPr>
        <w:t xml:space="preserve">interventions in healthcare settings </w:t>
      </w:r>
      <w:r w:rsidR="007D4D26" w:rsidRPr="00EA1E04">
        <w:rPr>
          <w:sz w:val="24"/>
          <w:szCs w:val="24"/>
        </w:rPr>
        <w:t xml:space="preserve">are </w:t>
      </w:r>
      <w:r w:rsidR="00822E2B" w:rsidRPr="00EA1E04">
        <w:rPr>
          <w:sz w:val="24"/>
          <w:szCs w:val="24"/>
        </w:rPr>
        <w:t xml:space="preserve">now widespread in </w:t>
      </w:r>
      <w:r w:rsidR="00DB2D95" w:rsidRPr="00EA1E04">
        <w:rPr>
          <w:sz w:val="24"/>
          <w:szCs w:val="24"/>
        </w:rPr>
        <w:t>several</w:t>
      </w:r>
      <w:r w:rsidR="00822E2B" w:rsidRPr="00EA1E04">
        <w:rPr>
          <w:sz w:val="24"/>
          <w:szCs w:val="24"/>
        </w:rPr>
        <w:t xml:space="preserve"> healthcare systems</w:t>
      </w:r>
      <w:r w:rsidR="00962B93" w:rsidRPr="00EA1E04">
        <w:rPr>
          <w:sz w:val="24"/>
          <w:szCs w:val="24"/>
        </w:rPr>
        <w:fldChar w:fldCharType="begin"/>
      </w:r>
      <w:r w:rsidR="00D636D7" w:rsidRPr="00EA1E04">
        <w:rPr>
          <w:sz w:val="24"/>
          <w:szCs w:val="24"/>
        </w:rPr>
        <w:instrText xml:space="preserve"> ADDIN ZOTERO_ITEM CSL_CITATION {"citationID":"rtO2byG1","properties":{"formattedCitation":"(15,18)","plainCitation":"(15,18)"},"citationItems":[{"id":192,"uris":["http://zotero.org/users/1897183/items/DGWHWEIT"],"uri":["http://zotero.org/users/1897183/items/DGWHWEIT"],"itemData":{"id":192,"type":"article-journal","title":"Brief intervention, three decades on","container-title":"Nordic studies On Alcohol and Drugs","page":"453-467","volume":"25","issue":"6","author":[{"family":"Nilsen","given":"P"},{"family":"Kaner","given":"Eileen"},{"family":"Babor","given":"Thomas"}],"issued":{"date-parts":[["2008"]]}}},{"id":199,"uris":["http://zotero.org/users/1897183/items/EPRNFPBC"],"uri":["http://zotero.org/users/1897183/items/EPRNFPBC"],"itemData":{"id":199,"type":"article-journal","title":"Implementing Brief Interventions in Health Care: Lessons learned from the Swedish Risk drinking Project","container-title":"International Journal of Environmental Research and Public Health","page":"3609-27","volume":"2011","issue":"8","DOI":"file:///C:/Users/mcxehot/Downloads/ijerph-08-03609.pdf","author":[{"family":"Nilsen","given":"P"},{"family":"Wahlin","given":"Sven"},{"family":"Heather","given":"Nick"}]}}],"schema":"https://github.com/citation-style-language/schema/raw/master/csl-citation.json"} </w:instrText>
      </w:r>
      <w:r w:rsidR="00962B93" w:rsidRPr="00EA1E04">
        <w:rPr>
          <w:sz w:val="24"/>
          <w:szCs w:val="24"/>
        </w:rPr>
        <w:fldChar w:fldCharType="separate"/>
      </w:r>
      <w:r w:rsidR="00D636D7" w:rsidRPr="00EA1E04">
        <w:rPr>
          <w:rFonts w:ascii="Calibri" w:hAnsi="Calibri"/>
          <w:sz w:val="24"/>
        </w:rPr>
        <w:t>(15,18)</w:t>
      </w:r>
      <w:r w:rsidR="00962B93" w:rsidRPr="00EA1E04">
        <w:rPr>
          <w:sz w:val="24"/>
          <w:szCs w:val="24"/>
        </w:rPr>
        <w:fldChar w:fldCharType="end"/>
      </w:r>
      <w:r w:rsidR="00822E2B" w:rsidRPr="00EA1E04">
        <w:rPr>
          <w:sz w:val="24"/>
          <w:szCs w:val="24"/>
        </w:rPr>
        <w:t xml:space="preserve">. </w:t>
      </w:r>
    </w:p>
    <w:p w:rsidR="00D17CBA" w:rsidRPr="00EA1E04" w:rsidRDefault="009742F0" w:rsidP="009742F0">
      <w:pPr>
        <w:spacing w:line="360" w:lineRule="auto"/>
        <w:jc w:val="both"/>
        <w:rPr>
          <w:sz w:val="24"/>
          <w:szCs w:val="24"/>
        </w:rPr>
      </w:pPr>
      <w:r w:rsidRPr="00EA1E04">
        <w:rPr>
          <w:sz w:val="24"/>
          <w:szCs w:val="24"/>
        </w:rPr>
        <w:t>Previous studies</w:t>
      </w:r>
      <w:r w:rsidR="00EA1E04" w:rsidRPr="00EA1E04">
        <w:rPr>
          <w:sz w:val="24"/>
          <w:szCs w:val="24"/>
        </w:rPr>
        <w:t>,</w:t>
      </w:r>
      <w:r w:rsidRPr="00EA1E04">
        <w:rPr>
          <w:sz w:val="24"/>
          <w:szCs w:val="24"/>
        </w:rPr>
        <w:t xml:space="preserve"> however</w:t>
      </w:r>
      <w:r w:rsidR="00EA1E04" w:rsidRPr="00EA1E04">
        <w:rPr>
          <w:sz w:val="24"/>
          <w:szCs w:val="24"/>
        </w:rPr>
        <w:t>,</w:t>
      </w:r>
      <w:r w:rsidRPr="00EA1E04">
        <w:rPr>
          <w:sz w:val="24"/>
          <w:szCs w:val="24"/>
        </w:rPr>
        <w:t xml:space="preserve"> suggest that certain subgroups of the population are less likely to make contact with health services and may therefore have fewer opportunities to receive opportunistic brief advice. </w:t>
      </w:r>
      <w:r w:rsidR="00EB7E52" w:rsidRPr="00EA1E04">
        <w:rPr>
          <w:sz w:val="24"/>
          <w:szCs w:val="24"/>
        </w:rPr>
        <w:t xml:space="preserve">For example, in the </w:t>
      </w:r>
      <w:r w:rsidR="00822E2B" w:rsidRPr="00EA1E04">
        <w:rPr>
          <w:sz w:val="24"/>
          <w:szCs w:val="24"/>
        </w:rPr>
        <w:t xml:space="preserve">UK </w:t>
      </w:r>
      <w:r w:rsidR="00EB7E52" w:rsidRPr="00EA1E04">
        <w:rPr>
          <w:sz w:val="24"/>
          <w:szCs w:val="24"/>
        </w:rPr>
        <w:t>general population</w:t>
      </w:r>
      <w:r w:rsidRPr="00EA1E04">
        <w:rPr>
          <w:sz w:val="24"/>
          <w:szCs w:val="24"/>
        </w:rPr>
        <w:t xml:space="preserve"> men </w:t>
      </w:r>
      <w:r w:rsidR="00822E2B" w:rsidRPr="00EA1E04">
        <w:rPr>
          <w:sz w:val="24"/>
          <w:szCs w:val="24"/>
        </w:rPr>
        <w:t xml:space="preserve">have been shown to be </w:t>
      </w:r>
      <w:r w:rsidRPr="00EA1E04">
        <w:rPr>
          <w:sz w:val="24"/>
          <w:szCs w:val="24"/>
        </w:rPr>
        <w:t>less likely than women to utilise healthcare services</w:t>
      </w:r>
      <w:r w:rsidRPr="00EA1E04">
        <w:rPr>
          <w:sz w:val="24"/>
          <w:szCs w:val="24"/>
        </w:rPr>
        <w:fldChar w:fldCharType="begin"/>
      </w:r>
      <w:r w:rsidR="00D636D7" w:rsidRPr="00EA1E04">
        <w:rPr>
          <w:sz w:val="24"/>
          <w:szCs w:val="24"/>
        </w:rPr>
        <w:instrText xml:space="preserve"> ADDIN ZOTERO_ITEM CSL_CITATION {"citationID":"0jwbEctN","properties":{"formattedCitation":"(19,20)","plainCitation":"(19,20)"},"citationItems":[{"id":136,"uris":["http://zotero.org/users/1897183/items/SZQ32UI2"],"uri":["http://zotero.org/users/1897183/items/SZQ32UI2"],"itemData":{"id":136,"type":"article","title":"General Lifestyle Survey: a report on the 2009 General Lifestyle","publisher":"Office for National Statistics 2011","author":[{"family":"Office for National Statistics","given":""}]}},{"id":134,"uris":["http://zotero.org/users/1897183/items/3XFV9CIX"],"uri":["http://zotero.org/users/1897183/items/3XFV9CIX"],"itemData":{"id":134,"type":"article","title":"Trend in consultation rates in general practice 1995 to 2008: analysis of the QRESEARCH database","publisher":"The NHS Information Centre,2009","author":[{"family":"Hippisley-Cox J, Vinogradova Y.","given":""}]}}],"schema":"https://github.com/citation-style-language/schema/raw/master/csl-citation.json"} </w:instrText>
      </w:r>
      <w:r w:rsidRPr="00EA1E04">
        <w:rPr>
          <w:sz w:val="24"/>
          <w:szCs w:val="24"/>
        </w:rPr>
        <w:fldChar w:fldCharType="separate"/>
      </w:r>
      <w:r w:rsidR="00D636D7" w:rsidRPr="00EA1E04">
        <w:rPr>
          <w:rFonts w:ascii="Calibri" w:hAnsi="Calibri"/>
          <w:sz w:val="24"/>
        </w:rPr>
        <w:t>(19,20)</w:t>
      </w:r>
      <w:r w:rsidRPr="00EA1E04">
        <w:rPr>
          <w:sz w:val="24"/>
          <w:szCs w:val="24"/>
        </w:rPr>
        <w:fldChar w:fldCharType="end"/>
      </w:r>
      <w:r w:rsidR="00AB4B90" w:rsidRPr="00EA1E04">
        <w:rPr>
          <w:sz w:val="24"/>
          <w:szCs w:val="24"/>
        </w:rPr>
        <w:t xml:space="preserve">. </w:t>
      </w:r>
      <w:r w:rsidR="00C74586" w:rsidRPr="00EA1E04">
        <w:rPr>
          <w:sz w:val="24"/>
          <w:szCs w:val="24"/>
        </w:rPr>
        <w:t xml:space="preserve">Such </w:t>
      </w:r>
      <w:r w:rsidR="00AB4B90" w:rsidRPr="00EA1E04">
        <w:rPr>
          <w:sz w:val="24"/>
          <w:szCs w:val="24"/>
        </w:rPr>
        <w:t>differences could</w:t>
      </w:r>
      <w:r w:rsidRPr="00EA1E04">
        <w:rPr>
          <w:sz w:val="24"/>
          <w:szCs w:val="24"/>
        </w:rPr>
        <w:t xml:space="preserve"> have important implications for population strategies aimed at reducing alcohol related harm</w:t>
      </w:r>
      <w:r w:rsidR="00EB7E52" w:rsidRPr="00EA1E04">
        <w:rPr>
          <w:sz w:val="24"/>
          <w:szCs w:val="24"/>
        </w:rPr>
        <w:t xml:space="preserve">, particularly if these differences are apparent in populations that are at </w:t>
      </w:r>
      <w:r w:rsidR="00C74586" w:rsidRPr="00EA1E04">
        <w:rPr>
          <w:sz w:val="24"/>
          <w:szCs w:val="24"/>
        </w:rPr>
        <w:t xml:space="preserve">the highest </w:t>
      </w:r>
      <w:r w:rsidR="00EB7E52" w:rsidRPr="00EA1E04">
        <w:rPr>
          <w:sz w:val="24"/>
          <w:szCs w:val="24"/>
        </w:rPr>
        <w:t>risk of</w:t>
      </w:r>
      <w:r w:rsidR="00C74586" w:rsidRPr="00EA1E04">
        <w:rPr>
          <w:sz w:val="24"/>
          <w:szCs w:val="24"/>
        </w:rPr>
        <w:t xml:space="preserve"> developing</w:t>
      </w:r>
      <w:r w:rsidR="00EB7E52" w:rsidRPr="00EA1E04">
        <w:rPr>
          <w:sz w:val="24"/>
          <w:szCs w:val="24"/>
        </w:rPr>
        <w:t xml:space="preserve"> alcohol</w:t>
      </w:r>
      <w:r w:rsidR="00AB4B90" w:rsidRPr="00EA1E04">
        <w:rPr>
          <w:sz w:val="24"/>
          <w:szCs w:val="24"/>
        </w:rPr>
        <w:t>-related disorders.</w:t>
      </w:r>
      <w:r w:rsidR="00822E2B" w:rsidRPr="00EA1E04">
        <w:rPr>
          <w:sz w:val="24"/>
          <w:szCs w:val="24"/>
        </w:rPr>
        <w:t xml:space="preserve"> </w:t>
      </w:r>
      <w:r w:rsidR="00F958B5" w:rsidRPr="00EA1E04">
        <w:rPr>
          <w:sz w:val="24"/>
          <w:szCs w:val="24"/>
        </w:rPr>
        <w:t xml:space="preserve">Despite this, </w:t>
      </w:r>
      <w:r w:rsidR="007D4D26" w:rsidRPr="00EA1E04">
        <w:rPr>
          <w:sz w:val="24"/>
          <w:szCs w:val="24"/>
        </w:rPr>
        <w:t xml:space="preserve">little </w:t>
      </w:r>
      <w:r w:rsidR="00822E2B" w:rsidRPr="00EA1E04">
        <w:rPr>
          <w:sz w:val="24"/>
          <w:szCs w:val="24"/>
        </w:rPr>
        <w:t>attention has been given to understand</w:t>
      </w:r>
      <w:r w:rsidR="00F958B5" w:rsidRPr="00EA1E04">
        <w:rPr>
          <w:sz w:val="24"/>
          <w:szCs w:val="24"/>
        </w:rPr>
        <w:t>ing</w:t>
      </w:r>
      <w:r w:rsidR="00822E2B" w:rsidRPr="00EA1E04">
        <w:rPr>
          <w:sz w:val="24"/>
          <w:szCs w:val="24"/>
        </w:rPr>
        <w:t xml:space="preserve"> healthcare utilisation pa</w:t>
      </w:r>
      <w:r w:rsidR="00EE3325" w:rsidRPr="00EA1E04">
        <w:rPr>
          <w:sz w:val="24"/>
          <w:szCs w:val="24"/>
        </w:rPr>
        <w:t>tterns of high risk patient groups</w:t>
      </w:r>
      <w:r w:rsidR="00822E2B" w:rsidRPr="00EA1E04">
        <w:rPr>
          <w:sz w:val="24"/>
          <w:szCs w:val="24"/>
        </w:rPr>
        <w:t xml:space="preserve"> who develop alcohol use disorders</w:t>
      </w:r>
      <w:r w:rsidR="00EE3325" w:rsidRPr="00EA1E04">
        <w:rPr>
          <w:sz w:val="24"/>
          <w:szCs w:val="24"/>
        </w:rPr>
        <w:t xml:space="preserve">, and </w:t>
      </w:r>
      <w:r w:rsidR="0058051E" w:rsidRPr="00EA1E04">
        <w:rPr>
          <w:sz w:val="24"/>
          <w:szCs w:val="24"/>
        </w:rPr>
        <w:t xml:space="preserve">there is </w:t>
      </w:r>
      <w:r w:rsidR="00F958B5" w:rsidRPr="00EA1E04">
        <w:rPr>
          <w:sz w:val="24"/>
          <w:szCs w:val="24"/>
        </w:rPr>
        <w:t xml:space="preserve">a </w:t>
      </w:r>
      <w:r w:rsidR="0058051E" w:rsidRPr="00EA1E04">
        <w:rPr>
          <w:sz w:val="24"/>
          <w:szCs w:val="24"/>
        </w:rPr>
        <w:t>paucity of data on</w:t>
      </w:r>
      <w:r w:rsidR="0058051E" w:rsidRPr="00EA1E04">
        <w:rPr>
          <w:rFonts w:ascii="Arial" w:hAnsi="Arial" w:cs="Arial"/>
          <w:sz w:val="18"/>
          <w:szCs w:val="18"/>
          <w:shd w:val="clear" w:color="auto" w:fill="FFFFFF"/>
        </w:rPr>
        <w:t xml:space="preserve"> </w:t>
      </w:r>
      <w:r w:rsidR="0058051E" w:rsidRPr="00EA1E04">
        <w:rPr>
          <w:sz w:val="24"/>
          <w:szCs w:val="24"/>
        </w:rPr>
        <w:t xml:space="preserve">how </w:t>
      </w:r>
      <w:r w:rsidR="00EE3325" w:rsidRPr="00EA1E04">
        <w:rPr>
          <w:sz w:val="24"/>
          <w:szCs w:val="24"/>
        </w:rPr>
        <w:t>often alcohol use is asked about and how often brief intervention</w:t>
      </w:r>
      <w:r w:rsidR="00F958B5" w:rsidRPr="00EA1E04">
        <w:rPr>
          <w:sz w:val="24"/>
          <w:szCs w:val="24"/>
        </w:rPr>
        <w:t>s are</w:t>
      </w:r>
      <w:r w:rsidR="00EE3325" w:rsidRPr="00EA1E04">
        <w:rPr>
          <w:sz w:val="24"/>
          <w:szCs w:val="24"/>
        </w:rPr>
        <w:t xml:space="preserve"> </w:t>
      </w:r>
      <w:r w:rsidR="007D4D26" w:rsidRPr="00EA1E04">
        <w:rPr>
          <w:sz w:val="24"/>
          <w:szCs w:val="24"/>
        </w:rPr>
        <w:t xml:space="preserve">administered </w:t>
      </w:r>
      <w:r w:rsidR="00EE3325" w:rsidRPr="00EA1E04">
        <w:rPr>
          <w:sz w:val="24"/>
          <w:szCs w:val="24"/>
        </w:rPr>
        <w:t xml:space="preserve">in </w:t>
      </w:r>
      <w:r w:rsidR="007E4AB8" w:rsidRPr="00EA1E04">
        <w:rPr>
          <w:sz w:val="24"/>
          <w:szCs w:val="24"/>
        </w:rPr>
        <w:t xml:space="preserve">such </w:t>
      </w:r>
      <w:r w:rsidR="00EE3325" w:rsidRPr="00EA1E04">
        <w:rPr>
          <w:sz w:val="24"/>
          <w:szCs w:val="24"/>
        </w:rPr>
        <w:t>patient groups</w:t>
      </w:r>
      <w:r w:rsidR="00822E2B" w:rsidRPr="00EA1E04">
        <w:rPr>
          <w:sz w:val="24"/>
          <w:szCs w:val="24"/>
        </w:rPr>
        <w:t>.</w:t>
      </w:r>
      <w:r w:rsidR="00EE3325" w:rsidRPr="00EA1E04">
        <w:rPr>
          <w:sz w:val="24"/>
          <w:szCs w:val="24"/>
        </w:rPr>
        <w:t xml:space="preserve"> </w:t>
      </w:r>
    </w:p>
    <w:p w:rsidR="00822E2B" w:rsidRPr="00EA1E04" w:rsidRDefault="00AB4B90" w:rsidP="009742F0">
      <w:pPr>
        <w:spacing w:line="360" w:lineRule="auto"/>
        <w:jc w:val="both"/>
        <w:rPr>
          <w:sz w:val="24"/>
          <w:szCs w:val="24"/>
        </w:rPr>
      </w:pPr>
      <w:r w:rsidRPr="00EA1E04">
        <w:rPr>
          <w:sz w:val="24"/>
          <w:szCs w:val="24"/>
        </w:rPr>
        <w:lastRenderedPageBreak/>
        <w:t>The occurrence of alcoholic cirrhosis is generally believed to require around 10</w:t>
      </w:r>
      <w:r w:rsidR="00C357E1" w:rsidRPr="00EA1E04">
        <w:rPr>
          <w:sz w:val="24"/>
          <w:szCs w:val="24"/>
        </w:rPr>
        <w:t xml:space="preserve"> to 20 </w:t>
      </w:r>
      <w:r w:rsidRPr="00EA1E04">
        <w:rPr>
          <w:sz w:val="24"/>
          <w:szCs w:val="24"/>
        </w:rPr>
        <w:t>years of “heavy” drinking to be</w:t>
      </w:r>
      <w:r w:rsidR="00F958B5" w:rsidRPr="00EA1E04">
        <w:rPr>
          <w:sz w:val="24"/>
          <w:szCs w:val="24"/>
        </w:rPr>
        <w:t>come</w:t>
      </w:r>
      <w:r w:rsidRPr="00EA1E04">
        <w:rPr>
          <w:sz w:val="24"/>
          <w:szCs w:val="24"/>
        </w:rPr>
        <w:t xml:space="preserve"> established</w:t>
      </w:r>
      <w:r w:rsidR="00C357E1" w:rsidRPr="00EA1E04">
        <w:rPr>
          <w:sz w:val="24"/>
          <w:szCs w:val="24"/>
        </w:rPr>
        <w:fldChar w:fldCharType="begin"/>
      </w:r>
      <w:r w:rsidR="000613A0" w:rsidRPr="00EA1E04">
        <w:rPr>
          <w:sz w:val="24"/>
          <w:szCs w:val="24"/>
        </w:rPr>
        <w:instrText xml:space="preserve"> ADDIN ZOTERO_ITEM CSL_CITATION {"citationID":"xQpGPOvi","properties":{"formattedCitation":"{\\rtf (21\\uc0\\u8211{}24)}","plainCitation":"(21–24)"},"citationItems":[{"id":189,"uris":["http://zotero.org/users/1897183/items/3RXWQ54E"],"uri":["http://zotero.org/users/1897183/items/3RXWQ54E"],"itemData":{"id":189,"type":"article-journal","title":"Do women develop alcoholic liver disease more readily than men?","container-title":"British Medical Journal (Clinical Research Ed.)","page":"1140-1143","volume":"282","issue":"6270","abstract":"The sudden increase in alcoholic liver disease among women in the past 10 years has caused much speculation that they may be more susceptible to the hepatotoxic effects of alcohol than men. Women tend to present with more severe liver disease, particularly alcoholic hepatitis, and do so after a shorter period of excessive drinking and at a lower daily alcohol intake. Differences in body size and composition are partly responsible for the greater susceptibility of women, but differences in immune reactivity between the sexes may also play a part. Greater emphasis must be placed on designing abstinence programmes specifically for female patients, on earlier detection of liver disease, and on educating women about hazardous drinking levels.","ISSN":"0267-0623","note":"PMID: 6786474 \nPMCID: PMC1505078","journalAbbreviation":"Br Med J (Clin Res Ed)","language":"eng","author":[{"family":"Saunders","given":"J. B."},{"family":"Davis","given":"M."},{"family":"Williams","given":"R."}],"issued":{"date-parts":[["1981",4,4]]},"PMID":"6786474","PMCID":"PMC1505078"}},{"id":43,"uris":["http://zotero.org/users/1897183/items/MQQ4I9MB"],"uri":["http://zotero.org/users/1897183/items/MQQ4I9MB"],"itemData":{"id":43,"type":"article-journal","title":"Alcohol and cirrhosis: dose–response or threshold effect?","container-title":"Journal of Hepatology","page":"25-30","volume":"41","issue":"1","DOI":"10.1016/j.jhep.2004.03.002","ISSN":"0168-8278","shortTitle":"Alcohol and cirrhosis: dose–response or threshold effect?","author":[{"family":"Kamper-Jørgensen","given":"Mads"},{"family":"Grønbæk","given":"Morten"},{"family":"Tolstrup","given":"Janne"},{"family":"Becker","given":"Ulrik"}],"issued":{"literal":"7"}}},{"id":110,"uris":["http://zotero.org/users/1897183/items/UK758SZU"],"uri":["http://zotero.org/users/1897183/items/UK758SZU"],"itemData":{"id":110,"type":"article-journal","title":"Opportunities for prevention of alcohol-related death in primary care: results from a population-based cross-sectional study","container-title":"Alcohol (Fayetteville, N.Y.)","page":"703-707","volume":"46","issue":"7","abstract":"The mortality rate from alcohol-related conditions has risen sharply in the United Kingdom and it is not known whether opportunities for preventive interventions could be improved. The purpose of our study was to identify opportunities to detect, assess, and manage alcohol problems in primary care according to evidence-based guidelines. We carried out a cross-sectional study on patients who died from alcohol-related conditions in the calendar year 2003 within National Health Service Greater Glasgow Health Board area, Scotland (population 920,000). We described patient characteristics and care recorded in health service records, comparing it with best evidence-based practice in Scottish Intercollegiate Guidelines Network and Health Technology Board for Scotland recommendations on the management of harmful drinking and alcohol dependence. 501 deaths occurred from an alcohol-related cause. The mean age at death was 57.5 years and 72% were male. The most common causes of death, recorded by the International Classification of Diseases, revision 10, excluding accidents, were alcoholic liver disease (290, 57.9%) and mental and behavioural disorders due to alcohol (70, 14.0%). Lifetime mean consultations at primary care general practitioner and hospital outpatient departments were 24 in males and 5 in females. All individuals who died from an alcohol-related cause had at least one biochemical or physical indicator suggestive of alcohol misuse. 21% (95% CI 13-33%) had no record of having been advised to abstain from alcohol and 23% (95% CI 15-35%) had received brief interventions. 58% (95% CI 46-70%) had been referred to specialist alcohol services but a third of them did not attend. The majority of patients (83%, 95% CI 72-90%) had no evidence of shared health service and social work care. We concluded that individuals who died from alcohol-related conditions were usually in contact with statutory and voluntary services but further efforts were required to use these opportunities to detect, assess, and manage serious alcohol problems according to evidence-based guidelines.","DOI":"10.1016/j.alcohol.2011.12.006","ISSN":"1873-6823","note":"PMID: 22840815","journalAbbreviation":"Alcohol","language":"eng","author":[{"family":"Morris","given":"Margaret"},{"family":"Johnson","given":"David"},{"family":"Morrison","given":"David S"}],"issued":{"date-parts":[["2012",11]]},"PMID":"22840815"}},{"id":187,"uris":["http://zotero.org/users/1897183/items/RAABUF9K"],"uri":["http://zotero.org/users/1897183/items/RAABUF9K"],"itemData":{"id":187,"type":"article-journal","title":"Prediction of risk of liver disease by alcohol intake, sex, and age: A prospective population study","container-title":"Hepatology","page":"1025-1029","volume":"23","issue":"5","abstract":"The association between self-reported alcohol intake and the risk of future liver disease was studied in a large population-based prospective cohort with 12-year follow-up. Alcohol intake was assessed in 13,285 men and women aged 30 to 79 years by a self-administered questionnaire. Diagnoses indicating alcohol-induced liver disease (n − 261) or alcohol-induced cirrhosis (n − 124) were obtained from death certificates and the hospital discharge register, and data were analyzed by multiplicative Poisson regression models. The total cumulated observation time was 130,558 person-years. The overall incidence rates of alcohol-induced cirrhosis were 0.2% per year in men and 0.03% per year in women. The nadir of the estimated relative risk of developing liver disease was observed at an alcohol intake of 1 to 6 beverages per week, and above this level a steep increase in relative risk was observed. The risk function was independent of age and stable over time. The level of alcohol intake above which the relative risk was significantly greater than 1 was observed at 7 to 13 beverages per week for women and 14 to 27 beverages per week for men. Women had a significantly higher relative risk of developing alcohol-related liver disease than men for any given level of alcohol intake. We observed a dose-dependent increase in relative risk of developing alcohol-induced liver disease for both men and women, with the steepest increase among women. In the general population, self-reported current alcohol intake is a good predictor of the future risk of alcohol-induced liver disease.","DOI":"10.1002/hep.510230513","ISSN":"1527-3350","journalAbbreviation":"Hepatology","author":[{"family":"Becker","given":"U"},{"family":"Deis","given":"A"},{"family":"Sorensen","given":"T I"},{"family":"Gronbaek","given":"M"},{"family":"Borch-Johnsen","given":"K"},{"family":"Muller","given":"C F"},{"family":"Schnohr","given":"P"},{"family":"Jensen","given":"G"}],"issued":{"date-parts":[["1996",5,1]]}}}],"schema":"https://github.com/citation-style-language/schema/raw/master/csl-citation.json"} </w:instrText>
      </w:r>
      <w:r w:rsidR="00C357E1" w:rsidRPr="00EA1E04">
        <w:rPr>
          <w:sz w:val="24"/>
          <w:szCs w:val="24"/>
        </w:rPr>
        <w:fldChar w:fldCharType="separate"/>
      </w:r>
      <w:r w:rsidR="000613A0" w:rsidRPr="00EA1E04">
        <w:rPr>
          <w:rFonts w:ascii="Calibri" w:hAnsi="Calibri" w:cs="Times New Roman"/>
          <w:sz w:val="24"/>
          <w:szCs w:val="24"/>
        </w:rPr>
        <w:t>(21–24)</w:t>
      </w:r>
      <w:r w:rsidR="00C357E1" w:rsidRPr="00EA1E04">
        <w:rPr>
          <w:sz w:val="24"/>
          <w:szCs w:val="24"/>
        </w:rPr>
        <w:fldChar w:fldCharType="end"/>
      </w:r>
      <w:r w:rsidR="005B3245" w:rsidRPr="00EA1E04">
        <w:rPr>
          <w:sz w:val="24"/>
          <w:szCs w:val="24"/>
        </w:rPr>
        <w:t>.</w:t>
      </w:r>
      <w:r w:rsidRPr="00EA1E04">
        <w:rPr>
          <w:sz w:val="24"/>
          <w:szCs w:val="24"/>
        </w:rPr>
        <w:t xml:space="preserve"> We therefore chose to examine </w:t>
      </w:r>
      <w:r w:rsidR="00977ECD" w:rsidRPr="00EA1E04">
        <w:rPr>
          <w:sz w:val="24"/>
          <w:szCs w:val="24"/>
        </w:rPr>
        <w:t xml:space="preserve">opportunities </w:t>
      </w:r>
      <w:r w:rsidRPr="00EA1E04">
        <w:rPr>
          <w:sz w:val="24"/>
          <w:szCs w:val="24"/>
        </w:rPr>
        <w:t xml:space="preserve">for </w:t>
      </w:r>
      <w:r w:rsidR="00F958B5" w:rsidRPr="00EA1E04">
        <w:rPr>
          <w:sz w:val="24"/>
          <w:szCs w:val="24"/>
        </w:rPr>
        <w:t xml:space="preserve">alcohol use </w:t>
      </w:r>
      <w:r w:rsidRPr="00EA1E04">
        <w:rPr>
          <w:sz w:val="24"/>
          <w:szCs w:val="24"/>
        </w:rPr>
        <w:t xml:space="preserve">identification and intervention in this particularly high-risk population as they represent a group of patients whose disease is entirely attributable to </w:t>
      </w:r>
      <w:r w:rsidR="00EB71EA" w:rsidRPr="00EA1E04">
        <w:rPr>
          <w:sz w:val="24"/>
          <w:szCs w:val="24"/>
        </w:rPr>
        <w:t>alcohol</w:t>
      </w:r>
      <w:r w:rsidR="00160393" w:rsidRPr="00EA1E04">
        <w:rPr>
          <w:sz w:val="24"/>
          <w:szCs w:val="24"/>
        </w:rPr>
        <w:fldChar w:fldCharType="begin"/>
      </w:r>
      <w:r w:rsidR="00D636D7" w:rsidRPr="00EA1E04">
        <w:rPr>
          <w:sz w:val="24"/>
          <w:szCs w:val="24"/>
        </w:rPr>
        <w:instrText xml:space="preserve"> ADDIN ZOTERO_ITEM CSL_CITATION {"citationID":"1ol00i0fs","properties":{"formattedCitation":"(25)","plainCitation":"(25)"},"citationItems":[{"id":72,"uris":["http://zotero.org/users/1897183/items/7PICERCV"],"uri":["http://zotero.org/users/1897183/items/7PICERCV"],"itemData":{"id":72,"type":"article-journal","title":"The relation between different dimensions of alcohol consumption and burden of disease: an overview","container-title":"Addiction","page":"817-843","volume":"105","issue":"5","DOI":"10.1111/j.1360-0443.2010.02899.x","ISSN":"1360-0443","shortTitle":"The relation between different dimensions of alcohol consumption and burden of disease: an overview","author":[{"family":"Rehm","given":"Jürgen"},{"family":"Baliunas","given":"Dolly"},{"family":"Borges","given":"Guilherme L. G."},{"family":"Graham","given":"Kathryn"},{"family":"Irving","given":"Hyacinth"},{"family":"Kehoe","given":"Tara"},{"family":"Parry","given":"Charles D."},{"family":"Patra","given":"Jayadeep"},{"family":"Popova","given":"Svetlana"},{"family":"Poznyak","given":"Vladimir"},{"family":"Roerecke","given":"Michael"},{"family":"Room","given":"Robin"},{"family":"Samokhvalov","given":"Andriy V."},{"family":"Taylor","given":"Benjamin"}],"issued":{"date-parts":[["2010"]]}}}],"schema":"https://github.com/citation-style-language/schema/raw/master/csl-citation.json"} </w:instrText>
      </w:r>
      <w:r w:rsidR="00160393" w:rsidRPr="00EA1E04">
        <w:rPr>
          <w:sz w:val="24"/>
          <w:szCs w:val="24"/>
        </w:rPr>
        <w:fldChar w:fldCharType="separate"/>
      </w:r>
      <w:r w:rsidR="00D636D7" w:rsidRPr="00EA1E04">
        <w:rPr>
          <w:rFonts w:ascii="Calibri" w:hAnsi="Calibri"/>
          <w:sz w:val="24"/>
        </w:rPr>
        <w:t>(25)</w:t>
      </w:r>
      <w:r w:rsidR="00160393" w:rsidRPr="00EA1E04">
        <w:rPr>
          <w:sz w:val="24"/>
          <w:szCs w:val="24"/>
        </w:rPr>
        <w:fldChar w:fldCharType="end"/>
      </w:r>
      <w:r w:rsidR="00160393" w:rsidRPr="00EA1E04">
        <w:rPr>
          <w:sz w:val="24"/>
          <w:szCs w:val="24"/>
        </w:rPr>
        <w:t xml:space="preserve"> </w:t>
      </w:r>
      <w:r w:rsidRPr="00EA1E04">
        <w:rPr>
          <w:sz w:val="24"/>
          <w:szCs w:val="24"/>
        </w:rPr>
        <w:t>and where most harm might be avoided through early identification.</w:t>
      </w:r>
      <w:r w:rsidR="00873625" w:rsidRPr="00EA1E04">
        <w:rPr>
          <w:sz w:val="24"/>
          <w:szCs w:val="24"/>
        </w:rPr>
        <w:t xml:space="preserve"> The aim of the</w:t>
      </w:r>
      <w:r w:rsidRPr="00EA1E04">
        <w:rPr>
          <w:sz w:val="24"/>
          <w:szCs w:val="24"/>
        </w:rPr>
        <w:t xml:space="preserve"> study was</w:t>
      </w:r>
      <w:r w:rsidR="00822E2B" w:rsidRPr="00EA1E04">
        <w:rPr>
          <w:sz w:val="24"/>
          <w:szCs w:val="24"/>
        </w:rPr>
        <w:t xml:space="preserve"> twofold:</w:t>
      </w:r>
    </w:p>
    <w:p w:rsidR="00822E2B" w:rsidRPr="00EA1E04" w:rsidRDefault="00822E2B" w:rsidP="009742F0">
      <w:pPr>
        <w:spacing w:line="360" w:lineRule="auto"/>
        <w:jc w:val="both"/>
        <w:rPr>
          <w:sz w:val="24"/>
          <w:szCs w:val="24"/>
        </w:rPr>
      </w:pPr>
      <w:r w:rsidRPr="00EA1E04">
        <w:rPr>
          <w:sz w:val="24"/>
          <w:szCs w:val="24"/>
        </w:rPr>
        <w:t>1)</w:t>
      </w:r>
      <w:r w:rsidR="00AB4B90" w:rsidRPr="00EA1E04">
        <w:rPr>
          <w:sz w:val="24"/>
          <w:szCs w:val="24"/>
        </w:rPr>
        <w:t xml:space="preserve"> </w:t>
      </w:r>
      <w:r w:rsidRPr="00EA1E04">
        <w:rPr>
          <w:sz w:val="24"/>
          <w:szCs w:val="24"/>
        </w:rPr>
        <w:t>T</w:t>
      </w:r>
      <w:r w:rsidR="00AB4B90" w:rsidRPr="00EA1E04">
        <w:rPr>
          <w:sz w:val="24"/>
          <w:szCs w:val="24"/>
        </w:rPr>
        <w:t xml:space="preserve">o </w:t>
      </w:r>
      <w:r w:rsidR="005625C2" w:rsidRPr="00EA1E04">
        <w:rPr>
          <w:sz w:val="24"/>
          <w:szCs w:val="24"/>
        </w:rPr>
        <w:t>estimate</w:t>
      </w:r>
      <w:r w:rsidRPr="00EA1E04">
        <w:rPr>
          <w:sz w:val="24"/>
          <w:szCs w:val="24"/>
        </w:rPr>
        <w:t xml:space="preserve"> sex differences in primary and secondary </w:t>
      </w:r>
      <w:r w:rsidR="00962B93" w:rsidRPr="00EA1E04">
        <w:rPr>
          <w:sz w:val="24"/>
          <w:szCs w:val="24"/>
        </w:rPr>
        <w:t xml:space="preserve">care </w:t>
      </w:r>
      <w:r w:rsidRPr="00EA1E04">
        <w:rPr>
          <w:sz w:val="24"/>
          <w:szCs w:val="24"/>
        </w:rPr>
        <w:t xml:space="preserve">use among patients in the UK who later develop alcohol related cirrhosis in comparison </w:t>
      </w:r>
      <w:r w:rsidR="007E4AB8" w:rsidRPr="00EA1E04">
        <w:rPr>
          <w:sz w:val="24"/>
          <w:szCs w:val="24"/>
        </w:rPr>
        <w:t>to the</w:t>
      </w:r>
      <w:r w:rsidR="00962B93" w:rsidRPr="00EA1E04">
        <w:rPr>
          <w:sz w:val="24"/>
          <w:szCs w:val="24"/>
        </w:rPr>
        <w:t xml:space="preserve"> general </w:t>
      </w:r>
      <w:r w:rsidRPr="00EA1E04">
        <w:rPr>
          <w:sz w:val="24"/>
          <w:szCs w:val="24"/>
        </w:rPr>
        <w:t>population</w:t>
      </w:r>
      <w:r w:rsidR="00F958B5" w:rsidRPr="00EA1E04">
        <w:rPr>
          <w:sz w:val="24"/>
          <w:szCs w:val="24"/>
        </w:rPr>
        <w:t>.</w:t>
      </w:r>
    </w:p>
    <w:p w:rsidR="005B3245" w:rsidRPr="00EA1E04" w:rsidRDefault="00822E2B" w:rsidP="005B3245">
      <w:pPr>
        <w:spacing w:line="360" w:lineRule="auto"/>
        <w:jc w:val="both"/>
        <w:rPr>
          <w:sz w:val="24"/>
          <w:szCs w:val="24"/>
        </w:rPr>
      </w:pPr>
      <w:r w:rsidRPr="00EA1E04">
        <w:rPr>
          <w:sz w:val="24"/>
          <w:szCs w:val="24"/>
        </w:rPr>
        <w:t>2)</w:t>
      </w:r>
      <w:r w:rsidR="005625C2" w:rsidRPr="00EA1E04">
        <w:rPr>
          <w:sz w:val="24"/>
          <w:szCs w:val="24"/>
        </w:rPr>
        <w:t xml:space="preserve"> </w:t>
      </w:r>
      <w:r w:rsidR="005B3245" w:rsidRPr="00EA1E04">
        <w:rPr>
          <w:sz w:val="24"/>
          <w:szCs w:val="24"/>
        </w:rPr>
        <w:t xml:space="preserve"> To estimate sex differences in the extent to which alcohol use and brief alcohol interventions were documented for these individuals in comparison to the general population.</w:t>
      </w:r>
    </w:p>
    <w:p w:rsidR="009742F0" w:rsidRPr="00EA1E04" w:rsidRDefault="009742F0" w:rsidP="009742F0">
      <w:pPr>
        <w:spacing w:line="360" w:lineRule="auto"/>
        <w:jc w:val="both"/>
        <w:rPr>
          <w:sz w:val="24"/>
          <w:szCs w:val="24"/>
        </w:rPr>
      </w:pPr>
    </w:p>
    <w:p w:rsidR="009742F0" w:rsidRPr="00EA1E04" w:rsidRDefault="009742F0" w:rsidP="00EB71EA">
      <w:pPr>
        <w:rPr>
          <w:b/>
          <w:sz w:val="24"/>
          <w:szCs w:val="24"/>
        </w:rPr>
      </w:pPr>
      <w:r w:rsidRPr="00EA1E04">
        <w:rPr>
          <w:b/>
          <w:sz w:val="24"/>
          <w:szCs w:val="24"/>
        </w:rPr>
        <w:br w:type="page"/>
      </w:r>
      <w:r w:rsidR="001141B7" w:rsidRPr="00EA1E04">
        <w:rPr>
          <w:b/>
          <w:sz w:val="24"/>
          <w:szCs w:val="24"/>
        </w:rPr>
        <w:lastRenderedPageBreak/>
        <w:t>METHODS</w:t>
      </w:r>
    </w:p>
    <w:p w:rsidR="009742F0" w:rsidRPr="00EA1E04" w:rsidRDefault="00DB7188" w:rsidP="009742F0">
      <w:pPr>
        <w:spacing w:line="360" w:lineRule="auto"/>
        <w:jc w:val="both"/>
        <w:rPr>
          <w:bCs/>
          <w:sz w:val="24"/>
          <w:szCs w:val="24"/>
        </w:rPr>
      </w:pPr>
      <w:r w:rsidRPr="00EA1E04">
        <w:rPr>
          <w:bCs/>
          <w:sz w:val="24"/>
          <w:szCs w:val="24"/>
        </w:rPr>
        <w:t xml:space="preserve">We used linked primary and secondary care </w:t>
      </w:r>
      <w:r w:rsidR="00152F85" w:rsidRPr="00EA1E04">
        <w:rPr>
          <w:bCs/>
          <w:sz w:val="24"/>
          <w:szCs w:val="24"/>
        </w:rPr>
        <w:t>data obtained</w:t>
      </w:r>
      <w:r w:rsidR="000A3E8D" w:rsidRPr="00EA1E04">
        <w:rPr>
          <w:bCs/>
          <w:sz w:val="24"/>
          <w:szCs w:val="24"/>
        </w:rPr>
        <w:t xml:space="preserve"> </w:t>
      </w:r>
      <w:r w:rsidR="009742F0" w:rsidRPr="00EA1E04">
        <w:rPr>
          <w:bCs/>
          <w:sz w:val="24"/>
          <w:szCs w:val="24"/>
        </w:rPr>
        <w:t xml:space="preserve">from the Clinical Practice Research Datalink (CPRD) </w:t>
      </w:r>
      <w:r w:rsidRPr="00EA1E04">
        <w:rPr>
          <w:bCs/>
          <w:sz w:val="24"/>
          <w:szCs w:val="24"/>
        </w:rPr>
        <w:t>and Hospital Episodes Statistics (HES</w:t>
      </w:r>
      <w:r w:rsidR="00152F85" w:rsidRPr="00EA1E04">
        <w:rPr>
          <w:bCs/>
          <w:sz w:val="24"/>
          <w:szCs w:val="24"/>
        </w:rPr>
        <w:t>) for</w:t>
      </w:r>
      <w:r w:rsidR="009742F0" w:rsidRPr="00EA1E04">
        <w:rPr>
          <w:bCs/>
          <w:sz w:val="24"/>
          <w:szCs w:val="24"/>
        </w:rPr>
        <w:t xml:space="preserve"> the period between 1997 and 2011. </w:t>
      </w:r>
    </w:p>
    <w:p w:rsidR="009742F0" w:rsidRPr="00EA1E04" w:rsidRDefault="009742F0" w:rsidP="009742F0">
      <w:pPr>
        <w:spacing w:line="360" w:lineRule="auto"/>
        <w:jc w:val="both"/>
        <w:rPr>
          <w:rFonts w:eastAsia="Times New Roman" w:cs="Arial"/>
          <w:bCs/>
          <w:sz w:val="24"/>
          <w:szCs w:val="24"/>
          <w:lang w:eastAsia="en-GB"/>
        </w:rPr>
      </w:pPr>
      <w:r w:rsidRPr="00EA1E04">
        <w:rPr>
          <w:bCs/>
          <w:sz w:val="24"/>
          <w:szCs w:val="24"/>
        </w:rPr>
        <w:t>CPRD</w:t>
      </w:r>
      <w:r w:rsidR="00FC6E3C" w:rsidRPr="00EA1E04">
        <w:rPr>
          <w:bCs/>
          <w:sz w:val="24"/>
          <w:szCs w:val="24"/>
        </w:rPr>
        <w:t xml:space="preserve"> </w:t>
      </w:r>
      <w:r w:rsidR="005A6902" w:rsidRPr="00EA1E04">
        <w:rPr>
          <w:bCs/>
          <w:sz w:val="24"/>
          <w:szCs w:val="24"/>
        </w:rPr>
        <w:t>contain</w:t>
      </w:r>
      <w:r w:rsidR="009E40D1" w:rsidRPr="00EA1E04">
        <w:rPr>
          <w:bCs/>
          <w:sz w:val="24"/>
          <w:szCs w:val="24"/>
        </w:rPr>
        <w:t xml:space="preserve">s </w:t>
      </w:r>
      <w:r w:rsidRPr="00EA1E04">
        <w:rPr>
          <w:bCs/>
          <w:sz w:val="24"/>
          <w:szCs w:val="24"/>
        </w:rPr>
        <w:t xml:space="preserve">electronic primary healthcare records of over 10 million patients from general practitioner (GP) practices in the UK. </w:t>
      </w:r>
      <w:r w:rsidR="001A6AC6" w:rsidRPr="00EA1E04">
        <w:rPr>
          <w:bCs/>
          <w:sz w:val="24"/>
          <w:szCs w:val="24"/>
        </w:rPr>
        <w:t>Information captured within the database includes</w:t>
      </w:r>
      <w:r w:rsidR="009E40D1" w:rsidRPr="00EA1E04">
        <w:rPr>
          <w:bCs/>
          <w:sz w:val="24"/>
          <w:szCs w:val="24"/>
        </w:rPr>
        <w:t xml:space="preserve"> details</w:t>
      </w:r>
      <w:r w:rsidRPr="00EA1E04">
        <w:rPr>
          <w:bCs/>
          <w:sz w:val="24"/>
          <w:szCs w:val="24"/>
        </w:rPr>
        <w:t xml:space="preserve"> on all</w:t>
      </w:r>
      <w:r w:rsidR="009E40D1" w:rsidRPr="00EA1E04">
        <w:rPr>
          <w:bCs/>
          <w:sz w:val="24"/>
          <w:szCs w:val="24"/>
        </w:rPr>
        <w:t xml:space="preserve"> patient consultations with primary care</w:t>
      </w:r>
      <w:r w:rsidRPr="00EA1E04">
        <w:rPr>
          <w:bCs/>
          <w:sz w:val="24"/>
          <w:szCs w:val="24"/>
        </w:rPr>
        <w:t xml:space="preserve">, </w:t>
      </w:r>
      <w:r w:rsidR="00C74586" w:rsidRPr="00EA1E04">
        <w:rPr>
          <w:bCs/>
          <w:sz w:val="24"/>
          <w:szCs w:val="24"/>
        </w:rPr>
        <w:t xml:space="preserve">including </w:t>
      </w:r>
      <w:r w:rsidRPr="00EA1E04">
        <w:rPr>
          <w:bCs/>
          <w:sz w:val="24"/>
          <w:szCs w:val="24"/>
        </w:rPr>
        <w:t>clinical</w:t>
      </w:r>
      <w:r w:rsidRPr="00EA1E04">
        <w:rPr>
          <w:bCs/>
          <w:sz w:val="24"/>
          <w:szCs w:val="24"/>
          <w:lang w:val="en"/>
        </w:rPr>
        <w:t xml:space="preserve"> diagnoses</w:t>
      </w:r>
      <w:r w:rsidRPr="00EA1E04">
        <w:rPr>
          <w:bCs/>
          <w:sz w:val="24"/>
          <w:szCs w:val="24"/>
        </w:rPr>
        <w:t>,</w:t>
      </w:r>
      <w:r w:rsidRPr="00EA1E04">
        <w:rPr>
          <w:bCs/>
          <w:sz w:val="24"/>
          <w:szCs w:val="24"/>
          <w:lang w:val="en"/>
        </w:rPr>
        <w:t xml:space="preserve"> interventions offered, specialist referrals and lifestyle information such as alcohol </w:t>
      </w:r>
      <w:r w:rsidR="009E40D1" w:rsidRPr="00EA1E04">
        <w:rPr>
          <w:bCs/>
          <w:sz w:val="24"/>
          <w:szCs w:val="24"/>
          <w:lang w:val="en"/>
        </w:rPr>
        <w:t>use</w:t>
      </w:r>
      <w:r w:rsidRPr="00EA1E04">
        <w:rPr>
          <w:bCs/>
          <w:sz w:val="24"/>
          <w:szCs w:val="24"/>
          <w:lang w:val="en"/>
        </w:rPr>
        <w:fldChar w:fldCharType="begin"/>
      </w:r>
      <w:r w:rsidR="00D636D7" w:rsidRPr="00EA1E04">
        <w:rPr>
          <w:bCs/>
          <w:sz w:val="24"/>
          <w:szCs w:val="24"/>
          <w:lang w:val="en"/>
        </w:rPr>
        <w:instrText xml:space="preserve"> ADDIN ZOTERO_ITEM CSL_CITATION {"citationID":"2940vrjbqt","properties":{"formattedCitation":"(26)","plainCitation":"(26)"},"citationItems":[{"id":123,"uris":["http://zotero.org/users/1897183/items/G26EU2D8"],"uri":["http://zotero.org/users/1897183/items/G26EU2D8"],"itemData":{"id":123,"type":"article-journal","title":"The UK General Practice Research Database.","container-title":"lancet","page":"1097-1099","volume":"350","author":[{"family":"Walley T, Mantgani A.","given":""}]}}],"schema":"https://github.com/citation-style-language/schema/raw/master/csl-citation.json"} </w:instrText>
      </w:r>
      <w:r w:rsidRPr="00EA1E04">
        <w:rPr>
          <w:bCs/>
          <w:sz w:val="24"/>
          <w:szCs w:val="24"/>
          <w:lang w:val="en"/>
        </w:rPr>
        <w:fldChar w:fldCharType="separate"/>
      </w:r>
      <w:r w:rsidR="00D636D7" w:rsidRPr="00EA1E04">
        <w:rPr>
          <w:rFonts w:ascii="Calibri" w:hAnsi="Calibri"/>
          <w:sz w:val="24"/>
        </w:rPr>
        <w:t>(26)</w:t>
      </w:r>
      <w:r w:rsidRPr="00EA1E04">
        <w:rPr>
          <w:bCs/>
          <w:sz w:val="24"/>
          <w:szCs w:val="24"/>
          <w:lang w:val="en"/>
        </w:rPr>
        <w:fldChar w:fldCharType="end"/>
      </w:r>
      <w:r w:rsidR="00DB7188" w:rsidRPr="00EA1E04">
        <w:rPr>
          <w:bCs/>
          <w:sz w:val="24"/>
          <w:szCs w:val="24"/>
          <w:lang w:val="en"/>
        </w:rPr>
        <w:t xml:space="preserve">.  Most of this information is </w:t>
      </w:r>
      <w:r w:rsidR="009A167C" w:rsidRPr="00EA1E04">
        <w:rPr>
          <w:bCs/>
          <w:sz w:val="24"/>
          <w:szCs w:val="24"/>
          <w:lang w:val="en"/>
        </w:rPr>
        <w:t xml:space="preserve">electronically </w:t>
      </w:r>
      <w:r w:rsidR="009A167C" w:rsidRPr="00EA1E04">
        <w:rPr>
          <w:rFonts w:eastAsia="Times New Roman" w:cs="Arial"/>
          <w:bCs/>
          <w:sz w:val="24"/>
          <w:szCs w:val="24"/>
          <w:lang w:eastAsia="en-GB"/>
        </w:rPr>
        <w:t>coded</w:t>
      </w:r>
      <w:r w:rsidR="00AB4B90" w:rsidRPr="00EA1E04">
        <w:rPr>
          <w:rFonts w:eastAsia="Times New Roman" w:cs="Arial"/>
          <w:bCs/>
          <w:sz w:val="24"/>
          <w:szCs w:val="24"/>
          <w:lang w:eastAsia="en-GB"/>
        </w:rPr>
        <w:t xml:space="preserve"> using a hierarchical Read coding system</w:t>
      </w:r>
      <w:r w:rsidR="00DB7188" w:rsidRPr="00EA1E04">
        <w:rPr>
          <w:rFonts w:eastAsia="Times New Roman" w:cs="Arial"/>
          <w:bCs/>
          <w:sz w:val="24"/>
          <w:szCs w:val="24"/>
          <w:lang w:eastAsia="en-GB"/>
        </w:rPr>
        <w:t xml:space="preserve"> which is based on the International Classification of Diseases 10</w:t>
      </w:r>
      <w:r w:rsidR="00DB7188" w:rsidRPr="00EA1E04">
        <w:rPr>
          <w:rFonts w:eastAsia="Times New Roman" w:cs="Arial"/>
          <w:bCs/>
          <w:sz w:val="24"/>
          <w:szCs w:val="24"/>
          <w:vertAlign w:val="superscript"/>
          <w:lang w:eastAsia="en-GB"/>
        </w:rPr>
        <w:t>th</w:t>
      </w:r>
      <w:r w:rsidR="00DB7188" w:rsidRPr="00EA1E04">
        <w:rPr>
          <w:rFonts w:eastAsia="Times New Roman" w:cs="Arial"/>
          <w:bCs/>
          <w:sz w:val="24"/>
          <w:szCs w:val="24"/>
          <w:lang w:eastAsia="en-GB"/>
        </w:rPr>
        <w:t xml:space="preserve"> revision (ICD10)</w:t>
      </w:r>
      <w:r w:rsidRPr="00EA1E04">
        <w:rPr>
          <w:rFonts w:eastAsia="Times New Roman" w:cs="Arial"/>
          <w:bCs/>
          <w:sz w:val="24"/>
          <w:szCs w:val="24"/>
          <w:lang w:eastAsia="en-GB"/>
        </w:rPr>
        <w:t>.</w:t>
      </w:r>
    </w:p>
    <w:p w:rsidR="001B5DC4" w:rsidRPr="00EA1E04" w:rsidRDefault="001B5DC4" w:rsidP="009742F0">
      <w:pPr>
        <w:spacing w:line="360" w:lineRule="auto"/>
        <w:jc w:val="both"/>
        <w:rPr>
          <w:bCs/>
          <w:sz w:val="24"/>
          <w:szCs w:val="24"/>
        </w:rPr>
      </w:pPr>
      <w:r w:rsidRPr="00EA1E04">
        <w:rPr>
          <w:rFonts w:eastAsia="Times New Roman" w:cs="Arial"/>
          <w:bCs/>
          <w:sz w:val="24"/>
          <w:szCs w:val="24"/>
          <w:lang w:eastAsia="en-GB"/>
        </w:rPr>
        <w:t xml:space="preserve">The HES database contains information on all admissions to the state-funded National Health Service (NHS) hospitals in England, including admission diagnoses coded using ICD 10. </w:t>
      </w:r>
      <w:r w:rsidRPr="00EA1E04">
        <w:rPr>
          <w:bCs/>
          <w:sz w:val="24"/>
          <w:szCs w:val="24"/>
        </w:rPr>
        <w:t xml:space="preserve">At the time of this study, </w:t>
      </w:r>
      <w:r w:rsidR="00213380" w:rsidRPr="00EA1E04">
        <w:rPr>
          <w:bCs/>
          <w:sz w:val="24"/>
          <w:szCs w:val="24"/>
        </w:rPr>
        <w:t>357</w:t>
      </w:r>
      <w:r w:rsidRPr="00EA1E04">
        <w:rPr>
          <w:bCs/>
          <w:sz w:val="24"/>
          <w:szCs w:val="24"/>
        </w:rPr>
        <w:t xml:space="preserve"> English GP practices that contribute to CPRD had given consent for their patients’ primary care records to be linked to </w:t>
      </w:r>
      <w:r w:rsidR="00CC2A1E" w:rsidRPr="00EA1E04">
        <w:rPr>
          <w:bCs/>
          <w:sz w:val="24"/>
          <w:szCs w:val="24"/>
        </w:rPr>
        <w:t xml:space="preserve">corresponding </w:t>
      </w:r>
      <w:r w:rsidRPr="00EA1E04">
        <w:rPr>
          <w:bCs/>
          <w:sz w:val="24"/>
          <w:szCs w:val="24"/>
        </w:rPr>
        <w:t>HES</w:t>
      </w:r>
      <w:r w:rsidR="00CC2A1E" w:rsidRPr="00EA1E04">
        <w:rPr>
          <w:bCs/>
          <w:sz w:val="24"/>
          <w:szCs w:val="24"/>
        </w:rPr>
        <w:t xml:space="preserve"> database records</w:t>
      </w:r>
      <w:r w:rsidRPr="00EA1E04">
        <w:rPr>
          <w:bCs/>
          <w:sz w:val="24"/>
          <w:szCs w:val="24"/>
        </w:rPr>
        <w:t xml:space="preserve">. </w:t>
      </w:r>
      <w:r w:rsidR="00CC2A1E" w:rsidRPr="00EA1E04">
        <w:rPr>
          <w:bCs/>
          <w:sz w:val="24"/>
          <w:szCs w:val="24"/>
        </w:rPr>
        <w:t>T</w:t>
      </w:r>
      <w:r w:rsidRPr="00EA1E04">
        <w:rPr>
          <w:bCs/>
          <w:sz w:val="24"/>
          <w:szCs w:val="24"/>
        </w:rPr>
        <w:t xml:space="preserve">he linkage between CPRD and HES </w:t>
      </w:r>
      <w:r w:rsidR="009D405D" w:rsidRPr="00EA1E04">
        <w:rPr>
          <w:bCs/>
          <w:sz w:val="24"/>
          <w:szCs w:val="24"/>
        </w:rPr>
        <w:t>wa</w:t>
      </w:r>
      <w:r w:rsidRPr="00EA1E04">
        <w:rPr>
          <w:bCs/>
          <w:sz w:val="24"/>
          <w:szCs w:val="24"/>
        </w:rPr>
        <w:t>s undertaken by a trusted third party using patient’s NHS number, date of birth and gender</w:t>
      </w:r>
      <w:bookmarkStart w:id="1" w:name="d16150e220"/>
      <w:bookmarkEnd w:id="1"/>
      <w:r w:rsidR="00CC2A1E" w:rsidRPr="00EA1E04">
        <w:rPr>
          <w:bCs/>
          <w:sz w:val="24"/>
          <w:szCs w:val="24"/>
        </w:rPr>
        <w:t xml:space="preserve"> prior to release for research</w:t>
      </w:r>
      <w:r w:rsidRPr="00EA1E04">
        <w:rPr>
          <w:bCs/>
          <w:sz w:val="24"/>
          <w:szCs w:val="24"/>
        </w:rPr>
        <w:t xml:space="preserve">. </w:t>
      </w:r>
    </w:p>
    <w:p w:rsidR="009742F0" w:rsidRPr="00EA1E04" w:rsidRDefault="009742F0" w:rsidP="009742F0">
      <w:pPr>
        <w:spacing w:line="360" w:lineRule="auto"/>
        <w:jc w:val="both"/>
        <w:rPr>
          <w:rFonts w:eastAsia="Times New Roman" w:cs="Arial"/>
          <w:bCs/>
          <w:sz w:val="24"/>
          <w:szCs w:val="24"/>
          <w:lang w:eastAsia="en-GB"/>
        </w:rPr>
      </w:pPr>
      <w:r w:rsidRPr="00EA1E04">
        <w:rPr>
          <w:b/>
          <w:bCs/>
          <w:sz w:val="24"/>
          <w:szCs w:val="24"/>
        </w:rPr>
        <w:t>Patient selection</w:t>
      </w:r>
    </w:p>
    <w:p w:rsidR="00534F74" w:rsidRPr="00EA1E04" w:rsidRDefault="00213380" w:rsidP="009742F0">
      <w:pPr>
        <w:spacing w:line="360" w:lineRule="auto"/>
        <w:jc w:val="both"/>
        <w:rPr>
          <w:bCs/>
          <w:sz w:val="24"/>
          <w:szCs w:val="24"/>
        </w:rPr>
      </w:pPr>
      <w:r w:rsidRPr="00EA1E04">
        <w:rPr>
          <w:bCs/>
          <w:sz w:val="24"/>
          <w:szCs w:val="24"/>
        </w:rPr>
        <w:t xml:space="preserve">We had access to data from all 357 CPRD practices in England with HES-linked data between April 1997 and August 2011.  </w:t>
      </w:r>
      <w:r w:rsidR="00F07D54" w:rsidRPr="00EA1E04">
        <w:rPr>
          <w:bCs/>
          <w:sz w:val="24"/>
          <w:szCs w:val="24"/>
        </w:rPr>
        <w:t>We</w:t>
      </w:r>
      <w:r w:rsidR="00963098" w:rsidRPr="00EA1E04">
        <w:rPr>
          <w:bCs/>
          <w:sz w:val="24"/>
          <w:szCs w:val="24"/>
        </w:rPr>
        <w:t xml:space="preserve"> identified and selected a</w:t>
      </w:r>
      <w:r w:rsidR="00117FF6" w:rsidRPr="00EA1E04">
        <w:rPr>
          <w:bCs/>
          <w:sz w:val="24"/>
          <w:szCs w:val="24"/>
        </w:rPr>
        <w:t xml:space="preserve">ll </w:t>
      </w:r>
      <w:r w:rsidR="00FC6E3C" w:rsidRPr="00EA1E04">
        <w:rPr>
          <w:bCs/>
          <w:sz w:val="24"/>
          <w:szCs w:val="24"/>
        </w:rPr>
        <w:t xml:space="preserve">adult (&gt;18 years) </w:t>
      </w:r>
      <w:r w:rsidR="00117FF6" w:rsidRPr="00EA1E04">
        <w:rPr>
          <w:bCs/>
          <w:sz w:val="24"/>
          <w:szCs w:val="24"/>
        </w:rPr>
        <w:t xml:space="preserve">patients from </w:t>
      </w:r>
      <w:r w:rsidRPr="00EA1E04">
        <w:rPr>
          <w:bCs/>
          <w:sz w:val="24"/>
          <w:szCs w:val="24"/>
        </w:rPr>
        <w:t>these</w:t>
      </w:r>
      <w:r w:rsidR="00117FF6" w:rsidRPr="00EA1E04">
        <w:rPr>
          <w:bCs/>
          <w:sz w:val="24"/>
          <w:szCs w:val="24"/>
        </w:rPr>
        <w:t xml:space="preserve"> </w:t>
      </w:r>
      <w:r w:rsidR="00FC6E3C" w:rsidRPr="00EA1E04">
        <w:rPr>
          <w:bCs/>
          <w:sz w:val="24"/>
          <w:szCs w:val="24"/>
        </w:rPr>
        <w:t xml:space="preserve">practices </w:t>
      </w:r>
      <w:r w:rsidR="005A6902" w:rsidRPr="00EA1E04">
        <w:rPr>
          <w:bCs/>
          <w:sz w:val="24"/>
          <w:szCs w:val="24"/>
        </w:rPr>
        <w:t>with</w:t>
      </w:r>
      <w:r w:rsidR="00873625" w:rsidRPr="00EA1E04">
        <w:rPr>
          <w:bCs/>
          <w:sz w:val="24"/>
          <w:szCs w:val="24"/>
        </w:rPr>
        <w:t xml:space="preserve"> </w:t>
      </w:r>
      <w:r w:rsidR="000A3E8D" w:rsidRPr="00EA1E04">
        <w:rPr>
          <w:bCs/>
          <w:sz w:val="24"/>
          <w:szCs w:val="24"/>
        </w:rPr>
        <w:t xml:space="preserve">a </w:t>
      </w:r>
      <w:r w:rsidR="00AB4B90" w:rsidRPr="00EA1E04">
        <w:rPr>
          <w:bCs/>
          <w:sz w:val="24"/>
          <w:szCs w:val="24"/>
        </w:rPr>
        <w:t xml:space="preserve">Read code in CPRD or ICD 10 code in HES </w:t>
      </w:r>
      <w:r w:rsidR="00B40AB4" w:rsidRPr="00EA1E04">
        <w:rPr>
          <w:bCs/>
          <w:sz w:val="24"/>
          <w:szCs w:val="24"/>
        </w:rPr>
        <w:t>for a</w:t>
      </w:r>
      <w:r w:rsidR="00AB4B90" w:rsidRPr="00EA1E04">
        <w:rPr>
          <w:bCs/>
          <w:sz w:val="24"/>
          <w:szCs w:val="24"/>
        </w:rPr>
        <w:t xml:space="preserve"> definite diagnosis of alcoholic cirrhosis. </w:t>
      </w:r>
      <w:r w:rsidR="000A3E8D" w:rsidRPr="00EA1E04">
        <w:rPr>
          <w:bCs/>
          <w:sz w:val="24"/>
          <w:szCs w:val="24"/>
        </w:rPr>
        <w:t xml:space="preserve">Our </w:t>
      </w:r>
      <w:r w:rsidR="00AB4B90" w:rsidRPr="00EA1E04">
        <w:rPr>
          <w:rFonts w:hint="eastAsia"/>
          <w:bCs/>
          <w:sz w:val="24"/>
          <w:szCs w:val="24"/>
        </w:rPr>
        <w:t>code lists were adapted and updated from our previous validated definition</w:t>
      </w:r>
      <w:r w:rsidR="000A3E8D" w:rsidRPr="00EA1E04">
        <w:rPr>
          <w:bCs/>
          <w:sz w:val="24"/>
          <w:szCs w:val="24"/>
        </w:rPr>
        <w:fldChar w:fldCharType="begin"/>
      </w:r>
      <w:r w:rsidR="00D636D7" w:rsidRPr="00EA1E04">
        <w:rPr>
          <w:bCs/>
          <w:sz w:val="24"/>
          <w:szCs w:val="24"/>
        </w:rPr>
        <w:instrText xml:space="preserve"> ADDIN ZOTERO_ITEM CSL_CITATION {"citationID":"1ecan3q2le","properties":{"formattedCitation":"(27)","plainCitation":"(27)"},"citationItems":[{"id":125,"uris":["http://zotero.org/users/1897183/items/6T379G8W"],"uri":["http://zotero.org/users/1897183/items/6T379G8W"],"itemData":{"id":125,"type":"article-journal","title":"Diagnosis of Liver Cirrhosis in England, a Cohort Study, 1998-2009: A Comparison with Cancer","container-title":"The American journal of gastroenterology","page":"190-198","volume":"109","issue":"2","abstract":"OBJECTIVES: There is no routine registration of the occurrence of newly diagnosed cases of cirrhosis in the United Kingdom. This study seeks to determine precise estimates and trends of the incidence of cirrhosis in England, and directly compare these figures with those for the 20 most commonly diagnosed cancers in the United Kingdom.\nMETHODS: We used the Clinical Practice Research Datalink and linked English Hospital Episode Statistics to perform a population-based cohort study. Adult incident cases with a diagnosis of cirrhosis between January 1998 and December 2009 were identified. We described trends in incidence by sex and etiology. We performed a direct standardization to estimate the number of people being newly diagnosed with cirrhosis in 2009, and calculated the change in incidence between 1998 and 2009.\nRESULTS: A total of 5,118 incident cases of cirrhosis were identified, 57.9% were male. Over the 12-year period, crude incidence increased by 50.6%. Incidence increased for both men and women and all etiology types. We estimated approximately 17,000 people were newly diagnosed with cirrhosis in 2009 in the United Kingdom, greater than that of the fifth most common cancer non-Hodgkin's lymphoma. The percentage change in incidence of cirrhosis between 1998 and 2009 for both men (52.4%) and women (38.3%) was greater than that seen for the top four most commonly diagnosed cancers in the United Kingdom (breast, lung, bowel, and prostate).\nCONCLUSIONS: The occurrence of cirrhosis increased more than that of the top four cancers during 1998 to 2009 in England. Strategies to monitor and reduce the incidence of this disease are urgently needed.","DOI":"10.1038/ajg.2013.405","ISSN":"1572-0241","note":"PMID: 24419483","journalAbbreviation":"Am. J. Gastroenterol.","language":"eng","author":[{"family":"Ratib","given":"Sonia"},{"family":"West","given":"Joe"},{"family":"Crooks","given":"Colin J"},{"family":"Fleming","given":"Kate M"}],"issued":{"date-parts":[["2014",2]]},"PMID":"24419483"}}],"schema":"https://github.com/citation-style-language/schema/raw/master/csl-citation.json"} </w:instrText>
      </w:r>
      <w:r w:rsidR="000A3E8D" w:rsidRPr="00EA1E04">
        <w:rPr>
          <w:bCs/>
          <w:sz w:val="24"/>
          <w:szCs w:val="24"/>
        </w:rPr>
        <w:fldChar w:fldCharType="separate"/>
      </w:r>
      <w:r w:rsidR="00D636D7" w:rsidRPr="00EA1E04">
        <w:rPr>
          <w:rFonts w:ascii="Calibri" w:hAnsi="Calibri"/>
          <w:sz w:val="24"/>
        </w:rPr>
        <w:t>(27)</w:t>
      </w:r>
      <w:r w:rsidR="000A3E8D" w:rsidRPr="00EA1E04">
        <w:rPr>
          <w:bCs/>
          <w:sz w:val="24"/>
          <w:szCs w:val="24"/>
        </w:rPr>
        <w:fldChar w:fldCharType="end"/>
      </w:r>
      <w:r w:rsidR="00AB4B90" w:rsidRPr="00EA1E04">
        <w:rPr>
          <w:bCs/>
          <w:sz w:val="24"/>
          <w:szCs w:val="24"/>
        </w:rPr>
        <w:t>.</w:t>
      </w:r>
      <w:r w:rsidR="00FC6E3C" w:rsidRPr="00EA1E04">
        <w:rPr>
          <w:bCs/>
          <w:sz w:val="24"/>
          <w:szCs w:val="24"/>
        </w:rPr>
        <w:t xml:space="preserve"> </w:t>
      </w:r>
      <w:r w:rsidR="008079D5" w:rsidRPr="00EA1E04">
        <w:rPr>
          <w:bCs/>
          <w:sz w:val="24"/>
          <w:szCs w:val="24"/>
        </w:rPr>
        <w:t>We excluded p</w:t>
      </w:r>
      <w:r w:rsidR="009742F0" w:rsidRPr="00EA1E04">
        <w:rPr>
          <w:bCs/>
          <w:sz w:val="24"/>
          <w:szCs w:val="24"/>
        </w:rPr>
        <w:t xml:space="preserve">atients who had a history of </w:t>
      </w:r>
      <w:r w:rsidR="006967EA" w:rsidRPr="00EA1E04">
        <w:rPr>
          <w:bCs/>
          <w:sz w:val="24"/>
          <w:szCs w:val="24"/>
        </w:rPr>
        <w:t xml:space="preserve">any condition </w:t>
      </w:r>
      <w:r w:rsidR="009742F0" w:rsidRPr="00EA1E04">
        <w:rPr>
          <w:bCs/>
          <w:sz w:val="24"/>
          <w:szCs w:val="24"/>
        </w:rPr>
        <w:t>for which the differential diagnosis could have been alcoholic cirrhosis</w:t>
      </w:r>
      <w:r w:rsidR="006967EA" w:rsidRPr="00EA1E04">
        <w:rPr>
          <w:bCs/>
          <w:sz w:val="24"/>
          <w:szCs w:val="24"/>
        </w:rPr>
        <w:t xml:space="preserve"> (e.g. cirrhosis or oesophageal varices of unspecified aetiology), as this may </w:t>
      </w:r>
      <w:r w:rsidR="006D05BD" w:rsidRPr="00EA1E04">
        <w:rPr>
          <w:bCs/>
          <w:sz w:val="24"/>
          <w:szCs w:val="24"/>
        </w:rPr>
        <w:t xml:space="preserve">have introduced </w:t>
      </w:r>
      <w:r w:rsidR="009742F0" w:rsidRPr="00EA1E04">
        <w:rPr>
          <w:bCs/>
          <w:sz w:val="24"/>
          <w:szCs w:val="24"/>
        </w:rPr>
        <w:t>potential misclassification of the diagnosis date. Further exclusions were patients with less than a year of continuous medical data available prior to their diagnosis or patients with invalid diagnosis date</w:t>
      </w:r>
      <w:r w:rsidR="00955A34" w:rsidRPr="00EA1E04">
        <w:rPr>
          <w:bCs/>
          <w:sz w:val="24"/>
          <w:szCs w:val="24"/>
        </w:rPr>
        <w:t>s.</w:t>
      </w:r>
    </w:p>
    <w:p w:rsidR="006B1955" w:rsidRPr="00EA1E04" w:rsidRDefault="009742F0" w:rsidP="009742F0">
      <w:pPr>
        <w:spacing w:line="360" w:lineRule="auto"/>
        <w:jc w:val="both"/>
        <w:rPr>
          <w:bCs/>
          <w:sz w:val="24"/>
          <w:szCs w:val="24"/>
        </w:rPr>
      </w:pPr>
      <w:r w:rsidRPr="00EA1E04">
        <w:rPr>
          <w:bCs/>
          <w:sz w:val="24"/>
          <w:szCs w:val="24"/>
        </w:rPr>
        <w:t xml:space="preserve"> </w:t>
      </w:r>
      <w:r w:rsidR="006B1955" w:rsidRPr="00EA1E04">
        <w:rPr>
          <w:bCs/>
          <w:sz w:val="24"/>
          <w:szCs w:val="24"/>
        </w:rPr>
        <w:t xml:space="preserve">From the remaining CPRD-HES linked patients without a history of cirrhosis or oesophageal varices, we selected 10 control patients for each case frequency matched by age (+/- 5 years) and general practice. </w:t>
      </w:r>
    </w:p>
    <w:p w:rsidR="006B1955" w:rsidRPr="00EA1E04" w:rsidRDefault="006B1955" w:rsidP="009742F0">
      <w:pPr>
        <w:spacing w:line="360" w:lineRule="auto"/>
        <w:jc w:val="both"/>
        <w:rPr>
          <w:bCs/>
          <w:sz w:val="24"/>
          <w:szCs w:val="24"/>
        </w:rPr>
      </w:pPr>
      <w:r w:rsidRPr="00EA1E04">
        <w:rPr>
          <w:bCs/>
          <w:sz w:val="24"/>
          <w:szCs w:val="24"/>
        </w:rPr>
        <w:lastRenderedPageBreak/>
        <w:t>A date of diagnosis, defined as the date for the first record of alcoholic cirrhosis, was assigned to cases. Controls were assigned a “pseudo-diagnosis” date which was a randomly generated date between 1 year after the start of the linked dataset (1997) up to the date they left the practice or died.</w:t>
      </w:r>
    </w:p>
    <w:p w:rsidR="009742F0" w:rsidRPr="00EA1E04" w:rsidRDefault="009742F0" w:rsidP="009742F0">
      <w:pPr>
        <w:spacing w:line="360" w:lineRule="auto"/>
        <w:jc w:val="both"/>
        <w:rPr>
          <w:bCs/>
          <w:sz w:val="24"/>
          <w:szCs w:val="24"/>
        </w:rPr>
      </w:pPr>
      <w:r w:rsidRPr="00EA1E04">
        <w:rPr>
          <w:bCs/>
          <w:sz w:val="24"/>
          <w:szCs w:val="24"/>
        </w:rPr>
        <w:t>Observation period</w:t>
      </w:r>
    </w:p>
    <w:p w:rsidR="009742F0" w:rsidRPr="00EA1E04" w:rsidRDefault="000A3E8D" w:rsidP="009742F0">
      <w:pPr>
        <w:spacing w:line="360" w:lineRule="auto"/>
        <w:jc w:val="both"/>
        <w:rPr>
          <w:bCs/>
          <w:sz w:val="24"/>
          <w:szCs w:val="24"/>
        </w:rPr>
      </w:pPr>
      <w:r w:rsidRPr="00EA1E04">
        <w:rPr>
          <w:bCs/>
          <w:sz w:val="24"/>
          <w:szCs w:val="24"/>
        </w:rPr>
        <w:t xml:space="preserve">Patients entered the study </w:t>
      </w:r>
      <w:r w:rsidR="002D3122" w:rsidRPr="00EA1E04">
        <w:rPr>
          <w:bCs/>
          <w:sz w:val="24"/>
          <w:szCs w:val="24"/>
        </w:rPr>
        <w:t xml:space="preserve">cohort </w:t>
      </w:r>
      <w:r w:rsidRPr="00EA1E04">
        <w:rPr>
          <w:bCs/>
          <w:sz w:val="24"/>
          <w:szCs w:val="24"/>
        </w:rPr>
        <w:t>on</w:t>
      </w:r>
      <w:r w:rsidR="009742F0" w:rsidRPr="00EA1E04">
        <w:rPr>
          <w:bCs/>
          <w:sz w:val="24"/>
          <w:szCs w:val="24"/>
        </w:rPr>
        <w:t xml:space="preserve"> </w:t>
      </w:r>
      <w:r w:rsidR="00CC2A1E" w:rsidRPr="00EA1E04">
        <w:rPr>
          <w:bCs/>
          <w:sz w:val="24"/>
          <w:szCs w:val="24"/>
        </w:rPr>
        <w:t xml:space="preserve">the latest </w:t>
      </w:r>
      <w:r w:rsidR="009742F0" w:rsidRPr="00EA1E04">
        <w:rPr>
          <w:bCs/>
          <w:sz w:val="24"/>
          <w:szCs w:val="24"/>
        </w:rPr>
        <w:t xml:space="preserve">of the following dates (i) the start of the linked dataset (1st April 1997), (ii) the date a patient registered with a GP practice, or (iii) the date when the practice attained an acceptable level of data recording. </w:t>
      </w:r>
      <w:r w:rsidRPr="00EA1E04">
        <w:rPr>
          <w:bCs/>
          <w:sz w:val="24"/>
          <w:szCs w:val="24"/>
        </w:rPr>
        <w:t>The st</w:t>
      </w:r>
      <w:r w:rsidR="006D05BD" w:rsidRPr="00EA1E04">
        <w:rPr>
          <w:bCs/>
          <w:sz w:val="24"/>
          <w:szCs w:val="24"/>
        </w:rPr>
        <w:t xml:space="preserve">udy </w:t>
      </w:r>
      <w:r w:rsidR="009742F0" w:rsidRPr="00EA1E04">
        <w:rPr>
          <w:bCs/>
          <w:sz w:val="24"/>
          <w:szCs w:val="24"/>
        </w:rPr>
        <w:t xml:space="preserve">ended at the date of diagnosis for cases or pseudo-diagnosis date for controls.  </w:t>
      </w:r>
    </w:p>
    <w:p w:rsidR="009742F0" w:rsidRPr="00EA1E04" w:rsidRDefault="009742F0" w:rsidP="009551AC">
      <w:pPr>
        <w:rPr>
          <w:b/>
          <w:bCs/>
          <w:sz w:val="24"/>
          <w:szCs w:val="24"/>
        </w:rPr>
      </w:pPr>
      <w:r w:rsidRPr="00EA1E04">
        <w:rPr>
          <w:b/>
          <w:bCs/>
          <w:sz w:val="24"/>
          <w:szCs w:val="24"/>
        </w:rPr>
        <w:t>Study variables</w:t>
      </w:r>
    </w:p>
    <w:p w:rsidR="009742F0" w:rsidRPr="00EA1E04" w:rsidRDefault="009742F0" w:rsidP="009742F0">
      <w:pPr>
        <w:spacing w:line="360" w:lineRule="auto"/>
        <w:jc w:val="both"/>
        <w:rPr>
          <w:bCs/>
          <w:sz w:val="24"/>
          <w:szCs w:val="24"/>
        </w:rPr>
      </w:pPr>
      <w:r w:rsidRPr="00EA1E04">
        <w:rPr>
          <w:bCs/>
          <w:sz w:val="24"/>
          <w:szCs w:val="24"/>
        </w:rPr>
        <w:t>Primary and secondary care usage</w:t>
      </w:r>
    </w:p>
    <w:p w:rsidR="009742F0" w:rsidRPr="00EA1E04" w:rsidRDefault="00CC2A1E" w:rsidP="009742F0">
      <w:pPr>
        <w:spacing w:line="360" w:lineRule="auto"/>
        <w:jc w:val="both"/>
        <w:rPr>
          <w:bCs/>
          <w:sz w:val="24"/>
          <w:szCs w:val="24"/>
        </w:rPr>
      </w:pPr>
      <w:r w:rsidRPr="00EA1E04">
        <w:rPr>
          <w:bCs/>
          <w:sz w:val="24"/>
          <w:szCs w:val="24"/>
        </w:rPr>
        <w:t>For each patient w</w:t>
      </w:r>
      <w:r w:rsidR="00117FF6" w:rsidRPr="00EA1E04">
        <w:rPr>
          <w:bCs/>
          <w:sz w:val="24"/>
          <w:szCs w:val="24"/>
        </w:rPr>
        <w:t>e retrieved information on</w:t>
      </w:r>
      <w:r w:rsidR="009742F0" w:rsidRPr="00EA1E04">
        <w:rPr>
          <w:bCs/>
          <w:sz w:val="24"/>
          <w:szCs w:val="24"/>
        </w:rPr>
        <w:t xml:space="preserve"> all </w:t>
      </w:r>
      <w:r w:rsidR="00AB4B90" w:rsidRPr="00EA1E04">
        <w:rPr>
          <w:bCs/>
          <w:sz w:val="24"/>
          <w:szCs w:val="24"/>
        </w:rPr>
        <w:t xml:space="preserve">direct </w:t>
      </w:r>
      <w:r w:rsidR="009742F0" w:rsidRPr="00EA1E04">
        <w:rPr>
          <w:bCs/>
          <w:sz w:val="24"/>
          <w:szCs w:val="24"/>
        </w:rPr>
        <w:t>contacts with primary care a</w:t>
      </w:r>
      <w:r w:rsidR="00117FF6" w:rsidRPr="00EA1E04">
        <w:rPr>
          <w:bCs/>
          <w:sz w:val="24"/>
          <w:szCs w:val="24"/>
        </w:rPr>
        <w:t>nd admissions to secondary care</w:t>
      </w:r>
      <w:r w:rsidR="008079D5" w:rsidRPr="00EA1E04">
        <w:rPr>
          <w:bCs/>
          <w:sz w:val="24"/>
          <w:szCs w:val="24"/>
        </w:rPr>
        <w:t xml:space="preserve"> during the study period</w:t>
      </w:r>
      <w:r w:rsidR="009742F0" w:rsidRPr="00EA1E04">
        <w:rPr>
          <w:bCs/>
          <w:sz w:val="24"/>
          <w:szCs w:val="24"/>
        </w:rPr>
        <w:t xml:space="preserve">. </w:t>
      </w:r>
      <w:r w:rsidR="008079D5" w:rsidRPr="00EA1E04">
        <w:rPr>
          <w:bCs/>
          <w:sz w:val="24"/>
          <w:szCs w:val="24"/>
        </w:rPr>
        <w:t xml:space="preserve">Each event was </w:t>
      </w:r>
      <w:r w:rsidR="009742F0" w:rsidRPr="00EA1E04">
        <w:rPr>
          <w:bCs/>
          <w:sz w:val="24"/>
          <w:szCs w:val="24"/>
        </w:rPr>
        <w:t>assign</w:t>
      </w:r>
      <w:r w:rsidR="008079D5" w:rsidRPr="00EA1E04">
        <w:rPr>
          <w:bCs/>
          <w:sz w:val="24"/>
          <w:szCs w:val="24"/>
        </w:rPr>
        <w:t>ed</w:t>
      </w:r>
      <w:r w:rsidR="009742F0" w:rsidRPr="00EA1E04">
        <w:rPr>
          <w:bCs/>
          <w:sz w:val="24"/>
          <w:szCs w:val="24"/>
        </w:rPr>
        <w:t xml:space="preserve"> to the year in which it occurred</w:t>
      </w:r>
      <w:r w:rsidR="008079D5" w:rsidRPr="00EA1E04">
        <w:rPr>
          <w:bCs/>
          <w:sz w:val="24"/>
          <w:szCs w:val="24"/>
        </w:rPr>
        <w:t>,</w:t>
      </w:r>
      <w:r w:rsidR="009742F0" w:rsidRPr="00EA1E04">
        <w:rPr>
          <w:bCs/>
          <w:sz w:val="24"/>
          <w:szCs w:val="24"/>
        </w:rPr>
        <w:t xml:space="preserve"> counting back from the diagnosis/pseudo-diagnosis date (that is consultations and hospital admissions were coded as occurring in the 1</w:t>
      </w:r>
      <w:r w:rsidR="009742F0" w:rsidRPr="00EA1E04">
        <w:rPr>
          <w:bCs/>
          <w:sz w:val="24"/>
          <w:szCs w:val="24"/>
          <w:vertAlign w:val="superscript"/>
        </w:rPr>
        <w:t>st</w:t>
      </w:r>
      <w:r w:rsidR="009742F0" w:rsidRPr="00EA1E04">
        <w:rPr>
          <w:bCs/>
          <w:sz w:val="24"/>
          <w:szCs w:val="24"/>
        </w:rPr>
        <w:t>, 2</w:t>
      </w:r>
      <w:r w:rsidR="009742F0" w:rsidRPr="00EA1E04">
        <w:rPr>
          <w:bCs/>
          <w:sz w:val="24"/>
          <w:szCs w:val="24"/>
          <w:vertAlign w:val="superscript"/>
        </w:rPr>
        <w:t>nd</w:t>
      </w:r>
      <w:r w:rsidR="009742F0" w:rsidRPr="00EA1E04">
        <w:rPr>
          <w:bCs/>
          <w:sz w:val="24"/>
          <w:szCs w:val="24"/>
        </w:rPr>
        <w:t>, 3</w:t>
      </w:r>
      <w:r w:rsidR="009742F0" w:rsidRPr="00EA1E04">
        <w:rPr>
          <w:bCs/>
          <w:sz w:val="24"/>
          <w:szCs w:val="24"/>
          <w:vertAlign w:val="superscript"/>
        </w:rPr>
        <w:t>rd</w:t>
      </w:r>
      <w:r w:rsidR="009742F0" w:rsidRPr="00EA1E04">
        <w:rPr>
          <w:bCs/>
          <w:sz w:val="24"/>
          <w:szCs w:val="24"/>
        </w:rPr>
        <w:t>…10</w:t>
      </w:r>
      <w:r w:rsidR="009742F0" w:rsidRPr="00EA1E04">
        <w:rPr>
          <w:bCs/>
          <w:sz w:val="24"/>
          <w:szCs w:val="24"/>
          <w:vertAlign w:val="superscript"/>
        </w:rPr>
        <w:t>th</w:t>
      </w:r>
      <w:r w:rsidR="009742F0" w:rsidRPr="00EA1E04">
        <w:rPr>
          <w:bCs/>
          <w:sz w:val="24"/>
          <w:szCs w:val="24"/>
        </w:rPr>
        <w:t xml:space="preserve"> year before diagnosis</w:t>
      </w:r>
      <w:r w:rsidR="002D3122" w:rsidRPr="00EA1E04">
        <w:rPr>
          <w:bCs/>
          <w:sz w:val="24"/>
          <w:szCs w:val="24"/>
        </w:rPr>
        <w:t xml:space="preserve"> of cirrhosis</w:t>
      </w:r>
      <w:r w:rsidR="009742F0" w:rsidRPr="00EA1E04">
        <w:rPr>
          <w:bCs/>
          <w:sz w:val="24"/>
          <w:szCs w:val="24"/>
        </w:rPr>
        <w:t xml:space="preserve">). </w:t>
      </w:r>
      <w:r w:rsidR="009742F0" w:rsidRPr="00EA1E04">
        <w:rPr>
          <w:bCs/>
          <w:sz w:val="24"/>
          <w:szCs w:val="24"/>
          <w:lang w:val="en"/>
        </w:rPr>
        <w:t xml:space="preserve">If a patient had more than one consultation within a day (whether during the day, or during out-of-hours), we counted only one consultation for that day. </w:t>
      </w:r>
      <w:r w:rsidR="006D05BD" w:rsidRPr="00EA1E04">
        <w:rPr>
          <w:bCs/>
          <w:sz w:val="24"/>
          <w:szCs w:val="24"/>
          <w:lang w:val="en"/>
        </w:rPr>
        <w:t>Primary care c</w:t>
      </w:r>
      <w:r w:rsidR="009742F0" w:rsidRPr="00EA1E04">
        <w:rPr>
          <w:bCs/>
          <w:sz w:val="24"/>
          <w:szCs w:val="24"/>
          <w:lang w:val="en"/>
        </w:rPr>
        <w:t xml:space="preserve">onsultations recorded as occurring during the same period </w:t>
      </w:r>
      <w:r w:rsidR="006D05BD" w:rsidRPr="00EA1E04">
        <w:rPr>
          <w:bCs/>
          <w:sz w:val="24"/>
          <w:szCs w:val="24"/>
          <w:lang w:val="en"/>
        </w:rPr>
        <w:t xml:space="preserve">as </w:t>
      </w:r>
      <w:r w:rsidR="009742F0" w:rsidRPr="00EA1E04">
        <w:rPr>
          <w:bCs/>
          <w:sz w:val="24"/>
          <w:szCs w:val="24"/>
          <w:lang w:val="en"/>
        </w:rPr>
        <w:t xml:space="preserve">a patient was hospitalized were excluded to avoid double counting of </w:t>
      </w:r>
      <w:r w:rsidR="00B43282" w:rsidRPr="00EA1E04">
        <w:rPr>
          <w:bCs/>
          <w:sz w:val="24"/>
          <w:szCs w:val="24"/>
          <w:lang w:val="en"/>
        </w:rPr>
        <w:t>healthcare contacts</w:t>
      </w:r>
      <w:r w:rsidR="009742F0" w:rsidRPr="00EA1E04">
        <w:rPr>
          <w:bCs/>
          <w:sz w:val="24"/>
          <w:szCs w:val="24"/>
          <w:lang w:val="en"/>
        </w:rPr>
        <w:t xml:space="preserve">. </w:t>
      </w:r>
    </w:p>
    <w:p w:rsidR="009742F0" w:rsidRPr="00EA1E04" w:rsidRDefault="009742F0" w:rsidP="009742F0">
      <w:pPr>
        <w:spacing w:line="360" w:lineRule="auto"/>
        <w:jc w:val="both"/>
        <w:rPr>
          <w:bCs/>
          <w:sz w:val="24"/>
          <w:szCs w:val="24"/>
        </w:rPr>
      </w:pPr>
      <w:r w:rsidRPr="00EA1E04">
        <w:rPr>
          <w:bCs/>
          <w:sz w:val="24"/>
          <w:szCs w:val="24"/>
        </w:rPr>
        <w:t>Alcohol related outcomes</w:t>
      </w:r>
    </w:p>
    <w:p w:rsidR="009D459D" w:rsidRPr="00EA1E04" w:rsidRDefault="00C25CF0" w:rsidP="009D459D">
      <w:pPr>
        <w:spacing w:line="360" w:lineRule="auto"/>
        <w:jc w:val="both"/>
        <w:rPr>
          <w:bCs/>
          <w:sz w:val="24"/>
          <w:szCs w:val="24"/>
        </w:rPr>
      </w:pPr>
      <w:r w:rsidRPr="00EA1E04">
        <w:rPr>
          <w:bCs/>
          <w:sz w:val="24"/>
          <w:szCs w:val="24"/>
        </w:rPr>
        <w:t xml:space="preserve">All alcohol related records within patient files were assessed to </w:t>
      </w:r>
      <w:r w:rsidR="005B3245" w:rsidRPr="00EA1E04">
        <w:rPr>
          <w:bCs/>
          <w:sz w:val="24"/>
          <w:szCs w:val="24"/>
        </w:rPr>
        <w:t xml:space="preserve">identify patients with documented alcohol use </w:t>
      </w:r>
      <w:r w:rsidRPr="00EA1E04">
        <w:rPr>
          <w:bCs/>
          <w:sz w:val="24"/>
          <w:szCs w:val="24"/>
        </w:rPr>
        <w:t xml:space="preserve">or </w:t>
      </w:r>
      <w:r w:rsidR="005B3245" w:rsidRPr="00EA1E04">
        <w:rPr>
          <w:bCs/>
          <w:sz w:val="24"/>
          <w:szCs w:val="24"/>
        </w:rPr>
        <w:t xml:space="preserve">brief </w:t>
      </w:r>
      <w:r w:rsidRPr="00EA1E04">
        <w:rPr>
          <w:bCs/>
          <w:sz w:val="24"/>
          <w:szCs w:val="24"/>
        </w:rPr>
        <w:t>alcohol intervention. Overall, we identified f</w:t>
      </w:r>
      <w:r w:rsidR="00095C2D" w:rsidRPr="00EA1E04">
        <w:rPr>
          <w:bCs/>
          <w:sz w:val="24"/>
          <w:szCs w:val="24"/>
        </w:rPr>
        <w:t>our</w:t>
      </w:r>
      <w:r w:rsidR="009D459D" w:rsidRPr="00EA1E04">
        <w:rPr>
          <w:bCs/>
          <w:sz w:val="24"/>
          <w:szCs w:val="24"/>
        </w:rPr>
        <w:t xml:space="preserve"> types of alcohol </w:t>
      </w:r>
      <w:r w:rsidR="008079D5" w:rsidRPr="00EA1E04">
        <w:rPr>
          <w:bCs/>
          <w:sz w:val="24"/>
          <w:szCs w:val="24"/>
        </w:rPr>
        <w:t>records</w:t>
      </w:r>
      <w:r w:rsidRPr="00EA1E04">
        <w:rPr>
          <w:bCs/>
          <w:sz w:val="24"/>
          <w:szCs w:val="24"/>
        </w:rPr>
        <w:t>:</w:t>
      </w:r>
    </w:p>
    <w:p w:rsidR="00B74F04" w:rsidRPr="00EA1E04" w:rsidRDefault="00B74F04" w:rsidP="00AB4B90">
      <w:pPr>
        <w:pStyle w:val="ListParagraph"/>
        <w:numPr>
          <w:ilvl w:val="0"/>
          <w:numId w:val="5"/>
        </w:numPr>
        <w:spacing w:line="360" w:lineRule="auto"/>
        <w:jc w:val="both"/>
        <w:rPr>
          <w:bCs/>
          <w:sz w:val="24"/>
          <w:szCs w:val="24"/>
        </w:rPr>
      </w:pPr>
      <w:r w:rsidRPr="00EA1E04">
        <w:rPr>
          <w:bCs/>
          <w:sz w:val="24"/>
          <w:szCs w:val="24"/>
        </w:rPr>
        <w:t xml:space="preserve">Data on actual alcohol consumption i.e. number of alcohol units consumed by a patient per week </w:t>
      </w:r>
    </w:p>
    <w:p w:rsidR="009742F0" w:rsidRPr="00EA1E04" w:rsidRDefault="009742F0" w:rsidP="009742F0">
      <w:pPr>
        <w:pStyle w:val="ListParagraph"/>
        <w:numPr>
          <w:ilvl w:val="0"/>
          <w:numId w:val="5"/>
        </w:numPr>
        <w:spacing w:line="360" w:lineRule="auto"/>
        <w:jc w:val="both"/>
        <w:rPr>
          <w:bCs/>
          <w:sz w:val="24"/>
          <w:szCs w:val="24"/>
        </w:rPr>
      </w:pPr>
      <w:r w:rsidRPr="00EA1E04">
        <w:rPr>
          <w:bCs/>
          <w:sz w:val="24"/>
          <w:szCs w:val="24"/>
        </w:rPr>
        <w:t xml:space="preserve">Read codes reflecting level of drinking such as codes </w:t>
      </w:r>
      <w:r w:rsidR="00D52AB7" w:rsidRPr="00EA1E04">
        <w:rPr>
          <w:bCs/>
          <w:sz w:val="24"/>
          <w:szCs w:val="24"/>
        </w:rPr>
        <w:t>for</w:t>
      </w:r>
      <w:r w:rsidRPr="00EA1E04">
        <w:rPr>
          <w:bCs/>
          <w:sz w:val="24"/>
          <w:szCs w:val="24"/>
        </w:rPr>
        <w:t xml:space="preserve"> drinking within the recommended limits e.g. never, or moderate drinker or those reflecting excessive drinking e.g. hazardous or harmful drinker </w:t>
      </w:r>
    </w:p>
    <w:p w:rsidR="009742F0" w:rsidRPr="00EA1E04" w:rsidRDefault="009742F0" w:rsidP="009742F0">
      <w:pPr>
        <w:pStyle w:val="ListParagraph"/>
        <w:numPr>
          <w:ilvl w:val="0"/>
          <w:numId w:val="5"/>
        </w:numPr>
        <w:spacing w:line="360" w:lineRule="auto"/>
        <w:jc w:val="both"/>
        <w:rPr>
          <w:bCs/>
          <w:sz w:val="24"/>
          <w:szCs w:val="24"/>
        </w:rPr>
      </w:pPr>
      <w:r w:rsidRPr="00EA1E04">
        <w:rPr>
          <w:bCs/>
          <w:sz w:val="24"/>
          <w:szCs w:val="24"/>
        </w:rPr>
        <w:lastRenderedPageBreak/>
        <w:t xml:space="preserve">Read codes reflecting the administration of a screening test such as the Alcohol Use Disorders Identification Test (AUDIT) </w:t>
      </w:r>
    </w:p>
    <w:p w:rsidR="009742F0" w:rsidRPr="00EA1E04" w:rsidRDefault="009742F0" w:rsidP="009742F0">
      <w:pPr>
        <w:pStyle w:val="ListParagraph"/>
        <w:numPr>
          <w:ilvl w:val="0"/>
          <w:numId w:val="5"/>
        </w:numPr>
        <w:spacing w:line="360" w:lineRule="auto"/>
        <w:jc w:val="both"/>
        <w:rPr>
          <w:bCs/>
          <w:sz w:val="24"/>
          <w:szCs w:val="24"/>
        </w:rPr>
      </w:pPr>
      <w:r w:rsidRPr="00EA1E04">
        <w:rPr>
          <w:bCs/>
          <w:sz w:val="24"/>
          <w:szCs w:val="24"/>
        </w:rPr>
        <w:t xml:space="preserve">Read codes reflecting alcohol related </w:t>
      </w:r>
      <w:r w:rsidR="00117FF6" w:rsidRPr="00EA1E04">
        <w:rPr>
          <w:bCs/>
          <w:sz w:val="24"/>
          <w:szCs w:val="24"/>
        </w:rPr>
        <w:t xml:space="preserve">advice or </w:t>
      </w:r>
      <w:r w:rsidRPr="00EA1E04">
        <w:rPr>
          <w:bCs/>
          <w:sz w:val="24"/>
          <w:szCs w:val="24"/>
        </w:rPr>
        <w:t>counselling, information leaflet or referral</w:t>
      </w:r>
      <w:r w:rsidR="00921D40" w:rsidRPr="00EA1E04">
        <w:rPr>
          <w:bCs/>
          <w:sz w:val="24"/>
          <w:szCs w:val="24"/>
        </w:rPr>
        <w:t xml:space="preserve"> to alcohol treatment services</w:t>
      </w:r>
    </w:p>
    <w:p w:rsidR="009742F0" w:rsidRPr="00EA1E04" w:rsidRDefault="00095C2D" w:rsidP="009742F0">
      <w:pPr>
        <w:spacing w:line="360" w:lineRule="auto"/>
        <w:jc w:val="both"/>
        <w:rPr>
          <w:b/>
          <w:bCs/>
          <w:sz w:val="24"/>
          <w:szCs w:val="24"/>
        </w:rPr>
      </w:pPr>
      <w:r w:rsidRPr="00EA1E04">
        <w:rPr>
          <w:bCs/>
          <w:sz w:val="24"/>
          <w:szCs w:val="24"/>
        </w:rPr>
        <w:t>Patients with records</w:t>
      </w:r>
      <w:r w:rsidR="002D3122" w:rsidRPr="00EA1E04">
        <w:rPr>
          <w:bCs/>
          <w:sz w:val="24"/>
          <w:szCs w:val="24"/>
        </w:rPr>
        <w:t xml:space="preserve"> relating to points </w:t>
      </w:r>
      <w:r w:rsidR="00941CF5" w:rsidRPr="00EA1E04">
        <w:rPr>
          <w:bCs/>
          <w:sz w:val="24"/>
          <w:szCs w:val="24"/>
        </w:rPr>
        <w:t xml:space="preserve">1, 2, or 3 </w:t>
      </w:r>
      <w:r w:rsidR="002D3122" w:rsidRPr="00EA1E04">
        <w:rPr>
          <w:bCs/>
          <w:sz w:val="24"/>
          <w:szCs w:val="24"/>
        </w:rPr>
        <w:t xml:space="preserve">were </w:t>
      </w:r>
      <w:r w:rsidRPr="00EA1E04">
        <w:rPr>
          <w:bCs/>
          <w:sz w:val="24"/>
          <w:szCs w:val="24"/>
        </w:rPr>
        <w:t>class</w:t>
      </w:r>
      <w:r w:rsidR="00C25CF0" w:rsidRPr="00EA1E04">
        <w:rPr>
          <w:bCs/>
          <w:sz w:val="24"/>
          <w:szCs w:val="24"/>
        </w:rPr>
        <w:t xml:space="preserve">ified to have had </w:t>
      </w:r>
      <w:r w:rsidR="009B0BC9" w:rsidRPr="00EA1E04">
        <w:rPr>
          <w:bCs/>
          <w:sz w:val="24"/>
          <w:szCs w:val="24"/>
        </w:rPr>
        <w:t xml:space="preserve">a documented </w:t>
      </w:r>
      <w:r w:rsidR="00C25CF0" w:rsidRPr="00EA1E04">
        <w:rPr>
          <w:bCs/>
          <w:sz w:val="24"/>
          <w:szCs w:val="24"/>
        </w:rPr>
        <w:t xml:space="preserve">alcohol use enquiry </w:t>
      </w:r>
      <w:r w:rsidRPr="00EA1E04">
        <w:rPr>
          <w:bCs/>
          <w:sz w:val="24"/>
          <w:szCs w:val="24"/>
        </w:rPr>
        <w:t xml:space="preserve">and </w:t>
      </w:r>
      <w:r w:rsidR="00C25CF0" w:rsidRPr="00EA1E04">
        <w:rPr>
          <w:bCs/>
          <w:sz w:val="24"/>
          <w:szCs w:val="24"/>
        </w:rPr>
        <w:t>assigned to</w:t>
      </w:r>
      <w:r w:rsidR="00160393" w:rsidRPr="00EA1E04">
        <w:rPr>
          <w:bCs/>
          <w:sz w:val="24"/>
          <w:szCs w:val="24"/>
        </w:rPr>
        <w:t xml:space="preserve"> one of three </w:t>
      </w:r>
      <w:r w:rsidR="00C25CF0" w:rsidRPr="00EA1E04">
        <w:rPr>
          <w:bCs/>
          <w:sz w:val="24"/>
          <w:szCs w:val="24"/>
        </w:rPr>
        <w:t>drinking categories</w:t>
      </w:r>
      <w:r w:rsidR="00160393" w:rsidRPr="00EA1E04">
        <w:rPr>
          <w:bCs/>
          <w:sz w:val="24"/>
          <w:szCs w:val="24"/>
        </w:rPr>
        <w:t>:</w:t>
      </w:r>
      <w:r w:rsidR="00AB4B90" w:rsidRPr="00EA1E04">
        <w:rPr>
          <w:bCs/>
          <w:sz w:val="24"/>
          <w:szCs w:val="24"/>
        </w:rPr>
        <w:t xml:space="preserve"> “</w:t>
      </w:r>
      <w:r w:rsidR="009742F0" w:rsidRPr="00EA1E04">
        <w:rPr>
          <w:bCs/>
          <w:sz w:val="24"/>
          <w:szCs w:val="24"/>
        </w:rPr>
        <w:t>never</w:t>
      </w:r>
      <w:r w:rsidR="006D05BD" w:rsidRPr="00EA1E04">
        <w:rPr>
          <w:bCs/>
          <w:sz w:val="24"/>
          <w:szCs w:val="24"/>
        </w:rPr>
        <w:t xml:space="preserve"> drinkers”</w:t>
      </w:r>
      <w:r w:rsidR="009742F0" w:rsidRPr="00EA1E04">
        <w:rPr>
          <w:bCs/>
          <w:sz w:val="24"/>
          <w:szCs w:val="24"/>
        </w:rPr>
        <w:t xml:space="preserve">, </w:t>
      </w:r>
      <w:r w:rsidR="006D05BD" w:rsidRPr="00EA1E04">
        <w:rPr>
          <w:bCs/>
          <w:sz w:val="24"/>
          <w:szCs w:val="24"/>
        </w:rPr>
        <w:t>“</w:t>
      </w:r>
      <w:r w:rsidR="009742F0" w:rsidRPr="00EA1E04">
        <w:rPr>
          <w:bCs/>
          <w:sz w:val="24"/>
          <w:szCs w:val="24"/>
        </w:rPr>
        <w:t>moderate</w:t>
      </w:r>
      <w:r w:rsidR="0079382F" w:rsidRPr="00EA1E04">
        <w:rPr>
          <w:bCs/>
          <w:sz w:val="24"/>
          <w:szCs w:val="24"/>
        </w:rPr>
        <w:t xml:space="preserve"> drinkers”</w:t>
      </w:r>
      <w:r w:rsidR="009742F0" w:rsidRPr="00EA1E04">
        <w:rPr>
          <w:bCs/>
          <w:sz w:val="24"/>
          <w:szCs w:val="24"/>
        </w:rPr>
        <w:t xml:space="preserve"> or </w:t>
      </w:r>
      <w:r w:rsidR="0079382F" w:rsidRPr="00EA1E04">
        <w:rPr>
          <w:bCs/>
          <w:sz w:val="24"/>
          <w:szCs w:val="24"/>
        </w:rPr>
        <w:t>“</w:t>
      </w:r>
      <w:r w:rsidR="009742F0" w:rsidRPr="00EA1E04">
        <w:rPr>
          <w:bCs/>
          <w:sz w:val="24"/>
          <w:szCs w:val="24"/>
        </w:rPr>
        <w:t>harmful/hazardous drinker</w:t>
      </w:r>
      <w:r w:rsidR="0079382F" w:rsidRPr="00EA1E04">
        <w:rPr>
          <w:bCs/>
          <w:sz w:val="24"/>
          <w:szCs w:val="24"/>
        </w:rPr>
        <w:t>s”</w:t>
      </w:r>
      <w:r w:rsidR="008079D5" w:rsidRPr="00EA1E04">
        <w:rPr>
          <w:bCs/>
          <w:sz w:val="24"/>
          <w:szCs w:val="24"/>
        </w:rPr>
        <w:t xml:space="preserve"> using the highest alcohol consumption record available</w:t>
      </w:r>
      <w:r w:rsidR="009742F0" w:rsidRPr="00EA1E04">
        <w:rPr>
          <w:bCs/>
          <w:sz w:val="24"/>
          <w:szCs w:val="24"/>
        </w:rPr>
        <w:t xml:space="preserve">. Where it was not possible to assign a drinking status (usually for patients with </w:t>
      </w:r>
      <w:r w:rsidR="0079382F" w:rsidRPr="00EA1E04">
        <w:rPr>
          <w:bCs/>
          <w:sz w:val="24"/>
          <w:szCs w:val="24"/>
        </w:rPr>
        <w:t xml:space="preserve">a </w:t>
      </w:r>
      <w:r w:rsidR="009742F0" w:rsidRPr="00EA1E04">
        <w:rPr>
          <w:bCs/>
          <w:sz w:val="24"/>
          <w:szCs w:val="24"/>
        </w:rPr>
        <w:t>record of a screening test</w:t>
      </w:r>
      <w:r w:rsidR="0079382F" w:rsidRPr="00EA1E04">
        <w:rPr>
          <w:bCs/>
          <w:sz w:val="24"/>
          <w:szCs w:val="24"/>
        </w:rPr>
        <w:t xml:space="preserve"> in the absence of any unit or other consumption category</w:t>
      </w:r>
      <w:r w:rsidR="009742F0" w:rsidRPr="00EA1E04">
        <w:rPr>
          <w:bCs/>
          <w:sz w:val="24"/>
          <w:szCs w:val="24"/>
        </w:rPr>
        <w:t xml:space="preserve">), an ‘unclear’ consumption status was assigned. </w:t>
      </w:r>
      <w:r w:rsidRPr="00EA1E04">
        <w:rPr>
          <w:bCs/>
          <w:sz w:val="24"/>
          <w:szCs w:val="24"/>
        </w:rPr>
        <w:t>Patients with records relating to point 4 were classed as having received an</w:t>
      </w:r>
      <w:r w:rsidR="0067158E" w:rsidRPr="00EA1E04">
        <w:rPr>
          <w:bCs/>
          <w:sz w:val="24"/>
          <w:szCs w:val="24"/>
        </w:rPr>
        <w:t xml:space="preserve"> alcohol</w:t>
      </w:r>
      <w:r w:rsidRPr="00EA1E04">
        <w:rPr>
          <w:bCs/>
          <w:sz w:val="24"/>
          <w:szCs w:val="24"/>
        </w:rPr>
        <w:t xml:space="preserve"> intervention and </w:t>
      </w:r>
      <w:r w:rsidR="009742F0" w:rsidRPr="00EA1E04">
        <w:rPr>
          <w:bCs/>
          <w:sz w:val="24"/>
          <w:szCs w:val="24"/>
        </w:rPr>
        <w:t xml:space="preserve">assigned to </w:t>
      </w:r>
      <w:r w:rsidRPr="00EA1E04">
        <w:rPr>
          <w:bCs/>
          <w:sz w:val="24"/>
          <w:szCs w:val="24"/>
        </w:rPr>
        <w:t xml:space="preserve">a category denoting the </w:t>
      </w:r>
      <w:r w:rsidR="009742F0" w:rsidRPr="00EA1E04">
        <w:rPr>
          <w:bCs/>
          <w:sz w:val="24"/>
          <w:szCs w:val="24"/>
        </w:rPr>
        <w:t xml:space="preserve">type </w:t>
      </w:r>
      <w:r w:rsidRPr="00EA1E04">
        <w:rPr>
          <w:bCs/>
          <w:sz w:val="24"/>
          <w:szCs w:val="24"/>
        </w:rPr>
        <w:t xml:space="preserve">of intervention received: </w:t>
      </w:r>
      <w:r w:rsidR="00615BEC" w:rsidRPr="00EA1E04">
        <w:rPr>
          <w:bCs/>
          <w:sz w:val="24"/>
          <w:szCs w:val="24"/>
        </w:rPr>
        <w:t>alcohol brief</w:t>
      </w:r>
      <w:r w:rsidR="0067158E" w:rsidRPr="00EA1E04">
        <w:rPr>
          <w:bCs/>
          <w:sz w:val="24"/>
          <w:szCs w:val="24"/>
        </w:rPr>
        <w:t xml:space="preserve"> intervention</w:t>
      </w:r>
      <w:r w:rsidR="00117FF6" w:rsidRPr="00EA1E04">
        <w:rPr>
          <w:bCs/>
          <w:sz w:val="24"/>
          <w:szCs w:val="24"/>
        </w:rPr>
        <w:t xml:space="preserve">, referral or both. </w:t>
      </w:r>
      <w:r w:rsidR="009742F0" w:rsidRPr="00EA1E04">
        <w:rPr>
          <w:bCs/>
          <w:sz w:val="24"/>
          <w:szCs w:val="24"/>
        </w:rPr>
        <w:t xml:space="preserve">All other patients who had no </w:t>
      </w:r>
      <w:r w:rsidR="0067158E" w:rsidRPr="00EA1E04">
        <w:rPr>
          <w:bCs/>
          <w:sz w:val="24"/>
          <w:szCs w:val="24"/>
        </w:rPr>
        <w:t xml:space="preserve">alcohol use </w:t>
      </w:r>
      <w:r w:rsidR="0012158E" w:rsidRPr="00EA1E04">
        <w:rPr>
          <w:bCs/>
          <w:sz w:val="24"/>
          <w:szCs w:val="24"/>
        </w:rPr>
        <w:t>or intervention</w:t>
      </w:r>
      <w:r w:rsidR="0067158E" w:rsidRPr="00EA1E04">
        <w:rPr>
          <w:bCs/>
          <w:sz w:val="24"/>
          <w:szCs w:val="24"/>
        </w:rPr>
        <w:t>/referral</w:t>
      </w:r>
      <w:r w:rsidR="009742F0" w:rsidRPr="00EA1E04">
        <w:rPr>
          <w:bCs/>
          <w:sz w:val="24"/>
          <w:szCs w:val="24"/>
        </w:rPr>
        <w:t xml:space="preserve"> records were labelled as ‘no data available’. </w:t>
      </w:r>
    </w:p>
    <w:p w:rsidR="009742F0" w:rsidRPr="00EA1E04" w:rsidRDefault="009742F0" w:rsidP="009742F0">
      <w:pPr>
        <w:spacing w:line="360" w:lineRule="auto"/>
        <w:jc w:val="both"/>
        <w:rPr>
          <w:bCs/>
          <w:sz w:val="24"/>
          <w:szCs w:val="24"/>
        </w:rPr>
      </w:pPr>
      <w:r w:rsidRPr="00EA1E04">
        <w:rPr>
          <w:bCs/>
          <w:sz w:val="24"/>
          <w:szCs w:val="24"/>
        </w:rPr>
        <w:t>Exposure variables</w:t>
      </w:r>
    </w:p>
    <w:p w:rsidR="009742F0" w:rsidRPr="00EA1E04" w:rsidRDefault="009742F0" w:rsidP="009742F0">
      <w:pPr>
        <w:spacing w:line="360" w:lineRule="auto"/>
        <w:jc w:val="both"/>
        <w:rPr>
          <w:bCs/>
          <w:sz w:val="24"/>
          <w:szCs w:val="24"/>
        </w:rPr>
      </w:pPr>
      <w:r w:rsidRPr="00EA1E04">
        <w:rPr>
          <w:bCs/>
          <w:sz w:val="24"/>
          <w:szCs w:val="24"/>
        </w:rPr>
        <w:t>Information on sex</w:t>
      </w:r>
      <w:r w:rsidR="0079382F" w:rsidRPr="00EA1E04">
        <w:rPr>
          <w:bCs/>
          <w:sz w:val="24"/>
          <w:szCs w:val="24"/>
        </w:rPr>
        <w:t xml:space="preserve"> and age</w:t>
      </w:r>
      <w:r w:rsidRPr="00EA1E04">
        <w:rPr>
          <w:bCs/>
          <w:sz w:val="24"/>
          <w:szCs w:val="24"/>
        </w:rPr>
        <w:t xml:space="preserve">, </w:t>
      </w:r>
      <w:r w:rsidR="0079382F" w:rsidRPr="00EA1E04">
        <w:rPr>
          <w:bCs/>
          <w:sz w:val="24"/>
          <w:szCs w:val="24"/>
        </w:rPr>
        <w:t xml:space="preserve">were </w:t>
      </w:r>
      <w:r w:rsidRPr="00EA1E04">
        <w:rPr>
          <w:bCs/>
          <w:sz w:val="24"/>
          <w:szCs w:val="24"/>
        </w:rPr>
        <w:t>extracted from patients</w:t>
      </w:r>
      <w:r w:rsidR="0079382F" w:rsidRPr="00EA1E04">
        <w:rPr>
          <w:bCs/>
          <w:sz w:val="24"/>
          <w:szCs w:val="24"/>
        </w:rPr>
        <w:t>’</w:t>
      </w:r>
      <w:r w:rsidRPr="00EA1E04">
        <w:rPr>
          <w:bCs/>
          <w:sz w:val="24"/>
          <w:szCs w:val="24"/>
        </w:rPr>
        <w:t xml:space="preserve"> </w:t>
      </w:r>
      <w:r w:rsidR="009D2EFE" w:rsidRPr="00EA1E04">
        <w:rPr>
          <w:bCs/>
          <w:sz w:val="24"/>
          <w:szCs w:val="24"/>
        </w:rPr>
        <w:t xml:space="preserve">CPRD </w:t>
      </w:r>
      <w:r w:rsidRPr="00EA1E04">
        <w:rPr>
          <w:bCs/>
          <w:sz w:val="24"/>
          <w:szCs w:val="24"/>
        </w:rPr>
        <w:t>records.  Age was calculated as age at diagnosis</w:t>
      </w:r>
      <w:r w:rsidR="002D3122" w:rsidRPr="00EA1E04">
        <w:rPr>
          <w:bCs/>
          <w:sz w:val="24"/>
          <w:szCs w:val="24"/>
        </w:rPr>
        <w:t xml:space="preserve"> of cirrhosis</w:t>
      </w:r>
      <w:r w:rsidRPr="00EA1E04">
        <w:rPr>
          <w:bCs/>
          <w:sz w:val="24"/>
          <w:szCs w:val="24"/>
        </w:rPr>
        <w:t xml:space="preserve"> (or at pseudo-diagnosis </w:t>
      </w:r>
      <w:r w:rsidR="008079D5" w:rsidRPr="00EA1E04">
        <w:rPr>
          <w:bCs/>
          <w:sz w:val="24"/>
          <w:szCs w:val="24"/>
        </w:rPr>
        <w:t>for controls</w:t>
      </w:r>
      <w:r w:rsidRPr="00EA1E04">
        <w:rPr>
          <w:bCs/>
          <w:sz w:val="24"/>
          <w:szCs w:val="24"/>
        </w:rPr>
        <w:t xml:space="preserve">) and </w:t>
      </w:r>
      <w:r w:rsidR="00921D40" w:rsidRPr="00EA1E04">
        <w:rPr>
          <w:bCs/>
          <w:sz w:val="24"/>
          <w:szCs w:val="24"/>
        </w:rPr>
        <w:t xml:space="preserve">categorised </w:t>
      </w:r>
      <w:r w:rsidRPr="00EA1E04">
        <w:rPr>
          <w:bCs/>
          <w:sz w:val="24"/>
          <w:szCs w:val="24"/>
        </w:rPr>
        <w:t xml:space="preserve">into five age bands of  </w:t>
      </w:r>
      <w:r w:rsidR="00AB4B90" w:rsidRPr="00EA1E04">
        <w:rPr>
          <w:bCs/>
          <w:sz w:val="24"/>
          <w:szCs w:val="24"/>
        </w:rPr>
        <w:t>1</w:t>
      </w:r>
      <w:r w:rsidRPr="00EA1E04">
        <w:rPr>
          <w:bCs/>
          <w:sz w:val="24"/>
          <w:szCs w:val="24"/>
        </w:rPr>
        <w:t>8-44, 45-54, 55-64, 65-74, and ≥ 75</w:t>
      </w:r>
      <w:r w:rsidR="0079382F" w:rsidRPr="00EA1E04">
        <w:rPr>
          <w:bCs/>
          <w:sz w:val="24"/>
          <w:szCs w:val="24"/>
        </w:rPr>
        <w:t xml:space="preserve"> years</w:t>
      </w:r>
      <w:r w:rsidRPr="00EA1E04">
        <w:rPr>
          <w:bCs/>
          <w:sz w:val="24"/>
          <w:szCs w:val="24"/>
        </w:rPr>
        <w:t>.</w:t>
      </w:r>
    </w:p>
    <w:p w:rsidR="009742F0" w:rsidRPr="00EA1E04" w:rsidRDefault="009742F0" w:rsidP="00AB4B90">
      <w:pPr>
        <w:rPr>
          <w:b/>
          <w:bCs/>
          <w:sz w:val="24"/>
          <w:szCs w:val="24"/>
        </w:rPr>
      </w:pPr>
      <w:r w:rsidRPr="00EA1E04">
        <w:rPr>
          <w:b/>
          <w:bCs/>
          <w:sz w:val="24"/>
          <w:szCs w:val="24"/>
        </w:rPr>
        <w:t>Statistical analyses</w:t>
      </w:r>
    </w:p>
    <w:p w:rsidR="000661F8" w:rsidRPr="00EA1E04" w:rsidRDefault="000661F8" w:rsidP="000661F8">
      <w:pPr>
        <w:spacing w:line="360" w:lineRule="auto"/>
        <w:jc w:val="both"/>
        <w:rPr>
          <w:bCs/>
          <w:sz w:val="24"/>
          <w:szCs w:val="24"/>
        </w:rPr>
      </w:pPr>
      <w:r w:rsidRPr="00EA1E04">
        <w:rPr>
          <w:bCs/>
          <w:sz w:val="24"/>
          <w:szCs w:val="24"/>
        </w:rPr>
        <w:t>Rates of healthcare service utilization were calculated for men and women for the entire study period, and for each year (yearly) leading up to diagnosis. For each group, excesses in healthcare use were calculated as the absolute difference in rates between cases and the corresponding control population; and rate ratios with 95% Confidence Intervals (95% CI) were estimated using Poisson regression. We tested for interaction between sex and primary care consulting rates by fitting an interaction term in a Poisson regression model and conducting a likelihood ratio test (LRT) at a significance level of p&lt;0.05. A similar model was fitted using hospital admission rates.</w:t>
      </w:r>
    </w:p>
    <w:p w:rsidR="000661F8" w:rsidRPr="00EA1E04" w:rsidRDefault="000661F8" w:rsidP="009742F0">
      <w:pPr>
        <w:spacing w:line="360" w:lineRule="auto"/>
        <w:jc w:val="both"/>
        <w:rPr>
          <w:bCs/>
          <w:sz w:val="24"/>
          <w:szCs w:val="24"/>
          <w:lang w:val="en"/>
        </w:rPr>
      </w:pPr>
    </w:p>
    <w:p w:rsidR="009742F0" w:rsidRPr="00EA1E04" w:rsidRDefault="009D459D" w:rsidP="009742F0">
      <w:pPr>
        <w:spacing w:line="360" w:lineRule="auto"/>
        <w:jc w:val="both"/>
        <w:rPr>
          <w:bCs/>
          <w:sz w:val="24"/>
          <w:szCs w:val="24"/>
          <w:lang w:val="en"/>
        </w:rPr>
      </w:pPr>
      <w:r w:rsidRPr="00EA1E04">
        <w:rPr>
          <w:bCs/>
          <w:sz w:val="24"/>
          <w:szCs w:val="24"/>
          <w:lang w:val="en"/>
        </w:rPr>
        <w:lastRenderedPageBreak/>
        <w:t>To examine</w:t>
      </w:r>
      <w:r w:rsidR="00615BEC" w:rsidRPr="00EA1E04">
        <w:rPr>
          <w:bCs/>
          <w:sz w:val="24"/>
          <w:szCs w:val="24"/>
          <w:lang w:val="en"/>
        </w:rPr>
        <w:t xml:space="preserve"> alcohol </w:t>
      </w:r>
      <w:r w:rsidR="0012158E" w:rsidRPr="00EA1E04">
        <w:rPr>
          <w:bCs/>
          <w:sz w:val="24"/>
          <w:szCs w:val="24"/>
          <w:lang w:val="en"/>
        </w:rPr>
        <w:t>use and</w:t>
      </w:r>
      <w:r w:rsidR="00615BEC" w:rsidRPr="00EA1E04">
        <w:rPr>
          <w:bCs/>
          <w:sz w:val="24"/>
          <w:szCs w:val="24"/>
          <w:lang w:val="en"/>
        </w:rPr>
        <w:t xml:space="preserve"> intervention recording</w:t>
      </w:r>
      <w:r w:rsidRPr="00EA1E04">
        <w:rPr>
          <w:bCs/>
          <w:sz w:val="24"/>
          <w:szCs w:val="24"/>
          <w:lang w:val="en"/>
        </w:rPr>
        <w:t>, w</w:t>
      </w:r>
      <w:r w:rsidR="009742F0" w:rsidRPr="00EA1E04">
        <w:rPr>
          <w:bCs/>
          <w:sz w:val="24"/>
          <w:szCs w:val="24"/>
          <w:lang w:val="en"/>
        </w:rPr>
        <w:t>e calculated the proportion of patients with</w:t>
      </w:r>
      <w:r w:rsidR="00615BEC" w:rsidRPr="00EA1E04">
        <w:rPr>
          <w:bCs/>
          <w:sz w:val="24"/>
          <w:szCs w:val="24"/>
          <w:lang w:val="en"/>
        </w:rPr>
        <w:t xml:space="preserve"> both records</w:t>
      </w:r>
      <w:r w:rsidR="009742F0" w:rsidRPr="00EA1E04">
        <w:rPr>
          <w:bCs/>
          <w:sz w:val="24"/>
          <w:szCs w:val="24"/>
          <w:lang w:val="en"/>
        </w:rPr>
        <w:t>. We exam</w:t>
      </w:r>
      <w:r w:rsidR="0067158E" w:rsidRPr="00EA1E04">
        <w:rPr>
          <w:bCs/>
          <w:sz w:val="24"/>
          <w:szCs w:val="24"/>
          <w:lang w:val="en"/>
        </w:rPr>
        <w:t>ined proportions by age and sex and tested for interactions using interaction terms and likelihood ratio tests in logistic regression models.</w:t>
      </w:r>
      <w:r w:rsidR="009742F0" w:rsidRPr="00EA1E04">
        <w:rPr>
          <w:bCs/>
          <w:sz w:val="24"/>
          <w:szCs w:val="24"/>
          <w:lang w:val="en"/>
        </w:rPr>
        <w:t xml:space="preserve"> Logistic regression </w:t>
      </w:r>
      <w:r w:rsidR="00A34AF3" w:rsidRPr="00EA1E04">
        <w:rPr>
          <w:bCs/>
          <w:sz w:val="24"/>
          <w:szCs w:val="24"/>
          <w:lang w:val="en"/>
        </w:rPr>
        <w:t xml:space="preserve">was used </w:t>
      </w:r>
      <w:r w:rsidR="009742F0" w:rsidRPr="00EA1E04">
        <w:rPr>
          <w:bCs/>
          <w:sz w:val="24"/>
          <w:szCs w:val="24"/>
          <w:lang w:val="en"/>
        </w:rPr>
        <w:t xml:space="preserve">to calculate the odds (95% </w:t>
      </w:r>
      <w:r w:rsidR="000E4F0C" w:rsidRPr="00EA1E04">
        <w:rPr>
          <w:bCs/>
          <w:sz w:val="24"/>
          <w:szCs w:val="24"/>
          <w:lang w:val="en"/>
        </w:rPr>
        <w:t>CI</w:t>
      </w:r>
      <w:r w:rsidR="009742F0" w:rsidRPr="00EA1E04">
        <w:rPr>
          <w:bCs/>
          <w:sz w:val="24"/>
          <w:szCs w:val="24"/>
          <w:lang w:val="en"/>
        </w:rPr>
        <w:t xml:space="preserve">) of both outcomes in people with alcoholic cirrhosis compared to controls for men and women separately.  Age and consulting rate were then included in the regression models as potential confounding variables </w:t>
      </w:r>
      <w:r w:rsidR="000E4F0C" w:rsidRPr="00EA1E04">
        <w:rPr>
          <w:bCs/>
          <w:sz w:val="24"/>
          <w:szCs w:val="24"/>
          <w:lang w:val="en"/>
        </w:rPr>
        <w:t>(</w:t>
      </w:r>
      <w:r w:rsidR="009742F0" w:rsidRPr="00EA1E04">
        <w:rPr>
          <w:bCs/>
          <w:sz w:val="24"/>
          <w:szCs w:val="24"/>
          <w:lang w:val="en"/>
        </w:rPr>
        <w:t>based on theoretical plausibility</w:t>
      </w:r>
      <w:r w:rsidR="000E4F0C" w:rsidRPr="00EA1E04">
        <w:rPr>
          <w:bCs/>
          <w:sz w:val="24"/>
          <w:szCs w:val="24"/>
          <w:lang w:val="en"/>
        </w:rPr>
        <w:t>)</w:t>
      </w:r>
      <w:r w:rsidR="009742F0" w:rsidRPr="00EA1E04">
        <w:rPr>
          <w:bCs/>
          <w:sz w:val="24"/>
          <w:szCs w:val="24"/>
          <w:lang w:val="en"/>
        </w:rPr>
        <w:t xml:space="preserve"> to obtain adjusted ORs. </w:t>
      </w:r>
    </w:p>
    <w:p w:rsidR="0067158E" w:rsidRPr="00EA1E04" w:rsidRDefault="0067158E" w:rsidP="009742F0">
      <w:pPr>
        <w:spacing w:line="360" w:lineRule="auto"/>
        <w:jc w:val="both"/>
        <w:rPr>
          <w:bCs/>
          <w:sz w:val="24"/>
          <w:szCs w:val="24"/>
          <w:lang w:val="en"/>
        </w:rPr>
      </w:pPr>
      <w:r w:rsidRPr="00EA1E04">
        <w:rPr>
          <w:bCs/>
          <w:sz w:val="24"/>
          <w:szCs w:val="24"/>
          <w:lang w:val="en"/>
        </w:rPr>
        <w:t>Where possible</w:t>
      </w:r>
      <w:r w:rsidR="00B43282" w:rsidRPr="00EA1E04">
        <w:rPr>
          <w:bCs/>
          <w:sz w:val="24"/>
          <w:szCs w:val="24"/>
          <w:lang w:val="en"/>
        </w:rPr>
        <w:t>,</w:t>
      </w:r>
      <w:r w:rsidRPr="00EA1E04">
        <w:rPr>
          <w:bCs/>
          <w:sz w:val="24"/>
          <w:szCs w:val="24"/>
          <w:lang w:val="en"/>
        </w:rPr>
        <w:t xml:space="preserve"> regression models were refitted </w:t>
      </w:r>
      <w:r w:rsidRPr="00EA1E04">
        <w:rPr>
          <w:bCs/>
          <w:sz w:val="24"/>
          <w:szCs w:val="24"/>
        </w:rPr>
        <w:t>applying the generalized estimating equation (GEE) approach with exchangeable correlation structure to test for heterogeneity with GP practices.</w:t>
      </w:r>
    </w:p>
    <w:p w:rsidR="0090496B" w:rsidRPr="00EA1E04" w:rsidRDefault="009742F0" w:rsidP="009742F0">
      <w:pPr>
        <w:spacing w:line="360" w:lineRule="auto"/>
        <w:jc w:val="both"/>
        <w:rPr>
          <w:bCs/>
          <w:sz w:val="24"/>
          <w:szCs w:val="24"/>
        </w:rPr>
      </w:pPr>
      <w:r w:rsidRPr="00EA1E04">
        <w:rPr>
          <w:bCs/>
          <w:sz w:val="24"/>
          <w:szCs w:val="24"/>
        </w:rPr>
        <w:t>Due to the small number of patients contributing data more than 10 years before diagnosis, yearly consultation rates</w:t>
      </w:r>
      <w:r w:rsidR="000661F8" w:rsidRPr="00EA1E04">
        <w:rPr>
          <w:bCs/>
          <w:sz w:val="24"/>
          <w:szCs w:val="24"/>
        </w:rPr>
        <w:t xml:space="preserve"> </w:t>
      </w:r>
      <w:r w:rsidRPr="00EA1E04">
        <w:rPr>
          <w:bCs/>
          <w:sz w:val="24"/>
          <w:szCs w:val="24"/>
        </w:rPr>
        <w:t xml:space="preserve">were only estimated for the 10 year period </w:t>
      </w:r>
      <w:r w:rsidR="0090496B" w:rsidRPr="00EA1E04">
        <w:rPr>
          <w:bCs/>
          <w:sz w:val="24"/>
          <w:szCs w:val="24"/>
        </w:rPr>
        <w:t xml:space="preserve">prior to </w:t>
      </w:r>
      <w:r w:rsidRPr="00EA1E04">
        <w:rPr>
          <w:bCs/>
          <w:sz w:val="24"/>
          <w:szCs w:val="24"/>
        </w:rPr>
        <w:t>diagnosis</w:t>
      </w:r>
      <w:r w:rsidR="0090496B" w:rsidRPr="00EA1E04">
        <w:rPr>
          <w:bCs/>
          <w:sz w:val="24"/>
          <w:szCs w:val="24"/>
        </w:rPr>
        <w:t>/pseudo-diagnosis</w:t>
      </w:r>
      <w:r w:rsidRPr="00EA1E04">
        <w:rPr>
          <w:bCs/>
          <w:sz w:val="24"/>
          <w:szCs w:val="24"/>
        </w:rPr>
        <w:t>.</w:t>
      </w:r>
      <w:r w:rsidR="00AB4B90" w:rsidRPr="00EA1E04">
        <w:rPr>
          <w:bCs/>
          <w:sz w:val="24"/>
          <w:szCs w:val="24"/>
        </w:rPr>
        <w:t xml:space="preserve"> </w:t>
      </w:r>
      <w:r w:rsidR="0090496B" w:rsidRPr="00EA1E04">
        <w:rPr>
          <w:bCs/>
          <w:sz w:val="24"/>
          <w:szCs w:val="24"/>
        </w:rPr>
        <w:t>All analyses were conducted using the statistical s</w:t>
      </w:r>
      <w:r w:rsidR="00B40AB4" w:rsidRPr="00EA1E04">
        <w:rPr>
          <w:bCs/>
          <w:sz w:val="24"/>
          <w:szCs w:val="24"/>
        </w:rPr>
        <w:t>oftware Stata v12.0 (StataCorp,</w:t>
      </w:r>
      <w:r w:rsidR="0090496B" w:rsidRPr="00EA1E04">
        <w:rPr>
          <w:bCs/>
          <w:sz w:val="24"/>
          <w:szCs w:val="24"/>
        </w:rPr>
        <w:t>Texas).</w:t>
      </w:r>
    </w:p>
    <w:p w:rsidR="0055165F" w:rsidRPr="00EA1E04" w:rsidRDefault="0055165F">
      <w:pPr>
        <w:rPr>
          <w:b/>
          <w:sz w:val="24"/>
          <w:szCs w:val="24"/>
        </w:rPr>
      </w:pPr>
      <w:r w:rsidRPr="00EA1E04">
        <w:rPr>
          <w:b/>
          <w:sz w:val="24"/>
          <w:szCs w:val="24"/>
        </w:rPr>
        <w:br w:type="page"/>
      </w:r>
    </w:p>
    <w:p w:rsidR="009742F0" w:rsidRPr="00EA1E04" w:rsidRDefault="001141B7" w:rsidP="009742F0">
      <w:pPr>
        <w:rPr>
          <w:b/>
          <w:sz w:val="24"/>
          <w:szCs w:val="24"/>
        </w:rPr>
      </w:pPr>
      <w:r w:rsidRPr="00EA1E04">
        <w:rPr>
          <w:b/>
          <w:sz w:val="24"/>
          <w:szCs w:val="24"/>
        </w:rPr>
        <w:lastRenderedPageBreak/>
        <w:t>RESULTS</w:t>
      </w:r>
    </w:p>
    <w:p w:rsidR="009742F0" w:rsidRPr="00EA1E04" w:rsidRDefault="0055165F" w:rsidP="009742F0">
      <w:pPr>
        <w:spacing w:line="360" w:lineRule="auto"/>
        <w:jc w:val="both"/>
        <w:rPr>
          <w:sz w:val="24"/>
          <w:szCs w:val="24"/>
        </w:rPr>
      </w:pPr>
      <w:r w:rsidRPr="00EA1E04">
        <w:rPr>
          <w:sz w:val="24"/>
          <w:szCs w:val="24"/>
        </w:rPr>
        <w:t xml:space="preserve">The study population consisted of </w:t>
      </w:r>
      <w:r w:rsidR="009742F0" w:rsidRPr="00EA1E04">
        <w:rPr>
          <w:sz w:val="24"/>
          <w:szCs w:val="24"/>
        </w:rPr>
        <w:t>2,479 people with alcoholic cirrhosis and 24,790 controls</w:t>
      </w:r>
      <w:r w:rsidRPr="00EA1E04">
        <w:rPr>
          <w:sz w:val="24"/>
          <w:szCs w:val="24"/>
        </w:rPr>
        <w:t xml:space="preserve"> </w:t>
      </w:r>
      <w:r w:rsidR="00C438B2" w:rsidRPr="00EA1E04">
        <w:rPr>
          <w:sz w:val="24"/>
          <w:szCs w:val="24"/>
        </w:rPr>
        <w:t xml:space="preserve">identified from 357 GP practices in </w:t>
      </w:r>
      <w:r w:rsidR="00A15001" w:rsidRPr="00EA1E04">
        <w:rPr>
          <w:sz w:val="24"/>
          <w:szCs w:val="24"/>
        </w:rPr>
        <w:t xml:space="preserve">England </w:t>
      </w:r>
      <w:r w:rsidRPr="00EA1E04">
        <w:rPr>
          <w:sz w:val="24"/>
          <w:szCs w:val="24"/>
        </w:rPr>
        <w:t>(Table 1)</w:t>
      </w:r>
      <w:r w:rsidR="009742F0" w:rsidRPr="00EA1E04">
        <w:rPr>
          <w:sz w:val="24"/>
          <w:szCs w:val="24"/>
        </w:rPr>
        <w:t xml:space="preserve">. </w:t>
      </w:r>
      <w:r w:rsidR="00213380" w:rsidRPr="00EA1E04">
        <w:rPr>
          <w:sz w:val="24"/>
          <w:szCs w:val="24"/>
        </w:rPr>
        <w:t xml:space="preserve">On average 83 patients (range 11-330 patients) were identified from each GP practice. </w:t>
      </w:r>
      <w:r w:rsidR="009742F0" w:rsidRPr="00EA1E04">
        <w:rPr>
          <w:sz w:val="24"/>
          <w:szCs w:val="24"/>
        </w:rPr>
        <w:t>The median observation period for p</w:t>
      </w:r>
      <w:r w:rsidR="00213380" w:rsidRPr="00EA1E04">
        <w:rPr>
          <w:sz w:val="24"/>
          <w:szCs w:val="24"/>
        </w:rPr>
        <w:t>atients</w:t>
      </w:r>
      <w:r w:rsidR="009742F0" w:rsidRPr="00EA1E04">
        <w:rPr>
          <w:sz w:val="24"/>
          <w:szCs w:val="24"/>
        </w:rPr>
        <w:t xml:space="preserve"> with alcoholic cirrhosis was 5.7 years before diagnosis, whil</w:t>
      </w:r>
      <w:r w:rsidR="003D4E8E" w:rsidRPr="00EA1E04">
        <w:rPr>
          <w:sz w:val="24"/>
          <w:szCs w:val="24"/>
        </w:rPr>
        <w:t>st</w:t>
      </w:r>
      <w:r w:rsidR="009742F0" w:rsidRPr="00EA1E04">
        <w:rPr>
          <w:sz w:val="24"/>
          <w:szCs w:val="24"/>
        </w:rPr>
        <w:t xml:space="preserve"> that of the control population was 4.6 years. The average age at diagnosis</w:t>
      </w:r>
      <w:r w:rsidR="003D4E8E" w:rsidRPr="00EA1E04">
        <w:rPr>
          <w:sz w:val="24"/>
          <w:szCs w:val="24"/>
        </w:rPr>
        <w:t xml:space="preserve"> of cirrhosis</w:t>
      </w:r>
      <w:r w:rsidR="009742F0" w:rsidRPr="00EA1E04">
        <w:rPr>
          <w:sz w:val="24"/>
          <w:szCs w:val="24"/>
        </w:rPr>
        <w:t xml:space="preserve"> for cases was 55.6 years and 67% of </w:t>
      </w:r>
      <w:r w:rsidR="0090496B" w:rsidRPr="00EA1E04">
        <w:rPr>
          <w:sz w:val="24"/>
          <w:szCs w:val="24"/>
        </w:rPr>
        <w:t xml:space="preserve">cases </w:t>
      </w:r>
      <w:r w:rsidR="009742F0" w:rsidRPr="00EA1E04">
        <w:rPr>
          <w:sz w:val="24"/>
          <w:szCs w:val="24"/>
        </w:rPr>
        <w:t xml:space="preserve">were men. </w:t>
      </w:r>
    </w:p>
    <w:p w:rsidR="009742F0" w:rsidRPr="00EA1E04" w:rsidRDefault="009742F0" w:rsidP="009742F0">
      <w:pPr>
        <w:spacing w:line="360" w:lineRule="auto"/>
        <w:jc w:val="both"/>
        <w:rPr>
          <w:b/>
          <w:sz w:val="24"/>
          <w:szCs w:val="24"/>
        </w:rPr>
      </w:pPr>
      <w:r w:rsidRPr="00EA1E04">
        <w:rPr>
          <w:b/>
          <w:sz w:val="24"/>
          <w:szCs w:val="24"/>
        </w:rPr>
        <w:t>General practice consultations before diagnosis</w:t>
      </w:r>
    </w:p>
    <w:p w:rsidR="009742F0" w:rsidRPr="00EA1E04" w:rsidRDefault="009742F0" w:rsidP="009742F0">
      <w:pPr>
        <w:spacing w:line="360" w:lineRule="auto"/>
        <w:jc w:val="both"/>
        <w:rPr>
          <w:sz w:val="24"/>
          <w:szCs w:val="24"/>
        </w:rPr>
      </w:pPr>
      <w:r w:rsidRPr="00EA1E04">
        <w:rPr>
          <w:sz w:val="24"/>
          <w:szCs w:val="24"/>
        </w:rPr>
        <w:t xml:space="preserve">Compared </w:t>
      </w:r>
      <w:r w:rsidR="000D39AF" w:rsidRPr="00EA1E04">
        <w:rPr>
          <w:sz w:val="24"/>
          <w:szCs w:val="24"/>
        </w:rPr>
        <w:t xml:space="preserve">to </w:t>
      </w:r>
      <w:r w:rsidRPr="00EA1E04">
        <w:rPr>
          <w:sz w:val="24"/>
          <w:szCs w:val="24"/>
        </w:rPr>
        <w:t>the control population, patients with alcoholic cirrhosis visited primary care more frequently (</w:t>
      </w:r>
      <w:r w:rsidR="0032002D" w:rsidRPr="00EA1E04">
        <w:rPr>
          <w:sz w:val="24"/>
          <w:szCs w:val="24"/>
        </w:rPr>
        <w:t xml:space="preserve">overall </w:t>
      </w:r>
      <w:r w:rsidR="0090496B" w:rsidRPr="00EA1E04">
        <w:rPr>
          <w:sz w:val="24"/>
          <w:szCs w:val="24"/>
        </w:rPr>
        <w:t>c</w:t>
      </w:r>
      <w:r w:rsidRPr="00EA1E04">
        <w:rPr>
          <w:sz w:val="24"/>
          <w:szCs w:val="24"/>
        </w:rPr>
        <w:t>onsultation</w:t>
      </w:r>
      <w:r w:rsidR="008079D5" w:rsidRPr="00EA1E04">
        <w:rPr>
          <w:sz w:val="24"/>
          <w:szCs w:val="24"/>
        </w:rPr>
        <w:t xml:space="preserve"> rate per-person-</w:t>
      </w:r>
      <w:r w:rsidRPr="00EA1E04">
        <w:rPr>
          <w:sz w:val="24"/>
          <w:szCs w:val="24"/>
        </w:rPr>
        <w:t xml:space="preserve">year, </w:t>
      </w:r>
      <w:r w:rsidR="0090496B" w:rsidRPr="00EA1E04">
        <w:rPr>
          <w:sz w:val="24"/>
          <w:szCs w:val="24"/>
        </w:rPr>
        <w:t>c</w:t>
      </w:r>
      <w:r w:rsidRPr="00EA1E04">
        <w:rPr>
          <w:sz w:val="24"/>
          <w:szCs w:val="24"/>
        </w:rPr>
        <w:t xml:space="preserve">ases: </w:t>
      </w:r>
      <w:r w:rsidR="0032002D" w:rsidRPr="00EA1E04">
        <w:rPr>
          <w:sz w:val="24"/>
          <w:szCs w:val="24"/>
        </w:rPr>
        <w:t>9.1</w:t>
      </w:r>
      <w:r w:rsidRPr="00EA1E04">
        <w:rPr>
          <w:sz w:val="24"/>
          <w:szCs w:val="24"/>
        </w:rPr>
        <w:t xml:space="preserve">, </w:t>
      </w:r>
      <w:r w:rsidR="0090496B" w:rsidRPr="00EA1E04">
        <w:rPr>
          <w:sz w:val="24"/>
          <w:szCs w:val="24"/>
        </w:rPr>
        <w:t>c</w:t>
      </w:r>
      <w:r w:rsidR="0032002D" w:rsidRPr="00EA1E04">
        <w:rPr>
          <w:sz w:val="24"/>
          <w:szCs w:val="24"/>
        </w:rPr>
        <w:t>ontrols: 5.9</w:t>
      </w:r>
      <w:r w:rsidRPr="00EA1E04">
        <w:rPr>
          <w:sz w:val="24"/>
          <w:szCs w:val="24"/>
        </w:rPr>
        <w:t xml:space="preserve">; IRR 1.52, </w:t>
      </w:r>
      <w:r w:rsidR="003D4E8E" w:rsidRPr="00EA1E04">
        <w:rPr>
          <w:sz w:val="24"/>
          <w:szCs w:val="24"/>
        </w:rPr>
        <w:t>(</w:t>
      </w:r>
      <w:r w:rsidR="000661F8" w:rsidRPr="00EA1E04">
        <w:rPr>
          <w:sz w:val="24"/>
          <w:szCs w:val="24"/>
        </w:rPr>
        <w:t>95% CI:1.51-</w:t>
      </w:r>
      <w:r w:rsidRPr="00EA1E04">
        <w:rPr>
          <w:sz w:val="24"/>
          <w:szCs w:val="24"/>
        </w:rPr>
        <w:t xml:space="preserve">1.53)), at an average excess of </w:t>
      </w:r>
      <w:r w:rsidR="0090496B" w:rsidRPr="00EA1E04">
        <w:rPr>
          <w:sz w:val="24"/>
          <w:szCs w:val="24"/>
        </w:rPr>
        <w:t>3.0</w:t>
      </w:r>
      <w:r w:rsidR="003E1882" w:rsidRPr="00EA1E04">
        <w:rPr>
          <w:sz w:val="24"/>
          <w:szCs w:val="24"/>
        </w:rPr>
        <w:t xml:space="preserve"> consultations per-person-</w:t>
      </w:r>
      <w:r w:rsidRPr="00EA1E04">
        <w:rPr>
          <w:sz w:val="24"/>
          <w:szCs w:val="24"/>
        </w:rPr>
        <w:t>year</w:t>
      </w:r>
      <w:r w:rsidR="003E1882" w:rsidRPr="00EA1E04">
        <w:rPr>
          <w:sz w:val="24"/>
          <w:szCs w:val="24"/>
        </w:rPr>
        <w:t xml:space="preserve"> </w:t>
      </w:r>
      <w:r w:rsidR="0055165F" w:rsidRPr="00EA1E04">
        <w:rPr>
          <w:sz w:val="24"/>
          <w:szCs w:val="24"/>
        </w:rPr>
        <w:t>(Figure 1a and Table 2)</w:t>
      </w:r>
      <w:r w:rsidRPr="00EA1E04">
        <w:rPr>
          <w:sz w:val="24"/>
          <w:szCs w:val="24"/>
        </w:rPr>
        <w:t xml:space="preserve">. </w:t>
      </w:r>
      <w:r w:rsidR="00AB4B90" w:rsidRPr="00EA1E04">
        <w:rPr>
          <w:sz w:val="24"/>
          <w:szCs w:val="24"/>
        </w:rPr>
        <w:t xml:space="preserve">Greater </w:t>
      </w:r>
      <w:r w:rsidRPr="00EA1E04">
        <w:rPr>
          <w:sz w:val="24"/>
          <w:szCs w:val="24"/>
        </w:rPr>
        <w:t>excess</w:t>
      </w:r>
      <w:r w:rsidR="00B40AB4" w:rsidRPr="00EA1E04">
        <w:rPr>
          <w:sz w:val="24"/>
          <w:szCs w:val="24"/>
        </w:rPr>
        <w:t xml:space="preserve">es </w:t>
      </w:r>
      <w:r w:rsidRPr="00EA1E04">
        <w:rPr>
          <w:sz w:val="24"/>
          <w:szCs w:val="24"/>
        </w:rPr>
        <w:t>were found among men</w:t>
      </w:r>
      <w:r w:rsidR="00AB4B90" w:rsidRPr="00EA1E04">
        <w:rPr>
          <w:sz w:val="24"/>
          <w:szCs w:val="24"/>
        </w:rPr>
        <w:t xml:space="preserve"> with an</w:t>
      </w:r>
      <w:r w:rsidRPr="00EA1E04">
        <w:rPr>
          <w:sz w:val="24"/>
          <w:szCs w:val="24"/>
        </w:rPr>
        <w:t xml:space="preserve"> overall averag</w:t>
      </w:r>
      <w:r w:rsidR="008079D5" w:rsidRPr="00EA1E04">
        <w:rPr>
          <w:sz w:val="24"/>
          <w:szCs w:val="24"/>
        </w:rPr>
        <w:t>e excess of 4 consultations per-person-</w:t>
      </w:r>
      <w:r w:rsidRPr="00EA1E04">
        <w:rPr>
          <w:sz w:val="24"/>
          <w:szCs w:val="24"/>
        </w:rPr>
        <w:t xml:space="preserve">year, </w:t>
      </w:r>
      <w:r w:rsidR="0090496B" w:rsidRPr="00EA1E04">
        <w:rPr>
          <w:sz w:val="24"/>
          <w:szCs w:val="24"/>
        </w:rPr>
        <w:t>compared with</w:t>
      </w:r>
      <w:r w:rsidRPr="00EA1E04">
        <w:rPr>
          <w:sz w:val="24"/>
          <w:szCs w:val="24"/>
        </w:rPr>
        <w:t xml:space="preserve"> 2.7 </w:t>
      </w:r>
      <w:r w:rsidR="0090496B" w:rsidRPr="00EA1E04">
        <w:rPr>
          <w:sz w:val="24"/>
          <w:szCs w:val="24"/>
        </w:rPr>
        <w:t xml:space="preserve">excess </w:t>
      </w:r>
      <w:r w:rsidRPr="00EA1E04">
        <w:rPr>
          <w:sz w:val="24"/>
          <w:szCs w:val="24"/>
        </w:rPr>
        <w:t>consultations</w:t>
      </w:r>
      <w:r w:rsidR="0090496B" w:rsidRPr="00EA1E04">
        <w:rPr>
          <w:sz w:val="24"/>
          <w:szCs w:val="24"/>
        </w:rPr>
        <w:t xml:space="preserve"> for women (LRT </w:t>
      </w:r>
      <w:r w:rsidR="0090496B" w:rsidRPr="00EA1E04">
        <w:rPr>
          <w:i/>
          <w:sz w:val="24"/>
          <w:szCs w:val="24"/>
        </w:rPr>
        <w:t>p</w:t>
      </w:r>
      <w:r w:rsidR="0090496B" w:rsidRPr="00EA1E04">
        <w:rPr>
          <w:sz w:val="24"/>
          <w:szCs w:val="24"/>
        </w:rPr>
        <w:t xml:space="preserve"> value</w:t>
      </w:r>
      <w:r w:rsidR="00B40AB4" w:rsidRPr="00EA1E04">
        <w:rPr>
          <w:sz w:val="24"/>
          <w:szCs w:val="24"/>
        </w:rPr>
        <w:t xml:space="preserve"> for sex interaction</w:t>
      </w:r>
      <w:r w:rsidR="0090496B" w:rsidRPr="00EA1E04">
        <w:rPr>
          <w:sz w:val="24"/>
          <w:szCs w:val="24"/>
        </w:rPr>
        <w:t>: &lt;0.001)</w:t>
      </w:r>
      <w:r w:rsidRPr="00EA1E04">
        <w:rPr>
          <w:sz w:val="24"/>
          <w:szCs w:val="24"/>
        </w:rPr>
        <w:t xml:space="preserve">. </w:t>
      </w:r>
      <w:r w:rsidR="0090496B" w:rsidRPr="00EA1E04">
        <w:rPr>
          <w:sz w:val="24"/>
          <w:szCs w:val="24"/>
        </w:rPr>
        <w:t>Modest changes in the number of excess consultations were observed between 10 and 5 years prior to diagnosis with a more rapid rate of change observed from 4 yea</w:t>
      </w:r>
      <w:r w:rsidR="00B40AB4" w:rsidRPr="00EA1E04">
        <w:rPr>
          <w:sz w:val="24"/>
          <w:szCs w:val="24"/>
        </w:rPr>
        <w:t>rs to 1 year prior to diagnosis, especially for men (figure 1a).</w:t>
      </w:r>
    </w:p>
    <w:p w:rsidR="009742F0" w:rsidRPr="00EA1E04" w:rsidRDefault="009742F0" w:rsidP="009742F0">
      <w:pPr>
        <w:spacing w:line="360" w:lineRule="auto"/>
        <w:jc w:val="both"/>
        <w:rPr>
          <w:b/>
          <w:sz w:val="24"/>
          <w:szCs w:val="24"/>
        </w:rPr>
      </w:pPr>
      <w:r w:rsidRPr="00EA1E04">
        <w:rPr>
          <w:b/>
          <w:sz w:val="24"/>
          <w:szCs w:val="24"/>
        </w:rPr>
        <w:t>Hospital admissions before diagnosis</w:t>
      </w:r>
    </w:p>
    <w:p w:rsidR="009742F0" w:rsidRPr="00EA1E04" w:rsidRDefault="009742F0" w:rsidP="009742F0">
      <w:pPr>
        <w:spacing w:line="360" w:lineRule="auto"/>
        <w:jc w:val="both"/>
        <w:rPr>
          <w:sz w:val="24"/>
          <w:szCs w:val="24"/>
        </w:rPr>
      </w:pPr>
      <w:r w:rsidRPr="00EA1E04">
        <w:rPr>
          <w:sz w:val="24"/>
          <w:szCs w:val="24"/>
        </w:rPr>
        <w:t xml:space="preserve">The overall rate of admission was </w:t>
      </w:r>
      <w:r w:rsidR="0090496B" w:rsidRPr="00EA1E04">
        <w:rPr>
          <w:sz w:val="24"/>
          <w:szCs w:val="24"/>
        </w:rPr>
        <w:t>twice as high</w:t>
      </w:r>
      <w:r w:rsidRPr="00EA1E04">
        <w:rPr>
          <w:sz w:val="24"/>
          <w:szCs w:val="24"/>
        </w:rPr>
        <w:t xml:space="preserve"> for patients with alcohol cirrhosis than for their controls (</w:t>
      </w:r>
      <w:r w:rsidR="0090496B" w:rsidRPr="00EA1E04">
        <w:rPr>
          <w:sz w:val="24"/>
          <w:szCs w:val="24"/>
        </w:rPr>
        <w:t>a</w:t>
      </w:r>
      <w:r w:rsidR="008079D5" w:rsidRPr="00EA1E04">
        <w:rPr>
          <w:sz w:val="24"/>
          <w:szCs w:val="24"/>
        </w:rPr>
        <w:t>dmission rate per 10-person-</w:t>
      </w:r>
      <w:r w:rsidRPr="00EA1E04">
        <w:rPr>
          <w:sz w:val="24"/>
          <w:szCs w:val="24"/>
        </w:rPr>
        <w:t xml:space="preserve">years, </w:t>
      </w:r>
      <w:r w:rsidR="00B11496" w:rsidRPr="00EA1E04">
        <w:rPr>
          <w:sz w:val="24"/>
          <w:szCs w:val="24"/>
        </w:rPr>
        <w:t>c</w:t>
      </w:r>
      <w:r w:rsidRPr="00EA1E04">
        <w:rPr>
          <w:sz w:val="24"/>
          <w:szCs w:val="24"/>
        </w:rPr>
        <w:t xml:space="preserve">ases: 5.5, </w:t>
      </w:r>
      <w:r w:rsidR="00B11496" w:rsidRPr="00EA1E04">
        <w:rPr>
          <w:sz w:val="24"/>
          <w:szCs w:val="24"/>
        </w:rPr>
        <w:t>c</w:t>
      </w:r>
      <w:r w:rsidRPr="00EA1E04">
        <w:rPr>
          <w:sz w:val="24"/>
          <w:szCs w:val="24"/>
        </w:rPr>
        <w:t xml:space="preserve">ontrols: 2.2; IRR 2.49, </w:t>
      </w:r>
      <w:r w:rsidR="003D4E8E" w:rsidRPr="00EA1E04">
        <w:rPr>
          <w:sz w:val="24"/>
          <w:szCs w:val="24"/>
        </w:rPr>
        <w:t>(</w:t>
      </w:r>
      <w:r w:rsidR="000661F8" w:rsidRPr="00EA1E04">
        <w:rPr>
          <w:sz w:val="24"/>
          <w:szCs w:val="24"/>
        </w:rPr>
        <w:t>95% CI:2.42-</w:t>
      </w:r>
      <w:r w:rsidRPr="00EA1E04">
        <w:rPr>
          <w:sz w:val="24"/>
          <w:szCs w:val="24"/>
        </w:rPr>
        <w:t>2.54))</w:t>
      </w:r>
      <w:r w:rsidR="0055165F" w:rsidRPr="00EA1E04">
        <w:rPr>
          <w:sz w:val="24"/>
          <w:szCs w:val="24"/>
        </w:rPr>
        <w:t>(Figure 1b and Table 3)</w:t>
      </w:r>
      <w:r w:rsidRPr="00EA1E04">
        <w:rPr>
          <w:sz w:val="24"/>
          <w:szCs w:val="24"/>
        </w:rPr>
        <w:t>. The greatest excesses were again found among</w:t>
      </w:r>
      <w:r w:rsidR="00B11496" w:rsidRPr="00EA1E04">
        <w:rPr>
          <w:sz w:val="24"/>
          <w:szCs w:val="24"/>
        </w:rPr>
        <w:t>st</w:t>
      </w:r>
      <w:r w:rsidRPr="00EA1E04">
        <w:rPr>
          <w:sz w:val="24"/>
          <w:szCs w:val="24"/>
        </w:rPr>
        <w:t xml:space="preserve"> men </w:t>
      </w:r>
      <w:r w:rsidR="00B11496" w:rsidRPr="00EA1E04">
        <w:rPr>
          <w:sz w:val="24"/>
          <w:szCs w:val="24"/>
        </w:rPr>
        <w:t>with</w:t>
      </w:r>
      <w:r w:rsidRPr="00EA1E04">
        <w:rPr>
          <w:sz w:val="24"/>
          <w:szCs w:val="24"/>
        </w:rPr>
        <w:t xml:space="preserve"> an average excess of 3.7 hospital admissions per 10-person years during the entire study period </w:t>
      </w:r>
      <w:r w:rsidR="00B11496" w:rsidRPr="00EA1E04">
        <w:rPr>
          <w:sz w:val="24"/>
          <w:szCs w:val="24"/>
        </w:rPr>
        <w:t xml:space="preserve">compared with  </w:t>
      </w:r>
      <w:r w:rsidRPr="00EA1E04">
        <w:rPr>
          <w:sz w:val="24"/>
          <w:szCs w:val="24"/>
        </w:rPr>
        <w:t xml:space="preserve">2.7 </w:t>
      </w:r>
      <w:r w:rsidR="00B11496" w:rsidRPr="00EA1E04">
        <w:rPr>
          <w:sz w:val="24"/>
          <w:szCs w:val="24"/>
        </w:rPr>
        <w:t xml:space="preserve">excess </w:t>
      </w:r>
      <w:r w:rsidRPr="00EA1E04">
        <w:rPr>
          <w:sz w:val="24"/>
          <w:szCs w:val="24"/>
        </w:rPr>
        <w:t>admissions</w:t>
      </w:r>
      <w:r w:rsidR="00B11496" w:rsidRPr="00EA1E04">
        <w:rPr>
          <w:sz w:val="24"/>
          <w:szCs w:val="24"/>
        </w:rPr>
        <w:t xml:space="preserve"> for women (LRT p value for interaction between sex and admission rate: &lt;0.001)</w:t>
      </w:r>
      <w:r w:rsidRPr="00EA1E04">
        <w:rPr>
          <w:sz w:val="24"/>
          <w:szCs w:val="24"/>
        </w:rPr>
        <w:t xml:space="preserve">. </w:t>
      </w:r>
      <w:r w:rsidR="00B11496" w:rsidRPr="00EA1E04">
        <w:rPr>
          <w:sz w:val="24"/>
          <w:szCs w:val="24"/>
        </w:rPr>
        <w:t>As with primary care consultations</w:t>
      </w:r>
      <w:r w:rsidRPr="00EA1E04">
        <w:rPr>
          <w:sz w:val="24"/>
          <w:szCs w:val="24"/>
        </w:rPr>
        <w:t xml:space="preserve">, </w:t>
      </w:r>
      <w:r w:rsidR="003B334C" w:rsidRPr="00EA1E04">
        <w:rPr>
          <w:sz w:val="24"/>
          <w:szCs w:val="24"/>
        </w:rPr>
        <w:t>we found</w:t>
      </w:r>
      <w:r w:rsidRPr="00EA1E04">
        <w:rPr>
          <w:sz w:val="24"/>
          <w:szCs w:val="24"/>
        </w:rPr>
        <w:t xml:space="preserve"> a gradual increase in </w:t>
      </w:r>
      <w:r w:rsidR="003B334C" w:rsidRPr="00EA1E04">
        <w:rPr>
          <w:sz w:val="24"/>
          <w:szCs w:val="24"/>
        </w:rPr>
        <w:t xml:space="preserve">admission </w:t>
      </w:r>
      <w:r w:rsidRPr="00EA1E04">
        <w:rPr>
          <w:sz w:val="24"/>
          <w:szCs w:val="24"/>
        </w:rPr>
        <w:t>rate</w:t>
      </w:r>
      <w:r w:rsidR="003B334C" w:rsidRPr="00EA1E04">
        <w:rPr>
          <w:sz w:val="24"/>
          <w:szCs w:val="24"/>
        </w:rPr>
        <w:t xml:space="preserve">s as time prior to diagnosis </w:t>
      </w:r>
      <w:r w:rsidR="00534F74" w:rsidRPr="00EA1E04">
        <w:rPr>
          <w:sz w:val="24"/>
          <w:szCs w:val="24"/>
        </w:rPr>
        <w:t>decreased,</w:t>
      </w:r>
      <w:r w:rsidRPr="00EA1E04">
        <w:rPr>
          <w:sz w:val="24"/>
          <w:szCs w:val="24"/>
        </w:rPr>
        <w:t xml:space="preserve"> </w:t>
      </w:r>
      <w:r w:rsidR="00B11496" w:rsidRPr="00EA1E04">
        <w:rPr>
          <w:sz w:val="24"/>
          <w:szCs w:val="24"/>
        </w:rPr>
        <w:t xml:space="preserve">with </w:t>
      </w:r>
      <w:r w:rsidRPr="00EA1E04">
        <w:rPr>
          <w:sz w:val="24"/>
          <w:szCs w:val="24"/>
        </w:rPr>
        <w:t>excesses higher in men than women</w:t>
      </w:r>
      <w:r w:rsidR="00B11496" w:rsidRPr="00EA1E04">
        <w:rPr>
          <w:sz w:val="24"/>
          <w:szCs w:val="24"/>
        </w:rPr>
        <w:t xml:space="preserve"> in all years</w:t>
      </w:r>
      <w:r w:rsidRPr="00EA1E04">
        <w:rPr>
          <w:sz w:val="24"/>
          <w:szCs w:val="24"/>
        </w:rPr>
        <w:t xml:space="preserve"> (Table 3). </w:t>
      </w:r>
    </w:p>
    <w:p w:rsidR="009742F0" w:rsidRPr="00EA1E04" w:rsidRDefault="009742F0" w:rsidP="009742F0">
      <w:pPr>
        <w:spacing w:line="360" w:lineRule="auto"/>
        <w:jc w:val="both"/>
        <w:rPr>
          <w:b/>
          <w:sz w:val="24"/>
          <w:szCs w:val="24"/>
        </w:rPr>
      </w:pPr>
      <w:r w:rsidRPr="00EA1E04">
        <w:rPr>
          <w:b/>
          <w:sz w:val="24"/>
          <w:szCs w:val="24"/>
        </w:rPr>
        <w:t>Alcohol use records</w:t>
      </w:r>
    </w:p>
    <w:p w:rsidR="009742F0" w:rsidRPr="00EA1E04" w:rsidRDefault="000D39AF" w:rsidP="009742F0">
      <w:pPr>
        <w:spacing w:line="360" w:lineRule="auto"/>
        <w:jc w:val="both"/>
        <w:rPr>
          <w:sz w:val="24"/>
          <w:szCs w:val="24"/>
        </w:rPr>
      </w:pPr>
      <w:r w:rsidRPr="00EA1E04">
        <w:rPr>
          <w:sz w:val="24"/>
          <w:szCs w:val="24"/>
        </w:rPr>
        <w:t>A</w:t>
      </w:r>
      <w:r w:rsidR="009742F0" w:rsidRPr="00EA1E04">
        <w:rPr>
          <w:sz w:val="24"/>
          <w:szCs w:val="24"/>
        </w:rPr>
        <w:t xml:space="preserve">lcohol </w:t>
      </w:r>
      <w:r w:rsidRPr="00EA1E04">
        <w:rPr>
          <w:sz w:val="24"/>
          <w:szCs w:val="24"/>
        </w:rPr>
        <w:t xml:space="preserve">consumption records </w:t>
      </w:r>
      <w:r w:rsidR="00B11496" w:rsidRPr="00EA1E04">
        <w:rPr>
          <w:sz w:val="24"/>
          <w:szCs w:val="24"/>
        </w:rPr>
        <w:t>(including record</w:t>
      </w:r>
      <w:r w:rsidRPr="00EA1E04">
        <w:rPr>
          <w:sz w:val="24"/>
          <w:szCs w:val="24"/>
        </w:rPr>
        <w:t>s</w:t>
      </w:r>
      <w:r w:rsidR="00B11496" w:rsidRPr="00EA1E04">
        <w:rPr>
          <w:sz w:val="24"/>
          <w:szCs w:val="24"/>
        </w:rPr>
        <w:t xml:space="preserve"> of being a non-drinker) </w:t>
      </w:r>
      <w:r w:rsidR="009742F0" w:rsidRPr="00EA1E04">
        <w:rPr>
          <w:sz w:val="24"/>
          <w:szCs w:val="24"/>
        </w:rPr>
        <w:t>w</w:t>
      </w:r>
      <w:r w:rsidR="00961636" w:rsidRPr="00EA1E04">
        <w:rPr>
          <w:sz w:val="24"/>
          <w:szCs w:val="24"/>
        </w:rPr>
        <w:t>ere</w:t>
      </w:r>
      <w:r w:rsidR="009742F0" w:rsidRPr="00EA1E04">
        <w:rPr>
          <w:sz w:val="24"/>
          <w:szCs w:val="24"/>
        </w:rPr>
        <w:t xml:space="preserve"> available for 2,088 (84.2%) cases and 16,752 (67.6%) controls and substantially more cases (60.0%</w:t>
      </w:r>
      <w:r w:rsidR="00AB4B90" w:rsidRPr="00EA1E04">
        <w:rPr>
          <w:sz w:val="24"/>
          <w:szCs w:val="24"/>
        </w:rPr>
        <w:t>, n=1,507</w:t>
      </w:r>
      <w:r w:rsidR="009742F0" w:rsidRPr="00EA1E04">
        <w:rPr>
          <w:sz w:val="24"/>
          <w:szCs w:val="24"/>
        </w:rPr>
        <w:t xml:space="preserve">) than controls (9.5%) had a record of harmful or hazardous </w:t>
      </w:r>
      <w:r w:rsidR="000A3E8D" w:rsidRPr="00EA1E04">
        <w:rPr>
          <w:sz w:val="24"/>
          <w:szCs w:val="24"/>
        </w:rPr>
        <w:t>drinking (Table 4)</w:t>
      </w:r>
      <w:r w:rsidR="009742F0" w:rsidRPr="00EA1E04">
        <w:rPr>
          <w:sz w:val="24"/>
          <w:szCs w:val="24"/>
        </w:rPr>
        <w:t xml:space="preserve">. </w:t>
      </w:r>
      <w:r w:rsidR="00AB4B90" w:rsidRPr="00EA1E04">
        <w:rPr>
          <w:sz w:val="24"/>
          <w:szCs w:val="24"/>
        </w:rPr>
        <w:t xml:space="preserve">On </w:t>
      </w:r>
      <w:r w:rsidR="00AB4B90" w:rsidRPr="00EA1E04">
        <w:rPr>
          <w:sz w:val="24"/>
          <w:szCs w:val="24"/>
        </w:rPr>
        <w:lastRenderedPageBreak/>
        <w:t>average, the time between a patient’s first record of hazardous or harmful drinking and their diagnosis of alcoholic cirrhosis was 4.2</w:t>
      </w:r>
      <w:r w:rsidR="005A585F" w:rsidRPr="00EA1E04">
        <w:rPr>
          <w:sz w:val="24"/>
          <w:szCs w:val="24"/>
        </w:rPr>
        <w:t xml:space="preserve"> </w:t>
      </w:r>
      <w:r w:rsidR="000661F8" w:rsidRPr="00EA1E04">
        <w:rPr>
          <w:sz w:val="24"/>
          <w:szCs w:val="24"/>
        </w:rPr>
        <w:t>years (IQR:1.9-</w:t>
      </w:r>
      <w:r w:rsidR="00AB4B90" w:rsidRPr="00EA1E04">
        <w:rPr>
          <w:sz w:val="24"/>
          <w:szCs w:val="24"/>
        </w:rPr>
        <w:t>7.5 years).</w:t>
      </w:r>
    </w:p>
    <w:p w:rsidR="009742F0" w:rsidRPr="00EA1E04" w:rsidRDefault="0055165F" w:rsidP="009742F0">
      <w:pPr>
        <w:spacing w:line="360" w:lineRule="auto"/>
        <w:jc w:val="both"/>
        <w:rPr>
          <w:sz w:val="24"/>
          <w:szCs w:val="24"/>
        </w:rPr>
      </w:pPr>
      <w:r w:rsidRPr="00EA1E04">
        <w:rPr>
          <w:sz w:val="24"/>
          <w:szCs w:val="24"/>
        </w:rPr>
        <w:t>C</w:t>
      </w:r>
      <w:r w:rsidR="009742F0" w:rsidRPr="00EA1E04">
        <w:rPr>
          <w:sz w:val="24"/>
          <w:szCs w:val="24"/>
        </w:rPr>
        <w:t>ompared to the control population, men with alcoholic cirrhosis were more likely to have</w:t>
      </w:r>
      <w:r w:rsidR="003B334C" w:rsidRPr="00EA1E04">
        <w:rPr>
          <w:sz w:val="24"/>
          <w:szCs w:val="24"/>
        </w:rPr>
        <w:t xml:space="preserve"> had </w:t>
      </w:r>
      <w:r w:rsidR="009742F0" w:rsidRPr="00EA1E04">
        <w:rPr>
          <w:sz w:val="24"/>
          <w:szCs w:val="24"/>
        </w:rPr>
        <w:t>a</w:t>
      </w:r>
      <w:r w:rsidR="00961636" w:rsidRPr="00EA1E04">
        <w:rPr>
          <w:sz w:val="24"/>
          <w:szCs w:val="24"/>
        </w:rPr>
        <w:t xml:space="preserve"> record of their alcohol use </w:t>
      </w:r>
      <w:r w:rsidR="003B334C" w:rsidRPr="00EA1E04">
        <w:rPr>
          <w:sz w:val="24"/>
          <w:szCs w:val="24"/>
        </w:rPr>
        <w:t xml:space="preserve">in the 10 years prior to diagnosis </w:t>
      </w:r>
      <w:r w:rsidR="009742F0" w:rsidRPr="00EA1E04">
        <w:rPr>
          <w:sz w:val="24"/>
          <w:szCs w:val="24"/>
        </w:rPr>
        <w:t xml:space="preserve">than women (85% compared to 82%, </w:t>
      </w:r>
      <w:r w:rsidR="009742F0" w:rsidRPr="00EA1E04">
        <w:rPr>
          <w:i/>
          <w:sz w:val="24"/>
          <w:szCs w:val="24"/>
        </w:rPr>
        <w:t>p</w:t>
      </w:r>
      <w:r w:rsidR="009742F0" w:rsidRPr="00EA1E04">
        <w:rPr>
          <w:sz w:val="24"/>
          <w:szCs w:val="24"/>
        </w:rPr>
        <w:t xml:space="preserve"> value &lt; 0.001</w:t>
      </w:r>
      <w:r w:rsidR="00D7692D" w:rsidRPr="00EA1E04">
        <w:rPr>
          <w:sz w:val="24"/>
          <w:szCs w:val="24"/>
        </w:rPr>
        <w:t>)</w:t>
      </w:r>
      <w:r w:rsidR="000A3E8D" w:rsidRPr="00EA1E04">
        <w:rPr>
          <w:sz w:val="24"/>
          <w:szCs w:val="24"/>
        </w:rPr>
        <w:t>(Table 5</w:t>
      </w:r>
      <w:r w:rsidR="009742F0" w:rsidRPr="00EA1E04">
        <w:rPr>
          <w:sz w:val="24"/>
          <w:szCs w:val="24"/>
        </w:rPr>
        <w:t xml:space="preserve">).  After adjusting for the effect of age and consulting rate, </w:t>
      </w:r>
      <w:r w:rsidR="00083F9C" w:rsidRPr="00EA1E04">
        <w:rPr>
          <w:sz w:val="24"/>
          <w:szCs w:val="24"/>
        </w:rPr>
        <w:t xml:space="preserve">the odds of having an alcohol consumption record remained higher for men </w:t>
      </w:r>
      <w:r w:rsidR="007D4D26" w:rsidRPr="00EA1E04">
        <w:rPr>
          <w:sz w:val="24"/>
          <w:szCs w:val="24"/>
        </w:rPr>
        <w:t>[</w:t>
      </w:r>
      <w:r w:rsidR="000661F8" w:rsidRPr="00EA1E04">
        <w:rPr>
          <w:sz w:val="24"/>
          <w:szCs w:val="24"/>
        </w:rPr>
        <w:t>OR 1.96 (95% CI:1.7-</w:t>
      </w:r>
      <w:r w:rsidR="009742F0" w:rsidRPr="00EA1E04">
        <w:rPr>
          <w:sz w:val="24"/>
          <w:szCs w:val="24"/>
        </w:rPr>
        <w:t>2.3</w:t>
      </w:r>
      <w:r w:rsidR="000661F8" w:rsidRPr="00EA1E04">
        <w:rPr>
          <w:sz w:val="24"/>
          <w:szCs w:val="24"/>
        </w:rPr>
        <w:t>)</w:t>
      </w:r>
      <w:r w:rsidR="009742F0" w:rsidRPr="00EA1E04">
        <w:rPr>
          <w:sz w:val="24"/>
          <w:szCs w:val="24"/>
        </w:rPr>
        <w:t>, p</w:t>
      </w:r>
      <w:r w:rsidR="009B0BC9" w:rsidRPr="00EA1E04">
        <w:rPr>
          <w:sz w:val="24"/>
          <w:szCs w:val="24"/>
        </w:rPr>
        <w:t xml:space="preserve"> value &lt;0.001</w:t>
      </w:r>
      <w:r w:rsidR="0075615D" w:rsidRPr="00EA1E04">
        <w:rPr>
          <w:sz w:val="24"/>
          <w:szCs w:val="24"/>
        </w:rPr>
        <w:t>]</w:t>
      </w:r>
      <w:r w:rsidR="009742F0" w:rsidRPr="00EA1E04">
        <w:rPr>
          <w:sz w:val="24"/>
          <w:szCs w:val="24"/>
        </w:rPr>
        <w:t xml:space="preserve"> </w:t>
      </w:r>
      <w:r w:rsidR="0075615D" w:rsidRPr="00EA1E04">
        <w:rPr>
          <w:sz w:val="24"/>
          <w:szCs w:val="24"/>
        </w:rPr>
        <w:t>than women [</w:t>
      </w:r>
      <w:r w:rsidR="000661F8" w:rsidRPr="00EA1E04">
        <w:rPr>
          <w:sz w:val="24"/>
          <w:szCs w:val="24"/>
        </w:rPr>
        <w:t>OR 1.63(95% CI:1.4-</w:t>
      </w:r>
      <w:r w:rsidR="009742F0" w:rsidRPr="00EA1E04">
        <w:rPr>
          <w:sz w:val="24"/>
          <w:szCs w:val="24"/>
        </w:rPr>
        <w:t>1.8</w:t>
      </w:r>
      <w:r w:rsidR="000661F8" w:rsidRPr="00EA1E04">
        <w:rPr>
          <w:sz w:val="24"/>
          <w:szCs w:val="24"/>
        </w:rPr>
        <w:t>)</w:t>
      </w:r>
      <w:r w:rsidR="009B0BC9" w:rsidRPr="00EA1E04">
        <w:rPr>
          <w:sz w:val="24"/>
          <w:szCs w:val="24"/>
        </w:rPr>
        <w:t>, p &lt;0.001</w:t>
      </w:r>
      <w:r w:rsidR="0075615D" w:rsidRPr="00EA1E04">
        <w:rPr>
          <w:sz w:val="24"/>
          <w:szCs w:val="24"/>
        </w:rPr>
        <w:t>]</w:t>
      </w:r>
      <w:r w:rsidR="000A3E8D" w:rsidRPr="00EA1E04">
        <w:rPr>
          <w:sz w:val="24"/>
          <w:szCs w:val="24"/>
        </w:rPr>
        <w:t xml:space="preserve"> (Table 5</w:t>
      </w:r>
      <w:r w:rsidR="009742F0" w:rsidRPr="00EA1E04">
        <w:rPr>
          <w:sz w:val="24"/>
          <w:szCs w:val="24"/>
        </w:rPr>
        <w:t>).</w:t>
      </w:r>
    </w:p>
    <w:p w:rsidR="009742F0" w:rsidRPr="00EA1E04" w:rsidRDefault="009742F0" w:rsidP="009742F0">
      <w:pPr>
        <w:spacing w:line="360" w:lineRule="auto"/>
        <w:jc w:val="both"/>
        <w:rPr>
          <w:b/>
          <w:sz w:val="24"/>
          <w:szCs w:val="24"/>
        </w:rPr>
      </w:pPr>
      <w:r w:rsidRPr="00EA1E04">
        <w:rPr>
          <w:b/>
          <w:sz w:val="24"/>
          <w:szCs w:val="24"/>
        </w:rPr>
        <w:t>Alcohol use interventions</w:t>
      </w:r>
    </w:p>
    <w:p w:rsidR="00200766" w:rsidRPr="00EA1E04" w:rsidRDefault="00AB4B90" w:rsidP="009742F0">
      <w:pPr>
        <w:spacing w:line="360" w:lineRule="auto"/>
        <w:jc w:val="both"/>
        <w:rPr>
          <w:sz w:val="24"/>
          <w:szCs w:val="24"/>
        </w:rPr>
      </w:pPr>
      <w:r w:rsidRPr="00EA1E04">
        <w:rPr>
          <w:sz w:val="24"/>
          <w:szCs w:val="24"/>
        </w:rPr>
        <w:t>Electronic</w:t>
      </w:r>
      <w:r w:rsidR="007D4D26" w:rsidRPr="00EA1E04">
        <w:rPr>
          <w:sz w:val="24"/>
          <w:szCs w:val="24"/>
        </w:rPr>
        <w:t>al</w:t>
      </w:r>
      <w:r w:rsidR="003B334C" w:rsidRPr="00EA1E04">
        <w:rPr>
          <w:sz w:val="24"/>
          <w:szCs w:val="24"/>
        </w:rPr>
        <w:t>ly</w:t>
      </w:r>
      <w:r w:rsidR="00796A5D" w:rsidRPr="00EA1E04">
        <w:rPr>
          <w:sz w:val="24"/>
          <w:szCs w:val="24"/>
        </w:rPr>
        <w:t xml:space="preserve"> coded recording of an</w:t>
      </w:r>
      <w:r w:rsidR="009742F0" w:rsidRPr="00EA1E04">
        <w:rPr>
          <w:sz w:val="24"/>
          <w:szCs w:val="24"/>
        </w:rPr>
        <w:t xml:space="preserve"> offer of an intervention was found for </w:t>
      </w:r>
      <w:r w:rsidR="00873625" w:rsidRPr="00EA1E04">
        <w:rPr>
          <w:sz w:val="24"/>
          <w:szCs w:val="24"/>
        </w:rPr>
        <w:t>22.8</w:t>
      </w:r>
      <w:r w:rsidRPr="00EA1E04">
        <w:rPr>
          <w:sz w:val="24"/>
          <w:szCs w:val="24"/>
        </w:rPr>
        <w:t xml:space="preserve">% (n=565) of </w:t>
      </w:r>
      <w:r w:rsidR="00B11496" w:rsidRPr="00EA1E04">
        <w:rPr>
          <w:sz w:val="24"/>
          <w:szCs w:val="24"/>
        </w:rPr>
        <w:t>cases</w:t>
      </w:r>
      <w:r w:rsidR="00200766" w:rsidRPr="00EA1E04">
        <w:rPr>
          <w:sz w:val="24"/>
          <w:szCs w:val="24"/>
        </w:rPr>
        <w:t xml:space="preserve"> and </w:t>
      </w:r>
      <w:r w:rsidR="009742F0" w:rsidRPr="00EA1E04">
        <w:rPr>
          <w:sz w:val="24"/>
          <w:szCs w:val="24"/>
        </w:rPr>
        <w:t>4.7% (n=1,151</w:t>
      </w:r>
      <w:r w:rsidRPr="00EA1E04">
        <w:rPr>
          <w:sz w:val="24"/>
          <w:szCs w:val="24"/>
        </w:rPr>
        <w:t>)</w:t>
      </w:r>
      <w:r w:rsidR="00200766" w:rsidRPr="00EA1E04">
        <w:rPr>
          <w:sz w:val="24"/>
          <w:szCs w:val="24"/>
        </w:rPr>
        <w:t xml:space="preserve"> of controls</w:t>
      </w:r>
      <w:r w:rsidRPr="00EA1E04">
        <w:rPr>
          <w:sz w:val="24"/>
          <w:szCs w:val="24"/>
        </w:rPr>
        <w:t xml:space="preserve">. </w:t>
      </w:r>
      <w:r w:rsidR="009742F0" w:rsidRPr="00EA1E04">
        <w:rPr>
          <w:sz w:val="24"/>
          <w:szCs w:val="24"/>
        </w:rPr>
        <w:t xml:space="preserve">Both </w:t>
      </w:r>
      <w:r w:rsidR="0022404C" w:rsidRPr="00EA1E04">
        <w:rPr>
          <w:sz w:val="24"/>
          <w:szCs w:val="24"/>
        </w:rPr>
        <w:t>men and women</w:t>
      </w:r>
      <w:r w:rsidR="00114165" w:rsidRPr="00EA1E04">
        <w:rPr>
          <w:sz w:val="24"/>
          <w:szCs w:val="24"/>
        </w:rPr>
        <w:t xml:space="preserve"> were less likely to have records of</w:t>
      </w:r>
      <w:r w:rsidR="009742F0" w:rsidRPr="00EA1E04">
        <w:rPr>
          <w:sz w:val="24"/>
          <w:szCs w:val="24"/>
        </w:rPr>
        <w:t xml:space="preserve"> interventions with increasing age, but the lowest proportions were found among women</w:t>
      </w:r>
      <w:r w:rsidR="000A3E8D" w:rsidRPr="00EA1E04">
        <w:rPr>
          <w:sz w:val="24"/>
          <w:szCs w:val="24"/>
        </w:rPr>
        <w:t xml:space="preserve"> aged 65</w:t>
      </w:r>
      <w:r w:rsidR="00127726" w:rsidRPr="00EA1E04">
        <w:rPr>
          <w:sz w:val="24"/>
          <w:szCs w:val="24"/>
        </w:rPr>
        <w:t xml:space="preserve"> </w:t>
      </w:r>
      <w:r w:rsidR="000A3E8D" w:rsidRPr="00EA1E04">
        <w:rPr>
          <w:sz w:val="24"/>
          <w:szCs w:val="24"/>
        </w:rPr>
        <w:t>years and above (Table 6</w:t>
      </w:r>
      <w:r w:rsidR="009742F0" w:rsidRPr="00EA1E04">
        <w:rPr>
          <w:sz w:val="24"/>
          <w:szCs w:val="24"/>
        </w:rPr>
        <w:t>). After adjusting for age and differences in consulting rate, women with alcoholic cirrhosis</w:t>
      </w:r>
      <w:r w:rsidR="00245B7E" w:rsidRPr="00EA1E04">
        <w:rPr>
          <w:sz w:val="24"/>
          <w:szCs w:val="24"/>
        </w:rPr>
        <w:t xml:space="preserve"> </w:t>
      </w:r>
      <w:r w:rsidR="000661F8" w:rsidRPr="00EA1E04">
        <w:rPr>
          <w:sz w:val="24"/>
          <w:szCs w:val="24"/>
        </w:rPr>
        <w:t>[</w:t>
      </w:r>
      <w:r w:rsidR="009742F0" w:rsidRPr="00EA1E04">
        <w:rPr>
          <w:sz w:val="24"/>
          <w:szCs w:val="24"/>
        </w:rPr>
        <w:t xml:space="preserve">Adjusted </w:t>
      </w:r>
      <w:r w:rsidR="000661F8" w:rsidRPr="00EA1E04">
        <w:rPr>
          <w:sz w:val="24"/>
          <w:szCs w:val="24"/>
        </w:rPr>
        <w:t>OR 5.8(95% CI:4.8-</w:t>
      </w:r>
      <w:r w:rsidR="009742F0" w:rsidRPr="00EA1E04">
        <w:rPr>
          <w:sz w:val="24"/>
          <w:szCs w:val="24"/>
        </w:rPr>
        <w:t>7.0), p &lt; 0.00</w:t>
      </w:r>
      <w:r w:rsidR="000661F8" w:rsidRPr="00EA1E04">
        <w:rPr>
          <w:sz w:val="24"/>
          <w:szCs w:val="24"/>
        </w:rPr>
        <w:t>1]</w:t>
      </w:r>
      <w:r w:rsidR="009B0BC9" w:rsidRPr="00EA1E04">
        <w:rPr>
          <w:sz w:val="24"/>
          <w:szCs w:val="24"/>
        </w:rPr>
        <w:t xml:space="preserve">  were more likely than men [</w:t>
      </w:r>
      <w:r w:rsidR="00F503DB" w:rsidRPr="00EA1E04">
        <w:rPr>
          <w:sz w:val="24"/>
          <w:szCs w:val="24"/>
        </w:rPr>
        <w:t>A</w:t>
      </w:r>
      <w:r w:rsidR="009B0BC9" w:rsidRPr="00EA1E04">
        <w:rPr>
          <w:sz w:val="24"/>
          <w:szCs w:val="24"/>
        </w:rPr>
        <w:t>djusted OR 4.3(</w:t>
      </w:r>
      <w:r w:rsidR="000661F8" w:rsidRPr="00EA1E04">
        <w:rPr>
          <w:sz w:val="24"/>
          <w:szCs w:val="24"/>
        </w:rPr>
        <w:t>95% CI:3.7-</w:t>
      </w:r>
      <w:r w:rsidR="009B0BC9" w:rsidRPr="00EA1E04">
        <w:rPr>
          <w:sz w:val="24"/>
          <w:szCs w:val="24"/>
        </w:rPr>
        <w:t>4.9), p &lt;0.001]</w:t>
      </w:r>
      <w:r w:rsidR="009742F0" w:rsidRPr="00EA1E04">
        <w:rPr>
          <w:sz w:val="24"/>
          <w:szCs w:val="24"/>
        </w:rPr>
        <w:t xml:space="preserve"> to have an intervention record when compared to the control population</w:t>
      </w:r>
      <w:r w:rsidR="00245B7E" w:rsidRPr="00EA1E04">
        <w:rPr>
          <w:sz w:val="24"/>
          <w:szCs w:val="24"/>
        </w:rPr>
        <w:t xml:space="preserve"> </w:t>
      </w:r>
      <w:r w:rsidR="00D7692D" w:rsidRPr="00EA1E04">
        <w:rPr>
          <w:sz w:val="24"/>
          <w:szCs w:val="24"/>
        </w:rPr>
        <w:t>(Table 5</w:t>
      </w:r>
      <w:r w:rsidR="009742F0" w:rsidRPr="00EA1E04">
        <w:rPr>
          <w:sz w:val="24"/>
          <w:szCs w:val="24"/>
        </w:rPr>
        <w:t xml:space="preserve">). </w:t>
      </w:r>
    </w:p>
    <w:p w:rsidR="0055165F" w:rsidRPr="00EA1E04" w:rsidRDefault="00B43282" w:rsidP="00B43282">
      <w:pPr>
        <w:spacing w:line="360" w:lineRule="auto"/>
        <w:rPr>
          <w:b/>
          <w:sz w:val="24"/>
          <w:szCs w:val="24"/>
        </w:rPr>
      </w:pPr>
      <w:r w:rsidRPr="00EA1E04">
        <w:rPr>
          <w:sz w:val="24"/>
          <w:szCs w:val="24"/>
        </w:rPr>
        <w:t xml:space="preserve">No substantial difference in point estimates </w:t>
      </w:r>
      <w:r w:rsidR="00CC2939" w:rsidRPr="00EA1E04">
        <w:rPr>
          <w:sz w:val="24"/>
          <w:szCs w:val="24"/>
        </w:rPr>
        <w:t xml:space="preserve">were </w:t>
      </w:r>
      <w:r w:rsidRPr="00EA1E04">
        <w:rPr>
          <w:sz w:val="24"/>
          <w:szCs w:val="24"/>
        </w:rPr>
        <w:t xml:space="preserve">seen when </w:t>
      </w:r>
      <w:r w:rsidR="004C0247" w:rsidRPr="00EA1E04">
        <w:rPr>
          <w:sz w:val="24"/>
          <w:szCs w:val="24"/>
        </w:rPr>
        <w:t xml:space="preserve">regression </w:t>
      </w:r>
      <w:r w:rsidRPr="00EA1E04">
        <w:rPr>
          <w:sz w:val="24"/>
          <w:szCs w:val="24"/>
        </w:rPr>
        <w:t xml:space="preserve">models were refitted using the GEE approach. </w:t>
      </w:r>
      <w:r w:rsidR="0055165F" w:rsidRPr="00EA1E04">
        <w:rPr>
          <w:b/>
          <w:sz w:val="24"/>
          <w:szCs w:val="24"/>
        </w:rPr>
        <w:br w:type="page"/>
      </w:r>
    </w:p>
    <w:p w:rsidR="009742F0" w:rsidRPr="00EA1E04" w:rsidRDefault="001141B7" w:rsidP="009742F0">
      <w:pPr>
        <w:spacing w:line="360" w:lineRule="auto"/>
        <w:jc w:val="both"/>
        <w:rPr>
          <w:sz w:val="24"/>
          <w:szCs w:val="24"/>
        </w:rPr>
      </w:pPr>
      <w:r w:rsidRPr="00EA1E04">
        <w:rPr>
          <w:b/>
          <w:sz w:val="24"/>
          <w:szCs w:val="24"/>
        </w:rPr>
        <w:lastRenderedPageBreak/>
        <w:t>DISCUSSION</w:t>
      </w:r>
    </w:p>
    <w:p w:rsidR="009742F0" w:rsidRPr="00EA1E04" w:rsidRDefault="004F794E" w:rsidP="009742F0">
      <w:pPr>
        <w:spacing w:line="360" w:lineRule="auto"/>
        <w:jc w:val="both"/>
        <w:rPr>
          <w:sz w:val="24"/>
          <w:szCs w:val="24"/>
        </w:rPr>
      </w:pPr>
      <w:r w:rsidRPr="00EA1E04">
        <w:rPr>
          <w:sz w:val="24"/>
          <w:szCs w:val="24"/>
        </w:rPr>
        <w:t xml:space="preserve">These results have shown that </w:t>
      </w:r>
      <w:r w:rsidR="00B56392" w:rsidRPr="00EA1E04">
        <w:rPr>
          <w:sz w:val="24"/>
          <w:szCs w:val="24"/>
        </w:rPr>
        <w:t>men</w:t>
      </w:r>
      <w:r w:rsidRPr="00EA1E04">
        <w:rPr>
          <w:sz w:val="24"/>
          <w:szCs w:val="24"/>
        </w:rPr>
        <w:t xml:space="preserve"> with alcoholic cirrhosis </w:t>
      </w:r>
      <w:r w:rsidR="00B56392" w:rsidRPr="00EA1E04">
        <w:rPr>
          <w:sz w:val="24"/>
          <w:szCs w:val="24"/>
        </w:rPr>
        <w:t xml:space="preserve">have a greater excess use of </w:t>
      </w:r>
      <w:r w:rsidRPr="00EA1E04">
        <w:rPr>
          <w:sz w:val="24"/>
          <w:szCs w:val="24"/>
        </w:rPr>
        <w:t>both primary and secondary healthcare during the years leading up to their diagnosis</w:t>
      </w:r>
      <w:r w:rsidR="00B56392" w:rsidRPr="00EA1E04">
        <w:rPr>
          <w:sz w:val="24"/>
          <w:szCs w:val="24"/>
        </w:rPr>
        <w:t xml:space="preserve"> </w:t>
      </w:r>
      <w:r w:rsidR="00E4765A" w:rsidRPr="00EA1E04">
        <w:rPr>
          <w:sz w:val="24"/>
          <w:szCs w:val="24"/>
        </w:rPr>
        <w:t>than</w:t>
      </w:r>
      <w:r w:rsidR="00B56392" w:rsidRPr="00EA1E04">
        <w:rPr>
          <w:sz w:val="24"/>
          <w:szCs w:val="24"/>
        </w:rPr>
        <w:t xml:space="preserve"> women</w:t>
      </w:r>
      <w:r w:rsidR="00A42EE3" w:rsidRPr="00EA1E04">
        <w:rPr>
          <w:sz w:val="24"/>
          <w:szCs w:val="24"/>
        </w:rPr>
        <w:t xml:space="preserve"> and are more likely to have their alcohol use recorded</w:t>
      </w:r>
      <w:r w:rsidR="00CC2939" w:rsidRPr="00EA1E04">
        <w:rPr>
          <w:sz w:val="24"/>
          <w:szCs w:val="24"/>
        </w:rPr>
        <w:t xml:space="preserve">.  By contrast, women were more likely to be offered an ABI or referral, even after controlling for age and consulting rate.  </w:t>
      </w:r>
      <w:r w:rsidR="00362D58" w:rsidRPr="00EA1E04">
        <w:rPr>
          <w:sz w:val="24"/>
          <w:szCs w:val="24"/>
        </w:rPr>
        <w:t xml:space="preserve"> </w:t>
      </w:r>
      <w:r w:rsidR="00A42EE3" w:rsidRPr="00EA1E04">
        <w:rPr>
          <w:sz w:val="24"/>
          <w:szCs w:val="24"/>
        </w:rPr>
        <w:t>Interestingly,</w:t>
      </w:r>
      <w:r w:rsidRPr="00EA1E04">
        <w:rPr>
          <w:sz w:val="24"/>
          <w:szCs w:val="24"/>
        </w:rPr>
        <w:t xml:space="preserve"> although the offer of brief </w:t>
      </w:r>
      <w:r w:rsidR="00D17CBA" w:rsidRPr="00EA1E04">
        <w:rPr>
          <w:sz w:val="24"/>
          <w:szCs w:val="24"/>
        </w:rPr>
        <w:t xml:space="preserve">alcohol </w:t>
      </w:r>
      <w:r w:rsidRPr="00EA1E04">
        <w:rPr>
          <w:sz w:val="24"/>
          <w:szCs w:val="24"/>
        </w:rPr>
        <w:t xml:space="preserve">interventions was generally low, those </w:t>
      </w:r>
      <w:r w:rsidR="00A42EE3" w:rsidRPr="00EA1E04">
        <w:rPr>
          <w:sz w:val="24"/>
          <w:szCs w:val="24"/>
        </w:rPr>
        <w:t>diagnosed with cirrhosis at an older age</w:t>
      </w:r>
      <w:r w:rsidR="002B0D51" w:rsidRPr="00EA1E04">
        <w:rPr>
          <w:sz w:val="24"/>
          <w:szCs w:val="24"/>
        </w:rPr>
        <w:t xml:space="preserve"> </w:t>
      </w:r>
      <w:r w:rsidRPr="00EA1E04">
        <w:rPr>
          <w:sz w:val="24"/>
          <w:szCs w:val="24"/>
        </w:rPr>
        <w:t xml:space="preserve">were less likely than the younger age groups to have received an offer of an intervention prior to the diagnosis of their disease. </w:t>
      </w:r>
    </w:p>
    <w:p w:rsidR="009742F0" w:rsidRPr="00EA1E04" w:rsidRDefault="009742F0" w:rsidP="009742F0">
      <w:pPr>
        <w:spacing w:line="360" w:lineRule="auto"/>
        <w:jc w:val="both"/>
        <w:rPr>
          <w:b/>
          <w:sz w:val="24"/>
          <w:szCs w:val="24"/>
        </w:rPr>
      </w:pPr>
      <w:r w:rsidRPr="00EA1E04">
        <w:rPr>
          <w:b/>
          <w:sz w:val="24"/>
          <w:szCs w:val="24"/>
        </w:rPr>
        <w:t xml:space="preserve">Strengths and limitations </w:t>
      </w:r>
    </w:p>
    <w:p w:rsidR="009742F0" w:rsidRPr="00EA1E04" w:rsidRDefault="00F8263E" w:rsidP="009742F0">
      <w:pPr>
        <w:spacing w:line="360" w:lineRule="auto"/>
        <w:jc w:val="both"/>
        <w:rPr>
          <w:bCs/>
          <w:sz w:val="24"/>
          <w:szCs w:val="24"/>
        </w:rPr>
      </w:pPr>
      <w:r w:rsidRPr="00EA1E04">
        <w:rPr>
          <w:bCs/>
          <w:sz w:val="24"/>
          <w:szCs w:val="24"/>
        </w:rPr>
        <w:t xml:space="preserve">This is the first longitudinal study to describe primary and secondary healthcare use (a proxy for intervention opportunities) among an important group of hazardous/harmful drinkers compared with a representative general population control group. </w:t>
      </w:r>
      <w:r w:rsidR="009742F0" w:rsidRPr="00EA1E04">
        <w:rPr>
          <w:bCs/>
          <w:sz w:val="24"/>
          <w:szCs w:val="24"/>
        </w:rPr>
        <w:t xml:space="preserve">The use of the linkage </w:t>
      </w:r>
      <w:r w:rsidR="00C438B2" w:rsidRPr="00EA1E04">
        <w:rPr>
          <w:bCs/>
          <w:sz w:val="24"/>
          <w:szCs w:val="24"/>
        </w:rPr>
        <w:t xml:space="preserve">between </w:t>
      </w:r>
      <w:r w:rsidR="006F6FCC" w:rsidRPr="00EA1E04">
        <w:rPr>
          <w:bCs/>
          <w:sz w:val="24"/>
          <w:szCs w:val="24"/>
        </w:rPr>
        <w:t>primary and secondary care data</w:t>
      </w:r>
      <w:r w:rsidR="009742F0" w:rsidRPr="00EA1E04">
        <w:rPr>
          <w:bCs/>
          <w:sz w:val="24"/>
          <w:szCs w:val="24"/>
        </w:rPr>
        <w:t xml:space="preserve"> </w:t>
      </w:r>
      <w:r w:rsidR="0015183D" w:rsidRPr="00EA1E04">
        <w:rPr>
          <w:bCs/>
          <w:sz w:val="24"/>
          <w:szCs w:val="24"/>
        </w:rPr>
        <w:t xml:space="preserve">has enabled the identification of </w:t>
      </w:r>
      <w:r w:rsidR="009742F0" w:rsidRPr="00EA1E04">
        <w:rPr>
          <w:bCs/>
          <w:sz w:val="24"/>
          <w:szCs w:val="24"/>
        </w:rPr>
        <w:t xml:space="preserve">a </w:t>
      </w:r>
      <w:r w:rsidR="00C00F8A" w:rsidRPr="00EA1E04">
        <w:rPr>
          <w:bCs/>
          <w:sz w:val="24"/>
          <w:szCs w:val="24"/>
        </w:rPr>
        <w:t xml:space="preserve">fully </w:t>
      </w:r>
      <w:r w:rsidR="009742F0" w:rsidRPr="00EA1E04">
        <w:rPr>
          <w:bCs/>
          <w:sz w:val="24"/>
          <w:szCs w:val="24"/>
        </w:rPr>
        <w:t xml:space="preserve">representative population of patients with alcoholic cirrhosis as it has been previously reported that </w:t>
      </w:r>
      <w:r w:rsidR="00C00F8A" w:rsidRPr="00EA1E04">
        <w:rPr>
          <w:bCs/>
          <w:sz w:val="24"/>
          <w:szCs w:val="24"/>
        </w:rPr>
        <w:t xml:space="preserve">using either primary care or secondary care data alone significantly underestimates the number </w:t>
      </w:r>
      <w:r w:rsidR="00AB4B90" w:rsidRPr="00EA1E04">
        <w:rPr>
          <w:bCs/>
          <w:sz w:val="24"/>
          <w:szCs w:val="24"/>
        </w:rPr>
        <w:t>of patients with this condition</w:t>
      </w:r>
      <w:r w:rsidR="009742F0" w:rsidRPr="00EA1E04">
        <w:rPr>
          <w:bCs/>
          <w:sz w:val="24"/>
          <w:szCs w:val="24"/>
        </w:rPr>
        <w:fldChar w:fldCharType="begin"/>
      </w:r>
      <w:r w:rsidR="00D636D7" w:rsidRPr="00EA1E04">
        <w:rPr>
          <w:bCs/>
          <w:sz w:val="24"/>
          <w:szCs w:val="24"/>
        </w:rPr>
        <w:instrText xml:space="preserve"> ADDIN ZOTERO_ITEM CSL_CITATION {"citationID":"e1dhk6t0v","properties":{"formattedCitation":"(28)","plainCitation":"(28)"},"citationItems":[{"id":131,"uris":["http://zotero.org/users/1897183/items/7ZHZ7ST8"],"uri":["http://zotero.org/users/1897183/items/7ZHZ7ST8"],"itemData":{"id":131,"type":"article-journal","title":"1 and 5 year survival estimates for people with cirrhosis of the liver in England, 1998-2009: a large population study","container-title":"Journal of hepatology","page":"282-289","volume":"60","issue":"2","abstract":"BACKGROUND &amp; AIMS: Large, population-based studies that have included the full spectrum of cirrhosis estimating survival, taking into account time-at-risk are lacking. We aimed to report 1- and 5-year average survival rates for people with cirrhosis to be used in a clinical and healthcare policy setting.\nMETHODS: We used the Clinical Practice Research Datalink and linked English Hospital Episode Statistics to identify adult cases of cirrhosis from January 1998 to December 2009. We estimated 1- and 5-year survival according to whether time-at-risk was ambulatory or followed an emergency hospital admission related to liver disease, stratified by age, sex, and aetiology to be used in a clinical setting. We used a multivariate Cox-proportional hazards model with a time-varying variable, adjusted for Baveno IV stage of cirrhosis at diagnosis, age, aetiology, and sex.\nRESULTS: We identified 5118 incident cases. Average survival probabilities at 1- and 5-years were 0.84 (95% CI 0.83-0.86) and 0.66 (95% CI 0.63-0.68) for the ambulatory group and 0.55 (95% CI 0.53-0.57) and 0.31 (95% CI 0.29-0.33) following hospitalisation, respectively. A hospital admission at diagnosis or subsequently for liver disease substantially impaired prognosis independent of stage of cirrhosis (HR=2.78, 95% CI 2.53, 3.06).\nCONCLUSIONS: Emergency hospitalisation for liver disease heralds a downturn in a patient's outlook independent of their stage of cirrhosis. Our results provide population-based clinically translatable estimates of prognosis for the purposes of healthcare delivery and planning and communication to patients.","DOI":"10.1016/j.jhep.2013.09.027","ISSN":"1600-0641","note":"PMID: 24128415","journalAbbreviation":"J. Hepatol.","language":"eng","author":[{"family":"Ratib","given":"Sonia"},{"family":"Fleming","given":"Kate M"},{"family":"Crooks","given":"Colin J"},{"family":"Aithal","given":"Guruprasad P"},{"family":"West","given":"Joe"}],"issued":{"date-parts":[["2014",2]]},"PMID":"24128415"}}],"schema":"https://github.com/citation-style-language/schema/raw/master/csl-citation.json"} </w:instrText>
      </w:r>
      <w:r w:rsidR="009742F0" w:rsidRPr="00EA1E04">
        <w:rPr>
          <w:bCs/>
          <w:sz w:val="24"/>
          <w:szCs w:val="24"/>
        </w:rPr>
        <w:fldChar w:fldCharType="separate"/>
      </w:r>
      <w:r w:rsidR="00D636D7" w:rsidRPr="00EA1E04">
        <w:rPr>
          <w:rFonts w:ascii="Calibri" w:hAnsi="Calibri"/>
          <w:sz w:val="24"/>
        </w:rPr>
        <w:t>(28)</w:t>
      </w:r>
      <w:r w:rsidR="009742F0" w:rsidRPr="00EA1E04">
        <w:rPr>
          <w:bCs/>
          <w:sz w:val="24"/>
          <w:szCs w:val="24"/>
        </w:rPr>
        <w:fldChar w:fldCharType="end"/>
      </w:r>
      <w:r w:rsidR="009742F0" w:rsidRPr="00EA1E04">
        <w:rPr>
          <w:bCs/>
          <w:sz w:val="24"/>
          <w:szCs w:val="24"/>
        </w:rPr>
        <w:t xml:space="preserve">. We minimised the confounding effect of age and general practice on consulting rates by frequency matching cases with controls by these variables. We have also taken into account the differential </w:t>
      </w:r>
      <w:r w:rsidR="00C00F8A" w:rsidRPr="00EA1E04">
        <w:rPr>
          <w:bCs/>
          <w:sz w:val="24"/>
          <w:szCs w:val="24"/>
        </w:rPr>
        <w:t>contribut</w:t>
      </w:r>
      <w:r w:rsidR="00245B7E" w:rsidRPr="00EA1E04">
        <w:rPr>
          <w:bCs/>
          <w:sz w:val="24"/>
          <w:szCs w:val="24"/>
        </w:rPr>
        <w:t>ion</w:t>
      </w:r>
      <w:r w:rsidR="009742F0" w:rsidRPr="00EA1E04">
        <w:rPr>
          <w:bCs/>
          <w:sz w:val="24"/>
          <w:szCs w:val="24"/>
        </w:rPr>
        <w:t xml:space="preserve"> time of patients by calculating rates using the person time approach. This methodology allows us to be confident that increases in consultation or admission rates in the years closer to diagnosis are not as a result of more patients contributing data within those years.</w:t>
      </w:r>
    </w:p>
    <w:p w:rsidR="008031A5" w:rsidRPr="00EA1E04" w:rsidRDefault="009742F0" w:rsidP="008031A5">
      <w:pPr>
        <w:spacing w:line="360" w:lineRule="auto"/>
        <w:jc w:val="both"/>
        <w:rPr>
          <w:bCs/>
          <w:sz w:val="24"/>
          <w:szCs w:val="24"/>
        </w:rPr>
      </w:pPr>
      <w:r w:rsidRPr="00EA1E04">
        <w:rPr>
          <w:bCs/>
          <w:sz w:val="24"/>
          <w:szCs w:val="24"/>
        </w:rPr>
        <w:t xml:space="preserve">Certain limitations should however be </w:t>
      </w:r>
      <w:r w:rsidR="0034320F" w:rsidRPr="00EA1E04">
        <w:rPr>
          <w:bCs/>
          <w:sz w:val="24"/>
          <w:szCs w:val="24"/>
        </w:rPr>
        <w:t>considered in the interpretation of our findings</w:t>
      </w:r>
      <w:r w:rsidRPr="00EA1E04">
        <w:rPr>
          <w:bCs/>
          <w:sz w:val="24"/>
          <w:szCs w:val="24"/>
        </w:rPr>
        <w:t>.</w:t>
      </w:r>
      <w:r w:rsidR="00EA2BBB" w:rsidRPr="00EA1E04">
        <w:rPr>
          <w:bCs/>
          <w:sz w:val="24"/>
          <w:szCs w:val="24"/>
        </w:rPr>
        <w:t xml:space="preserve"> With regard to </w:t>
      </w:r>
      <w:r w:rsidR="00CC2939" w:rsidRPr="00EA1E04">
        <w:rPr>
          <w:bCs/>
          <w:sz w:val="24"/>
          <w:szCs w:val="24"/>
        </w:rPr>
        <w:t xml:space="preserve">recording of </w:t>
      </w:r>
      <w:r w:rsidR="00EA2BBB" w:rsidRPr="00EA1E04">
        <w:rPr>
          <w:bCs/>
          <w:sz w:val="24"/>
          <w:szCs w:val="24"/>
        </w:rPr>
        <w:t>alcohol use</w:t>
      </w:r>
      <w:r w:rsidR="00CC2939" w:rsidRPr="00EA1E04">
        <w:rPr>
          <w:bCs/>
          <w:sz w:val="24"/>
          <w:szCs w:val="24"/>
        </w:rPr>
        <w:t xml:space="preserve"> or of </w:t>
      </w:r>
      <w:r w:rsidR="00F8263E" w:rsidRPr="00EA1E04">
        <w:rPr>
          <w:bCs/>
          <w:sz w:val="24"/>
          <w:szCs w:val="24"/>
        </w:rPr>
        <w:t>intervention, it</w:t>
      </w:r>
      <w:r w:rsidR="004F794E" w:rsidRPr="00EA1E04">
        <w:rPr>
          <w:bCs/>
          <w:sz w:val="24"/>
          <w:szCs w:val="24"/>
        </w:rPr>
        <w:t xml:space="preserve"> is </w:t>
      </w:r>
      <w:r w:rsidR="00362D58" w:rsidRPr="00EA1E04">
        <w:rPr>
          <w:bCs/>
          <w:sz w:val="24"/>
          <w:szCs w:val="24"/>
        </w:rPr>
        <w:t xml:space="preserve">possible </w:t>
      </w:r>
      <w:r w:rsidR="004F794E" w:rsidRPr="00EA1E04">
        <w:rPr>
          <w:bCs/>
          <w:sz w:val="24"/>
          <w:szCs w:val="24"/>
        </w:rPr>
        <w:t xml:space="preserve">that doctors have </w:t>
      </w:r>
      <w:r w:rsidR="00114165" w:rsidRPr="00EA1E04">
        <w:rPr>
          <w:bCs/>
          <w:sz w:val="24"/>
          <w:szCs w:val="24"/>
        </w:rPr>
        <w:t>had discussions about alcohol use with patients</w:t>
      </w:r>
      <w:r w:rsidR="004F794E" w:rsidRPr="00EA1E04">
        <w:rPr>
          <w:bCs/>
          <w:sz w:val="24"/>
          <w:szCs w:val="24"/>
        </w:rPr>
        <w:t xml:space="preserve"> and/or delivered interventions but have not made a specific record of this within the coded data system. Hence we may have underestimated the true proportion of patients who were asked about their alcohol use or offered interventions in this study. However, we believe that the magnitude of the differences identified between men and women and across age groups is unlikely to be explained by this potential bias alone, as it seems unlikely that there would be differential </w:t>
      </w:r>
      <w:r w:rsidR="004F794E" w:rsidRPr="00EA1E04">
        <w:rPr>
          <w:bCs/>
          <w:sz w:val="24"/>
          <w:szCs w:val="24"/>
        </w:rPr>
        <w:lastRenderedPageBreak/>
        <w:t xml:space="preserve">recording among cirrhosis patients based on sex and age. </w:t>
      </w:r>
      <w:r w:rsidR="004C0247" w:rsidRPr="00EA1E04">
        <w:rPr>
          <w:bCs/>
          <w:sz w:val="24"/>
          <w:szCs w:val="24"/>
        </w:rPr>
        <w:t>We were unable to adjust our findings for some variables (e.g. socioeconomic status, and ethnicity) that may have a confounding effect on sex differences in health service utilisation, and this was because these measures were not available within the dataset for the study population we have defined. Additionally, although we attempted to account for any clustering effects within GP practices in our analysis, we had no information of other factors within practices which may affect the extent of intervention delivery or referral e.g. the availability of specialist treatment centres in the community where a practice is located, practitioners</w:t>
      </w:r>
      <w:r w:rsidR="00CC2939" w:rsidRPr="00EA1E04">
        <w:rPr>
          <w:bCs/>
          <w:sz w:val="24"/>
          <w:szCs w:val="24"/>
        </w:rPr>
        <w:t>’</w:t>
      </w:r>
      <w:r w:rsidR="004C0247" w:rsidRPr="00EA1E04">
        <w:rPr>
          <w:bCs/>
          <w:sz w:val="24"/>
          <w:szCs w:val="24"/>
        </w:rPr>
        <w:t xml:space="preserve"> willingness to discuss alcohol use or practitioners</w:t>
      </w:r>
      <w:r w:rsidR="00CC2939" w:rsidRPr="00EA1E04">
        <w:rPr>
          <w:bCs/>
          <w:sz w:val="24"/>
          <w:szCs w:val="24"/>
        </w:rPr>
        <w:t>’</w:t>
      </w:r>
      <w:r w:rsidR="004C0247" w:rsidRPr="00EA1E04">
        <w:rPr>
          <w:bCs/>
          <w:sz w:val="24"/>
          <w:szCs w:val="24"/>
        </w:rPr>
        <w:t xml:space="preserve"> views on the threshold of drinking which constitutes a problem. We therefore cannot rule out the possibility that some of our findings may be potentially influenced by residual or unmeasured confounding. Given that it is not possible to know the extent to which these unmeasured factors may have biased our findings and that no other observational study has explored such outcomes for patients with alcoholic cirrhosis to date, future studies may wish to consider approaches that can determine the magnitude of the potential impact of such confounders.</w:t>
      </w:r>
    </w:p>
    <w:p w:rsidR="009742F0" w:rsidRPr="00EA1E04" w:rsidRDefault="001B5DC4" w:rsidP="009742F0">
      <w:pPr>
        <w:spacing w:line="360" w:lineRule="auto"/>
        <w:jc w:val="both"/>
        <w:rPr>
          <w:b/>
          <w:sz w:val="24"/>
          <w:szCs w:val="24"/>
        </w:rPr>
      </w:pPr>
      <w:r w:rsidRPr="00EA1E04">
        <w:rPr>
          <w:b/>
          <w:sz w:val="24"/>
          <w:szCs w:val="24"/>
        </w:rPr>
        <w:t>Comparison with</w:t>
      </w:r>
      <w:r w:rsidR="009742F0" w:rsidRPr="00EA1E04">
        <w:rPr>
          <w:b/>
          <w:sz w:val="24"/>
          <w:szCs w:val="24"/>
        </w:rPr>
        <w:t xml:space="preserve"> previous studies</w:t>
      </w:r>
    </w:p>
    <w:p w:rsidR="006F6FCC" w:rsidRPr="00EA1E04" w:rsidRDefault="00127726" w:rsidP="00AB4B90">
      <w:pPr>
        <w:spacing w:line="360" w:lineRule="auto"/>
        <w:jc w:val="both"/>
        <w:rPr>
          <w:sz w:val="24"/>
          <w:szCs w:val="24"/>
        </w:rPr>
      </w:pPr>
      <w:r w:rsidRPr="00EA1E04">
        <w:rPr>
          <w:sz w:val="24"/>
          <w:szCs w:val="24"/>
        </w:rPr>
        <w:t>Only t</w:t>
      </w:r>
      <w:r w:rsidR="00AB4B90" w:rsidRPr="00EA1E04">
        <w:rPr>
          <w:sz w:val="24"/>
          <w:szCs w:val="24"/>
        </w:rPr>
        <w:t xml:space="preserve">wo </w:t>
      </w:r>
      <w:r w:rsidR="0022404C" w:rsidRPr="00EA1E04">
        <w:rPr>
          <w:sz w:val="24"/>
          <w:szCs w:val="24"/>
        </w:rPr>
        <w:t xml:space="preserve">cross sectional </w:t>
      </w:r>
      <w:r w:rsidR="00AB4B90" w:rsidRPr="00EA1E04">
        <w:rPr>
          <w:sz w:val="24"/>
          <w:szCs w:val="24"/>
        </w:rPr>
        <w:t xml:space="preserve">studies have </w:t>
      </w:r>
      <w:r w:rsidRPr="00EA1E04">
        <w:rPr>
          <w:sz w:val="24"/>
          <w:szCs w:val="24"/>
        </w:rPr>
        <w:t xml:space="preserve">previously </w:t>
      </w:r>
      <w:r w:rsidR="00AB4B90" w:rsidRPr="00EA1E04">
        <w:rPr>
          <w:sz w:val="24"/>
          <w:szCs w:val="24"/>
        </w:rPr>
        <w:t>reported healthcare use of patients with alcohol problems</w:t>
      </w:r>
      <w:r w:rsidR="006967EA" w:rsidRPr="00EA1E04">
        <w:rPr>
          <w:sz w:val="24"/>
          <w:szCs w:val="24"/>
        </w:rPr>
        <w:t xml:space="preserve"> and their findings are broadly consistent with our results in that they highlight patients with alcohol problems are often in contact with healthcare services</w:t>
      </w:r>
      <w:r w:rsidR="004C0247" w:rsidRPr="00EA1E04">
        <w:rPr>
          <w:sz w:val="24"/>
          <w:szCs w:val="24"/>
        </w:rPr>
        <w:fldChar w:fldCharType="begin"/>
      </w:r>
      <w:r w:rsidR="000613A0" w:rsidRPr="00EA1E04">
        <w:rPr>
          <w:sz w:val="24"/>
          <w:szCs w:val="24"/>
        </w:rPr>
        <w:instrText xml:space="preserve"> ADDIN ZOTERO_ITEM CSL_CITATION {"citationID":"217lg9tft7","properties":{"formattedCitation":"(23,29)","plainCitation":"(23,29)"},"citationItems":[{"id":98,"uris":["http://zotero.org/users/1897183/items/BMGFZH3F"],"uri":["http://zotero.org/users/1897183/items/BMGFZH3F"],"itemData":{"id":98,"type":"article-journal","title":"Are the opportunities to prevent alcohol related liver deaths in the UK in primary or secondary care? A retrospective clinical review and prospective interview study","container-title":"Substance Abuse Treatment, Prevention, and Policy","page":"1-5","volume":"1","issue":"1","DOI":"10.1186/1747-597X-1-16","shortTitle":"Are the opportunities to prevent alcohol related liver deaths in the UK in primary or secondary care? A retrospective clinical review and prospective interview study","journalAbbreviation":"Subst Abuse Treat Prev Policy","language":"English","author":[{"family":"Verrill","given":"Clare"},{"family":"Smith","given":"Stewart"},{"family":"Sheron","given":"Nick"}],"issued":{"date-parts":[["2006",6,15]]}}},{"id":110,"uris":["http://zotero.org/users/1897183/items/UK758SZU"],"uri":["http://zotero.org/users/1897183/items/UK758SZU"],"itemData":{"id":110,"type":"article-journal","title":"Opportunities for prevention of alcohol-related death in primary care: results from a population-based cross-sectional study","container-title":"Alcohol (Fayetteville, N.Y.)","page":"703-707","volume":"46","issue":"7","abstract":"The mortality rate from alcohol-related conditions has risen sharply in the United Kingdom and it is not known whether opportunities for preventive interventions could be improved. The purpose of our study was to identify opportunities to detect, assess, and manage alcohol problems in primary care according to evidence-based guidelines. We carried out a cross-sectional study on patients who died from alcohol-related conditions in the calendar year 2003 within National Health Service Greater Glasgow Health Board area, Scotland (population 920,000). We described patient characteristics and care recorded in health service records, comparing it with best evidence-based practice in Scottish Intercollegiate Guidelines Network and Health Technology Board for Scotland recommendations on the management of harmful drinking and alcohol dependence. 501 deaths occurred from an alcohol-related cause. The mean age at death was 57.5 years and 72% were male. The most common causes of death, recorded by the International Classification of Diseases, revision 10, excluding accidents, were alcoholic liver disease (290, 57.9%) and mental and behavioural disorders due to alcohol (70, 14.0%). Lifetime mean consultations at primary care general practitioner and hospital outpatient departments were 24 in males and 5 in females. All individuals who died from an alcohol-related cause had at least one biochemical or physical indicator suggestive of alcohol misuse. 21% (95% CI 13-33%) had no record of having been advised to abstain from alcohol and 23% (95% CI 15-35%) had received brief interventions. 58% (95% CI 46-70%) had been referred to specialist alcohol services but a third of them did not attend. The majority of patients (83%, 95% CI 72-90%) had no evidence of shared health service and social work care. We concluded that individuals who died from alcohol-related conditions were usually in contact with statutory and voluntary services but further efforts were required to use these opportunities to detect, assess, and manage serious alcohol problems according to evidence-based guidelines.","DOI":"10.1016/j.alcohol.2011.12.006","ISSN":"1873-6823","note":"PMID: 22840815","journalAbbreviation":"Alcohol","language":"eng","author":[{"family":"Morris","given":"Margaret"},{"family":"Johnson","given":"David"},{"family":"Morrison","given":"David S"}],"issued":{"date-parts":[["2012",11]]},"PMID":"22840815"}}],"schema":"https://github.com/citation-style-language/schema/raw/master/csl-citation.json"} </w:instrText>
      </w:r>
      <w:r w:rsidR="004C0247" w:rsidRPr="00EA1E04">
        <w:rPr>
          <w:sz w:val="24"/>
          <w:szCs w:val="24"/>
        </w:rPr>
        <w:fldChar w:fldCharType="separate"/>
      </w:r>
      <w:r w:rsidR="000613A0" w:rsidRPr="00EA1E04">
        <w:rPr>
          <w:rFonts w:ascii="Calibri" w:hAnsi="Calibri"/>
          <w:sz w:val="24"/>
        </w:rPr>
        <w:t>(23,29)</w:t>
      </w:r>
      <w:r w:rsidR="004C0247" w:rsidRPr="00EA1E04">
        <w:rPr>
          <w:sz w:val="24"/>
          <w:szCs w:val="24"/>
        </w:rPr>
        <w:fldChar w:fldCharType="end"/>
      </w:r>
      <w:r w:rsidR="00AB4B90" w:rsidRPr="00EA1E04">
        <w:rPr>
          <w:sz w:val="24"/>
          <w:szCs w:val="24"/>
        </w:rPr>
        <w:t xml:space="preserve">. </w:t>
      </w:r>
      <w:r w:rsidR="006967EA" w:rsidRPr="00EA1E04">
        <w:rPr>
          <w:sz w:val="24"/>
          <w:szCs w:val="24"/>
        </w:rPr>
        <w:t xml:space="preserve">While </w:t>
      </w:r>
      <w:r w:rsidR="00AB4B90" w:rsidRPr="00EA1E04">
        <w:rPr>
          <w:sz w:val="24"/>
          <w:szCs w:val="24"/>
        </w:rPr>
        <w:t>the absence of control groups and small sample sizes</w:t>
      </w:r>
      <w:r w:rsidR="006967EA" w:rsidRPr="00EA1E04">
        <w:rPr>
          <w:sz w:val="24"/>
          <w:szCs w:val="24"/>
        </w:rPr>
        <w:t xml:space="preserve"> may</w:t>
      </w:r>
      <w:r w:rsidR="00AC0BF2" w:rsidRPr="00EA1E04">
        <w:rPr>
          <w:sz w:val="24"/>
          <w:szCs w:val="24"/>
        </w:rPr>
        <w:t xml:space="preserve"> make the generalizability of these studies difficult</w:t>
      </w:r>
      <w:r w:rsidR="00AB4B90" w:rsidRPr="00EA1E04">
        <w:rPr>
          <w:sz w:val="24"/>
          <w:szCs w:val="24"/>
        </w:rPr>
        <w:t>,</w:t>
      </w:r>
      <w:r w:rsidR="00CF0813" w:rsidRPr="00EA1E04">
        <w:rPr>
          <w:sz w:val="24"/>
          <w:szCs w:val="24"/>
        </w:rPr>
        <w:t xml:space="preserve"> </w:t>
      </w:r>
      <w:r w:rsidR="006967EA" w:rsidRPr="00EA1E04">
        <w:rPr>
          <w:sz w:val="24"/>
          <w:szCs w:val="24"/>
        </w:rPr>
        <w:t xml:space="preserve">our </w:t>
      </w:r>
      <w:r w:rsidR="00CF0813" w:rsidRPr="00EA1E04">
        <w:rPr>
          <w:sz w:val="24"/>
          <w:szCs w:val="24"/>
        </w:rPr>
        <w:t xml:space="preserve">use of an extremely large </w:t>
      </w:r>
      <w:r w:rsidR="00AC0BF2" w:rsidRPr="00EA1E04">
        <w:rPr>
          <w:sz w:val="24"/>
          <w:szCs w:val="24"/>
        </w:rPr>
        <w:t xml:space="preserve">representative </w:t>
      </w:r>
      <w:r w:rsidR="00CF0813" w:rsidRPr="00EA1E04">
        <w:rPr>
          <w:sz w:val="24"/>
          <w:szCs w:val="24"/>
        </w:rPr>
        <w:t xml:space="preserve">database </w:t>
      </w:r>
      <w:r w:rsidR="00AC0BF2" w:rsidRPr="00EA1E04">
        <w:rPr>
          <w:sz w:val="24"/>
          <w:szCs w:val="24"/>
        </w:rPr>
        <w:t>afford</w:t>
      </w:r>
      <w:r w:rsidR="00397A1E" w:rsidRPr="00EA1E04">
        <w:rPr>
          <w:sz w:val="24"/>
          <w:szCs w:val="24"/>
        </w:rPr>
        <w:t>s</w:t>
      </w:r>
      <w:r w:rsidR="006967EA" w:rsidRPr="00EA1E04">
        <w:rPr>
          <w:sz w:val="24"/>
          <w:szCs w:val="24"/>
        </w:rPr>
        <w:t xml:space="preserve"> us the opportunity to </w:t>
      </w:r>
      <w:r w:rsidR="00AC0BF2" w:rsidRPr="00EA1E04">
        <w:rPr>
          <w:sz w:val="24"/>
          <w:szCs w:val="24"/>
        </w:rPr>
        <w:t xml:space="preserve">provide </w:t>
      </w:r>
      <w:r w:rsidR="006967EA" w:rsidRPr="00EA1E04">
        <w:rPr>
          <w:sz w:val="24"/>
          <w:szCs w:val="24"/>
        </w:rPr>
        <w:t xml:space="preserve">more </w:t>
      </w:r>
      <w:r w:rsidR="00AC0BF2" w:rsidRPr="00EA1E04">
        <w:rPr>
          <w:sz w:val="24"/>
          <w:szCs w:val="24"/>
        </w:rPr>
        <w:t>generalizable estimates</w:t>
      </w:r>
      <w:r w:rsidR="00CF0813" w:rsidRPr="00EA1E04">
        <w:rPr>
          <w:sz w:val="24"/>
          <w:szCs w:val="24"/>
        </w:rPr>
        <w:t>.</w:t>
      </w:r>
      <w:r w:rsidR="006967EA" w:rsidRPr="00EA1E04">
        <w:rPr>
          <w:sz w:val="24"/>
          <w:szCs w:val="24"/>
        </w:rPr>
        <w:t xml:space="preserve"> </w:t>
      </w:r>
      <w:r w:rsidR="00AB4B90" w:rsidRPr="00EA1E04">
        <w:rPr>
          <w:sz w:val="24"/>
          <w:szCs w:val="24"/>
        </w:rPr>
        <w:t xml:space="preserve"> </w:t>
      </w:r>
      <w:r w:rsidRPr="00EA1E04">
        <w:rPr>
          <w:sz w:val="24"/>
          <w:szCs w:val="24"/>
        </w:rPr>
        <w:t>Far l</w:t>
      </w:r>
      <w:r w:rsidR="00287DBE" w:rsidRPr="00EA1E04">
        <w:rPr>
          <w:sz w:val="24"/>
          <w:szCs w:val="24"/>
        </w:rPr>
        <w:t xml:space="preserve">ess data </w:t>
      </w:r>
      <w:r w:rsidR="00245B7E" w:rsidRPr="00EA1E04">
        <w:rPr>
          <w:sz w:val="24"/>
          <w:szCs w:val="24"/>
        </w:rPr>
        <w:t>are</w:t>
      </w:r>
      <w:r w:rsidR="00AB4B90" w:rsidRPr="00EA1E04">
        <w:rPr>
          <w:sz w:val="24"/>
          <w:szCs w:val="24"/>
        </w:rPr>
        <w:t xml:space="preserve"> available on </w:t>
      </w:r>
      <w:r w:rsidR="00CF0813" w:rsidRPr="00EA1E04">
        <w:rPr>
          <w:sz w:val="24"/>
          <w:szCs w:val="24"/>
        </w:rPr>
        <w:t xml:space="preserve">sex </w:t>
      </w:r>
      <w:r w:rsidRPr="00EA1E04">
        <w:rPr>
          <w:sz w:val="24"/>
          <w:szCs w:val="24"/>
        </w:rPr>
        <w:t>c</w:t>
      </w:r>
      <w:r w:rsidR="00AB4B90" w:rsidRPr="00EA1E04">
        <w:rPr>
          <w:sz w:val="24"/>
          <w:szCs w:val="24"/>
        </w:rPr>
        <w:t>omparisons of healthcare utilisation</w:t>
      </w:r>
      <w:r w:rsidRPr="00EA1E04">
        <w:rPr>
          <w:sz w:val="24"/>
          <w:szCs w:val="24"/>
        </w:rPr>
        <w:t xml:space="preserve"> </w:t>
      </w:r>
      <w:r w:rsidR="00AB4B90" w:rsidRPr="00EA1E04">
        <w:rPr>
          <w:sz w:val="24"/>
          <w:szCs w:val="24"/>
        </w:rPr>
        <w:t>in patients with alcohol pr</w:t>
      </w:r>
      <w:r w:rsidR="00BF1C25" w:rsidRPr="00EA1E04">
        <w:rPr>
          <w:sz w:val="24"/>
          <w:szCs w:val="24"/>
        </w:rPr>
        <w:t>oblems</w:t>
      </w:r>
      <w:r w:rsidR="00CC2939" w:rsidRPr="00EA1E04">
        <w:rPr>
          <w:sz w:val="24"/>
          <w:szCs w:val="24"/>
        </w:rPr>
        <w:t xml:space="preserve"> </w:t>
      </w:r>
      <w:r w:rsidR="00287DBE" w:rsidRPr="00EA1E04">
        <w:rPr>
          <w:sz w:val="24"/>
          <w:szCs w:val="24"/>
        </w:rPr>
        <w:t>with most</w:t>
      </w:r>
      <w:r w:rsidR="00BF1C25" w:rsidRPr="00EA1E04">
        <w:rPr>
          <w:sz w:val="24"/>
          <w:szCs w:val="24"/>
        </w:rPr>
        <w:t xml:space="preserve"> studies examining sex</w:t>
      </w:r>
      <w:r w:rsidR="00AB4B90" w:rsidRPr="00EA1E04">
        <w:rPr>
          <w:sz w:val="24"/>
          <w:szCs w:val="24"/>
        </w:rPr>
        <w:t xml:space="preserve"> differences in the use of health care services be</w:t>
      </w:r>
      <w:r w:rsidR="00CC2939" w:rsidRPr="00EA1E04">
        <w:rPr>
          <w:sz w:val="24"/>
          <w:szCs w:val="24"/>
        </w:rPr>
        <w:t>ing reported</w:t>
      </w:r>
      <w:r w:rsidR="00AB4B90" w:rsidRPr="00EA1E04">
        <w:rPr>
          <w:sz w:val="24"/>
          <w:szCs w:val="24"/>
        </w:rPr>
        <w:t xml:space="preserve"> on the general population</w:t>
      </w:r>
      <w:r w:rsidR="00AB4B90" w:rsidRPr="00EA1E04">
        <w:rPr>
          <w:sz w:val="24"/>
          <w:szCs w:val="24"/>
        </w:rPr>
        <w:fldChar w:fldCharType="begin"/>
      </w:r>
      <w:r w:rsidR="00D636D7" w:rsidRPr="00EA1E04">
        <w:rPr>
          <w:sz w:val="24"/>
          <w:szCs w:val="24"/>
        </w:rPr>
        <w:instrText xml:space="preserve"> ADDIN ZOTERO_ITEM CSL_CITATION {"citationID":"XbzXIdWY","properties":{"formattedCitation":"{\\rtf (19,20,30\\uc0\\u8211{}32)}","plainCitation":"(19,20,30–32)"},"citationItems":[{"id":135,"uris":["http://zotero.org/users/1897183/items/DJZFKJD9"],"uri":["http://zotero.org/users/1897183/items/DJZFKJD9"],"itemData":{"id":135,"type":"article","title":"Living in Britain: results from the 2001 General Household Survey","publisher":"London:HMSO,2002","author":[{"family":"Walker A, O'Brien M, Traynor J, et al","given":""}]}},{"id":133,"uris":["http://zotero.org/users/1897183/items/MZEQUCCD"],"uri":["http://zotero.org/users/1897183/items/MZEQUCCD"],"itemData":{"id":133,"type":"article","title":"General Household Survey Report 2004: Overview report","publisher":"london: Office for National Statistics 2005","author":[{"family":"Sattar G, Glen F, Diaper A","given":""}]}},{"id":136,"uris":["http://zotero.org/users/1897183/items/SZQ32UI2"],"uri":["http://zotero.org/users/1897183/items/SZQ32UI2"],"itemData":{"id":136,"type":"article","title":"General Lifestyle Survey: a report on the 2009 General Lifestyle","publisher":"Office for National Statistics 2011","author":[{"family":"Office for National Statistics","given":""}]}},{"id":116,"uris":["http://zotero.org/users/1897183/items/D6U8FS28"],"uri":["http://zotero.org/users/1897183/items/D6U8FS28"],"itemData":{"id":116,"type":"article-journal","title":"Gender differences in the utilization of health care services","container-title":"The Journal of family practice","page":"147-152","volume":"49","issue":"2","abstract":"BACKGROUND: Studies have shown that women use more health care services than men. We used important independent variables, such as patient sociodemographics and health status, to investigate gender differences in the use and costs of these services.\nMETHODS: New adult patients (N = 509) were randomly assigned to primary care physicians at a university medical center. Their use of health care services and associated charges were monitored for 1 year of care. Self-reported health status was measured using the Medical Outcomes Study Short Form-36 (SF-36). We controlled for health status, sociodemographic information, and primary care physician specialty in the statistical analyses.\nRESULTS: Women had significantly lower self-reported health status and lower mean education and income than men. Women had a significantly higher mean number of visits to their primary care clinic and diagnostic services than men. Mean charges for primary care, specialty care, emergency treatment, diagnostic services, and annual total charges were all significantly higher for women than men; however, there were no differences for mean hospitalizations or hospital charges. After controlling for health status, sociodemographics, and clinic assignment, women still had higher medical charges for all categories of charges except hospitalizations.\nCONCLUSIONS: Women have higher medical care service utilization and higher associated charges than men. Although the appropriateness of these differences was not determined, these findings have implications for health care.","ISSN":"0094-3509","note":"PMID: 10718692","journalAbbreviation":"J Fam Pract","language":"eng","author":[{"family":"Bertakis","given":"K D"},{"family":"Azari","given":"R"},{"family":"Helms","given":"L J"},{"family":"Callahan","given":"E J"},{"family":"Robbins","given":"J A"}],"issued":{"date-parts":[["2000",2]]},"PMID":"10718692"}},{"id":134,"uris":["http://zotero.org/users/1897183/items/3XFV9CIX"],"uri":["http://zotero.org/users/1897183/items/3XFV9CIX"],"itemData":{"id":134,"type":"article","title":"Trend in consultation rates in general practice 1995 to 2008: analysis of the QRESEARCH database","publisher":"The NHS Information Centre,2009","author":[{"family":"Hippisley-Cox J, Vinogradova Y.","given":""}]}}],"schema":"https://github.com/citation-style-language/schema/raw/master/csl-citation.json"} </w:instrText>
      </w:r>
      <w:r w:rsidR="00AB4B90" w:rsidRPr="00EA1E04">
        <w:rPr>
          <w:sz w:val="24"/>
          <w:szCs w:val="24"/>
        </w:rPr>
        <w:fldChar w:fldCharType="separate"/>
      </w:r>
      <w:r w:rsidR="00D636D7" w:rsidRPr="00EA1E04">
        <w:rPr>
          <w:rFonts w:ascii="Calibri" w:hAnsi="Calibri" w:cs="Times New Roman"/>
          <w:sz w:val="24"/>
          <w:szCs w:val="24"/>
        </w:rPr>
        <w:t>(19,20,30–32)</w:t>
      </w:r>
      <w:r w:rsidR="00AB4B90" w:rsidRPr="00EA1E04">
        <w:rPr>
          <w:sz w:val="24"/>
          <w:szCs w:val="24"/>
        </w:rPr>
        <w:fldChar w:fldCharType="end"/>
      </w:r>
      <w:r w:rsidR="00AB4B90" w:rsidRPr="00EA1E04">
        <w:rPr>
          <w:sz w:val="24"/>
          <w:szCs w:val="24"/>
        </w:rPr>
        <w:t xml:space="preserve"> or in patients with specific symptoms such as pain </w:t>
      </w:r>
      <w:r w:rsidR="00AB4B90" w:rsidRPr="00EA1E04">
        <w:rPr>
          <w:sz w:val="24"/>
          <w:szCs w:val="24"/>
        </w:rPr>
        <w:fldChar w:fldCharType="begin"/>
      </w:r>
      <w:r w:rsidR="00D636D7" w:rsidRPr="00EA1E04">
        <w:rPr>
          <w:sz w:val="24"/>
          <w:szCs w:val="24"/>
        </w:rPr>
        <w:instrText xml:space="preserve"> ADDIN ZOTERO_ITEM CSL_CITATION {"citationID":"ira60m0ug","properties":{"formattedCitation":"(33,34)","plainCitation":"(33,34)"},"citationItems":[{"id":118,"uris":["http://zotero.org/users/1897183/items/EWM9AIM3"],"uri":["http://zotero.org/users/1897183/items/EWM9AIM3"],"itemData":{"id":118,"type":"article-journal","title":"Do women consult more than men? A review of gender and consultation for back pain and headache","container-title":"Journal of health services research &amp; policy","page":"108-117","volume":"16","issue":"2","abstract":"OBJECTIVES: Because women consult their general practitioners more frequently on average than men, it is commonly assumed that they consult more for all symptoms and conditions. This assumption is reinforced by qualitative studies reporting a widespread reluctance to consult by men. However, few studies directly compare consultation in men and women experiencing similar symptoms or conditions.\nMETHODS: A systematic review of the evidence on gender and consultation for two common symptoms, back pain and headache. Extensive electronic searches identified 15 papers reporting the relationship between gender and help-seeking for back pain and 11 papers for headache. Two independent reviewers assessed articles for inclusion and extracted data from eligible studies.\nRESULTS: Few studies compared consultation patterns for these symptoms among men and women known to have experienced the symptom. The quality of the studies was variable. Overall, evidence for greater consultation by women with back pain was weak and inconsistent. Among those with back pain, the odds ratios for women seeking help, compared with men, ranged from 0.6 (95% confidence intervals 0.3, 1.2, adjusted only for age) to 2.17 (95% confidence intervals 1.35, 3.57, unadjusted), although none of the reported odds ratio, below 1.00 was statistically significant. The evidence for women being more likely to consult for headache was a little stronger. Five studies showed a statistically elevated odds ratio, and none suggested that men with headache symptoms were more likely to consult than women with headache symptoms. Limitations to the studies are discussed.\nCONCLUSION: Given the strength of assumptions that women consult more readily for common symptoms, the evidence for greater consultation amongst women for two common symptoms, headache and back pain, was surprisingly weak and inconsistent, especially with respect to back pain.","DOI":"10.1258/jhsrp.2010.009131","ISSN":"1758-1060","note":"PMID: 20819913 \nPMCID: PMC3104816","journalAbbreviation":"J Health Serv Res Policy","language":"eng","author":[{"family":"Hunt","given":"Kate"},{"family":"Adamson","given":"Joy"},{"family":"Hewitt","given":"Catherine"},{"family":"Nazareth","given":"Irwin"}],"issued":{"date-parts":[["2011",4]]},"PMID":"20819913","PMCID":"PMC3104816"}},{"id":142,"uris":["http://zotero.org/users/1897183/items/6GWI9WIK"],"uri":["http://zotero.org/users/1897183/items/6GWI9WIK"],"itemData":{"id":142,"type":"article-journal","title":"Are Women More Ready to Consult than Men? Gender Differences in Family Practitioner Consultation for Common Chronic Conditions","container-title":"Journal of Health Services Research &amp; Policy","page":"96-100","volume":"4","issue":"2","abstract":"Background: When consultations for all reasons are combined, women are seen to consult their general practitioners more than men through most of adult life. It is, therefore, often assumed that women are more likely to consult for every condition.Objectives: To examine whether women report being more likely to consult a general practitioner than men when taking account of the underlying condition and various aspects of the experience of the condition consulted for.Methods: Home-based nurse-interviews with 852 people in early middle age (39 years) and 858 in late middle age (58 years) sampled from the general population in the West of Scotland. Detailed information about current chronic conditions included general practitioner consultation and reported experience of pain frequency, pain severity, limitation to normal activities and restricted activity in the previous four weeks.Results: Women were no more likely than men to consult a general practitioner in the previous year when experiencing the five most common groups of conditions; in addition, women were no more likely than men to consult at a given level of severity for a given condition type, except in the case of one aspect of reported experience of mental health problems.Conclusions: The results argue against the most widely accepted explanation for gender differences in consulting, namely, that women are simply more likely to consult a general practitioner than men irrespective of underlying morbidity. Reasons for the higher rates of women consulting observed in general practice-based studies are discussed in relation to these data.","DOI":"10.1177/135581969900400207","journalAbbreviation":"Journal of Health Services Research &amp; Policy","author":[{"family":"Hunt","given":"Kate"},{"family":"Ford","given":"Graeme"},{"family":"Harkins","given":"Leigh"},{"family":"Wyke","given":"Sally"}],"issued":{"date-parts":[["1999",4,1]]}}}],"schema":"https://github.com/citation-style-language/schema/raw/master/csl-citation.json"} </w:instrText>
      </w:r>
      <w:r w:rsidR="00AB4B90" w:rsidRPr="00EA1E04">
        <w:rPr>
          <w:sz w:val="24"/>
          <w:szCs w:val="24"/>
        </w:rPr>
        <w:fldChar w:fldCharType="separate"/>
      </w:r>
      <w:r w:rsidR="00D636D7" w:rsidRPr="00EA1E04">
        <w:rPr>
          <w:rFonts w:ascii="Calibri" w:hAnsi="Calibri"/>
          <w:sz w:val="24"/>
        </w:rPr>
        <w:t>(33,34)</w:t>
      </w:r>
      <w:r w:rsidR="00AB4B90" w:rsidRPr="00EA1E04">
        <w:rPr>
          <w:sz w:val="24"/>
          <w:szCs w:val="24"/>
        </w:rPr>
        <w:fldChar w:fldCharType="end"/>
      </w:r>
      <w:r w:rsidR="00AB4B90" w:rsidRPr="00EA1E04">
        <w:rPr>
          <w:sz w:val="24"/>
          <w:szCs w:val="24"/>
        </w:rPr>
        <w:t>.  In line with most of these studies</w:t>
      </w:r>
      <w:r w:rsidR="00C357E1" w:rsidRPr="00EA1E04">
        <w:rPr>
          <w:sz w:val="24"/>
          <w:szCs w:val="24"/>
        </w:rPr>
        <w:t xml:space="preserve"> </w:t>
      </w:r>
      <w:r w:rsidR="00C357E1" w:rsidRPr="00EA1E04">
        <w:rPr>
          <w:sz w:val="24"/>
          <w:szCs w:val="24"/>
        </w:rPr>
        <w:fldChar w:fldCharType="begin"/>
      </w:r>
      <w:r w:rsidR="00D636D7" w:rsidRPr="00EA1E04">
        <w:rPr>
          <w:sz w:val="24"/>
          <w:szCs w:val="24"/>
        </w:rPr>
        <w:instrText xml:space="preserve"> ADDIN ZOTERO_ITEM CSL_CITATION {"citationID":"PcwYORvA","properties":{"formattedCitation":"{\\rtf (19,20,30\\uc0\\u8211{}32,35)}","plainCitation":"(19,20,30–32,35)"},"citationItems":[{"id":116,"uris":["http://zotero.org/users/1897183/items/D6U8FS28"],"uri":["http://zotero.org/users/1897183/items/D6U8FS28"],"itemData":{"id":116,"type":"article-journal","title":"Gender differences in the utilization of health care services","container-title":"The Journal of family practice","page":"147-152","volume":"49","issue":"2","abstract":"BACKGROUND: Studies have shown that women use more health care services than men. We used important independent variables, such as patient sociodemographics and health status, to investigate gender differences in the use and costs of these services.\nMETHODS: New adult patients (N = 509) were randomly assigned to primary care physicians at a university medical center. Their use of health care services and associated charges were monitored for 1 year of care. Self-reported health status was measured using the Medical Outcomes Study Short Form-36 (SF-36). We controlled for health status, sociodemographic information, and primary care physician specialty in the statistical analyses.\nRESULTS: Women had significantly lower self-reported health status and lower mean education and income than men. Women had a significantly higher mean number of visits to their primary care clinic and diagnostic services than men. Mean charges for primary care, specialty care, emergency treatment, diagnostic services, and annual total charges were all significantly higher for women than men; however, there were no differences for mean hospitalizations or hospital charges. After controlling for health status, sociodemographics, and clinic assignment, women still had higher medical charges for all categories of charges except hospitalizations.\nCONCLUSIONS: Women have higher medical care service utilization and higher associated charges than men. Although the appropriateness of these differences was not determined, these findings have implications for health care.","ISSN":"0094-3509","note":"PMID: 10718692","journalAbbreviation":"J Fam Pract","language":"eng","author":[{"family":"Bertakis","given":"K D"},{"family":"Azari","given":"R"},{"family":"Helms","given":"L J"},{"family":"Callahan","given":"E J"},{"family":"Robbins","given":"J A"}],"issued":{"date-parts":[["2000",2]]},"PMID":"10718692"}},{"id":144,"uris":["http://zotero.org/users/1897183/items/WNC4CVK5"],"uri":["http://zotero.org/users/1897183/items/WNC4CVK5"],"itemData":{"id":144,"type":"article-journal","title":"Do men consult less than women? An analysis of routinely collected UK general practice data","container-title":"BMJ Open","volume":"3","issue":"8","abstract":"Objective To examine whether gender differences in primary care consultation rates (1) vary by age and deprivation status and (2) diminish when consultation for reproductive reasons or common underlying morbidities are accounted for.Design Cross-sectional study of a cohort of patients registered with general practice.Setting UK primary care.Subjects Patients (1 869 149 men and 1 916 898 women) registered with 446 eligible practices in 2010.Primary outcome measures Primary care consultation rate.Results This study analyses routinely collected primary care consultation data. The crude consultation rate was 32% lower in men than women. The magnitude of gender difference varied across the life course, and there was no ‘excess’ female consulting in early and later life. The greatest gender gap in primary care consultations was seen among those aged between 16 and 60 years. Gender differences in consulting were higher in people from more deprived areas than among those from more affluent areas. Accounting for reproductive-related consultations diminished but did not eradicate the gender gap. However, consultation rates in men and women who had comparable underlying morbidities (as assessed by receipt of medication) were similar; men in receipt of antidepressant medication were only 8% less likely to consult than women in receipt of antidepressant medication (relative risk (RR) 0.916, 95% CI 0.913 to 0.918), and men in receipt of medication to treat cardiovascular disease were just 5% less likely to consult (RR=0.950, 95% CI 0.948 to 0.952) than women receiving similar medication. These small gender differences diminished further, particularly for depression (RR=0.950, 95% CI 0.947 to 0.953), after also taking account of reproductive consultations.Conclusions Overall gender differences in consulting are most marked between the ages of 16 and 60 years; these differences are only partially accounted for by consultations for reproductive reasons. Differences in consultation rates between men and women were largely eradicated when comparing men and women in receipt of medication for similar underlying morbidities.","URL":"http://bmjopen.bmj.com/content/3/8/e003320.abstract","DOI":"10.1136/bmjopen-2013-003320","journalAbbreviation":"BMJ Open","author":[{"family":"Wang","given":"Yingying"},{"family":"Hunt","given":"Kate"},{"family":"Nazareth","given":"Irwin"},{"family":"Freemantle","given":"Nick"},{"family":"Petersen","given":"Irene"}],"issued":{"date-parts":[["2013",8,1]]}}},{"id":134,"uris":["http://zotero.org/users/1897183/items/3XFV9CIX"],"uri":["http://zotero.org/users/1897183/items/3XFV9CIX"],"itemData":{"id":134,"type":"article","title":"Trend in consultation rates in general practice 1995 to 2008: analysis of the QRESEARCH database","publisher":"The NHS Information Centre,2009","author":[{"family":"Hippisley-Cox J, Vinogradova Y.","given":""}]}},{"id":135,"uris":["http://zotero.org/users/1897183/items/DJZFKJD9"],"uri":["http://zotero.org/users/1897183/items/DJZFKJD9"],"itemData":{"id":135,"type":"article","title":"Living in Britain: results from the 2001 General Household Survey","publisher":"London:HMSO,2002","author":[{"family":"Walker A, O'Brien M, Traynor J, et al","given":""}]}},{"id":136,"uris":["http://zotero.org/users/1897183/items/SZQ32UI2"],"uri":["http://zotero.org/users/1897183/items/SZQ32UI2"],"itemData":{"id":136,"type":"article","title":"General Lifestyle Survey: a report on the 2009 General Lifestyle","publisher":"Office for National Statistics 2011","author":[{"family":"Office for National Statistics","given":""}]}},{"id":133,"uris":["http://zotero.org/users/1897183/items/MZEQUCCD"],"uri":["http://zotero.org/users/1897183/items/MZEQUCCD"],"itemData":{"id":133,"type":"article","title":"General Household Survey Report 2004: Overview report","publisher":"london: Office for National Statistics 2005","author":[{"family":"Sattar G, Glen F, Diaper A","given":""}]}}],"schema":"https://github.com/citation-style-language/schema/raw/master/csl-citation.json"} </w:instrText>
      </w:r>
      <w:r w:rsidR="00C357E1" w:rsidRPr="00EA1E04">
        <w:rPr>
          <w:sz w:val="24"/>
          <w:szCs w:val="24"/>
        </w:rPr>
        <w:fldChar w:fldCharType="separate"/>
      </w:r>
      <w:r w:rsidR="00D636D7" w:rsidRPr="00EA1E04">
        <w:rPr>
          <w:rFonts w:ascii="Calibri" w:hAnsi="Calibri" w:cs="Times New Roman"/>
          <w:sz w:val="24"/>
          <w:szCs w:val="24"/>
        </w:rPr>
        <w:t>(19,20,30–32,35)</w:t>
      </w:r>
      <w:r w:rsidR="00C357E1" w:rsidRPr="00EA1E04">
        <w:rPr>
          <w:sz w:val="24"/>
          <w:szCs w:val="24"/>
        </w:rPr>
        <w:fldChar w:fldCharType="end"/>
      </w:r>
      <w:r w:rsidR="00AB4B90" w:rsidRPr="00EA1E04">
        <w:rPr>
          <w:sz w:val="24"/>
          <w:szCs w:val="24"/>
        </w:rPr>
        <w:t xml:space="preserve">, we found higher absolute consultation rates in women compared to men. However, in relative terms when we </w:t>
      </w:r>
      <w:r w:rsidRPr="00EA1E04">
        <w:rPr>
          <w:sz w:val="24"/>
          <w:szCs w:val="24"/>
        </w:rPr>
        <w:t>examined</w:t>
      </w:r>
      <w:r w:rsidR="00AB4B90" w:rsidRPr="00EA1E04">
        <w:rPr>
          <w:sz w:val="24"/>
          <w:szCs w:val="24"/>
        </w:rPr>
        <w:t xml:space="preserve"> men and women with alcoholic cirrhosis in comparison to general population, the increase in health service use associated with the disease </w:t>
      </w:r>
      <w:r w:rsidRPr="00EA1E04">
        <w:rPr>
          <w:sz w:val="24"/>
          <w:szCs w:val="24"/>
        </w:rPr>
        <w:t>wa</w:t>
      </w:r>
      <w:r w:rsidR="00AB4B90" w:rsidRPr="00EA1E04">
        <w:rPr>
          <w:sz w:val="24"/>
          <w:szCs w:val="24"/>
        </w:rPr>
        <w:t xml:space="preserve">s more dramatic in men than women.  </w:t>
      </w:r>
      <w:r w:rsidR="006F6FCC" w:rsidRPr="00EA1E04">
        <w:rPr>
          <w:sz w:val="24"/>
          <w:szCs w:val="24"/>
        </w:rPr>
        <w:t>In terms of alcohol use recording and</w:t>
      </w:r>
      <w:r w:rsidR="00187596" w:rsidRPr="00EA1E04">
        <w:rPr>
          <w:sz w:val="24"/>
          <w:szCs w:val="24"/>
        </w:rPr>
        <w:t xml:space="preserve"> </w:t>
      </w:r>
      <w:r w:rsidR="006F6FCC" w:rsidRPr="00EA1E04">
        <w:rPr>
          <w:sz w:val="24"/>
          <w:szCs w:val="24"/>
        </w:rPr>
        <w:t>i</w:t>
      </w:r>
      <w:r w:rsidR="00187596" w:rsidRPr="00EA1E04">
        <w:rPr>
          <w:sz w:val="24"/>
          <w:szCs w:val="24"/>
        </w:rPr>
        <w:t>n</w:t>
      </w:r>
      <w:r w:rsidR="006F6FCC" w:rsidRPr="00EA1E04">
        <w:rPr>
          <w:sz w:val="24"/>
          <w:szCs w:val="24"/>
        </w:rPr>
        <w:t xml:space="preserve">tervention delivery, consistent with our results, a number of studies have reported that </w:t>
      </w:r>
      <w:r w:rsidR="00187596" w:rsidRPr="00EA1E04">
        <w:rPr>
          <w:sz w:val="24"/>
          <w:szCs w:val="24"/>
        </w:rPr>
        <w:t xml:space="preserve">the implementation of brief </w:t>
      </w:r>
      <w:r w:rsidR="002F5B2C" w:rsidRPr="00EA1E04">
        <w:rPr>
          <w:sz w:val="24"/>
          <w:szCs w:val="24"/>
        </w:rPr>
        <w:t xml:space="preserve">alcohol </w:t>
      </w:r>
      <w:r w:rsidR="00187596" w:rsidRPr="00EA1E04">
        <w:rPr>
          <w:sz w:val="24"/>
          <w:szCs w:val="24"/>
        </w:rPr>
        <w:lastRenderedPageBreak/>
        <w:t xml:space="preserve">interventions within healthcare settings is </w:t>
      </w:r>
      <w:r w:rsidR="002F5B2C" w:rsidRPr="00EA1E04">
        <w:rPr>
          <w:sz w:val="24"/>
          <w:szCs w:val="24"/>
        </w:rPr>
        <w:t xml:space="preserve">generally </w:t>
      </w:r>
      <w:r w:rsidR="00187596" w:rsidRPr="00EA1E04">
        <w:rPr>
          <w:sz w:val="24"/>
          <w:szCs w:val="24"/>
        </w:rPr>
        <w:t>slow</w:t>
      </w:r>
      <w:r w:rsidR="00E4765A" w:rsidRPr="00EA1E04">
        <w:rPr>
          <w:sz w:val="24"/>
          <w:szCs w:val="24"/>
        </w:rPr>
        <w:t xml:space="preserve"> in the UK as well as internationally </w:t>
      </w:r>
      <w:r w:rsidR="00187596" w:rsidRPr="00EA1E04">
        <w:rPr>
          <w:sz w:val="24"/>
          <w:szCs w:val="24"/>
        </w:rPr>
        <w:fldChar w:fldCharType="begin"/>
      </w:r>
      <w:r w:rsidR="00D636D7" w:rsidRPr="00EA1E04">
        <w:rPr>
          <w:sz w:val="24"/>
          <w:szCs w:val="24"/>
        </w:rPr>
        <w:instrText xml:space="preserve"> ADDIN ZOTERO_ITEM CSL_CITATION {"citationID":"BoERwWZJ","properties":{"formattedCitation":"{\\rtf (36\\uc0\\u8211{}39)}","plainCitation":"(36–39)"},"citationItems":[{"id":206,"uris":["http://zotero.org/users/1897183/items/R4NW6K5E"],"uri":["http://zotero.org/users/1897183/items/R4NW6K5E"],"itemData":{"id":206,"type":"article-journal","title":"Can screening and brief intervention lead to population-level reductions in alcohol-related harm?","container-title":"Addiction Science &amp; Clinical Practice","volume":"7","issue":"15","author":[{"family":"Heather","given":"Nick"}],"issued":{"date-parts":[["2012"]]}}},{"id":321,"uris":["http://zotero.org/users/1897183/items/ADIXE6IH"],"uri":["http://zotero.org/users/1897183/items/ADIXE6IH"],"itemData":{"id":321,"type":"article-journal","title":"Alcohol-related discussions in health care—a population view","container-title":"Addiction","page":"1239-1248","volume":"106","issue":"7","DOI":"10.1111/j.1360-0443.2010.03356.x","ISSN":"1360-0443","author":[{"family":"Mäkelä","given":"Pia"},{"family":"Havio","given":"Marjaliisa"},{"family":"Seppä","given":"Kaija"}],"issued":{"date-parts":[["2011",7,1]]}}},{"id":329,"uris":["http://zotero.org/users/1897183/items/ZFDI3KG8"],"uri":["http://zotero.org/users/1897183/items/ZFDI3KG8"],"itemData":{"id":329,"type":"article-journal","title":"Brief interventions: good in theory but weak in practice","container-title":"Drug and Alcohol Review","page":"11-18","volume":"23","issue":"1","DOI":"10.1080/09595230410001645510","ISSN":"1465-3362","author":[{"family":"Roche","given":"Ann M."},{"family":"Toby Freeman","given":""}],"issued":{"date-parts":[["2004",3,1]]}}},{"id":331,"uris":["http://zotero.org/users/1897183/items/69VSDGUH"],"uri":["http://zotero.org/users/1897183/items/69VSDGUH"],"itemData":{"id":331,"type":"article-journal","title":"Intervention for excessive alcohol consumption in primary health care: attitudes and practices of English General Practitioners.","container-title":"Alcohol and Alcoholism","page":"559-566","volume":"34","issue":"4","abstract":"General practitioners' (GPs') recognition of, attitudes towards, and intervention for, excessive drinking and alcohol problems among their patients were assessed in a postal questionnaire survey. Levels of recognition of, and intervention for, excessive drinking by GPs were low. GPs did not routinely enquire about alcohol and had managed only small numbers of patients specifically for excessive drinking or alcohol problems in the previous year. Enquiry about alcohol issues was elicited mainly by physical symptoms or by new patient registrations. Although 83% of GPs felt prepared to counsel excessive drinkers, only 21% felt effective in helping patients reduce consumption. Over the past 10 years, there appears to have been an increase in numbers of GPs who feel that they should be working with alcohol issues, but fewer GPs perceive themselves as being effective in this work. The main barriers to brief alcohol intervention were given as insufficient time and training, and lack of help from government policy; the main incentives related to availability of appropriate support services and proven efficacy of brief interventions. © 1999 Medical Council on Alcoholism","DOI":"10.1093/alcalc/34.4.559","author":[{"family":"Kaner","given":"Eileen F. S."},{"family":"Heather","given":"Nick"},{"family":"Mcavoy","given":"Brian R."},{"family":"Lock","given":"Catherine A."},{"family":"Gilvarry","given":"Eilish"}],"issued":{"date-parts":[["1999",7,1]]}}}],"schema":"https://github.com/citation-style-language/schema/raw/master/csl-citation.json"} </w:instrText>
      </w:r>
      <w:r w:rsidR="00187596" w:rsidRPr="00EA1E04">
        <w:rPr>
          <w:sz w:val="24"/>
          <w:szCs w:val="24"/>
        </w:rPr>
        <w:fldChar w:fldCharType="separate"/>
      </w:r>
      <w:r w:rsidR="00D636D7" w:rsidRPr="00EA1E04">
        <w:rPr>
          <w:rFonts w:ascii="Calibri" w:hAnsi="Calibri" w:cs="Times New Roman"/>
          <w:sz w:val="24"/>
          <w:szCs w:val="24"/>
        </w:rPr>
        <w:t>(36–39)</w:t>
      </w:r>
      <w:r w:rsidR="00187596" w:rsidRPr="00EA1E04">
        <w:rPr>
          <w:sz w:val="24"/>
          <w:szCs w:val="24"/>
        </w:rPr>
        <w:fldChar w:fldCharType="end"/>
      </w:r>
      <w:r w:rsidR="002A142F" w:rsidRPr="00EA1E04">
        <w:rPr>
          <w:sz w:val="24"/>
          <w:szCs w:val="24"/>
        </w:rPr>
        <w:t>.</w:t>
      </w:r>
    </w:p>
    <w:p w:rsidR="007C63E4" w:rsidRPr="00EA1E04" w:rsidRDefault="007C63E4" w:rsidP="007C63E4">
      <w:pPr>
        <w:spacing w:line="360" w:lineRule="auto"/>
        <w:rPr>
          <w:b/>
          <w:sz w:val="24"/>
          <w:szCs w:val="24"/>
        </w:rPr>
      </w:pPr>
      <w:bookmarkStart w:id="2" w:name="_Ref380243086"/>
      <w:bookmarkStart w:id="3" w:name="_Ref380243071"/>
      <w:r w:rsidRPr="00EA1E04">
        <w:rPr>
          <w:b/>
          <w:sz w:val="24"/>
          <w:szCs w:val="24"/>
        </w:rPr>
        <w:t xml:space="preserve">Implications </w:t>
      </w:r>
    </w:p>
    <w:p w:rsidR="004B295C" w:rsidRPr="00EA1E04" w:rsidRDefault="007C63E4" w:rsidP="00525E9E">
      <w:pPr>
        <w:spacing w:line="360" w:lineRule="auto"/>
        <w:jc w:val="both"/>
        <w:rPr>
          <w:sz w:val="24"/>
          <w:szCs w:val="24"/>
        </w:rPr>
      </w:pPr>
      <w:r w:rsidRPr="00EA1E04">
        <w:rPr>
          <w:sz w:val="24"/>
          <w:szCs w:val="24"/>
        </w:rPr>
        <w:t xml:space="preserve">We believe the present study suggests that there are several opportunities, particularly in men, for the earlier identification and treatment of </w:t>
      </w:r>
      <w:r w:rsidR="00184553" w:rsidRPr="00EA1E04">
        <w:rPr>
          <w:sz w:val="24"/>
          <w:szCs w:val="24"/>
        </w:rPr>
        <w:t xml:space="preserve">harmful/hazardous </w:t>
      </w:r>
      <w:r w:rsidRPr="00EA1E04">
        <w:rPr>
          <w:sz w:val="24"/>
          <w:szCs w:val="24"/>
        </w:rPr>
        <w:t xml:space="preserve">alcohol use.  That a high proportion of people had an alcohol use record is encouraging and may reflect improvements over time in the extent to which GPs in the UK </w:t>
      </w:r>
      <w:r w:rsidR="008F4A16" w:rsidRPr="00EA1E04">
        <w:rPr>
          <w:sz w:val="24"/>
          <w:szCs w:val="24"/>
        </w:rPr>
        <w:t>i</w:t>
      </w:r>
      <w:r w:rsidR="004C0247" w:rsidRPr="00EA1E04">
        <w:rPr>
          <w:sz w:val="24"/>
          <w:szCs w:val="24"/>
        </w:rPr>
        <w:t>nquire about</w:t>
      </w:r>
      <w:r w:rsidRPr="00EA1E04">
        <w:rPr>
          <w:sz w:val="24"/>
          <w:szCs w:val="24"/>
        </w:rPr>
        <w:t xml:space="preserve"> alcohol consumption during healthcare visits. However our </w:t>
      </w:r>
      <w:r w:rsidR="00C9535C" w:rsidRPr="00EA1E04">
        <w:rPr>
          <w:sz w:val="24"/>
          <w:szCs w:val="24"/>
        </w:rPr>
        <w:t>results on interventions generate</w:t>
      </w:r>
      <w:r w:rsidRPr="00EA1E04">
        <w:rPr>
          <w:sz w:val="24"/>
          <w:szCs w:val="24"/>
        </w:rPr>
        <w:t xml:space="preserve"> </w:t>
      </w:r>
      <w:r w:rsidR="00C9535C" w:rsidRPr="00EA1E04">
        <w:rPr>
          <w:sz w:val="24"/>
          <w:szCs w:val="24"/>
        </w:rPr>
        <w:t>some concern</w:t>
      </w:r>
      <w:r w:rsidR="00A43EDC" w:rsidRPr="00EA1E04">
        <w:rPr>
          <w:sz w:val="24"/>
          <w:szCs w:val="24"/>
        </w:rPr>
        <w:t>.</w:t>
      </w:r>
      <w:r w:rsidR="002F5B2C" w:rsidRPr="00EA1E04">
        <w:rPr>
          <w:sz w:val="24"/>
          <w:szCs w:val="24"/>
        </w:rPr>
        <w:t xml:space="preserve"> If true, the low rate of intervention we have identified cannot be explained by low access to healthcare services. This finding is also not entirely explained by a low drinking problem identification rate, because at least two-thirds (60.7%) of cases had had at least one problem drinking record </w:t>
      </w:r>
      <w:r w:rsidR="001958F7" w:rsidRPr="00EA1E04">
        <w:rPr>
          <w:sz w:val="24"/>
          <w:szCs w:val="24"/>
        </w:rPr>
        <w:t xml:space="preserve">on average </w:t>
      </w:r>
      <w:r w:rsidR="002F5B2C" w:rsidRPr="00EA1E04">
        <w:rPr>
          <w:sz w:val="24"/>
          <w:szCs w:val="24"/>
        </w:rPr>
        <w:t xml:space="preserve">four years prior to alcoholic cirrhosis diagnosis. The most plausible alternative explanations are that there may be a failure to record treatment of alcohol problems in primary care, that appropriate treatment services are not consistently available or that treatment of alcohol problems might truly be suboptimal. </w:t>
      </w:r>
      <w:r w:rsidR="00A43EDC" w:rsidRPr="00EA1E04">
        <w:rPr>
          <w:sz w:val="24"/>
          <w:szCs w:val="24"/>
        </w:rPr>
        <w:t xml:space="preserve"> </w:t>
      </w:r>
    </w:p>
    <w:p w:rsidR="007C63E4" w:rsidRPr="00EA1E04" w:rsidRDefault="007C63E4" w:rsidP="00525E9E">
      <w:pPr>
        <w:spacing w:line="360" w:lineRule="auto"/>
        <w:jc w:val="both"/>
        <w:rPr>
          <w:sz w:val="24"/>
          <w:szCs w:val="24"/>
        </w:rPr>
      </w:pPr>
      <w:r w:rsidRPr="00EA1E04">
        <w:rPr>
          <w:sz w:val="24"/>
          <w:szCs w:val="24"/>
        </w:rPr>
        <w:t xml:space="preserve">As documented in </w:t>
      </w:r>
      <w:r w:rsidR="001958F7" w:rsidRPr="00EA1E04">
        <w:rPr>
          <w:sz w:val="24"/>
          <w:szCs w:val="24"/>
        </w:rPr>
        <w:t xml:space="preserve">other </w:t>
      </w:r>
      <w:r w:rsidRPr="00EA1E04">
        <w:rPr>
          <w:sz w:val="24"/>
          <w:szCs w:val="24"/>
        </w:rPr>
        <w:t xml:space="preserve">studies, the reasons </w:t>
      </w:r>
      <w:r w:rsidR="00525E9E" w:rsidRPr="00EA1E04">
        <w:rPr>
          <w:sz w:val="24"/>
          <w:szCs w:val="24"/>
        </w:rPr>
        <w:t>why</w:t>
      </w:r>
      <w:r w:rsidRPr="00EA1E04">
        <w:rPr>
          <w:sz w:val="24"/>
          <w:szCs w:val="24"/>
        </w:rPr>
        <w:t xml:space="preserve"> the delivery of </w:t>
      </w:r>
      <w:r w:rsidR="006D03D4" w:rsidRPr="00EA1E04">
        <w:rPr>
          <w:sz w:val="24"/>
          <w:szCs w:val="24"/>
        </w:rPr>
        <w:t>brief alcohol</w:t>
      </w:r>
      <w:r w:rsidRPr="00EA1E04">
        <w:rPr>
          <w:sz w:val="24"/>
          <w:szCs w:val="24"/>
        </w:rPr>
        <w:t xml:space="preserve"> interventions may be suboptimal include</w:t>
      </w:r>
      <w:r w:rsidRPr="00EA1E04">
        <w:rPr>
          <w:rFonts w:cs="Helvetica"/>
          <w:sz w:val="24"/>
          <w:szCs w:val="24"/>
          <w:shd w:val="clear" w:color="auto" w:fill="FFFFFE"/>
        </w:rPr>
        <w:t xml:space="preserve"> lack of time, lack of workplace support, poor financial reimbursement and feelings of inadequacy by </w:t>
      </w:r>
      <w:r w:rsidR="001A191E" w:rsidRPr="00EA1E04">
        <w:rPr>
          <w:rFonts w:cs="Helvetica"/>
          <w:sz w:val="24"/>
          <w:szCs w:val="24"/>
          <w:shd w:val="clear" w:color="auto" w:fill="FFFFFE"/>
        </w:rPr>
        <w:t xml:space="preserve">healthcare </w:t>
      </w:r>
      <w:r w:rsidRPr="00EA1E04">
        <w:rPr>
          <w:rFonts w:cs="Helvetica"/>
          <w:sz w:val="24"/>
          <w:szCs w:val="24"/>
          <w:shd w:val="clear" w:color="auto" w:fill="FFFFFE"/>
        </w:rPr>
        <w:t>staff</w:t>
      </w:r>
      <w:r w:rsidRPr="00EA1E04">
        <w:rPr>
          <w:rFonts w:cs="Helvetica"/>
          <w:sz w:val="24"/>
          <w:szCs w:val="24"/>
          <w:shd w:val="clear" w:color="auto" w:fill="FFFFFE"/>
        </w:rPr>
        <w:fldChar w:fldCharType="begin"/>
      </w:r>
      <w:r w:rsidR="00D636D7" w:rsidRPr="00EA1E04">
        <w:rPr>
          <w:rFonts w:cs="Helvetica"/>
          <w:sz w:val="24"/>
          <w:szCs w:val="24"/>
          <w:shd w:val="clear" w:color="auto" w:fill="FFFFFE"/>
        </w:rPr>
        <w:instrText xml:space="preserve"> ADDIN ZOTERO_ITEM CSL_CITATION {"citationID":"oGdtOzbV","properties":{"formattedCitation":"{\\rtf (37,40\\uc0\\u8211{}42)}","plainCitation":"(37,40–42)"},"citationItems":[{"id":326,"uris":["http://zotero.org/users/1897183/items/TDIDD4WV"],"uri":["http://zotero.org/users/1897183/items/TDIDD4WV"],"itemData":{"id":326,"type":"article-journal","title":"Early intervention for problem drinkers: readiness to participate among general practitioners and nurses in Swedish primary health care.","container-title":"Alcohol and alcoholism (Oxford, Oxfordshire)","volume":"37","issue":"1","abstract":"An exploration was made of attitudes and practices of general practitioners (GPs) and nurses concerning early identification of, and intervention for, alcohol-related problems. Sixty-five GPs and 141 nurses in 19 primary health centres in a county in southern Sweden answered a 28-item questionnaire before implementation of an intervention programme. The questionnaire covered experiences with patients with alcohol-related health problems, knowledge and perceived capacity concerning early identification and intervention, attitudes towards the role of primary care staff in early identification and intervention and current intervention methods in use at the health centre. Self-reported frequency of asking about alcohol use was higher among GPs than nurses. Both groups reported more frequently asking about alcohol consumption in cases where they believed that the health status was influenced by alcohol. For both professions, knowledge and skills concerning identification were rated as better  understood than that concerning intervention methods. Nurses rated their knowledge and skills less confidently than GPs. The overall attitude was fairly positive towards early identification and intervention, but nurses were more worried than GPs that patients would react negatively to questions about alcohol. Attitudes, self-rated capacity, and practice were related. The low level of early identification and intervention in primary care appears to be related more to insufficient practical skills than to attitudes. Nurses appear to be an unexploited resource, in need of training and support. Nurses may need to be convinced that an active role does not interfere with the nurse-patient relationship. Building teams of GPs and nurses in primary care might enhance the  dissemination of alcohol prevention into regular practice.","note":"PMID: 11825855","journalAbbreviation":"Alcohol Alcohol","language":"eng","author":[{"family":"Johansson","given":"Kjell"},{"family":"Bendtsen","given":"Preben"},{"family":"Akerlind","given":"Ingemar"}],"issued":{"date-parts":[["2002",2]]},"PMID":"11825855"}},{"id":321,"uris":["http://zotero.org/users/1897183/items/ADIXE6IH"],"uri":["http://zotero.org/users/1897183/items/ADIXE6IH"],"itemData":{"id":321,"type":"article-journal","title":"Alcohol-related discussions in health care—a population view","container-title":"Addiction","page":"1239-1248","volume":"106","issue":"7","DOI":"10.1111/j.1360-0443.2010.03356.x","ISSN":"1360-0443","author":[{"family":"Mäkelä","given":"Pia"},{"family":"Havio","given":"Marjaliisa"},{"family":"Seppä","given":"Kaija"}],"issued":{"date-parts":[["2011",7,1]]}}},{"id":324,"uris":["http://zotero.org/users/1897183/items/7Q549QHF"],"uri":["http://zotero.org/users/1897183/items/7Q549QHF"],"itemData":{"id":324,"type":"article-journal","title":"Effectiveness of strategies to implement brief alcohol intervention in primary healthcare","container-title":"Scandinavian Journal of Primary Health Care","page":"5-15","volume":"24","issue":"1","DOI":"10.1080/02813430500475282","ISSN":"0281-3432","journalAbbreviation":"Scand J Prim Health Care","author":[{"family":"Nilsen","given":"Per"},{"family":"Aalto","given":"Mauri"},{"family":"Bendtsen","given":"Preben"},{"family":"Seppä","given":"Kaija"}],"issued":{"date-parts":[["2006",1,1]]},"accessed":{"date-parts":[["2015",6,20]]}}},{"id":328,"uris":["http://zotero.org/users/1897183/items/HBJSNQFB"],"uri":["http://zotero.org/users/1897183/items/HBJSNQFB"],"itemData":{"id":328,"type":"article-journal","title":"Barriers and facilitators to implementing screening and brief intervention for alcohol misuse: a systematic review of qualitative evidence","container-title":"Journal of Public Health","page":"412-421","volume":"33","issue":"3","abstract":"Background This review aimed to synthesize qualitative evidence for barriers and facilitators to effective implementation of screening and brief intervention for alcohol misuse in adults and children over 10 years.Methods A search of medical and social science databases was carried out and augmented by hand-searching of reference lists and contents of key journals. Qualitative evidence was synthesized thematically.Results A total of 47 papers varying in design and quality were included in the review. Most evaluated implementation in primary care settings. Implementation was reported to be limited by lack of resources, training and support from management, as well as workload. The appropriateness of context in which discussions take place was reported as an acceptability factor for patients and practitioners. Health professionals require sufficient knowledge about alcohol guidelines and risk in order to implement screening and intervention to those most in need.Conclusions Whilst brief screening and brief intervention have been shown to be effective in some settings, this review has identified a number of barriers and facilitators to implementation. Adequate resources, training and the identification of those at risk without stereotyping are the main facilitators in primary care. More research is needed to assess implementation in other settings.","DOI":"10.1093/pubmed/fdq095","journalAbbreviation":"Journal of Public Health","author":[{"family":"Johnson","given":"M."},{"family":"Jackson","given":"R."},{"family":"Guillaume","given":"L."},{"family":"Meier","given":"P."},{"family":"Goyder","given":"E."}],"issued":{"date-parts":[["2011",9,1]]}}}],"schema":"https://github.com/citation-style-language/schema/raw/master/csl-citation.json"} </w:instrText>
      </w:r>
      <w:r w:rsidRPr="00EA1E04">
        <w:rPr>
          <w:rFonts w:cs="Helvetica"/>
          <w:sz w:val="24"/>
          <w:szCs w:val="24"/>
          <w:shd w:val="clear" w:color="auto" w:fill="FFFFFE"/>
        </w:rPr>
        <w:fldChar w:fldCharType="separate"/>
      </w:r>
      <w:r w:rsidR="00D636D7" w:rsidRPr="00EA1E04">
        <w:rPr>
          <w:rFonts w:ascii="Calibri" w:hAnsi="Calibri" w:cs="Times New Roman"/>
          <w:sz w:val="24"/>
          <w:szCs w:val="24"/>
        </w:rPr>
        <w:t>(37,40–42)</w:t>
      </w:r>
      <w:r w:rsidRPr="00EA1E04">
        <w:rPr>
          <w:rFonts w:cs="Helvetica"/>
          <w:sz w:val="24"/>
          <w:szCs w:val="24"/>
          <w:shd w:val="clear" w:color="auto" w:fill="FFFFFE"/>
        </w:rPr>
        <w:fldChar w:fldCharType="end"/>
      </w:r>
      <w:r w:rsidR="002F5B2C" w:rsidRPr="00EA1E04">
        <w:rPr>
          <w:rFonts w:cs="Helvetica"/>
          <w:sz w:val="24"/>
          <w:szCs w:val="24"/>
          <w:shd w:val="clear" w:color="auto" w:fill="FFFFFE"/>
        </w:rPr>
        <w:t>; and we believe these factors also apply in the UK</w:t>
      </w:r>
      <w:r w:rsidRPr="00EA1E04">
        <w:rPr>
          <w:sz w:val="24"/>
          <w:szCs w:val="24"/>
        </w:rPr>
        <w:t xml:space="preserve">. To combat some of these shortfalls, </w:t>
      </w:r>
      <w:r w:rsidR="006D03D4" w:rsidRPr="00EA1E04">
        <w:rPr>
          <w:sz w:val="24"/>
          <w:szCs w:val="24"/>
        </w:rPr>
        <w:t>it may be important to continuously educate</w:t>
      </w:r>
      <w:r w:rsidRPr="00EA1E04">
        <w:rPr>
          <w:sz w:val="24"/>
          <w:szCs w:val="24"/>
        </w:rPr>
        <w:t xml:space="preserve"> healthcare professionals</w:t>
      </w:r>
      <w:r w:rsidR="0015183D" w:rsidRPr="00EA1E04">
        <w:rPr>
          <w:sz w:val="24"/>
          <w:szCs w:val="24"/>
        </w:rPr>
        <w:t>,</w:t>
      </w:r>
      <w:r w:rsidRPr="00EA1E04">
        <w:rPr>
          <w:sz w:val="24"/>
          <w:szCs w:val="24"/>
        </w:rPr>
        <w:t xml:space="preserve"> who are committed to addiction</w:t>
      </w:r>
      <w:r w:rsidR="00362D58" w:rsidRPr="00EA1E04">
        <w:rPr>
          <w:sz w:val="24"/>
          <w:szCs w:val="24"/>
        </w:rPr>
        <w:t xml:space="preserve"> reduction</w:t>
      </w:r>
      <w:r w:rsidR="0015183D" w:rsidRPr="00EA1E04">
        <w:rPr>
          <w:sz w:val="24"/>
          <w:szCs w:val="24"/>
        </w:rPr>
        <w:t>,</w:t>
      </w:r>
      <w:r w:rsidR="006D03D4" w:rsidRPr="00EA1E04">
        <w:rPr>
          <w:sz w:val="24"/>
          <w:szCs w:val="24"/>
        </w:rPr>
        <w:t xml:space="preserve"> on</w:t>
      </w:r>
      <w:r w:rsidRPr="00EA1E04">
        <w:rPr>
          <w:sz w:val="24"/>
          <w:szCs w:val="24"/>
        </w:rPr>
        <w:t xml:space="preserve"> </w:t>
      </w:r>
      <w:r w:rsidR="006D03D4" w:rsidRPr="00EA1E04">
        <w:rPr>
          <w:sz w:val="24"/>
          <w:szCs w:val="24"/>
        </w:rPr>
        <w:t>the public health damage of risky drinking and the effectiveness of brief alcohol interventions</w:t>
      </w:r>
      <w:r w:rsidR="004C0247" w:rsidRPr="00EA1E04">
        <w:rPr>
          <w:sz w:val="24"/>
          <w:szCs w:val="24"/>
        </w:rPr>
        <w:fldChar w:fldCharType="begin"/>
      </w:r>
      <w:r w:rsidR="006D03D4" w:rsidRPr="00EA1E04">
        <w:rPr>
          <w:sz w:val="24"/>
          <w:szCs w:val="24"/>
        </w:rPr>
        <w:instrText xml:space="preserve"> ADDIN ZOTERO_ITEM CSL_CITATION {"citationID":"Fwkw2D2j","properties":{"formattedCitation":"{\\rtf (43\\uc0\\u8211{}45)}","plainCitation":"(43–45)"},"citationItems":[{"id":322,"uris":["http://zotero.org/users/1897183/items/9FRQHMFV"],"uri":["http://zotero.org/users/1897183/items/9FRQHMFV"],"itemData":{"id":322,"type":"article-journal","title":"Brief alcohol intervention—where to from here? Challenges remain for research and practice","container-title":"Addiction","page":"954-959","volume":"105","issue":"6","DOI":"10.1111/j.1360-0443.2009.02779.x","ISSN":"1360-0443","author":[{"family":"Nilsen","given":"Per"}],"issued":{"date-parts":[["2010",6,1]]}}},{"id":332,"uris":["http://zotero.org/users/1897183/items/WC9KWJRD"],"uri":["http://zotero.org/users/1897183/items/WC9KWJRD"],"itemData":{"id":332,"type":"article-journal","title":"Alcohol Issues in Daily healthcare. The Risky Drinking Project: Background, Strategy and Results.","container-title":"Swedish National Institute of Public Health, Stockholm","author":[{"family":"Nilsen","given":"P"},{"family":"Holmquist","given":"M"}],"issued":{"date-parts":[["2010"]]}}},{"id":343,"uris":["http://zotero.org/users/1897183/items/N9VUNDCV"],"uri":["http://zotero.org/users/1897183/items/N9VUNDCV"],"itemData":{"id":343,"type":"article","title":"WHO Collaborative Project on Identification and Management of Alcohol-Related Problems in Primary Health Care. Development of Country-wide Strategies for Implementing Early Identification and Brief Intervention in Primary Health Care. Report to the World Health Organization on Phase IV.","publisher":"Geneva:World Health Organisation, Department of Mental Health and Substance Abuse","URL":"http://www.who.int/substance_abuse/publications/identification_management_alcoholproblems_phaseiv.pdf","author":[{"family":"Heather","given":"Nick"}],"issued":{"date-parts":[["2006"]]},"accessed":{"date-parts":[["2015",6,10]]}}}],"schema":"https://github.com/citation-style-language/schema/raw/master/csl-citation.json"} </w:instrText>
      </w:r>
      <w:r w:rsidR="004C0247" w:rsidRPr="00EA1E04">
        <w:rPr>
          <w:sz w:val="24"/>
          <w:szCs w:val="24"/>
        </w:rPr>
        <w:fldChar w:fldCharType="separate"/>
      </w:r>
      <w:r w:rsidR="006D03D4" w:rsidRPr="00EA1E04">
        <w:rPr>
          <w:rFonts w:ascii="Calibri" w:hAnsi="Calibri" w:cs="Times New Roman"/>
          <w:sz w:val="24"/>
          <w:szCs w:val="24"/>
        </w:rPr>
        <w:t>(43–45)</w:t>
      </w:r>
      <w:r w:rsidR="004C0247" w:rsidRPr="00EA1E04">
        <w:rPr>
          <w:sz w:val="24"/>
          <w:szCs w:val="24"/>
        </w:rPr>
        <w:fldChar w:fldCharType="end"/>
      </w:r>
      <w:r w:rsidRPr="00EA1E04">
        <w:rPr>
          <w:sz w:val="24"/>
          <w:szCs w:val="24"/>
        </w:rPr>
        <w:t>.</w:t>
      </w:r>
      <w:r w:rsidR="0072323D" w:rsidRPr="00EA1E04">
        <w:rPr>
          <w:sz w:val="24"/>
          <w:szCs w:val="24"/>
        </w:rPr>
        <w:t xml:space="preserve"> </w:t>
      </w:r>
      <w:r w:rsidR="002F5B2C" w:rsidRPr="00EA1E04">
        <w:rPr>
          <w:sz w:val="24"/>
          <w:szCs w:val="24"/>
        </w:rPr>
        <w:t xml:space="preserve">Additionally, </w:t>
      </w:r>
      <w:r w:rsidR="0072323D" w:rsidRPr="00EA1E04">
        <w:rPr>
          <w:sz w:val="24"/>
          <w:szCs w:val="24"/>
        </w:rPr>
        <w:t>government</w:t>
      </w:r>
      <w:r w:rsidR="006D03D4" w:rsidRPr="00EA1E04">
        <w:rPr>
          <w:sz w:val="24"/>
          <w:szCs w:val="24"/>
        </w:rPr>
        <w:t xml:space="preserve"> support through</w:t>
      </w:r>
      <w:r w:rsidR="0072323D" w:rsidRPr="00EA1E04">
        <w:rPr>
          <w:sz w:val="24"/>
          <w:szCs w:val="24"/>
        </w:rPr>
        <w:t xml:space="preserve"> policies e.g. incentivisation</w:t>
      </w:r>
      <w:r w:rsidRPr="00EA1E04">
        <w:rPr>
          <w:sz w:val="24"/>
          <w:szCs w:val="24"/>
        </w:rPr>
        <w:t xml:space="preserve"> </w:t>
      </w:r>
      <w:r w:rsidR="006D03D4" w:rsidRPr="00EA1E04">
        <w:rPr>
          <w:sz w:val="24"/>
          <w:szCs w:val="24"/>
        </w:rPr>
        <w:t xml:space="preserve">via </w:t>
      </w:r>
      <w:r w:rsidRPr="00EA1E04">
        <w:rPr>
          <w:sz w:val="24"/>
          <w:szCs w:val="24"/>
        </w:rPr>
        <w:t>pay for performance initiatives</w:t>
      </w:r>
      <w:r w:rsidR="0072323D" w:rsidRPr="00EA1E04">
        <w:rPr>
          <w:sz w:val="24"/>
          <w:szCs w:val="24"/>
        </w:rPr>
        <w:t>,</w:t>
      </w:r>
      <w:r w:rsidRPr="00EA1E04">
        <w:rPr>
          <w:sz w:val="24"/>
          <w:szCs w:val="24"/>
        </w:rPr>
        <w:t xml:space="preserve"> </w:t>
      </w:r>
      <w:r w:rsidR="000172AE" w:rsidRPr="00EA1E04">
        <w:rPr>
          <w:sz w:val="24"/>
          <w:szCs w:val="24"/>
        </w:rPr>
        <w:t xml:space="preserve">work place programmes and management efforts </w:t>
      </w:r>
      <w:r w:rsidR="002F5B2C" w:rsidRPr="00EA1E04">
        <w:rPr>
          <w:sz w:val="24"/>
          <w:szCs w:val="24"/>
        </w:rPr>
        <w:t xml:space="preserve">may </w:t>
      </w:r>
      <w:r w:rsidR="000172AE" w:rsidRPr="00EA1E04">
        <w:rPr>
          <w:sz w:val="24"/>
          <w:szCs w:val="24"/>
        </w:rPr>
        <w:t xml:space="preserve">also help </w:t>
      </w:r>
      <w:r w:rsidR="000613A0" w:rsidRPr="00EA1E04">
        <w:rPr>
          <w:sz w:val="24"/>
          <w:szCs w:val="24"/>
        </w:rPr>
        <w:t xml:space="preserve">to </w:t>
      </w:r>
      <w:r w:rsidR="00287DBE" w:rsidRPr="00EA1E04">
        <w:rPr>
          <w:sz w:val="24"/>
          <w:szCs w:val="24"/>
        </w:rPr>
        <w:t xml:space="preserve">improve </w:t>
      </w:r>
      <w:r w:rsidR="0069502C" w:rsidRPr="00EA1E04">
        <w:rPr>
          <w:sz w:val="24"/>
          <w:szCs w:val="24"/>
        </w:rPr>
        <w:t>brief alcohol intervention</w:t>
      </w:r>
      <w:r w:rsidRPr="00EA1E04">
        <w:rPr>
          <w:sz w:val="24"/>
          <w:szCs w:val="24"/>
        </w:rPr>
        <w:t xml:space="preserve"> activity</w:t>
      </w:r>
      <w:r w:rsidR="00A43EDC" w:rsidRPr="00EA1E04">
        <w:rPr>
          <w:sz w:val="24"/>
          <w:szCs w:val="24"/>
        </w:rPr>
        <w:t xml:space="preserve"> </w:t>
      </w:r>
      <w:r w:rsidR="004C0247" w:rsidRPr="00EA1E04">
        <w:rPr>
          <w:sz w:val="24"/>
          <w:szCs w:val="24"/>
        </w:rPr>
        <w:fldChar w:fldCharType="begin"/>
      </w:r>
      <w:r w:rsidR="006D03D4" w:rsidRPr="00EA1E04">
        <w:rPr>
          <w:sz w:val="24"/>
          <w:szCs w:val="24"/>
        </w:rPr>
        <w:instrText xml:space="preserve"> ADDIN ZOTERO_ITEM CSL_CITATION {"citationID":"jXMsI2BL","properties":{"formattedCitation":"(37,45,46)","plainCitation":"(37,45,46)"},"citationItems":[{"id":156,"uris":["http://zotero.org/users/1897183/items/VTQQ9SVA"],"uri":["http://zotero.org/users/1897183/items/VTQQ9SVA"],"itemData":{"id":156,"type":"article-journal","title":"Do financial incentives for delivering health promotion counselling work? Analysis of smoking cessation activities stimulated by the quality and outcomes framework","container-title":"BMC Publ Health","page":"167","volume":"10","author":[{"family":"Coleman","given":"T."}],"issued":{"date-parts":[["2010"]]}}},{"id":321,"uris":["http://zotero.org/users/1897183/items/ADIXE6IH"],"uri":["http://zotero.org/users/1897183/items/ADIXE6IH"],"itemData":{"id":321,"type":"article-journal","title":"Alcohol-related discussions in health care—a population view","container-title":"Addiction","page":"1239-1248","volume":"106","issue":"7","DOI":"10.1111/j.1360-0443.2010.03356.x","ISSN":"1360-0443","author":[{"family":"Mäkelä","given":"Pia"},{"family":"Havio","given":"Marjaliisa"},{"family":"Seppä","given":"Kaija"}],"issued":{"date-parts":[["2011",7,1]]}}},{"id":343,"uris":["http://zotero.org/users/1897183/items/N9VUNDCV"],"uri":["http://zotero.org/users/1897183/items/N9VUNDCV"],"itemData":{"id":343,"type":"article","title":"WHO Collaborative Project on Identification and Management of Alcohol-Related Problems in Primary Health Care. Development of Country-wide Strategies for Implementing Early Identification and Brief Intervention in Primary Health Care. Report to the World Health Organization on Phase IV.","publisher":"Geneva:World Health Organisation, Department of Mental Health and Substance Abuse","URL":"http://www.who.int/substance_abuse/publications/identification_management_alcoholproblems_phaseiv.pdf","author":[{"family":"Heather","given":"Nick"}],"issued":{"date-parts":[["2006"]]},"accessed":{"date-parts":[["2015",6,10]]}}}],"schema":"https://github.com/citation-style-language/schema/raw/master/csl-citation.json"} </w:instrText>
      </w:r>
      <w:r w:rsidR="004C0247" w:rsidRPr="00EA1E04">
        <w:rPr>
          <w:sz w:val="24"/>
          <w:szCs w:val="24"/>
        </w:rPr>
        <w:fldChar w:fldCharType="separate"/>
      </w:r>
      <w:r w:rsidR="006D03D4" w:rsidRPr="00EA1E04">
        <w:rPr>
          <w:rFonts w:ascii="Calibri" w:hAnsi="Calibri"/>
          <w:sz w:val="24"/>
        </w:rPr>
        <w:t>(37,45,46)</w:t>
      </w:r>
      <w:r w:rsidR="004C0247" w:rsidRPr="00EA1E04">
        <w:rPr>
          <w:sz w:val="24"/>
          <w:szCs w:val="24"/>
        </w:rPr>
        <w:fldChar w:fldCharType="end"/>
      </w:r>
      <w:r w:rsidRPr="00EA1E04">
        <w:rPr>
          <w:sz w:val="24"/>
          <w:szCs w:val="24"/>
        </w:rPr>
        <w:t xml:space="preserve">. </w:t>
      </w:r>
    </w:p>
    <w:p w:rsidR="007C63E4" w:rsidRPr="00EA1E04" w:rsidRDefault="007C63E4" w:rsidP="00525E9E">
      <w:pPr>
        <w:spacing w:line="360" w:lineRule="auto"/>
        <w:jc w:val="both"/>
        <w:rPr>
          <w:sz w:val="24"/>
          <w:szCs w:val="24"/>
        </w:rPr>
      </w:pPr>
      <w:r w:rsidRPr="00EA1E04">
        <w:rPr>
          <w:sz w:val="24"/>
          <w:szCs w:val="24"/>
        </w:rPr>
        <w:t xml:space="preserve">Another aspect of our results for which there are important implications is our finding </w:t>
      </w:r>
      <w:r w:rsidR="00357ADA" w:rsidRPr="00EA1E04">
        <w:rPr>
          <w:sz w:val="24"/>
          <w:szCs w:val="24"/>
        </w:rPr>
        <w:t>that women, especially those of younger ages, were more likely than men to receive brief alcohol interventions. These findings</w:t>
      </w:r>
      <w:r w:rsidR="000613A0" w:rsidRPr="00EA1E04">
        <w:rPr>
          <w:sz w:val="24"/>
          <w:szCs w:val="24"/>
        </w:rPr>
        <w:t xml:space="preserve"> need further exploration. However</w:t>
      </w:r>
      <w:r w:rsidR="00357ADA" w:rsidRPr="00EA1E04">
        <w:rPr>
          <w:sz w:val="24"/>
          <w:szCs w:val="24"/>
        </w:rPr>
        <w:t xml:space="preserve">, if replicated in future, </w:t>
      </w:r>
      <w:r w:rsidR="000613A0" w:rsidRPr="00EA1E04">
        <w:rPr>
          <w:sz w:val="24"/>
          <w:szCs w:val="24"/>
        </w:rPr>
        <w:t xml:space="preserve">it </w:t>
      </w:r>
      <w:r w:rsidR="00525E9E" w:rsidRPr="00EA1E04">
        <w:rPr>
          <w:sz w:val="24"/>
          <w:szCs w:val="24"/>
        </w:rPr>
        <w:t xml:space="preserve">would </w:t>
      </w:r>
      <w:r w:rsidR="00357ADA" w:rsidRPr="00EA1E04">
        <w:rPr>
          <w:sz w:val="24"/>
          <w:szCs w:val="24"/>
        </w:rPr>
        <w:t xml:space="preserve">imply that strategies to treat alcohol problems on a population level may be undermined </w:t>
      </w:r>
      <w:r w:rsidRPr="00EA1E04">
        <w:rPr>
          <w:sz w:val="24"/>
          <w:szCs w:val="24"/>
        </w:rPr>
        <w:t xml:space="preserve">as men </w:t>
      </w:r>
      <w:r w:rsidR="00357ADA" w:rsidRPr="00EA1E04">
        <w:rPr>
          <w:sz w:val="24"/>
          <w:szCs w:val="24"/>
        </w:rPr>
        <w:t xml:space="preserve">make up a significant proportion of the population of people with alcohol use disorders and </w:t>
      </w:r>
      <w:r w:rsidRPr="00EA1E04">
        <w:rPr>
          <w:sz w:val="24"/>
          <w:szCs w:val="24"/>
        </w:rPr>
        <w:t>are more likely to drink alcohol in</w:t>
      </w:r>
      <w:r w:rsidR="00D636D7" w:rsidRPr="00EA1E04">
        <w:rPr>
          <w:sz w:val="24"/>
          <w:szCs w:val="24"/>
        </w:rPr>
        <w:t xml:space="preserve"> excess of women</w:t>
      </w:r>
      <w:r w:rsidRPr="00EA1E04">
        <w:rPr>
          <w:sz w:val="24"/>
          <w:szCs w:val="24"/>
        </w:rPr>
        <w:t xml:space="preserve"> </w:t>
      </w:r>
      <w:r w:rsidR="00D636D7" w:rsidRPr="00EA1E04">
        <w:rPr>
          <w:sz w:val="24"/>
          <w:szCs w:val="24"/>
        </w:rPr>
        <w:fldChar w:fldCharType="begin"/>
      </w:r>
      <w:r w:rsidR="00525E9E" w:rsidRPr="00EA1E04">
        <w:rPr>
          <w:sz w:val="24"/>
          <w:szCs w:val="24"/>
        </w:rPr>
        <w:instrText xml:space="preserve"> ADDIN ZOTERO_ITEM CSL_CITATION {"citationID":"2plfos8dk5","properties":{"formattedCitation":"(47,48)","plainCitation":"(47,48)"},"citationItems":[{"id":337,"uris":["http://zotero.org/users/1897183/items/GS5M7RIA"],"uri":["http://zotero.org/users/1897183/items/GS5M7RIA"],"itemData":{"id":337,"type":"article-journal","title":"Prevalence and correlates of alcohol use and DSM-IV alcohol dependence in the United States: results of the National Longitudinal Alcohol Epidemiologic Survey.","container-title":"Journal of studies on alcohol","page":"464-473","volume":"58","issue":"5","abstract":"OBJECTIVE: The purpose of this study was to present updated estimates of the prevalence of, and to examine the correlates of, alcohol use and DSM-IV alcohol dependence in a representative sample of the U.S. population. METHODS: This study was based on the National Institute on Alcohol Abuse and Alcoholism's National Longitudinal Alcohol Epidemiologic Survey (NLAES), a representative sample (N = 42,862) of the United States population aged 18 years and older. RESULTS: The prevalence of lifetime alcohol use was 66.0%, with 44.4% of the respondents reporting alcohol use during the past 12 months. Lifetime and 12-month prevalences of alcohol dependence were estimated at 13.3% and 4.4%, respectively. Men were significantly more likely than women to use alcohol, and alcohol use and dependence were much more common among cohorts born after Prohibition and after World War II. Members of the youngest cohorts, between the ages of 18 and 24 years at the time of the interview, were more likely to use drugs, to become dependent and to persist in dependence compared to the older cohorts. In addition, the conditional probability of dependence among users was greatest in Cohort 1 (born between 1968 and 1974) after early adolescence compared to Cohort  2 (born between 1958 and 1967), despite the finding that the probability of lifetime use was lower in Cohort 1 compared to Cohort 2. The sociodemographic correlates of first use, onset of dependence and persistence of dependence varied as a function of the stage of progression. CONCLUSIONS: Implications of these findings are discussed in terms of changes over time in drinking patterns, dependence liability and vulnerability among recent alcohol users.","note":"PMID: 9273910","journalAbbreviation":"J Stud Alcohol","language":"eng","author":[{"family":"Grant","given":"B. F."}],"issued":{"date-parts":[["1997",9]]},"PMID":"9273910"}},{"id":338,"uris":["http://zotero.org/users/1897183/items/QKIMIHVG"],"uri":["http://zotero.org/users/1897183/items/QKIMIHVG"],"itemData":{"id":338,"type":"article-journal","title":"Global burden of disease and injury and economic cost attributable to alcohol use and alcohol-use disorders","container-title":"The Lancet","page":"2223-2233","volume":"373","issue":"9682","abstract":"Summary\nAlcohol consumption has been identified as an important risk factor for chronic disease and injury. In the first paper in this Series, we quantify the burden of mortality and disease attributable to alcohol, both globally and for ten large countries. We assess alcohol exposure and prevalence of alcohol-use disorders on the basis of reviews of published work. After identification of other major disease categories causally linked to alcohol, we estimate attributable fractions by sex, age, and WHO region. Additionally, we compare social costs of alcohol in selected countries. The net effect of alcohol consumption on health is detrimental, with an estimated 3·8% of all global deaths and 4·6% of global disability-adjusted life-years attributable to alcohol. Disease burden is closely related to average volume of alcohol consumption, and, for every unit of exposure, is strongest in poor people and in those who are marginalised from society. The costs associated with alcohol amount to more than 1% of the gross national product in high-income and middle-income countries, with the costs of social harm constituting a major proportion in addition to health costs. Overall, we conclude that alcohol consumption is one of the major avoidable risk factors, and actions to reduce burden and costs associated with alcohol should be urgently increased.","DOI":"10.1016/S0140-6736(09)60746-7","ISSN":"0140-6736","journalAbbreviation":"The Lancet","author":[{"family":"Rehm","given":"Jürgen"},{"family":"Mathers","given":"Colin"},{"family":"Popova","given":"Svetlana"},{"family":"Thavorncharoensap","given":"Montarat"},{"family":"Teerawattananon","given":"Yot"},{"family":"Patra","given":"Jayadeep"}],"issued":{"date-parts":[["0000",6,27]]},"accessed":{"date-parts":[["2009",7,3]]}}}],"schema":"https://github.com/citation-style-language/schema/raw/master/csl-citation.json"} </w:instrText>
      </w:r>
      <w:r w:rsidR="00D636D7" w:rsidRPr="00EA1E04">
        <w:rPr>
          <w:sz w:val="24"/>
          <w:szCs w:val="24"/>
        </w:rPr>
        <w:fldChar w:fldCharType="separate"/>
      </w:r>
      <w:r w:rsidR="00525E9E" w:rsidRPr="00EA1E04">
        <w:rPr>
          <w:rFonts w:ascii="Calibri" w:hAnsi="Calibri"/>
          <w:sz w:val="24"/>
        </w:rPr>
        <w:t>(47,48)</w:t>
      </w:r>
      <w:r w:rsidR="00D636D7" w:rsidRPr="00EA1E04">
        <w:rPr>
          <w:sz w:val="24"/>
          <w:szCs w:val="24"/>
        </w:rPr>
        <w:fldChar w:fldCharType="end"/>
      </w:r>
      <w:r w:rsidRPr="00EA1E04">
        <w:rPr>
          <w:sz w:val="24"/>
          <w:szCs w:val="24"/>
        </w:rPr>
        <w:t>.</w:t>
      </w:r>
      <w:r w:rsidR="00525E9E" w:rsidRPr="00EA1E04">
        <w:rPr>
          <w:sz w:val="24"/>
          <w:szCs w:val="24"/>
        </w:rPr>
        <w:t xml:space="preserve"> </w:t>
      </w:r>
    </w:p>
    <w:p w:rsidR="007C63E4" w:rsidRPr="00EA1E04" w:rsidRDefault="007C63E4" w:rsidP="00525E9E">
      <w:pPr>
        <w:spacing w:line="360" w:lineRule="auto"/>
        <w:jc w:val="both"/>
        <w:rPr>
          <w:sz w:val="24"/>
          <w:szCs w:val="24"/>
        </w:rPr>
      </w:pPr>
      <w:r w:rsidRPr="00EA1E04">
        <w:rPr>
          <w:sz w:val="24"/>
          <w:szCs w:val="24"/>
        </w:rPr>
        <w:lastRenderedPageBreak/>
        <w:t>Conclusions</w:t>
      </w:r>
    </w:p>
    <w:p w:rsidR="007C63E4" w:rsidRPr="00EA1E04" w:rsidRDefault="007C63E4" w:rsidP="00525E9E">
      <w:pPr>
        <w:spacing w:line="360" w:lineRule="auto"/>
        <w:jc w:val="both"/>
        <w:rPr>
          <w:sz w:val="24"/>
          <w:szCs w:val="24"/>
        </w:rPr>
      </w:pPr>
      <w:r w:rsidRPr="00EA1E04">
        <w:rPr>
          <w:sz w:val="24"/>
          <w:szCs w:val="24"/>
        </w:rPr>
        <w:t xml:space="preserve">The findings of </w:t>
      </w:r>
      <w:r w:rsidR="001958F7" w:rsidRPr="00EA1E04">
        <w:rPr>
          <w:sz w:val="24"/>
          <w:szCs w:val="24"/>
        </w:rPr>
        <w:t xml:space="preserve">our </w:t>
      </w:r>
      <w:r w:rsidRPr="00EA1E04">
        <w:rPr>
          <w:sz w:val="24"/>
          <w:szCs w:val="24"/>
        </w:rPr>
        <w:t>study show a higher excess of healthcare use in men than women prior to alcoholic cirrhosis. While a high proportion of patients were asked about their alcohol use during these healthcare visits,</w:t>
      </w:r>
      <w:r w:rsidR="00752BB5" w:rsidRPr="00EA1E04">
        <w:rPr>
          <w:sz w:val="24"/>
          <w:szCs w:val="24"/>
        </w:rPr>
        <w:t xml:space="preserve"> few patients had records of interventions and </w:t>
      </w:r>
      <w:r w:rsidRPr="00EA1E04">
        <w:rPr>
          <w:sz w:val="24"/>
          <w:szCs w:val="24"/>
        </w:rPr>
        <w:t xml:space="preserve">men were </w:t>
      </w:r>
      <w:r w:rsidR="00752BB5" w:rsidRPr="00EA1E04">
        <w:rPr>
          <w:sz w:val="24"/>
          <w:szCs w:val="24"/>
        </w:rPr>
        <w:t>less likely to receive interventions</w:t>
      </w:r>
      <w:r w:rsidRPr="00EA1E04">
        <w:rPr>
          <w:sz w:val="24"/>
          <w:szCs w:val="24"/>
        </w:rPr>
        <w:t xml:space="preserve"> than women. </w:t>
      </w:r>
      <w:r w:rsidR="00752BB5" w:rsidRPr="00EA1E04">
        <w:rPr>
          <w:sz w:val="24"/>
          <w:szCs w:val="24"/>
        </w:rPr>
        <w:t xml:space="preserve">We acknowledge that recording biases </w:t>
      </w:r>
      <w:r w:rsidR="002F5B2C" w:rsidRPr="00EA1E04">
        <w:rPr>
          <w:sz w:val="24"/>
          <w:szCs w:val="24"/>
        </w:rPr>
        <w:t xml:space="preserve">may partly explain </w:t>
      </w:r>
      <w:r w:rsidR="00752BB5" w:rsidRPr="00EA1E04">
        <w:rPr>
          <w:sz w:val="24"/>
          <w:szCs w:val="24"/>
        </w:rPr>
        <w:t xml:space="preserve">the low </w:t>
      </w:r>
      <w:r w:rsidR="001958F7" w:rsidRPr="00EA1E04">
        <w:rPr>
          <w:sz w:val="24"/>
          <w:szCs w:val="24"/>
        </w:rPr>
        <w:t xml:space="preserve">absolute </w:t>
      </w:r>
      <w:r w:rsidR="00752BB5" w:rsidRPr="00EA1E04">
        <w:rPr>
          <w:sz w:val="24"/>
          <w:szCs w:val="24"/>
        </w:rPr>
        <w:t>rates of intervention</w:t>
      </w:r>
      <w:r w:rsidR="002F5B2C" w:rsidRPr="00EA1E04">
        <w:rPr>
          <w:sz w:val="24"/>
          <w:szCs w:val="24"/>
        </w:rPr>
        <w:t xml:space="preserve"> identified</w:t>
      </w:r>
      <w:r w:rsidR="00752BB5" w:rsidRPr="00EA1E04">
        <w:rPr>
          <w:sz w:val="24"/>
          <w:szCs w:val="24"/>
        </w:rPr>
        <w:t xml:space="preserve"> in this study</w:t>
      </w:r>
      <w:r w:rsidR="002F5B2C" w:rsidRPr="00EA1E04">
        <w:rPr>
          <w:sz w:val="24"/>
          <w:szCs w:val="24"/>
        </w:rPr>
        <w:t>.</w:t>
      </w:r>
      <w:r w:rsidR="00752BB5" w:rsidRPr="00EA1E04">
        <w:rPr>
          <w:sz w:val="24"/>
          <w:szCs w:val="24"/>
        </w:rPr>
        <w:t xml:space="preserve"> However, the identification of high risk patients relies heavily on doctors having access to both current and past records of patients’ alcohol use</w:t>
      </w:r>
      <w:r w:rsidR="0015183D" w:rsidRPr="00EA1E04">
        <w:rPr>
          <w:sz w:val="24"/>
          <w:szCs w:val="24"/>
        </w:rPr>
        <w:t>,</w:t>
      </w:r>
      <w:r w:rsidR="00752BB5" w:rsidRPr="00EA1E04">
        <w:rPr>
          <w:sz w:val="24"/>
          <w:szCs w:val="24"/>
        </w:rPr>
        <w:t xml:space="preserve"> hence recording biases in</w:t>
      </w:r>
      <w:r w:rsidR="001958F7" w:rsidRPr="00EA1E04">
        <w:rPr>
          <w:sz w:val="24"/>
          <w:szCs w:val="24"/>
        </w:rPr>
        <w:t xml:space="preserve"> and of themselves</w:t>
      </w:r>
      <w:r w:rsidR="00752BB5" w:rsidRPr="00EA1E04">
        <w:rPr>
          <w:sz w:val="24"/>
          <w:szCs w:val="24"/>
        </w:rPr>
        <w:t xml:space="preserve"> represents a key aspect of </w:t>
      </w:r>
      <w:r w:rsidR="00287DBE" w:rsidRPr="00EA1E04">
        <w:rPr>
          <w:sz w:val="24"/>
          <w:szCs w:val="24"/>
        </w:rPr>
        <w:t>A</w:t>
      </w:r>
      <w:r w:rsidR="00752BB5" w:rsidRPr="00EA1E04">
        <w:rPr>
          <w:sz w:val="24"/>
          <w:szCs w:val="24"/>
        </w:rPr>
        <w:t xml:space="preserve">BI delivery which needs to be </w:t>
      </w:r>
      <w:r w:rsidR="009C7B98" w:rsidRPr="00EA1E04">
        <w:rPr>
          <w:sz w:val="24"/>
          <w:szCs w:val="24"/>
        </w:rPr>
        <w:t xml:space="preserve">addressed </w:t>
      </w:r>
      <w:r w:rsidR="00752BB5" w:rsidRPr="00EA1E04">
        <w:rPr>
          <w:sz w:val="24"/>
          <w:szCs w:val="24"/>
        </w:rPr>
        <w:t xml:space="preserve">if the treatment of alcohol </w:t>
      </w:r>
      <w:r w:rsidR="00D17CBA" w:rsidRPr="00EA1E04">
        <w:rPr>
          <w:sz w:val="24"/>
          <w:szCs w:val="24"/>
        </w:rPr>
        <w:t>problems</w:t>
      </w:r>
      <w:r w:rsidR="00752BB5" w:rsidRPr="00EA1E04">
        <w:rPr>
          <w:sz w:val="24"/>
          <w:szCs w:val="24"/>
        </w:rPr>
        <w:t xml:space="preserve"> is to </w:t>
      </w:r>
      <w:r w:rsidR="009C7B98" w:rsidRPr="00EA1E04">
        <w:rPr>
          <w:sz w:val="24"/>
          <w:szCs w:val="24"/>
        </w:rPr>
        <w:t xml:space="preserve">be </w:t>
      </w:r>
      <w:r w:rsidR="00752BB5" w:rsidRPr="00EA1E04">
        <w:rPr>
          <w:sz w:val="24"/>
          <w:szCs w:val="24"/>
        </w:rPr>
        <w:t xml:space="preserve">improved. </w:t>
      </w:r>
      <w:r w:rsidRPr="00EA1E04">
        <w:rPr>
          <w:sz w:val="24"/>
          <w:szCs w:val="24"/>
        </w:rPr>
        <w:t xml:space="preserve">Given the potential effectiveness of </w:t>
      </w:r>
      <w:r w:rsidR="00287DBE" w:rsidRPr="00EA1E04">
        <w:rPr>
          <w:sz w:val="24"/>
          <w:szCs w:val="24"/>
        </w:rPr>
        <w:t xml:space="preserve">ABI </w:t>
      </w:r>
      <w:r w:rsidR="00E8699D" w:rsidRPr="00EA1E04">
        <w:rPr>
          <w:sz w:val="24"/>
          <w:szCs w:val="24"/>
        </w:rPr>
        <w:t xml:space="preserve">to reduce risky </w:t>
      </w:r>
      <w:r w:rsidRPr="00EA1E04">
        <w:rPr>
          <w:sz w:val="24"/>
          <w:szCs w:val="24"/>
        </w:rPr>
        <w:t>drinking</w:t>
      </w:r>
      <w:r w:rsidR="00E8699D" w:rsidRPr="00EA1E04">
        <w:rPr>
          <w:sz w:val="24"/>
          <w:szCs w:val="24"/>
        </w:rPr>
        <w:t xml:space="preserve"> behaviour</w:t>
      </w:r>
      <w:r w:rsidRPr="00EA1E04">
        <w:rPr>
          <w:sz w:val="24"/>
          <w:szCs w:val="24"/>
        </w:rPr>
        <w:t xml:space="preserve"> and the </w:t>
      </w:r>
      <w:r w:rsidR="00913D18" w:rsidRPr="00EA1E04">
        <w:rPr>
          <w:sz w:val="24"/>
          <w:szCs w:val="24"/>
        </w:rPr>
        <w:t>need to reduce alcohol problems at a population level</w:t>
      </w:r>
      <w:r w:rsidRPr="00EA1E04">
        <w:rPr>
          <w:sz w:val="24"/>
          <w:szCs w:val="24"/>
        </w:rPr>
        <w:t>, these findings should encourage h</w:t>
      </w:r>
      <w:r w:rsidR="00287DBE" w:rsidRPr="00EA1E04">
        <w:rPr>
          <w:sz w:val="24"/>
          <w:szCs w:val="24"/>
        </w:rPr>
        <w:t>ealthcare professionals to use A</w:t>
      </w:r>
      <w:r w:rsidRPr="00EA1E04">
        <w:rPr>
          <w:sz w:val="24"/>
          <w:szCs w:val="24"/>
        </w:rPr>
        <w:t>BI more often and policy makers to direct m</w:t>
      </w:r>
      <w:r w:rsidR="00287DBE" w:rsidRPr="00EA1E04">
        <w:rPr>
          <w:sz w:val="24"/>
          <w:szCs w:val="24"/>
        </w:rPr>
        <w:t>ore effort towards integrating A</w:t>
      </w:r>
      <w:r w:rsidRPr="00EA1E04">
        <w:rPr>
          <w:sz w:val="24"/>
          <w:szCs w:val="24"/>
        </w:rPr>
        <w:t>BI into clinical practice.</w:t>
      </w:r>
    </w:p>
    <w:p w:rsidR="008144E8" w:rsidRPr="00EA1E04" w:rsidRDefault="008144E8" w:rsidP="004E3098">
      <w:pPr>
        <w:spacing w:line="360" w:lineRule="auto"/>
        <w:jc w:val="both"/>
        <w:rPr>
          <w:sz w:val="24"/>
          <w:szCs w:val="24"/>
        </w:rPr>
      </w:pPr>
      <w:r w:rsidRPr="00EA1E04">
        <w:rPr>
          <w:b/>
          <w:bCs/>
          <w:sz w:val="32"/>
          <w:szCs w:val="32"/>
        </w:rPr>
        <w:br w:type="page"/>
      </w:r>
    </w:p>
    <w:p w:rsidR="004E2BC5" w:rsidRPr="00EA1E04" w:rsidRDefault="004E2BC5" w:rsidP="009742F0">
      <w:pPr>
        <w:jc w:val="both"/>
        <w:rPr>
          <w:b/>
          <w:bCs/>
          <w:sz w:val="32"/>
          <w:szCs w:val="32"/>
        </w:rPr>
      </w:pPr>
      <w:r w:rsidRPr="00EA1E04">
        <w:rPr>
          <w:b/>
          <w:bCs/>
          <w:sz w:val="32"/>
          <w:szCs w:val="32"/>
        </w:rPr>
        <w:lastRenderedPageBreak/>
        <w:t>TABLES</w:t>
      </w:r>
    </w:p>
    <w:p w:rsidR="009742F0" w:rsidRPr="00EA1E04" w:rsidRDefault="009742F0" w:rsidP="009742F0">
      <w:pPr>
        <w:jc w:val="both"/>
        <w:rPr>
          <w:b/>
          <w:bCs/>
          <w:sz w:val="24"/>
          <w:szCs w:val="24"/>
        </w:rPr>
      </w:pPr>
      <w:r w:rsidRPr="00EA1E04">
        <w:rPr>
          <w:b/>
          <w:bCs/>
          <w:sz w:val="24"/>
          <w:szCs w:val="24"/>
        </w:rPr>
        <w:t xml:space="preserve">Table </w:t>
      </w:r>
      <w:r w:rsidRPr="00EA1E04">
        <w:rPr>
          <w:b/>
          <w:bCs/>
          <w:sz w:val="24"/>
          <w:szCs w:val="24"/>
        </w:rPr>
        <w:fldChar w:fldCharType="begin"/>
      </w:r>
      <w:r w:rsidRPr="00EA1E04">
        <w:rPr>
          <w:b/>
          <w:bCs/>
          <w:sz w:val="24"/>
          <w:szCs w:val="24"/>
        </w:rPr>
        <w:instrText xml:space="preserve"> SEQ Table \* ARABIC </w:instrText>
      </w:r>
      <w:r w:rsidRPr="00EA1E04">
        <w:rPr>
          <w:b/>
          <w:bCs/>
          <w:sz w:val="24"/>
          <w:szCs w:val="24"/>
        </w:rPr>
        <w:fldChar w:fldCharType="separate"/>
      </w:r>
      <w:r w:rsidR="00160393" w:rsidRPr="00EA1E04">
        <w:rPr>
          <w:b/>
          <w:bCs/>
          <w:noProof/>
          <w:sz w:val="24"/>
          <w:szCs w:val="24"/>
        </w:rPr>
        <w:t>1</w:t>
      </w:r>
      <w:r w:rsidRPr="00EA1E04">
        <w:rPr>
          <w:b/>
          <w:bCs/>
          <w:sz w:val="24"/>
          <w:szCs w:val="24"/>
        </w:rPr>
        <w:fldChar w:fldCharType="end"/>
      </w:r>
      <w:bookmarkEnd w:id="2"/>
      <w:r w:rsidRPr="00EA1E04">
        <w:rPr>
          <w:b/>
          <w:bCs/>
          <w:sz w:val="24"/>
          <w:szCs w:val="24"/>
        </w:rPr>
        <w:t>: Baseline demographics of cases of alcoholic cirrhosis and controls matched by age and GP practice</w:t>
      </w:r>
      <w:bookmarkEnd w:id="3"/>
    </w:p>
    <w:tbl>
      <w:tblPr>
        <w:tblStyle w:val="LightShading1"/>
        <w:tblW w:w="8332" w:type="dxa"/>
        <w:tblLook w:val="04A0" w:firstRow="1" w:lastRow="0" w:firstColumn="1" w:lastColumn="0" w:noHBand="0" w:noVBand="1"/>
      </w:tblPr>
      <w:tblGrid>
        <w:gridCol w:w="4072"/>
        <w:gridCol w:w="2129"/>
        <w:gridCol w:w="2131"/>
      </w:tblGrid>
      <w:tr w:rsidR="00EA1E04" w:rsidRPr="00EA1E04" w:rsidTr="00607EF7">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072" w:type="dxa"/>
          </w:tcPr>
          <w:p w:rsidR="00607EF7" w:rsidRPr="00EA1E04" w:rsidRDefault="00607EF7" w:rsidP="00EB7E52">
            <w:pPr>
              <w:jc w:val="both"/>
              <w:rPr>
                <w:rFonts w:cs="Arial"/>
                <w:color w:val="auto"/>
                <w:sz w:val="24"/>
                <w:szCs w:val="24"/>
                <w:lang w:eastAsia="en-GB"/>
              </w:rPr>
            </w:pPr>
          </w:p>
        </w:tc>
        <w:tc>
          <w:tcPr>
            <w:tcW w:w="2129" w:type="dxa"/>
          </w:tcPr>
          <w:p w:rsidR="00607EF7" w:rsidRPr="00EA1E04" w:rsidRDefault="00607EF7" w:rsidP="00EB7E52">
            <w:pPr>
              <w:jc w:val="both"/>
              <w:cnfStyle w:val="100000000000" w:firstRow="1" w:lastRow="0" w:firstColumn="0" w:lastColumn="0" w:oddVBand="0" w:evenVBand="0" w:oddHBand="0" w:evenHBand="0" w:firstRowFirstColumn="0" w:firstRowLastColumn="0" w:lastRowFirstColumn="0" w:lastRowLastColumn="0"/>
              <w:rPr>
                <w:rFonts w:cs="Arial"/>
                <w:color w:val="auto"/>
                <w:sz w:val="24"/>
                <w:szCs w:val="24"/>
                <w:lang w:eastAsia="en-GB"/>
              </w:rPr>
            </w:pPr>
          </w:p>
          <w:p w:rsidR="00607EF7" w:rsidRPr="00EA1E04" w:rsidRDefault="00607EF7" w:rsidP="00EB7E52">
            <w:pPr>
              <w:jc w:val="both"/>
              <w:cnfStyle w:val="100000000000" w:firstRow="1"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Cases                        (n= 2,479)</w:t>
            </w:r>
          </w:p>
          <w:p w:rsidR="00607EF7" w:rsidRPr="00EA1E04" w:rsidRDefault="00607EF7" w:rsidP="00EB7E52">
            <w:pPr>
              <w:jc w:val="both"/>
              <w:cnfStyle w:val="100000000000" w:firstRow="1" w:lastRow="0" w:firstColumn="0" w:lastColumn="0" w:oddVBand="0" w:evenVBand="0" w:oddHBand="0" w:evenHBand="0" w:firstRowFirstColumn="0" w:firstRowLastColumn="0" w:lastRowFirstColumn="0" w:lastRowLastColumn="0"/>
              <w:rPr>
                <w:rFonts w:cs="Arial"/>
                <w:color w:val="auto"/>
                <w:sz w:val="24"/>
                <w:szCs w:val="24"/>
                <w:lang w:eastAsia="en-GB"/>
              </w:rPr>
            </w:pPr>
          </w:p>
        </w:tc>
        <w:tc>
          <w:tcPr>
            <w:tcW w:w="2131" w:type="dxa"/>
          </w:tcPr>
          <w:p w:rsidR="00607EF7" w:rsidRPr="00EA1E04" w:rsidRDefault="00607EF7" w:rsidP="00EB7E52">
            <w:pPr>
              <w:jc w:val="both"/>
              <w:cnfStyle w:val="100000000000" w:firstRow="1" w:lastRow="0" w:firstColumn="0" w:lastColumn="0" w:oddVBand="0" w:evenVBand="0" w:oddHBand="0" w:evenHBand="0" w:firstRowFirstColumn="0" w:firstRowLastColumn="0" w:lastRowFirstColumn="0" w:lastRowLastColumn="0"/>
              <w:rPr>
                <w:rFonts w:cs="Arial"/>
                <w:color w:val="auto"/>
                <w:sz w:val="24"/>
                <w:szCs w:val="24"/>
                <w:lang w:eastAsia="en-GB"/>
              </w:rPr>
            </w:pPr>
          </w:p>
          <w:p w:rsidR="00607EF7" w:rsidRPr="00EA1E04" w:rsidRDefault="00607EF7" w:rsidP="00EB7E52">
            <w:pPr>
              <w:jc w:val="both"/>
              <w:cnfStyle w:val="100000000000" w:firstRow="1"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Controls                    (n = 24,790)</w:t>
            </w:r>
          </w:p>
          <w:p w:rsidR="00607EF7" w:rsidRPr="00EA1E04" w:rsidRDefault="00607EF7" w:rsidP="00EB7E52">
            <w:pPr>
              <w:jc w:val="both"/>
              <w:cnfStyle w:val="100000000000" w:firstRow="1"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 xml:space="preserve">   </w:t>
            </w:r>
          </w:p>
        </w:tc>
      </w:tr>
      <w:tr w:rsidR="00EA1E04" w:rsidRPr="00EA1E04" w:rsidTr="00607E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72" w:type="dxa"/>
          </w:tcPr>
          <w:p w:rsidR="00607EF7" w:rsidRPr="00EA1E04" w:rsidRDefault="00607EF7" w:rsidP="00EB7E52">
            <w:pPr>
              <w:jc w:val="both"/>
              <w:rPr>
                <w:rFonts w:cs="Arial"/>
                <w:color w:val="auto"/>
                <w:sz w:val="24"/>
                <w:szCs w:val="24"/>
                <w:vertAlign w:val="superscript"/>
                <w:lang w:eastAsia="en-GB"/>
              </w:rPr>
            </w:pPr>
            <w:r w:rsidRPr="00EA1E04">
              <w:rPr>
                <w:rFonts w:cs="Arial"/>
                <w:color w:val="auto"/>
                <w:sz w:val="24"/>
                <w:szCs w:val="24"/>
                <w:lang w:eastAsia="en-GB"/>
              </w:rPr>
              <w:t>Age at diagnosis(years)</w:t>
            </w:r>
            <w:r w:rsidR="00EA1E04">
              <w:rPr>
                <w:rFonts w:cs="Arial"/>
                <w:color w:val="auto"/>
                <w:sz w:val="24"/>
                <w:szCs w:val="24"/>
                <w:vertAlign w:val="superscript"/>
                <w:lang w:eastAsia="en-GB"/>
              </w:rPr>
              <w:t>a</w:t>
            </w:r>
          </w:p>
        </w:tc>
        <w:tc>
          <w:tcPr>
            <w:tcW w:w="2129" w:type="dxa"/>
          </w:tcPr>
          <w:p w:rsidR="00607EF7" w:rsidRPr="00EA1E04" w:rsidRDefault="00607EF7" w:rsidP="00EB7E52">
            <w:pPr>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p>
        </w:tc>
        <w:tc>
          <w:tcPr>
            <w:tcW w:w="2131" w:type="dxa"/>
          </w:tcPr>
          <w:p w:rsidR="00607EF7" w:rsidRPr="00EA1E04" w:rsidRDefault="00607EF7" w:rsidP="00EB7E52">
            <w:pPr>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p>
        </w:tc>
      </w:tr>
      <w:tr w:rsidR="00EA1E04" w:rsidRPr="00EA1E04" w:rsidTr="00607EF7">
        <w:trPr>
          <w:trHeight w:val="255"/>
        </w:trPr>
        <w:tc>
          <w:tcPr>
            <w:cnfStyle w:val="001000000000" w:firstRow="0" w:lastRow="0" w:firstColumn="1" w:lastColumn="0" w:oddVBand="0" w:evenVBand="0" w:oddHBand="0" w:evenHBand="0" w:firstRowFirstColumn="0" w:firstRowLastColumn="0" w:lastRowFirstColumn="0" w:lastRowLastColumn="0"/>
            <w:tcW w:w="4072" w:type="dxa"/>
            <w:shd w:val="clear" w:color="auto" w:fill="auto"/>
          </w:tcPr>
          <w:p w:rsidR="00607EF7" w:rsidRPr="00EA1E04" w:rsidRDefault="00607EF7" w:rsidP="00EB7E52">
            <w:pPr>
              <w:jc w:val="both"/>
              <w:rPr>
                <w:rFonts w:cs="Arial"/>
                <w:b w:val="0"/>
                <w:color w:val="auto"/>
                <w:sz w:val="24"/>
                <w:szCs w:val="24"/>
                <w:lang w:eastAsia="en-GB"/>
              </w:rPr>
            </w:pPr>
            <w:r w:rsidRPr="00EA1E04">
              <w:rPr>
                <w:rFonts w:cs="Arial"/>
                <w:b w:val="0"/>
                <w:color w:val="auto"/>
                <w:sz w:val="24"/>
                <w:szCs w:val="24"/>
                <w:lang w:eastAsia="en-GB"/>
              </w:rPr>
              <w:t>Mean(SD)</w:t>
            </w:r>
          </w:p>
        </w:tc>
        <w:tc>
          <w:tcPr>
            <w:tcW w:w="2129" w:type="dxa"/>
            <w:shd w:val="clear" w:color="auto" w:fill="auto"/>
          </w:tcPr>
          <w:p w:rsidR="00607EF7" w:rsidRPr="00EA1E04" w:rsidRDefault="00607EF7" w:rsidP="00EB7E52">
            <w:pPr>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55.6 (11.7)</w:t>
            </w:r>
          </w:p>
        </w:tc>
        <w:tc>
          <w:tcPr>
            <w:tcW w:w="2131" w:type="dxa"/>
            <w:shd w:val="clear" w:color="auto" w:fill="auto"/>
          </w:tcPr>
          <w:p w:rsidR="00607EF7" w:rsidRPr="00EA1E04" w:rsidRDefault="00607EF7" w:rsidP="00EB7E52">
            <w:pPr>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55.4 (12.4)</w:t>
            </w:r>
          </w:p>
        </w:tc>
      </w:tr>
      <w:tr w:rsidR="00EA1E04" w:rsidRPr="00EA1E04" w:rsidTr="00607E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72" w:type="dxa"/>
            <w:shd w:val="clear" w:color="auto" w:fill="auto"/>
          </w:tcPr>
          <w:p w:rsidR="00607EF7" w:rsidRPr="00EA1E04" w:rsidRDefault="00607EF7" w:rsidP="00EB7E52">
            <w:pPr>
              <w:jc w:val="both"/>
              <w:rPr>
                <w:rFonts w:cs="Arial"/>
                <w:b w:val="0"/>
                <w:color w:val="auto"/>
                <w:sz w:val="24"/>
                <w:szCs w:val="24"/>
                <w:lang w:eastAsia="en-GB"/>
              </w:rPr>
            </w:pPr>
            <w:r w:rsidRPr="00EA1E04">
              <w:rPr>
                <w:rFonts w:cs="Arial"/>
                <w:b w:val="0"/>
                <w:color w:val="auto"/>
                <w:sz w:val="24"/>
                <w:szCs w:val="24"/>
                <w:lang w:eastAsia="en-GB"/>
              </w:rPr>
              <w:t>Age group (n, %)</w:t>
            </w:r>
          </w:p>
        </w:tc>
        <w:tc>
          <w:tcPr>
            <w:tcW w:w="2129" w:type="dxa"/>
            <w:shd w:val="clear" w:color="auto" w:fill="auto"/>
          </w:tcPr>
          <w:p w:rsidR="00607EF7" w:rsidRPr="00EA1E04" w:rsidRDefault="00607EF7" w:rsidP="00EB7E52">
            <w:pPr>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p>
        </w:tc>
        <w:tc>
          <w:tcPr>
            <w:tcW w:w="2131" w:type="dxa"/>
            <w:shd w:val="clear" w:color="auto" w:fill="auto"/>
          </w:tcPr>
          <w:p w:rsidR="00607EF7" w:rsidRPr="00EA1E04" w:rsidRDefault="00607EF7" w:rsidP="00EB7E52">
            <w:pPr>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p>
        </w:tc>
      </w:tr>
      <w:tr w:rsidR="00EA1E04" w:rsidRPr="00EA1E04" w:rsidTr="00607EF7">
        <w:trPr>
          <w:trHeight w:val="268"/>
        </w:trPr>
        <w:tc>
          <w:tcPr>
            <w:cnfStyle w:val="001000000000" w:firstRow="0" w:lastRow="0" w:firstColumn="1" w:lastColumn="0" w:oddVBand="0" w:evenVBand="0" w:oddHBand="0" w:evenHBand="0" w:firstRowFirstColumn="0" w:firstRowLastColumn="0" w:lastRowFirstColumn="0" w:lastRowLastColumn="0"/>
            <w:tcW w:w="4072" w:type="dxa"/>
            <w:shd w:val="clear" w:color="auto" w:fill="auto"/>
          </w:tcPr>
          <w:p w:rsidR="00607EF7" w:rsidRPr="00EA1E04" w:rsidRDefault="00607EF7" w:rsidP="00EB7E52">
            <w:pPr>
              <w:ind w:left="284"/>
              <w:jc w:val="both"/>
              <w:rPr>
                <w:rFonts w:cs="Arial"/>
                <w:b w:val="0"/>
                <w:color w:val="auto"/>
                <w:sz w:val="24"/>
                <w:szCs w:val="24"/>
                <w:lang w:eastAsia="en-GB"/>
              </w:rPr>
            </w:pPr>
            <w:r w:rsidRPr="00EA1E04">
              <w:rPr>
                <w:rFonts w:cs="Arial"/>
                <w:b w:val="0"/>
                <w:color w:val="auto"/>
                <w:sz w:val="24"/>
                <w:szCs w:val="24"/>
                <w:lang w:eastAsia="en-GB"/>
              </w:rPr>
              <w:t>18-44</w:t>
            </w:r>
          </w:p>
        </w:tc>
        <w:tc>
          <w:tcPr>
            <w:tcW w:w="2129" w:type="dxa"/>
            <w:shd w:val="clear" w:color="auto" w:fill="auto"/>
          </w:tcPr>
          <w:p w:rsidR="00607EF7" w:rsidRPr="00EA1E04" w:rsidRDefault="00607EF7" w:rsidP="00EB7E52">
            <w:pPr>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419(16.9)</w:t>
            </w:r>
          </w:p>
        </w:tc>
        <w:tc>
          <w:tcPr>
            <w:tcW w:w="2131" w:type="dxa"/>
            <w:shd w:val="clear" w:color="auto" w:fill="auto"/>
          </w:tcPr>
          <w:p w:rsidR="00607EF7" w:rsidRPr="00EA1E04" w:rsidRDefault="00607EF7" w:rsidP="00EB7E52">
            <w:pPr>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5,027(20.3)</w:t>
            </w:r>
          </w:p>
        </w:tc>
      </w:tr>
      <w:tr w:rsidR="00EA1E04" w:rsidRPr="00EA1E04" w:rsidTr="00607E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72" w:type="dxa"/>
            <w:shd w:val="clear" w:color="auto" w:fill="auto"/>
          </w:tcPr>
          <w:p w:rsidR="00607EF7" w:rsidRPr="00EA1E04" w:rsidRDefault="00607EF7" w:rsidP="00EB7E52">
            <w:pPr>
              <w:ind w:left="284"/>
              <w:jc w:val="both"/>
              <w:rPr>
                <w:rFonts w:cs="Arial"/>
                <w:b w:val="0"/>
                <w:color w:val="auto"/>
                <w:sz w:val="24"/>
                <w:szCs w:val="24"/>
                <w:lang w:eastAsia="en-GB"/>
              </w:rPr>
            </w:pPr>
            <w:r w:rsidRPr="00EA1E04">
              <w:rPr>
                <w:rFonts w:cs="Arial"/>
                <w:b w:val="0"/>
                <w:color w:val="auto"/>
                <w:sz w:val="24"/>
                <w:szCs w:val="24"/>
                <w:lang w:eastAsia="en-GB"/>
              </w:rPr>
              <w:t>45-54</w:t>
            </w:r>
          </w:p>
        </w:tc>
        <w:tc>
          <w:tcPr>
            <w:tcW w:w="2129" w:type="dxa"/>
            <w:shd w:val="clear" w:color="auto" w:fill="auto"/>
          </w:tcPr>
          <w:p w:rsidR="00607EF7" w:rsidRPr="00EA1E04" w:rsidRDefault="00607EF7" w:rsidP="00EB7E52">
            <w:pPr>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750(30.3)</w:t>
            </w:r>
          </w:p>
        </w:tc>
        <w:tc>
          <w:tcPr>
            <w:tcW w:w="2131" w:type="dxa"/>
            <w:shd w:val="clear" w:color="auto" w:fill="auto"/>
          </w:tcPr>
          <w:p w:rsidR="00607EF7" w:rsidRPr="00EA1E04" w:rsidRDefault="00607EF7" w:rsidP="00EB7E52">
            <w:pPr>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6,772 (27.3)</w:t>
            </w:r>
          </w:p>
        </w:tc>
      </w:tr>
      <w:tr w:rsidR="00EA1E04" w:rsidRPr="00EA1E04" w:rsidTr="00607EF7">
        <w:trPr>
          <w:trHeight w:val="255"/>
        </w:trPr>
        <w:tc>
          <w:tcPr>
            <w:cnfStyle w:val="001000000000" w:firstRow="0" w:lastRow="0" w:firstColumn="1" w:lastColumn="0" w:oddVBand="0" w:evenVBand="0" w:oddHBand="0" w:evenHBand="0" w:firstRowFirstColumn="0" w:firstRowLastColumn="0" w:lastRowFirstColumn="0" w:lastRowLastColumn="0"/>
            <w:tcW w:w="4072" w:type="dxa"/>
            <w:shd w:val="clear" w:color="auto" w:fill="auto"/>
          </w:tcPr>
          <w:p w:rsidR="00607EF7" w:rsidRPr="00EA1E04" w:rsidRDefault="00607EF7" w:rsidP="00EB7E52">
            <w:pPr>
              <w:ind w:left="284"/>
              <w:jc w:val="both"/>
              <w:rPr>
                <w:rFonts w:cs="Arial"/>
                <w:b w:val="0"/>
                <w:color w:val="auto"/>
                <w:sz w:val="24"/>
                <w:szCs w:val="24"/>
                <w:lang w:eastAsia="en-GB"/>
              </w:rPr>
            </w:pPr>
            <w:r w:rsidRPr="00EA1E04">
              <w:rPr>
                <w:rFonts w:cs="Arial"/>
                <w:b w:val="0"/>
                <w:color w:val="auto"/>
                <w:sz w:val="24"/>
                <w:szCs w:val="24"/>
                <w:lang w:eastAsia="en-GB"/>
              </w:rPr>
              <w:t>55-64</w:t>
            </w:r>
          </w:p>
        </w:tc>
        <w:tc>
          <w:tcPr>
            <w:tcW w:w="2129" w:type="dxa"/>
            <w:shd w:val="clear" w:color="auto" w:fill="auto"/>
          </w:tcPr>
          <w:p w:rsidR="00607EF7" w:rsidRPr="00EA1E04" w:rsidRDefault="00607EF7" w:rsidP="00EB7E52">
            <w:pPr>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753(30.4)</w:t>
            </w:r>
          </w:p>
        </w:tc>
        <w:tc>
          <w:tcPr>
            <w:tcW w:w="2131" w:type="dxa"/>
            <w:shd w:val="clear" w:color="auto" w:fill="auto"/>
          </w:tcPr>
          <w:p w:rsidR="00607EF7" w:rsidRPr="00EA1E04" w:rsidRDefault="00607EF7" w:rsidP="00EB7E52">
            <w:pPr>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7,222 (29.1)</w:t>
            </w:r>
          </w:p>
        </w:tc>
      </w:tr>
      <w:tr w:rsidR="00EA1E04" w:rsidRPr="00EA1E04" w:rsidTr="00607EF7">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4072" w:type="dxa"/>
            <w:shd w:val="clear" w:color="auto" w:fill="auto"/>
          </w:tcPr>
          <w:p w:rsidR="00607EF7" w:rsidRPr="00EA1E04" w:rsidRDefault="00607EF7" w:rsidP="00EB7E52">
            <w:pPr>
              <w:ind w:left="284"/>
              <w:jc w:val="both"/>
              <w:rPr>
                <w:rFonts w:cs="Arial"/>
                <w:b w:val="0"/>
                <w:color w:val="auto"/>
                <w:sz w:val="24"/>
                <w:szCs w:val="24"/>
                <w:lang w:eastAsia="en-GB"/>
              </w:rPr>
            </w:pPr>
            <w:r w:rsidRPr="00EA1E04">
              <w:rPr>
                <w:rFonts w:cs="Arial"/>
                <w:b w:val="0"/>
                <w:color w:val="auto"/>
                <w:sz w:val="24"/>
                <w:szCs w:val="24"/>
                <w:lang w:eastAsia="en-GB"/>
              </w:rPr>
              <w:t>65-74</w:t>
            </w:r>
          </w:p>
        </w:tc>
        <w:tc>
          <w:tcPr>
            <w:tcW w:w="2129" w:type="dxa"/>
            <w:shd w:val="clear" w:color="auto" w:fill="auto"/>
          </w:tcPr>
          <w:p w:rsidR="00607EF7" w:rsidRPr="00EA1E04" w:rsidRDefault="00607EF7" w:rsidP="00EB7E52">
            <w:pPr>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403 (16.3)</w:t>
            </w:r>
          </w:p>
        </w:tc>
        <w:tc>
          <w:tcPr>
            <w:tcW w:w="2131" w:type="dxa"/>
            <w:shd w:val="clear" w:color="auto" w:fill="auto"/>
          </w:tcPr>
          <w:p w:rsidR="00607EF7" w:rsidRPr="00EA1E04" w:rsidRDefault="00607EF7" w:rsidP="00EB7E52">
            <w:pPr>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4,027 (16.2)</w:t>
            </w:r>
          </w:p>
        </w:tc>
      </w:tr>
      <w:tr w:rsidR="00EA1E04" w:rsidRPr="00EA1E04" w:rsidTr="00607EF7">
        <w:trPr>
          <w:trHeight w:val="255"/>
        </w:trPr>
        <w:tc>
          <w:tcPr>
            <w:cnfStyle w:val="001000000000" w:firstRow="0" w:lastRow="0" w:firstColumn="1" w:lastColumn="0" w:oddVBand="0" w:evenVBand="0" w:oddHBand="0" w:evenHBand="0" w:firstRowFirstColumn="0" w:firstRowLastColumn="0" w:lastRowFirstColumn="0" w:lastRowLastColumn="0"/>
            <w:tcW w:w="4072" w:type="dxa"/>
            <w:shd w:val="clear" w:color="auto" w:fill="auto"/>
          </w:tcPr>
          <w:p w:rsidR="00607EF7" w:rsidRPr="00EA1E04" w:rsidRDefault="00607EF7" w:rsidP="00EB7E52">
            <w:pPr>
              <w:ind w:left="284"/>
              <w:jc w:val="both"/>
              <w:rPr>
                <w:rFonts w:cs="Arial"/>
                <w:b w:val="0"/>
                <w:color w:val="auto"/>
                <w:sz w:val="24"/>
                <w:szCs w:val="24"/>
                <w:lang w:eastAsia="en-GB"/>
              </w:rPr>
            </w:pPr>
            <w:r w:rsidRPr="00EA1E04">
              <w:rPr>
                <w:rFonts w:cs="Arial"/>
                <w:b w:val="0"/>
                <w:color w:val="auto"/>
                <w:sz w:val="24"/>
                <w:szCs w:val="24"/>
                <w:lang w:eastAsia="en-GB"/>
              </w:rPr>
              <w:t xml:space="preserve"> ≥ 75</w:t>
            </w:r>
          </w:p>
        </w:tc>
        <w:tc>
          <w:tcPr>
            <w:tcW w:w="2129" w:type="dxa"/>
            <w:shd w:val="clear" w:color="auto" w:fill="auto"/>
          </w:tcPr>
          <w:p w:rsidR="00607EF7" w:rsidRPr="00EA1E04" w:rsidRDefault="00607EF7" w:rsidP="00EB7E52">
            <w:pPr>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154(6.2)</w:t>
            </w:r>
          </w:p>
        </w:tc>
        <w:tc>
          <w:tcPr>
            <w:tcW w:w="2131" w:type="dxa"/>
            <w:shd w:val="clear" w:color="auto" w:fill="auto"/>
          </w:tcPr>
          <w:p w:rsidR="00607EF7" w:rsidRPr="00EA1E04" w:rsidRDefault="00607EF7" w:rsidP="00EB7E52">
            <w:pPr>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1,742 (7.0)</w:t>
            </w:r>
          </w:p>
        </w:tc>
      </w:tr>
      <w:tr w:rsidR="00EA1E04" w:rsidRPr="00EA1E04" w:rsidTr="00607EF7">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4072" w:type="dxa"/>
          </w:tcPr>
          <w:p w:rsidR="00607EF7" w:rsidRPr="00EA1E04" w:rsidRDefault="00607EF7" w:rsidP="00EB7E52">
            <w:pPr>
              <w:jc w:val="both"/>
              <w:rPr>
                <w:rFonts w:cs="Arial"/>
                <w:color w:val="auto"/>
                <w:sz w:val="24"/>
                <w:szCs w:val="24"/>
                <w:vertAlign w:val="superscript"/>
                <w:lang w:eastAsia="en-GB"/>
              </w:rPr>
            </w:pPr>
            <w:r w:rsidRPr="00EA1E04">
              <w:rPr>
                <w:rFonts w:cs="Arial"/>
                <w:color w:val="auto"/>
                <w:sz w:val="24"/>
                <w:szCs w:val="24"/>
                <w:lang w:eastAsia="en-GB"/>
              </w:rPr>
              <w:t>Observation time(years)</w:t>
            </w:r>
          </w:p>
        </w:tc>
        <w:tc>
          <w:tcPr>
            <w:tcW w:w="2129" w:type="dxa"/>
          </w:tcPr>
          <w:p w:rsidR="00607EF7" w:rsidRPr="00EA1E04" w:rsidRDefault="00607EF7" w:rsidP="00EB7E52">
            <w:pPr>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p>
        </w:tc>
        <w:tc>
          <w:tcPr>
            <w:tcW w:w="2131" w:type="dxa"/>
          </w:tcPr>
          <w:p w:rsidR="00607EF7" w:rsidRPr="00EA1E04" w:rsidRDefault="00607EF7" w:rsidP="00EB7E52">
            <w:pPr>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p>
        </w:tc>
      </w:tr>
      <w:tr w:rsidR="00EA1E04" w:rsidRPr="00EA1E04" w:rsidTr="00607EF7">
        <w:trPr>
          <w:trHeight w:val="101"/>
        </w:trPr>
        <w:tc>
          <w:tcPr>
            <w:cnfStyle w:val="001000000000" w:firstRow="0" w:lastRow="0" w:firstColumn="1" w:lastColumn="0" w:oddVBand="0" w:evenVBand="0" w:oddHBand="0" w:evenHBand="0" w:firstRowFirstColumn="0" w:firstRowLastColumn="0" w:lastRowFirstColumn="0" w:lastRowLastColumn="0"/>
            <w:tcW w:w="4072" w:type="dxa"/>
          </w:tcPr>
          <w:p w:rsidR="00607EF7" w:rsidRPr="00EA1E04" w:rsidRDefault="00607EF7" w:rsidP="00EB7E52">
            <w:pPr>
              <w:jc w:val="both"/>
              <w:rPr>
                <w:rFonts w:cs="Arial"/>
                <w:b w:val="0"/>
                <w:color w:val="auto"/>
                <w:sz w:val="24"/>
                <w:szCs w:val="24"/>
                <w:lang w:eastAsia="en-GB"/>
              </w:rPr>
            </w:pPr>
            <w:r w:rsidRPr="00EA1E04">
              <w:rPr>
                <w:rFonts w:cs="Arial"/>
                <w:b w:val="0"/>
                <w:color w:val="auto"/>
                <w:sz w:val="24"/>
                <w:szCs w:val="24"/>
                <w:lang w:eastAsia="en-GB"/>
              </w:rPr>
              <w:t>Median(IQR)</w:t>
            </w:r>
          </w:p>
        </w:tc>
        <w:tc>
          <w:tcPr>
            <w:tcW w:w="2129" w:type="dxa"/>
          </w:tcPr>
          <w:p w:rsidR="00607EF7" w:rsidRPr="00EA1E04" w:rsidRDefault="00607EF7" w:rsidP="00EB7E52">
            <w:pPr>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5.7 (3.0 – 9.2)</w:t>
            </w:r>
          </w:p>
        </w:tc>
        <w:tc>
          <w:tcPr>
            <w:tcW w:w="2131" w:type="dxa"/>
          </w:tcPr>
          <w:p w:rsidR="00607EF7" w:rsidRPr="00EA1E04" w:rsidRDefault="00607EF7" w:rsidP="00EB7E52">
            <w:pPr>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4.6(2.4 – 7.9)</w:t>
            </w:r>
          </w:p>
        </w:tc>
      </w:tr>
      <w:tr w:rsidR="00EA1E04" w:rsidRPr="00EA1E04" w:rsidTr="00607EF7">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4072" w:type="dxa"/>
            <w:tcBorders>
              <w:bottom w:val="nil"/>
            </w:tcBorders>
          </w:tcPr>
          <w:p w:rsidR="00607EF7" w:rsidRPr="00EA1E04" w:rsidRDefault="00607EF7" w:rsidP="00EB7E52">
            <w:pPr>
              <w:jc w:val="both"/>
              <w:rPr>
                <w:rFonts w:cs="Arial"/>
                <w:color w:val="auto"/>
                <w:sz w:val="24"/>
                <w:szCs w:val="24"/>
                <w:vertAlign w:val="superscript"/>
                <w:lang w:eastAsia="en-GB"/>
              </w:rPr>
            </w:pPr>
            <w:r w:rsidRPr="00EA1E04">
              <w:rPr>
                <w:rFonts w:cs="Arial"/>
                <w:color w:val="auto"/>
                <w:sz w:val="24"/>
                <w:szCs w:val="24"/>
                <w:lang w:eastAsia="en-GB"/>
              </w:rPr>
              <w:t>Sex (n, %)</w:t>
            </w:r>
            <w:r w:rsidR="00EA1E04">
              <w:rPr>
                <w:rFonts w:cs="Arial"/>
                <w:color w:val="auto"/>
                <w:sz w:val="24"/>
                <w:szCs w:val="24"/>
                <w:vertAlign w:val="superscript"/>
                <w:lang w:eastAsia="en-GB"/>
              </w:rPr>
              <w:t>a</w:t>
            </w:r>
          </w:p>
        </w:tc>
        <w:tc>
          <w:tcPr>
            <w:tcW w:w="2129" w:type="dxa"/>
            <w:tcBorders>
              <w:bottom w:val="nil"/>
            </w:tcBorders>
          </w:tcPr>
          <w:p w:rsidR="00607EF7" w:rsidRPr="00EA1E04" w:rsidRDefault="00607EF7" w:rsidP="00EB7E52">
            <w:pPr>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p>
        </w:tc>
        <w:tc>
          <w:tcPr>
            <w:tcW w:w="2131" w:type="dxa"/>
            <w:tcBorders>
              <w:bottom w:val="nil"/>
            </w:tcBorders>
          </w:tcPr>
          <w:p w:rsidR="00607EF7" w:rsidRPr="00EA1E04" w:rsidRDefault="00607EF7" w:rsidP="00EB7E52">
            <w:pPr>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p>
        </w:tc>
      </w:tr>
      <w:tr w:rsidR="00EA1E04" w:rsidRPr="00EA1E04" w:rsidTr="00607EF7">
        <w:trPr>
          <w:trHeight w:val="101"/>
        </w:trPr>
        <w:tc>
          <w:tcPr>
            <w:cnfStyle w:val="001000000000" w:firstRow="0" w:lastRow="0" w:firstColumn="1" w:lastColumn="0" w:oddVBand="0" w:evenVBand="0" w:oddHBand="0" w:evenHBand="0" w:firstRowFirstColumn="0" w:firstRowLastColumn="0" w:lastRowFirstColumn="0" w:lastRowLastColumn="0"/>
            <w:tcW w:w="4072" w:type="dxa"/>
            <w:tcBorders>
              <w:top w:val="nil"/>
              <w:bottom w:val="nil"/>
            </w:tcBorders>
            <w:shd w:val="clear" w:color="auto" w:fill="auto"/>
          </w:tcPr>
          <w:p w:rsidR="00607EF7" w:rsidRPr="00EA1E04" w:rsidRDefault="00607EF7" w:rsidP="00EB7E52">
            <w:pPr>
              <w:jc w:val="both"/>
              <w:rPr>
                <w:rFonts w:cs="Arial"/>
                <w:b w:val="0"/>
                <w:color w:val="auto"/>
                <w:sz w:val="24"/>
                <w:szCs w:val="24"/>
                <w:lang w:eastAsia="en-GB"/>
              </w:rPr>
            </w:pPr>
            <w:r w:rsidRPr="00EA1E04">
              <w:rPr>
                <w:rFonts w:cs="Arial"/>
                <w:b w:val="0"/>
                <w:color w:val="auto"/>
                <w:sz w:val="24"/>
                <w:szCs w:val="24"/>
                <w:lang w:eastAsia="en-GB"/>
              </w:rPr>
              <w:t>Male</w:t>
            </w:r>
          </w:p>
        </w:tc>
        <w:tc>
          <w:tcPr>
            <w:tcW w:w="2129" w:type="dxa"/>
            <w:tcBorders>
              <w:top w:val="nil"/>
              <w:bottom w:val="nil"/>
            </w:tcBorders>
            <w:shd w:val="clear" w:color="auto" w:fill="auto"/>
          </w:tcPr>
          <w:p w:rsidR="00607EF7" w:rsidRPr="00EA1E04" w:rsidRDefault="00607EF7" w:rsidP="00EB7E52">
            <w:pPr>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1,660(67.0)</w:t>
            </w:r>
          </w:p>
        </w:tc>
        <w:tc>
          <w:tcPr>
            <w:tcW w:w="2131" w:type="dxa"/>
            <w:tcBorders>
              <w:top w:val="nil"/>
              <w:bottom w:val="nil"/>
            </w:tcBorders>
            <w:shd w:val="clear" w:color="auto" w:fill="auto"/>
          </w:tcPr>
          <w:p w:rsidR="00607EF7" w:rsidRPr="00EA1E04" w:rsidRDefault="00607EF7" w:rsidP="00EB7E52">
            <w:pPr>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12,453 (50.2)</w:t>
            </w:r>
          </w:p>
        </w:tc>
      </w:tr>
      <w:tr w:rsidR="00EA1E04" w:rsidRPr="00EA1E04" w:rsidTr="00607EF7">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4072" w:type="dxa"/>
            <w:tcBorders>
              <w:top w:val="nil"/>
              <w:bottom w:val="single" w:sz="4" w:space="0" w:color="auto"/>
            </w:tcBorders>
            <w:shd w:val="clear" w:color="auto" w:fill="auto"/>
          </w:tcPr>
          <w:p w:rsidR="00607EF7" w:rsidRPr="00EA1E04" w:rsidRDefault="00607EF7" w:rsidP="00EB7E52">
            <w:pPr>
              <w:jc w:val="both"/>
              <w:rPr>
                <w:rFonts w:cs="Arial"/>
                <w:b w:val="0"/>
                <w:color w:val="auto"/>
                <w:sz w:val="24"/>
                <w:szCs w:val="24"/>
                <w:lang w:eastAsia="en-GB"/>
              </w:rPr>
            </w:pPr>
            <w:r w:rsidRPr="00EA1E04">
              <w:rPr>
                <w:rFonts w:cs="Arial"/>
                <w:b w:val="0"/>
                <w:color w:val="auto"/>
                <w:sz w:val="24"/>
                <w:szCs w:val="24"/>
                <w:lang w:eastAsia="en-GB"/>
              </w:rPr>
              <w:t>Female</w:t>
            </w:r>
          </w:p>
        </w:tc>
        <w:tc>
          <w:tcPr>
            <w:tcW w:w="2129" w:type="dxa"/>
            <w:tcBorders>
              <w:top w:val="nil"/>
              <w:bottom w:val="single" w:sz="4" w:space="0" w:color="auto"/>
            </w:tcBorders>
            <w:shd w:val="clear" w:color="auto" w:fill="auto"/>
          </w:tcPr>
          <w:p w:rsidR="00607EF7" w:rsidRPr="00EA1E04" w:rsidRDefault="00607EF7" w:rsidP="00EB7E52">
            <w:pPr>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819 (33.0)</w:t>
            </w:r>
          </w:p>
        </w:tc>
        <w:tc>
          <w:tcPr>
            <w:tcW w:w="2131" w:type="dxa"/>
            <w:tcBorders>
              <w:top w:val="nil"/>
              <w:bottom w:val="single" w:sz="4" w:space="0" w:color="auto"/>
            </w:tcBorders>
            <w:shd w:val="clear" w:color="auto" w:fill="auto"/>
          </w:tcPr>
          <w:p w:rsidR="00607EF7" w:rsidRPr="00EA1E04" w:rsidRDefault="00607EF7" w:rsidP="00EB7E52">
            <w:pPr>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12,337 (49.8)</w:t>
            </w:r>
          </w:p>
        </w:tc>
      </w:tr>
      <w:tr w:rsidR="00EA1E04" w:rsidRPr="00EA1E04" w:rsidTr="00607EF7">
        <w:trPr>
          <w:trHeight w:val="101"/>
        </w:trPr>
        <w:tc>
          <w:tcPr>
            <w:cnfStyle w:val="001000000000" w:firstRow="0" w:lastRow="0" w:firstColumn="1" w:lastColumn="0" w:oddVBand="0" w:evenVBand="0" w:oddHBand="0" w:evenHBand="0" w:firstRowFirstColumn="0" w:firstRowLastColumn="0" w:lastRowFirstColumn="0" w:lastRowLastColumn="0"/>
            <w:tcW w:w="8331" w:type="dxa"/>
            <w:gridSpan w:val="3"/>
            <w:tcBorders>
              <w:top w:val="single" w:sz="4" w:space="0" w:color="auto"/>
            </w:tcBorders>
          </w:tcPr>
          <w:p w:rsidR="00607EF7" w:rsidRPr="00EA1E04" w:rsidRDefault="00EA1E04" w:rsidP="004F38E2">
            <w:pPr>
              <w:jc w:val="both"/>
              <w:rPr>
                <w:b w:val="0"/>
                <w:color w:val="auto"/>
                <w:sz w:val="24"/>
                <w:szCs w:val="24"/>
              </w:rPr>
            </w:pPr>
            <w:r>
              <w:rPr>
                <w:b w:val="0"/>
                <w:color w:val="auto"/>
                <w:sz w:val="24"/>
                <w:szCs w:val="24"/>
                <w:vertAlign w:val="superscript"/>
              </w:rPr>
              <w:t>a</w:t>
            </w:r>
            <w:r w:rsidR="00607EF7" w:rsidRPr="00EA1E04">
              <w:rPr>
                <w:b w:val="0"/>
                <w:color w:val="auto"/>
                <w:sz w:val="24"/>
                <w:szCs w:val="24"/>
              </w:rPr>
              <w:t>Chi squared tests p value &lt; 0.001</w:t>
            </w:r>
            <w:r>
              <w:rPr>
                <w:b w:val="0"/>
                <w:color w:val="auto"/>
                <w:sz w:val="24"/>
                <w:szCs w:val="24"/>
              </w:rPr>
              <w:t>. SD= standard deviation; GP= general practitioner; IQR = Interquartile range.</w:t>
            </w:r>
          </w:p>
        </w:tc>
      </w:tr>
    </w:tbl>
    <w:p w:rsidR="009742F0" w:rsidRPr="00EA1E04" w:rsidRDefault="009742F0" w:rsidP="009742F0">
      <w:pPr>
        <w:jc w:val="both"/>
        <w:rPr>
          <w:sz w:val="24"/>
          <w:szCs w:val="24"/>
        </w:rPr>
      </w:pPr>
    </w:p>
    <w:p w:rsidR="00AB4B90" w:rsidRPr="00EA1E04" w:rsidRDefault="00AB4B90" w:rsidP="009742F0">
      <w:pPr>
        <w:jc w:val="both"/>
        <w:rPr>
          <w:sz w:val="24"/>
          <w:szCs w:val="24"/>
        </w:rPr>
      </w:pPr>
    </w:p>
    <w:p w:rsidR="00AB4B90" w:rsidRPr="00EA1E04" w:rsidRDefault="00AB4B90" w:rsidP="009742F0">
      <w:pPr>
        <w:jc w:val="both"/>
        <w:rPr>
          <w:sz w:val="24"/>
          <w:szCs w:val="24"/>
        </w:rPr>
      </w:pPr>
    </w:p>
    <w:p w:rsidR="00AB4B90" w:rsidRPr="00EA1E04" w:rsidRDefault="00AB4B90" w:rsidP="009742F0">
      <w:pPr>
        <w:jc w:val="both"/>
        <w:rPr>
          <w:sz w:val="24"/>
          <w:szCs w:val="24"/>
        </w:rPr>
      </w:pPr>
    </w:p>
    <w:p w:rsidR="00AB4B90" w:rsidRPr="00EA1E04" w:rsidRDefault="00AB4B90" w:rsidP="009742F0">
      <w:pPr>
        <w:jc w:val="both"/>
        <w:rPr>
          <w:sz w:val="24"/>
          <w:szCs w:val="24"/>
        </w:rPr>
      </w:pPr>
    </w:p>
    <w:p w:rsidR="00AB4B90" w:rsidRPr="00EA1E04" w:rsidRDefault="00AB4B90" w:rsidP="009742F0">
      <w:pPr>
        <w:jc w:val="both"/>
        <w:rPr>
          <w:sz w:val="24"/>
          <w:szCs w:val="24"/>
        </w:rPr>
      </w:pPr>
    </w:p>
    <w:p w:rsidR="00AB4B90" w:rsidRPr="00EA1E04" w:rsidRDefault="00AB4B90" w:rsidP="009742F0">
      <w:pPr>
        <w:jc w:val="both"/>
        <w:rPr>
          <w:sz w:val="24"/>
          <w:szCs w:val="24"/>
        </w:rPr>
      </w:pPr>
    </w:p>
    <w:p w:rsidR="00AB4B90" w:rsidRPr="00EA1E04" w:rsidRDefault="00AB4B90" w:rsidP="009742F0">
      <w:pPr>
        <w:jc w:val="both"/>
        <w:rPr>
          <w:sz w:val="24"/>
          <w:szCs w:val="24"/>
        </w:rPr>
      </w:pPr>
    </w:p>
    <w:p w:rsidR="00AB4B90" w:rsidRPr="00EA1E04" w:rsidRDefault="00AB4B90" w:rsidP="009742F0">
      <w:pPr>
        <w:jc w:val="both"/>
        <w:rPr>
          <w:sz w:val="24"/>
          <w:szCs w:val="24"/>
        </w:rPr>
      </w:pPr>
    </w:p>
    <w:p w:rsidR="00AB4B90" w:rsidRPr="00EA1E04" w:rsidRDefault="00AB4B90" w:rsidP="009742F0">
      <w:pPr>
        <w:jc w:val="both"/>
        <w:rPr>
          <w:sz w:val="24"/>
          <w:szCs w:val="24"/>
        </w:rPr>
      </w:pPr>
    </w:p>
    <w:p w:rsidR="00AB4B90" w:rsidRPr="00EA1E04" w:rsidRDefault="00AB4B90" w:rsidP="009742F0">
      <w:pPr>
        <w:jc w:val="both"/>
        <w:rPr>
          <w:sz w:val="24"/>
          <w:szCs w:val="24"/>
        </w:rPr>
      </w:pPr>
    </w:p>
    <w:p w:rsidR="00AB4B90" w:rsidRPr="00EA1E04" w:rsidRDefault="00AB4B90" w:rsidP="009742F0">
      <w:pPr>
        <w:jc w:val="both"/>
        <w:rPr>
          <w:sz w:val="24"/>
          <w:szCs w:val="24"/>
        </w:rPr>
      </w:pPr>
    </w:p>
    <w:p w:rsidR="00AB4B90" w:rsidRPr="00EA1E04" w:rsidRDefault="00AB4B90" w:rsidP="009742F0">
      <w:pPr>
        <w:jc w:val="both"/>
        <w:rPr>
          <w:b/>
          <w:sz w:val="24"/>
          <w:szCs w:val="24"/>
        </w:rPr>
        <w:sectPr w:rsidR="00AB4B90" w:rsidRPr="00EA1E04" w:rsidSect="00AB4B90">
          <w:footerReference w:type="default" r:id="rId9"/>
          <w:pgSz w:w="11906" w:h="16838"/>
          <w:pgMar w:top="1440" w:right="1440" w:bottom="1440" w:left="1440" w:header="709" w:footer="709" w:gutter="0"/>
          <w:cols w:space="708"/>
          <w:docGrid w:linePitch="360"/>
        </w:sectPr>
      </w:pPr>
    </w:p>
    <w:p w:rsidR="009742F0" w:rsidRPr="00EA1E04" w:rsidRDefault="009742F0" w:rsidP="009742F0">
      <w:pPr>
        <w:jc w:val="both"/>
        <w:rPr>
          <w:b/>
          <w:sz w:val="24"/>
          <w:szCs w:val="24"/>
        </w:rPr>
      </w:pPr>
      <w:r w:rsidRPr="00EA1E04">
        <w:rPr>
          <w:b/>
          <w:sz w:val="24"/>
          <w:szCs w:val="24"/>
        </w:rPr>
        <w:lastRenderedPageBreak/>
        <w:t>Table 2: Overall and yearly primary care consultation rates</w:t>
      </w:r>
      <w:r w:rsidR="00CE3982" w:rsidRPr="00EA1E04">
        <w:rPr>
          <w:b/>
          <w:sz w:val="24"/>
          <w:szCs w:val="24"/>
        </w:rPr>
        <w:t xml:space="preserve"> and rate ratios</w:t>
      </w:r>
      <w:r w:rsidRPr="00EA1E04">
        <w:rPr>
          <w:b/>
          <w:sz w:val="24"/>
          <w:szCs w:val="24"/>
        </w:rPr>
        <w:t xml:space="preserve"> of cases of alcoholic cirrhosis and controls</w:t>
      </w:r>
    </w:p>
    <w:tbl>
      <w:tblPr>
        <w:tblStyle w:val="LightList1"/>
        <w:tblW w:w="14459" w:type="dxa"/>
        <w:tblLayout w:type="fixed"/>
        <w:tblLook w:val="04A0" w:firstRow="1" w:lastRow="0" w:firstColumn="1" w:lastColumn="0" w:noHBand="0" w:noVBand="1"/>
      </w:tblPr>
      <w:tblGrid>
        <w:gridCol w:w="1096"/>
        <w:gridCol w:w="9"/>
        <w:gridCol w:w="96"/>
        <w:gridCol w:w="608"/>
        <w:gridCol w:w="852"/>
        <w:gridCol w:w="142"/>
        <w:gridCol w:w="709"/>
        <w:gridCol w:w="142"/>
        <w:gridCol w:w="1561"/>
        <w:gridCol w:w="1305"/>
        <w:gridCol w:w="132"/>
        <w:gridCol w:w="9"/>
        <w:gridCol w:w="874"/>
        <w:gridCol w:w="15"/>
        <w:gridCol w:w="753"/>
        <w:gridCol w:w="16"/>
        <w:gridCol w:w="1580"/>
        <w:gridCol w:w="1095"/>
        <w:gridCol w:w="16"/>
        <w:gridCol w:w="898"/>
        <w:gridCol w:w="110"/>
        <w:gridCol w:w="768"/>
        <w:gridCol w:w="14"/>
        <w:gridCol w:w="79"/>
        <w:gridCol w:w="1562"/>
        <w:gridCol w:w="18"/>
      </w:tblGrid>
      <w:tr w:rsidR="00EA1E04" w:rsidRPr="00EA1E04" w:rsidTr="00EB7E52">
        <w:trPr>
          <w:cnfStyle w:val="100000000000" w:firstRow="1" w:lastRow="0" w:firstColumn="0" w:lastColumn="0" w:oddVBand="0" w:evenVBand="0" w:oddHBand="0"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1203" w:type="dxa"/>
            <w:gridSpan w:val="3"/>
            <w:shd w:val="clear" w:color="auto" w:fill="BFBFBF" w:themeFill="background1" w:themeFillShade="BF"/>
          </w:tcPr>
          <w:p w:rsidR="009742F0" w:rsidRPr="00EA1E04" w:rsidRDefault="009742F0" w:rsidP="00EB7E52">
            <w:pPr>
              <w:jc w:val="both"/>
              <w:rPr>
                <w:rFonts w:cs="Arial"/>
                <w:color w:val="auto"/>
                <w:sz w:val="20"/>
                <w:szCs w:val="20"/>
                <w:lang w:eastAsia="en-GB"/>
              </w:rPr>
            </w:pPr>
          </w:p>
        </w:tc>
        <w:tc>
          <w:tcPr>
            <w:tcW w:w="4013" w:type="dxa"/>
            <w:gridSpan w:val="6"/>
            <w:shd w:val="clear" w:color="auto" w:fill="BFBFBF" w:themeFill="background1" w:themeFillShade="BF"/>
          </w:tcPr>
          <w:p w:rsidR="009742F0" w:rsidRPr="00EA1E04" w:rsidRDefault="009742F0" w:rsidP="00EB7E52">
            <w:pPr>
              <w:jc w:val="both"/>
              <w:cnfStyle w:val="100000000000" w:firstRow="1" w:lastRow="0" w:firstColumn="0" w:lastColumn="0" w:oddVBand="0" w:evenVBand="0" w:oddHBand="0" w:evenHBand="0" w:firstRowFirstColumn="0" w:firstRowLastColumn="0" w:lastRowFirstColumn="0" w:lastRowLastColumn="0"/>
              <w:rPr>
                <w:rFonts w:cs="Arial"/>
                <w:color w:val="auto"/>
                <w:sz w:val="20"/>
                <w:szCs w:val="20"/>
                <w:lang w:eastAsia="en-GB"/>
              </w:rPr>
            </w:pPr>
            <w:r w:rsidRPr="00EA1E04">
              <w:rPr>
                <w:rFonts w:cs="Arial"/>
                <w:color w:val="auto"/>
                <w:sz w:val="20"/>
                <w:szCs w:val="20"/>
                <w:lang w:eastAsia="en-GB"/>
              </w:rPr>
              <w:t>Males</w:t>
            </w:r>
          </w:p>
          <w:p w:rsidR="009742F0" w:rsidRPr="00EA1E04" w:rsidRDefault="009742F0" w:rsidP="00EB7E52">
            <w:pPr>
              <w:jc w:val="both"/>
              <w:cnfStyle w:val="100000000000" w:firstRow="1" w:lastRow="0" w:firstColumn="0" w:lastColumn="0" w:oddVBand="0" w:evenVBand="0" w:oddHBand="0" w:evenHBand="0" w:firstRowFirstColumn="0" w:firstRowLastColumn="0" w:lastRowFirstColumn="0" w:lastRowLastColumn="0"/>
              <w:rPr>
                <w:rFonts w:cs="Arial"/>
                <w:color w:val="auto"/>
                <w:sz w:val="20"/>
                <w:szCs w:val="20"/>
                <w:lang w:eastAsia="en-GB"/>
              </w:rPr>
            </w:pPr>
            <w:r w:rsidRPr="00EA1E04">
              <w:rPr>
                <w:rFonts w:cs="Arial"/>
                <w:color w:val="auto"/>
                <w:sz w:val="20"/>
                <w:szCs w:val="20"/>
                <w:lang w:eastAsia="en-GB"/>
              </w:rPr>
              <w:t>Rate per person-years</w:t>
            </w:r>
          </w:p>
        </w:tc>
        <w:tc>
          <w:tcPr>
            <w:tcW w:w="4683" w:type="dxa"/>
            <w:gridSpan w:val="8"/>
            <w:shd w:val="clear" w:color="auto" w:fill="BFBFBF" w:themeFill="background1" w:themeFillShade="BF"/>
          </w:tcPr>
          <w:p w:rsidR="009742F0" w:rsidRPr="00EA1E04" w:rsidRDefault="009742F0" w:rsidP="00EB7E52">
            <w:pPr>
              <w:jc w:val="both"/>
              <w:cnfStyle w:val="100000000000" w:firstRow="1" w:lastRow="0" w:firstColumn="0" w:lastColumn="0" w:oddVBand="0" w:evenVBand="0" w:oddHBand="0" w:evenHBand="0" w:firstRowFirstColumn="0" w:firstRowLastColumn="0" w:lastRowFirstColumn="0" w:lastRowLastColumn="0"/>
              <w:rPr>
                <w:rFonts w:cs="Arial"/>
                <w:color w:val="auto"/>
                <w:sz w:val="20"/>
                <w:szCs w:val="20"/>
                <w:lang w:eastAsia="en-GB"/>
              </w:rPr>
            </w:pPr>
            <w:r w:rsidRPr="00EA1E04">
              <w:rPr>
                <w:rFonts w:cs="Arial"/>
                <w:color w:val="auto"/>
                <w:sz w:val="20"/>
                <w:szCs w:val="20"/>
                <w:lang w:eastAsia="en-GB"/>
              </w:rPr>
              <w:t xml:space="preserve">                   Females</w:t>
            </w:r>
          </w:p>
          <w:p w:rsidR="009742F0" w:rsidRPr="00EA1E04" w:rsidRDefault="009742F0" w:rsidP="00EB7E52">
            <w:pPr>
              <w:jc w:val="both"/>
              <w:cnfStyle w:val="100000000000" w:firstRow="1" w:lastRow="0" w:firstColumn="0" w:lastColumn="0" w:oddVBand="0" w:evenVBand="0" w:oddHBand="0" w:evenHBand="0" w:firstRowFirstColumn="0" w:firstRowLastColumn="0" w:lastRowFirstColumn="0" w:lastRowLastColumn="0"/>
              <w:rPr>
                <w:rFonts w:cs="Arial"/>
                <w:color w:val="auto"/>
                <w:sz w:val="20"/>
                <w:szCs w:val="20"/>
                <w:lang w:eastAsia="en-GB"/>
              </w:rPr>
            </w:pPr>
            <w:r w:rsidRPr="00EA1E04">
              <w:rPr>
                <w:rFonts w:cs="Arial"/>
                <w:color w:val="auto"/>
                <w:sz w:val="20"/>
                <w:szCs w:val="20"/>
                <w:lang w:eastAsia="en-GB"/>
              </w:rPr>
              <w:t xml:space="preserve">                 Rate per  person-years</w:t>
            </w:r>
          </w:p>
        </w:tc>
        <w:tc>
          <w:tcPr>
            <w:tcW w:w="4559" w:type="dxa"/>
            <w:gridSpan w:val="9"/>
            <w:shd w:val="clear" w:color="auto" w:fill="BFBFBF" w:themeFill="background1" w:themeFillShade="BF"/>
          </w:tcPr>
          <w:p w:rsidR="009742F0" w:rsidRPr="00EA1E04" w:rsidRDefault="009742F0" w:rsidP="00EB7E52">
            <w:pPr>
              <w:jc w:val="both"/>
              <w:cnfStyle w:val="100000000000" w:firstRow="1" w:lastRow="0" w:firstColumn="0" w:lastColumn="0" w:oddVBand="0" w:evenVBand="0" w:oddHBand="0" w:evenHBand="0" w:firstRowFirstColumn="0" w:firstRowLastColumn="0" w:lastRowFirstColumn="0" w:lastRowLastColumn="0"/>
              <w:rPr>
                <w:rFonts w:cs="Arial"/>
                <w:color w:val="auto"/>
                <w:sz w:val="20"/>
                <w:szCs w:val="20"/>
                <w:lang w:eastAsia="en-GB"/>
              </w:rPr>
            </w:pPr>
            <w:r w:rsidRPr="00EA1E04">
              <w:rPr>
                <w:rFonts w:cs="Arial"/>
                <w:color w:val="auto"/>
                <w:sz w:val="20"/>
                <w:szCs w:val="20"/>
                <w:lang w:eastAsia="en-GB"/>
              </w:rPr>
              <w:t xml:space="preserve">          Overall</w:t>
            </w:r>
          </w:p>
          <w:p w:rsidR="009742F0" w:rsidRPr="00EA1E04" w:rsidRDefault="009742F0" w:rsidP="00EB7E52">
            <w:pPr>
              <w:jc w:val="both"/>
              <w:cnfStyle w:val="100000000000" w:firstRow="1" w:lastRow="0" w:firstColumn="0" w:lastColumn="0" w:oddVBand="0" w:evenVBand="0" w:oddHBand="0" w:evenHBand="0" w:firstRowFirstColumn="0" w:firstRowLastColumn="0" w:lastRowFirstColumn="0" w:lastRowLastColumn="0"/>
              <w:rPr>
                <w:rFonts w:cs="Arial"/>
                <w:color w:val="auto"/>
                <w:sz w:val="20"/>
                <w:szCs w:val="20"/>
                <w:lang w:eastAsia="en-GB"/>
              </w:rPr>
            </w:pPr>
            <w:r w:rsidRPr="00EA1E04">
              <w:rPr>
                <w:rFonts w:cs="Arial"/>
                <w:color w:val="auto"/>
                <w:sz w:val="20"/>
                <w:szCs w:val="20"/>
                <w:lang w:eastAsia="en-GB"/>
              </w:rPr>
              <w:t xml:space="preserve">          Rate per person-years</w:t>
            </w:r>
          </w:p>
        </w:tc>
      </w:tr>
      <w:tr w:rsidR="00EA1E04" w:rsidRPr="00EA1E04" w:rsidTr="00EB7E52">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1097" w:type="dxa"/>
            <w:vAlign w:val="center"/>
          </w:tcPr>
          <w:p w:rsidR="009742F0" w:rsidRPr="00EA1E04" w:rsidRDefault="009742F0" w:rsidP="00EB7E52">
            <w:pPr>
              <w:jc w:val="both"/>
              <w:rPr>
                <w:rFonts w:cs="Arial"/>
                <w:sz w:val="20"/>
                <w:szCs w:val="20"/>
                <w:lang w:eastAsia="en-GB"/>
              </w:rPr>
            </w:pPr>
          </w:p>
        </w:tc>
        <w:tc>
          <w:tcPr>
            <w:tcW w:w="714" w:type="dxa"/>
            <w:gridSpan w:val="3"/>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b/>
                <w:sz w:val="20"/>
                <w:szCs w:val="20"/>
                <w:lang w:eastAsia="en-GB"/>
              </w:rPr>
            </w:pPr>
            <w:r w:rsidRPr="00EA1E04">
              <w:rPr>
                <w:rFonts w:cs="Arial"/>
                <w:b/>
                <w:sz w:val="20"/>
                <w:szCs w:val="20"/>
                <w:lang w:eastAsia="en-GB"/>
              </w:rPr>
              <w:t xml:space="preserve">     Cases</w:t>
            </w:r>
          </w:p>
        </w:tc>
        <w:tc>
          <w:tcPr>
            <w:tcW w:w="994" w:type="dxa"/>
            <w:gridSpan w:val="2"/>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 xml:space="preserve">     Controls</w:t>
            </w:r>
          </w:p>
        </w:tc>
        <w:tc>
          <w:tcPr>
            <w:tcW w:w="851" w:type="dxa"/>
            <w:gridSpan w:val="2"/>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Excess</w:t>
            </w:r>
          </w:p>
        </w:tc>
        <w:tc>
          <w:tcPr>
            <w:tcW w:w="1561" w:type="dxa"/>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 xml:space="preserve">     IRR(95% CI)</w:t>
            </w:r>
          </w:p>
        </w:tc>
        <w:tc>
          <w:tcPr>
            <w:tcW w:w="1305" w:type="dxa"/>
            <w:vAlign w:val="bottom"/>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 xml:space="preserve"> Cases</w:t>
            </w:r>
          </w:p>
        </w:tc>
        <w:tc>
          <w:tcPr>
            <w:tcW w:w="1030" w:type="dxa"/>
            <w:gridSpan w:val="4"/>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 xml:space="preserve">  Controls </w:t>
            </w:r>
          </w:p>
        </w:tc>
        <w:tc>
          <w:tcPr>
            <w:tcW w:w="769" w:type="dxa"/>
            <w:gridSpan w:val="2"/>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Excess</w:t>
            </w:r>
          </w:p>
        </w:tc>
        <w:tc>
          <w:tcPr>
            <w:tcW w:w="1579" w:type="dxa"/>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 xml:space="preserve">    IRR(95% CI)</w:t>
            </w:r>
          </w:p>
        </w:tc>
        <w:tc>
          <w:tcPr>
            <w:tcW w:w="1095" w:type="dxa"/>
            <w:vAlign w:val="bottom"/>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 xml:space="preserve">             Cases</w:t>
            </w:r>
          </w:p>
        </w:tc>
        <w:tc>
          <w:tcPr>
            <w:tcW w:w="914" w:type="dxa"/>
            <w:gridSpan w:val="2"/>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 xml:space="preserve">    Controls</w:t>
            </w:r>
          </w:p>
        </w:tc>
        <w:tc>
          <w:tcPr>
            <w:tcW w:w="971" w:type="dxa"/>
            <w:gridSpan w:val="4"/>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 xml:space="preserve">      Excess</w:t>
            </w:r>
          </w:p>
        </w:tc>
        <w:tc>
          <w:tcPr>
            <w:tcW w:w="1579" w:type="dxa"/>
            <w:gridSpan w:val="2"/>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 xml:space="preserve">       IRR(95% CI)</w:t>
            </w:r>
          </w:p>
        </w:tc>
      </w:tr>
      <w:tr w:rsidR="00EA1E04" w:rsidRPr="00EA1E04" w:rsidTr="00EB7E52">
        <w:trPr>
          <w:trHeight w:val="117"/>
        </w:trPr>
        <w:tc>
          <w:tcPr>
            <w:cnfStyle w:val="001000000000" w:firstRow="0" w:lastRow="0" w:firstColumn="1" w:lastColumn="0" w:oddVBand="0" w:evenVBand="0" w:oddHBand="0" w:evenHBand="0" w:firstRowFirstColumn="0" w:firstRowLastColumn="0" w:lastRowFirstColumn="0" w:lastRowLastColumn="0"/>
            <w:tcW w:w="14458" w:type="dxa"/>
            <w:gridSpan w:val="26"/>
            <w:shd w:val="clear" w:color="auto" w:fill="BFBFBF" w:themeFill="background1" w:themeFillShade="BF"/>
          </w:tcPr>
          <w:p w:rsidR="009742F0" w:rsidRPr="00EA1E04" w:rsidRDefault="009742F0" w:rsidP="00EB7E52">
            <w:pPr>
              <w:jc w:val="both"/>
              <w:rPr>
                <w:rFonts w:cs="Arial"/>
                <w:sz w:val="20"/>
                <w:szCs w:val="20"/>
                <w:lang w:eastAsia="en-GB"/>
              </w:rPr>
            </w:pPr>
            <w:r w:rsidRPr="00EA1E04">
              <w:rPr>
                <w:rFonts w:cs="Arial"/>
                <w:sz w:val="20"/>
                <w:szCs w:val="20"/>
                <w:lang w:eastAsia="en-GB"/>
              </w:rPr>
              <w:t>Overall study period</w:t>
            </w:r>
          </w:p>
        </w:tc>
      </w:tr>
      <w:tr w:rsidR="00EA1E04" w:rsidRPr="00EA1E04" w:rsidTr="00EB7E52">
        <w:trPr>
          <w:gridAfter w:val="1"/>
          <w:cnfStyle w:val="000000100000" w:firstRow="0" w:lastRow="0" w:firstColumn="0" w:lastColumn="0" w:oddVBand="0" w:evenVBand="0" w:oddHBand="1" w:evenHBand="0" w:firstRowFirstColumn="0" w:firstRowLastColumn="0" w:lastRowFirstColumn="0" w:lastRowLastColumn="0"/>
          <w:wAfter w:w="16" w:type="dxa"/>
          <w:trHeight w:val="117"/>
        </w:trPr>
        <w:tc>
          <w:tcPr>
            <w:cnfStyle w:val="001000000000" w:firstRow="0" w:lastRow="0" w:firstColumn="1" w:lastColumn="0" w:oddVBand="0" w:evenVBand="0" w:oddHBand="0" w:evenHBand="0" w:firstRowFirstColumn="0" w:firstRowLastColumn="0" w:lastRowFirstColumn="0" w:lastRowLastColumn="0"/>
            <w:tcW w:w="1106" w:type="dxa"/>
            <w:gridSpan w:val="2"/>
            <w:shd w:val="clear" w:color="auto" w:fill="auto"/>
          </w:tcPr>
          <w:p w:rsidR="009742F0" w:rsidRPr="00EA1E04" w:rsidRDefault="009742F0" w:rsidP="00EB7E52">
            <w:pPr>
              <w:tabs>
                <w:tab w:val="left" w:pos="825"/>
              </w:tabs>
              <w:jc w:val="both"/>
              <w:rPr>
                <w:rFonts w:cs="Arial"/>
                <w:sz w:val="20"/>
                <w:szCs w:val="20"/>
                <w:lang w:eastAsia="en-GB"/>
              </w:rPr>
            </w:pPr>
          </w:p>
        </w:tc>
        <w:tc>
          <w:tcPr>
            <w:tcW w:w="705" w:type="dxa"/>
            <w:gridSpan w:val="2"/>
            <w:shd w:val="clear" w:color="auto" w:fill="auto"/>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 xml:space="preserve">     8.8</w:t>
            </w:r>
          </w:p>
        </w:tc>
        <w:tc>
          <w:tcPr>
            <w:tcW w:w="852" w:type="dxa"/>
            <w:shd w:val="clear" w:color="auto" w:fill="auto"/>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 xml:space="preserve">       4.8</w:t>
            </w:r>
          </w:p>
        </w:tc>
        <w:tc>
          <w:tcPr>
            <w:tcW w:w="851" w:type="dxa"/>
            <w:gridSpan w:val="2"/>
            <w:shd w:val="clear" w:color="auto" w:fill="auto"/>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b/>
                <w:sz w:val="20"/>
                <w:szCs w:val="20"/>
                <w:lang w:eastAsia="en-GB"/>
              </w:rPr>
            </w:pPr>
            <w:r w:rsidRPr="00EA1E04">
              <w:rPr>
                <w:rFonts w:cs="Arial"/>
                <w:b/>
                <w:sz w:val="20"/>
                <w:szCs w:val="20"/>
                <w:lang w:eastAsia="en-GB"/>
              </w:rPr>
              <w:t xml:space="preserve">    4.0</w:t>
            </w:r>
          </w:p>
        </w:tc>
        <w:tc>
          <w:tcPr>
            <w:tcW w:w="1703" w:type="dxa"/>
            <w:gridSpan w:val="2"/>
            <w:shd w:val="clear" w:color="auto" w:fill="auto"/>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sz w:val="20"/>
                <w:szCs w:val="20"/>
              </w:rPr>
              <w:t>1.80(1.78-1.81)</w:t>
            </w:r>
          </w:p>
        </w:tc>
        <w:tc>
          <w:tcPr>
            <w:tcW w:w="1446" w:type="dxa"/>
            <w:gridSpan w:val="3"/>
            <w:shd w:val="clear" w:color="auto" w:fill="auto"/>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9.7</w:t>
            </w:r>
          </w:p>
        </w:tc>
        <w:tc>
          <w:tcPr>
            <w:tcW w:w="874" w:type="dxa"/>
            <w:shd w:val="clear" w:color="auto" w:fill="auto"/>
          </w:tcPr>
          <w:p w:rsidR="009742F0" w:rsidRPr="00EA1E04" w:rsidRDefault="009742F0" w:rsidP="00EB7E52">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7.0</w:t>
            </w:r>
          </w:p>
        </w:tc>
        <w:tc>
          <w:tcPr>
            <w:tcW w:w="768" w:type="dxa"/>
            <w:gridSpan w:val="2"/>
            <w:shd w:val="clear" w:color="auto" w:fill="auto"/>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b/>
                <w:sz w:val="20"/>
                <w:szCs w:val="20"/>
                <w:lang w:eastAsia="en-GB"/>
              </w:rPr>
            </w:pPr>
            <w:r w:rsidRPr="00EA1E04">
              <w:rPr>
                <w:rFonts w:cs="Arial"/>
                <w:b/>
                <w:sz w:val="20"/>
                <w:szCs w:val="20"/>
                <w:lang w:eastAsia="en-GB"/>
              </w:rPr>
              <w:t>2.7</w:t>
            </w:r>
          </w:p>
        </w:tc>
        <w:tc>
          <w:tcPr>
            <w:tcW w:w="1596" w:type="dxa"/>
            <w:gridSpan w:val="2"/>
            <w:shd w:val="clear" w:color="auto" w:fill="auto"/>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1.36(1.35-1.38)</w:t>
            </w:r>
          </w:p>
        </w:tc>
        <w:tc>
          <w:tcPr>
            <w:tcW w:w="1095" w:type="dxa"/>
            <w:shd w:val="clear" w:color="auto" w:fill="auto"/>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 xml:space="preserve"> 9.1</w:t>
            </w:r>
          </w:p>
        </w:tc>
        <w:tc>
          <w:tcPr>
            <w:tcW w:w="1024" w:type="dxa"/>
            <w:gridSpan w:val="3"/>
            <w:shd w:val="clear" w:color="auto" w:fill="auto"/>
          </w:tcPr>
          <w:p w:rsidR="009742F0" w:rsidRPr="00EA1E04" w:rsidRDefault="009742F0" w:rsidP="00EB7E52">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5.9</w:t>
            </w:r>
          </w:p>
        </w:tc>
        <w:tc>
          <w:tcPr>
            <w:tcW w:w="768" w:type="dxa"/>
            <w:shd w:val="clear" w:color="auto" w:fill="auto"/>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b/>
                <w:sz w:val="20"/>
                <w:szCs w:val="20"/>
                <w:lang w:eastAsia="en-GB"/>
              </w:rPr>
            </w:pPr>
            <w:r w:rsidRPr="00EA1E04">
              <w:rPr>
                <w:rFonts w:cs="Arial"/>
                <w:b/>
                <w:sz w:val="20"/>
                <w:szCs w:val="20"/>
                <w:lang w:eastAsia="en-GB"/>
              </w:rPr>
              <w:t>3.0</w:t>
            </w:r>
          </w:p>
        </w:tc>
        <w:tc>
          <w:tcPr>
            <w:tcW w:w="1655" w:type="dxa"/>
            <w:gridSpan w:val="3"/>
            <w:shd w:val="clear" w:color="auto" w:fill="auto"/>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1.51(1.50-1.52)</w:t>
            </w:r>
          </w:p>
        </w:tc>
      </w:tr>
      <w:tr w:rsidR="00EA1E04" w:rsidRPr="00EA1E04" w:rsidTr="00EB7E52">
        <w:trPr>
          <w:gridAfter w:val="1"/>
          <w:wAfter w:w="18" w:type="dxa"/>
          <w:trHeight w:val="117"/>
        </w:trPr>
        <w:tc>
          <w:tcPr>
            <w:cnfStyle w:val="001000000000" w:firstRow="0" w:lastRow="0" w:firstColumn="1" w:lastColumn="0" w:oddVBand="0" w:evenVBand="0" w:oddHBand="0" w:evenHBand="0" w:firstRowFirstColumn="0" w:firstRowLastColumn="0" w:lastRowFirstColumn="0" w:lastRowLastColumn="0"/>
            <w:tcW w:w="14441" w:type="dxa"/>
            <w:gridSpan w:val="25"/>
            <w:shd w:val="clear" w:color="auto" w:fill="BFBFBF" w:themeFill="background1" w:themeFillShade="BF"/>
          </w:tcPr>
          <w:p w:rsidR="009742F0" w:rsidRPr="00EA1E04" w:rsidRDefault="009742F0" w:rsidP="00EB7E52">
            <w:pPr>
              <w:jc w:val="both"/>
              <w:rPr>
                <w:rFonts w:cs="Arial"/>
                <w:sz w:val="20"/>
                <w:szCs w:val="20"/>
                <w:lang w:eastAsia="en-GB"/>
              </w:rPr>
            </w:pPr>
            <w:r w:rsidRPr="00EA1E04">
              <w:rPr>
                <w:rFonts w:cs="Arial"/>
                <w:sz w:val="20"/>
                <w:szCs w:val="20"/>
                <w:lang w:eastAsia="en-GB"/>
              </w:rPr>
              <w:t>Time to diagnosis(yrs.)</w:t>
            </w:r>
          </w:p>
        </w:tc>
      </w:tr>
      <w:tr w:rsidR="00EA1E04" w:rsidRPr="00EA1E04" w:rsidTr="00EB7E52">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1097" w:type="dxa"/>
            <w:vAlign w:val="center"/>
          </w:tcPr>
          <w:p w:rsidR="009742F0" w:rsidRPr="00EA1E04" w:rsidRDefault="009742F0" w:rsidP="00EB7E52">
            <w:pPr>
              <w:jc w:val="both"/>
              <w:rPr>
                <w:rFonts w:cs="Arial"/>
                <w:sz w:val="20"/>
                <w:szCs w:val="20"/>
                <w:lang w:eastAsia="en-GB"/>
              </w:rPr>
            </w:pPr>
            <w:r w:rsidRPr="00EA1E04">
              <w:rPr>
                <w:rFonts w:cs="Arial"/>
                <w:sz w:val="20"/>
                <w:szCs w:val="20"/>
                <w:lang w:eastAsia="en-GB"/>
              </w:rPr>
              <w:t>1</w:t>
            </w:r>
          </w:p>
        </w:tc>
        <w:tc>
          <w:tcPr>
            <w:tcW w:w="714" w:type="dxa"/>
            <w:gridSpan w:val="3"/>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14.4</w:t>
            </w:r>
          </w:p>
        </w:tc>
        <w:tc>
          <w:tcPr>
            <w:tcW w:w="852" w:type="dxa"/>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5.9</w:t>
            </w:r>
          </w:p>
        </w:tc>
        <w:tc>
          <w:tcPr>
            <w:tcW w:w="851" w:type="dxa"/>
            <w:gridSpan w:val="2"/>
            <w:vAlign w:val="bottom"/>
          </w:tcPr>
          <w:p w:rsidR="009742F0" w:rsidRPr="00EA1E04" w:rsidRDefault="009742F0" w:rsidP="00EB7E52">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A1E04">
              <w:rPr>
                <w:rFonts w:ascii="Calibri" w:hAnsi="Calibri"/>
              </w:rPr>
              <w:t>8.5</w:t>
            </w:r>
          </w:p>
        </w:tc>
        <w:tc>
          <w:tcPr>
            <w:tcW w:w="1703" w:type="dxa"/>
            <w:gridSpan w:val="2"/>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2.43 (2.39- 2.46)</w:t>
            </w:r>
          </w:p>
        </w:tc>
        <w:tc>
          <w:tcPr>
            <w:tcW w:w="1437" w:type="dxa"/>
            <w:gridSpan w:val="2"/>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15.5</w:t>
            </w:r>
          </w:p>
        </w:tc>
        <w:tc>
          <w:tcPr>
            <w:tcW w:w="898" w:type="dxa"/>
            <w:gridSpan w:val="3"/>
          </w:tcPr>
          <w:p w:rsidR="009742F0" w:rsidRPr="00EA1E04" w:rsidRDefault="009742F0" w:rsidP="00EB7E52">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8.2</w:t>
            </w:r>
          </w:p>
        </w:tc>
        <w:tc>
          <w:tcPr>
            <w:tcW w:w="769" w:type="dxa"/>
            <w:gridSpan w:val="2"/>
            <w:vAlign w:val="bottom"/>
          </w:tcPr>
          <w:p w:rsidR="009742F0" w:rsidRPr="00EA1E04" w:rsidRDefault="009742F0" w:rsidP="00EB7E52">
            <w:pPr>
              <w:cnfStyle w:val="000000100000" w:firstRow="0" w:lastRow="0" w:firstColumn="0" w:lastColumn="0" w:oddVBand="0" w:evenVBand="0" w:oddHBand="1" w:evenHBand="0" w:firstRowFirstColumn="0" w:firstRowLastColumn="0" w:lastRowFirstColumn="0" w:lastRowLastColumn="0"/>
              <w:rPr>
                <w:rFonts w:ascii="Calibri" w:hAnsi="Calibri"/>
              </w:rPr>
            </w:pPr>
            <w:r w:rsidRPr="00EA1E04">
              <w:rPr>
                <w:rFonts w:ascii="Calibri" w:hAnsi="Calibri"/>
              </w:rPr>
              <w:t>7.3</w:t>
            </w:r>
          </w:p>
        </w:tc>
        <w:tc>
          <w:tcPr>
            <w:tcW w:w="1579" w:type="dxa"/>
          </w:tcPr>
          <w:p w:rsidR="009742F0" w:rsidRPr="00EA1E04" w:rsidRDefault="009742F0" w:rsidP="00EB7E52">
            <w:pPr>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1.88(1.85-1.92)</w:t>
            </w:r>
          </w:p>
        </w:tc>
        <w:tc>
          <w:tcPr>
            <w:tcW w:w="1111" w:type="dxa"/>
            <w:gridSpan w:val="2"/>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14.8</w:t>
            </w:r>
          </w:p>
        </w:tc>
        <w:tc>
          <w:tcPr>
            <w:tcW w:w="1008" w:type="dxa"/>
            <w:gridSpan w:val="2"/>
          </w:tcPr>
          <w:p w:rsidR="009742F0" w:rsidRPr="00EA1E04" w:rsidRDefault="009742F0" w:rsidP="00EB7E52">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7.1</w:t>
            </w:r>
          </w:p>
        </w:tc>
        <w:tc>
          <w:tcPr>
            <w:tcW w:w="782" w:type="dxa"/>
            <w:gridSpan w:val="2"/>
            <w:vAlign w:val="bottom"/>
          </w:tcPr>
          <w:p w:rsidR="009742F0" w:rsidRPr="00EA1E04" w:rsidRDefault="009742F0" w:rsidP="00EB7E52">
            <w:pPr>
              <w:cnfStyle w:val="000000100000" w:firstRow="0" w:lastRow="0" w:firstColumn="0" w:lastColumn="0" w:oddVBand="0" w:evenVBand="0" w:oddHBand="1" w:evenHBand="0" w:firstRowFirstColumn="0" w:firstRowLastColumn="0" w:lastRowFirstColumn="0" w:lastRowLastColumn="0"/>
              <w:rPr>
                <w:rFonts w:ascii="Calibri" w:hAnsi="Calibri"/>
              </w:rPr>
            </w:pPr>
            <w:r w:rsidRPr="00EA1E04">
              <w:rPr>
                <w:rFonts w:ascii="Calibri" w:hAnsi="Calibri"/>
              </w:rPr>
              <w:t>7.7</w:t>
            </w:r>
          </w:p>
        </w:tc>
        <w:tc>
          <w:tcPr>
            <w:tcW w:w="1658" w:type="dxa"/>
            <w:gridSpan w:val="3"/>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2.09(2.07-2.11)</w:t>
            </w:r>
          </w:p>
        </w:tc>
      </w:tr>
      <w:tr w:rsidR="00EA1E04" w:rsidRPr="00EA1E04" w:rsidTr="00EB7E52">
        <w:trPr>
          <w:trHeight w:val="117"/>
        </w:trPr>
        <w:tc>
          <w:tcPr>
            <w:cnfStyle w:val="001000000000" w:firstRow="0" w:lastRow="0" w:firstColumn="1" w:lastColumn="0" w:oddVBand="0" w:evenVBand="0" w:oddHBand="0" w:evenHBand="0" w:firstRowFirstColumn="0" w:firstRowLastColumn="0" w:lastRowFirstColumn="0" w:lastRowLastColumn="0"/>
            <w:tcW w:w="1097" w:type="dxa"/>
            <w:vAlign w:val="center"/>
          </w:tcPr>
          <w:p w:rsidR="009742F0" w:rsidRPr="00EA1E04" w:rsidRDefault="009742F0" w:rsidP="00EB7E52">
            <w:pPr>
              <w:jc w:val="both"/>
              <w:rPr>
                <w:rFonts w:cs="Arial"/>
                <w:sz w:val="20"/>
                <w:szCs w:val="20"/>
                <w:lang w:eastAsia="en-GB"/>
              </w:rPr>
            </w:pPr>
            <w:r w:rsidRPr="00EA1E04">
              <w:rPr>
                <w:rFonts w:cs="Arial"/>
                <w:sz w:val="20"/>
                <w:szCs w:val="20"/>
                <w:lang w:eastAsia="en-GB"/>
              </w:rPr>
              <w:t>2</w:t>
            </w:r>
          </w:p>
        </w:tc>
        <w:tc>
          <w:tcPr>
            <w:tcW w:w="714" w:type="dxa"/>
            <w:gridSpan w:val="3"/>
          </w:tcPr>
          <w:p w:rsidR="009742F0" w:rsidRPr="00EA1E04" w:rsidRDefault="009742F0" w:rsidP="00EB7E52">
            <w:pPr>
              <w:jc w:val="right"/>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10.9</w:t>
            </w:r>
          </w:p>
        </w:tc>
        <w:tc>
          <w:tcPr>
            <w:tcW w:w="852" w:type="dxa"/>
          </w:tcPr>
          <w:p w:rsidR="009742F0" w:rsidRPr="00EA1E04" w:rsidRDefault="009742F0" w:rsidP="00EB7E52">
            <w:pPr>
              <w:jc w:val="right"/>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5.8</w:t>
            </w:r>
          </w:p>
        </w:tc>
        <w:tc>
          <w:tcPr>
            <w:tcW w:w="851" w:type="dxa"/>
            <w:gridSpan w:val="2"/>
            <w:vAlign w:val="bottom"/>
          </w:tcPr>
          <w:p w:rsidR="009742F0" w:rsidRPr="00EA1E04" w:rsidRDefault="009742F0" w:rsidP="00EB7E5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A1E04">
              <w:rPr>
                <w:rFonts w:ascii="Calibri" w:hAnsi="Calibri"/>
              </w:rPr>
              <w:t>5.1</w:t>
            </w:r>
          </w:p>
        </w:tc>
        <w:tc>
          <w:tcPr>
            <w:tcW w:w="1703" w:type="dxa"/>
            <w:gridSpan w:val="2"/>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1.89 (1.86-1.92)</w:t>
            </w:r>
          </w:p>
        </w:tc>
        <w:tc>
          <w:tcPr>
            <w:tcW w:w="1437" w:type="dxa"/>
            <w:gridSpan w:val="2"/>
          </w:tcPr>
          <w:p w:rsidR="009742F0" w:rsidRPr="00EA1E04" w:rsidRDefault="009742F0" w:rsidP="00EB7E52">
            <w:pPr>
              <w:jc w:val="right"/>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11.5</w:t>
            </w:r>
          </w:p>
        </w:tc>
        <w:tc>
          <w:tcPr>
            <w:tcW w:w="898" w:type="dxa"/>
            <w:gridSpan w:val="3"/>
          </w:tcPr>
          <w:p w:rsidR="009742F0" w:rsidRPr="00EA1E04" w:rsidRDefault="009742F0" w:rsidP="00EB7E5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7.9</w:t>
            </w:r>
          </w:p>
        </w:tc>
        <w:tc>
          <w:tcPr>
            <w:tcW w:w="769" w:type="dxa"/>
            <w:gridSpan w:val="2"/>
            <w:vAlign w:val="bottom"/>
          </w:tcPr>
          <w:p w:rsidR="009742F0" w:rsidRPr="00EA1E04" w:rsidRDefault="009742F0" w:rsidP="00EB7E52">
            <w:pPr>
              <w:cnfStyle w:val="000000000000" w:firstRow="0" w:lastRow="0" w:firstColumn="0" w:lastColumn="0" w:oddVBand="0" w:evenVBand="0" w:oddHBand="0" w:evenHBand="0" w:firstRowFirstColumn="0" w:firstRowLastColumn="0" w:lastRowFirstColumn="0" w:lastRowLastColumn="0"/>
              <w:rPr>
                <w:rFonts w:ascii="Calibri" w:hAnsi="Calibri"/>
              </w:rPr>
            </w:pPr>
            <w:r w:rsidRPr="00EA1E04">
              <w:rPr>
                <w:rFonts w:ascii="Calibri" w:hAnsi="Calibri"/>
              </w:rPr>
              <w:t>3.6</w:t>
            </w:r>
          </w:p>
        </w:tc>
        <w:tc>
          <w:tcPr>
            <w:tcW w:w="1579" w:type="dxa"/>
          </w:tcPr>
          <w:p w:rsidR="009742F0" w:rsidRPr="00EA1E04" w:rsidRDefault="009742F0" w:rsidP="00EB7E52">
            <w:pPr>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1.45(1.42-1.48)</w:t>
            </w:r>
          </w:p>
        </w:tc>
        <w:tc>
          <w:tcPr>
            <w:tcW w:w="1111" w:type="dxa"/>
            <w:gridSpan w:val="2"/>
          </w:tcPr>
          <w:p w:rsidR="009742F0" w:rsidRPr="00EA1E04" w:rsidRDefault="009742F0" w:rsidP="00EB7E52">
            <w:pPr>
              <w:jc w:val="right"/>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11.1</w:t>
            </w:r>
          </w:p>
        </w:tc>
        <w:tc>
          <w:tcPr>
            <w:tcW w:w="1008" w:type="dxa"/>
            <w:gridSpan w:val="2"/>
          </w:tcPr>
          <w:p w:rsidR="009742F0" w:rsidRPr="00EA1E04" w:rsidRDefault="009742F0" w:rsidP="00EB7E5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6.8</w:t>
            </w:r>
          </w:p>
        </w:tc>
        <w:tc>
          <w:tcPr>
            <w:tcW w:w="782" w:type="dxa"/>
            <w:gridSpan w:val="2"/>
            <w:vAlign w:val="bottom"/>
          </w:tcPr>
          <w:p w:rsidR="009742F0" w:rsidRPr="00EA1E04" w:rsidRDefault="009742F0" w:rsidP="00EB7E52">
            <w:pPr>
              <w:cnfStyle w:val="000000000000" w:firstRow="0" w:lastRow="0" w:firstColumn="0" w:lastColumn="0" w:oddVBand="0" w:evenVBand="0" w:oddHBand="0" w:evenHBand="0" w:firstRowFirstColumn="0" w:firstRowLastColumn="0" w:lastRowFirstColumn="0" w:lastRowLastColumn="0"/>
              <w:rPr>
                <w:rFonts w:ascii="Calibri" w:hAnsi="Calibri"/>
              </w:rPr>
            </w:pPr>
            <w:r w:rsidRPr="00EA1E04">
              <w:rPr>
                <w:rFonts w:ascii="Calibri" w:hAnsi="Calibri"/>
              </w:rPr>
              <w:t>4.3</w:t>
            </w:r>
          </w:p>
        </w:tc>
        <w:tc>
          <w:tcPr>
            <w:tcW w:w="1658" w:type="dxa"/>
            <w:gridSpan w:val="3"/>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1.62(1.60-1.64)</w:t>
            </w:r>
          </w:p>
        </w:tc>
      </w:tr>
      <w:tr w:rsidR="00EA1E04" w:rsidRPr="00EA1E04" w:rsidTr="00EB7E52">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1097" w:type="dxa"/>
            <w:vAlign w:val="center"/>
          </w:tcPr>
          <w:p w:rsidR="009742F0" w:rsidRPr="00EA1E04" w:rsidRDefault="009742F0" w:rsidP="00EB7E52">
            <w:pPr>
              <w:jc w:val="both"/>
              <w:rPr>
                <w:rFonts w:cs="Arial"/>
                <w:sz w:val="20"/>
                <w:szCs w:val="20"/>
                <w:lang w:eastAsia="en-GB"/>
              </w:rPr>
            </w:pPr>
            <w:r w:rsidRPr="00EA1E04">
              <w:rPr>
                <w:rFonts w:cs="Arial"/>
                <w:sz w:val="20"/>
                <w:szCs w:val="20"/>
                <w:lang w:eastAsia="en-GB"/>
              </w:rPr>
              <w:t>3</w:t>
            </w:r>
          </w:p>
        </w:tc>
        <w:tc>
          <w:tcPr>
            <w:tcW w:w="714" w:type="dxa"/>
            <w:gridSpan w:val="3"/>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9.5</w:t>
            </w:r>
          </w:p>
        </w:tc>
        <w:tc>
          <w:tcPr>
            <w:tcW w:w="852" w:type="dxa"/>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5.2</w:t>
            </w:r>
          </w:p>
        </w:tc>
        <w:tc>
          <w:tcPr>
            <w:tcW w:w="851" w:type="dxa"/>
            <w:gridSpan w:val="2"/>
            <w:vAlign w:val="bottom"/>
          </w:tcPr>
          <w:p w:rsidR="009742F0" w:rsidRPr="00EA1E04" w:rsidRDefault="009742F0" w:rsidP="00EB7E52">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A1E04">
              <w:rPr>
                <w:rFonts w:ascii="Calibri" w:hAnsi="Calibri"/>
              </w:rPr>
              <w:t>4.3</w:t>
            </w:r>
          </w:p>
        </w:tc>
        <w:tc>
          <w:tcPr>
            <w:tcW w:w="1703" w:type="dxa"/>
            <w:gridSpan w:val="2"/>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 xml:space="preserve"> 1.81(1.78-1.85)</w:t>
            </w:r>
          </w:p>
        </w:tc>
        <w:tc>
          <w:tcPr>
            <w:tcW w:w="1437" w:type="dxa"/>
            <w:gridSpan w:val="2"/>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9.8</w:t>
            </w:r>
          </w:p>
        </w:tc>
        <w:tc>
          <w:tcPr>
            <w:tcW w:w="898" w:type="dxa"/>
            <w:gridSpan w:val="3"/>
          </w:tcPr>
          <w:p w:rsidR="009742F0" w:rsidRPr="00EA1E04" w:rsidRDefault="009742F0" w:rsidP="00EB7E52">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7.4</w:t>
            </w:r>
          </w:p>
        </w:tc>
        <w:tc>
          <w:tcPr>
            <w:tcW w:w="769" w:type="dxa"/>
            <w:gridSpan w:val="2"/>
            <w:vAlign w:val="bottom"/>
          </w:tcPr>
          <w:p w:rsidR="009742F0" w:rsidRPr="00EA1E04" w:rsidRDefault="009742F0" w:rsidP="00EB7E52">
            <w:pPr>
              <w:cnfStyle w:val="000000100000" w:firstRow="0" w:lastRow="0" w:firstColumn="0" w:lastColumn="0" w:oddVBand="0" w:evenVBand="0" w:oddHBand="1" w:evenHBand="0" w:firstRowFirstColumn="0" w:firstRowLastColumn="0" w:lastRowFirstColumn="0" w:lastRowLastColumn="0"/>
              <w:rPr>
                <w:rFonts w:ascii="Calibri" w:hAnsi="Calibri"/>
              </w:rPr>
            </w:pPr>
            <w:r w:rsidRPr="00EA1E04">
              <w:rPr>
                <w:rFonts w:ascii="Calibri" w:hAnsi="Calibri"/>
              </w:rPr>
              <w:t>2.4</w:t>
            </w:r>
          </w:p>
        </w:tc>
        <w:tc>
          <w:tcPr>
            <w:tcW w:w="1579" w:type="dxa"/>
          </w:tcPr>
          <w:p w:rsidR="009742F0" w:rsidRPr="00EA1E04" w:rsidRDefault="009742F0" w:rsidP="00EB7E52">
            <w:pPr>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1.31(1.27-1.34)</w:t>
            </w:r>
          </w:p>
        </w:tc>
        <w:tc>
          <w:tcPr>
            <w:tcW w:w="1111" w:type="dxa"/>
            <w:gridSpan w:val="2"/>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9.6</w:t>
            </w:r>
          </w:p>
        </w:tc>
        <w:tc>
          <w:tcPr>
            <w:tcW w:w="1008" w:type="dxa"/>
            <w:gridSpan w:val="2"/>
          </w:tcPr>
          <w:p w:rsidR="009742F0" w:rsidRPr="00EA1E04" w:rsidRDefault="009742F0" w:rsidP="00EB7E52">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6.4</w:t>
            </w:r>
          </w:p>
        </w:tc>
        <w:tc>
          <w:tcPr>
            <w:tcW w:w="782" w:type="dxa"/>
            <w:gridSpan w:val="2"/>
            <w:vAlign w:val="bottom"/>
          </w:tcPr>
          <w:p w:rsidR="009742F0" w:rsidRPr="00EA1E04" w:rsidRDefault="009742F0" w:rsidP="00EB7E52">
            <w:pPr>
              <w:cnfStyle w:val="000000100000" w:firstRow="0" w:lastRow="0" w:firstColumn="0" w:lastColumn="0" w:oddVBand="0" w:evenVBand="0" w:oddHBand="1" w:evenHBand="0" w:firstRowFirstColumn="0" w:firstRowLastColumn="0" w:lastRowFirstColumn="0" w:lastRowLastColumn="0"/>
              <w:rPr>
                <w:rFonts w:ascii="Calibri" w:hAnsi="Calibri"/>
              </w:rPr>
            </w:pPr>
            <w:r w:rsidRPr="00EA1E04">
              <w:rPr>
                <w:rFonts w:ascii="Calibri" w:hAnsi="Calibri"/>
              </w:rPr>
              <w:t>3.2</w:t>
            </w:r>
          </w:p>
        </w:tc>
        <w:tc>
          <w:tcPr>
            <w:tcW w:w="1658" w:type="dxa"/>
            <w:gridSpan w:val="3"/>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1.51(1.49-1.53)</w:t>
            </w:r>
          </w:p>
        </w:tc>
      </w:tr>
      <w:tr w:rsidR="00EA1E04" w:rsidRPr="00EA1E04" w:rsidTr="00EB7E52">
        <w:trPr>
          <w:trHeight w:val="117"/>
        </w:trPr>
        <w:tc>
          <w:tcPr>
            <w:cnfStyle w:val="001000000000" w:firstRow="0" w:lastRow="0" w:firstColumn="1" w:lastColumn="0" w:oddVBand="0" w:evenVBand="0" w:oddHBand="0" w:evenHBand="0" w:firstRowFirstColumn="0" w:firstRowLastColumn="0" w:lastRowFirstColumn="0" w:lastRowLastColumn="0"/>
            <w:tcW w:w="1097" w:type="dxa"/>
            <w:vAlign w:val="center"/>
          </w:tcPr>
          <w:p w:rsidR="009742F0" w:rsidRPr="00EA1E04" w:rsidRDefault="009742F0" w:rsidP="00EB7E52">
            <w:pPr>
              <w:jc w:val="both"/>
              <w:rPr>
                <w:rFonts w:cs="Arial"/>
                <w:sz w:val="20"/>
                <w:szCs w:val="20"/>
                <w:lang w:eastAsia="en-GB"/>
              </w:rPr>
            </w:pPr>
            <w:r w:rsidRPr="00EA1E04">
              <w:rPr>
                <w:rFonts w:cs="Arial"/>
                <w:sz w:val="20"/>
                <w:szCs w:val="20"/>
                <w:lang w:eastAsia="en-GB"/>
              </w:rPr>
              <w:t>4</w:t>
            </w:r>
          </w:p>
        </w:tc>
        <w:tc>
          <w:tcPr>
            <w:tcW w:w="714" w:type="dxa"/>
            <w:gridSpan w:val="3"/>
          </w:tcPr>
          <w:p w:rsidR="009742F0" w:rsidRPr="00EA1E04" w:rsidRDefault="009742F0" w:rsidP="00EB7E52">
            <w:pPr>
              <w:jc w:val="right"/>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8.2</w:t>
            </w:r>
          </w:p>
        </w:tc>
        <w:tc>
          <w:tcPr>
            <w:tcW w:w="852" w:type="dxa"/>
          </w:tcPr>
          <w:p w:rsidR="009742F0" w:rsidRPr="00EA1E04" w:rsidRDefault="009742F0" w:rsidP="00EB7E52">
            <w:pPr>
              <w:jc w:val="right"/>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4.8</w:t>
            </w:r>
          </w:p>
        </w:tc>
        <w:tc>
          <w:tcPr>
            <w:tcW w:w="851" w:type="dxa"/>
            <w:gridSpan w:val="2"/>
            <w:vAlign w:val="bottom"/>
          </w:tcPr>
          <w:p w:rsidR="009742F0" w:rsidRPr="00EA1E04" w:rsidRDefault="009742F0" w:rsidP="00EB7E5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A1E04">
              <w:rPr>
                <w:rFonts w:ascii="Calibri" w:hAnsi="Calibri"/>
              </w:rPr>
              <w:t>3.4</w:t>
            </w:r>
          </w:p>
        </w:tc>
        <w:tc>
          <w:tcPr>
            <w:tcW w:w="1703" w:type="dxa"/>
            <w:gridSpan w:val="2"/>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 xml:space="preserve"> 1.70(1.66-1.74)</w:t>
            </w:r>
          </w:p>
        </w:tc>
        <w:tc>
          <w:tcPr>
            <w:tcW w:w="1437" w:type="dxa"/>
            <w:gridSpan w:val="2"/>
          </w:tcPr>
          <w:p w:rsidR="009742F0" w:rsidRPr="00EA1E04" w:rsidRDefault="009742F0" w:rsidP="00EB7E52">
            <w:pPr>
              <w:jc w:val="right"/>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8.7</w:t>
            </w:r>
          </w:p>
        </w:tc>
        <w:tc>
          <w:tcPr>
            <w:tcW w:w="898" w:type="dxa"/>
            <w:gridSpan w:val="3"/>
          </w:tcPr>
          <w:p w:rsidR="009742F0" w:rsidRPr="00EA1E04" w:rsidRDefault="009742F0" w:rsidP="00EB7E5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7.1</w:t>
            </w:r>
          </w:p>
        </w:tc>
        <w:tc>
          <w:tcPr>
            <w:tcW w:w="769" w:type="dxa"/>
            <w:gridSpan w:val="2"/>
            <w:vAlign w:val="bottom"/>
          </w:tcPr>
          <w:p w:rsidR="009742F0" w:rsidRPr="00EA1E04" w:rsidRDefault="009742F0" w:rsidP="00EB7E52">
            <w:pPr>
              <w:cnfStyle w:val="000000000000" w:firstRow="0" w:lastRow="0" w:firstColumn="0" w:lastColumn="0" w:oddVBand="0" w:evenVBand="0" w:oddHBand="0" w:evenHBand="0" w:firstRowFirstColumn="0" w:firstRowLastColumn="0" w:lastRowFirstColumn="0" w:lastRowLastColumn="0"/>
              <w:rPr>
                <w:rFonts w:ascii="Calibri" w:hAnsi="Calibri"/>
              </w:rPr>
            </w:pPr>
            <w:r w:rsidRPr="00EA1E04">
              <w:rPr>
                <w:rFonts w:ascii="Calibri" w:hAnsi="Calibri"/>
              </w:rPr>
              <w:t>1.6</w:t>
            </w:r>
          </w:p>
        </w:tc>
        <w:tc>
          <w:tcPr>
            <w:tcW w:w="1579" w:type="dxa"/>
          </w:tcPr>
          <w:p w:rsidR="009742F0" w:rsidRPr="00EA1E04" w:rsidRDefault="009742F0" w:rsidP="00EB7E52">
            <w:pPr>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1.20(1.17-1.24)</w:t>
            </w:r>
          </w:p>
        </w:tc>
        <w:tc>
          <w:tcPr>
            <w:tcW w:w="1111" w:type="dxa"/>
            <w:gridSpan w:val="2"/>
          </w:tcPr>
          <w:p w:rsidR="009742F0" w:rsidRPr="00EA1E04" w:rsidRDefault="009742F0" w:rsidP="00EB7E52">
            <w:pPr>
              <w:jc w:val="right"/>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8.4</w:t>
            </w:r>
          </w:p>
        </w:tc>
        <w:tc>
          <w:tcPr>
            <w:tcW w:w="1008" w:type="dxa"/>
            <w:gridSpan w:val="2"/>
          </w:tcPr>
          <w:p w:rsidR="009742F0" w:rsidRPr="00EA1E04" w:rsidRDefault="009742F0" w:rsidP="00EB7E5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6.0</w:t>
            </w:r>
          </w:p>
        </w:tc>
        <w:tc>
          <w:tcPr>
            <w:tcW w:w="782" w:type="dxa"/>
            <w:gridSpan w:val="2"/>
            <w:vAlign w:val="bottom"/>
          </w:tcPr>
          <w:p w:rsidR="009742F0" w:rsidRPr="00EA1E04" w:rsidRDefault="009742F0" w:rsidP="00EB7E52">
            <w:pPr>
              <w:cnfStyle w:val="000000000000" w:firstRow="0" w:lastRow="0" w:firstColumn="0" w:lastColumn="0" w:oddVBand="0" w:evenVBand="0" w:oddHBand="0" w:evenHBand="0" w:firstRowFirstColumn="0" w:firstRowLastColumn="0" w:lastRowFirstColumn="0" w:lastRowLastColumn="0"/>
              <w:rPr>
                <w:rFonts w:ascii="Calibri" w:hAnsi="Calibri"/>
              </w:rPr>
            </w:pPr>
            <w:r w:rsidRPr="00EA1E04">
              <w:rPr>
                <w:rFonts w:ascii="Calibri" w:hAnsi="Calibri"/>
              </w:rPr>
              <w:t>2.4</w:t>
            </w:r>
          </w:p>
        </w:tc>
        <w:tc>
          <w:tcPr>
            <w:tcW w:w="1658" w:type="dxa"/>
            <w:gridSpan w:val="3"/>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1.39(1.37-1.41)</w:t>
            </w:r>
          </w:p>
        </w:tc>
      </w:tr>
      <w:tr w:rsidR="00EA1E04" w:rsidRPr="00EA1E04" w:rsidTr="00EB7E52">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1097" w:type="dxa"/>
            <w:vAlign w:val="center"/>
          </w:tcPr>
          <w:p w:rsidR="009742F0" w:rsidRPr="00EA1E04" w:rsidRDefault="009742F0" w:rsidP="00EB7E52">
            <w:pPr>
              <w:jc w:val="both"/>
              <w:rPr>
                <w:rFonts w:cs="Arial"/>
                <w:sz w:val="20"/>
                <w:szCs w:val="20"/>
                <w:lang w:eastAsia="en-GB"/>
              </w:rPr>
            </w:pPr>
            <w:r w:rsidRPr="00EA1E04">
              <w:rPr>
                <w:rFonts w:cs="Arial"/>
                <w:sz w:val="20"/>
                <w:szCs w:val="20"/>
                <w:lang w:eastAsia="en-GB"/>
              </w:rPr>
              <w:t>5</w:t>
            </w:r>
          </w:p>
        </w:tc>
        <w:tc>
          <w:tcPr>
            <w:tcW w:w="714" w:type="dxa"/>
            <w:gridSpan w:val="3"/>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7.5</w:t>
            </w:r>
          </w:p>
        </w:tc>
        <w:tc>
          <w:tcPr>
            <w:tcW w:w="852" w:type="dxa"/>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4.6</w:t>
            </w:r>
          </w:p>
        </w:tc>
        <w:tc>
          <w:tcPr>
            <w:tcW w:w="851" w:type="dxa"/>
            <w:gridSpan w:val="2"/>
            <w:vAlign w:val="bottom"/>
          </w:tcPr>
          <w:p w:rsidR="009742F0" w:rsidRPr="00EA1E04" w:rsidRDefault="009742F0" w:rsidP="00EB7E52">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A1E04">
              <w:rPr>
                <w:rFonts w:ascii="Calibri" w:hAnsi="Calibri"/>
              </w:rPr>
              <w:t>2.9</w:t>
            </w:r>
          </w:p>
        </w:tc>
        <w:tc>
          <w:tcPr>
            <w:tcW w:w="1703" w:type="dxa"/>
            <w:gridSpan w:val="2"/>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1.64 (1.60-1.68)</w:t>
            </w:r>
          </w:p>
        </w:tc>
        <w:tc>
          <w:tcPr>
            <w:tcW w:w="1437" w:type="dxa"/>
            <w:gridSpan w:val="2"/>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8.2</w:t>
            </w:r>
          </w:p>
        </w:tc>
        <w:tc>
          <w:tcPr>
            <w:tcW w:w="898" w:type="dxa"/>
            <w:gridSpan w:val="3"/>
          </w:tcPr>
          <w:p w:rsidR="009742F0" w:rsidRPr="00EA1E04" w:rsidRDefault="009742F0" w:rsidP="00EB7E52">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6.9</w:t>
            </w:r>
          </w:p>
        </w:tc>
        <w:tc>
          <w:tcPr>
            <w:tcW w:w="769" w:type="dxa"/>
            <w:gridSpan w:val="2"/>
            <w:vAlign w:val="bottom"/>
          </w:tcPr>
          <w:p w:rsidR="009742F0" w:rsidRPr="00EA1E04" w:rsidRDefault="009742F0" w:rsidP="00EB7E52">
            <w:pPr>
              <w:cnfStyle w:val="000000100000" w:firstRow="0" w:lastRow="0" w:firstColumn="0" w:lastColumn="0" w:oddVBand="0" w:evenVBand="0" w:oddHBand="1" w:evenHBand="0" w:firstRowFirstColumn="0" w:firstRowLastColumn="0" w:lastRowFirstColumn="0" w:lastRowLastColumn="0"/>
              <w:rPr>
                <w:rFonts w:ascii="Calibri" w:hAnsi="Calibri"/>
              </w:rPr>
            </w:pPr>
            <w:r w:rsidRPr="00EA1E04">
              <w:rPr>
                <w:rFonts w:ascii="Calibri" w:hAnsi="Calibri"/>
              </w:rPr>
              <w:t>1.3</w:t>
            </w:r>
          </w:p>
        </w:tc>
        <w:tc>
          <w:tcPr>
            <w:tcW w:w="1579" w:type="dxa"/>
          </w:tcPr>
          <w:p w:rsidR="009742F0" w:rsidRPr="00EA1E04" w:rsidRDefault="009742F0" w:rsidP="00EB7E52">
            <w:pPr>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1.20(1.16-1.24)</w:t>
            </w:r>
          </w:p>
        </w:tc>
        <w:tc>
          <w:tcPr>
            <w:tcW w:w="1111" w:type="dxa"/>
            <w:gridSpan w:val="2"/>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7.8</w:t>
            </w:r>
          </w:p>
        </w:tc>
        <w:tc>
          <w:tcPr>
            <w:tcW w:w="1008" w:type="dxa"/>
            <w:gridSpan w:val="2"/>
          </w:tcPr>
          <w:p w:rsidR="009742F0" w:rsidRPr="00EA1E04" w:rsidRDefault="009742F0" w:rsidP="00EB7E52">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5.7</w:t>
            </w:r>
          </w:p>
        </w:tc>
        <w:tc>
          <w:tcPr>
            <w:tcW w:w="782" w:type="dxa"/>
            <w:gridSpan w:val="2"/>
            <w:vAlign w:val="bottom"/>
          </w:tcPr>
          <w:p w:rsidR="009742F0" w:rsidRPr="00EA1E04" w:rsidRDefault="009742F0" w:rsidP="00EB7E52">
            <w:pPr>
              <w:cnfStyle w:val="000000100000" w:firstRow="0" w:lastRow="0" w:firstColumn="0" w:lastColumn="0" w:oddVBand="0" w:evenVBand="0" w:oddHBand="1" w:evenHBand="0" w:firstRowFirstColumn="0" w:firstRowLastColumn="0" w:lastRowFirstColumn="0" w:lastRowLastColumn="0"/>
              <w:rPr>
                <w:rFonts w:ascii="Calibri" w:hAnsi="Calibri"/>
              </w:rPr>
            </w:pPr>
            <w:r w:rsidRPr="00EA1E04">
              <w:rPr>
                <w:rFonts w:ascii="Calibri" w:hAnsi="Calibri"/>
              </w:rPr>
              <w:t>2.1</w:t>
            </w:r>
          </w:p>
        </w:tc>
        <w:tc>
          <w:tcPr>
            <w:tcW w:w="1658" w:type="dxa"/>
            <w:gridSpan w:val="3"/>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1.36(1.33-1.38)</w:t>
            </w:r>
          </w:p>
        </w:tc>
      </w:tr>
      <w:tr w:rsidR="00EA1E04" w:rsidRPr="00EA1E04" w:rsidTr="00EB7E52">
        <w:trPr>
          <w:trHeight w:val="117"/>
        </w:trPr>
        <w:tc>
          <w:tcPr>
            <w:cnfStyle w:val="001000000000" w:firstRow="0" w:lastRow="0" w:firstColumn="1" w:lastColumn="0" w:oddVBand="0" w:evenVBand="0" w:oddHBand="0" w:evenHBand="0" w:firstRowFirstColumn="0" w:firstRowLastColumn="0" w:lastRowFirstColumn="0" w:lastRowLastColumn="0"/>
            <w:tcW w:w="1097" w:type="dxa"/>
            <w:vAlign w:val="center"/>
          </w:tcPr>
          <w:p w:rsidR="009742F0" w:rsidRPr="00EA1E04" w:rsidRDefault="009742F0" w:rsidP="00EB7E52">
            <w:pPr>
              <w:jc w:val="both"/>
              <w:rPr>
                <w:rFonts w:cs="Arial"/>
                <w:sz w:val="20"/>
                <w:szCs w:val="20"/>
                <w:lang w:eastAsia="en-GB"/>
              </w:rPr>
            </w:pPr>
            <w:r w:rsidRPr="00EA1E04">
              <w:rPr>
                <w:rFonts w:cs="Arial"/>
                <w:sz w:val="20"/>
                <w:szCs w:val="20"/>
                <w:lang w:eastAsia="en-GB"/>
              </w:rPr>
              <w:t>6</w:t>
            </w:r>
          </w:p>
        </w:tc>
        <w:tc>
          <w:tcPr>
            <w:tcW w:w="714" w:type="dxa"/>
            <w:gridSpan w:val="3"/>
          </w:tcPr>
          <w:p w:rsidR="009742F0" w:rsidRPr="00EA1E04" w:rsidRDefault="009742F0" w:rsidP="00EB7E52">
            <w:pPr>
              <w:jc w:val="right"/>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6.9</w:t>
            </w:r>
          </w:p>
        </w:tc>
        <w:tc>
          <w:tcPr>
            <w:tcW w:w="852" w:type="dxa"/>
          </w:tcPr>
          <w:p w:rsidR="009742F0" w:rsidRPr="00EA1E04" w:rsidRDefault="009742F0" w:rsidP="00EB7E52">
            <w:pPr>
              <w:jc w:val="right"/>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4.2</w:t>
            </w:r>
          </w:p>
        </w:tc>
        <w:tc>
          <w:tcPr>
            <w:tcW w:w="851" w:type="dxa"/>
            <w:gridSpan w:val="2"/>
            <w:vAlign w:val="bottom"/>
          </w:tcPr>
          <w:p w:rsidR="009742F0" w:rsidRPr="00EA1E04" w:rsidRDefault="009742F0" w:rsidP="00EB7E5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A1E04">
              <w:rPr>
                <w:rFonts w:ascii="Calibri" w:hAnsi="Calibri"/>
              </w:rPr>
              <w:t>2.7</w:t>
            </w:r>
          </w:p>
        </w:tc>
        <w:tc>
          <w:tcPr>
            <w:tcW w:w="1703" w:type="dxa"/>
            <w:gridSpan w:val="2"/>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1.64 (1.58-1.68)</w:t>
            </w:r>
          </w:p>
        </w:tc>
        <w:tc>
          <w:tcPr>
            <w:tcW w:w="1437" w:type="dxa"/>
            <w:gridSpan w:val="2"/>
          </w:tcPr>
          <w:p w:rsidR="009742F0" w:rsidRPr="00EA1E04" w:rsidRDefault="009742F0" w:rsidP="00EB7E52">
            <w:pPr>
              <w:jc w:val="right"/>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7.5</w:t>
            </w:r>
          </w:p>
        </w:tc>
        <w:tc>
          <w:tcPr>
            <w:tcW w:w="898" w:type="dxa"/>
            <w:gridSpan w:val="3"/>
          </w:tcPr>
          <w:p w:rsidR="009742F0" w:rsidRPr="00EA1E04" w:rsidRDefault="009742F0" w:rsidP="00EB7E5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6.4</w:t>
            </w:r>
          </w:p>
        </w:tc>
        <w:tc>
          <w:tcPr>
            <w:tcW w:w="769" w:type="dxa"/>
            <w:gridSpan w:val="2"/>
            <w:vAlign w:val="bottom"/>
          </w:tcPr>
          <w:p w:rsidR="009742F0" w:rsidRPr="00EA1E04" w:rsidRDefault="009742F0" w:rsidP="00EB7E52">
            <w:pPr>
              <w:cnfStyle w:val="000000000000" w:firstRow="0" w:lastRow="0" w:firstColumn="0" w:lastColumn="0" w:oddVBand="0" w:evenVBand="0" w:oddHBand="0" w:evenHBand="0" w:firstRowFirstColumn="0" w:firstRowLastColumn="0" w:lastRowFirstColumn="0" w:lastRowLastColumn="0"/>
              <w:rPr>
                <w:rFonts w:ascii="Calibri" w:hAnsi="Calibri"/>
              </w:rPr>
            </w:pPr>
            <w:r w:rsidRPr="00EA1E04">
              <w:rPr>
                <w:rFonts w:ascii="Calibri" w:hAnsi="Calibri"/>
              </w:rPr>
              <w:t>1.1</w:t>
            </w:r>
          </w:p>
        </w:tc>
        <w:tc>
          <w:tcPr>
            <w:tcW w:w="1579" w:type="dxa"/>
          </w:tcPr>
          <w:p w:rsidR="009742F0" w:rsidRPr="00EA1E04" w:rsidRDefault="009742F0" w:rsidP="00EB7E52">
            <w:pPr>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1.15(1.11-1.20)</w:t>
            </w:r>
          </w:p>
        </w:tc>
        <w:tc>
          <w:tcPr>
            <w:tcW w:w="1111" w:type="dxa"/>
            <w:gridSpan w:val="2"/>
          </w:tcPr>
          <w:p w:rsidR="009742F0" w:rsidRPr="00EA1E04" w:rsidRDefault="009742F0" w:rsidP="00EB7E52">
            <w:pPr>
              <w:jc w:val="right"/>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7.0</w:t>
            </w:r>
          </w:p>
        </w:tc>
        <w:tc>
          <w:tcPr>
            <w:tcW w:w="1008" w:type="dxa"/>
            <w:gridSpan w:val="2"/>
          </w:tcPr>
          <w:p w:rsidR="009742F0" w:rsidRPr="00EA1E04" w:rsidRDefault="009742F0" w:rsidP="00EB7E5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5.3</w:t>
            </w:r>
          </w:p>
        </w:tc>
        <w:tc>
          <w:tcPr>
            <w:tcW w:w="782" w:type="dxa"/>
            <w:gridSpan w:val="2"/>
            <w:vAlign w:val="bottom"/>
          </w:tcPr>
          <w:p w:rsidR="009742F0" w:rsidRPr="00EA1E04" w:rsidRDefault="009742F0" w:rsidP="00EB7E52">
            <w:pPr>
              <w:cnfStyle w:val="000000000000" w:firstRow="0" w:lastRow="0" w:firstColumn="0" w:lastColumn="0" w:oddVBand="0" w:evenVBand="0" w:oddHBand="0" w:evenHBand="0" w:firstRowFirstColumn="0" w:firstRowLastColumn="0" w:lastRowFirstColumn="0" w:lastRowLastColumn="0"/>
              <w:rPr>
                <w:rFonts w:ascii="Calibri" w:hAnsi="Calibri"/>
              </w:rPr>
            </w:pPr>
            <w:r w:rsidRPr="00EA1E04">
              <w:rPr>
                <w:rFonts w:ascii="Calibri" w:hAnsi="Calibri"/>
              </w:rPr>
              <w:t>1.7</w:t>
            </w:r>
          </w:p>
        </w:tc>
        <w:tc>
          <w:tcPr>
            <w:tcW w:w="1658" w:type="dxa"/>
            <w:gridSpan w:val="3"/>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1.33(1.29-1.36)</w:t>
            </w:r>
          </w:p>
        </w:tc>
      </w:tr>
      <w:tr w:rsidR="00EA1E04" w:rsidRPr="00EA1E04" w:rsidTr="00EB7E52">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1097" w:type="dxa"/>
            <w:vAlign w:val="center"/>
          </w:tcPr>
          <w:p w:rsidR="009742F0" w:rsidRPr="00EA1E04" w:rsidRDefault="009742F0" w:rsidP="00EB7E52">
            <w:pPr>
              <w:jc w:val="both"/>
              <w:rPr>
                <w:rFonts w:cs="Arial"/>
                <w:sz w:val="20"/>
                <w:szCs w:val="20"/>
                <w:lang w:eastAsia="en-GB"/>
              </w:rPr>
            </w:pPr>
            <w:r w:rsidRPr="00EA1E04">
              <w:rPr>
                <w:rFonts w:cs="Arial"/>
                <w:sz w:val="20"/>
                <w:szCs w:val="20"/>
                <w:lang w:eastAsia="en-GB"/>
              </w:rPr>
              <w:t>7</w:t>
            </w:r>
          </w:p>
        </w:tc>
        <w:tc>
          <w:tcPr>
            <w:tcW w:w="714" w:type="dxa"/>
            <w:gridSpan w:val="3"/>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6.1</w:t>
            </w:r>
          </w:p>
        </w:tc>
        <w:tc>
          <w:tcPr>
            <w:tcW w:w="852" w:type="dxa"/>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3.8</w:t>
            </w:r>
          </w:p>
        </w:tc>
        <w:tc>
          <w:tcPr>
            <w:tcW w:w="851" w:type="dxa"/>
            <w:gridSpan w:val="2"/>
            <w:vAlign w:val="bottom"/>
          </w:tcPr>
          <w:p w:rsidR="009742F0" w:rsidRPr="00EA1E04" w:rsidRDefault="009742F0" w:rsidP="00EB7E52">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A1E04">
              <w:rPr>
                <w:rFonts w:ascii="Calibri" w:hAnsi="Calibri"/>
              </w:rPr>
              <w:t>2.3</w:t>
            </w:r>
          </w:p>
        </w:tc>
        <w:tc>
          <w:tcPr>
            <w:tcW w:w="1703" w:type="dxa"/>
            <w:gridSpan w:val="2"/>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1.61 (1.56-1.66)</w:t>
            </w:r>
          </w:p>
        </w:tc>
        <w:tc>
          <w:tcPr>
            <w:tcW w:w="1437" w:type="dxa"/>
            <w:gridSpan w:val="2"/>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7.5</w:t>
            </w:r>
          </w:p>
        </w:tc>
        <w:tc>
          <w:tcPr>
            <w:tcW w:w="898" w:type="dxa"/>
            <w:gridSpan w:val="3"/>
          </w:tcPr>
          <w:p w:rsidR="009742F0" w:rsidRPr="00EA1E04" w:rsidRDefault="009742F0" w:rsidP="00EB7E52">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6.1</w:t>
            </w:r>
          </w:p>
        </w:tc>
        <w:tc>
          <w:tcPr>
            <w:tcW w:w="769" w:type="dxa"/>
            <w:gridSpan w:val="2"/>
            <w:vAlign w:val="bottom"/>
          </w:tcPr>
          <w:p w:rsidR="009742F0" w:rsidRPr="00EA1E04" w:rsidRDefault="009742F0" w:rsidP="00EB7E52">
            <w:pPr>
              <w:cnfStyle w:val="000000100000" w:firstRow="0" w:lastRow="0" w:firstColumn="0" w:lastColumn="0" w:oddVBand="0" w:evenVBand="0" w:oddHBand="1" w:evenHBand="0" w:firstRowFirstColumn="0" w:firstRowLastColumn="0" w:lastRowFirstColumn="0" w:lastRowLastColumn="0"/>
              <w:rPr>
                <w:rFonts w:ascii="Calibri" w:hAnsi="Calibri"/>
              </w:rPr>
            </w:pPr>
            <w:r w:rsidRPr="00EA1E04">
              <w:rPr>
                <w:rFonts w:ascii="Calibri" w:hAnsi="Calibri"/>
              </w:rPr>
              <w:t>1.4</w:t>
            </w:r>
          </w:p>
        </w:tc>
        <w:tc>
          <w:tcPr>
            <w:tcW w:w="1579" w:type="dxa"/>
          </w:tcPr>
          <w:p w:rsidR="009742F0" w:rsidRPr="00EA1E04" w:rsidRDefault="009742F0" w:rsidP="00EB7E52">
            <w:pPr>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1.22(1.18-1.28)</w:t>
            </w:r>
          </w:p>
        </w:tc>
        <w:tc>
          <w:tcPr>
            <w:tcW w:w="1111" w:type="dxa"/>
            <w:gridSpan w:val="2"/>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6.5</w:t>
            </w:r>
          </w:p>
        </w:tc>
        <w:tc>
          <w:tcPr>
            <w:tcW w:w="1008" w:type="dxa"/>
            <w:gridSpan w:val="2"/>
          </w:tcPr>
          <w:p w:rsidR="009742F0" w:rsidRPr="00EA1E04" w:rsidRDefault="009742F0" w:rsidP="00EB7E52">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4.9</w:t>
            </w:r>
          </w:p>
        </w:tc>
        <w:tc>
          <w:tcPr>
            <w:tcW w:w="782" w:type="dxa"/>
            <w:gridSpan w:val="2"/>
            <w:vAlign w:val="bottom"/>
          </w:tcPr>
          <w:p w:rsidR="009742F0" w:rsidRPr="00EA1E04" w:rsidRDefault="009742F0" w:rsidP="00EB7E52">
            <w:pPr>
              <w:cnfStyle w:val="000000100000" w:firstRow="0" w:lastRow="0" w:firstColumn="0" w:lastColumn="0" w:oddVBand="0" w:evenVBand="0" w:oddHBand="1" w:evenHBand="0" w:firstRowFirstColumn="0" w:firstRowLastColumn="0" w:lastRowFirstColumn="0" w:lastRowLastColumn="0"/>
              <w:rPr>
                <w:rFonts w:ascii="Calibri" w:hAnsi="Calibri"/>
              </w:rPr>
            </w:pPr>
            <w:r w:rsidRPr="00EA1E04">
              <w:rPr>
                <w:rFonts w:ascii="Calibri" w:hAnsi="Calibri"/>
              </w:rPr>
              <w:t>1.6</w:t>
            </w:r>
          </w:p>
        </w:tc>
        <w:tc>
          <w:tcPr>
            <w:tcW w:w="1658" w:type="dxa"/>
            <w:gridSpan w:val="3"/>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1.32(1.29-1.36)</w:t>
            </w:r>
          </w:p>
        </w:tc>
      </w:tr>
      <w:tr w:rsidR="00EA1E04" w:rsidRPr="00EA1E04" w:rsidTr="00EB7E52">
        <w:trPr>
          <w:trHeight w:val="117"/>
        </w:trPr>
        <w:tc>
          <w:tcPr>
            <w:cnfStyle w:val="001000000000" w:firstRow="0" w:lastRow="0" w:firstColumn="1" w:lastColumn="0" w:oddVBand="0" w:evenVBand="0" w:oddHBand="0" w:evenHBand="0" w:firstRowFirstColumn="0" w:firstRowLastColumn="0" w:lastRowFirstColumn="0" w:lastRowLastColumn="0"/>
            <w:tcW w:w="1097" w:type="dxa"/>
            <w:vAlign w:val="center"/>
          </w:tcPr>
          <w:p w:rsidR="009742F0" w:rsidRPr="00EA1E04" w:rsidRDefault="009742F0" w:rsidP="00EB7E52">
            <w:pPr>
              <w:jc w:val="both"/>
              <w:rPr>
                <w:rFonts w:cs="Arial"/>
                <w:sz w:val="20"/>
                <w:szCs w:val="20"/>
                <w:lang w:eastAsia="en-GB"/>
              </w:rPr>
            </w:pPr>
            <w:r w:rsidRPr="00EA1E04">
              <w:rPr>
                <w:rFonts w:cs="Arial"/>
                <w:sz w:val="20"/>
                <w:szCs w:val="20"/>
                <w:lang w:eastAsia="en-GB"/>
              </w:rPr>
              <w:t>8</w:t>
            </w:r>
          </w:p>
        </w:tc>
        <w:tc>
          <w:tcPr>
            <w:tcW w:w="714" w:type="dxa"/>
            <w:gridSpan w:val="3"/>
          </w:tcPr>
          <w:p w:rsidR="009742F0" w:rsidRPr="00EA1E04" w:rsidRDefault="009742F0" w:rsidP="00EB7E52">
            <w:pPr>
              <w:jc w:val="right"/>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5.4</w:t>
            </w:r>
          </w:p>
        </w:tc>
        <w:tc>
          <w:tcPr>
            <w:tcW w:w="852" w:type="dxa"/>
          </w:tcPr>
          <w:p w:rsidR="009742F0" w:rsidRPr="00EA1E04" w:rsidRDefault="009742F0" w:rsidP="00EB7E52">
            <w:pPr>
              <w:jc w:val="right"/>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3.6</w:t>
            </w:r>
          </w:p>
        </w:tc>
        <w:tc>
          <w:tcPr>
            <w:tcW w:w="851" w:type="dxa"/>
            <w:gridSpan w:val="2"/>
            <w:vAlign w:val="bottom"/>
          </w:tcPr>
          <w:p w:rsidR="009742F0" w:rsidRPr="00EA1E04" w:rsidRDefault="009742F0" w:rsidP="00EB7E5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A1E04">
              <w:rPr>
                <w:rFonts w:ascii="Calibri" w:hAnsi="Calibri"/>
              </w:rPr>
              <w:t>1.8</w:t>
            </w:r>
          </w:p>
        </w:tc>
        <w:tc>
          <w:tcPr>
            <w:tcW w:w="1703" w:type="dxa"/>
            <w:gridSpan w:val="2"/>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1.51 (1.45-1.57)</w:t>
            </w:r>
          </w:p>
        </w:tc>
        <w:tc>
          <w:tcPr>
            <w:tcW w:w="1437" w:type="dxa"/>
            <w:gridSpan w:val="2"/>
          </w:tcPr>
          <w:p w:rsidR="009742F0" w:rsidRPr="00EA1E04" w:rsidRDefault="009742F0" w:rsidP="00EB7E52">
            <w:pPr>
              <w:jc w:val="right"/>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7.1</w:t>
            </w:r>
          </w:p>
        </w:tc>
        <w:tc>
          <w:tcPr>
            <w:tcW w:w="898" w:type="dxa"/>
            <w:gridSpan w:val="3"/>
          </w:tcPr>
          <w:p w:rsidR="009742F0" w:rsidRPr="00EA1E04" w:rsidRDefault="009742F0" w:rsidP="00EB7E5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5.8</w:t>
            </w:r>
          </w:p>
        </w:tc>
        <w:tc>
          <w:tcPr>
            <w:tcW w:w="769" w:type="dxa"/>
            <w:gridSpan w:val="2"/>
            <w:vAlign w:val="bottom"/>
          </w:tcPr>
          <w:p w:rsidR="009742F0" w:rsidRPr="00EA1E04" w:rsidRDefault="009742F0" w:rsidP="00EB7E52">
            <w:pPr>
              <w:cnfStyle w:val="000000000000" w:firstRow="0" w:lastRow="0" w:firstColumn="0" w:lastColumn="0" w:oddVBand="0" w:evenVBand="0" w:oddHBand="0" w:evenHBand="0" w:firstRowFirstColumn="0" w:firstRowLastColumn="0" w:lastRowFirstColumn="0" w:lastRowLastColumn="0"/>
              <w:rPr>
                <w:rFonts w:ascii="Calibri" w:hAnsi="Calibri"/>
              </w:rPr>
            </w:pPr>
            <w:r w:rsidRPr="00EA1E04">
              <w:rPr>
                <w:rFonts w:ascii="Calibri" w:hAnsi="Calibri"/>
              </w:rPr>
              <w:t>1.3</w:t>
            </w:r>
          </w:p>
        </w:tc>
        <w:tc>
          <w:tcPr>
            <w:tcW w:w="1579" w:type="dxa"/>
          </w:tcPr>
          <w:p w:rsidR="009742F0" w:rsidRPr="00EA1E04" w:rsidRDefault="009742F0" w:rsidP="00EB7E52">
            <w:pPr>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1.21(1.17-1.27)</w:t>
            </w:r>
          </w:p>
        </w:tc>
        <w:tc>
          <w:tcPr>
            <w:tcW w:w="1111" w:type="dxa"/>
            <w:gridSpan w:val="2"/>
          </w:tcPr>
          <w:p w:rsidR="009742F0" w:rsidRPr="00EA1E04" w:rsidRDefault="009742F0" w:rsidP="00EB7E52">
            <w:pPr>
              <w:jc w:val="right"/>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6.0</w:t>
            </w:r>
          </w:p>
        </w:tc>
        <w:tc>
          <w:tcPr>
            <w:tcW w:w="1008" w:type="dxa"/>
            <w:gridSpan w:val="2"/>
          </w:tcPr>
          <w:p w:rsidR="009742F0" w:rsidRPr="00EA1E04" w:rsidRDefault="009742F0" w:rsidP="00EB7E5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4.7</w:t>
            </w:r>
          </w:p>
        </w:tc>
        <w:tc>
          <w:tcPr>
            <w:tcW w:w="782" w:type="dxa"/>
            <w:gridSpan w:val="2"/>
            <w:vAlign w:val="bottom"/>
          </w:tcPr>
          <w:p w:rsidR="009742F0" w:rsidRPr="00EA1E04" w:rsidRDefault="009742F0" w:rsidP="00EB7E52">
            <w:pPr>
              <w:cnfStyle w:val="000000000000" w:firstRow="0" w:lastRow="0" w:firstColumn="0" w:lastColumn="0" w:oddVBand="0" w:evenVBand="0" w:oddHBand="0" w:evenHBand="0" w:firstRowFirstColumn="0" w:firstRowLastColumn="0" w:lastRowFirstColumn="0" w:lastRowLastColumn="0"/>
              <w:rPr>
                <w:rFonts w:ascii="Calibri" w:hAnsi="Calibri"/>
              </w:rPr>
            </w:pPr>
            <w:r w:rsidRPr="00EA1E04">
              <w:rPr>
                <w:rFonts w:ascii="Calibri" w:hAnsi="Calibri"/>
              </w:rPr>
              <w:t>1.3</w:t>
            </w:r>
          </w:p>
        </w:tc>
        <w:tc>
          <w:tcPr>
            <w:tcW w:w="1658" w:type="dxa"/>
            <w:gridSpan w:val="3"/>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1.27(1.24-1.31)</w:t>
            </w:r>
          </w:p>
        </w:tc>
      </w:tr>
      <w:tr w:rsidR="00EA1E04" w:rsidRPr="00EA1E04" w:rsidTr="00EB7E52">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1097" w:type="dxa"/>
            <w:vAlign w:val="center"/>
          </w:tcPr>
          <w:p w:rsidR="009742F0" w:rsidRPr="00EA1E04" w:rsidRDefault="009742F0" w:rsidP="00EB7E52">
            <w:pPr>
              <w:jc w:val="both"/>
              <w:rPr>
                <w:rFonts w:cs="Arial"/>
                <w:sz w:val="20"/>
                <w:szCs w:val="20"/>
                <w:lang w:eastAsia="en-GB"/>
              </w:rPr>
            </w:pPr>
            <w:r w:rsidRPr="00EA1E04">
              <w:rPr>
                <w:rFonts w:cs="Arial"/>
                <w:sz w:val="20"/>
                <w:szCs w:val="20"/>
                <w:lang w:eastAsia="en-GB"/>
              </w:rPr>
              <w:t>9</w:t>
            </w:r>
          </w:p>
        </w:tc>
        <w:tc>
          <w:tcPr>
            <w:tcW w:w="714" w:type="dxa"/>
            <w:gridSpan w:val="3"/>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4.9</w:t>
            </w:r>
          </w:p>
        </w:tc>
        <w:tc>
          <w:tcPr>
            <w:tcW w:w="852" w:type="dxa"/>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3.4</w:t>
            </w:r>
          </w:p>
        </w:tc>
        <w:tc>
          <w:tcPr>
            <w:tcW w:w="851" w:type="dxa"/>
            <w:gridSpan w:val="2"/>
            <w:vAlign w:val="bottom"/>
          </w:tcPr>
          <w:p w:rsidR="009742F0" w:rsidRPr="00EA1E04" w:rsidRDefault="009742F0" w:rsidP="00EB7E52">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A1E04">
              <w:rPr>
                <w:rFonts w:ascii="Calibri" w:hAnsi="Calibri"/>
              </w:rPr>
              <w:t>1.5</w:t>
            </w:r>
          </w:p>
        </w:tc>
        <w:tc>
          <w:tcPr>
            <w:tcW w:w="1703" w:type="dxa"/>
            <w:gridSpan w:val="2"/>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1.43 (1.36-1.49)</w:t>
            </w:r>
          </w:p>
        </w:tc>
        <w:tc>
          <w:tcPr>
            <w:tcW w:w="1437" w:type="dxa"/>
            <w:gridSpan w:val="2"/>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6.7</w:t>
            </w:r>
          </w:p>
        </w:tc>
        <w:tc>
          <w:tcPr>
            <w:tcW w:w="898" w:type="dxa"/>
            <w:gridSpan w:val="3"/>
          </w:tcPr>
          <w:p w:rsidR="009742F0" w:rsidRPr="00EA1E04" w:rsidRDefault="009742F0" w:rsidP="00EB7E52">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5.4</w:t>
            </w:r>
          </w:p>
        </w:tc>
        <w:tc>
          <w:tcPr>
            <w:tcW w:w="769" w:type="dxa"/>
            <w:gridSpan w:val="2"/>
            <w:vAlign w:val="bottom"/>
          </w:tcPr>
          <w:p w:rsidR="009742F0" w:rsidRPr="00EA1E04" w:rsidRDefault="009742F0" w:rsidP="00EB7E52">
            <w:pPr>
              <w:cnfStyle w:val="000000100000" w:firstRow="0" w:lastRow="0" w:firstColumn="0" w:lastColumn="0" w:oddVBand="0" w:evenVBand="0" w:oddHBand="1" w:evenHBand="0" w:firstRowFirstColumn="0" w:firstRowLastColumn="0" w:lastRowFirstColumn="0" w:lastRowLastColumn="0"/>
              <w:rPr>
                <w:rFonts w:ascii="Calibri" w:hAnsi="Calibri"/>
              </w:rPr>
            </w:pPr>
            <w:r w:rsidRPr="00EA1E04">
              <w:rPr>
                <w:rFonts w:ascii="Calibri" w:hAnsi="Calibri"/>
              </w:rPr>
              <w:t>1.3</w:t>
            </w:r>
          </w:p>
        </w:tc>
        <w:tc>
          <w:tcPr>
            <w:tcW w:w="1579" w:type="dxa"/>
          </w:tcPr>
          <w:p w:rsidR="009742F0" w:rsidRPr="00EA1E04" w:rsidRDefault="009742F0" w:rsidP="00EB7E52">
            <w:pPr>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1.23(1.18-1.30)</w:t>
            </w:r>
          </w:p>
        </w:tc>
        <w:tc>
          <w:tcPr>
            <w:tcW w:w="1111" w:type="dxa"/>
            <w:gridSpan w:val="2"/>
          </w:tcPr>
          <w:p w:rsidR="009742F0" w:rsidRPr="00EA1E04" w:rsidRDefault="009742F0" w:rsidP="00EB7E52">
            <w:pPr>
              <w:jc w:val="right"/>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5.5</w:t>
            </w:r>
          </w:p>
        </w:tc>
        <w:tc>
          <w:tcPr>
            <w:tcW w:w="1008" w:type="dxa"/>
            <w:gridSpan w:val="2"/>
          </w:tcPr>
          <w:p w:rsidR="009742F0" w:rsidRPr="00EA1E04" w:rsidRDefault="009742F0" w:rsidP="00EB7E52">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4.4</w:t>
            </w:r>
          </w:p>
        </w:tc>
        <w:tc>
          <w:tcPr>
            <w:tcW w:w="782" w:type="dxa"/>
            <w:gridSpan w:val="2"/>
            <w:vAlign w:val="bottom"/>
          </w:tcPr>
          <w:p w:rsidR="009742F0" w:rsidRPr="00EA1E04" w:rsidRDefault="009742F0" w:rsidP="00EB7E52">
            <w:pPr>
              <w:cnfStyle w:val="000000100000" w:firstRow="0" w:lastRow="0" w:firstColumn="0" w:lastColumn="0" w:oddVBand="0" w:evenVBand="0" w:oddHBand="1" w:evenHBand="0" w:firstRowFirstColumn="0" w:firstRowLastColumn="0" w:lastRowFirstColumn="0" w:lastRowLastColumn="0"/>
              <w:rPr>
                <w:rFonts w:ascii="Calibri" w:hAnsi="Calibri"/>
              </w:rPr>
            </w:pPr>
            <w:r w:rsidRPr="00EA1E04">
              <w:rPr>
                <w:rFonts w:ascii="Calibri" w:hAnsi="Calibri"/>
              </w:rPr>
              <w:t>1.1</w:t>
            </w:r>
          </w:p>
        </w:tc>
        <w:tc>
          <w:tcPr>
            <w:tcW w:w="1658" w:type="dxa"/>
            <w:gridSpan w:val="3"/>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sz w:val="20"/>
                <w:szCs w:val="20"/>
              </w:rPr>
            </w:pPr>
            <w:r w:rsidRPr="00EA1E04">
              <w:rPr>
                <w:sz w:val="20"/>
                <w:szCs w:val="20"/>
              </w:rPr>
              <w:t>1.25(1.20-1.29)</w:t>
            </w:r>
          </w:p>
        </w:tc>
      </w:tr>
      <w:tr w:rsidR="00EA1E04" w:rsidRPr="00EA1E04" w:rsidTr="00EB7E52">
        <w:trPr>
          <w:trHeight w:val="117"/>
        </w:trPr>
        <w:tc>
          <w:tcPr>
            <w:cnfStyle w:val="001000000000" w:firstRow="0" w:lastRow="0" w:firstColumn="1" w:lastColumn="0" w:oddVBand="0" w:evenVBand="0" w:oddHBand="0" w:evenHBand="0" w:firstRowFirstColumn="0" w:firstRowLastColumn="0" w:lastRowFirstColumn="0" w:lastRowLastColumn="0"/>
            <w:tcW w:w="1097" w:type="dxa"/>
            <w:tcBorders>
              <w:bottom w:val="single" w:sz="4" w:space="0" w:color="auto"/>
            </w:tcBorders>
            <w:vAlign w:val="center"/>
          </w:tcPr>
          <w:p w:rsidR="009742F0" w:rsidRPr="00EA1E04" w:rsidRDefault="009742F0" w:rsidP="00EB7E52">
            <w:pPr>
              <w:jc w:val="both"/>
              <w:rPr>
                <w:rFonts w:cs="Arial"/>
                <w:sz w:val="20"/>
                <w:szCs w:val="20"/>
                <w:lang w:eastAsia="en-GB"/>
              </w:rPr>
            </w:pPr>
            <w:r w:rsidRPr="00EA1E04">
              <w:rPr>
                <w:rFonts w:cs="Arial"/>
                <w:sz w:val="20"/>
                <w:szCs w:val="20"/>
                <w:lang w:eastAsia="en-GB"/>
              </w:rPr>
              <w:t>10</w:t>
            </w:r>
          </w:p>
        </w:tc>
        <w:tc>
          <w:tcPr>
            <w:tcW w:w="714" w:type="dxa"/>
            <w:gridSpan w:val="3"/>
            <w:tcBorders>
              <w:bottom w:val="single" w:sz="4" w:space="0" w:color="auto"/>
            </w:tcBorders>
          </w:tcPr>
          <w:p w:rsidR="009742F0" w:rsidRPr="00EA1E04" w:rsidRDefault="009742F0" w:rsidP="00EB7E52">
            <w:pPr>
              <w:jc w:val="right"/>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4.9</w:t>
            </w:r>
          </w:p>
        </w:tc>
        <w:tc>
          <w:tcPr>
            <w:tcW w:w="852" w:type="dxa"/>
            <w:tcBorders>
              <w:bottom w:val="single" w:sz="4" w:space="0" w:color="auto"/>
            </w:tcBorders>
          </w:tcPr>
          <w:p w:rsidR="009742F0" w:rsidRPr="00EA1E04" w:rsidRDefault="009742F0" w:rsidP="00EB7E52">
            <w:pPr>
              <w:jc w:val="right"/>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3.3</w:t>
            </w:r>
          </w:p>
        </w:tc>
        <w:tc>
          <w:tcPr>
            <w:tcW w:w="851" w:type="dxa"/>
            <w:gridSpan w:val="2"/>
            <w:tcBorders>
              <w:bottom w:val="single" w:sz="4" w:space="0" w:color="auto"/>
            </w:tcBorders>
            <w:vAlign w:val="bottom"/>
          </w:tcPr>
          <w:p w:rsidR="009742F0" w:rsidRPr="00EA1E04" w:rsidRDefault="009742F0" w:rsidP="00EB7E5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A1E04">
              <w:rPr>
                <w:rFonts w:ascii="Calibri" w:hAnsi="Calibri"/>
              </w:rPr>
              <w:t>1.6</w:t>
            </w:r>
          </w:p>
        </w:tc>
        <w:tc>
          <w:tcPr>
            <w:tcW w:w="1703" w:type="dxa"/>
            <w:gridSpan w:val="2"/>
            <w:tcBorders>
              <w:bottom w:val="single" w:sz="4" w:space="0" w:color="auto"/>
            </w:tcBorders>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1.52 (1.44-1.59)</w:t>
            </w:r>
          </w:p>
        </w:tc>
        <w:tc>
          <w:tcPr>
            <w:tcW w:w="1437" w:type="dxa"/>
            <w:gridSpan w:val="2"/>
            <w:tcBorders>
              <w:bottom w:val="single" w:sz="4" w:space="0" w:color="auto"/>
            </w:tcBorders>
          </w:tcPr>
          <w:p w:rsidR="009742F0" w:rsidRPr="00EA1E04" w:rsidRDefault="009742F0" w:rsidP="00EB7E52">
            <w:pPr>
              <w:jc w:val="right"/>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6.4</w:t>
            </w:r>
          </w:p>
        </w:tc>
        <w:tc>
          <w:tcPr>
            <w:tcW w:w="898" w:type="dxa"/>
            <w:gridSpan w:val="3"/>
            <w:tcBorders>
              <w:bottom w:val="single" w:sz="4" w:space="0" w:color="auto"/>
            </w:tcBorders>
          </w:tcPr>
          <w:p w:rsidR="009742F0" w:rsidRPr="00EA1E04" w:rsidRDefault="009742F0" w:rsidP="00EB7E5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5.4</w:t>
            </w:r>
          </w:p>
        </w:tc>
        <w:tc>
          <w:tcPr>
            <w:tcW w:w="769" w:type="dxa"/>
            <w:gridSpan w:val="2"/>
            <w:tcBorders>
              <w:bottom w:val="single" w:sz="4" w:space="0" w:color="auto"/>
            </w:tcBorders>
            <w:vAlign w:val="bottom"/>
          </w:tcPr>
          <w:p w:rsidR="009742F0" w:rsidRPr="00EA1E04" w:rsidRDefault="009742F0" w:rsidP="00EB7E52">
            <w:pPr>
              <w:cnfStyle w:val="000000000000" w:firstRow="0" w:lastRow="0" w:firstColumn="0" w:lastColumn="0" w:oddVBand="0" w:evenVBand="0" w:oddHBand="0" w:evenHBand="0" w:firstRowFirstColumn="0" w:firstRowLastColumn="0" w:lastRowFirstColumn="0" w:lastRowLastColumn="0"/>
              <w:rPr>
                <w:rFonts w:ascii="Calibri" w:hAnsi="Calibri"/>
              </w:rPr>
            </w:pPr>
            <w:r w:rsidRPr="00EA1E04">
              <w:rPr>
                <w:rFonts w:ascii="Calibri" w:hAnsi="Calibri"/>
              </w:rPr>
              <w:t>1.0</w:t>
            </w:r>
          </w:p>
        </w:tc>
        <w:tc>
          <w:tcPr>
            <w:tcW w:w="1579" w:type="dxa"/>
            <w:tcBorders>
              <w:bottom w:val="single" w:sz="4" w:space="0" w:color="auto"/>
            </w:tcBorders>
          </w:tcPr>
          <w:p w:rsidR="009742F0" w:rsidRPr="00EA1E04" w:rsidRDefault="009742F0" w:rsidP="00EB7E52">
            <w:pPr>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1.19(1.12-1.26)</w:t>
            </w:r>
          </w:p>
        </w:tc>
        <w:tc>
          <w:tcPr>
            <w:tcW w:w="1111" w:type="dxa"/>
            <w:gridSpan w:val="2"/>
            <w:tcBorders>
              <w:bottom w:val="single" w:sz="4" w:space="0" w:color="auto"/>
            </w:tcBorders>
          </w:tcPr>
          <w:p w:rsidR="009742F0" w:rsidRPr="00EA1E04" w:rsidRDefault="009742F0" w:rsidP="00EB7E52">
            <w:pPr>
              <w:jc w:val="right"/>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5.4</w:t>
            </w:r>
          </w:p>
        </w:tc>
        <w:tc>
          <w:tcPr>
            <w:tcW w:w="1008" w:type="dxa"/>
            <w:gridSpan w:val="2"/>
            <w:tcBorders>
              <w:bottom w:val="single" w:sz="4" w:space="0" w:color="auto"/>
            </w:tcBorders>
          </w:tcPr>
          <w:p w:rsidR="009742F0" w:rsidRPr="00EA1E04" w:rsidRDefault="009742F0" w:rsidP="00EB7E5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4.3</w:t>
            </w:r>
          </w:p>
        </w:tc>
        <w:tc>
          <w:tcPr>
            <w:tcW w:w="782" w:type="dxa"/>
            <w:gridSpan w:val="2"/>
            <w:tcBorders>
              <w:bottom w:val="single" w:sz="4" w:space="0" w:color="auto"/>
            </w:tcBorders>
            <w:vAlign w:val="bottom"/>
          </w:tcPr>
          <w:p w:rsidR="009742F0" w:rsidRPr="00EA1E04" w:rsidRDefault="009742F0" w:rsidP="00EB7E52">
            <w:pPr>
              <w:cnfStyle w:val="000000000000" w:firstRow="0" w:lastRow="0" w:firstColumn="0" w:lastColumn="0" w:oddVBand="0" w:evenVBand="0" w:oddHBand="0" w:evenHBand="0" w:firstRowFirstColumn="0" w:firstRowLastColumn="0" w:lastRowFirstColumn="0" w:lastRowLastColumn="0"/>
              <w:rPr>
                <w:rFonts w:ascii="Calibri" w:hAnsi="Calibri"/>
              </w:rPr>
            </w:pPr>
            <w:r w:rsidRPr="00EA1E04">
              <w:rPr>
                <w:rFonts w:ascii="Calibri" w:hAnsi="Calibri"/>
              </w:rPr>
              <w:t>1.1</w:t>
            </w:r>
          </w:p>
        </w:tc>
        <w:tc>
          <w:tcPr>
            <w:tcW w:w="1658" w:type="dxa"/>
            <w:gridSpan w:val="3"/>
            <w:tcBorders>
              <w:bottom w:val="single" w:sz="4" w:space="0" w:color="auto"/>
            </w:tcBorders>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sz w:val="20"/>
                <w:szCs w:val="20"/>
              </w:rPr>
            </w:pPr>
            <w:r w:rsidRPr="00EA1E04">
              <w:rPr>
                <w:sz w:val="20"/>
                <w:szCs w:val="20"/>
              </w:rPr>
              <w:t>1.25(1.21-1.30)</w:t>
            </w:r>
          </w:p>
        </w:tc>
      </w:tr>
      <w:tr w:rsidR="00EA1E04" w:rsidRPr="00EA1E04" w:rsidTr="00EB7E52">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14458" w:type="dxa"/>
            <w:gridSpan w:val="26"/>
            <w:tcBorders>
              <w:top w:val="single" w:sz="4" w:space="0" w:color="auto"/>
              <w:left w:val="nil"/>
              <w:bottom w:val="nil"/>
              <w:right w:val="nil"/>
            </w:tcBorders>
            <w:vAlign w:val="center"/>
          </w:tcPr>
          <w:p w:rsidR="009742F0" w:rsidRPr="00EA1E04" w:rsidRDefault="009742F0" w:rsidP="00EB7E52">
            <w:pPr>
              <w:jc w:val="both"/>
              <w:rPr>
                <w:b w:val="0"/>
                <w:sz w:val="20"/>
                <w:szCs w:val="20"/>
              </w:rPr>
            </w:pPr>
            <w:r w:rsidRPr="00EA1E04">
              <w:rPr>
                <w:b w:val="0"/>
                <w:sz w:val="20"/>
                <w:szCs w:val="20"/>
              </w:rPr>
              <w:t>Likelihood ratio test p value for the interaction between sex and consultation rates</w:t>
            </w:r>
            <w:r w:rsidR="00160393" w:rsidRPr="00EA1E04">
              <w:rPr>
                <w:b w:val="0"/>
                <w:sz w:val="20"/>
                <w:szCs w:val="20"/>
              </w:rPr>
              <w:t>, with adjustment for age</w:t>
            </w:r>
            <w:r w:rsidRPr="00EA1E04">
              <w:rPr>
                <w:b w:val="0"/>
                <w:sz w:val="20"/>
                <w:szCs w:val="20"/>
              </w:rPr>
              <w:t>: &lt;0.0001</w:t>
            </w:r>
            <w:r w:rsidR="00EA1E04">
              <w:rPr>
                <w:b w:val="0"/>
                <w:sz w:val="20"/>
                <w:szCs w:val="20"/>
              </w:rPr>
              <w:t>. CI= confidence interval; IRR=Incidence rate ratio.</w:t>
            </w:r>
          </w:p>
          <w:p w:rsidR="009742F0" w:rsidRPr="00EA1E04" w:rsidRDefault="009742F0" w:rsidP="00EB7E52">
            <w:pPr>
              <w:jc w:val="both"/>
              <w:rPr>
                <w:sz w:val="20"/>
                <w:szCs w:val="20"/>
              </w:rPr>
            </w:pPr>
          </w:p>
        </w:tc>
      </w:tr>
    </w:tbl>
    <w:p w:rsidR="009742F0" w:rsidRPr="00EA1E04" w:rsidRDefault="009742F0" w:rsidP="009742F0">
      <w:pPr>
        <w:jc w:val="both"/>
        <w:rPr>
          <w:sz w:val="24"/>
          <w:szCs w:val="24"/>
        </w:rPr>
      </w:pPr>
    </w:p>
    <w:p w:rsidR="009742F0" w:rsidRPr="00EA1E04" w:rsidRDefault="009742F0" w:rsidP="009742F0">
      <w:pPr>
        <w:jc w:val="both"/>
        <w:rPr>
          <w:sz w:val="24"/>
          <w:szCs w:val="24"/>
        </w:rPr>
      </w:pPr>
    </w:p>
    <w:p w:rsidR="009742F0" w:rsidRPr="00EA1E04" w:rsidRDefault="009742F0" w:rsidP="009742F0">
      <w:pPr>
        <w:jc w:val="both"/>
        <w:rPr>
          <w:sz w:val="24"/>
          <w:szCs w:val="24"/>
        </w:rPr>
      </w:pPr>
    </w:p>
    <w:p w:rsidR="009742F0" w:rsidRPr="00EA1E04" w:rsidRDefault="009742F0" w:rsidP="009742F0">
      <w:pPr>
        <w:jc w:val="both"/>
        <w:rPr>
          <w:sz w:val="24"/>
          <w:szCs w:val="24"/>
        </w:rPr>
      </w:pPr>
    </w:p>
    <w:p w:rsidR="009742F0" w:rsidRPr="00EA1E04" w:rsidRDefault="009742F0" w:rsidP="009742F0">
      <w:pPr>
        <w:jc w:val="both"/>
        <w:rPr>
          <w:sz w:val="24"/>
          <w:szCs w:val="24"/>
        </w:rPr>
      </w:pPr>
    </w:p>
    <w:p w:rsidR="001A6AC6" w:rsidRPr="00EA1E04" w:rsidRDefault="001A6AC6" w:rsidP="009742F0">
      <w:pPr>
        <w:jc w:val="both"/>
        <w:rPr>
          <w:b/>
          <w:sz w:val="24"/>
          <w:szCs w:val="24"/>
        </w:rPr>
      </w:pPr>
    </w:p>
    <w:p w:rsidR="009742F0" w:rsidRPr="00EA1E04" w:rsidRDefault="009742F0" w:rsidP="009742F0">
      <w:pPr>
        <w:jc w:val="both"/>
        <w:rPr>
          <w:b/>
          <w:sz w:val="24"/>
          <w:szCs w:val="24"/>
        </w:rPr>
      </w:pPr>
      <w:r w:rsidRPr="00EA1E04">
        <w:rPr>
          <w:b/>
          <w:sz w:val="24"/>
          <w:szCs w:val="24"/>
        </w:rPr>
        <w:lastRenderedPageBreak/>
        <w:t xml:space="preserve">Table 3: Overall and yearly admission rates </w:t>
      </w:r>
      <w:r w:rsidR="00CE3982" w:rsidRPr="00EA1E04">
        <w:rPr>
          <w:b/>
          <w:sz w:val="24"/>
          <w:szCs w:val="24"/>
        </w:rPr>
        <w:t xml:space="preserve">and rate ratios </w:t>
      </w:r>
      <w:r w:rsidRPr="00EA1E04">
        <w:rPr>
          <w:b/>
          <w:sz w:val="24"/>
          <w:szCs w:val="24"/>
        </w:rPr>
        <w:t>of cases of alcoholic cirrhosis and controls</w:t>
      </w:r>
    </w:p>
    <w:tbl>
      <w:tblPr>
        <w:tblStyle w:val="LightList1"/>
        <w:tblW w:w="14473" w:type="dxa"/>
        <w:tblLayout w:type="fixed"/>
        <w:tblLook w:val="04A0" w:firstRow="1" w:lastRow="0" w:firstColumn="1" w:lastColumn="0" w:noHBand="0" w:noVBand="1"/>
      </w:tblPr>
      <w:tblGrid>
        <w:gridCol w:w="1098"/>
        <w:gridCol w:w="9"/>
        <w:gridCol w:w="98"/>
        <w:gridCol w:w="607"/>
        <w:gridCol w:w="853"/>
        <w:gridCol w:w="142"/>
        <w:gridCol w:w="710"/>
        <w:gridCol w:w="142"/>
        <w:gridCol w:w="1563"/>
        <w:gridCol w:w="1307"/>
        <w:gridCol w:w="132"/>
        <w:gridCol w:w="8"/>
        <w:gridCol w:w="875"/>
        <w:gridCol w:w="16"/>
        <w:gridCol w:w="753"/>
        <w:gridCol w:w="17"/>
        <w:gridCol w:w="1580"/>
        <w:gridCol w:w="1096"/>
        <w:gridCol w:w="16"/>
        <w:gridCol w:w="899"/>
        <w:gridCol w:w="110"/>
        <w:gridCol w:w="769"/>
        <w:gridCol w:w="14"/>
        <w:gridCol w:w="79"/>
        <w:gridCol w:w="1563"/>
        <w:gridCol w:w="17"/>
      </w:tblGrid>
      <w:tr w:rsidR="00EA1E04" w:rsidRPr="00EA1E04" w:rsidTr="00EB7E52">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205" w:type="dxa"/>
            <w:gridSpan w:val="3"/>
            <w:shd w:val="clear" w:color="auto" w:fill="BFBFBF" w:themeFill="background1" w:themeFillShade="BF"/>
          </w:tcPr>
          <w:p w:rsidR="009742F0" w:rsidRPr="00EA1E04" w:rsidRDefault="009742F0" w:rsidP="00EB7E52">
            <w:pPr>
              <w:jc w:val="both"/>
              <w:rPr>
                <w:rFonts w:cs="Arial"/>
                <w:color w:val="auto"/>
                <w:sz w:val="20"/>
                <w:szCs w:val="20"/>
                <w:lang w:eastAsia="en-GB"/>
              </w:rPr>
            </w:pPr>
          </w:p>
        </w:tc>
        <w:tc>
          <w:tcPr>
            <w:tcW w:w="4017" w:type="dxa"/>
            <w:gridSpan w:val="6"/>
            <w:shd w:val="clear" w:color="auto" w:fill="BFBFBF" w:themeFill="background1" w:themeFillShade="BF"/>
          </w:tcPr>
          <w:p w:rsidR="009742F0" w:rsidRPr="00EA1E04" w:rsidRDefault="009742F0" w:rsidP="00EB7E52">
            <w:pPr>
              <w:jc w:val="both"/>
              <w:cnfStyle w:val="100000000000" w:firstRow="1" w:lastRow="0" w:firstColumn="0" w:lastColumn="0" w:oddVBand="0" w:evenVBand="0" w:oddHBand="0" w:evenHBand="0" w:firstRowFirstColumn="0" w:firstRowLastColumn="0" w:lastRowFirstColumn="0" w:lastRowLastColumn="0"/>
              <w:rPr>
                <w:rFonts w:cs="Arial"/>
                <w:color w:val="auto"/>
                <w:sz w:val="20"/>
                <w:szCs w:val="20"/>
                <w:lang w:eastAsia="en-GB"/>
              </w:rPr>
            </w:pPr>
            <w:r w:rsidRPr="00EA1E04">
              <w:rPr>
                <w:rFonts w:cs="Arial"/>
                <w:color w:val="auto"/>
                <w:sz w:val="20"/>
                <w:szCs w:val="20"/>
                <w:lang w:eastAsia="en-GB"/>
              </w:rPr>
              <w:t>Males</w:t>
            </w:r>
          </w:p>
          <w:p w:rsidR="009742F0" w:rsidRPr="00EA1E04" w:rsidRDefault="009742F0" w:rsidP="00EB7E52">
            <w:pPr>
              <w:jc w:val="both"/>
              <w:cnfStyle w:val="100000000000" w:firstRow="1" w:lastRow="0" w:firstColumn="0" w:lastColumn="0" w:oddVBand="0" w:evenVBand="0" w:oddHBand="0" w:evenHBand="0" w:firstRowFirstColumn="0" w:firstRowLastColumn="0" w:lastRowFirstColumn="0" w:lastRowLastColumn="0"/>
              <w:rPr>
                <w:rFonts w:cs="Arial"/>
                <w:color w:val="auto"/>
                <w:sz w:val="20"/>
                <w:szCs w:val="20"/>
                <w:lang w:eastAsia="en-GB"/>
              </w:rPr>
            </w:pPr>
            <w:r w:rsidRPr="00EA1E04">
              <w:rPr>
                <w:rFonts w:cs="Arial"/>
                <w:color w:val="auto"/>
                <w:sz w:val="20"/>
                <w:szCs w:val="20"/>
                <w:lang w:eastAsia="en-GB"/>
              </w:rPr>
              <w:t>Rate per 10 person-years</w:t>
            </w:r>
          </w:p>
        </w:tc>
        <w:tc>
          <w:tcPr>
            <w:tcW w:w="4688" w:type="dxa"/>
            <w:gridSpan w:val="8"/>
            <w:shd w:val="clear" w:color="auto" w:fill="BFBFBF" w:themeFill="background1" w:themeFillShade="BF"/>
          </w:tcPr>
          <w:p w:rsidR="009742F0" w:rsidRPr="00EA1E04" w:rsidRDefault="009742F0" w:rsidP="00EB7E52">
            <w:pPr>
              <w:jc w:val="both"/>
              <w:cnfStyle w:val="100000000000" w:firstRow="1" w:lastRow="0" w:firstColumn="0" w:lastColumn="0" w:oddVBand="0" w:evenVBand="0" w:oddHBand="0" w:evenHBand="0" w:firstRowFirstColumn="0" w:firstRowLastColumn="0" w:lastRowFirstColumn="0" w:lastRowLastColumn="0"/>
              <w:rPr>
                <w:rFonts w:cs="Arial"/>
                <w:color w:val="auto"/>
                <w:sz w:val="20"/>
                <w:szCs w:val="20"/>
                <w:lang w:eastAsia="en-GB"/>
              </w:rPr>
            </w:pPr>
            <w:r w:rsidRPr="00EA1E04">
              <w:rPr>
                <w:rFonts w:cs="Arial"/>
                <w:color w:val="auto"/>
                <w:sz w:val="20"/>
                <w:szCs w:val="20"/>
                <w:lang w:eastAsia="en-GB"/>
              </w:rPr>
              <w:t>Females</w:t>
            </w:r>
          </w:p>
          <w:p w:rsidR="009742F0" w:rsidRPr="00EA1E04" w:rsidRDefault="009742F0" w:rsidP="00EB7E52">
            <w:pPr>
              <w:jc w:val="both"/>
              <w:cnfStyle w:val="100000000000" w:firstRow="1" w:lastRow="0" w:firstColumn="0" w:lastColumn="0" w:oddVBand="0" w:evenVBand="0" w:oddHBand="0" w:evenHBand="0" w:firstRowFirstColumn="0" w:firstRowLastColumn="0" w:lastRowFirstColumn="0" w:lastRowLastColumn="0"/>
              <w:rPr>
                <w:rFonts w:cs="Arial"/>
                <w:color w:val="auto"/>
                <w:sz w:val="20"/>
                <w:szCs w:val="20"/>
                <w:lang w:eastAsia="en-GB"/>
              </w:rPr>
            </w:pPr>
            <w:r w:rsidRPr="00EA1E04">
              <w:rPr>
                <w:rFonts w:cs="Arial"/>
                <w:color w:val="auto"/>
                <w:sz w:val="20"/>
                <w:szCs w:val="20"/>
                <w:lang w:eastAsia="en-GB"/>
              </w:rPr>
              <w:t>Rate per 10 person-years</w:t>
            </w:r>
          </w:p>
        </w:tc>
        <w:tc>
          <w:tcPr>
            <w:tcW w:w="4563" w:type="dxa"/>
            <w:gridSpan w:val="9"/>
            <w:shd w:val="clear" w:color="auto" w:fill="BFBFBF" w:themeFill="background1" w:themeFillShade="BF"/>
          </w:tcPr>
          <w:p w:rsidR="009742F0" w:rsidRPr="00EA1E04" w:rsidRDefault="009742F0" w:rsidP="00EB7E52">
            <w:pPr>
              <w:jc w:val="both"/>
              <w:cnfStyle w:val="100000000000" w:firstRow="1" w:lastRow="0" w:firstColumn="0" w:lastColumn="0" w:oddVBand="0" w:evenVBand="0" w:oddHBand="0" w:evenHBand="0" w:firstRowFirstColumn="0" w:firstRowLastColumn="0" w:lastRowFirstColumn="0" w:lastRowLastColumn="0"/>
              <w:rPr>
                <w:rFonts w:cs="Arial"/>
                <w:color w:val="auto"/>
                <w:sz w:val="20"/>
                <w:szCs w:val="20"/>
                <w:lang w:eastAsia="en-GB"/>
              </w:rPr>
            </w:pPr>
            <w:r w:rsidRPr="00EA1E04">
              <w:rPr>
                <w:rFonts w:cs="Arial"/>
                <w:color w:val="auto"/>
                <w:sz w:val="20"/>
                <w:szCs w:val="20"/>
                <w:lang w:eastAsia="en-GB"/>
              </w:rPr>
              <w:t>Overall</w:t>
            </w:r>
          </w:p>
          <w:p w:rsidR="009742F0" w:rsidRPr="00EA1E04" w:rsidRDefault="009742F0" w:rsidP="00EB7E52">
            <w:pPr>
              <w:jc w:val="both"/>
              <w:cnfStyle w:val="100000000000" w:firstRow="1" w:lastRow="0" w:firstColumn="0" w:lastColumn="0" w:oddVBand="0" w:evenVBand="0" w:oddHBand="0" w:evenHBand="0" w:firstRowFirstColumn="0" w:firstRowLastColumn="0" w:lastRowFirstColumn="0" w:lastRowLastColumn="0"/>
              <w:rPr>
                <w:rFonts w:cs="Arial"/>
                <w:color w:val="auto"/>
                <w:sz w:val="20"/>
                <w:szCs w:val="20"/>
                <w:lang w:eastAsia="en-GB"/>
              </w:rPr>
            </w:pPr>
            <w:r w:rsidRPr="00EA1E04">
              <w:rPr>
                <w:rFonts w:cs="Arial"/>
                <w:color w:val="auto"/>
                <w:sz w:val="20"/>
                <w:szCs w:val="20"/>
                <w:lang w:eastAsia="en-GB"/>
              </w:rPr>
              <w:t>Rate per 10 person-years</w:t>
            </w:r>
          </w:p>
        </w:tc>
      </w:tr>
      <w:tr w:rsidR="00EA1E04" w:rsidRPr="00EA1E04" w:rsidTr="00EB7E52">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98" w:type="dxa"/>
            <w:vAlign w:val="center"/>
          </w:tcPr>
          <w:p w:rsidR="009742F0" w:rsidRPr="00EA1E04" w:rsidRDefault="009742F0" w:rsidP="00EB7E52">
            <w:pPr>
              <w:jc w:val="both"/>
              <w:rPr>
                <w:rFonts w:cs="Arial"/>
                <w:sz w:val="20"/>
                <w:szCs w:val="20"/>
                <w:lang w:eastAsia="en-GB"/>
              </w:rPr>
            </w:pPr>
          </w:p>
        </w:tc>
        <w:tc>
          <w:tcPr>
            <w:tcW w:w="714" w:type="dxa"/>
            <w:gridSpan w:val="3"/>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b/>
                <w:sz w:val="20"/>
                <w:szCs w:val="20"/>
                <w:lang w:eastAsia="en-GB"/>
              </w:rPr>
            </w:pPr>
            <w:r w:rsidRPr="00EA1E04">
              <w:rPr>
                <w:rFonts w:cs="Arial"/>
                <w:b/>
                <w:sz w:val="20"/>
                <w:szCs w:val="20"/>
                <w:lang w:eastAsia="en-GB"/>
              </w:rPr>
              <w:t xml:space="preserve">     Cases</w:t>
            </w:r>
          </w:p>
        </w:tc>
        <w:tc>
          <w:tcPr>
            <w:tcW w:w="995" w:type="dxa"/>
            <w:gridSpan w:val="2"/>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 xml:space="preserve">   Controls</w:t>
            </w:r>
          </w:p>
        </w:tc>
        <w:tc>
          <w:tcPr>
            <w:tcW w:w="852" w:type="dxa"/>
            <w:gridSpan w:val="2"/>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Excess</w:t>
            </w:r>
          </w:p>
        </w:tc>
        <w:tc>
          <w:tcPr>
            <w:tcW w:w="1563" w:type="dxa"/>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 xml:space="preserve">     IRR(95% CI)</w:t>
            </w:r>
          </w:p>
        </w:tc>
        <w:tc>
          <w:tcPr>
            <w:tcW w:w="1307" w:type="dxa"/>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 xml:space="preserve">                    Cases</w:t>
            </w:r>
          </w:p>
        </w:tc>
        <w:tc>
          <w:tcPr>
            <w:tcW w:w="1031" w:type="dxa"/>
            <w:gridSpan w:val="4"/>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 xml:space="preserve">Controls </w:t>
            </w:r>
          </w:p>
        </w:tc>
        <w:tc>
          <w:tcPr>
            <w:tcW w:w="770" w:type="dxa"/>
            <w:gridSpan w:val="2"/>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Excess</w:t>
            </w:r>
          </w:p>
        </w:tc>
        <w:tc>
          <w:tcPr>
            <w:tcW w:w="1580" w:type="dxa"/>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 xml:space="preserve">    IRR(95% CI)</w:t>
            </w:r>
          </w:p>
        </w:tc>
        <w:tc>
          <w:tcPr>
            <w:tcW w:w="1096" w:type="dxa"/>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 xml:space="preserve">             Cases</w:t>
            </w:r>
          </w:p>
        </w:tc>
        <w:tc>
          <w:tcPr>
            <w:tcW w:w="915" w:type="dxa"/>
            <w:gridSpan w:val="2"/>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 xml:space="preserve">  Controls</w:t>
            </w:r>
          </w:p>
        </w:tc>
        <w:tc>
          <w:tcPr>
            <w:tcW w:w="972" w:type="dxa"/>
            <w:gridSpan w:val="4"/>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 xml:space="preserve">      Excess</w:t>
            </w:r>
          </w:p>
        </w:tc>
        <w:tc>
          <w:tcPr>
            <w:tcW w:w="1580" w:type="dxa"/>
            <w:gridSpan w:val="2"/>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 xml:space="preserve">       IRR(95% CI)</w:t>
            </w:r>
          </w:p>
        </w:tc>
      </w:tr>
      <w:tr w:rsidR="00EA1E04" w:rsidRPr="00EA1E04" w:rsidTr="00EB7E52">
        <w:trPr>
          <w:trHeight w:val="135"/>
        </w:trPr>
        <w:tc>
          <w:tcPr>
            <w:cnfStyle w:val="001000000000" w:firstRow="0" w:lastRow="0" w:firstColumn="1" w:lastColumn="0" w:oddVBand="0" w:evenVBand="0" w:oddHBand="0" w:evenHBand="0" w:firstRowFirstColumn="0" w:firstRowLastColumn="0" w:lastRowFirstColumn="0" w:lastRowLastColumn="0"/>
            <w:tcW w:w="14473" w:type="dxa"/>
            <w:gridSpan w:val="26"/>
            <w:shd w:val="clear" w:color="auto" w:fill="BFBFBF" w:themeFill="background1" w:themeFillShade="BF"/>
          </w:tcPr>
          <w:p w:rsidR="009742F0" w:rsidRPr="00EA1E04" w:rsidRDefault="009742F0" w:rsidP="00EB7E52">
            <w:pPr>
              <w:jc w:val="both"/>
              <w:rPr>
                <w:rFonts w:cs="Arial"/>
                <w:sz w:val="20"/>
                <w:szCs w:val="20"/>
                <w:lang w:eastAsia="en-GB"/>
              </w:rPr>
            </w:pPr>
            <w:r w:rsidRPr="00EA1E04">
              <w:rPr>
                <w:rFonts w:cs="Arial"/>
                <w:sz w:val="20"/>
                <w:szCs w:val="20"/>
                <w:lang w:eastAsia="en-GB"/>
              </w:rPr>
              <w:t>Overall study period</w:t>
            </w:r>
          </w:p>
        </w:tc>
      </w:tr>
      <w:tr w:rsidR="00EA1E04" w:rsidRPr="00EA1E04" w:rsidTr="00EB7E52">
        <w:trPr>
          <w:gridAfter w:val="1"/>
          <w:cnfStyle w:val="000000100000" w:firstRow="0" w:lastRow="0" w:firstColumn="0" w:lastColumn="0" w:oddVBand="0" w:evenVBand="0" w:oddHBand="1" w:evenHBand="0" w:firstRowFirstColumn="0" w:firstRowLastColumn="0" w:lastRowFirstColumn="0" w:lastRowLastColumn="0"/>
          <w:wAfter w:w="17" w:type="dxa"/>
          <w:trHeight w:val="135"/>
        </w:trPr>
        <w:tc>
          <w:tcPr>
            <w:cnfStyle w:val="001000000000" w:firstRow="0" w:lastRow="0" w:firstColumn="1" w:lastColumn="0" w:oddVBand="0" w:evenVBand="0" w:oddHBand="0" w:evenHBand="0" w:firstRowFirstColumn="0" w:firstRowLastColumn="0" w:lastRowFirstColumn="0" w:lastRowLastColumn="0"/>
            <w:tcW w:w="1107" w:type="dxa"/>
            <w:gridSpan w:val="2"/>
            <w:shd w:val="clear" w:color="auto" w:fill="auto"/>
          </w:tcPr>
          <w:p w:rsidR="009742F0" w:rsidRPr="00EA1E04" w:rsidRDefault="009742F0" w:rsidP="00EB7E52">
            <w:pPr>
              <w:jc w:val="both"/>
              <w:rPr>
                <w:rFonts w:cs="Arial"/>
                <w:b w:val="0"/>
                <w:bCs w:val="0"/>
                <w:sz w:val="20"/>
                <w:szCs w:val="20"/>
                <w:lang w:eastAsia="en-GB"/>
              </w:rPr>
            </w:pPr>
          </w:p>
        </w:tc>
        <w:tc>
          <w:tcPr>
            <w:tcW w:w="705" w:type="dxa"/>
            <w:gridSpan w:val="2"/>
            <w:shd w:val="clear" w:color="auto" w:fill="auto"/>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5.8</w:t>
            </w:r>
          </w:p>
        </w:tc>
        <w:tc>
          <w:tcPr>
            <w:tcW w:w="853" w:type="dxa"/>
            <w:shd w:val="clear" w:color="auto" w:fill="auto"/>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2.1</w:t>
            </w:r>
          </w:p>
        </w:tc>
        <w:tc>
          <w:tcPr>
            <w:tcW w:w="852" w:type="dxa"/>
            <w:gridSpan w:val="2"/>
            <w:shd w:val="clear" w:color="auto" w:fill="auto"/>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b/>
                <w:sz w:val="20"/>
                <w:szCs w:val="20"/>
                <w:lang w:eastAsia="en-GB"/>
              </w:rPr>
            </w:pPr>
            <w:r w:rsidRPr="00EA1E04">
              <w:rPr>
                <w:rFonts w:cs="Arial"/>
                <w:b/>
                <w:sz w:val="20"/>
                <w:szCs w:val="20"/>
                <w:lang w:eastAsia="en-GB"/>
              </w:rPr>
              <w:t>3.7</w:t>
            </w:r>
          </w:p>
        </w:tc>
        <w:tc>
          <w:tcPr>
            <w:tcW w:w="1705" w:type="dxa"/>
            <w:gridSpan w:val="2"/>
            <w:shd w:val="clear" w:color="auto" w:fill="auto"/>
            <w:vAlign w:val="center"/>
          </w:tcPr>
          <w:p w:rsidR="009742F0" w:rsidRPr="00EA1E04" w:rsidRDefault="003933D7"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2.82(2.73-2.90)</w:t>
            </w:r>
          </w:p>
        </w:tc>
        <w:tc>
          <w:tcPr>
            <w:tcW w:w="1447" w:type="dxa"/>
            <w:gridSpan w:val="3"/>
            <w:shd w:val="clear" w:color="auto" w:fill="auto"/>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5.0</w:t>
            </w:r>
          </w:p>
        </w:tc>
        <w:tc>
          <w:tcPr>
            <w:tcW w:w="875" w:type="dxa"/>
            <w:shd w:val="clear" w:color="auto" w:fill="auto"/>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2.4</w:t>
            </w:r>
          </w:p>
        </w:tc>
        <w:tc>
          <w:tcPr>
            <w:tcW w:w="769" w:type="dxa"/>
            <w:gridSpan w:val="2"/>
            <w:shd w:val="clear" w:color="auto" w:fill="auto"/>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b/>
                <w:sz w:val="20"/>
                <w:szCs w:val="20"/>
                <w:lang w:eastAsia="en-GB"/>
              </w:rPr>
            </w:pPr>
            <w:r w:rsidRPr="00EA1E04">
              <w:rPr>
                <w:rFonts w:cs="Arial"/>
                <w:b/>
                <w:sz w:val="20"/>
                <w:szCs w:val="20"/>
                <w:lang w:eastAsia="en-GB"/>
              </w:rPr>
              <w:t>2.6</w:t>
            </w:r>
          </w:p>
        </w:tc>
        <w:tc>
          <w:tcPr>
            <w:tcW w:w="1597" w:type="dxa"/>
            <w:gridSpan w:val="2"/>
            <w:shd w:val="clear" w:color="auto" w:fill="auto"/>
            <w:vAlign w:val="center"/>
          </w:tcPr>
          <w:p w:rsidR="009742F0" w:rsidRPr="00EA1E04" w:rsidRDefault="003933D7"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2.09(2.01-2.19)</w:t>
            </w:r>
          </w:p>
        </w:tc>
        <w:tc>
          <w:tcPr>
            <w:tcW w:w="1096" w:type="dxa"/>
            <w:shd w:val="clear" w:color="auto" w:fill="auto"/>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5.5</w:t>
            </w:r>
          </w:p>
        </w:tc>
        <w:tc>
          <w:tcPr>
            <w:tcW w:w="1025" w:type="dxa"/>
            <w:gridSpan w:val="3"/>
            <w:shd w:val="clear" w:color="auto" w:fill="auto"/>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2.2</w:t>
            </w:r>
          </w:p>
        </w:tc>
        <w:tc>
          <w:tcPr>
            <w:tcW w:w="769" w:type="dxa"/>
            <w:shd w:val="clear" w:color="auto" w:fill="auto"/>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b/>
                <w:sz w:val="20"/>
                <w:szCs w:val="20"/>
                <w:lang w:eastAsia="en-GB"/>
              </w:rPr>
            </w:pPr>
            <w:r w:rsidRPr="00EA1E04">
              <w:rPr>
                <w:rFonts w:cs="Arial"/>
                <w:b/>
                <w:sz w:val="20"/>
                <w:szCs w:val="20"/>
                <w:lang w:eastAsia="en-GB"/>
              </w:rPr>
              <w:t>3.3</w:t>
            </w:r>
          </w:p>
        </w:tc>
        <w:tc>
          <w:tcPr>
            <w:tcW w:w="1656" w:type="dxa"/>
            <w:gridSpan w:val="3"/>
            <w:shd w:val="clear" w:color="auto" w:fill="auto"/>
            <w:vAlign w:val="center"/>
          </w:tcPr>
          <w:p w:rsidR="009742F0" w:rsidRPr="00EA1E04" w:rsidRDefault="003933D7"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2.49(2.42-2.54)</w:t>
            </w:r>
          </w:p>
        </w:tc>
      </w:tr>
      <w:tr w:rsidR="00EA1E04" w:rsidRPr="00EA1E04" w:rsidTr="00EB7E52">
        <w:trPr>
          <w:gridAfter w:val="1"/>
          <w:wAfter w:w="17" w:type="dxa"/>
          <w:trHeight w:val="135"/>
        </w:trPr>
        <w:tc>
          <w:tcPr>
            <w:cnfStyle w:val="001000000000" w:firstRow="0" w:lastRow="0" w:firstColumn="1" w:lastColumn="0" w:oddVBand="0" w:evenVBand="0" w:oddHBand="0" w:evenHBand="0" w:firstRowFirstColumn="0" w:firstRowLastColumn="0" w:lastRowFirstColumn="0" w:lastRowLastColumn="0"/>
            <w:tcW w:w="14456" w:type="dxa"/>
            <w:gridSpan w:val="25"/>
            <w:shd w:val="clear" w:color="auto" w:fill="BFBFBF" w:themeFill="background1" w:themeFillShade="BF"/>
          </w:tcPr>
          <w:p w:rsidR="009742F0" w:rsidRPr="00EA1E04" w:rsidRDefault="009742F0" w:rsidP="00EB7E52">
            <w:pPr>
              <w:jc w:val="both"/>
              <w:rPr>
                <w:rFonts w:cs="Arial"/>
                <w:sz w:val="20"/>
                <w:szCs w:val="20"/>
                <w:lang w:eastAsia="en-GB"/>
              </w:rPr>
            </w:pPr>
            <w:r w:rsidRPr="00EA1E04">
              <w:rPr>
                <w:rFonts w:cs="Arial"/>
                <w:sz w:val="20"/>
                <w:szCs w:val="20"/>
                <w:lang w:eastAsia="en-GB"/>
              </w:rPr>
              <w:t>Time to diagnosis(yrs.)</w:t>
            </w:r>
          </w:p>
        </w:tc>
      </w:tr>
      <w:tr w:rsidR="00EA1E04" w:rsidRPr="00EA1E04" w:rsidTr="00EB7E52">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98" w:type="dxa"/>
            <w:vAlign w:val="center"/>
          </w:tcPr>
          <w:p w:rsidR="009742F0" w:rsidRPr="00EA1E04" w:rsidRDefault="009742F0" w:rsidP="00EB7E52">
            <w:pPr>
              <w:jc w:val="both"/>
              <w:rPr>
                <w:rFonts w:cs="Arial"/>
                <w:sz w:val="20"/>
                <w:szCs w:val="20"/>
                <w:lang w:eastAsia="en-GB"/>
              </w:rPr>
            </w:pPr>
            <w:r w:rsidRPr="00EA1E04">
              <w:rPr>
                <w:rFonts w:cs="Arial"/>
                <w:sz w:val="20"/>
                <w:szCs w:val="20"/>
                <w:lang w:eastAsia="en-GB"/>
              </w:rPr>
              <w:t>1</w:t>
            </w:r>
          </w:p>
        </w:tc>
        <w:tc>
          <w:tcPr>
            <w:tcW w:w="714" w:type="dxa"/>
            <w:gridSpan w:val="3"/>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13.5</w:t>
            </w:r>
          </w:p>
        </w:tc>
        <w:tc>
          <w:tcPr>
            <w:tcW w:w="853" w:type="dxa"/>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2.9</w:t>
            </w:r>
          </w:p>
        </w:tc>
        <w:tc>
          <w:tcPr>
            <w:tcW w:w="852"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EA1E04">
              <w:rPr>
                <w:rFonts w:ascii="Calibri" w:hAnsi="Calibri"/>
                <w:b/>
                <w:sz w:val="20"/>
                <w:szCs w:val="20"/>
              </w:rPr>
              <w:t>10.6</w:t>
            </w:r>
          </w:p>
        </w:tc>
        <w:tc>
          <w:tcPr>
            <w:tcW w:w="1705" w:type="dxa"/>
            <w:gridSpan w:val="2"/>
            <w:vAlign w:val="center"/>
          </w:tcPr>
          <w:p w:rsidR="009742F0" w:rsidRPr="00EA1E04" w:rsidRDefault="003933D7"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4.64(4.40-4.89)</w:t>
            </w:r>
          </w:p>
        </w:tc>
        <w:tc>
          <w:tcPr>
            <w:tcW w:w="1439" w:type="dxa"/>
            <w:gridSpan w:val="2"/>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12.2</w:t>
            </w:r>
          </w:p>
        </w:tc>
        <w:tc>
          <w:tcPr>
            <w:tcW w:w="899" w:type="dxa"/>
            <w:gridSpan w:val="3"/>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3.3</w:t>
            </w:r>
          </w:p>
        </w:tc>
        <w:tc>
          <w:tcPr>
            <w:tcW w:w="770"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EA1E04">
              <w:rPr>
                <w:rFonts w:ascii="Calibri" w:hAnsi="Calibri"/>
                <w:b/>
                <w:sz w:val="20"/>
                <w:szCs w:val="20"/>
              </w:rPr>
              <w:t>8.9</w:t>
            </w:r>
          </w:p>
        </w:tc>
        <w:tc>
          <w:tcPr>
            <w:tcW w:w="1580" w:type="dxa"/>
            <w:vAlign w:val="center"/>
          </w:tcPr>
          <w:p w:rsidR="009742F0" w:rsidRPr="00EA1E04" w:rsidRDefault="003933D7"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3.73(3.48-3.99)</w:t>
            </w:r>
          </w:p>
        </w:tc>
        <w:tc>
          <w:tcPr>
            <w:tcW w:w="1112"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EA1E04">
              <w:rPr>
                <w:rFonts w:ascii="Calibri" w:hAnsi="Calibri"/>
                <w:sz w:val="20"/>
                <w:szCs w:val="20"/>
              </w:rPr>
              <w:t>13.1</w:t>
            </w:r>
          </w:p>
        </w:tc>
        <w:tc>
          <w:tcPr>
            <w:tcW w:w="1009"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EA1E04">
              <w:rPr>
                <w:rFonts w:ascii="Calibri" w:hAnsi="Calibri"/>
                <w:sz w:val="20"/>
                <w:szCs w:val="20"/>
              </w:rPr>
              <w:t>3.1</w:t>
            </w:r>
          </w:p>
        </w:tc>
        <w:tc>
          <w:tcPr>
            <w:tcW w:w="783"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EA1E04">
              <w:rPr>
                <w:rFonts w:ascii="Calibri" w:hAnsi="Calibri"/>
                <w:b/>
                <w:sz w:val="20"/>
                <w:szCs w:val="20"/>
              </w:rPr>
              <w:t>10</w:t>
            </w:r>
          </w:p>
        </w:tc>
        <w:tc>
          <w:tcPr>
            <w:tcW w:w="1659" w:type="dxa"/>
            <w:gridSpan w:val="3"/>
            <w:vAlign w:val="center"/>
          </w:tcPr>
          <w:p w:rsidR="009742F0" w:rsidRPr="00EA1E04" w:rsidRDefault="003933D7"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4.23(4.06-4.41)</w:t>
            </w:r>
          </w:p>
        </w:tc>
      </w:tr>
      <w:tr w:rsidR="00EA1E04" w:rsidRPr="00EA1E04" w:rsidTr="00EB7E52">
        <w:trPr>
          <w:trHeight w:val="135"/>
        </w:trPr>
        <w:tc>
          <w:tcPr>
            <w:cnfStyle w:val="001000000000" w:firstRow="0" w:lastRow="0" w:firstColumn="1" w:lastColumn="0" w:oddVBand="0" w:evenVBand="0" w:oddHBand="0" w:evenHBand="0" w:firstRowFirstColumn="0" w:firstRowLastColumn="0" w:lastRowFirstColumn="0" w:lastRowLastColumn="0"/>
            <w:tcW w:w="1098" w:type="dxa"/>
            <w:vAlign w:val="center"/>
          </w:tcPr>
          <w:p w:rsidR="009742F0" w:rsidRPr="00EA1E04" w:rsidRDefault="009742F0" w:rsidP="00EB7E52">
            <w:pPr>
              <w:jc w:val="both"/>
              <w:rPr>
                <w:rFonts w:cs="Arial"/>
                <w:sz w:val="20"/>
                <w:szCs w:val="20"/>
                <w:lang w:eastAsia="en-GB"/>
              </w:rPr>
            </w:pPr>
            <w:r w:rsidRPr="00EA1E04">
              <w:rPr>
                <w:rFonts w:cs="Arial"/>
                <w:sz w:val="20"/>
                <w:szCs w:val="20"/>
                <w:lang w:eastAsia="en-GB"/>
              </w:rPr>
              <w:t>2</w:t>
            </w:r>
          </w:p>
        </w:tc>
        <w:tc>
          <w:tcPr>
            <w:tcW w:w="714" w:type="dxa"/>
            <w:gridSpan w:val="3"/>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7.1</w:t>
            </w:r>
          </w:p>
        </w:tc>
        <w:tc>
          <w:tcPr>
            <w:tcW w:w="853" w:type="dxa"/>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2.4</w:t>
            </w:r>
          </w:p>
        </w:tc>
        <w:tc>
          <w:tcPr>
            <w:tcW w:w="852" w:type="dxa"/>
            <w:gridSpan w:val="2"/>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EA1E04">
              <w:rPr>
                <w:rFonts w:ascii="Calibri" w:hAnsi="Calibri"/>
                <w:b/>
                <w:sz w:val="20"/>
                <w:szCs w:val="20"/>
              </w:rPr>
              <w:t>4.7</w:t>
            </w:r>
          </w:p>
        </w:tc>
        <w:tc>
          <w:tcPr>
            <w:tcW w:w="1705" w:type="dxa"/>
            <w:gridSpan w:val="2"/>
            <w:vAlign w:val="center"/>
          </w:tcPr>
          <w:p w:rsidR="009742F0" w:rsidRPr="00EA1E04" w:rsidRDefault="003933D7"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2.92(2.72-3.13)</w:t>
            </w:r>
          </w:p>
        </w:tc>
        <w:tc>
          <w:tcPr>
            <w:tcW w:w="1439" w:type="dxa"/>
            <w:gridSpan w:val="2"/>
            <w:vAlign w:val="bottom"/>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6.2</w:t>
            </w:r>
          </w:p>
        </w:tc>
        <w:tc>
          <w:tcPr>
            <w:tcW w:w="899" w:type="dxa"/>
            <w:gridSpan w:val="3"/>
            <w:vAlign w:val="bottom"/>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2.7</w:t>
            </w:r>
          </w:p>
        </w:tc>
        <w:tc>
          <w:tcPr>
            <w:tcW w:w="770" w:type="dxa"/>
            <w:gridSpan w:val="2"/>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EA1E04">
              <w:rPr>
                <w:rFonts w:ascii="Calibri" w:hAnsi="Calibri"/>
                <w:b/>
                <w:sz w:val="20"/>
                <w:szCs w:val="20"/>
              </w:rPr>
              <w:t>3.5</w:t>
            </w:r>
          </w:p>
        </w:tc>
        <w:tc>
          <w:tcPr>
            <w:tcW w:w="1580" w:type="dxa"/>
            <w:vAlign w:val="center"/>
          </w:tcPr>
          <w:p w:rsidR="009742F0" w:rsidRPr="00EA1E04" w:rsidRDefault="003933D7"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2.32(2.11-2.56)</w:t>
            </w:r>
          </w:p>
        </w:tc>
        <w:tc>
          <w:tcPr>
            <w:tcW w:w="1112" w:type="dxa"/>
            <w:gridSpan w:val="2"/>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EA1E04">
              <w:rPr>
                <w:rFonts w:ascii="Calibri" w:hAnsi="Calibri"/>
                <w:sz w:val="20"/>
                <w:szCs w:val="20"/>
              </w:rPr>
              <w:t>6.8</w:t>
            </w:r>
          </w:p>
        </w:tc>
        <w:tc>
          <w:tcPr>
            <w:tcW w:w="1009" w:type="dxa"/>
            <w:gridSpan w:val="2"/>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EA1E04">
              <w:rPr>
                <w:rFonts w:ascii="Calibri" w:hAnsi="Calibri"/>
                <w:sz w:val="20"/>
                <w:szCs w:val="20"/>
              </w:rPr>
              <w:t>2.6</w:t>
            </w:r>
          </w:p>
        </w:tc>
        <w:tc>
          <w:tcPr>
            <w:tcW w:w="783" w:type="dxa"/>
            <w:gridSpan w:val="2"/>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EA1E04">
              <w:rPr>
                <w:rFonts w:ascii="Calibri" w:hAnsi="Calibri"/>
                <w:b/>
                <w:sz w:val="20"/>
                <w:szCs w:val="20"/>
              </w:rPr>
              <w:t>4.2</w:t>
            </w:r>
          </w:p>
        </w:tc>
        <w:tc>
          <w:tcPr>
            <w:tcW w:w="1659" w:type="dxa"/>
            <w:gridSpan w:val="3"/>
            <w:vAlign w:val="center"/>
          </w:tcPr>
          <w:p w:rsidR="009742F0" w:rsidRPr="00EA1E04" w:rsidRDefault="003933D7"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2.67(2.53-2.83)</w:t>
            </w:r>
          </w:p>
        </w:tc>
      </w:tr>
      <w:tr w:rsidR="00EA1E04" w:rsidRPr="00EA1E04" w:rsidTr="00EB7E52">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98" w:type="dxa"/>
            <w:vAlign w:val="center"/>
          </w:tcPr>
          <w:p w:rsidR="009742F0" w:rsidRPr="00EA1E04" w:rsidRDefault="009742F0" w:rsidP="00EB7E52">
            <w:pPr>
              <w:jc w:val="both"/>
              <w:rPr>
                <w:rFonts w:cs="Arial"/>
                <w:sz w:val="20"/>
                <w:szCs w:val="20"/>
                <w:lang w:eastAsia="en-GB"/>
              </w:rPr>
            </w:pPr>
            <w:r w:rsidRPr="00EA1E04">
              <w:rPr>
                <w:rFonts w:cs="Arial"/>
                <w:sz w:val="20"/>
                <w:szCs w:val="20"/>
                <w:lang w:eastAsia="en-GB"/>
              </w:rPr>
              <w:t>3</w:t>
            </w:r>
          </w:p>
        </w:tc>
        <w:tc>
          <w:tcPr>
            <w:tcW w:w="714" w:type="dxa"/>
            <w:gridSpan w:val="3"/>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6.1</w:t>
            </w:r>
          </w:p>
        </w:tc>
        <w:tc>
          <w:tcPr>
            <w:tcW w:w="853" w:type="dxa"/>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2.1</w:t>
            </w:r>
          </w:p>
        </w:tc>
        <w:tc>
          <w:tcPr>
            <w:tcW w:w="852"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EA1E04">
              <w:rPr>
                <w:rFonts w:ascii="Calibri" w:hAnsi="Calibri"/>
                <w:b/>
                <w:sz w:val="20"/>
                <w:szCs w:val="20"/>
              </w:rPr>
              <w:t>4</w:t>
            </w:r>
          </w:p>
        </w:tc>
        <w:tc>
          <w:tcPr>
            <w:tcW w:w="1705" w:type="dxa"/>
            <w:gridSpan w:val="2"/>
            <w:vAlign w:val="center"/>
          </w:tcPr>
          <w:p w:rsidR="009742F0" w:rsidRPr="00EA1E04" w:rsidRDefault="003933D7"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2.89(2.67-3.14)</w:t>
            </w:r>
          </w:p>
        </w:tc>
        <w:tc>
          <w:tcPr>
            <w:tcW w:w="1439" w:type="dxa"/>
            <w:gridSpan w:val="2"/>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4.4</w:t>
            </w:r>
          </w:p>
        </w:tc>
        <w:tc>
          <w:tcPr>
            <w:tcW w:w="899" w:type="dxa"/>
            <w:gridSpan w:val="3"/>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2.4</w:t>
            </w:r>
          </w:p>
        </w:tc>
        <w:tc>
          <w:tcPr>
            <w:tcW w:w="770"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EA1E04">
              <w:rPr>
                <w:rFonts w:ascii="Calibri" w:hAnsi="Calibri"/>
                <w:b/>
                <w:sz w:val="20"/>
                <w:szCs w:val="20"/>
              </w:rPr>
              <w:t>2</w:t>
            </w:r>
          </w:p>
        </w:tc>
        <w:tc>
          <w:tcPr>
            <w:tcW w:w="1580" w:type="dxa"/>
            <w:vAlign w:val="center"/>
          </w:tcPr>
          <w:p w:rsidR="009742F0" w:rsidRPr="00EA1E04" w:rsidRDefault="003933D7"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1.86(1.65-2.10)</w:t>
            </w:r>
          </w:p>
        </w:tc>
        <w:tc>
          <w:tcPr>
            <w:tcW w:w="1112"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EA1E04">
              <w:rPr>
                <w:rFonts w:ascii="Calibri" w:hAnsi="Calibri"/>
                <w:sz w:val="20"/>
                <w:szCs w:val="20"/>
              </w:rPr>
              <w:t>5.5</w:t>
            </w:r>
          </w:p>
        </w:tc>
        <w:tc>
          <w:tcPr>
            <w:tcW w:w="1009"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EA1E04">
              <w:rPr>
                <w:rFonts w:ascii="Calibri" w:hAnsi="Calibri"/>
                <w:sz w:val="20"/>
                <w:szCs w:val="20"/>
              </w:rPr>
              <w:t>2.2</w:t>
            </w:r>
          </w:p>
        </w:tc>
        <w:tc>
          <w:tcPr>
            <w:tcW w:w="783"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EA1E04">
              <w:rPr>
                <w:rFonts w:ascii="Calibri" w:hAnsi="Calibri"/>
                <w:b/>
                <w:sz w:val="20"/>
                <w:szCs w:val="20"/>
              </w:rPr>
              <w:t>3.3</w:t>
            </w:r>
          </w:p>
        </w:tc>
        <w:tc>
          <w:tcPr>
            <w:tcW w:w="1659" w:type="dxa"/>
            <w:gridSpan w:val="3"/>
            <w:vAlign w:val="center"/>
          </w:tcPr>
          <w:p w:rsidR="009742F0" w:rsidRPr="00EA1E04" w:rsidRDefault="003933D7"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2.47(2.32-2.64)</w:t>
            </w:r>
          </w:p>
        </w:tc>
      </w:tr>
      <w:tr w:rsidR="00EA1E04" w:rsidRPr="00EA1E04" w:rsidTr="00EB7E52">
        <w:trPr>
          <w:trHeight w:val="135"/>
        </w:trPr>
        <w:tc>
          <w:tcPr>
            <w:cnfStyle w:val="001000000000" w:firstRow="0" w:lastRow="0" w:firstColumn="1" w:lastColumn="0" w:oddVBand="0" w:evenVBand="0" w:oddHBand="0" w:evenHBand="0" w:firstRowFirstColumn="0" w:firstRowLastColumn="0" w:lastRowFirstColumn="0" w:lastRowLastColumn="0"/>
            <w:tcW w:w="1098" w:type="dxa"/>
            <w:vAlign w:val="center"/>
          </w:tcPr>
          <w:p w:rsidR="009742F0" w:rsidRPr="00EA1E04" w:rsidRDefault="009742F0" w:rsidP="00EB7E52">
            <w:pPr>
              <w:jc w:val="both"/>
              <w:rPr>
                <w:rFonts w:cs="Arial"/>
                <w:sz w:val="20"/>
                <w:szCs w:val="20"/>
                <w:lang w:eastAsia="en-GB"/>
              </w:rPr>
            </w:pPr>
            <w:r w:rsidRPr="00EA1E04">
              <w:rPr>
                <w:rFonts w:cs="Arial"/>
                <w:sz w:val="20"/>
                <w:szCs w:val="20"/>
                <w:lang w:eastAsia="en-GB"/>
              </w:rPr>
              <w:t>4</w:t>
            </w:r>
          </w:p>
        </w:tc>
        <w:tc>
          <w:tcPr>
            <w:tcW w:w="714" w:type="dxa"/>
            <w:gridSpan w:val="3"/>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5.1</w:t>
            </w:r>
          </w:p>
        </w:tc>
        <w:tc>
          <w:tcPr>
            <w:tcW w:w="853" w:type="dxa"/>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1.9</w:t>
            </w:r>
          </w:p>
        </w:tc>
        <w:tc>
          <w:tcPr>
            <w:tcW w:w="852" w:type="dxa"/>
            <w:gridSpan w:val="2"/>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EA1E04">
              <w:rPr>
                <w:rFonts w:ascii="Calibri" w:hAnsi="Calibri"/>
                <w:b/>
                <w:sz w:val="20"/>
                <w:szCs w:val="20"/>
              </w:rPr>
              <w:t>3.2</w:t>
            </w:r>
          </w:p>
        </w:tc>
        <w:tc>
          <w:tcPr>
            <w:tcW w:w="1705" w:type="dxa"/>
            <w:gridSpan w:val="2"/>
            <w:vAlign w:val="center"/>
          </w:tcPr>
          <w:p w:rsidR="009742F0" w:rsidRPr="00EA1E04" w:rsidRDefault="003933D7"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2.63(2.39-2.89)</w:t>
            </w:r>
          </w:p>
        </w:tc>
        <w:tc>
          <w:tcPr>
            <w:tcW w:w="1439" w:type="dxa"/>
            <w:gridSpan w:val="2"/>
            <w:vAlign w:val="bottom"/>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3.7</w:t>
            </w:r>
          </w:p>
        </w:tc>
        <w:tc>
          <w:tcPr>
            <w:tcW w:w="899" w:type="dxa"/>
            <w:gridSpan w:val="3"/>
            <w:vAlign w:val="bottom"/>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2.2</w:t>
            </w:r>
          </w:p>
        </w:tc>
        <w:tc>
          <w:tcPr>
            <w:tcW w:w="770" w:type="dxa"/>
            <w:gridSpan w:val="2"/>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EA1E04">
              <w:rPr>
                <w:rFonts w:ascii="Calibri" w:hAnsi="Calibri"/>
                <w:b/>
                <w:sz w:val="20"/>
                <w:szCs w:val="20"/>
              </w:rPr>
              <w:t>1.5</w:t>
            </w:r>
          </w:p>
        </w:tc>
        <w:tc>
          <w:tcPr>
            <w:tcW w:w="1580" w:type="dxa"/>
            <w:vAlign w:val="center"/>
          </w:tcPr>
          <w:p w:rsidR="009742F0" w:rsidRPr="00EA1E04" w:rsidRDefault="003933D7"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1.73(1.50-1.99)</w:t>
            </w:r>
          </w:p>
        </w:tc>
        <w:tc>
          <w:tcPr>
            <w:tcW w:w="1112" w:type="dxa"/>
            <w:gridSpan w:val="2"/>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EA1E04">
              <w:rPr>
                <w:rFonts w:ascii="Calibri" w:hAnsi="Calibri"/>
                <w:sz w:val="20"/>
                <w:szCs w:val="20"/>
              </w:rPr>
              <w:t>4.7</w:t>
            </w:r>
          </w:p>
        </w:tc>
        <w:tc>
          <w:tcPr>
            <w:tcW w:w="1009" w:type="dxa"/>
            <w:gridSpan w:val="2"/>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EA1E04">
              <w:rPr>
                <w:rFonts w:ascii="Calibri" w:hAnsi="Calibri"/>
                <w:sz w:val="20"/>
                <w:szCs w:val="20"/>
              </w:rPr>
              <w:t>2.1</w:t>
            </w:r>
          </w:p>
        </w:tc>
        <w:tc>
          <w:tcPr>
            <w:tcW w:w="783" w:type="dxa"/>
            <w:gridSpan w:val="2"/>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EA1E04">
              <w:rPr>
                <w:rFonts w:ascii="Calibri" w:hAnsi="Calibri"/>
                <w:b/>
                <w:sz w:val="20"/>
                <w:szCs w:val="20"/>
              </w:rPr>
              <w:t>2.6</w:t>
            </w:r>
          </w:p>
        </w:tc>
        <w:tc>
          <w:tcPr>
            <w:tcW w:w="1659" w:type="dxa"/>
            <w:gridSpan w:val="3"/>
            <w:vAlign w:val="center"/>
          </w:tcPr>
          <w:p w:rsidR="009742F0" w:rsidRPr="00EA1E04" w:rsidRDefault="003933D7"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2.27(2.10-2.45)</w:t>
            </w:r>
          </w:p>
        </w:tc>
      </w:tr>
      <w:tr w:rsidR="00EA1E04" w:rsidRPr="00EA1E04" w:rsidTr="00EB7E52">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98" w:type="dxa"/>
            <w:vAlign w:val="center"/>
          </w:tcPr>
          <w:p w:rsidR="009742F0" w:rsidRPr="00EA1E04" w:rsidRDefault="009742F0" w:rsidP="00EB7E52">
            <w:pPr>
              <w:jc w:val="both"/>
              <w:rPr>
                <w:rFonts w:cs="Arial"/>
                <w:sz w:val="20"/>
                <w:szCs w:val="20"/>
                <w:lang w:eastAsia="en-GB"/>
              </w:rPr>
            </w:pPr>
            <w:r w:rsidRPr="00EA1E04">
              <w:rPr>
                <w:rFonts w:cs="Arial"/>
                <w:sz w:val="20"/>
                <w:szCs w:val="20"/>
                <w:lang w:eastAsia="en-GB"/>
              </w:rPr>
              <w:t>5</w:t>
            </w:r>
          </w:p>
        </w:tc>
        <w:tc>
          <w:tcPr>
            <w:tcW w:w="714" w:type="dxa"/>
            <w:gridSpan w:val="3"/>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3.5</w:t>
            </w:r>
          </w:p>
        </w:tc>
        <w:tc>
          <w:tcPr>
            <w:tcW w:w="853" w:type="dxa"/>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1.9</w:t>
            </w:r>
          </w:p>
        </w:tc>
        <w:tc>
          <w:tcPr>
            <w:tcW w:w="852"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EA1E04">
              <w:rPr>
                <w:rFonts w:ascii="Calibri" w:hAnsi="Calibri"/>
                <w:b/>
                <w:sz w:val="20"/>
                <w:szCs w:val="20"/>
              </w:rPr>
              <w:t>1.6</w:t>
            </w:r>
          </w:p>
        </w:tc>
        <w:tc>
          <w:tcPr>
            <w:tcW w:w="1705" w:type="dxa"/>
            <w:gridSpan w:val="2"/>
            <w:vAlign w:val="center"/>
          </w:tcPr>
          <w:p w:rsidR="009742F0" w:rsidRPr="00EA1E04" w:rsidRDefault="003933D7"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1.88(1.67-2.11)</w:t>
            </w:r>
          </w:p>
        </w:tc>
        <w:tc>
          <w:tcPr>
            <w:tcW w:w="1439" w:type="dxa"/>
            <w:gridSpan w:val="2"/>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3.3</w:t>
            </w:r>
          </w:p>
        </w:tc>
        <w:tc>
          <w:tcPr>
            <w:tcW w:w="899" w:type="dxa"/>
            <w:gridSpan w:val="3"/>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2.2</w:t>
            </w:r>
          </w:p>
        </w:tc>
        <w:tc>
          <w:tcPr>
            <w:tcW w:w="770"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EA1E04">
              <w:rPr>
                <w:rFonts w:ascii="Calibri" w:hAnsi="Calibri"/>
                <w:b/>
                <w:sz w:val="20"/>
                <w:szCs w:val="20"/>
              </w:rPr>
              <w:t>1.1</w:t>
            </w:r>
          </w:p>
        </w:tc>
        <w:tc>
          <w:tcPr>
            <w:tcW w:w="1580" w:type="dxa"/>
            <w:vAlign w:val="center"/>
          </w:tcPr>
          <w:p w:rsidR="009742F0" w:rsidRPr="00EA1E04" w:rsidRDefault="003933D7"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1.52(1.29-1.79)</w:t>
            </w:r>
          </w:p>
        </w:tc>
        <w:tc>
          <w:tcPr>
            <w:tcW w:w="1112"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EA1E04">
              <w:rPr>
                <w:rFonts w:ascii="Calibri" w:hAnsi="Calibri"/>
                <w:sz w:val="20"/>
                <w:szCs w:val="20"/>
              </w:rPr>
              <w:t>3.5</w:t>
            </w:r>
          </w:p>
        </w:tc>
        <w:tc>
          <w:tcPr>
            <w:tcW w:w="1009"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EA1E04">
              <w:rPr>
                <w:rFonts w:ascii="Calibri" w:hAnsi="Calibri"/>
                <w:sz w:val="20"/>
                <w:szCs w:val="20"/>
              </w:rPr>
              <w:t>2.0</w:t>
            </w:r>
          </w:p>
        </w:tc>
        <w:tc>
          <w:tcPr>
            <w:tcW w:w="783"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EA1E04">
              <w:rPr>
                <w:rFonts w:ascii="Calibri" w:hAnsi="Calibri"/>
                <w:b/>
                <w:sz w:val="20"/>
                <w:szCs w:val="20"/>
              </w:rPr>
              <w:t>1.5</w:t>
            </w:r>
          </w:p>
        </w:tc>
        <w:tc>
          <w:tcPr>
            <w:tcW w:w="1659" w:type="dxa"/>
            <w:gridSpan w:val="3"/>
            <w:vAlign w:val="center"/>
          </w:tcPr>
          <w:p w:rsidR="009742F0" w:rsidRPr="00EA1E04" w:rsidRDefault="003933D7"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1.71(1.56-1.88)</w:t>
            </w:r>
          </w:p>
        </w:tc>
      </w:tr>
      <w:tr w:rsidR="00EA1E04" w:rsidRPr="00EA1E04" w:rsidTr="00EB7E52">
        <w:trPr>
          <w:trHeight w:val="135"/>
        </w:trPr>
        <w:tc>
          <w:tcPr>
            <w:cnfStyle w:val="001000000000" w:firstRow="0" w:lastRow="0" w:firstColumn="1" w:lastColumn="0" w:oddVBand="0" w:evenVBand="0" w:oddHBand="0" w:evenHBand="0" w:firstRowFirstColumn="0" w:firstRowLastColumn="0" w:lastRowFirstColumn="0" w:lastRowLastColumn="0"/>
            <w:tcW w:w="1098" w:type="dxa"/>
            <w:vAlign w:val="center"/>
          </w:tcPr>
          <w:p w:rsidR="009742F0" w:rsidRPr="00EA1E04" w:rsidRDefault="009742F0" w:rsidP="00EB7E52">
            <w:pPr>
              <w:jc w:val="both"/>
              <w:rPr>
                <w:rFonts w:cs="Arial"/>
                <w:sz w:val="20"/>
                <w:szCs w:val="20"/>
                <w:lang w:eastAsia="en-GB"/>
              </w:rPr>
            </w:pPr>
            <w:r w:rsidRPr="00EA1E04">
              <w:rPr>
                <w:rFonts w:cs="Arial"/>
                <w:sz w:val="20"/>
                <w:szCs w:val="20"/>
                <w:lang w:eastAsia="en-GB"/>
              </w:rPr>
              <w:t>6</w:t>
            </w:r>
          </w:p>
        </w:tc>
        <w:tc>
          <w:tcPr>
            <w:tcW w:w="714" w:type="dxa"/>
            <w:gridSpan w:val="3"/>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2.8</w:t>
            </w:r>
          </w:p>
        </w:tc>
        <w:tc>
          <w:tcPr>
            <w:tcW w:w="853" w:type="dxa"/>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1.6</w:t>
            </w:r>
          </w:p>
        </w:tc>
        <w:tc>
          <w:tcPr>
            <w:tcW w:w="852" w:type="dxa"/>
            <w:gridSpan w:val="2"/>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EA1E04">
              <w:rPr>
                <w:rFonts w:ascii="Calibri" w:hAnsi="Calibri"/>
                <w:b/>
                <w:sz w:val="20"/>
                <w:szCs w:val="20"/>
              </w:rPr>
              <w:t>1.2</w:t>
            </w:r>
          </w:p>
        </w:tc>
        <w:tc>
          <w:tcPr>
            <w:tcW w:w="1705" w:type="dxa"/>
            <w:gridSpan w:val="2"/>
            <w:vAlign w:val="center"/>
          </w:tcPr>
          <w:p w:rsidR="009742F0" w:rsidRPr="00EA1E04" w:rsidRDefault="003933D7"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1.77(1.53-2.04)</w:t>
            </w:r>
          </w:p>
        </w:tc>
        <w:tc>
          <w:tcPr>
            <w:tcW w:w="1439" w:type="dxa"/>
            <w:gridSpan w:val="2"/>
            <w:vAlign w:val="bottom"/>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2.4</w:t>
            </w:r>
          </w:p>
        </w:tc>
        <w:tc>
          <w:tcPr>
            <w:tcW w:w="899" w:type="dxa"/>
            <w:gridSpan w:val="3"/>
            <w:vAlign w:val="bottom"/>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2.0</w:t>
            </w:r>
          </w:p>
        </w:tc>
        <w:tc>
          <w:tcPr>
            <w:tcW w:w="770" w:type="dxa"/>
            <w:gridSpan w:val="2"/>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EA1E04">
              <w:rPr>
                <w:rFonts w:ascii="Calibri" w:hAnsi="Calibri"/>
                <w:b/>
                <w:sz w:val="20"/>
                <w:szCs w:val="20"/>
              </w:rPr>
              <w:t>0.4</w:t>
            </w:r>
          </w:p>
        </w:tc>
        <w:tc>
          <w:tcPr>
            <w:tcW w:w="1580" w:type="dxa"/>
            <w:vAlign w:val="center"/>
          </w:tcPr>
          <w:p w:rsidR="009742F0" w:rsidRPr="00EA1E04" w:rsidRDefault="003933D7"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1.17(0.95-1.44)</w:t>
            </w:r>
          </w:p>
        </w:tc>
        <w:tc>
          <w:tcPr>
            <w:tcW w:w="1112" w:type="dxa"/>
            <w:gridSpan w:val="2"/>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EA1E04">
              <w:rPr>
                <w:rFonts w:ascii="Calibri" w:hAnsi="Calibri"/>
                <w:sz w:val="20"/>
                <w:szCs w:val="20"/>
              </w:rPr>
              <w:t>2.7</w:t>
            </w:r>
          </w:p>
        </w:tc>
        <w:tc>
          <w:tcPr>
            <w:tcW w:w="1009" w:type="dxa"/>
            <w:gridSpan w:val="2"/>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EA1E04">
              <w:rPr>
                <w:rFonts w:ascii="Calibri" w:hAnsi="Calibri"/>
                <w:sz w:val="20"/>
                <w:szCs w:val="20"/>
              </w:rPr>
              <w:t>1.8</w:t>
            </w:r>
          </w:p>
        </w:tc>
        <w:tc>
          <w:tcPr>
            <w:tcW w:w="783" w:type="dxa"/>
            <w:gridSpan w:val="2"/>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EA1E04">
              <w:rPr>
                <w:rFonts w:ascii="Calibri" w:hAnsi="Calibri"/>
                <w:b/>
                <w:sz w:val="20"/>
                <w:szCs w:val="20"/>
              </w:rPr>
              <w:t>0.9</w:t>
            </w:r>
          </w:p>
        </w:tc>
        <w:tc>
          <w:tcPr>
            <w:tcW w:w="1659" w:type="dxa"/>
            <w:gridSpan w:val="3"/>
            <w:vAlign w:val="center"/>
          </w:tcPr>
          <w:p w:rsidR="009742F0" w:rsidRPr="00EA1E04" w:rsidRDefault="003933D7"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1.47(1.31-1.65)</w:t>
            </w:r>
          </w:p>
        </w:tc>
      </w:tr>
      <w:tr w:rsidR="00EA1E04" w:rsidRPr="00EA1E04" w:rsidTr="00EB7E52">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98" w:type="dxa"/>
            <w:vAlign w:val="center"/>
          </w:tcPr>
          <w:p w:rsidR="009742F0" w:rsidRPr="00EA1E04" w:rsidRDefault="009742F0" w:rsidP="00EB7E52">
            <w:pPr>
              <w:jc w:val="both"/>
              <w:rPr>
                <w:rFonts w:cs="Arial"/>
                <w:sz w:val="20"/>
                <w:szCs w:val="20"/>
                <w:lang w:eastAsia="en-GB"/>
              </w:rPr>
            </w:pPr>
            <w:r w:rsidRPr="00EA1E04">
              <w:rPr>
                <w:rFonts w:cs="Arial"/>
                <w:sz w:val="20"/>
                <w:szCs w:val="20"/>
                <w:lang w:eastAsia="en-GB"/>
              </w:rPr>
              <w:t>7</w:t>
            </w:r>
          </w:p>
        </w:tc>
        <w:tc>
          <w:tcPr>
            <w:tcW w:w="714" w:type="dxa"/>
            <w:gridSpan w:val="3"/>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2.8</w:t>
            </w:r>
          </w:p>
        </w:tc>
        <w:tc>
          <w:tcPr>
            <w:tcW w:w="853" w:type="dxa"/>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1.2</w:t>
            </w:r>
          </w:p>
        </w:tc>
        <w:tc>
          <w:tcPr>
            <w:tcW w:w="852"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EA1E04">
              <w:rPr>
                <w:rFonts w:ascii="Calibri" w:hAnsi="Calibri"/>
                <w:b/>
                <w:sz w:val="20"/>
                <w:szCs w:val="20"/>
              </w:rPr>
              <w:t>1.6</w:t>
            </w:r>
          </w:p>
        </w:tc>
        <w:tc>
          <w:tcPr>
            <w:tcW w:w="1705" w:type="dxa"/>
            <w:gridSpan w:val="2"/>
            <w:vAlign w:val="center"/>
          </w:tcPr>
          <w:p w:rsidR="009742F0" w:rsidRPr="00EA1E04" w:rsidRDefault="003933D7"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2.28(1.95-2.69)</w:t>
            </w:r>
          </w:p>
        </w:tc>
        <w:tc>
          <w:tcPr>
            <w:tcW w:w="1439" w:type="dxa"/>
            <w:gridSpan w:val="2"/>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2.1</w:t>
            </w:r>
          </w:p>
        </w:tc>
        <w:tc>
          <w:tcPr>
            <w:tcW w:w="899" w:type="dxa"/>
            <w:gridSpan w:val="3"/>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1.9</w:t>
            </w:r>
          </w:p>
        </w:tc>
        <w:tc>
          <w:tcPr>
            <w:tcW w:w="770"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EA1E04">
              <w:rPr>
                <w:rFonts w:ascii="Calibri" w:hAnsi="Calibri"/>
                <w:b/>
                <w:sz w:val="20"/>
                <w:szCs w:val="20"/>
              </w:rPr>
              <w:t>0.2</w:t>
            </w:r>
          </w:p>
        </w:tc>
        <w:tc>
          <w:tcPr>
            <w:tcW w:w="1580" w:type="dxa"/>
            <w:vAlign w:val="center"/>
          </w:tcPr>
          <w:p w:rsidR="009742F0" w:rsidRPr="00EA1E04" w:rsidRDefault="003933D7"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1.09(0.86-1.38)</w:t>
            </w:r>
          </w:p>
        </w:tc>
        <w:tc>
          <w:tcPr>
            <w:tcW w:w="1112"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EA1E04">
              <w:rPr>
                <w:rFonts w:ascii="Calibri" w:hAnsi="Calibri"/>
                <w:sz w:val="20"/>
                <w:szCs w:val="20"/>
              </w:rPr>
              <w:t>2.6</w:t>
            </w:r>
          </w:p>
        </w:tc>
        <w:tc>
          <w:tcPr>
            <w:tcW w:w="1009"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EA1E04">
              <w:rPr>
                <w:rFonts w:ascii="Calibri" w:hAnsi="Calibri"/>
                <w:sz w:val="20"/>
                <w:szCs w:val="20"/>
              </w:rPr>
              <w:t>1.6</w:t>
            </w:r>
          </w:p>
        </w:tc>
        <w:tc>
          <w:tcPr>
            <w:tcW w:w="783"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EA1E04">
              <w:rPr>
                <w:rFonts w:ascii="Calibri" w:hAnsi="Calibri"/>
                <w:b/>
                <w:sz w:val="20"/>
                <w:szCs w:val="20"/>
              </w:rPr>
              <w:t>1</w:t>
            </w:r>
          </w:p>
        </w:tc>
        <w:tc>
          <w:tcPr>
            <w:tcW w:w="1659" w:type="dxa"/>
            <w:gridSpan w:val="3"/>
            <w:vAlign w:val="center"/>
          </w:tcPr>
          <w:p w:rsidR="009742F0" w:rsidRPr="00EA1E04" w:rsidRDefault="003933D7"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1.63(1.44-1.86)</w:t>
            </w:r>
          </w:p>
        </w:tc>
      </w:tr>
      <w:tr w:rsidR="00EA1E04" w:rsidRPr="00EA1E04" w:rsidTr="00EB7E52">
        <w:trPr>
          <w:trHeight w:val="135"/>
        </w:trPr>
        <w:tc>
          <w:tcPr>
            <w:cnfStyle w:val="001000000000" w:firstRow="0" w:lastRow="0" w:firstColumn="1" w:lastColumn="0" w:oddVBand="0" w:evenVBand="0" w:oddHBand="0" w:evenHBand="0" w:firstRowFirstColumn="0" w:firstRowLastColumn="0" w:lastRowFirstColumn="0" w:lastRowLastColumn="0"/>
            <w:tcW w:w="1098" w:type="dxa"/>
            <w:vAlign w:val="center"/>
          </w:tcPr>
          <w:p w:rsidR="009742F0" w:rsidRPr="00EA1E04" w:rsidRDefault="009742F0" w:rsidP="00EB7E52">
            <w:pPr>
              <w:jc w:val="both"/>
              <w:rPr>
                <w:rFonts w:cs="Arial"/>
                <w:sz w:val="20"/>
                <w:szCs w:val="20"/>
                <w:lang w:eastAsia="en-GB"/>
              </w:rPr>
            </w:pPr>
            <w:r w:rsidRPr="00EA1E04">
              <w:rPr>
                <w:rFonts w:cs="Arial"/>
                <w:sz w:val="20"/>
                <w:szCs w:val="20"/>
                <w:lang w:eastAsia="en-GB"/>
              </w:rPr>
              <w:t>8</w:t>
            </w:r>
          </w:p>
        </w:tc>
        <w:tc>
          <w:tcPr>
            <w:tcW w:w="714" w:type="dxa"/>
            <w:gridSpan w:val="3"/>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2.4</w:t>
            </w:r>
          </w:p>
        </w:tc>
        <w:tc>
          <w:tcPr>
            <w:tcW w:w="853" w:type="dxa"/>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1.3</w:t>
            </w:r>
          </w:p>
        </w:tc>
        <w:tc>
          <w:tcPr>
            <w:tcW w:w="852" w:type="dxa"/>
            <w:gridSpan w:val="2"/>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EA1E04">
              <w:rPr>
                <w:rFonts w:ascii="Calibri" w:hAnsi="Calibri"/>
                <w:b/>
                <w:sz w:val="20"/>
                <w:szCs w:val="20"/>
              </w:rPr>
              <w:t>1.1</w:t>
            </w:r>
          </w:p>
        </w:tc>
        <w:tc>
          <w:tcPr>
            <w:tcW w:w="1705" w:type="dxa"/>
            <w:gridSpan w:val="2"/>
            <w:vAlign w:val="center"/>
          </w:tcPr>
          <w:p w:rsidR="009742F0" w:rsidRPr="00EA1E04" w:rsidRDefault="003933D7"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1.82(1.50-2.19)</w:t>
            </w:r>
          </w:p>
        </w:tc>
        <w:tc>
          <w:tcPr>
            <w:tcW w:w="1439" w:type="dxa"/>
            <w:gridSpan w:val="2"/>
            <w:vAlign w:val="bottom"/>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2.3</w:t>
            </w:r>
          </w:p>
        </w:tc>
        <w:tc>
          <w:tcPr>
            <w:tcW w:w="899" w:type="dxa"/>
            <w:gridSpan w:val="3"/>
            <w:vAlign w:val="bottom"/>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1.9</w:t>
            </w:r>
          </w:p>
        </w:tc>
        <w:tc>
          <w:tcPr>
            <w:tcW w:w="770" w:type="dxa"/>
            <w:gridSpan w:val="2"/>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EA1E04">
              <w:rPr>
                <w:rFonts w:ascii="Calibri" w:hAnsi="Calibri"/>
                <w:b/>
                <w:sz w:val="20"/>
                <w:szCs w:val="20"/>
              </w:rPr>
              <w:t>0.4</w:t>
            </w:r>
          </w:p>
        </w:tc>
        <w:tc>
          <w:tcPr>
            <w:tcW w:w="1580" w:type="dxa"/>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1.26(0.98-1.61)</w:t>
            </w:r>
          </w:p>
        </w:tc>
        <w:tc>
          <w:tcPr>
            <w:tcW w:w="1112" w:type="dxa"/>
            <w:gridSpan w:val="2"/>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EA1E04">
              <w:rPr>
                <w:rFonts w:ascii="Calibri" w:hAnsi="Calibri"/>
                <w:sz w:val="20"/>
                <w:szCs w:val="20"/>
              </w:rPr>
              <w:t>2.3</w:t>
            </w:r>
          </w:p>
        </w:tc>
        <w:tc>
          <w:tcPr>
            <w:tcW w:w="1009" w:type="dxa"/>
            <w:gridSpan w:val="2"/>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EA1E04">
              <w:rPr>
                <w:rFonts w:ascii="Calibri" w:hAnsi="Calibri"/>
                <w:sz w:val="20"/>
                <w:szCs w:val="20"/>
              </w:rPr>
              <w:t>1.6</w:t>
            </w:r>
          </w:p>
        </w:tc>
        <w:tc>
          <w:tcPr>
            <w:tcW w:w="783" w:type="dxa"/>
            <w:gridSpan w:val="2"/>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EA1E04">
              <w:rPr>
                <w:rFonts w:ascii="Calibri" w:hAnsi="Calibri"/>
                <w:b/>
                <w:sz w:val="20"/>
                <w:szCs w:val="20"/>
              </w:rPr>
              <w:t>0.7</w:t>
            </w:r>
          </w:p>
        </w:tc>
        <w:tc>
          <w:tcPr>
            <w:tcW w:w="1659" w:type="dxa"/>
            <w:gridSpan w:val="3"/>
            <w:vAlign w:val="center"/>
          </w:tcPr>
          <w:p w:rsidR="009742F0" w:rsidRPr="00EA1E04" w:rsidRDefault="003933D7"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1.49(1.29-1.73)</w:t>
            </w:r>
          </w:p>
        </w:tc>
      </w:tr>
      <w:tr w:rsidR="00EA1E04" w:rsidRPr="00EA1E04" w:rsidTr="00EB7E52">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98" w:type="dxa"/>
            <w:vAlign w:val="center"/>
          </w:tcPr>
          <w:p w:rsidR="009742F0" w:rsidRPr="00EA1E04" w:rsidRDefault="009742F0" w:rsidP="00EB7E52">
            <w:pPr>
              <w:jc w:val="both"/>
              <w:rPr>
                <w:rFonts w:cs="Arial"/>
                <w:sz w:val="20"/>
                <w:szCs w:val="20"/>
                <w:lang w:eastAsia="en-GB"/>
              </w:rPr>
            </w:pPr>
            <w:r w:rsidRPr="00EA1E04">
              <w:rPr>
                <w:rFonts w:cs="Arial"/>
                <w:sz w:val="20"/>
                <w:szCs w:val="20"/>
                <w:lang w:eastAsia="en-GB"/>
              </w:rPr>
              <w:t>9</w:t>
            </w:r>
          </w:p>
        </w:tc>
        <w:tc>
          <w:tcPr>
            <w:tcW w:w="714" w:type="dxa"/>
            <w:gridSpan w:val="3"/>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1.8</w:t>
            </w:r>
          </w:p>
        </w:tc>
        <w:tc>
          <w:tcPr>
            <w:tcW w:w="853" w:type="dxa"/>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1.6</w:t>
            </w:r>
          </w:p>
        </w:tc>
        <w:tc>
          <w:tcPr>
            <w:tcW w:w="852"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EA1E04">
              <w:rPr>
                <w:rFonts w:ascii="Calibri" w:hAnsi="Calibri"/>
                <w:b/>
                <w:sz w:val="20"/>
                <w:szCs w:val="20"/>
              </w:rPr>
              <w:t>0.2</w:t>
            </w:r>
          </w:p>
        </w:tc>
        <w:tc>
          <w:tcPr>
            <w:tcW w:w="1705" w:type="dxa"/>
            <w:gridSpan w:val="2"/>
            <w:vAlign w:val="center"/>
          </w:tcPr>
          <w:p w:rsidR="009742F0" w:rsidRPr="00EA1E04" w:rsidRDefault="003933D7"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1.19(0.94-1.49)</w:t>
            </w:r>
          </w:p>
        </w:tc>
        <w:tc>
          <w:tcPr>
            <w:tcW w:w="1439" w:type="dxa"/>
            <w:gridSpan w:val="2"/>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1.9</w:t>
            </w:r>
          </w:p>
        </w:tc>
        <w:tc>
          <w:tcPr>
            <w:tcW w:w="899" w:type="dxa"/>
            <w:gridSpan w:val="3"/>
            <w:vAlign w:val="bottom"/>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1.8</w:t>
            </w:r>
          </w:p>
        </w:tc>
        <w:tc>
          <w:tcPr>
            <w:tcW w:w="770"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EA1E04">
              <w:rPr>
                <w:rFonts w:ascii="Calibri" w:hAnsi="Calibri"/>
                <w:b/>
                <w:sz w:val="20"/>
                <w:szCs w:val="20"/>
              </w:rPr>
              <w:t>0.1</w:t>
            </w:r>
          </w:p>
        </w:tc>
        <w:tc>
          <w:tcPr>
            <w:tcW w:w="1580" w:type="dxa"/>
            <w:vAlign w:val="center"/>
          </w:tcPr>
          <w:p w:rsidR="009742F0" w:rsidRPr="00EA1E04" w:rsidRDefault="003933D7"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1.08(0.80-1.46)</w:t>
            </w:r>
          </w:p>
        </w:tc>
        <w:tc>
          <w:tcPr>
            <w:tcW w:w="1112"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EA1E04">
              <w:rPr>
                <w:rFonts w:ascii="Calibri" w:hAnsi="Calibri"/>
                <w:sz w:val="20"/>
                <w:szCs w:val="20"/>
              </w:rPr>
              <w:t>1.9</w:t>
            </w:r>
          </w:p>
        </w:tc>
        <w:tc>
          <w:tcPr>
            <w:tcW w:w="1009"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EA1E04">
              <w:rPr>
                <w:rFonts w:ascii="Calibri" w:hAnsi="Calibri"/>
                <w:sz w:val="20"/>
                <w:szCs w:val="20"/>
              </w:rPr>
              <w:t>1.7</w:t>
            </w:r>
          </w:p>
        </w:tc>
        <w:tc>
          <w:tcPr>
            <w:tcW w:w="783" w:type="dxa"/>
            <w:gridSpan w:val="2"/>
            <w:vAlign w:val="center"/>
          </w:tcPr>
          <w:p w:rsidR="009742F0" w:rsidRPr="00EA1E04" w:rsidRDefault="009742F0" w:rsidP="00EB7E52">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EA1E04">
              <w:rPr>
                <w:rFonts w:ascii="Calibri" w:hAnsi="Calibri"/>
                <w:b/>
                <w:sz w:val="20"/>
                <w:szCs w:val="20"/>
              </w:rPr>
              <w:t>0.2</w:t>
            </w:r>
          </w:p>
        </w:tc>
        <w:tc>
          <w:tcPr>
            <w:tcW w:w="1659" w:type="dxa"/>
            <w:gridSpan w:val="3"/>
            <w:vAlign w:val="center"/>
          </w:tcPr>
          <w:p w:rsidR="009742F0" w:rsidRPr="00EA1E04" w:rsidRDefault="003933D7" w:rsidP="00EB7E52">
            <w:pPr>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EA1E04">
              <w:rPr>
                <w:rFonts w:cs="Arial"/>
                <w:sz w:val="20"/>
                <w:szCs w:val="20"/>
                <w:lang w:eastAsia="en-GB"/>
              </w:rPr>
              <w:t>1.12(0.93-1.34)</w:t>
            </w:r>
          </w:p>
        </w:tc>
      </w:tr>
      <w:tr w:rsidR="00EA1E04" w:rsidRPr="00EA1E04" w:rsidTr="00EB7E52">
        <w:trPr>
          <w:trHeight w:val="135"/>
        </w:trPr>
        <w:tc>
          <w:tcPr>
            <w:cnfStyle w:val="001000000000" w:firstRow="0" w:lastRow="0" w:firstColumn="1" w:lastColumn="0" w:oddVBand="0" w:evenVBand="0" w:oddHBand="0" w:evenHBand="0" w:firstRowFirstColumn="0" w:firstRowLastColumn="0" w:lastRowFirstColumn="0" w:lastRowLastColumn="0"/>
            <w:tcW w:w="1098" w:type="dxa"/>
            <w:tcBorders>
              <w:bottom w:val="single" w:sz="4" w:space="0" w:color="auto"/>
            </w:tcBorders>
            <w:vAlign w:val="center"/>
          </w:tcPr>
          <w:p w:rsidR="009742F0" w:rsidRPr="00EA1E04" w:rsidRDefault="009742F0" w:rsidP="00EB7E52">
            <w:pPr>
              <w:jc w:val="both"/>
              <w:rPr>
                <w:rFonts w:cs="Arial"/>
                <w:sz w:val="20"/>
                <w:szCs w:val="20"/>
                <w:lang w:eastAsia="en-GB"/>
              </w:rPr>
            </w:pPr>
            <w:r w:rsidRPr="00EA1E04">
              <w:rPr>
                <w:rFonts w:cs="Arial"/>
                <w:sz w:val="20"/>
                <w:szCs w:val="20"/>
                <w:lang w:eastAsia="en-GB"/>
              </w:rPr>
              <w:t>10</w:t>
            </w:r>
          </w:p>
        </w:tc>
        <w:tc>
          <w:tcPr>
            <w:tcW w:w="714" w:type="dxa"/>
            <w:gridSpan w:val="3"/>
            <w:tcBorders>
              <w:bottom w:val="single" w:sz="4" w:space="0" w:color="auto"/>
            </w:tcBorders>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2.3</w:t>
            </w:r>
          </w:p>
        </w:tc>
        <w:tc>
          <w:tcPr>
            <w:tcW w:w="853" w:type="dxa"/>
            <w:tcBorders>
              <w:bottom w:val="single" w:sz="4" w:space="0" w:color="auto"/>
            </w:tcBorders>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1.3</w:t>
            </w:r>
          </w:p>
        </w:tc>
        <w:tc>
          <w:tcPr>
            <w:tcW w:w="852" w:type="dxa"/>
            <w:gridSpan w:val="2"/>
            <w:tcBorders>
              <w:bottom w:val="single" w:sz="4" w:space="0" w:color="auto"/>
            </w:tcBorders>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EA1E04">
              <w:rPr>
                <w:rFonts w:ascii="Calibri" w:hAnsi="Calibri"/>
                <w:b/>
                <w:sz w:val="20"/>
                <w:szCs w:val="20"/>
              </w:rPr>
              <w:t>1</w:t>
            </w:r>
          </w:p>
        </w:tc>
        <w:tc>
          <w:tcPr>
            <w:tcW w:w="1705" w:type="dxa"/>
            <w:gridSpan w:val="2"/>
            <w:tcBorders>
              <w:bottom w:val="single" w:sz="4" w:space="0" w:color="auto"/>
            </w:tcBorders>
            <w:vAlign w:val="center"/>
          </w:tcPr>
          <w:p w:rsidR="009742F0" w:rsidRPr="00EA1E04" w:rsidRDefault="003933D7"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1.76(1.37-2.24)</w:t>
            </w:r>
          </w:p>
        </w:tc>
        <w:tc>
          <w:tcPr>
            <w:tcW w:w="1439" w:type="dxa"/>
            <w:gridSpan w:val="2"/>
            <w:tcBorders>
              <w:bottom w:val="single" w:sz="4" w:space="0" w:color="auto"/>
            </w:tcBorders>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3.1</w:t>
            </w:r>
          </w:p>
        </w:tc>
        <w:tc>
          <w:tcPr>
            <w:tcW w:w="899" w:type="dxa"/>
            <w:gridSpan w:val="3"/>
            <w:tcBorders>
              <w:bottom w:val="single" w:sz="4" w:space="0" w:color="auto"/>
            </w:tcBorders>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1.8</w:t>
            </w:r>
          </w:p>
        </w:tc>
        <w:tc>
          <w:tcPr>
            <w:tcW w:w="770" w:type="dxa"/>
            <w:gridSpan w:val="2"/>
            <w:tcBorders>
              <w:bottom w:val="single" w:sz="4" w:space="0" w:color="auto"/>
            </w:tcBorders>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b/>
                <w:sz w:val="20"/>
                <w:szCs w:val="20"/>
                <w:lang w:eastAsia="en-GB"/>
              </w:rPr>
            </w:pPr>
            <w:r w:rsidRPr="00EA1E04">
              <w:rPr>
                <w:rFonts w:cs="Arial"/>
                <w:b/>
                <w:sz w:val="20"/>
                <w:szCs w:val="20"/>
                <w:lang w:eastAsia="en-GB"/>
              </w:rPr>
              <w:t>1.3</w:t>
            </w:r>
          </w:p>
        </w:tc>
        <w:tc>
          <w:tcPr>
            <w:tcW w:w="1580" w:type="dxa"/>
            <w:tcBorders>
              <w:bottom w:val="single" w:sz="4" w:space="0" w:color="auto"/>
            </w:tcBorders>
            <w:vAlign w:val="center"/>
          </w:tcPr>
          <w:p w:rsidR="009742F0" w:rsidRPr="00EA1E04" w:rsidRDefault="003933D7"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1.69(1.29-2.22)</w:t>
            </w:r>
          </w:p>
        </w:tc>
        <w:tc>
          <w:tcPr>
            <w:tcW w:w="1112" w:type="dxa"/>
            <w:gridSpan w:val="2"/>
            <w:tcBorders>
              <w:bottom w:val="single" w:sz="4" w:space="0" w:color="auto"/>
            </w:tcBorders>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EA1E04">
              <w:rPr>
                <w:rFonts w:ascii="Calibri" w:hAnsi="Calibri"/>
                <w:sz w:val="20"/>
                <w:szCs w:val="20"/>
              </w:rPr>
              <w:t>2.6</w:t>
            </w:r>
          </w:p>
        </w:tc>
        <w:tc>
          <w:tcPr>
            <w:tcW w:w="1009" w:type="dxa"/>
            <w:gridSpan w:val="2"/>
            <w:tcBorders>
              <w:bottom w:val="single" w:sz="4" w:space="0" w:color="auto"/>
            </w:tcBorders>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EA1E04">
              <w:rPr>
                <w:rFonts w:ascii="Calibri" w:hAnsi="Calibri"/>
                <w:sz w:val="20"/>
                <w:szCs w:val="20"/>
              </w:rPr>
              <w:t>1.6</w:t>
            </w:r>
          </w:p>
        </w:tc>
        <w:tc>
          <w:tcPr>
            <w:tcW w:w="783" w:type="dxa"/>
            <w:gridSpan w:val="2"/>
            <w:tcBorders>
              <w:bottom w:val="single" w:sz="4" w:space="0" w:color="auto"/>
            </w:tcBorders>
            <w:vAlign w:val="center"/>
          </w:tcPr>
          <w:p w:rsidR="009742F0" w:rsidRPr="00EA1E04" w:rsidRDefault="009742F0" w:rsidP="00EB7E52">
            <w:pPr>
              <w:jc w:val="both"/>
              <w:cnfStyle w:val="000000000000" w:firstRow="0" w:lastRow="0" w:firstColumn="0" w:lastColumn="0" w:oddVBand="0" w:evenVBand="0" w:oddHBand="0" w:evenHBand="0" w:firstRowFirstColumn="0" w:firstRowLastColumn="0" w:lastRowFirstColumn="0" w:lastRowLastColumn="0"/>
              <w:rPr>
                <w:rFonts w:cs="Arial"/>
                <w:b/>
                <w:sz w:val="20"/>
                <w:szCs w:val="20"/>
                <w:lang w:eastAsia="en-GB"/>
              </w:rPr>
            </w:pPr>
            <w:r w:rsidRPr="00EA1E04">
              <w:rPr>
                <w:rFonts w:cs="Arial"/>
                <w:b/>
                <w:sz w:val="20"/>
                <w:szCs w:val="20"/>
                <w:lang w:eastAsia="en-GB"/>
              </w:rPr>
              <w:t>1</w:t>
            </w:r>
          </w:p>
        </w:tc>
        <w:tc>
          <w:tcPr>
            <w:tcW w:w="1659" w:type="dxa"/>
            <w:gridSpan w:val="3"/>
            <w:tcBorders>
              <w:bottom w:val="single" w:sz="4" w:space="0" w:color="auto"/>
            </w:tcBorders>
            <w:vAlign w:val="center"/>
          </w:tcPr>
          <w:p w:rsidR="009742F0" w:rsidRPr="00EA1E04" w:rsidRDefault="003933D7" w:rsidP="00EB7E52">
            <w:pPr>
              <w:jc w:val="both"/>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EA1E04">
              <w:rPr>
                <w:rFonts w:cs="Arial"/>
                <w:sz w:val="20"/>
                <w:szCs w:val="20"/>
                <w:lang w:eastAsia="en-GB"/>
              </w:rPr>
              <w:t>1.64(1.36-1.96)</w:t>
            </w:r>
          </w:p>
        </w:tc>
      </w:tr>
      <w:tr w:rsidR="00EA1E04" w:rsidRPr="00EA1E04" w:rsidTr="00EB7E52">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473" w:type="dxa"/>
            <w:gridSpan w:val="26"/>
            <w:tcBorders>
              <w:top w:val="single" w:sz="4" w:space="0" w:color="auto"/>
              <w:left w:val="nil"/>
              <w:bottom w:val="nil"/>
              <w:right w:val="nil"/>
            </w:tcBorders>
            <w:vAlign w:val="center"/>
          </w:tcPr>
          <w:p w:rsidR="009742F0" w:rsidRPr="00EA1E04" w:rsidRDefault="009742F0" w:rsidP="00EB7E52">
            <w:pPr>
              <w:jc w:val="both"/>
              <w:rPr>
                <w:rFonts w:cs="Arial"/>
                <w:b w:val="0"/>
                <w:sz w:val="20"/>
                <w:szCs w:val="20"/>
                <w:lang w:eastAsia="en-GB"/>
              </w:rPr>
            </w:pPr>
            <w:r w:rsidRPr="00EA1E04">
              <w:rPr>
                <w:rFonts w:cs="Arial"/>
                <w:b w:val="0"/>
                <w:sz w:val="20"/>
                <w:szCs w:val="20"/>
                <w:lang w:eastAsia="en-GB"/>
              </w:rPr>
              <w:t>Likelihood ratio test p value for the interaction between sex and admission rates</w:t>
            </w:r>
            <w:r w:rsidR="00160393" w:rsidRPr="00EA1E04">
              <w:rPr>
                <w:rFonts w:cs="Arial"/>
                <w:b w:val="0"/>
                <w:sz w:val="20"/>
                <w:szCs w:val="20"/>
                <w:lang w:eastAsia="en-GB"/>
              </w:rPr>
              <w:t xml:space="preserve"> with adjustment for age</w:t>
            </w:r>
            <w:r w:rsidRPr="00EA1E04">
              <w:rPr>
                <w:rFonts w:cs="Arial"/>
                <w:b w:val="0"/>
                <w:sz w:val="20"/>
                <w:szCs w:val="20"/>
                <w:lang w:eastAsia="en-GB"/>
              </w:rPr>
              <w:t>: &lt;0.0001</w:t>
            </w:r>
            <w:r w:rsidR="00EA1E04">
              <w:rPr>
                <w:rFonts w:cs="Arial"/>
                <w:b w:val="0"/>
                <w:sz w:val="20"/>
                <w:szCs w:val="20"/>
                <w:lang w:eastAsia="en-GB"/>
              </w:rPr>
              <w:t>. CI = confidence interval; IRR= Incidence rate ratio.</w:t>
            </w:r>
          </w:p>
        </w:tc>
      </w:tr>
    </w:tbl>
    <w:p w:rsidR="009742F0" w:rsidRPr="00EA1E04" w:rsidRDefault="009742F0" w:rsidP="009742F0">
      <w:pPr>
        <w:jc w:val="both"/>
        <w:rPr>
          <w:sz w:val="24"/>
          <w:szCs w:val="24"/>
        </w:rPr>
      </w:pPr>
    </w:p>
    <w:p w:rsidR="000A3E8D" w:rsidRPr="00EA1E04" w:rsidRDefault="000A3E8D" w:rsidP="000A3E8D">
      <w:pPr>
        <w:jc w:val="both"/>
        <w:rPr>
          <w:sz w:val="24"/>
          <w:szCs w:val="24"/>
        </w:rPr>
      </w:pPr>
    </w:p>
    <w:p w:rsidR="000A3E8D" w:rsidRPr="00EA1E04" w:rsidRDefault="000A3E8D" w:rsidP="000A3E8D">
      <w:pPr>
        <w:jc w:val="both"/>
        <w:rPr>
          <w:sz w:val="24"/>
          <w:szCs w:val="24"/>
        </w:rPr>
      </w:pPr>
    </w:p>
    <w:p w:rsidR="000A3E8D" w:rsidRPr="00EA1E04" w:rsidRDefault="000A3E8D" w:rsidP="000A3E8D">
      <w:pPr>
        <w:jc w:val="both"/>
        <w:rPr>
          <w:sz w:val="24"/>
          <w:szCs w:val="24"/>
        </w:rPr>
      </w:pPr>
    </w:p>
    <w:p w:rsidR="000A3E8D" w:rsidRPr="00EA1E04" w:rsidRDefault="000A3E8D" w:rsidP="000A3E8D">
      <w:pPr>
        <w:jc w:val="both"/>
        <w:rPr>
          <w:sz w:val="24"/>
          <w:szCs w:val="24"/>
        </w:rPr>
      </w:pPr>
    </w:p>
    <w:p w:rsidR="000A3E8D" w:rsidRPr="00EA1E04" w:rsidRDefault="000A3E8D">
      <w:pPr>
        <w:rPr>
          <w:b/>
          <w:bCs/>
          <w:sz w:val="24"/>
          <w:szCs w:val="24"/>
        </w:rPr>
      </w:pPr>
    </w:p>
    <w:tbl>
      <w:tblPr>
        <w:tblStyle w:val="LightShading"/>
        <w:tblpPr w:leftFromText="180" w:rightFromText="180" w:vertAnchor="page" w:horzAnchor="page" w:tblpX="2154" w:tblpY="2194"/>
        <w:tblW w:w="10409" w:type="dxa"/>
        <w:tblLook w:val="04A0" w:firstRow="1" w:lastRow="0" w:firstColumn="1" w:lastColumn="0" w:noHBand="0" w:noVBand="1"/>
      </w:tblPr>
      <w:tblGrid>
        <w:gridCol w:w="4814"/>
        <w:gridCol w:w="2947"/>
        <w:gridCol w:w="2412"/>
        <w:gridCol w:w="236"/>
      </w:tblGrid>
      <w:tr w:rsidR="00EA1E04" w:rsidRPr="00EA1E04" w:rsidTr="007719C5">
        <w:trPr>
          <w:gridAfter w:val="1"/>
          <w:cnfStyle w:val="100000000000" w:firstRow="1" w:lastRow="0" w:firstColumn="0" w:lastColumn="0" w:oddVBand="0" w:evenVBand="0" w:oddHBand="0" w:evenHBand="0" w:firstRowFirstColumn="0" w:firstRowLastColumn="0" w:lastRowFirstColumn="0" w:lastRowLastColumn="0"/>
          <w:wAfter w:w="236" w:type="dxa"/>
          <w:trHeight w:val="975"/>
        </w:trPr>
        <w:tc>
          <w:tcPr>
            <w:cnfStyle w:val="001000000000" w:firstRow="0" w:lastRow="0" w:firstColumn="1" w:lastColumn="0" w:oddVBand="0" w:evenVBand="0" w:oddHBand="0" w:evenHBand="0" w:firstRowFirstColumn="0" w:firstRowLastColumn="0" w:lastRowFirstColumn="0" w:lastRowLastColumn="0"/>
            <w:tcW w:w="10173" w:type="dxa"/>
            <w:gridSpan w:val="3"/>
            <w:tcBorders>
              <w:top w:val="nil"/>
              <w:bottom w:val="single" w:sz="4" w:space="0" w:color="auto"/>
            </w:tcBorders>
            <w:shd w:val="clear" w:color="auto" w:fill="auto"/>
          </w:tcPr>
          <w:p w:rsidR="007719C5" w:rsidRPr="00EA1E04" w:rsidRDefault="007719C5" w:rsidP="00F07D54">
            <w:pPr>
              <w:jc w:val="both"/>
              <w:rPr>
                <w:rFonts w:cs="Arial"/>
                <w:b w:val="0"/>
                <w:bCs w:val="0"/>
                <w:color w:val="auto"/>
                <w:sz w:val="24"/>
                <w:szCs w:val="24"/>
                <w:lang w:eastAsia="en-GB"/>
              </w:rPr>
            </w:pPr>
          </w:p>
          <w:p w:rsidR="007719C5" w:rsidRPr="00EA1E04" w:rsidRDefault="007719C5" w:rsidP="007719C5">
            <w:pPr>
              <w:rPr>
                <w:rFonts w:cs="Arial"/>
                <w:color w:val="auto"/>
                <w:sz w:val="24"/>
                <w:szCs w:val="24"/>
                <w:lang w:eastAsia="en-GB"/>
              </w:rPr>
            </w:pPr>
            <w:r w:rsidRPr="00EA1E04">
              <w:rPr>
                <w:rFonts w:cs="Arial"/>
                <w:color w:val="auto"/>
                <w:sz w:val="24"/>
                <w:szCs w:val="24"/>
                <w:lang w:eastAsia="en-GB"/>
              </w:rPr>
              <w:t>Table 4: Proportion of patients with records of alcohol use and brief alcohol interventions</w:t>
            </w:r>
            <w:r w:rsidR="008051C4">
              <w:rPr>
                <w:rFonts w:cs="Arial"/>
                <w:color w:val="auto"/>
                <w:sz w:val="24"/>
                <w:szCs w:val="24"/>
                <w:lang w:eastAsia="en-GB"/>
              </w:rPr>
              <w:t>.</w:t>
            </w:r>
          </w:p>
        </w:tc>
      </w:tr>
      <w:tr w:rsidR="00EA1E04" w:rsidRPr="00EA1E04" w:rsidTr="007719C5">
        <w:trPr>
          <w:gridAfter w:val="1"/>
          <w:cnfStyle w:val="000000100000" w:firstRow="0" w:lastRow="0" w:firstColumn="0" w:lastColumn="0" w:oddVBand="0" w:evenVBand="0" w:oddHBand="1" w:evenHBand="0" w:firstRowFirstColumn="0" w:firstRowLastColumn="0" w:lastRowFirstColumn="0" w:lastRowLastColumn="0"/>
          <w:wAfter w:w="236" w:type="dxa"/>
          <w:trHeight w:val="975"/>
        </w:trPr>
        <w:tc>
          <w:tcPr>
            <w:cnfStyle w:val="001000000000" w:firstRow="0" w:lastRow="0" w:firstColumn="1" w:lastColumn="0" w:oddVBand="0" w:evenVBand="0" w:oddHBand="0" w:evenHBand="0" w:firstRowFirstColumn="0" w:firstRowLastColumn="0" w:lastRowFirstColumn="0" w:lastRowLastColumn="0"/>
            <w:tcW w:w="4814" w:type="dxa"/>
            <w:tcBorders>
              <w:top w:val="single" w:sz="4" w:space="0" w:color="auto"/>
            </w:tcBorders>
            <w:shd w:val="clear" w:color="auto" w:fill="BFBFBF" w:themeFill="background1" w:themeFillShade="BF"/>
          </w:tcPr>
          <w:p w:rsidR="00607EF7" w:rsidRPr="00EA1E04" w:rsidRDefault="00607EF7" w:rsidP="00F07D54">
            <w:pPr>
              <w:jc w:val="both"/>
              <w:rPr>
                <w:rFonts w:cs="Arial"/>
                <w:bCs w:val="0"/>
                <w:color w:val="auto"/>
                <w:sz w:val="24"/>
                <w:szCs w:val="24"/>
                <w:lang w:eastAsia="en-GB"/>
              </w:rPr>
            </w:pPr>
          </w:p>
          <w:p w:rsidR="00607EF7" w:rsidRPr="00EA1E04" w:rsidRDefault="00607EF7" w:rsidP="00F07D54">
            <w:pPr>
              <w:jc w:val="both"/>
              <w:rPr>
                <w:rFonts w:cs="Arial"/>
                <w:bCs w:val="0"/>
                <w:color w:val="auto"/>
                <w:sz w:val="24"/>
                <w:szCs w:val="24"/>
                <w:lang w:eastAsia="en-GB"/>
              </w:rPr>
            </w:pPr>
          </w:p>
        </w:tc>
        <w:tc>
          <w:tcPr>
            <w:tcW w:w="2947" w:type="dxa"/>
            <w:tcBorders>
              <w:top w:val="single" w:sz="4" w:space="0" w:color="auto"/>
            </w:tcBorders>
            <w:shd w:val="clear" w:color="auto" w:fill="BFBFBF" w:themeFill="background1" w:themeFillShade="BF"/>
          </w:tcPr>
          <w:p w:rsidR="00F339C4" w:rsidRPr="00EA1E04" w:rsidRDefault="00F339C4" w:rsidP="00F07D54">
            <w:pPr>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p>
          <w:p w:rsidR="00607EF7" w:rsidRPr="00EA1E04" w:rsidRDefault="00607EF7" w:rsidP="00F07D54">
            <w:pPr>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Cases</w:t>
            </w:r>
          </w:p>
          <w:p w:rsidR="00607EF7" w:rsidRPr="00EA1E04" w:rsidRDefault="00607EF7" w:rsidP="00F07D54">
            <w:pPr>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(n, %)</w:t>
            </w:r>
          </w:p>
        </w:tc>
        <w:tc>
          <w:tcPr>
            <w:tcW w:w="2412" w:type="dxa"/>
            <w:tcBorders>
              <w:top w:val="single" w:sz="4" w:space="0" w:color="auto"/>
            </w:tcBorders>
            <w:shd w:val="clear" w:color="auto" w:fill="BFBFBF" w:themeFill="background1" w:themeFillShade="BF"/>
          </w:tcPr>
          <w:p w:rsidR="00F339C4" w:rsidRPr="00EA1E04" w:rsidRDefault="00F339C4" w:rsidP="00F07D54">
            <w:pPr>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p>
          <w:p w:rsidR="00607EF7" w:rsidRPr="00EA1E04" w:rsidRDefault="00607EF7" w:rsidP="00F07D54">
            <w:pPr>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Controls</w:t>
            </w:r>
          </w:p>
          <w:p w:rsidR="00607EF7" w:rsidRPr="00EA1E04" w:rsidRDefault="00607EF7" w:rsidP="00F07D54">
            <w:pPr>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(n, %)</w:t>
            </w:r>
          </w:p>
        </w:tc>
      </w:tr>
      <w:tr w:rsidR="00EA1E04" w:rsidRPr="00EA1E04" w:rsidTr="00F07D54">
        <w:trPr>
          <w:gridAfter w:val="1"/>
          <w:wAfter w:w="236" w:type="dxa"/>
          <w:trHeight w:val="157"/>
        </w:trPr>
        <w:tc>
          <w:tcPr>
            <w:cnfStyle w:val="001000000000" w:firstRow="0" w:lastRow="0" w:firstColumn="1" w:lastColumn="0" w:oddVBand="0" w:evenVBand="0" w:oddHBand="0" w:evenHBand="0" w:firstRowFirstColumn="0" w:firstRowLastColumn="0" w:lastRowFirstColumn="0" w:lastRowLastColumn="0"/>
            <w:tcW w:w="4814" w:type="dxa"/>
            <w:tcBorders>
              <w:top w:val="single" w:sz="8" w:space="0" w:color="000000" w:themeColor="text1"/>
              <w:bottom w:val="nil"/>
            </w:tcBorders>
            <w:shd w:val="clear" w:color="auto" w:fill="auto"/>
          </w:tcPr>
          <w:p w:rsidR="00607EF7" w:rsidRPr="00EA1E04" w:rsidRDefault="00607EF7" w:rsidP="00F07D54">
            <w:pPr>
              <w:spacing w:line="360" w:lineRule="auto"/>
              <w:jc w:val="both"/>
              <w:rPr>
                <w:rFonts w:cs="Arial"/>
                <w:bCs w:val="0"/>
                <w:color w:val="auto"/>
                <w:sz w:val="24"/>
                <w:szCs w:val="24"/>
                <w:vertAlign w:val="superscript"/>
                <w:lang w:eastAsia="en-GB"/>
              </w:rPr>
            </w:pPr>
            <w:r w:rsidRPr="00EA1E04">
              <w:rPr>
                <w:rFonts w:cs="Arial"/>
                <w:bCs w:val="0"/>
                <w:color w:val="auto"/>
                <w:sz w:val="24"/>
                <w:szCs w:val="24"/>
                <w:lang w:eastAsia="en-GB"/>
              </w:rPr>
              <w:t xml:space="preserve">Alcohol use status </w:t>
            </w:r>
            <w:r w:rsidR="00EA1E04">
              <w:rPr>
                <w:rFonts w:cs="Arial"/>
                <w:bCs w:val="0"/>
                <w:color w:val="auto"/>
                <w:sz w:val="24"/>
                <w:szCs w:val="24"/>
                <w:vertAlign w:val="superscript"/>
                <w:lang w:eastAsia="en-GB"/>
              </w:rPr>
              <w:t>a</w:t>
            </w:r>
          </w:p>
        </w:tc>
        <w:tc>
          <w:tcPr>
            <w:tcW w:w="2947" w:type="dxa"/>
            <w:tcBorders>
              <w:top w:val="single" w:sz="8" w:space="0" w:color="000000" w:themeColor="text1"/>
              <w:bottom w:val="nil"/>
            </w:tcBorders>
            <w:shd w:val="clear" w:color="auto" w:fill="auto"/>
          </w:tcPr>
          <w:p w:rsidR="00607EF7" w:rsidRPr="00EA1E04" w:rsidRDefault="00607EF7" w:rsidP="00F07D54">
            <w:pPr>
              <w:spacing w:line="360" w:lineRule="au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p>
        </w:tc>
        <w:tc>
          <w:tcPr>
            <w:tcW w:w="2412" w:type="dxa"/>
            <w:tcBorders>
              <w:top w:val="single" w:sz="8" w:space="0" w:color="000000" w:themeColor="text1"/>
              <w:bottom w:val="nil"/>
            </w:tcBorders>
            <w:shd w:val="clear" w:color="auto" w:fill="auto"/>
          </w:tcPr>
          <w:p w:rsidR="00607EF7" w:rsidRPr="00EA1E04" w:rsidRDefault="00607EF7" w:rsidP="00F07D54">
            <w:pPr>
              <w:spacing w:line="360" w:lineRule="au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p>
        </w:tc>
      </w:tr>
      <w:tr w:rsidR="00EA1E04" w:rsidRPr="00EA1E04" w:rsidTr="00F07D54">
        <w:trPr>
          <w:gridAfter w:val="1"/>
          <w:cnfStyle w:val="000000100000" w:firstRow="0" w:lastRow="0" w:firstColumn="0" w:lastColumn="0" w:oddVBand="0" w:evenVBand="0" w:oddHBand="1" w:evenHBand="0" w:firstRowFirstColumn="0" w:firstRowLastColumn="0" w:lastRowFirstColumn="0" w:lastRowLastColumn="0"/>
          <w:wAfter w:w="236" w:type="dxa"/>
          <w:trHeight w:val="157"/>
        </w:trPr>
        <w:tc>
          <w:tcPr>
            <w:cnfStyle w:val="001000000000" w:firstRow="0" w:lastRow="0" w:firstColumn="1" w:lastColumn="0" w:oddVBand="0" w:evenVBand="0" w:oddHBand="0" w:evenHBand="0" w:firstRowFirstColumn="0" w:firstRowLastColumn="0" w:lastRowFirstColumn="0" w:lastRowLastColumn="0"/>
            <w:tcW w:w="4814" w:type="dxa"/>
            <w:tcBorders>
              <w:top w:val="nil"/>
            </w:tcBorders>
            <w:shd w:val="clear" w:color="auto" w:fill="auto"/>
          </w:tcPr>
          <w:p w:rsidR="00607EF7" w:rsidRPr="00EA1E04" w:rsidRDefault="00607EF7" w:rsidP="00F07D54">
            <w:pPr>
              <w:spacing w:line="360" w:lineRule="auto"/>
              <w:jc w:val="both"/>
              <w:rPr>
                <w:rFonts w:cs="Arial"/>
                <w:b w:val="0"/>
                <w:bCs w:val="0"/>
                <w:color w:val="auto"/>
                <w:sz w:val="24"/>
                <w:szCs w:val="24"/>
                <w:lang w:eastAsia="en-GB"/>
              </w:rPr>
            </w:pPr>
            <w:r w:rsidRPr="00EA1E04">
              <w:rPr>
                <w:rFonts w:cs="Arial"/>
                <w:b w:val="0"/>
                <w:bCs w:val="0"/>
                <w:color w:val="auto"/>
                <w:sz w:val="24"/>
                <w:szCs w:val="24"/>
                <w:lang w:eastAsia="en-GB"/>
              </w:rPr>
              <w:t xml:space="preserve">Data available </w:t>
            </w:r>
          </w:p>
        </w:tc>
        <w:tc>
          <w:tcPr>
            <w:tcW w:w="2947" w:type="dxa"/>
            <w:tcBorders>
              <w:top w:val="nil"/>
            </w:tcBorders>
            <w:shd w:val="clear" w:color="auto" w:fill="auto"/>
          </w:tcPr>
          <w:p w:rsidR="00607EF7" w:rsidRPr="00EA1E04" w:rsidRDefault="00607EF7" w:rsidP="00F07D54">
            <w:pPr>
              <w:spacing w:line="360" w:lineRule="auto"/>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2,088(84.2 )</w:t>
            </w:r>
          </w:p>
        </w:tc>
        <w:tc>
          <w:tcPr>
            <w:tcW w:w="2412" w:type="dxa"/>
            <w:tcBorders>
              <w:top w:val="nil"/>
            </w:tcBorders>
            <w:shd w:val="clear" w:color="auto" w:fill="auto"/>
          </w:tcPr>
          <w:p w:rsidR="00607EF7" w:rsidRPr="00EA1E04" w:rsidRDefault="00607EF7" w:rsidP="00F07D54">
            <w:pPr>
              <w:spacing w:line="360" w:lineRule="auto"/>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 xml:space="preserve"> 16,752( 67.6)</w:t>
            </w:r>
          </w:p>
        </w:tc>
      </w:tr>
      <w:tr w:rsidR="00EA1E04" w:rsidRPr="00EA1E04" w:rsidTr="00F07D54">
        <w:trPr>
          <w:gridAfter w:val="1"/>
          <w:wAfter w:w="236" w:type="dxa"/>
          <w:trHeight w:val="157"/>
        </w:trPr>
        <w:tc>
          <w:tcPr>
            <w:cnfStyle w:val="001000000000" w:firstRow="0" w:lastRow="0" w:firstColumn="1" w:lastColumn="0" w:oddVBand="0" w:evenVBand="0" w:oddHBand="0" w:evenHBand="0" w:firstRowFirstColumn="0" w:firstRowLastColumn="0" w:lastRowFirstColumn="0" w:lastRowLastColumn="0"/>
            <w:tcW w:w="4814" w:type="dxa"/>
            <w:shd w:val="clear" w:color="auto" w:fill="auto"/>
          </w:tcPr>
          <w:p w:rsidR="00607EF7" w:rsidRPr="00EA1E04" w:rsidRDefault="00607EF7" w:rsidP="00F07D54">
            <w:pPr>
              <w:spacing w:line="360" w:lineRule="auto"/>
              <w:jc w:val="both"/>
              <w:rPr>
                <w:rFonts w:cs="Arial"/>
                <w:b w:val="0"/>
                <w:bCs w:val="0"/>
                <w:color w:val="auto"/>
                <w:sz w:val="24"/>
                <w:szCs w:val="24"/>
                <w:lang w:eastAsia="en-GB"/>
              </w:rPr>
            </w:pPr>
            <w:r w:rsidRPr="00EA1E04">
              <w:rPr>
                <w:rFonts w:cs="Arial"/>
                <w:b w:val="0"/>
                <w:bCs w:val="0"/>
                <w:color w:val="auto"/>
                <w:sz w:val="24"/>
                <w:szCs w:val="24"/>
                <w:lang w:eastAsia="en-GB"/>
              </w:rPr>
              <w:t xml:space="preserve">    Never</w:t>
            </w:r>
          </w:p>
        </w:tc>
        <w:tc>
          <w:tcPr>
            <w:tcW w:w="2947" w:type="dxa"/>
            <w:shd w:val="clear" w:color="auto" w:fill="auto"/>
          </w:tcPr>
          <w:p w:rsidR="00607EF7" w:rsidRPr="00EA1E04" w:rsidRDefault="00607EF7" w:rsidP="00F07D54">
            <w:pPr>
              <w:spacing w:line="360" w:lineRule="auto"/>
              <w:ind w:firstLine="317"/>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48(1.9)</w:t>
            </w:r>
          </w:p>
        </w:tc>
        <w:tc>
          <w:tcPr>
            <w:tcW w:w="2412" w:type="dxa"/>
            <w:shd w:val="clear" w:color="auto" w:fill="auto"/>
          </w:tcPr>
          <w:p w:rsidR="00607EF7" w:rsidRPr="00EA1E04" w:rsidRDefault="00607EF7" w:rsidP="00F07D54">
            <w:pPr>
              <w:spacing w:line="360" w:lineRule="auto"/>
              <w:ind w:firstLine="176"/>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2,347(9.5)</w:t>
            </w:r>
          </w:p>
        </w:tc>
      </w:tr>
      <w:tr w:rsidR="00EA1E04" w:rsidRPr="00EA1E04" w:rsidTr="00F07D54">
        <w:trPr>
          <w:gridAfter w:val="1"/>
          <w:cnfStyle w:val="000000100000" w:firstRow="0" w:lastRow="0" w:firstColumn="0" w:lastColumn="0" w:oddVBand="0" w:evenVBand="0" w:oddHBand="1" w:evenHBand="0" w:firstRowFirstColumn="0" w:firstRowLastColumn="0" w:lastRowFirstColumn="0" w:lastRowLastColumn="0"/>
          <w:wAfter w:w="236" w:type="dxa"/>
          <w:trHeight w:val="157"/>
        </w:trPr>
        <w:tc>
          <w:tcPr>
            <w:cnfStyle w:val="001000000000" w:firstRow="0" w:lastRow="0" w:firstColumn="1" w:lastColumn="0" w:oddVBand="0" w:evenVBand="0" w:oddHBand="0" w:evenHBand="0" w:firstRowFirstColumn="0" w:firstRowLastColumn="0" w:lastRowFirstColumn="0" w:lastRowLastColumn="0"/>
            <w:tcW w:w="4814" w:type="dxa"/>
            <w:shd w:val="clear" w:color="auto" w:fill="auto"/>
          </w:tcPr>
          <w:p w:rsidR="00607EF7" w:rsidRPr="00EA1E04" w:rsidRDefault="00607EF7" w:rsidP="00F07D54">
            <w:pPr>
              <w:spacing w:line="360" w:lineRule="auto"/>
              <w:jc w:val="both"/>
              <w:rPr>
                <w:rFonts w:cs="Arial"/>
                <w:b w:val="0"/>
                <w:bCs w:val="0"/>
                <w:color w:val="auto"/>
                <w:sz w:val="24"/>
                <w:szCs w:val="24"/>
                <w:lang w:eastAsia="en-GB"/>
              </w:rPr>
            </w:pPr>
            <w:r w:rsidRPr="00EA1E04">
              <w:rPr>
                <w:rFonts w:cs="Arial"/>
                <w:b w:val="0"/>
                <w:bCs w:val="0"/>
                <w:color w:val="auto"/>
                <w:sz w:val="24"/>
                <w:szCs w:val="24"/>
                <w:lang w:eastAsia="en-GB"/>
              </w:rPr>
              <w:t xml:space="preserve">    moderate</w:t>
            </w:r>
          </w:p>
        </w:tc>
        <w:tc>
          <w:tcPr>
            <w:tcW w:w="2947" w:type="dxa"/>
            <w:shd w:val="clear" w:color="auto" w:fill="auto"/>
          </w:tcPr>
          <w:p w:rsidR="00607EF7" w:rsidRPr="00EA1E04" w:rsidRDefault="00607EF7" w:rsidP="00F07D54">
            <w:pPr>
              <w:spacing w:line="360" w:lineRule="auto"/>
              <w:ind w:firstLine="317"/>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377(15.2)</w:t>
            </w:r>
          </w:p>
        </w:tc>
        <w:tc>
          <w:tcPr>
            <w:tcW w:w="2412" w:type="dxa"/>
            <w:shd w:val="clear" w:color="auto" w:fill="auto"/>
          </w:tcPr>
          <w:p w:rsidR="00607EF7" w:rsidRPr="00EA1E04" w:rsidRDefault="00607EF7" w:rsidP="00F07D54">
            <w:pPr>
              <w:spacing w:line="360" w:lineRule="auto"/>
              <w:ind w:firstLine="176"/>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11,374(45.9)</w:t>
            </w:r>
          </w:p>
        </w:tc>
      </w:tr>
      <w:tr w:rsidR="00EA1E04" w:rsidRPr="00EA1E04" w:rsidTr="00F07D54">
        <w:trPr>
          <w:gridAfter w:val="1"/>
          <w:wAfter w:w="236" w:type="dxa"/>
          <w:trHeight w:val="157"/>
        </w:trPr>
        <w:tc>
          <w:tcPr>
            <w:cnfStyle w:val="001000000000" w:firstRow="0" w:lastRow="0" w:firstColumn="1" w:lastColumn="0" w:oddVBand="0" w:evenVBand="0" w:oddHBand="0" w:evenHBand="0" w:firstRowFirstColumn="0" w:firstRowLastColumn="0" w:lastRowFirstColumn="0" w:lastRowLastColumn="0"/>
            <w:tcW w:w="4814" w:type="dxa"/>
            <w:shd w:val="clear" w:color="auto" w:fill="auto"/>
          </w:tcPr>
          <w:p w:rsidR="00607EF7" w:rsidRPr="00EA1E04" w:rsidRDefault="00607EF7" w:rsidP="00F07D54">
            <w:pPr>
              <w:spacing w:line="360" w:lineRule="auto"/>
              <w:jc w:val="both"/>
              <w:rPr>
                <w:rFonts w:cs="Arial"/>
                <w:b w:val="0"/>
                <w:bCs w:val="0"/>
                <w:color w:val="auto"/>
                <w:sz w:val="24"/>
                <w:szCs w:val="24"/>
                <w:vertAlign w:val="superscript"/>
                <w:lang w:eastAsia="en-GB"/>
              </w:rPr>
            </w:pPr>
            <w:r w:rsidRPr="00EA1E04">
              <w:rPr>
                <w:rFonts w:cs="Arial"/>
                <w:b w:val="0"/>
                <w:bCs w:val="0"/>
                <w:color w:val="auto"/>
                <w:sz w:val="24"/>
                <w:szCs w:val="24"/>
                <w:lang w:eastAsia="en-GB"/>
              </w:rPr>
              <w:t xml:space="preserve">    Hazardous/harmful</w:t>
            </w:r>
            <w:r w:rsidR="00EA1E04">
              <w:rPr>
                <w:rFonts w:cs="Arial"/>
                <w:b w:val="0"/>
                <w:bCs w:val="0"/>
                <w:color w:val="auto"/>
                <w:sz w:val="24"/>
                <w:szCs w:val="24"/>
                <w:vertAlign w:val="superscript"/>
                <w:lang w:eastAsia="en-GB"/>
              </w:rPr>
              <w:t>b</w:t>
            </w:r>
          </w:p>
        </w:tc>
        <w:tc>
          <w:tcPr>
            <w:tcW w:w="2947" w:type="dxa"/>
            <w:shd w:val="clear" w:color="auto" w:fill="auto"/>
          </w:tcPr>
          <w:p w:rsidR="00607EF7" w:rsidRPr="00EA1E04" w:rsidRDefault="00607EF7" w:rsidP="00F07D54">
            <w:pPr>
              <w:spacing w:line="360" w:lineRule="auto"/>
              <w:ind w:firstLine="317"/>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1,507( 60.7)</w:t>
            </w:r>
          </w:p>
        </w:tc>
        <w:tc>
          <w:tcPr>
            <w:tcW w:w="2412" w:type="dxa"/>
            <w:shd w:val="clear" w:color="auto" w:fill="auto"/>
          </w:tcPr>
          <w:p w:rsidR="00607EF7" w:rsidRPr="00EA1E04" w:rsidRDefault="00607EF7" w:rsidP="00F07D54">
            <w:pPr>
              <w:spacing w:line="360" w:lineRule="auto"/>
              <w:ind w:firstLine="176"/>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2,344(9.5)</w:t>
            </w:r>
          </w:p>
        </w:tc>
      </w:tr>
      <w:tr w:rsidR="00EA1E04" w:rsidRPr="00EA1E04" w:rsidTr="00F07D54">
        <w:trPr>
          <w:gridAfter w:val="1"/>
          <w:cnfStyle w:val="000000100000" w:firstRow="0" w:lastRow="0" w:firstColumn="0" w:lastColumn="0" w:oddVBand="0" w:evenVBand="0" w:oddHBand="1" w:evenHBand="0" w:firstRowFirstColumn="0" w:firstRowLastColumn="0" w:lastRowFirstColumn="0" w:lastRowLastColumn="0"/>
          <w:wAfter w:w="236" w:type="dxa"/>
          <w:trHeight w:val="157"/>
        </w:trPr>
        <w:tc>
          <w:tcPr>
            <w:cnfStyle w:val="001000000000" w:firstRow="0" w:lastRow="0" w:firstColumn="1" w:lastColumn="0" w:oddVBand="0" w:evenVBand="0" w:oddHBand="0" w:evenHBand="0" w:firstRowFirstColumn="0" w:firstRowLastColumn="0" w:lastRowFirstColumn="0" w:lastRowLastColumn="0"/>
            <w:tcW w:w="4814" w:type="dxa"/>
            <w:shd w:val="clear" w:color="auto" w:fill="auto"/>
          </w:tcPr>
          <w:p w:rsidR="00607EF7" w:rsidRPr="00EA1E04" w:rsidRDefault="00607EF7" w:rsidP="00F07D54">
            <w:pPr>
              <w:spacing w:line="360" w:lineRule="auto"/>
              <w:jc w:val="both"/>
              <w:rPr>
                <w:rFonts w:cs="Arial"/>
                <w:b w:val="0"/>
                <w:bCs w:val="0"/>
                <w:color w:val="auto"/>
                <w:sz w:val="24"/>
                <w:szCs w:val="24"/>
                <w:lang w:eastAsia="en-GB"/>
              </w:rPr>
            </w:pPr>
            <w:r w:rsidRPr="00EA1E04">
              <w:rPr>
                <w:rFonts w:cs="Arial"/>
                <w:b w:val="0"/>
                <w:bCs w:val="0"/>
                <w:color w:val="auto"/>
                <w:sz w:val="24"/>
                <w:szCs w:val="24"/>
                <w:lang w:eastAsia="en-GB"/>
              </w:rPr>
              <w:t xml:space="preserve">    unclear</w:t>
            </w:r>
          </w:p>
        </w:tc>
        <w:tc>
          <w:tcPr>
            <w:tcW w:w="2947" w:type="dxa"/>
            <w:shd w:val="clear" w:color="auto" w:fill="auto"/>
          </w:tcPr>
          <w:p w:rsidR="00607EF7" w:rsidRPr="00EA1E04" w:rsidRDefault="00607EF7" w:rsidP="00F07D54">
            <w:pPr>
              <w:spacing w:line="360" w:lineRule="auto"/>
              <w:ind w:firstLine="317"/>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156( 6.3)</w:t>
            </w:r>
          </w:p>
        </w:tc>
        <w:tc>
          <w:tcPr>
            <w:tcW w:w="2412" w:type="dxa"/>
            <w:shd w:val="clear" w:color="auto" w:fill="auto"/>
          </w:tcPr>
          <w:p w:rsidR="00607EF7" w:rsidRPr="00EA1E04" w:rsidRDefault="00607EF7" w:rsidP="00F07D54">
            <w:pPr>
              <w:spacing w:line="360" w:lineRule="auto"/>
              <w:ind w:firstLine="176"/>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687(2.8)</w:t>
            </w:r>
          </w:p>
        </w:tc>
      </w:tr>
      <w:tr w:rsidR="00EA1E04" w:rsidRPr="00EA1E04" w:rsidTr="00F07D54">
        <w:trPr>
          <w:gridAfter w:val="1"/>
          <w:wAfter w:w="236" w:type="dxa"/>
          <w:trHeight w:val="157"/>
        </w:trPr>
        <w:tc>
          <w:tcPr>
            <w:cnfStyle w:val="001000000000" w:firstRow="0" w:lastRow="0" w:firstColumn="1" w:lastColumn="0" w:oddVBand="0" w:evenVBand="0" w:oddHBand="0" w:evenHBand="0" w:firstRowFirstColumn="0" w:firstRowLastColumn="0" w:lastRowFirstColumn="0" w:lastRowLastColumn="0"/>
            <w:tcW w:w="4814" w:type="dxa"/>
            <w:tcBorders>
              <w:bottom w:val="nil"/>
            </w:tcBorders>
            <w:shd w:val="clear" w:color="auto" w:fill="auto"/>
          </w:tcPr>
          <w:p w:rsidR="00607EF7" w:rsidRPr="00EA1E04" w:rsidRDefault="00607EF7" w:rsidP="00F07D54">
            <w:pPr>
              <w:spacing w:line="360" w:lineRule="auto"/>
              <w:jc w:val="both"/>
              <w:rPr>
                <w:rFonts w:cs="Arial"/>
                <w:b w:val="0"/>
                <w:bCs w:val="0"/>
                <w:color w:val="auto"/>
                <w:sz w:val="24"/>
                <w:szCs w:val="24"/>
                <w:lang w:eastAsia="en-GB"/>
              </w:rPr>
            </w:pPr>
            <w:r w:rsidRPr="00EA1E04">
              <w:rPr>
                <w:rFonts w:cs="Arial"/>
                <w:b w:val="0"/>
                <w:bCs w:val="0"/>
                <w:color w:val="auto"/>
                <w:sz w:val="24"/>
                <w:szCs w:val="24"/>
                <w:lang w:eastAsia="en-GB"/>
              </w:rPr>
              <w:t>Data unavailable</w:t>
            </w:r>
          </w:p>
        </w:tc>
        <w:tc>
          <w:tcPr>
            <w:tcW w:w="2947" w:type="dxa"/>
            <w:tcBorders>
              <w:bottom w:val="nil"/>
            </w:tcBorders>
            <w:shd w:val="clear" w:color="auto" w:fill="auto"/>
          </w:tcPr>
          <w:p w:rsidR="00607EF7" w:rsidRPr="00EA1E04" w:rsidRDefault="00607EF7" w:rsidP="00F07D54">
            <w:pPr>
              <w:spacing w:line="360" w:lineRule="au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391(15.8)</w:t>
            </w:r>
          </w:p>
        </w:tc>
        <w:tc>
          <w:tcPr>
            <w:tcW w:w="2412" w:type="dxa"/>
            <w:tcBorders>
              <w:bottom w:val="nil"/>
            </w:tcBorders>
            <w:shd w:val="clear" w:color="auto" w:fill="auto"/>
          </w:tcPr>
          <w:p w:rsidR="00607EF7" w:rsidRPr="00EA1E04" w:rsidRDefault="00607EF7" w:rsidP="00F07D54">
            <w:pPr>
              <w:spacing w:line="360" w:lineRule="au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8,038(32.4)</w:t>
            </w:r>
          </w:p>
        </w:tc>
      </w:tr>
      <w:tr w:rsidR="00EA1E04" w:rsidRPr="00EA1E04" w:rsidTr="00F07D54">
        <w:trPr>
          <w:gridAfter w:val="1"/>
          <w:cnfStyle w:val="000000100000" w:firstRow="0" w:lastRow="0" w:firstColumn="0" w:lastColumn="0" w:oddVBand="0" w:evenVBand="0" w:oddHBand="1" w:evenHBand="0" w:firstRowFirstColumn="0" w:firstRowLastColumn="0" w:lastRowFirstColumn="0" w:lastRowLastColumn="0"/>
          <w:wAfter w:w="236" w:type="dxa"/>
          <w:trHeight w:val="157"/>
        </w:trPr>
        <w:tc>
          <w:tcPr>
            <w:cnfStyle w:val="001000000000" w:firstRow="0" w:lastRow="0" w:firstColumn="1" w:lastColumn="0" w:oddVBand="0" w:evenVBand="0" w:oddHBand="0" w:evenHBand="0" w:firstRowFirstColumn="0" w:firstRowLastColumn="0" w:lastRowFirstColumn="0" w:lastRowLastColumn="0"/>
            <w:tcW w:w="4814" w:type="dxa"/>
            <w:tcBorders>
              <w:top w:val="nil"/>
              <w:bottom w:val="nil"/>
            </w:tcBorders>
            <w:shd w:val="clear" w:color="auto" w:fill="auto"/>
          </w:tcPr>
          <w:p w:rsidR="00607EF7" w:rsidRPr="00EA1E04" w:rsidRDefault="00607EF7" w:rsidP="00F07D54">
            <w:pPr>
              <w:spacing w:line="360" w:lineRule="auto"/>
              <w:jc w:val="both"/>
              <w:rPr>
                <w:rFonts w:cs="Arial"/>
                <w:bCs w:val="0"/>
                <w:color w:val="auto"/>
                <w:sz w:val="24"/>
                <w:szCs w:val="24"/>
                <w:vertAlign w:val="superscript"/>
                <w:lang w:eastAsia="en-GB"/>
              </w:rPr>
            </w:pPr>
            <w:r w:rsidRPr="00EA1E04">
              <w:rPr>
                <w:rFonts w:cs="Arial"/>
                <w:bCs w:val="0"/>
                <w:color w:val="auto"/>
                <w:sz w:val="24"/>
                <w:szCs w:val="24"/>
                <w:lang w:eastAsia="en-GB"/>
              </w:rPr>
              <w:t>Intervention (n, %)</w:t>
            </w:r>
            <w:r w:rsidRPr="00EA1E04">
              <w:rPr>
                <w:rFonts w:cs="Arial"/>
                <w:bCs w:val="0"/>
                <w:color w:val="auto"/>
                <w:sz w:val="24"/>
                <w:szCs w:val="24"/>
                <w:vertAlign w:val="superscript"/>
                <w:lang w:eastAsia="en-GB"/>
              </w:rPr>
              <w:t>1</w:t>
            </w:r>
          </w:p>
        </w:tc>
        <w:tc>
          <w:tcPr>
            <w:tcW w:w="2947" w:type="dxa"/>
            <w:tcBorders>
              <w:top w:val="nil"/>
              <w:bottom w:val="nil"/>
            </w:tcBorders>
            <w:shd w:val="clear" w:color="auto" w:fill="auto"/>
          </w:tcPr>
          <w:p w:rsidR="00607EF7" w:rsidRPr="00EA1E04" w:rsidRDefault="00607EF7" w:rsidP="00F07D54">
            <w:pPr>
              <w:spacing w:line="360" w:lineRule="auto"/>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p>
        </w:tc>
        <w:tc>
          <w:tcPr>
            <w:tcW w:w="2412" w:type="dxa"/>
            <w:tcBorders>
              <w:top w:val="nil"/>
              <w:bottom w:val="nil"/>
            </w:tcBorders>
            <w:shd w:val="clear" w:color="auto" w:fill="auto"/>
          </w:tcPr>
          <w:p w:rsidR="00607EF7" w:rsidRPr="00EA1E04" w:rsidRDefault="00607EF7" w:rsidP="00F07D54">
            <w:pPr>
              <w:spacing w:line="360" w:lineRule="auto"/>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p>
        </w:tc>
      </w:tr>
      <w:tr w:rsidR="00EA1E04" w:rsidRPr="00EA1E04" w:rsidTr="00F07D54">
        <w:trPr>
          <w:gridAfter w:val="1"/>
          <w:wAfter w:w="236" w:type="dxa"/>
          <w:trHeight w:val="157"/>
        </w:trPr>
        <w:tc>
          <w:tcPr>
            <w:cnfStyle w:val="001000000000" w:firstRow="0" w:lastRow="0" w:firstColumn="1" w:lastColumn="0" w:oddVBand="0" w:evenVBand="0" w:oddHBand="0" w:evenHBand="0" w:firstRowFirstColumn="0" w:firstRowLastColumn="0" w:lastRowFirstColumn="0" w:lastRowLastColumn="0"/>
            <w:tcW w:w="4814" w:type="dxa"/>
            <w:tcBorders>
              <w:top w:val="nil"/>
            </w:tcBorders>
            <w:shd w:val="clear" w:color="auto" w:fill="auto"/>
          </w:tcPr>
          <w:p w:rsidR="00607EF7" w:rsidRPr="00EA1E04" w:rsidRDefault="00607EF7" w:rsidP="00F07D54">
            <w:pPr>
              <w:spacing w:line="360" w:lineRule="auto"/>
              <w:jc w:val="both"/>
              <w:rPr>
                <w:rFonts w:cs="Arial"/>
                <w:b w:val="0"/>
                <w:bCs w:val="0"/>
                <w:color w:val="auto"/>
                <w:sz w:val="24"/>
                <w:szCs w:val="24"/>
                <w:lang w:eastAsia="en-GB"/>
              </w:rPr>
            </w:pPr>
            <w:r w:rsidRPr="00EA1E04">
              <w:rPr>
                <w:rFonts w:cs="Arial"/>
                <w:b w:val="0"/>
                <w:bCs w:val="0"/>
                <w:color w:val="auto"/>
                <w:sz w:val="24"/>
                <w:szCs w:val="24"/>
                <w:lang w:eastAsia="en-GB"/>
              </w:rPr>
              <w:t>Definitely offered an intervention</w:t>
            </w:r>
          </w:p>
        </w:tc>
        <w:tc>
          <w:tcPr>
            <w:tcW w:w="2947" w:type="dxa"/>
            <w:tcBorders>
              <w:top w:val="nil"/>
            </w:tcBorders>
            <w:shd w:val="clear" w:color="auto" w:fill="auto"/>
          </w:tcPr>
          <w:p w:rsidR="00607EF7" w:rsidRPr="00EA1E04" w:rsidRDefault="00607EF7" w:rsidP="00F07D54">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Cs/>
                <w:color w:val="auto"/>
                <w:sz w:val="24"/>
                <w:szCs w:val="24"/>
                <w:lang w:eastAsia="en-GB"/>
              </w:rPr>
            </w:pPr>
            <w:r w:rsidRPr="00EA1E04">
              <w:rPr>
                <w:rFonts w:cs="Arial"/>
                <w:bCs/>
                <w:color w:val="auto"/>
                <w:sz w:val="24"/>
                <w:szCs w:val="24"/>
                <w:lang w:eastAsia="en-GB"/>
              </w:rPr>
              <w:t>565(22.8)</w:t>
            </w:r>
          </w:p>
        </w:tc>
        <w:tc>
          <w:tcPr>
            <w:tcW w:w="2412" w:type="dxa"/>
            <w:tcBorders>
              <w:top w:val="nil"/>
            </w:tcBorders>
            <w:shd w:val="clear" w:color="auto" w:fill="auto"/>
          </w:tcPr>
          <w:p w:rsidR="00607EF7" w:rsidRPr="00EA1E04" w:rsidRDefault="00607EF7" w:rsidP="00F07D54">
            <w:pPr>
              <w:spacing w:line="360" w:lineRule="au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ascii="Calibri" w:eastAsia="Times New Roman" w:hAnsi="Calibri" w:cs="Times New Roman"/>
                <w:color w:val="auto"/>
                <w:sz w:val="24"/>
                <w:szCs w:val="24"/>
                <w:lang w:eastAsia="en-GB"/>
              </w:rPr>
              <w:t>1,151(4.7)</w:t>
            </w:r>
          </w:p>
        </w:tc>
      </w:tr>
      <w:tr w:rsidR="00EA1E04" w:rsidRPr="00EA1E04" w:rsidTr="00F07D54">
        <w:trPr>
          <w:gridAfter w:val="1"/>
          <w:cnfStyle w:val="000000100000" w:firstRow="0" w:lastRow="0" w:firstColumn="0" w:lastColumn="0" w:oddVBand="0" w:evenVBand="0" w:oddHBand="1" w:evenHBand="0" w:firstRowFirstColumn="0" w:firstRowLastColumn="0" w:lastRowFirstColumn="0" w:lastRowLastColumn="0"/>
          <w:wAfter w:w="236" w:type="dxa"/>
          <w:trHeight w:val="157"/>
        </w:trPr>
        <w:tc>
          <w:tcPr>
            <w:cnfStyle w:val="001000000000" w:firstRow="0" w:lastRow="0" w:firstColumn="1" w:lastColumn="0" w:oddVBand="0" w:evenVBand="0" w:oddHBand="0" w:evenHBand="0" w:firstRowFirstColumn="0" w:firstRowLastColumn="0" w:lastRowFirstColumn="0" w:lastRowLastColumn="0"/>
            <w:tcW w:w="4814" w:type="dxa"/>
            <w:shd w:val="clear" w:color="auto" w:fill="auto"/>
          </w:tcPr>
          <w:p w:rsidR="00607EF7" w:rsidRPr="00EA1E04" w:rsidRDefault="00607EF7" w:rsidP="00F07D54">
            <w:pPr>
              <w:spacing w:line="360" w:lineRule="auto"/>
              <w:jc w:val="both"/>
              <w:rPr>
                <w:rFonts w:cs="Arial"/>
                <w:b w:val="0"/>
                <w:color w:val="auto"/>
                <w:sz w:val="24"/>
                <w:szCs w:val="24"/>
                <w:lang w:eastAsia="en-GB"/>
              </w:rPr>
            </w:pPr>
            <w:r w:rsidRPr="00EA1E04">
              <w:rPr>
                <w:rFonts w:cs="Arial"/>
                <w:b w:val="0"/>
                <w:color w:val="auto"/>
                <w:sz w:val="24"/>
                <w:szCs w:val="24"/>
                <w:lang w:eastAsia="en-GB"/>
              </w:rPr>
              <w:t xml:space="preserve">    Offered brief </w:t>
            </w:r>
            <w:r w:rsidR="00963098" w:rsidRPr="00EA1E04">
              <w:rPr>
                <w:rFonts w:cs="Arial"/>
                <w:b w:val="0"/>
                <w:color w:val="auto"/>
                <w:sz w:val="24"/>
                <w:szCs w:val="24"/>
                <w:lang w:eastAsia="en-GB"/>
              </w:rPr>
              <w:t>alcohol intervention</w:t>
            </w:r>
          </w:p>
        </w:tc>
        <w:tc>
          <w:tcPr>
            <w:tcW w:w="2947" w:type="dxa"/>
            <w:shd w:val="clear" w:color="auto" w:fill="auto"/>
          </w:tcPr>
          <w:p w:rsidR="00607EF7" w:rsidRPr="00EA1E04" w:rsidRDefault="00607EF7" w:rsidP="00F07D54">
            <w:pPr>
              <w:spacing w:line="360" w:lineRule="auto"/>
              <w:ind w:left="317"/>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520(20.9)</w:t>
            </w:r>
          </w:p>
        </w:tc>
        <w:tc>
          <w:tcPr>
            <w:tcW w:w="2412" w:type="dxa"/>
            <w:shd w:val="clear" w:color="auto" w:fill="auto"/>
          </w:tcPr>
          <w:p w:rsidR="00607EF7" w:rsidRPr="00EA1E04" w:rsidRDefault="00607EF7" w:rsidP="00F07D54">
            <w:pPr>
              <w:spacing w:line="360" w:lineRule="auto"/>
              <w:ind w:firstLine="176"/>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1,142(4.6)</w:t>
            </w:r>
          </w:p>
        </w:tc>
      </w:tr>
      <w:tr w:rsidR="00EA1E04" w:rsidRPr="00EA1E04" w:rsidTr="00F07D54">
        <w:trPr>
          <w:gridAfter w:val="1"/>
          <w:wAfter w:w="236" w:type="dxa"/>
          <w:trHeight w:val="157"/>
        </w:trPr>
        <w:tc>
          <w:tcPr>
            <w:cnfStyle w:val="001000000000" w:firstRow="0" w:lastRow="0" w:firstColumn="1" w:lastColumn="0" w:oddVBand="0" w:evenVBand="0" w:oddHBand="0" w:evenHBand="0" w:firstRowFirstColumn="0" w:firstRowLastColumn="0" w:lastRowFirstColumn="0" w:lastRowLastColumn="0"/>
            <w:tcW w:w="4814" w:type="dxa"/>
            <w:shd w:val="clear" w:color="auto" w:fill="auto"/>
          </w:tcPr>
          <w:p w:rsidR="00607EF7" w:rsidRPr="00EA1E04" w:rsidRDefault="00607EF7" w:rsidP="00F07D54">
            <w:pPr>
              <w:spacing w:line="360" w:lineRule="auto"/>
              <w:jc w:val="both"/>
              <w:rPr>
                <w:rFonts w:cs="Arial"/>
                <w:b w:val="0"/>
                <w:color w:val="auto"/>
                <w:sz w:val="24"/>
                <w:szCs w:val="24"/>
                <w:lang w:eastAsia="en-GB"/>
              </w:rPr>
            </w:pPr>
            <w:r w:rsidRPr="00EA1E04">
              <w:rPr>
                <w:rFonts w:cs="Arial"/>
                <w:b w:val="0"/>
                <w:color w:val="auto"/>
                <w:sz w:val="24"/>
                <w:szCs w:val="24"/>
                <w:lang w:eastAsia="en-GB"/>
              </w:rPr>
              <w:t xml:space="preserve">    Offered Referral</w:t>
            </w:r>
          </w:p>
        </w:tc>
        <w:tc>
          <w:tcPr>
            <w:tcW w:w="2947" w:type="dxa"/>
            <w:shd w:val="clear" w:color="auto" w:fill="auto"/>
          </w:tcPr>
          <w:p w:rsidR="00607EF7" w:rsidRPr="00EA1E04" w:rsidRDefault="00607EF7" w:rsidP="00F07D54">
            <w:pPr>
              <w:spacing w:line="360" w:lineRule="auto"/>
              <w:ind w:left="317"/>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28(1.1)</w:t>
            </w:r>
          </w:p>
        </w:tc>
        <w:tc>
          <w:tcPr>
            <w:tcW w:w="2412" w:type="dxa"/>
            <w:shd w:val="clear" w:color="auto" w:fill="auto"/>
          </w:tcPr>
          <w:p w:rsidR="00607EF7" w:rsidRPr="00EA1E04" w:rsidRDefault="00607EF7" w:rsidP="00F07D54">
            <w:pPr>
              <w:spacing w:line="360" w:lineRule="auto"/>
              <w:ind w:firstLine="176"/>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7(&lt;0.1)</w:t>
            </w:r>
          </w:p>
        </w:tc>
      </w:tr>
      <w:tr w:rsidR="00EA1E04" w:rsidRPr="00EA1E04" w:rsidTr="00F07D54">
        <w:trPr>
          <w:gridAfter w:val="1"/>
          <w:cnfStyle w:val="000000100000" w:firstRow="0" w:lastRow="0" w:firstColumn="0" w:lastColumn="0" w:oddVBand="0" w:evenVBand="0" w:oddHBand="1" w:evenHBand="0" w:firstRowFirstColumn="0" w:firstRowLastColumn="0" w:lastRowFirstColumn="0" w:lastRowLastColumn="0"/>
          <w:wAfter w:w="236" w:type="dxa"/>
          <w:trHeight w:val="157"/>
        </w:trPr>
        <w:tc>
          <w:tcPr>
            <w:cnfStyle w:val="001000000000" w:firstRow="0" w:lastRow="0" w:firstColumn="1" w:lastColumn="0" w:oddVBand="0" w:evenVBand="0" w:oddHBand="0" w:evenHBand="0" w:firstRowFirstColumn="0" w:firstRowLastColumn="0" w:lastRowFirstColumn="0" w:lastRowLastColumn="0"/>
            <w:tcW w:w="4814" w:type="dxa"/>
            <w:shd w:val="clear" w:color="auto" w:fill="auto"/>
          </w:tcPr>
          <w:p w:rsidR="00607EF7" w:rsidRPr="00EA1E04" w:rsidRDefault="00607EF7" w:rsidP="00F07D54">
            <w:pPr>
              <w:spacing w:line="360" w:lineRule="auto"/>
              <w:jc w:val="both"/>
              <w:rPr>
                <w:rFonts w:cs="Arial"/>
                <w:b w:val="0"/>
                <w:color w:val="auto"/>
                <w:sz w:val="24"/>
                <w:szCs w:val="24"/>
                <w:lang w:eastAsia="en-GB"/>
              </w:rPr>
            </w:pPr>
            <w:r w:rsidRPr="00EA1E04">
              <w:rPr>
                <w:rFonts w:cs="Arial"/>
                <w:b w:val="0"/>
                <w:color w:val="auto"/>
                <w:sz w:val="24"/>
                <w:szCs w:val="24"/>
                <w:lang w:eastAsia="en-GB"/>
              </w:rPr>
              <w:t xml:space="preserve">    Offered Both</w:t>
            </w:r>
          </w:p>
        </w:tc>
        <w:tc>
          <w:tcPr>
            <w:tcW w:w="2947" w:type="dxa"/>
            <w:shd w:val="clear" w:color="auto" w:fill="auto"/>
          </w:tcPr>
          <w:p w:rsidR="00607EF7" w:rsidRPr="00EA1E04" w:rsidRDefault="00607EF7" w:rsidP="00F07D54">
            <w:pPr>
              <w:spacing w:line="360" w:lineRule="auto"/>
              <w:ind w:left="317"/>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17(0.7)</w:t>
            </w:r>
          </w:p>
        </w:tc>
        <w:tc>
          <w:tcPr>
            <w:tcW w:w="2412" w:type="dxa"/>
            <w:shd w:val="clear" w:color="auto" w:fill="auto"/>
          </w:tcPr>
          <w:p w:rsidR="00607EF7" w:rsidRPr="00EA1E04" w:rsidRDefault="00607EF7" w:rsidP="00F07D54">
            <w:pPr>
              <w:spacing w:line="360" w:lineRule="auto"/>
              <w:ind w:firstLine="176"/>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lang w:eastAsia="en-GB"/>
              </w:rPr>
            </w:pPr>
            <w:r w:rsidRPr="00EA1E04">
              <w:rPr>
                <w:rFonts w:cs="Arial"/>
                <w:color w:val="auto"/>
                <w:sz w:val="24"/>
                <w:szCs w:val="24"/>
                <w:lang w:eastAsia="en-GB"/>
              </w:rPr>
              <w:t>2(&lt;0.1)</w:t>
            </w:r>
          </w:p>
        </w:tc>
      </w:tr>
      <w:tr w:rsidR="00EA1E04" w:rsidRPr="00EA1E04" w:rsidTr="00F07D54">
        <w:trPr>
          <w:gridAfter w:val="1"/>
          <w:wAfter w:w="236" w:type="dxa"/>
          <w:trHeight w:val="157"/>
        </w:trPr>
        <w:tc>
          <w:tcPr>
            <w:cnfStyle w:val="001000000000" w:firstRow="0" w:lastRow="0" w:firstColumn="1" w:lastColumn="0" w:oddVBand="0" w:evenVBand="0" w:oddHBand="0" w:evenHBand="0" w:firstRowFirstColumn="0" w:firstRowLastColumn="0" w:lastRowFirstColumn="0" w:lastRowLastColumn="0"/>
            <w:tcW w:w="4814" w:type="dxa"/>
            <w:tcBorders>
              <w:bottom w:val="single" w:sz="4" w:space="0" w:color="auto"/>
            </w:tcBorders>
            <w:shd w:val="clear" w:color="auto" w:fill="auto"/>
          </w:tcPr>
          <w:p w:rsidR="00607EF7" w:rsidRPr="00EA1E04" w:rsidRDefault="00607EF7" w:rsidP="00F07D54">
            <w:pPr>
              <w:spacing w:line="360" w:lineRule="auto"/>
              <w:jc w:val="both"/>
              <w:rPr>
                <w:rFonts w:cs="Arial"/>
                <w:bCs w:val="0"/>
                <w:color w:val="auto"/>
                <w:sz w:val="24"/>
                <w:szCs w:val="24"/>
                <w:vertAlign w:val="superscript"/>
                <w:lang w:eastAsia="en-GB"/>
              </w:rPr>
            </w:pPr>
            <w:r w:rsidRPr="00EA1E04">
              <w:rPr>
                <w:rFonts w:cs="Arial"/>
                <w:b w:val="0"/>
                <w:color w:val="auto"/>
                <w:sz w:val="24"/>
                <w:szCs w:val="24"/>
                <w:lang w:eastAsia="en-GB"/>
              </w:rPr>
              <w:t>Data unavailable</w:t>
            </w:r>
          </w:p>
        </w:tc>
        <w:tc>
          <w:tcPr>
            <w:tcW w:w="2947" w:type="dxa"/>
            <w:tcBorders>
              <w:bottom w:val="single" w:sz="4" w:space="0" w:color="auto"/>
            </w:tcBorders>
            <w:shd w:val="clear" w:color="auto" w:fill="auto"/>
          </w:tcPr>
          <w:p w:rsidR="00607EF7" w:rsidRPr="00EA1E04" w:rsidRDefault="00607EF7" w:rsidP="00F07D54">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Cs/>
                <w:color w:val="auto"/>
                <w:sz w:val="24"/>
                <w:szCs w:val="24"/>
                <w:lang w:eastAsia="en-GB"/>
              </w:rPr>
            </w:pPr>
            <w:r w:rsidRPr="00EA1E04">
              <w:rPr>
                <w:rFonts w:cs="Arial"/>
                <w:bCs/>
                <w:color w:val="auto"/>
                <w:sz w:val="24"/>
                <w:szCs w:val="24"/>
                <w:lang w:eastAsia="en-GB"/>
              </w:rPr>
              <w:t>1,914(77.2)</w:t>
            </w:r>
          </w:p>
        </w:tc>
        <w:tc>
          <w:tcPr>
            <w:tcW w:w="2412" w:type="dxa"/>
            <w:tcBorders>
              <w:bottom w:val="single" w:sz="4" w:space="0" w:color="auto"/>
            </w:tcBorders>
            <w:shd w:val="clear" w:color="auto" w:fill="auto"/>
          </w:tcPr>
          <w:p w:rsidR="00607EF7" w:rsidRPr="00EA1E04" w:rsidRDefault="00607EF7" w:rsidP="00F07D54">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24"/>
                <w:szCs w:val="24"/>
                <w:lang w:eastAsia="en-GB"/>
              </w:rPr>
            </w:pPr>
            <w:r w:rsidRPr="00EA1E04">
              <w:rPr>
                <w:rFonts w:ascii="Calibri" w:eastAsia="Times New Roman" w:hAnsi="Calibri" w:cs="Times New Roman"/>
                <w:color w:val="auto"/>
                <w:sz w:val="24"/>
                <w:szCs w:val="24"/>
                <w:lang w:eastAsia="en-GB"/>
              </w:rPr>
              <w:t>23,639(95.3)</w:t>
            </w:r>
          </w:p>
        </w:tc>
      </w:tr>
      <w:tr w:rsidR="008051C4" w:rsidRPr="00EA1E04" w:rsidTr="002F6C77">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0173" w:type="dxa"/>
            <w:gridSpan w:val="3"/>
            <w:tcBorders>
              <w:top w:val="single" w:sz="4" w:space="0" w:color="auto"/>
              <w:bottom w:val="single" w:sz="8" w:space="0" w:color="000000" w:themeColor="text1"/>
            </w:tcBorders>
            <w:shd w:val="clear" w:color="auto" w:fill="auto"/>
          </w:tcPr>
          <w:p w:rsidR="008051C4" w:rsidRPr="00EA1E04" w:rsidRDefault="008051C4" w:rsidP="008051C4">
            <w:pPr>
              <w:rPr>
                <w:rFonts w:ascii="Calibri" w:eastAsia="Times New Roman" w:hAnsi="Calibri" w:cs="Times New Roman"/>
                <w:color w:val="auto"/>
                <w:sz w:val="24"/>
                <w:szCs w:val="24"/>
                <w:lang w:eastAsia="en-GB"/>
              </w:rPr>
            </w:pPr>
            <w:r>
              <w:rPr>
                <w:b w:val="0"/>
                <w:color w:val="auto"/>
                <w:sz w:val="24"/>
                <w:szCs w:val="24"/>
                <w:vertAlign w:val="superscript"/>
              </w:rPr>
              <w:t xml:space="preserve">a </w:t>
            </w:r>
            <w:r>
              <w:rPr>
                <w:b w:val="0"/>
                <w:color w:val="auto"/>
                <w:sz w:val="24"/>
                <w:szCs w:val="24"/>
              </w:rPr>
              <w:t>X</w:t>
            </w:r>
            <w:r>
              <w:rPr>
                <w:b w:val="0"/>
                <w:color w:val="auto"/>
                <w:sz w:val="24"/>
                <w:szCs w:val="24"/>
                <w:vertAlign w:val="superscript"/>
              </w:rPr>
              <w:t>2</w:t>
            </w:r>
            <w:r w:rsidRPr="00EA1E04">
              <w:rPr>
                <w:b w:val="0"/>
                <w:color w:val="auto"/>
                <w:sz w:val="24"/>
                <w:szCs w:val="24"/>
              </w:rPr>
              <w:t xml:space="preserve"> tests p value &lt; 0.001</w:t>
            </w:r>
            <w:r>
              <w:rPr>
                <w:b w:val="0"/>
                <w:color w:val="auto"/>
                <w:sz w:val="24"/>
                <w:szCs w:val="24"/>
              </w:rPr>
              <w:t xml:space="preserve">. </w:t>
            </w:r>
            <w:r>
              <w:rPr>
                <w:b w:val="0"/>
                <w:color w:val="auto"/>
                <w:sz w:val="24"/>
                <w:szCs w:val="24"/>
                <w:vertAlign w:val="superscript"/>
              </w:rPr>
              <w:t xml:space="preserve">b </w:t>
            </w:r>
            <w:r>
              <w:rPr>
                <w:b w:val="0"/>
                <w:color w:val="auto"/>
                <w:sz w:val="24"/>
                <w:szCs w:val="24"/>
              </w:rPr>
              <w:t>Cases: hazardous drinkers n== 345(13.8%), harmful drinkers n=1162(46.9%). Controls: hazardous drinkers n=1674(6.8%), harmful drinkers n=670(2.7%).</w:t>
            </w:r>
          </w:p>
        </w:tc>
        <w:tc>
          <w:tcPr>
            <w:tcW w:w="236" w:type="dxa"/>
            <w:tcBorders>
              <w:top w:val="single" w:sz="4" w:space="0" w:color="auto"/>
              <w:bottom w:val="single" w:sz="8" w:space="0" w:color="000000" w:themeColor="text1"/>
            </w:tcBorders>
            <w:shd w:val="clear" w:color="auto" w:fill="auto"/>
          </w:tcPr>
          <w:p w:rsidR="008051C4" w:rsidRPr="00EA1E04" w:rsidRDefault="008051C4" w:rsidP="00F07D54">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4"/>
                <w:szCs w:val="24"/>
                <w:lang w:eastAsia="en-GB"/>
              </w:rPr>
            </w:pPr>
          </w:p>
        </w:tc>
      </w:tr>
    </w:tbl>
    <w:p w:rsidR="00AB4B90" w:rsidRPr="00EA1E04" w:rsidRDefault="00AB4B90" w:rsidP="007719C5">
      <w:pPr>
        <w:rPr>
          <w:b/>
          <w:bCs/>
          <w:sz w:val="24"/>
          <w:szCs w:val="24"/>
        </w:rPr>
      </w:pPr>
      <w:r w:rsidRPr="00EA1E04">
        <w:rPr>
          <w:b/>
          <w:bCs/>
          <w:sz w:val="24"/>
          <w:szCs w:val="24"/>
        </w:rPr>
        <w:br w:type="page"/>
      </w:r>
    </w:p>
    <w:p w:rsidR="007719C5" w:rsidRPr="00EA1E04" w:rsidRDefault="007719C5" w:rsidP="007719C5">
      <w:pPr>
        <w:rPr>
          <w:b/>
          <w:bCs/>
          <w:sz w:val="24"/>
          <w:szCs w:val="24"/>
        </w:rPr>
      </w:pPr>
    </w:p>
    <w:p w:rsidR="009742F0" w:rsidRPr="00EA1E04" w:rsidRDefault="00AB4B90" w:rsidP="009742F0">
      <w:pPr>
        <w:rPr>
          <w:b/>
          <w:bCs/>
          <w:sz w:val="24"/>
          <w:szCs w:val="24"/>
        </w:rPr>
      </w:pPr>
      <w:r w:rsidRPr="00EA1E04">
        <w:rPr>
          <w:b/>
          <w:bCs/>
          <w:sz w:val="24"/>
          <w:szCs w:val="24"/>
        </w:rPr>
        <w:t>Table 5</w:t>
      </w:r>
      <w:r w:rsidR="009742F0" w:rsidRPr="00EA1E04">
        <w:rPr>
          <w:b/>
          <w:bCs/>
          <w:sz w:val="24"/>
          <w:szCs w:val="24"/>
        </w:rPr>
        <w:t>: Proportion of patients with alcohol use records</w:t>
      </w:r>
      <w:r w:rsidR="0065472B" w:rsidRPr="00EA1E04">
        <w:rPr>
          <w:b/>
          <w:bCs/>
          <w:sz w:val="24"/>
          <w:szCs w:val="24"/>
        </w:rPr>
        <w:t xml:space="preserve"> and </w:t>
      </w:r>
      <w:r w:rsidR="00963098" w:rsidRPr="00EA1E04">
        <w:rPr>
          <w:b/>
          <w:bCs/>
          <w:sz w:val="24"/>
          <w:szCs w:val="24"/>
        </w:rPr>
        <w:t xml:space="preserve">brief </w:t>
      </w:r>
      <w:r w:rsidR="0065472B" w:rsidRPr="00EA1E04">
        <w:rPr>
          <w:b/>
          <w:bCs/>
          <w:sz w:val="24"/>
          <w:szCs w:val="24"/>
        </w:rPr>
        <w:t>alcohol interventions</w:t>
      </w:r>
      <w:r w:rsidR="009742F0" w:rsidRPr="00EA1E04">
        <w:rPr>
          <w:b/>
          <w:bCs/>
          <w:sz w:val="24"/>
          <w:szCs w:val="24"/>
        </w:rPr>
        <w:t xml:space="preserve"> stratified by sex and age</w:t>
      </w:r>
      <w:r w:rsidR="00CE3982" w:rsidRPr="00EA1E04">
        <w:rPr>
          <w:b/>
          <w:bCs/>
          <w:sz w:val="24"/>
          <w:szCs w:val="24"/>
        </w:rPr>
        <w:t xml:space="preserve"> and OR and 95% CIs</w:t>
      </w:r>
    </w:p>
    <w:p w:rsidR="0065472B" w:rsidRPr="00EA1E04" w:rsidRDefault="0065472B" w:rsidP="0065472B">
      <w:pPr>
        <w:rPr>
          <w:sz w:val="24"/>
          <w:szCs w:val="24"/>
        </w:rPr>
      </w:pPr>
    </w:p>
    <w:tbl>
      <w:tblPr>
        <w:tblpPr w:leftFromText="180" w:rightFromText="180" w:vertAnchor="text" w:tblpY="155"/>
        <w:tblW w:w="13575" w:type="dxa"/>
        <w:tblLook w:val="04A0" w:firstRow="1" w:lastRow="0" w:firstColumn="1" w:lastColumn="0" w:noHBand="0" w:noVBand="1"/>
      </w:tblPr>
      <w:tblGrid>
        <w:gridCol w:w="2469"/>
        <w:gridCol w:w="1820"/>
        <w:gridCol w:w="1860"/>
        <w:gridCol w:w="1888"/>
        <w:gridCol w:w="344"/>
        <w:gridCol w:w="1634"/>
        <w:gridCol w:w="1851"/>
        <w:gridCol w:w="1709"/>
      </w:tblGrid>
      <w:tr w:rsidR="00EA1E04" w:rsidRPr="00EA1E04" w:rsidTr="00F07D54">
        <w:trPr>
          <w:trHeight w:val="447"/>
        </w:trPr>
        <w:tc>
          <w:tcPr>
            <w:tcW w:w="2469" w:type="dxa"/>
            <w:tcBorders>
              <w:top w:val="single" w:sz="4" w:space="0" w:color="auto"/>
              <w:bottom w:val="single" w:sz="4" w:space="0" w:color="auto"/>
            </w:tcBorders>
            <w:shd w:val="clear" w:color="auto" w:fill="BFBFBF" w:themeFill="background1" w:themeFillShade="BF"/>
          </w:tcPr>
          <w:p w:rsidR="00963098" w:rsidRPr="00EA1E04" w:rsidRDefault="00963098" w:rsidP="00F07D54">
            <w:pPr>
              <w:jc w:val="both"/>
              <w:rPr>
                <w:rFonts w:ascii="Verdana" w:hAnsi="Verdana"/>
                <w:sz w:val="18"/>
                <w:szCs w:val="18"/>
              </w:rPr>
            </w:pPr>
          </w:p>
        </w:tc>
        <w:tc>
          <w:tcPr>
            <w:tcW w:w="5568" w:type="dxa"/>
            <w:gridSpan w:val="3"/>
            <w:tcBorders>
              <w:top w:val="single" w:sz="4" w:space="0" w:color="auto"/>
              <w:bottom w:val="single" w:sz="4" w:space="0" w:color="auto"/>
            </w:tcBorders>
            <w:shd w:val="clear" w:color="auto" w:fill="BFBFBF" w:themeFill="background1" w:themeFillShade="BF"/>
          </w:tcPr>
          <w:p w:rsidR="00963098" w:rsidRPr="00EA1E04" w:rsidRDefault="00963098" w:rsidP="00F07D54">
            <w:pPr>
              <w:jc w:val="both"/>
              <w:rPr>
                <w:rFonts w:ascii="Verdana" w:hAnsi="Verdana"/>
                <w:b/>
                <w:sz w:val="18"/>
                <w:szCs w:val="18"/>
              </w:rPr>
            </w:pPr>
            <w:r w:rsidRPr="00EA1E04">
              <w:rPr>
                <w:rFonts w:ascii="Verdana" w:hAnsi="Verdana"/>
                <w:b/>
                <w:sz w:val="18"/>
                <w:szCs w:val="18"/>
              </w:rPr>
              <w:t>Males</w:t>
            </w:r>
          </w:p>
        </w:tc>
        <w:tc>
          <w:tcPr>
            <w:tcW w:w="344" w:type="dxa"/>
            <w:tcBorders>
              <w:top w:val="single" w:sz="4" w:space="0" w:color="auto"/>
              <w:bottom w:val="single" w:sz="4" w:space="0" w:color="auto"/>
            </w:tcBorders>
            <w:shd w:val="clear" w:color="auto" w:fill="BFBFBF" w:themeFill="background1" w:themeFillShade="BF"/>
          </w:tcPr>
          <w:p w:rsidR="00963098" w:rsidRPr="00EA1E04" w:rsidRDefault="00963098" w:rsidP="00F07D54">
            <w:pPr>
              <w:jc w:val="both"/>
              <w:rPr>
                <w:rFonts w:ascii="Verdana" w:hAnsi="Verdana"/>
                <w:b/>
                <w:sz w:val="18"/>
                <w:szCs w:val="18"/>
              </w:rPr>
            </w:pPr>
          </w:p>
        </w:tc>
        <w:tc>
          <w:tcPr>
            <w:tcW w:w="5194" w:type="dxa"/>
            <w:gridSpan w:val="3"/>
            <w:tcBorders>
              <w:top w:val="single" w:sz="4" w:space="0" w:color="auto"/>
              <w:bottom w:val="single" w:sz="4" w:space="0" w:color="auto"/>
            </w:tcBorders>
            <w:shd w:val="clear" w:color="auto" w:fill="BFBFBF" w:themeFill="background1" w:themeFillShade="BF"/>
          </w:tcPr>
          <w:p w:rsidR="00963098" w:rsidRPr="00EA1E04" w:rsidRDefault="00963098" w:rsidP="00F07D54">
            <w:pPr>
              <w:jc w:val="both"/>
              <w:rPr>
                <w:rFonts w:ascii="Verdana" w:hAnsi="Verdana"/>
                <w:b/>
                <w:sz w:val="18"/>
                <w:szCs w:val="18"/>
              </w:rPr>
            </w:pPr>
            <w:r w:rsidRPr="00EA1E04">
              <w:rPr>
                <w:rFonts w:ascii="Verdana" w:hAnsi="Verdana"/>
                <w:b/>
                <w:sz w:val="18"/>
                <w:szCs w:val="18"/>
              </w:rPr>
              <w:t>Females</w:t>
            </w:r>
          </w:p>
        </w:tc>
      </w:tr>
      <w:tr w:rsidR="00EA1E04" w:rsidRPr="00EA1E04" w:rsidTr="00F07D54">
        <w:trPr>
          <w:trHeight w:val="888"/>
        </w:trPr>
        <w:tc>
          <w:tcPr>
            <w:tcW w:w="2469" w:type="dxa"/>
            <w:tcBorders>
              <w:top w:val="single" w:sz="4" w:space="0" w:color="auto"/>
              <w:bottom w:val="single" w:sz="4" w:space="0" w:color="auto"/>
            </w:tcBorders>
            <w:shd w:val="clear" w:color="auto" w:fill="BFBFBF" w:themeFill="background1" w:themeFillShade="BF"/>
          </w:tcPr>
          <w:p w:rsidR="00963098" w:rsidRPr="00EA1E04" w:rsidRDefault="00963098" w:rsidP="00F07D54">
            <w:pPr>
              <w:jc w:val="both"/>
              <w:rPr>
                <w:rFonts w:ascii="Verdana" w:hAnsi="Verdana"/>
                <w:b/>
                <w:bCs/>
                <w:sz w:val="18"/>
                <w:szCs w:val="18"/>
              </w:rPr>
            </w:pPr>
          </w:p>
          <w:p w:rsidR="00963098" w:rsidRPr="00EA1E04" w:rsidRDefault="00963098" w:rsidP="00F07D54">
            <w:pPr>
              <w:jc w:val="both"/>
              <w:rPr>
                <w:rFonts w:ascii="Verdana" w:hAnsi="Verdana"/>
                <w:sz w:val="18"/>
                <w:szCs w:val="18"/>
              </w:rPr>
            </w:pPr>
          </w:p>
        </w:tc>
        <w:tc>
          <w:tcPr>
            <w:tcW w:w="1820" w:type="dxa"/>
            <w:tcBorders>
              <w:top w:val="single" w:sz="4" w:space="0" w:color="auto"/>
              <w:bottom w:val="single" w:sz="4" w:space="0" w:color="auto"/>
            </w:tcBorders>
            <w:shd w:val="clear" w:color="auto" w:fill="BFBFBF" w:themeFill="background1" w:themeFillShade="BF"/>
          </w:tcPr>
          <w:p w:rsidR="00963098" w:rsidRPr="00EA1E04" w:rsidRDefault="00963098" w:rsidP="00F07D54">
            <w:pPr>
              <w:jc w:val="both"/>
              <w:rPr>
                <w:rFonts w:ascii="Verdana" w:hAnsi="Verdana"/>
                <w:b/>
                <w:sz w:val="18"/>
                <w:szCs w:val="18"/>
              </w:rPr>
            </w:pPr>
            <w:r w:rsidRPr="00EA1E04">
              <w:rPr>
                <w:rFonts w:ascii="Verdana" w:hAnsi="Verdana"/>
                <w:b/>
                <w:sz w:val="18"/>
                <w:szCs w:val="18"/>
              </w:rPr>
              <w:t>Cases</w:t>
            </w:r>
          </w:p>
          <w:p w:rsidR="00963098" w:rsidRPr="00EA1E04" w:rsidRDefault="00963098" w:rsidP="00F07D54">
            <w:pPr>
              <w:jc w:val="both"/>
              <w:rPr>
                <w:rFonts w:ascii="Verdana" w:hAnsi="Verdana"/>
                <w:b/>
                <w:sz w:val="18"/>
                <w:szCs w:val="18"/>
                <w:vertAlign w:val="superscript"/>
              </w:rPr>
            </w:pPr>
            <w:r w:rsidRPr="00EA1E04">
              <w:rPr>
                <w:rFonts w:ascii="Verdana" w:hAnsi="Verdana"/>
                <w:b/>
                <w:sz w:val="18"/>
                <w:szCs w:val="18"/>
              </w:rPr>
              <w:t>n=1,660</w:t>
            </w:r>
          </w:p>
        </w:tc>
        <w:tc>
          <w:tcPr>
            <w:tcW w:w="1860" w:type="dxa"/>
            <w:tcBorders>
              <w:top w:val="single" w:sz="4" w:space="0" w:color="auto"/>
              <w:bottom w:val="single" w:sz="4" w:space="0" w:color="auto"/>
            </w:tcBorders>
            <w:shd w:val="clear" w:color="auto" w:fill="BFBFBF" w:themeFill="background1" w:themeFillShade="BF"/>
          </w:tcPr>
          <w:p w:rsidR="00963098" w:rsidRPr="00EA1E04" w:rsidRDefault="00963098" w:rsidP="00F07D54">
            <w:pPr>
              <w:jc w:val="both"/>
              <w:rPr>
                <w:rFonts w:ascii="Verdana" w:hAnsi="Verdana"/>
                <w:b/>
                <w:sz w:val="18"/>
                <w:szCs w:val="18"/>
              </w:rPr>
            </w:pPr>
            <w:r w:rsidRPr="00EA1E04">
              <w:rPr>
                <w:rFonts w:ascii="Verdana" w:hAnsi="Verdana"/>
                <w:b/>
                <w:sz w:val="18"/>
                <w:szCs w:val="18"/>
              </w:rPr>
              <w:t xml:space="preserve">Controls </w:t>
            </w:r>
          </w:p>
          <w:p w:rsidR="00963098" w:rsidRPr="00EA1E04" w:rsidRDefault="00963098" w:rsidP="00F07D54">
            <w:pPr>
              <w:jc w:val="both"/>
              <w:rPr>
                <w:rFonts w:ascii="Verdana" w:hAnsi="Verdana"/>
                <w:b/>
                <w:sz w:val="18"/>
                <w:szCs w:val="18"/>
              </w:rPr>
            </w:pPr>
            <w:r w:rsidRPr="00EA1E04">
              <w:rPr>
                <w:rFonts w:ascii="Verdana" w:hAnsi="Verdana"/>
                <w:b/>
                <w:sz w:val="18"/>
                <w:szCs w:val="18"/>
              </w:rPr>
              <w:t>n=12,453</w:t>
            </w:r>
          </w:p>
        </w:tc>
        <w:tc>
          <w:tcPr>
            <w:tcW w:w="1888" w:type="dxa"/>
            <w:tcBorders>
              <w:top w:val="single" w:sz="4" w:space="0" w:color="auto"/>
              <w:bottom w:val="single" w:sz="4" w:space="0" w:color="auto"/>
            </w:tcBorders>
            <w:shd w:val="clear" w:color="auto" w:fill="BFBFBF" w:themeFill="background1" w:themeFillShade="BF"/>
          </w:tcPr>
          <w:p w:rsidR="00963098" w:rsidRPr="00EA1E04" w:rsidRDefault="00963098" w:rsidP="00F07D54">
            <w:pPr>
              <w:jc w:val="both"/>
              <w:rPr>
                <w:rFonts w:ascii="Verdana" w:hAnsi="Verdana"/>
                <w:b/>
                <w:sz w:val="18"/>
                <w:szCs w:val="18"/>
              </w:rPr>
            </w:pPr>
            <w:r w:rsidRPr="00EA1E04">
              <w:rPr>
                <w:rFonts w:ascii="Verdana" w:hAnsi="Verdana"/>
                <w:b/>
                <w:sz w:val="18"/>
                <w:szCs w:val="18"/>
              </w:rPr>
              <w:t>OR(95% CI)</w:t>
            </w:r>
          </w:p>
        </w:tc>
        <w:tc>
          <w:tcPr>
            <w:tcW w:w="344" w:type="dxa"/>
            <w:tcBorders>
              <w:top w:val="single" w:sz="4" w:space="0" w:color="auto"/>
              <w:bottom w:val="single" w:sz="4" w:space="0" w:color="auto"/>
            </w:tcBorders>
            <w:shd w:val="clear" w:color="auto" w:fill="BFBFBF" w:themeFill="background1" w:themeFillShade="BF"/>
          </w:tcPr>
          <w:p w:rsidR="00963098" w:rsidRPr="00EA1E04" w:rsidRDefault="00963098" w:rsidP="00F07D54">
            <w:pPr>
              <w:jc w:val="both"/>
              <w:rPr>
                <w:rFonts w:ascii="Verdana" w:hAnsi="Verdana"/>
                <w:b/>
                <w:sz w:val="18"/>
                <w:szCs w:val="18"/>
              </w:rPr>
            </w:pPr>
          </w:p>
        </w:tc>
        <w:tc>
          <w:tcPr>
            <w:tcW w:w="1634" w:type="dxa"/>
            <w:tcBorders>
              <w:top w:val="single" w:sz="4" w:space="0" w:color="auto"/>
              <w:bottom w:val="single" w:sz="4" w:space="0" w:color="auto"/>
            </w:tcBorders>
            <w:shd w:val="clear" w:color="auto" w:fill="BFBFBF" w:themeFill="background1" w:themeFillShade="BF"/>
          </w:tcPr>
          <w:p w:rsidR="00963098" w:rsidRPr="00EA1E04" w:rsidRDefault="00963098" w:rsidP="00F07D54">
            <w:pPr>
              <w:jc w:val="both"/>
              <w:rPr>
                <w:rFonts w:ascii="Verdana" w:hAnsi="Verdana"/>
                <w:b/>
                <w:sz w:val="18"/>
                <w:szCs w:val="18"/>
              </w:rPr>
            </w:pPr>
            <w:r w:rsidRPr="00EA1E04">
              <w:rPr>
                <w:rFonts w:ascii="Verdana" w:hAnsi="Verdana"/>
                <w:b/>
                <w:sz w:val="18"/>
                <w:szCs w:val="18"/>
              </w:rPr>
              <w:t>Cases</w:t>
            </w:r>
          </w:p>
          <w:p w:rsidR="00963098" w:rsidRPr="00EA1E04" w:rsidRDefault="00963098" w:rsidP="00F07D54">
            <w:pPr>
              <w:jc w:val="both"/>
              <w:rPr>
                <w:rFonts w:ascii="Verdana" w:hAnsi="Verdana"/>
                <w:b/>
                <w:sz w:val="18"/>
                <w:szCs w:val="18"/>
              </w:rPr>
            </w:pPr>
            <w:r w:rsidRPr="00EA1E04">
              <w:rPr>
                <w:rFonts w:ascii="Verdana" w:hAnsi="Verdana"/>
                <w:b/>
                <w:sz w:val="18"/>
                <w:szCs w:val="18"/>
              </w:rPr>
              <w:t xml:space="preserve">n= 819      </w:t>
            </w:r>
          </w:p>
        </w:tc>
        <w:tc>
          <w:tcPr>
            <w:tcW w:w="1851" w:type="dxa"/>
            <w:tcBorders>
              <w:top w:val="single" w:sz="4" w:space="0" w:color="auto"/>
              <w:bottom w:val="single" w:sz="4" w:space="0" w:color="auto"/>
            </w:tcBorders>
            <w:shd w:val="clear" w:color="auto" w:fill="BFBFBF" w:themeFill="background1" w:themeFillShade="BF"/>
          </w:tcPr>
          <w:p w:rsidR="00963098" w:rsidRPr="00EA1E04" w:rsidRDefault="00963098" w:rsidP="00F07D54">
            <w:pPr>
              <w:jc w:val="both"/>
              <w:rPr>
                <w:rFonts w:ascii="Verdana" w:hAnsi="Verdana"/>
                <w:b/>
                <w:sz w:val="18"/>
                <w:szCs w:val="18"/>
              </w:rPr>
            </w:pPr>
            <w:r w:rsidRPr="00EA1E04">
              <w:rPr>
                <w:rFonts w:ascii="Verdana" w:hAnsi="Verdana"/>
                <w:b/>
                <w:sz w:val="18"/>
                <w:szCs w:val="18"/>
              </w:rPr>
              <w:t>Controls</w:t>
            </w:r>
          </w:p>
          <w:p w:rsidR="00963098" w:rsidRPr="00EA1E04" w:rsidRDefault="00963098" w:rsidP="00F07D54">
            <w:pPr>
              <w:jc w:val="both"/>
              <w:rPr>
                <w:rFonts w:ascii="Verdana" w:hAnsi="Verdana"/>
                <w:b/>
                <w:sz w:val="18"/>
                <w:szCs w:val="18"/>
              </w:rPr>
            </w:pPr>
            <w:r w:rsidRPr="00EA1E04">
              <w:rPr>
                <w:rFonts w:ascii="Verdana" w:hAnsi="Verdana"/>
                <w:b/>
                <w:sz w:val="18"/>
                <w:szCs w:val="18"/>
              </w:rPr>
              <w:t>n=12,337</w:t>
            </w:r>
          </w:p>
        </w:tc>
        <w:tc>
          <w:tcPr>
            <w:tcW w:w="1709" w:type="dxa"/>
            <w:tcBorders>
              <w:top w:val="single" w:sz="4" w:space="0" w:color="auto"/>
              <w:bottom w:val="single" w:sz="4" w:space="0" w:color="auto"/>
            </w:tcBorders>
            <w:shd w:val="clear" w:color="auto" w:fill="BFBFBF" w:themeFill="background1" w:themeFillShade="BF"/>
          </w:tcPr>
          <w:p w:rsidR="00963098" w:rsidRPr="00EA1E04" w:rsidRDefault="00963098" w:rsidP="00F07D54">
            <w:pPr>
              <w:jc w:val="both"/>
              <w:rPr>
                <w:rFonts w:ascii="Verdana" w:hAnsi="Verdana"/>
                <w:b/>
                <w:sz w:val="18"/>
                <w:szCs w:val="18"/>
              </w:rPr>
            </w:pPr>
            <w:r w:rsidRPr="00EA1E04">
              <w:rPr>
                <w:rFonts w:ascii="Verdana" w:hAnsi="Verdana"/>
                <w:b/>
                <w:sz w:val="18"/>
                <w:szCs w:val="18"/>
              </w:rPr>
              <w:t>OR(95% CI)</w:t>
            </w:r>
          </w:p>
        </w:tc>
      </w:tr>
      <w:tr w:rsidR="00EA1E04" w:rsidRPr="00EA1E04" w:rsidTr="00F07D54">
        <w:trPr>
          <w:trHeight w:val="447"/>
        </w:trPr>
        <w:tc>
          <w:tcPr>
            <w:tcW w:w="2469" w:type="dxa"/>
            <w:tcBorders>
              <w:top w:val="single" w:sz="4" w:space="0" w:color="auto"/>
              <w:bottom w:val="single" w:sz="4" w:space="0" w:color="auto"/>
            </w:tcBorders>
            <w:shd w:val="clear" w:color="auto" w:fill="auto"/>
          </w:tcPr>
          <w:p w:rsidR="00963098" w:rsidRPr="00EA1E04" w:rsidRDefault="00963098" w:rsidP="00F07D54">
            <w:pPr>
              <w:jc w:val="both"/>
              <w:rPr>
                <w:rFonts w:ascii="Verdana" w:hAnsi="Verdana"/>
                <w:b/>
                <w:sz w:val="18"/>
                <w:szCs w:val="18"/>
              </w:rPr>
            </w:pPr>
          </w:p>
          <w:p w:rsidR="00963098" w:rsidRPr="00EA1E04" w:rsidRDefault="00963098" w:rsidP="00F07D54">
            <w:pPr>
              <w:jc w:val="both"/>
              <w:rPr>
                <w:rFonts w:ascii="Verdana" w:hAnsi="Verdana"/>
                <w:b/>
                <w:sz w:val="18"/>
                <w:szCs w:val="18"/>
              </w:rPr>
            </w:pPr>
            <w:r w:rsidRPr="00EA1E04">
              <w:rPr>
                <w:rFonts w:ascii="Verdana" w:hAnsi="Verdana"/>
                <w:b/>
                <w:sz w:val="18"/>
                <w:szCs w:val="18"/>
              </w:rPr>
              <w:t>Alcohol use records</w:t>
            </w:r>
            <w:r w:rsidR="008051C4" w:rsidRPr="008051C4">
              <w:rPr>
                <w:rFonts w:ascii="Verdana" w:hAnsi="Verdana"/>
                <w:sz w:val="18"/>
                <w:szCs w:val="18"/>
                <w:vertAlign w:val="superscript"/>
              </w:rPr>
              <w:t>a,b</w:t>
            </w:r>
          </w:p>
        </w:tc>
        <w:tc>
          <w:tcPr>
            <w:tcW w:w="1820" w:type="dxa"/>
            <w:tcBorders>
              <w:top w:val="single" w:sz="4" w:space="0" w:color="auto"/>
              <w:bottom w:val="single" w:sz="4" w:space="0" w:color="auto"/>
            </w:tcBorders>
            <w:shd w:val="clear" w:color="auto" w:fill="auto"/>
          </w:tcPr>
          <w:p w:rsidR="00963098" w:rsidRPr="00EA1E04" w:rsidRDefault="00963098" w:rsidP="00F07D54">
            <w:pPr>
              <w:jc w:val="both"/>
              <w:rPr>
                <w:rFonts w:ascii="Verdana" w:hAnsi="Verdana"/>
                <w:sz w:val="18"/>
                <w:szCs w:val="18"/>
              </w:rPr>
            </w:pPr>
          </w:p>
          <w:p w:rsidR="00963098" w:rsidRPr="00EA1E04" w:rsidRDefault="00963098" w:rsidP="00F07D54">
            <w:pPr>
              <w:jc w:val="both"/>
              <w:rPr>
                <w:rFonts w:ascii="Verdana" w:hAnsi="Verdana"/>
                <w:sz w:val="18"/>
                <w:szCs w:val="18"/>
              </w:rPr>
            </w:pPr>
            <w:r w:rsidRPr="00EA1E04">
              <w:rPr>
                <w:rFonts w:ascii="Verdana" w:hAnsi="Verdana"/>
                <w:sz w:val="18"/>
                <w:szCs w:val="18"/>
              </w:rPr>
              <w:t>1,414(85.2)</w:t>
            </w:r>
          </w:p>
        </w:tc>
        <w:tc>
          <w:tcPr>
            <w:tcW w:w="1860" w:type="dxa"/>
            <w:tcBorders>
              <w:top w:val="single" w:sz="4" w:space="0" w:color="auto"/>
              <w:bottom w:val="single" w:sz="4" w:space="0" w:color="auto"/>
            </w:tcBorders>
            <w:shd w:val="clear" w:color="auto" w:fill="auto"/>
          </w:tcPr>
          <w:p w:rsidR="00963098" w:rsidRPr="00EA1E04" w:rsidRDefault="00963098" w:rsidP="00F07D54">
            <w:pPr>
              <w:jc w:val="both"/>
              <w:rPr>
                <w:rFonts w:ascii="Verdana" w:hAnsi="Verdana"/>
                <w:sz w:val="18"/>
                <w:szCs w:val="18"/>
              </w:rPr>
            </w:pPr>
          </w:p>
          <w:p w:rsidR="00963098" w:rsidRPr="00EA1E04" w:rsidRDefault="00963098" w:rsidP="00F07D54">
            <w:pPr>
              <w:jc w:val="both"/>
              <w:rPr>
                <w:rFonts w:ascii="Verdana" w:hAnsi="Verdana"/>
                <w:sz w:val="18"/>
                <w:szCs w:val="18"/>
              </w:rPr>
            </w:pPr>
            <w:r w:rsidRPr="00EA1E04">
              <w:rPr>
                <w:rFonts w:ascii="Verdana" w:hAnsi="Verdana"/>
                <w:sz w:val="18"/>
                <w:szCs w:val="18"/>
              </w:rPr>
              <w:t>8,103(65.1)</w:t>
            </w:r>
          </w:p>
        </w:tc>
        <w:tc>
          <w:tcPr>
            <w:tcW w:w="1888" w:type="dxa"/>
            <w:tcBorders>
              <w:top w:val="single" w:sz="4" w:space="0" w:color="auto"/>
              <w:bottom w:val="single" w:sz="4" w:space="0" w:color="auto"/>
            </w:tcBorders>
            <w:shd w:val="clear" w:color="auto" w:fill="auto"/>
          </w:tcPr>
          <w:p w:rsidR="00963098" w:rsidRPr="00EA1E04" w:rsidRDefault="00963098" w:rsidP="00F07D54">
            <w:pPr>
              <w:jc w:val="both"/>
              <w:rPr>
                <w:rFonts w:ascii="Verdana" w:hAnsi="Verdana"/>
                <w:sz w:val="18"/>
                <w:szCs w:val="18"/>
              </w:rPr>
            </w:pPr>
          </w:p>
          <w:p w:rsidR="00963098" w:rsidRPr="008051C4" w:rsidRDefault="00963098" w:rsidP="008051C4">
            <w:pPr>
              <w:jc w:val="both"/>
              <w:rPr>
                <w:rFonts w:ascii="Verdana" w:hAnsi="Verdana"/>
                <w:sz w:val="18"/>
                <w:szCs w:val="18"/>
                <w:vertAlign w:val="superscript"/>
              </w:rPr>
            </w:pPr>
            <w:r w:rsidRPr="00EA1E04">
              <w:rPr>
                <w:rFonts w:ascii="Verdana" w:hAnsi="Verdana"/>
                <w:sz w:val="18"/>
                <w:szCs w:val="18"/>
              </w:rPr>
              <w:t>1.96(1.7-2.3)</w:t>
            </w:r>
            <w:r w:rsidR="008051C4">
              <w:rPr>
                <w:rFonts w:ascii="Verdana" w:hAnsi="Verdana"/>
                <w:sz w:val="18"/>
                <w:szCs w:val="18"/>
                <w:vertAlign w:val="superscript"/>
              </w:rPr>
              <w:t>e</w:t>
            </w:r>
          </w:p>
        </w:tc>
        <w:tc>
          <w:tcPr>
            <w:tcW w:w="344" w:type="dxa"/>
            <w:tcBorders>
              <w:top w:val="single" w:sz="4" w:space="0" w:color="auto"/>
              <w:bottom w:val="single" w:sz="4" w:space="0" w:color="auto"/>
            </w:tcBorders>
            <w:shd w:val="clear" w:color="auto" w:fill="auto"/>
          </w:tcPr>
          <w:p w:rsidR="00963098" w:rsidRPr="00EA1E04" w:rsidRDefault="00963098" w:rsidP="00F07D54">
            <w:pPr>
              <w:jc w:val="both"/>
              <w:rPr>
                <w:rFonts w:ascii="Verdana" w:hAnsi="Verdana"/>
                <w:sz w:val="18"/>
                <w:szCs w:val="18"/>
              </w:rPr>
            </w:pPr>
          </w:p>
        </w:tc>
        <w:tc>
          <w:tcPr>
            <w:tcW w:w="1634" w:type="dxa"/>
            <w:tcBorders>
              <w:top w:val="single" w:sz="4" w:space="0" w:color="auto"/>
              <w:bottom w:val="single" w:sz="4" w:space="0" w:color="auto"/>
            </w:tcBorders>
            <w:shd w:val="clear" w:color="auto" w:fill="auto"/>
          </w:tcPr>
          <w:p w:rsidR="00963098" w:rsidRPr="00EA1E04" w:rsidRDefault="00963098" w:rsidP="00F07D54">
            <w:pPr>
              <w:jc w:val="both"/>
              <w:rPr>
                <w:rFonts w:ascii="Verdana" w:hAnsi="Verdana"/>
                <w:sz w:val="18"/>
                <w:szCs w:val="18"/>
              </w:rPr>
            </w:pPr>
          </w:p>
          <w:p w:rsidR="00963098" w:rsidRPr="00EA1E04" w:rsidRDefault="00963098" w:rsidP="00F07D54">
            <w:pPr>
              <w:jc w:val="both"/>
              <w:rPr>
                <w:rFonts w:ascii="Verdana" w:hAnsi="Verdana"/>
                <w:sz w:val="18"/>
                <w:szCs w:val="18"/>
              </w:rPr>
            </w:pPr>
            <w:r w:rsidRPr="00EA1E04">
              <w:rPr>
                <w:rFonts w:ascii="Verdana" w:hAnsi="Verdana"/>
                <w:sz w:val="18"/>
                <w:szCs w:val="18"/>
              </w:rPr>
              <w:t>674(82.3)</w:t>
            </w:r>
          </w:p>
        </w:tc>
        <w:tc>
          <w:tcPr>
            <w:tcW w:w="1851" w:type="dxa"/>
            <w:tcBorders>
              <w:top w:val="single" w:sz="4" w:space="0" w:color="auto"/>
              <w:bottom w:val="single" w:sz="4" w:space="0" w:color="auto"/>
            </w:tcBorders>
            <w:shd w:val="clear" w:color="auto" w:fill="auto"/>
          </w:tcPr>
          <w:p w:rsidR="00963098" w:rsidRPr="00EA1E04" w:rsidRDefault="00963098" w:rsidP="00F07D54">
            <w:pPr>
              <w:jc w:val="both"/>
              <w:rPr>
                <w:rFonts w:ascii="Verdana" w:hAnsi="Verdana"/>
                <w:sz w:val="18"/>
                <w:szCs w:val="18"/>
              </w:rPr>
            </w:pPr>
          </w:p>
          <w:p w:rsidR="00963098" w:rsidRPr="00EA1E04" w:rsidRDefault="00963098" w:rsidP="00F07D54">
            <w:pPr>
              <w:jc w:val="both"/>
              <w:rPr>
                <w:rFonts w:ascii="Verdana" w:hAnsi="Verdana"/>
                <w:sz w:val="18"/>
                <w:szCs w:val="18"/>
              </w:rPr>
            </w:pPr>
            <w:r w:rsidRPr="00EA1E04">
              <w:rPr>
                <w:rFonts w:ascii="Verdana" w:hAnsi="Verdana"/>
                <w:sz w:val="18"/>
                <w:szCs w:val="18"/>
              </w:rPr>
              <w:t>8,649(70.1)</w:t>
            </w:r>
          </w:p>
        </w:tc>
        <w:tc>
          <w:tcPr>
            <w:tcW w:w="1709" w:type="dxa"/>
            <w:tcBorders>
              <w:top w:val="single" w:sz="4" w:space="0" w:color="auto"/>
              <w:bottom w:val="single" w:sz="4" w:space="0" w:color="auto"/>
            </w:tcBorders>
            <w:shd w:val="clear" w:color="auto" w:fill="auto"/>
          </w:tcPr>
          <w:p w:rsidR="00963098" w:rsidRPr="00EA1E04" w:rsidRDefault="00963098" w:rsidP="00F07D54">
            <w:pPr>
              <w:jc w:val="both"/>
              <w:rPr>
                <w:rFonts w:ascii="Verdana" w:hAnsi="Verdana"/>
                <w:sz w:val="18"/>
                <w:szCs w:val="18"/>
              </w:rPr>
            </w:pPr>
          </w:p>
          <w:p w:rsidR="00963098" w:rsidRPr="008051C4" w:rsidRDefault="00963098" w:rsidP="008051C4">
            <w:pPr>
              <w:jc w:val="both"/>
              <w:rPr>
                <w:rFonts w:ascii="Verdana" w:hAnsi="Verdana"/>
                <w:sz w:val="18"/>
                <w:szCs w:val="18"/>
                <w:vertAlign w:val="superscript"/>
              </w:rPr>
            </w:pPr>
            <w:r w:rsidRPr="00EA1E04">
              <w:rPr>
                <w:rFonts w:ascii="Verdana" w:hAnsi="Verdana"/>
                <w:sz w:val="18"/>
                <w:szCs w:val="18"/>
              </w:rPr>
              <w:t>1.63(1.4-1.8)</w:t>
            </w:r>
            <w:r w:rsidR="008051C4">
              <w:rPr>
                <w:rFonts w:ascii="Verdana" w:hAnsi="Verdana"/>
                <w:sz w:val="18"/>
                <w:szCs w:val="18"/>
                <w:vertAlign w:val="superscript"/>
              </w:rPr>
              <w:t>e</w:t>
            </w:r>
          </w:p>
        </w:tc>
      </w:tr>
      <w:tr w:rsidR="00EA1E04" w:rsidRPr="00EA1E04" w:rsidTr="00F07D54">
        <w:trPr>
          <w:trHeight w:val="422"/>
        </w:trPr>
        <w:tc>
          <w:tcPr>
            <w:tcW w:w="2469" w:type="dxa"/>
            <w:tcBorders>
              <w:top w:val="single" w:sz="4" w:space="0" w:color="auto"/>
            </w:tcBorders>
            <w:shd w:val="clear" w:color="auto" w:fill="auto"/>
          </w:tcPr>
          <w:p w:rsidR="00963098" w:rsidRPr="00EA1E04" w:rsidRDefault="00963098" w:rsidP="00F07D54">
            <w:pPr>
              <w:jc w:val="both"/>
              <w:rPr>
                <w:rFonts w:ascii="Verdana" w:hAnsi="Verdana"/>
                <w:b/>
                <w:sz w:val="18"/>
                <w:szCs w:val="18"/>
              </w:rPr>
            </w:pPr>
          </w:p>
          <w:p w:rsidR="00963098" w:rsidRPr="00EA1E04" w:rsidRDefault="00963098" w:rsidP="00F07D54">
            <w:pPr>
              <w:jc w:val="both"/>
              <w:rPr>
                <w:rFonts w:ascii="Verdana" w:hAnsi="Verdana"/>
                <w:b/>
                <w:sz w:val="18"/>
                <w:szCs w:val="18"/>
                <w:vertAlign w:val="superscript"/>
              </w:rPr>
            </w:pPr>
            <w:r w:rsidRPr="00EA1E04">
              <w:rPr>
                <w:rFonts w:ascii="Verdana" w:hAnsi="Verdana"/>
                <w:b/>
                <w:sz w:val="18"/>
                <w:szCs w:val="18"/>
              </w:rPr>
              <w:t>Alcohol intervention</w:t>
            </w:r>
            <w:r w:rsidR="008051C4" w:rsidRPr="008051C4">
              <w:rPr>
                <w:rFonts w:ascii="Verdana" w:hAnsi="Verdana"/>
                <w:sz w:val="18"/>
                <w:szCs w:val="18"/>
                <w:vertAlign w:val="superscript"/>
              </w:rPr>
              <w:t>c,d</w:t>
            </w:r>
          </w:p>
        </w:tc>
        <w:tc>
          <w:tcPr>
            <w:tcW w:w="1820" w:type="dxa"/>
            <w:tcBorders>
              <w:top w:val="single" w:sz="4" w:space="0" w:color="auto"/>
            </w:tcBorders>
            <w:shd w:val="clear" w:color="auto" w:fill="auto"/>
          </w:tcPr>
          <w:p w:rsidR="00963098" w:rsidRPr="00EA1E04" w:rsidRDefault="00963098" w:rsidP="00F07D54">
            <w:pPr>
              <w:jc w:val="both"/>
              <w:rPr>
                <w:rFonts w:ascii="Verdana" w:hAnsi="Verdana"/>
                <w:sz w:val="18"/>
                <w:szCs w:val="18"/>
              </w:rPr>
            </w:pPr>
          </w:p>
          <w:p w:rsidR="00963098" w:rsidRPr="00EA1E04" w:rsidRDefault="00963098" w:rsidP="00F07D54">
            <w:pPr>
              <w:jc w:val="both"/>
              <w:rPr>
                <w:rFonts w:ascii="Verdana" w:hAnsi="Verdana"/>
                <w:sz w:val="18"/>
                <w:szCs w:val="18"/>
              </w:rPr>
            </w:pPr>
            <w:r w:rsidRPr="00EA1E04">
              <w:rPr>
                <w:rFonts w:ascii="Verdana" w:hAnsi="Verdana"/>
                <w:sz w:val="18"/>
                <w:szCs w:val="18"/>
              </w:rPr>
              <w:t>385(23.2)</w:t>
            </w:r>
          </w:p>
        </w:tc>
        <w:tc>
          <w:tcPr>
            <w:tcW w:w="1860" w:type="dxa"/>
            <w:tcBorders>
              <w:top w:val="single" w:sz="4" w:space="0" w:color="auto"/>
            </w:tcBorders>
            <w:shd w:val="clear" w:color="auto" w:fill="auto"/>
          </w:tcPr>
          <w:p w:rsidR="00963098" w:rsidRPr="00EA1E04" w:rsidRDefault="00963098" w:rsidP="00F07D54">
            <w:pPr>
              <w:jc w:val="both"/>
              <w:rPr>
                <w:rFonts w:ascii="Verdana" w:hAnsi="Verdana"/>
                <w:sz w:val="18"/>
                <w:szCs w:val="18"/>
              </w:rPr>
            </w:pPr>
          </w:p>
          <w:p w:rsidR="00963098" w:rsidRPr="00EA1E04" w:rsidRDefault="00963098" w:rsidP="00F07D54">
            <w:pPr>
              <w:jc w:val="both"/>
              <w:rPr>
                <w:rFonts w:ascii="Verdana" w:hAnsi="Verdana"/>
                <w:sz w:val="18"/>
                <w:szCs w:val="18"/>
              </w:rPr>
            </w:pPr>
            <w:r w:rsidRPr="00EA1E04">
              <w:rPr>
                <w:rFonts w:ascii="Verdana" w:hAnsi="Verdana"/>
                <w:sz w:val="18"/>
                <w:szCs w:val="18"/>
              </w:rPr>
              <w:t>642(5.2)</w:t>
            </w:r>
          </w:p>
        </w:tc>
        <w:tc>
          <w:tcPr>
            <w:tcW w:w="1888" w:type="dxa"/>
            <w:tcBorders>
              <w:top w:val="single" w:sz="4" w:space="0" w:color="auto"/>
            </w:tcBorders>
            <w:shd w:val="clear" w:color="auto" w:fill="auto"/>
          </w:tcPr>
          <w:p w:rsidR="00963098" w:rsidRPr="00EA1E04" w:rsidRDefault="00963098" w:rsidP="00F07D54">
            <w:pPr>
              <w:jc w:val="both"/>
              <w:rPr>
                <w:rFonts w:ascii="Verdana" w:hAnsi="Verdana"/>
                <w:sz w:val="18"/>
                <w:szCs w:val="18"/>
              </w:rPr>
            </w:pPr>
          </w:p>
          <w:p w:rsidR="00963098" w:rsidRPr="00EA1E04" w:rsidRDefault="00963098" w:rsidP="008051C4">
            <w:pPr>
              <w:jc w:val="both"/>
              <w:rPr>
                <w:rFonts w:ascii="Verdana" w:hAnsi="Verdana"/>
                <w:sz w:val="18"/>
                <w:szCs w:val="18"/>
                <w:vertAlign w:val="superscript"/>
              </w:rPr>
            </w:pPr>
            <w:r w:rsidRPr="00EA1E04">
              <w:rPr>
                <w:rFonts w:ascii="Verdana" w:hAnsi="Verdana"/>
                <w:sz w:val="18"/>
                <w:szCs w:val="18"/>
              </w:rPr>
              <w:t>4.3(3.7-4.9)</w:t>
            </w:r>
            <w:r w:rsidR="008051C4">
              <w:rPr>
                <w:rFonts w:ascii="Verdana" w:hAnsi="Verdana"/>
                <w:sz w:val="18"/>
                <w:szCs w:val="18"/>
                <w:vertAlign w:val="superscript"/>
              </w:rPr>
              <w:t>e</w:t>
            </w:r>
          </w:p>
        </w:tc>
        <w:tc>
          <w:tcPr>
            <w:tcW w:w="344" w:type="dxa"/>
            <w:tcBorders>
              <w:top w:val="single" w:sz="4" w:space="0" w:color="auto"/>
            </w:tcBorders>
            <w:shd w:val="clear" w:color="auto" w:fill="auto"/>
          </w:tcPr>
          <w:p w:rsidR="00963098" w:rsidRPr="00EA1E04" w:rsidRDefault="00963098" w:rsidP="00F07D54">
            <w:pPr>
              <w:jc w:val="both"/>
              <w:rPr>
                <w:rFonts w:ascii="Verdana" w:hAnsi="Verdana"/>
                <w:sz w:val="18"/>
                <w:szCs w:val="18"/>
              </w:rPr>
            </w:pPr>
          </w:p>
        </w:tc>
        <w:tc>
          <w:tcPr>
            <w:tcW w:w="1634" w:type="dxa"/>
            <w:tcBorders>
              <w:top w:val="single" w:sz="4" w:space="0" w:color="auto"/>
            </w:tcBorders>
            <w:shd w:val="clear" w:color="auto" w:fill="auto"/>
          </w:tcPr>
          <w:p w:rsidR="00963098" w:rsidRPr="00EA1E04" w:rsidRDefault="00963098" w:rsidP="00F07D54">
            <w:pPr>
              <w:jc w:val="both"/>
              <w:rPr>
                <w:rFonts w:ascii="Verdana" w:hAnsi="Verdana"/>
                <w:sz w:val="18"/>
                <w:szCs w:val="18"/>
              </w:rPr>
            </w:pPr>
          </w:p>
          <w:p w:rsidR="00963098" w:rsidRPr="00EA1E04" w:rsidRDefault="00963098" w:rsidP="00F07D54">
            <w:pPr>
              <w:jc w:val="both"/>
              <w:rPr>
                <w:rFonts w:ascii="Verdana" w:hAnsi="Verdana"/>
                <w:sz w:val="18"/>
                <w:szCs w:val="18"/>
              </w:rPr>
            </w:pPr>
            <w:r w:rsidRPr="00EA1E04">
              <w:rPr>
                <w:rFonts w:ascii="Verdana" w:hAnsi="Verdana"/>
                <w:sz w:val="18"/>
                <w:szCs w:val="18"/>
              </w:rPr>
              <w:t>180(22.0)</w:t>
            </w:r>
          </w:p>
        </w:tc>
        <w:tc>
          <w:tcPr>
            <w:tcW w:w="1851" w:type="dxa"/>
            <w:tcBorders>
              <w:top w:val="single" w:sz="4" w:space="0" w:color="auto"/>
            </w:tcBorders>
            <w:shd w:val="clear" w:color="auto" w:fill="auto"/>
          </w:tcPr>
          <w:p w:rsidR="00963098" w:rsidRPr="00EA1E04" w:rsidRDefault="00963098" w:rsidP="00F07D54">
            <w:pPr>
              <w:jc w:val="both"/>
              <w:rPr>
                <w:rFonts w:ascii="Verdana" w:hAnsi="Verdana"/>
                <w:sz w:val="18"/>
                <w:szCs w:val="18"/>
              </w:rPr>
            </w:pPr>
          </w:p>
          <w:p w:rsidR="00963098" w:rsidRPr="00EA1E04" w:rsidRDefault="00963098" w:rsidP="00F07D54">
            <w:pPr>
              <w:jc w:val="both"/>
              <w:rPr>
                <w:rFonts w:ascii="Verdana" w:hAnsi="Verdana"/>
                <w:sz w:val="18"/>
                <w:szCs w:val="18"/>
              </w:rPr>
            </w:pPr>
            <w:r w:rsidRPr="00EA1E04">
              <w:rPr>
                <w:rFonts w:ascii="Verdana" w:hAnsi="Verdana"/>
                <w:sz w:val="18"/>
                <w:szCs w:val="18"/>
              </w:rPr>
              <w:t>509(4.1)</w:t>
            </w:r>
          </w:p>
        </w:tc>
        <w:tc>
          <w:tcPr>
            <w:tcW w:w="1709" w:type="dxa"/>
            <w:tcBorders>
              <w:top w:val="single" w:sz="4" w:space="0" w:color="auto"/>
            </w:tcBorders>
            <w:shd w:val="clear" w:color="auto" w:fill="auto"/>
          </w:tcPr>
          <w:p w:rsidR="00963098" w:rsidRPr="00EA1E04" w:rsidRDefault="00963098" w:rsidP="00F07D54">
            <w:pPr>
              <w:jc w:val="both"/>
              <w:rPr>
                <w:rFonts w:ascii="Verdana" w:hAnsi="Verdana"/>
                <w:sz w:val="18"/>
                <w:szCs w:val="18"/>
              </w:rPr>
            </w:pPr>
          </w:p>
          <w:p w:rsidR="00963098" w:rsidRPr="00EA1E04" w:rsidRDefault="008051C4" w:rsidP="008051C4">
            <w:pPr>
              <w:jc w:val="both"/>
              <w:rPr>
                <w:rFonts w:ascii="Verdana" w:hAnsi="Verdana"/>
                <w:sz w:val="18"/>
                <w:szCs w:val="18"/>
              </w:rPr>
            </w:pPr>
            <w:r>
              <w:rPr>
                <w:rFonts w:ascii="Verdana" w:hAnsi="Verdana"/>
                <w:sz w:val="18"/>
                <w:szCs w:val="18"/>
              </w:rPr>
              <w:t>5.8(4.7-6.9)</w:t>
            </w:r>
            <w:r>
              <w:rPr>
                <w:rFonts w:ascii="Verdana" w:hAnsi="Verdana"/>
                <w:sz w:val="18"/>
                <w:szCs w:val="18"/>
                <w:vertAlign w:val="superscript"/>
              </w:rPr>
              <w:t>e</w:t>
            </w:r>
          </w:p>
        </w:tc>
      </w:tr>
      <w:tr w:rsidR="00EA1E04" w:rsidRPr="00EA1E04" w:rsidTr="00F07D54">
        <w:trPr>
          <w:trHeight w:val="471"/>
        </w:trPr>
        <w:tc>
          <w:tcPr>
            <w:tcW w:w="2469"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 xml:space="preserve">   18-44 years</w:t>
            </w:r>
          </w:p>
        </w:tc>
        <w:tc>
          <w:tcPr>
            <w:tcW w:w="1820"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 xml:space="preserve"> 57(20.8)</w:t>
            </w:r>
          </w:p>
        </w:tc>
        <w:tc>
          <w:tcPr>
            <w:tcW w:w="1860"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86(3.3)</w:t>
            </w:r>
          </w:p>
        </w:tc>
        <w:tc>
          <w:tcPr>
            <w:tcW w:w="1888"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7.6(5.3-11.1)</w:t>
            </w:r>
          </w:p>
        </w:tc>
        <w:tc>
          <w:tcPr>
            <w:tcW w:w="344" w:type="dxa"/>
            <w:shd w:val="clear" w:color="auto" w:fill="auto"/>
          </w:tcPr>
          <w:p w:rsidR="00963098" w:rsidRPr="00EA1E04" w:rsidRDefault="00963098" w:rsidP="00F07D54">
            <w:pPr>
              <w:jc w:val="both"/>
              <w:rPr>
                <w:rFonts w:ascii="Verdana" w:hAnsi="Verdana"/>
                <w:sz w:val="18"/>
                <w:szCs w:val="18"/>
              </w:rPr>
            </w:pPr>
          </w:p>
        </w:tc>
        <w:tc>
          <w:tcPr>
            <w:tcW w:w="1634"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45(31.0)</w:t>
            </w:r>
          </w:p>
        </w:tc>
        <w:tc>
          <w:tcPr>
            <w:tcW w:w="1851"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84(3.4)</w:t>
            </w:r>
          </w:p>
        </w:tc>
        <w:tc>
          <w:tcPr>
            <w:tcW w:w="1709"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12.6(8.2-19.4)</w:t>
            </w:r>
          </w:p>
        </w:tc>
      </w:tr>
      <w:tr w:rsidR="00EA1E04" w:rsidRPr="00EA1E04" w:rsidTr="00F07D54">
        <w:trPr>
          <w:trHeight w:val="471"/>
        </w:trPr>
        <w:tc>
          <w:tcPr>
            <w:tcW w:w="2469"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 xml:space="preserve">   45-54 years</w:t>
            </w:r>
          </w:p>
        </w:tc>
        <w:tc>
          <w:tcPr>
            <w:tcW w:w="1820"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110(22.4)</w:t>
            </w:r>
          </w:p>
        </w:tc>
        <w:tc>
          <w:tcPr>
            <w:tcW w:w="1860"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170(4.9)</w:t>
            </w:r>
          </w:p>
        </w:tc>
        <w:tc>
          <w:tcPr>
            <w:tcW w:w="1888"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5.6(4.3-7.4)</w:t>
            </w:r>
          </w:p>
        </w:tc>
        <w:tc>
          <w:tcPr>
            <w:tcW w:w="344" w:type="dxa"/>
            <w:shd w:val="clear" w:color="auto" w:fill="auto"/>
          </w:tcPr>
          <w:p w:rsidR="00963098" w:rsidRPr="00EA1E04" w:rsidRDefault="00963098" w:rsidP="00F07D54">
            <w:pPr>
              <w:jc w:val="both"/>
              <w:rPr>
                <w:rFonts w:ascii="Verdana" w:hAnsi="Verdana"/>
                <w:sz w:val="18"/>
                <w:szCs w:val="18"/>
              </w:rPr>
            </w:pPr>
          </w:p>
        </w:tc>
        <w:tc>
          <w:tcPr>
            <w:tcW w:w="1634"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65(25.2)</w:t>
            </w:r>
          </w:p>
        </w:tc>
        <w:tc>
          <w:tcPr>
            <w:tcW w:w="1851"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144(4.4)</w:t>
            </w:r>
          </w:p>
        </w:tc>
        <w:tc>
          <w:tcPr>
            <w:tcW w:w="1709"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7.3(5.2-10.3)</w:t>
            </w:r>
          </w:p>
        </w:tc>
      </w:tr>
      <w:tr w:rsidR="00EA1E04" w:rsidRPr="00EA1E04" w:rsidTr="00F07D54">
        <w:trPr>
          <w:trHeight w:val="471"/>
        </w:trPr>
        <w:tc>
          <w:tcPr>
            <w:tcW w:w="2469"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 xml:space="preserve">   55-64 years</w:t>
            </w:r>
          </w:p>
        </w:tc>
        <w:tc>
          <w:tcPr>
            <w:tcW w:w="1820"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135(26.2)</w:t>
            </w:r>
          </w:p>
        </w:tc>
        <w:tc>
          <w:tcPr>
            <w:tcW w:w="1860"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239(6.4)</w:t>
            </w:r>
          </w:p>
        </w:tc>
        <w:tc>
          <w:tcPr>
            <w:tcW w:w="1888"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5.2(4.1-6.6)</w:t>
            </w:r>
          </w:p>
        </w:tc>
        <w:tc>
          <w:tcPr>
            <w:tcW w:w="344" w:type="dxa"/>
            <w:shd w:val="clear" w:color="auto" w:fill="auto"/>
          </w:tcPr>
          <w:p w:rsidR="00963098" w:rsidRPr="00EA1E04" w:rsidRDefault="00963098" w:rsidP="00F07D54">
            <w:pPr>
              <w:jc w:val="both"/>
              <w:rPr>
                <w:rFonts w:ascii="Verdana" w:hAnsi="Verdana"/>
                <w:sz w:val="18"/>
                <w:szCs w:val="18"/>
              </w:rPr>
            </w:pPr>
          </w:p>
        </w:tc>
        <w:tc>
          <w:tcPr>
            <w:tcW w:w="1634"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45(18.9)</w:t>
            </w:r>
          </w:p>
        </w:tc>
        <w:tc>
          <w:tcPr>
            <w:tcW w:w="1851"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147(4.2)</w:t>
            </w:r>
          </w:p>
        </w:tc>
        <w:tc>
          <w:tcPr>
            <w:tcW w:w="1709"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5.3(3.7-7.7)</w:t>
            </w:r>
          </w:p>
        </w:tc>
      </w:tr>
      <w:tr w:rsidR="00EA1E04" w:rsidRPr="00EA1E04" w:rsidTr="00F07D54">
        <w:trPr>
          <w:trHeight w:val="471"/>
        </w:trPr>
        <w:tc>
          <w:tcPr>
            <w:tcW w:w="2469"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 xml:space="preserve">   65-74 years</w:t>
            </w:r>
          </w:p>
        </w:tc>
        <w:tc>
          <w:tcPr>
            <w:tcW w:w="1820"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68(24.1)</w:t>
            </w:r>
          </w:p>
        </w:tc>
        <w:tc>
          <w:tcPr>
            <w:tcW w:w="1860"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114(5.9)</w:t>
            </w:r>
          </w:p>
        </w:tc>
        <w:tc>
          <w:tcPr>
            <w:tcW w:w="1888"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5.3(3.8-7.5)</w:t>
            </w:r>
          </w:p>
        </w:tc>
        <w:tc>
          <w:tcPr>
            <w:tcW w:w="344" w:type="dxa"/>
            <w:shd w:val="clear" w:color="auto" w:fill="auto"/>
          </w:tcPr>
          <w:p w:rsidR="00963098" w:rsidRPr="00EA1E04" w:rsidRDefault="00963098" w:rsidP="00F07D54">
            <w:pPr>
              <w:jc w:val="both"/>
              <w:rPr>
                <w:rFonts w:ascii="Verdana" w:hAnsi="Verdana"/>
                <w:sz w:val="18"/>
                <w:szCs w:val="18"/>
              </w:rPr>
            </w:pPr>
          </w:p>
        </w:tc>
        <w:tc>
          <w:tcPr>
            <w:tcW w:w="1634"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21(16.15)</w:t>
            </w:r>
          </w:p>
        </w:tc>
        <w:tc>
          <w:tcPr>
            <w:tcW w:w="1851"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91(4.4)</w:t>
            </w:r>
          </w:p>
        </w:tc>
        <w:tc>
          <w:tcPr>
            <w:tcW w:w="1709" w:type="dxa"/>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4.2(2.5-7.1)</w:t>
            </w:r>
          </w:p>
        </w:tc>
      </w:tr>
      <w:tr w:rsidR="00EA1E04" w:rsidRPr="00EA1E04" w:rsidTr="00F07D54">
        <w:trPr>
          <w:trHeight w:val="471"/>
        </w:trPr>
        <w:tc>
          <w:tcPr>
            <w:tcW w:w="2469" w:type="dxa"/>
            <w:tcBorders>
              <w:bottom w:val="single" w:sz="4" w:space="0" w:color="auto"/>
            </w:tcBorders>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 xml:space="preserve">   ≥ 75 years</w:t>
            </w:r>
          </w:p>
        </w:tc>
        <w:tc>
          <w:tcPr>
            <w:tcW w:w="1820" w:type="dxa"/>
            <w:tcBorders>
              <w:bottom w:val="single" w:sz="4" w:space="0" w:color="auto"/>
            </w:tcBorders>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15(14.2)</w:t>
            </w:r>
          </w:p>
        </w:tc>
        <w:tc>
          <w:tcPr>
            <w:tcW w:w="1860" w:type="dxa"/>
            <w:tcBorders>
              <w:bottom w:val="single" w:sz="4" w:space="0" w:color="auto"/>
            </w:tcBorders>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33(4.6)</w:t>
            </w:r>
          </w:p>
        </w:tc>
        <w:tc>
          <w:tcPr>
            <w:tcW w:w="1888" w:type="dxa"/>
            <w:tcBorders>
              <w:bottom w:val="single" w:sz="4" w:space="0" w:color="auto"/>
            </w:tcBorders>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3.4(1.8-6.5)</w:t>
            </w:r>
          </w:p>
        </w:tc>
        <w:tc>
          <w:tcPr>
            <w:tcW w:w="344" w:type="dxa"/>
            <w:tcBorders>
              <w:bottom w:val="single" w:sz="4" w:space="0" w:color="auto"/>
            </w:tcBorders>
            <w:shd w:val="clear" w:color="auto" w:fill="auto"/>
          </w:tcPr>
          <w:p w:rsidR="00963098" w:rsidRPr="00EA1E04" w:rsidRDefault="00963098" w:rsidP="00F07D54">
            <w:pPr>
              <w:jc w:val="both"/>
              <w:rPr>
                <w:rFonts w:ascii="Verdana" w:hAnsi="Verdana"/>
                <w:sz w:val="18"/>
                <w:szCs w:val="18"/>
              </w:rPr>
            </w:pPr>
          </w:p>
        </w:tc>
        <w:tc>
          <w:tcPr>
            <w:tcW w:w="1634" w:type="dxa"/>
            <w:tcBorders>
              <w:bottom w:val="single" w:sz="4" w:space="0" w:color="auto"/>
            </w:tcBorders>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4(8.3)</w:t>
            </w:r>
          </w:p>
        </w:tc>
        <w:tc>
          <w:tcPr>
            <w:tcW w:w="1851" w:type="dxa"/>
            <w:tcBorders>
              <w:bottom w:val="single" w:sz="4" w:space="0" w:color="auto"/>
            </w:tcBorders>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43(4.2)</w:t>
            </w:r>
          </w:p>
        </w:tc>
        <w:tc>
          <w:tcPr>
            <w:tcW w:w="1709" w:type="dxa"/>
            <w:tcBorders>
              <w:bottom w:val="single" w:sz="4" w:space="0" w:color="auto"/>
            </w:tcBorders>
            <w:shd w:val="clear" w:color="auto" w:fill="auto"/>
          </w:tcPr>
          <w:p w:rsidR="00963098" w:rsidRPr="00EA1E04" w:rsidRDefault="00963098" w:rsidP="00F07D54">
            <w:pPr>
              <w:jc w:val="both"/>
              <w:rPr>
                <w:rFonts w:ascii="Verdana" w:hAnsi="Verdana"/>
                <w:sz w:val="18"/>
                <w:szCs w:val="18"/>
              </w:rPr>
            </w:pPr>
            <w:r w:rsidRPr="00EA1E04">
              <w:rPr>
                <w:rFonts w:ascii="Verdana" w:hAnsi="Verdana"/>
                <w:sz w:val="18"/>
                <w:szCs w:val="18"/>
              </w:rPr>
              <w:t>2.1(0.7-6.1)</w:t>
            </w:r>
          </w:p>
        </w:tc>
      </w:tr>
      <w:tr w:rsidR="00EA1E04" w:rsidRPr="00EA1E04" w:rsidTr="00F07D54">
        <w:trPr>
          <w:trHeight w:val="471"/>
        </w:trPr>
        <w:tc>
          <w:tcPr>
            <w:tcW w:w="13575" w:type="dxa"/>
            <w:gridSpan w:val="8"/>
            <w:tcBorders>
              <w:bottom w:val="single" w:sz="4" w:space="0" w:color="auto"/>
            </w:tcBorders>
            <w:shd w:val="clear" w:color="auto" w:fill="auto"/>
          </w:tcPr>
          <w:p w:rsidR="008051C4" w:rsidRDefault="008051C4" w:rsidP="008051C4">
            <w:pPr>
              <w:spacing w:after="0"/>
              <w:rPr>
                <w:rFonts w:ascii="Verdana" w:hAnsi="Verdana"/>
                <w:sz w:val="18"/>
                <w:szCs w:val="18"/>
              </w:rPr>
            </w:pPr>
            <w:r>
              <w:rPr>
                <w:rFonts w:ascii="Verdana" w:hAnsi="Verdana"/>
                <w:b/>
                <w:sz w:val="18"/>
                <w:szCs w:val="18"/>
                <w:vertAlign w:val="superscript"/>
              </w:rPr>
              <w:t xml:space="preserve">  a</w:t>
            </w:r>
            <w:r w:rsidR="00963098" w:rsidRPr="00EA1E04">
              <w:rPr>
                <w:rFonts w:ascii="Verdana" w:hAnsi="Verdana"/>
                <w:sz w:val="18"/>
                <w:szCs w:val="18"/>
              </w:rPr>
              <w:t>no significant age interaction for alcohol records, hence resul</w:t>
            </w:r>
            <w:r>
              <w:rPr>
                <w:rFonts w:ascii="Verdana" w:hAnsi="Verdana"/>
                <w:sz w:val="18"/>
                <w:szCs w:val="18"/>
              </w:rPr>
              <w:t xml:space="preserve">ts are not stratified for age; </w:t>
            </w:r>
            <w:r w:rsidRPr="008051C4">
              <w:rPr>
                <w:rFonts w:ascii="Verdana" w:hAnsi="Verdana"/>
                <w:b/>
                <w:sz w:val="18"/>
                <w:szCs w:val="18"/>
                <w:vertAlign w:val="superscript"/>
              </w:rPr>
              <w:t>b</w:t>
            </w:r>
            <w:r w:rsidRPr="008051C4">
              <w:rPr>
                <w:rFonts w:ascii="Verdana" w:hAnsi="Verdana"/>
                <w:sz w:val="18"/>
                <w:szCs w:val="18"/>
              </w:rPr>
              <w:t>likelihood ratio test p value for interaction between sex and alcohol records =0.0017</w:t>
            </w:r>
            <w:r>
              <w:rPr>
                <w:rFonts w:ascii="Verdana" w:hAnsi="Verdana"/>
                <w:sz w:val="18"/>
                <w:szCs w:val="18"/>
              </w:rPr>
              <w:t xml:space="preserve">; </w:t>
            </w:r>
            <w:r>
              <w:rPr>
                <w:rFonts w:ascii="Verdana" w:hAnsi="Verdana"/>
                <w:b/>
                <w:sz w:val="18"/>
                <w:szCs w:val="18"/>
                <w:vertAlign w:val="superscript"/>
              </w:rPr>
              <w:t>c</w:t>
            </w:r>
            <w:r w:rsidR="00963098" w:rsidRPr="00EA1E04">
              <w:rPr>
                <w:rFonts w:ascii="Verdana" w:hAnsi="Verdana"/>
                <w:sz w:val="18"/>
                <w:szCs w:val="18"/>
              </w:rPr>
              <w:t>likelihood ratio test p value for interaction between age and interventions = 0.0009</w:t>
            </w:r>
          </w:p>
          <w:p w:rsidR="00963098" w:rsidRPr="008051C4" w:rsidRDefault="008051C4" w:rsidP="008051C4">
            <w:pPr>
              <w:spacing w:after="0"/>
              <w:rPr>
                <w:rFonts w:ascii="Verdana" w:hAnsi="Verdana"/>
                <w:sz w:val="18"/>
                <w:szCs w:val="18"/>
              </w:rPr>
            </w:pPr>
            <w:r>
              <w:rPr>
                <w:rFonts w:ascii="Verdana" w:hAnsi="Verdana"/>
                <w:sz w:val="18"/>
                <w:szCs w:val="18"/>
              </w:rPr>
              <w:t xml:space="preserve"> </w:t>
            </w:r>
            <w:r w:rsidRPr="008051C4">
              <w:rPr>
                <w:rFonts w:ascii="Verdana" w:hAnsi="Verdana"/>
                <w:b/>
                <w:sz w:val="18"/>
                <w:szCs w:val="18"/>
                <w:vertAlign w:val="superscript"/>
              </w:rPr>
              <w:t>d</w:t>
            </w:r>
            <w:r w:rsidR="00963098" w:rsidRPr="00EA1E04">
              <w:rPr>
                <w:rFonts w:ascii="Verdana" w:hAnsi="Verdana"/>
                <w:sz w:val="18"/>
                <w:szCs w:val="18"/>
              </w:rPr>
              <w:t>likelihood ratio test  p value for interaction between sex and interventions = 0.07</w:t>
            </w:r>
            <w:r>
              <w:rPr>
                <w:rFonts w:ascii="Verdana" w:hAnsi="Verdana"/>
                <w:sz w:val="18"/>
                <w:szCs w:val="18"/>
              </w:rPr>
              <w:t xml:space="preserve">. </w:t>
            </w:r>
            <w:r>
              <w:rPr>
                <w:rFonts w:ascii="Verdana" w:hAnsi="Verdana"/>
                <w:sz w:val="18"/>
                <w:szCs w:val="18"/>
                <w:vertAlign w:val="superscript"/>
              </w:rPr>
              <w:t>e</w:t>
            </w:r>
            <w:r>
              <w:rPr>
                <w:rFonts w:ascii="Verdana" w:hAnsi="Verdana"/>
                <w:sz w:val="18"/>
                <w:szCs w:val="18"/>
              </w:rPr>
              <w:t>OR adjusted for age and consulting rate CI= confidence interval; OR= odds ratio.</w:t>
            </w:r>
          </w:p>
        </w:tc>
      </w:tr>
    </w:tbl>
    <w:p w:rsidR="00963098" w:rsidRPr="00EA1E04" w:rsidRDefault="00963098" w:rsidP="0065472B">
      <w:pPr>
        <w:rPr>
          <w:sz w:val="24"/>
          <w:szCs w:val="24"/>
        </w:rPr>
        <w:sectPr w:rsidR="00963098" w:rsidRPr="00EA1E04" w:rsidSect="00AB4B90">
          <w:pgSz w:w="16838" w:h="11906" w:orient="landscape"/>
          <w:pgMar w:top="1440" w:right="1440" w:bottom="1440" w:left="1440" w:header="709" w:footer="709" w:gutter="0"/>
          <w:cols w:space="708"/>
          <w:docGrid w:linePitch="360"/>
        </w:sectPr>
      </w:pPr>
    </w:p>
    <w:p w:rsidR="007719C5" w:rsidRPr="00EA1E04" w:rsidRDefault="007719C5" w:rsidP="00BF4CDA">
      <w:pPr>
        <w:rPr>
          <w:b/>
          <w:sz w:val="24"/>
          <w:szCs w:val="24"/>
        </w:rPr>
      </w:pPr>
      <w:r w:rsidRPr="00EA1E04">
        <w:rPr>
          <w:b/>
          <w:sz w:val="24"/>
          <w:szCs w:val="24"/>
        </w:rPr>
        <w:lastRenderedPageBreak/>
        <w:t>Figures</w:t>
      </w:r>
    </w:p>
    <w:p w:rsidR="007719C5" w:rsidRPr="00EA1E04" w:rsidRDefault="007719C5" w:rsidP="007719C5">
      <w:pPr>
        <w:rPr>
          <w:b/>
        </w:rPr>
      </w:pPr>
      <w:r w:rsidRPr="00EA1E04">
        <w:rPr>
          <w:b/>
        </w:rPr>
        <w:t xml:space="preserve">Figure 1a: Yearly primary care consultation rates per person-year prior to alcoholic cirrhosis diagnosis                                                                                                                    </w:t>
      </w:r>
    </w:p>
    <w:p w:rsidR="007719C5" w:rsidRPr="00EA1E04" w:rsidRDefault="007719C5" w:rsidP="007719C5">
      <w:r w:rsidRPr="00EA1E04">
        <w:rPr>
          <w:noProof/>
          <w:lang w:eastAsia="zh-TW"/>
        </w:rPr>
        <mc:AlternateContent>
          <mc:Choice Requires="wps">
            <w:drawing>
              <wp:anchor distT="0" distB="0" distL="114300" distR="114300" simplePos="0" relativeHeight="251659264" behindDoc="0" locked="0" layoutInCell="1" allowOverlap="1" wp14:anchorId="3350DCD6" wp14:editId="4034C02B">
                <wp:simplePos x="0" y="0"/>
                <wp:positionH relativeFrom="column">
                  <wp:posOffset>-200025</wp:posOffset>
                </wp:positionH>
                <wp:positionV relativeFrom="paragraph">
                  <wp:posOffset>268605</wp:posOffset>
                </wp:positionV>
                <wp:extent cx="6238875" cy="4295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295775"/>
                        </a:xfrm>
                        <a:prstGeom prst="rect">
                          <a:avLst/>
                        </a:prstGeom>
                        <a:solidFill>
                          <a:srgbClr val="FFFFFF"/>
                        </a:solidFill>
                        <a:ln w="9525">
                          <a:solidFill>
                            <a:srgbClr val="000000"/>
                          </a:solidFill>
                          <a:miter lim="800000"/>
                          <a:headEnd/>
                          <a:tailEnd/>
                        </a:ln>
                      </wps:spPr>
                      <wps:txbx>
                        <w:txbxContent>
                          <w:p w:rsidR="00EA1E04" w:rsidRDefault="00EA1E04" w:rsidP="007719C5">
                            <w:r>
                              <w:rPr>
                                <w:noProof/>
                                <w:lang w:eastAsia="zh-TW"/>
                              </w:rPr>
                              <w:drawing>
                                <wp:inline distT="0" distB="0" distL="0" distR="0" wp14:anchorId="1C9E5731" wp14:editId="0183B8A3">
                                  <wp:extent cx="6029325" cy="41433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0DCD6" id="_x0000_t202" coordsize="21600,21600" o:spt="202" path="m,l,21600r21600,l21600,xe">
                <v:stroke joinstyle="miter"/>
                <v:path gradientshapeok="t" o:connecttype="rect"/>
              </v:shapetype>
              <v:shape id="Text Box 2" o:spid="_x0000_s1026" type="#_x0000_t202" style="position:absolute;margin-left:-15.75pt;margin-top:21.15pt;width:491.25pt;height:3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VSJAIAAEcEAAAOAAAAZHJzL2Uyb0RvYy54bWysU9uO2yAQfa/Uf0C8N068ySax4qy22aaq&#10;tL1Iu/0AjHGMCgwFEjv9+h1wNpveXqrygBhmOJw5M7O66bUiB+G8BFPSyWhMiTAcaml2Jf36uH2z&#10;oMQHZmqmwIiSHoWnN+vXr1adLUQOLahaOIIgxhedLWkbgi2yzPNWaOZHYIVBZwNOs4Cm22W1Yx2i&#10;a5Xl4/F11oGrrQMuvMfbu8FJ1wm/aQQPn5vGi0BUSZFbSLtLexX3bL1ixc4x20p+osH+gYVm0uCn&#10;Z6g7FhjZO/kblJbcgYcmjDjoDJpGcpFywGwm41+yeWiZFSkXFMfbs0z+/8HyT4cvjsi6pFfjOSWG&#10;aSzSo+gDeQs9yaM+nfUFhj1YDAw9XmOdU67e3gP/5omBTcvMTtw6B10rWI38JvFldvF0wPERpOo+&#10;Qo3fsH2ABNQ3TkfxUA6C6Fin47k2kQrHy+v8arGYzyjh6Jvmy9kcjfgHK56fW+fDewGaxENJHRY/&#10;wbPDvQ9D6HNI/M2DkvVWKpUMt6s2ypEDw0bZpnVC/ylMGdKVdDnLZ4MCf4UYp/UnCC0DdrySuqSL&#10;cxArom7vTI00WRGYVMMZs1PmJGTUblAx9FWPgVHdCuojSupg6GycRDy04H5Q0mFXl9R/3zMnKFEf&#10;DJZlOZlO4xgkYzqb52i4S0916WGGI1RJAyXDcRPS6ESOBm6xfI1Mwr4wOXHFbk2lOU1WHIdLO0W9&#10;zP/6CQAA//8DAFBLAwQUAAYACAAAACEAOvduXeEAAAAKAQAADwAAAGRycy9kb3ducmV2LnhtbEyP&#10;y07DMBBF90j8gzVIbFDrpOkjDZlUCAlEd9BWsHVjN4nwI9huGv6eYQXL0Rzde265GY1mg/KhcxYh&#10;nSbAlK2d7GyDcNg/TXJgIQorhXZWIXyrAJvq+qoUhXQX+6aGXWwYhdhQCIQ2xr7gPNStMiJMXa8s&#10;/U7OGxHp9A2XXlwo3Gg+S5IlN6Kz1NCKXj22qv7cnQ1CPn8ZPsI2e32vlye9jner4fnLI97ejA/3&#10;wKIa4x8Mv/qkDhU5Hd3ZysA0wiRLF4QizGcZMALWi5TGHRFWaZ4Dr0r+f0L1AwAA//8DAFBLAQIt&#10;ABQABgAIAAAAIQC2gziS/gAAAOEBAAATAAAAAAAAAAAAAAAAAAAAAABbQ29udGVudF9UeXBlc10u&#10;eG1sUEsBAi0AFAAGAAgAAAAhADj9If/WAAAAlAEAAAsAAAAAAAAAAAAAAAAALwEAAF9yZWxzLy5y&#10;ZWxzUEsBAi0AFAAGAAgAAAAhANdfBVIkAgAARwQAAA4AAAAAAAAAAAAAAAAALgIAAGRycy9lMm9E&#10;b2MueG1sUEsBAi0AFAAGAAgAAAAhADr3bl3hAAAACgEAAA8AAAAAAAAAAAAAAAAAfgQAAGRycy9k&#10;b3ducmV2LnhtbFBLBQYAAAAABAAEAPMAAACMBQAAAAA=&#10;">
                <v:textbox>
                  <w:txbxContent>
                    <w:p w:rsidR="00EA1E04" w:rsidRDefault="00EA1E04" w:rsidP="007719C5">
                      <w:r>
                        <w:rPr>
                          <w:noProof/>
                          <w:lang w:eastAsia="zh-TW"/>
                        </w:rPr>
                        <w:drawing>
                          <wp:inline distT="0" distB="0" distL="0" distR="0" wp14:anchorId="1C9E5731" wp14:editId="0183B8A3">
                            <wp:extent cx="6029325" cy="41433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mc:Fallback>
        </mc:AlternateContent>
      </w:r>
    </w:p>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 w:rsidR="007719C5" w:rsidRPr="00EA1E04" w:rsidRDefault="007719C5" w:rsidP="007719C5">
      <w:pPr>
        <w:rPr>
          <w:b/>
        </w:rPr>
      </w:pPr>
      <w:r w:rsidRPr="00EA1E04">
        <w:rPr>
          <w:b/>
        </w:rPr>
        <w:t xml:space="preserve">Figure 1b: Yearly hospital admission rates per 10 person-years prior to alcoholic cirrhosis diagnosis. </w:t>
      </w:r>
    </w:p>
    <w:p w:rsidR="007719C5" w:rsidRPr="00EA1E04" w:rsidRDefault="007719C5" w:rsidP="007719C5">
      <w:r w:rsidRPr="00EA1E04">
        <w:rPr>
          <w:noProof/>
          <w:lang w:eastAsia="zh-TW"/>
        </w:rPr>
        <mc:AlternateContent>
          <mc:Choice Requires="wps">
            <w:drawing>
              <wp:anchor distT="0" distB="0" distL="114300" distR="114300" simplePos="0" relativeHeight="251660288" behindDoc="0" locked="0" layoutInCell="1" allowOverlap="1" wp14:anchorId="0BE4DF0E" wp14:editId="664DD9FA">
                <wp:simplePos x="0" y="0"/>
                <wp:positionH relativeFrom="column">
                  <wp:posOffset>-133350</wp:posOffset>
                </wp:positionH>
                <wp:positionV relativeFrom="paragraph">
                  <wp:posOffset>268605</wp:posOffset>
                </wp:positionV>
                <wp:extent cx="6124575" cy="43338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333875"/>
                        </a:xfrm>
                        <a:prstGeom prst="rect">
                          <a:avLst/>
                        </a:prstGeom>
                        <a:solidFill>
                          <a:srgbClr val="FFFFFF"/>
                        </a:solidFill>
                        <a:ln w="9525">
                          <a:solidFill>
                            <a:srgbClr val="000000"/>
                          </a:solidFill>
                          <a:miter lim="800000"/>
                          <a:headEnd/>
                          <a:tailEnd/>
                        </a:ln>
                      </wps:spPr>
                      <wps:txbx>
                        <w:txbxContent>
                          <w:p w:rsidR="00EA1E04" w:rsidRDefault="00EA1E04" w:rsidP="007719C5">
                            <w:r>
                              <w:rPr>
                                <w:noProof/>
                                <w:lang w:eastAsia="zh-TW"/>
                              </w:rPr>
                              <w:drawing>
                                <wp:inline distT="0" distB="0" distL="0" distR="0" wp14:anchorId="4C90F048" wp14:editId="6F5EC90E">
                                  <wp:extent cx="5981700" cy="37338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4DF0E" id="_x0000_s1027" type="#_x0000_t202" style="position:absolute;margin-left:-10.5pt;margin-top:21.15pt;width:482.25pt;height:3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XzJQIAAEwEAAAOAAAAZHJzL2Uyb0RvYy54bWysVNtu2zAMfR+wfxD0vjhxki414hRdugwD&#10;ugvQ7gMYWY6FSaInKbGzrx8lp2l2exnmB0EUqSPyHNLLm95odpDOK7Qln4zGnEkrsFJ2V/Ivj5tX&#10;C858AFuBRitLfpSe36xevlh2bSFzbFBX0jECsb7o2pI3IbRFlnnRSAN+hK205KzRGQhkul1WOegI&#10;3egsH4+vsg5d1ToU0ns6vRucfJXw61qK8KmuvQxMl5xyC2l1ad3GNVstodg5aBslTmnAP2RhQFl6&#10;9Ax1BwHY3qnfoIwSDj3WYSTQZFjXSshUA1UzGf9SzUMDrUy1EDm+PdPk/x+s+Hj47JiqSp5zZsGQ&#10;RI+yD+wN9iyP7HStLyjooaWw0NMxqZwq9e09iq+eWVw3YHfy1jnsGgkVZTeJN7OLqwOOjyDb7gNW&#10;9AzsAyagvnYmUkdkMEInlY5nZWIqgg6vJvls/nrOmSDfbDqdLsiIb0DxdL11PryTaFjclNyR9Ake&#10;Dvc+DKFPIfE1j1pVG6V1Mtxuu9aOHYDaZJO+E/pPYdqyruTX83w+MPBXiHH6/gRhVKB+18qUfHEO&#10;giLy9tZWlCYUAZQe9lSdticiI3cDi6Hf9kmxxHIkeYvVkZh1OLQ3jSNtGnTfOeuotUvuv+3BSc70&#10;e0vqXE9mszgLySBaczLcpWd76QErCKrkgbNhuw5pfmKqFm9JxVolfp8zOaVMLZsUOo1XnIlLO0U9&#10;/wRWPwAAAP//AwBQSwMEFAAGAAgAAAAhAMGYbyHhAAAACgEAAA8AAABkcnMvZG93bnJldi54bWxM&#10;j8FOwzAQRO9I/IO1SFxQ6zQJbRriVAgJBDcoVbm68TaJsNfBdtPw95gTHEczmnlTbSaj2YjO95YE&#10;LOYJMKTGqp5aAbv3x1kBzAdJSmpLKOAbPWzqy4tKlsqe6Q3HbWhZLCFfSgFdCEPJuW86NNLP7YAU&#10;vaN1RoYoXcuVk+dYbjRPk2TJjewpLnRywIcOm8/tyQgo8ufxw79kr/tmedTrcLMan76cENdX0/0d&#10;sIBT+AvDL35EhzoyHeyJlGdawCxdxC9BQJ5mwGJgnWe3wA4CVmleAK8r/v9C/QMAAP//AwBQSwEC&#10;LQAUAAYACAAAACEAtoM4kv4AAADhAQAAEwAAAAAAAAAAAAAAAAAAAAAAW0NvbnRlbnRfVHlwZXNd&#10;LnhtbFBLAQItABQABgAIAAAAIQA4/SH/1gAAAJQBAAALAAAAAAAAAAAAAAAAAC8BAABfcmVscy8u&#10;cmVsc1BLAQItABQABgAIAAAAIQDf7mXzJQIAAEwEAAAOAAAAAAAAAAAAAAAAAC4CAABkcnMvZTJv&#10;RG9jLnhtbFBLAQItABQABgAIAAAAIQDBmG8h4QAAAAoBAAAPAAAAAAAAAAAAAAAAAH8EAABkcnMv&#10;ZG93bnJldi54bWxQSwUGAAAAAAQABADzAAAAjQUAAAAA&#10;">
                <v:textbox>
                  <w:txbxContent>
                    <w:p w:rsidR="00EA1E04" w:rsidRDefault="00EA1E04" w:rsidP="007719C5">
                      <w:r>
                        <w:rPr>
                          <w:noProof/>
                          <w:lang w:eastAsia="zh-TW"/>
                        </w:rPr>
                        <w:drawing>
                          <wp:inline distT="0" distB="0" distL="0" distR="0" wp14:anchorId="4C90F048" wp14:editId="6F5EC90E">
                            <wp:extent cx="5981700" cy="37338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r w:rsidRPr="00EA1E04">
        <w:t xml:space="preserve">                                                                                                                          </w:t>
      </w:r>
    </w:p>
    <w:p w:rsidR="007719C5" w:rsidRPr="00EA1E04" w:rsidRDefault="007719C5" w:rsidP="007719C5"/>
    <w:p w:rsidR="007719C5" w:rsidRPr="00EA1E04" w:rsidRDefault="007719C5" w:rsidP="007719C5">
      <w:r w:rsidRPr="00EA1E04">
        <w:rPr>
          <w:noProof/>
          <w:lang w:eastAsia="zh-TW"/>
        </w:rPr>
        <mc:AlternateContent>
          <mc:Choice Requires="wps">
            <w:drawing>
              <wp:anchor distT="0" distB="0" distL="114300" distR="114300" simplePos="0" relativeHeight="251661312" behindDoc="0" locked="0" layoutInCell="1" allowOverlap="1" wp14:anchorId="5AE28887" wp14:editId="3F9C93E3">
                <wp:simplePos x="0" y="0"/>
                <wp:positionH relativeFrom="column">
                  <wp:posOffset>2073910</wp:posOffset>
                </wp:positionH>
                <wp:positionV relativeFrom="paragraph">
                  <wp:posOffset>3578585</wp:posOffset>
                </wp:positionV>
                <wp:extent cx="1590675" cy="2952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590675" cy="295275"/>
                        </a:xfrm>
                        <a:prstGeom prst="rect">
                          <a:avLst/>
                        </a:prstGeom>
                        <a:solidFill>
                          <a:sysClr val="window" lastClr="FFFFFF"/>
                        </a:solidFill>
                        <a:ln w="6350">
                          <a:noFill/>
                        </a:ln>
                        <a:effectLst/>
                      </wps:spPr>
                      <wps:txbx>
                        <w:txbxContent>
                          <w:p w:rsidR="00EA1E04" w:rsidRPr="00BB7AB6" w:rsidRDefault="00EA1E04" w:rsidP="007719C5">
                            <w:pPr>
                              <w:rPr>
                                <w:b/>
                                <w:sz w:val="20"/>
                                <w:szCs w:val="20"/>
                              </w:rPr>
                            </w:pPr>
                            <w:r w:rsidRPr="00BB7AB6">
                              <w:rPr>
                                <w:b/>
                                <w:sz w:val="20"/>
                                <w:szCs w:val="20"/>
                              </w:rPr>
                              <w:t xml:space="preserve">Time to </w:t>
                            </w:r>
                            <w:r>
                              <w:rPr>
                                <w:b/>
                                <w:sz w:val="20"/>
                                <w:szCs w:val="20"/>
                              </w:rPr>
                              <w:t xml:space="preserve">diagnosis </w:t>
                            </w:r>
                            <w:r w:rsidRPr="00BB7AB6">
                              <w:rPr>
                                <w:b/>
                                <w:sz w:val="20"/>
                                <w:szCs w:val="20"/>
                              </w:rPr>
                              <w:t>(years)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28887" id="Text Box 6" o:spid="_x0000_s1028" type="#_x0000_t202" style="position:absolute;margin-left:163.3pt;margin-top:281.8pt;width:125.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2wKUgIAAJ8EAAAOAAAAZHJzL2Uyb0RvYy54bWysVE1vGjEQvVfqf7B8Lws0kASxRJSIqhJK&#10;IpEqZ+P1hpW8Htc27NJf32cvEJr2VJWDmS/PeN682eldW2u2V85XZHI+6PU5U0ZSUZnXnH9/Xn66&#10;4cwHYQqhyaicH5Tnd7OPH6aNnaghbUkXyjEkMX7S2JxvQ7CTLPNyq2rhe2SVgbMkV4sA1b1mhRMN&#10;stc6G/b746whV1hHUnkP633n5LOUvyyVDI9l6VVgOud4W0inS+cmntlsKiavTthtJY/PEP/wilpU&#10;BkXPqe5FEGznqj9S1ZV05KkMPUl1RmVZSZV6QDeD/rtu1lthVeoF4Hh7hsn/v7TyYf/kWFXkfMyZ&#10;ETVG9KzawL5Qy8YRncb6CYLWFmGhhRlTPtk9jLHptnR1/Ec7DH7gfDhjG5PJeGl02x9fjziT8A1v&#10;R0PISJ+93bbOh6+KahaFnDvMLkEq9isfutBTSCzmSVfFstI6KQe/0I7tBcYMdhTUcKaFDzDmfJl+&#10;x2q/XdOGNej886ifKhmK+bpS2sS8KlHoWD9C0bUcpdBu2gTc8ATHhooDUHLUscxbuazQygrveBIO&#10;tAIwWJXwiKPUhMp0lDjbkvv5N3uMx7Th5awBTXPuf+yEU2jvmwEPbgdXV5HXSbkaXQ+huEvP5tJj&#10;dvWCANEAS2llEmN80CexdFS/YKPmsSpcwkjUznk4iYvQLQ82Uqr5PAWByVaElVlbGVNH3OKgntsX&#10;4exxmgE8eKATocXk3VC72HjT0HwXqKzSxCPOHapgSlSwBYkzx42Na3app6i378rsFwAAAP//AwBQ&#10;SwMEFAAGAAgAAAAhABFBfuTjAAAACwEAAA8AAABkcnMvZG93bnJldi54bWxMj1FLwzAQx98Fv0M4&#10;wTeXdmOZ1KZDRNGBZVoFX7PmbKtNUpJsrfv0O5/07Y778b/fP19PpmcH9KFzVkI6S4ChrZ3ubCPh&#10;/e3h6hpYiMpq1TuLEn4wwLo4P8tVpt1oX/FQxYZRiA2ZktDGOGSch7pFo8LMDWjp9um8UZFW33Dt&#10;1UjhpufzJBHcqM7Sh1YNeNdi/V3tjYSPsXr0283m62V4Ko/bY1U+430p5eXFdHsDLOIU/2D41Sd1&#10;KMhp5/ZWB9ZLWMyFIFTCUixoIGK5WqXAdhJEmqTAi5z/71CcAAAA//8DAFBLAQItABQABgAIAAAA&#10;IQC2gziS/gAAAOEBAAATAAAAAAAAAAAAAAAAAAAAAABbQ29udGVudF9UeXBlc10ueG1sUEsBAi0A&#10;FAAGAAgAAAAhADj9If/WAAAAlAEAAAsAAAAAAAAAAAAAAAAALwEAAF9yZWxzLy5yZWxzUEsBAi0A&#10;FAAGAAgAAAAhAFHfbApSAgAAnwQAAA4AAAAAAAAAAAAAAAAALgIAAGRycy9lMm9Eb2MueG1sUEsB&#10;Ai0AFAAGAAgAAAAhABFBfuTjAAAACwEAAA8AAAAAAAAAAAAAAAAArAQAAGRycy9kb3ducmV2Lnht&#10;bFBLBQYAAAAABAAEAPMAAAC8BQAAAAA=&#10;" fillcolor="window" stroked="f" strokeweight=".5pt">
                <v:textbox>
                  <w:txbxContent>
                    <w:p w:rsidR="00EA1E04" w:rsidRPr="00BB7AB6" w:rsidRDefault="00EA1E04" w:rsidP="007719C5">
                      <w:pPr>
                        <w:rPr>
                          <w:b/>
                          <w:sz w:val="20"/>
                          <w:szCs w:val="20"/>
                        </w:rPr>
                      </w:pPr>
                      <w:r w:rsidRPr="00BB7AB6">
                        <w:rPr>
                          <w:b/>
                          <w:sz w:val="20"/>
                          <w:szCs w:val="20"/>
                        </w:rPr>
                        <w:t xml:space="preserve">Time to </w:t>
                      </w:r>
                      <w:r>
                        <w:rPr>
                          <w:b/>
                          <w:sz w:val="20"/>
                          <w:szCs w:val="20"/>
                        </w:rPr>
                        <w:t xml:space="preserve">diagnosis </w:t>
                      </w:r>
                      <w:r w:rsidRPr="00BB7AB6">
                        <w:rPr>
                          <w:b/>
                          <w:sz w:val="20"/>
                          <w:szCs w:val="20"/>
                        </w:rPr>
                        <w:t>(years)</w:t>
                      </w:r>
                    </w:p>
                  </w:txbxContent>
                </v:textbox>
              </v:shape>
            </w:pict>
          </mc:Fallback>
        </mc:AlternateContent>
      </w:r>
    </w:p>
    <w:p w:rsidR="007719C5" w:rsidRPr="00EA1E04" w:rsidRDefault="007719C5" w:rsidP="00BF4CDA">
      <w:pPr>
        <w:rPr>
          <w:b/>
          <w:sz w:val="24"/>
          <w:szCs w:val="24"/>
        </w:rPr>
      </w:pPr>
    </w:p>
    <w:p w:rsidR="007719C5" w:rsidRPr="00EA1E04" w:rsidRDefault="007719C5">
      <w:pPr>
        <w:rPr>
          <w:sz w:val="24"/>
          <w:szCs w:val="24"/>
        </w:rPr>
      </w:pPr>
      <w:r w:rsidRPr="00EA1E04">
        <w:rPr>
          <w:sz w:val="24"/>
          <w:szCs w:val="24"/>
        </w:rPr>
        <w:br w:type="page"/>
      </w:r>
    </w:p>
    <w:p w:rsidR="00BF4CDA" w:rsidRPr="00EA1E04" w:rsidRDefault="00BF4CDA" w:rsidP="00BF4CDA">
      <w:pPr>
        <w:rPr>
          <w:sz w:val="24"/>
          <w:szCs w:val="24"/>
        </w:rPr>
      </w:pPr>
      <w:r w:rsidRPr="00EA1E04">
        <w:rPr>
          <w:sz w:val="24"/>
          <w:szCs w:val="24"/>
        </w:rPr>
        <w:lastRenderedPageBreak/>
        <w:t xml:space="preserve">The Corresponding Author has the right to grant on behalf of all authors and does grant on behalf of all authors, a worldwide licence to the Publishers and its licensees in perpetuity, in all forms, formats and media (whether known now or created in the future), to i) publish, reproduce, distribute, display and store the Contribution, ii) translate the Contribution into other languages, create adaptations, reprints, include within collections and create summaries, extracts and/or, abstracts of the Contribution, iii) create any other derivative work(s) based on the Contribution, iv) to exploit all subsidiary rights in the Contribution, v) the inclusion of electronic links from the Contribution to third party material where-ever it may be located; and, vi) licence any third party to do any or all of the above. </w:t>
      </w:r>
    </w:p>
    <w:p w:rsidR="00E275A8" w:rsidRPr="00EA1E04" w:rsidRDefault="009408F0" w:rsidP="009408F0">
      <w:pPr>
        <w:rPr>
          <w:b/>
          <w:sz w:val="24"/>
          <w:szCs w:val="24"/>
        </w:rPr>
      </w:pPr>
      <w:r w:rsidRPr="00EA1E04">
        <w:rPr>
          <w:b/>
          <w:sz w:val="24"/>
          <w:szCs w:val="24"/>
        </w:rPr>
        <w:t>Author contributions</w:t>
      </w:r>
      <w:r w:rsidR="00E275A8" w:rsidRPr="00EA1E04">
        <w:rPr>
          <w:b/>
          <w:sz w:val="24"/>
          <w:szCs w:val="24"/>
        </w:rPr>
        <w:t xml:space="preserve">: </w:t>
      </w:r>
      <w:r w:rsidRPr="00EA1E04">
        <w:rPr>
          <w:sz w:val="24"/>
          <w:szCs w:val="24"/>
        </w:rPr>
        <w:t>KMF and JW conceived the study idea. HEO carried out the data management and analysis and wrote the first draft of the manuscript. All authors (HEO, EO, JW AND KMF) were involved in the interpretation of the data, contributed towards to revision of the manuscript and approved the final draft. JW had the responsibility of providing the data and HEO had full access to the data.</w:t>
      </w:r>
    </w:p>
    <w:p w:rsidR="00BF4CDA" w:rsidRPr="00EA1E04" w:rsidRDefault="009408F0" w:rsidP="00BF4CDA">
      <w:pPr>
        <w:rPr>
          <w:sz w:val="24"/>
          <w:szCs w:val="24"/>
        </w:rPr>
      </w:pPr>
      <w:r w:rsidRPr="00EA1E04">
        <w:rPr>
          <w:b/>
          <w:sz w:val="24"/>
          <w:szCs w:val="24"/>
        </w:rPr>
        <w:t>Funding:</w:t>
      </w:r>
      <w:r w:rsidRPr="00EA1E04">
        <w:rPr>
          <w:sz w:val="24"/>
          <w:szCs w:val="24"/>
        </w:rPr>
        <w:t xml:space="preserve"> HEO is funded by a scholarship awarded by the University of Nottingham. JW and the UKCTAS also contribute to HEO’s funding.</w:t>
      </w:r>
    </w:p>
    <w:p w:rsidR="00BF4CDA" w:rsidRPr="00EA1E04" w:rsidRDefault="00BF4CDA" w:rsidP="00BF4CDA">
      <w:pPr>
        <w:rPr>
          <w:sz w:val="24"/>
          <w:szCs w:val="24"/>
        </w:rPr>
      </w:pPr>
      <w:r w:rsidRPr="00EA1E04">
        <w:rPr>
          <w:b/>
          <w:sz w:val="24"/>
          <w:szCs w:val="24"/>
        </w:rPr>
        <w:t>Competing interest declaration</w:t>
      </w:r>
      <w:r w:rsidR="00E275A8" w:rsidRPr="00EA1E04">
        <w:rPr>
          <w:b/>
          <w:sz w:val="24"/>
          <w:szCs w:val="24"/>
        </w:rPr>
        <w:t xml:space="preserve">: </w:t>
      </w:r>
      <w:r w:rsidR="009408F0" w:rsidRPr="00EA1E04">
        <w:rPr>
          <w:sz w:val="24"/>
          <w:szCs w:val="24"/>
        </w:rPr>
        <w:t xml:space="preserve">All authors have completed the ICMJE uniform disclosure form at </w:t>
      </w:r>
      <w:hyperlink r:id="rId12" w:tgtFrame="pmc_ext" w:history="1">
        <w:r w:rsidR="009408F0" w:rsidRPr="00EA1E04">
          <w:rPr>
            <w:rStyle w:val="Hyperlink"/>
            <w:color w:val="auto"/>
            <w:sz w:val="24"/>
            <w:szCs w:val="24"/>
          </w:rPr>
          <w:t>www.icmje.org/coi_disclosure.pdf</w:t>
        </w:r>
      </w:hyperlink>
      <w:r w:rsidR="009408F0" w:rsidRPr="00EA1E04">
        <w:rPr>
          <w:sz w:val="24"/>
          <w:szCs w:val="24"/>
        </w:rPr>
        <w:t xml:space="preserve"> and have no competing interests to declare. </w:t>
      </w:r>
    </w:p>
    <w:p w:rsidR="00E275A8" w:rsidRPr="00EA1E04" w:rsidRDefault="00E275A8" w:rsidP="00BF4CDA">
      <w:pPr>
        <w:rPr>
          <w:b/>
          <w:sz w:val="24"/>
          <w:szCs w:val="24"/>
        </w:rPr>
      </w:pPr>
      <w:r w:rsidRPr="00EA1E04">
        <w:rPr>
          <w:b/>
          <w:sz w:val="24"/>
          <w:szCs w:val="24"/>
        </w:rPr>
        <w:t>Ethical approval:</w:t>
      </w:r>
      <w:r w:rsidRPr="00EA1E04">
        <w:rPr>
          <w:bCs/>
          <w:sz w:val="24"/>
          <w:szCs w:val="24"/>
        </w:rPr>
        <w:t xml:space="preserve"> Ethical approval for this study was granted from the Independent Scientific Advisory Committee of the CPRD (09_065RA_3).</w:t>
      </w:r>
      <w:r w:rsidRPr="00EA1E04">
        <w:rPr>
          <w:sz w:val="24"/>
          <w:szCs w:val="24"/>
        </w:rPr>
        <w:t xml:space="preserve"> </w:t>
      </w:r>
    </w:p>
    <w:p w:rsidR="009408F0" w:rsidRPr="00EA1E04" w:rsidRDefault="00E275A8" w:rsidP="00BF4CDA">
      <w:pPr>
        <w:rPr>
          <w:b/>
          <w:sz w:val="24"/>
          <w:szCs w:val="24"/>
        </w:rPr>
      </w:pPr>
      <w:r w:rsidRPr="00EA1E04">
        <w:rPr>
          <w:b/>
          <w:sz w:val="24"/>
          <w:szCs w:val="24"/>
        </w:rPr>
        <w:t xml:space="preserve">Declaration of transparency: </w:t>
      </w:r>
      <w:r w:rsidRPr="00EA1E04">
        <w:rPr>
          <w:sz w:val="24"/>
          <w:szCs w:val="24"/>
        </w:rPr>
        <w:t>HEO and KMF affirm that the manuscript is an honest, accurate, and transparent account of the study being reported; that no important aspects of the study have been omitted; and that any discrepancies from the study as planned (and, if relevant, registered) have been explained.</w:t>
      </w:r>
    </w:p>
    <w:p w:rsidR="00E275A8" w:rsidRPr="00EA1E04" w:rsidRDefault="00E275A8" w:rsidP="00BF4CDA">
      <w:pPr>
        <w:rPr>
          <w:b/>
          <w:sz w:val="24"/>
          <w:szCs w:val="24"/>
        </w:rPr>
      </w:pPr>
      <w:r w:rsidRPr="00EA1E04">
        <w:rPr>
          <w:b/>
          <w:sz w:val="24"/>
          <w:szCs w:val="24"/>
        </w:rPr>
        <w:t xml:space="preserve">Data sharing: </w:t>
      </w:r>
      <w:r w:rsidRPr="00EA1E04">
        <w:rPr>
          <w:sz w:val="24"/>
          <w:szCs w:val="24"/>
        </w:rPr>
        <w:t>no additional data available</w:t>
      </w:r>
    </w:p>
    <w:p w:rsidR="00BF4CDA" w:rsidRPr="00EA1E04" w:rsidRDefault="00BF4CDA" w:rsidP="00BF4CDA">
      <w:pPr>
        <w:rPr>
          <w:b/>
          <w:sz w:val="24"/>
          <w:szCs w:val="24"/>
        </w:rPr>
      </w:pPr>
      <w:r w:rsidRPr="00EA1E04">
        <w:rPr>
          <w:b/>
          <w:sz w:val="24"/>
          <w:szCs w:val="24"/>
        </w:rPr>
        <w:br w:type="page"/>
      </w:r>
    </w:p>
    <w:p w:rsidR="009742F0" w:rsidRPr="00EA1E04" w:rsidRDefault="009742F0" w:rsidP="009742F0">
      <w:pPr>
        <w:pStyle w:val="Bibliography"/>
        <w:jc w:val="both"/>
        <w:rPr>
          <w:b/>
          <w:sz w:val="24"/>
          <w:szCs w:val="24"/>
        </w:rPr>
      </w:pPr>
      <w:r w:rsidRPr="00EA1E04">
        <w:rPr>
          <w:b/>
          <w:sz w:val="24"/>
          <w:szCs w:val="24"/>
        </w:rPr>
        <w:lastRenderedPageBreak/>
        <w:t>References</w:t>
      </w:r>
    </w:p>
    <w:p w:rsidR="000613A0" w:rsidRPr="00EA1E04" w:rsidRDefault="009742F0" w:rsidP="000613A0">
      <w:pPr>
        <w:pStyle w:val="Bibliography"/>
        <w:rPr>
          <w:rFonts w:ascii="Calibri" w:hAnsi="Calibri"/>
          <w:sz w:val="24"/>
        </w:rPr>
      </w:pPr>
      <w:r w:rsidRPr="00EA1E04">
        <w:fldChar w:fldCharType="begin"/>
      </w:r>
      <w:r w:rsidR="006D03D4" w:rsidRPr="00EA1E04">
        <w:instrText xml:space="preserve"> ADDIN ZOTERO_BIBL {"custom":[]} CSL_BIBLIOGRAPHY </w:instrText>
      </w:r>
      <w:r w:rsidRPr="00EA1E04">
        <w:fldChar w:fldCharType="separate"/>
      </w:r>
      <w:r w:rsidR="000613A0" w:rsidRPr="00EA1E04">
        <w:rPr>
          <w:rFonts w:ascii="Calibri" w:hAnsi="Calibri"/>
          <w:sz w:val="24"/>
        </w:rPr>
        <w:t xml:space="preserve">1. </w:t>
      </w:r>
      <w:r w:rsidR="000613A0" w:rsidRPr="00EA1E04">
        <w:rPr>
          <w:rFonts w:ascii="Calibri" w:hAnsi="Calibri"/>
          <w:sz w:val="24"/>
        </w:rPr>
        <w:tab/>
        <w:t xml:space="preserve">World Health Organisation. Global status report on alcohol and health. 2011. </w:t>
      </w:r>
    </w:p>
    <w:p w:rsidR="000613A0" w:rsidRPr="00EA1E04" w:rsidRDefault="000613A0" w:rsidP="000613A0">
      <w:pPr>
        <w:pStyle w:val="Bibliography"/>
        <w:rPr>
          <w:rFonts w:ascii="Calibri" w:hAnsi="Calibri"/>
          <w:sz w:val="24"/>
        </w:rPr>
      </w:pPr>
      <w:r w:rsidRPr="00EA1E04">
        <w:rPr>
          <w:rFonts w:ascii="Calibri" w:hAnsi="Calibri"/>
          <w:sz w:val="24"/>
        </w:rPr>
        <w:t xml:space="preserve">2. </w:t>
      </w:r>
      <w:r w:rsidRPr="00EA1E04">
        <w:rPr>
          <w:rFonts w:ascii="Calibri" w:hAnsi="Calibri"/>
          <w:sz w:val="24"/>
        </w:rPr>
        <w:tab/>
        <w:t>Rehm J, Samokhvalov AV, Shield KD. Global burden of alcoh</w:t>
      </w:r>
      <w:r w:rsidR="004C03F7" w:rsidRPr="00EA1E04">
        <w:rPr>
          <w:rFonts w:ascii="Calibri" w:hAnsi="Calibri"/>
          <w:sz w:val="24"/>
        </w:rPr>
        <w:t>olic liver diseases. J Hepatol. 2013; 59(1):160-8</w:t>
      </w:r>
    </w:p>
    <w:p w:rsidR="000613A0" w:rsidRPr="00EA1E04" w:rsidRDefault="000613A0" w:rsidP="000613A0">
      <w:pPr>
        <w:pStyle w:val="Bibliography"/>
        <w:rPr>
          <w:rFonts w:ascii="Calibri" w:hAnsi="Calibri"/>
          <w:sz w:val="24"/>
        </w:rPr>
      </w:pPr>
      <w:r w:rsidRPr="00EA1E04">
        <w:rPr>
          <w:rFonts w:ascii="Calibri" w:hAnsi="Calibri"/>
          <w:sz w:val="24"/>
        </w:rPr>
        <w:t xml:space="preserve">3. </w:t>
      </w:r>
      <w:r w:rsidRPr="00EA1E04">
        <w:rPr>
          <w:rFonts w:ascii="Calibri" w:hAnsi="Calibri"/>
          <w:sz w:val="24"/>
        </w:rPr>
        <w:tab/>
        <w:t xml:space="preserve">Fleming KM, Aithal GP, Solaymani-Dodaran M, Card TR, West J. Incidence and prevalence of cirrhosis in the United Kingdom, 1992–2001: A general population-based study. J Hepatol. 11;49(5):732–8. </w:t>
      </w:r>
    </w:p>
    <w:p w:rsidR="000613A0" w:rsidRPr="00EA1E04" w:rsidRDefault="000613A0" w:rsidP="000613A0">
      <w:pPr>
        <w:pStyle w:val="Bibliography"/>
        <w:rPr>
          <w:rFonts w:ascii="Calibri" w:hAnsi="Calibri"/>
          <w:sz w:val="24"/>
        </w:rPr>
      </w:pPr>
      <w:r w:rsidRPr="00EA1E04">
        <w:rPr>
          <w:rFonts w:ascii="Calibri" w:hAnsi="Calibri"/>
          <w:sz w:val="24"/>
        </w:rPr>
        <w:t xml:space="preserve">4. </w:t>
      </w:r>
      <w:r w:rsidRPr="00EA1E04">
        <w:rPr>
          <w:rFonts w:ascii="Calibri" w:hAnsi="Calibri"/>
          <w:sz w:val="24"/>
        </w:rPr>
        <w:tab/>
        <w:t xml:space="preserve">Leon DA, McCambridge J. Liver cirrhosis mortality rates in Britain from 1950 to 2002: an analysis of routine data. The Lancet. 7;367(9504):52–6. </w:t>
      </w:r>
    </w:p>
    <w:p w:rsidR="000613A0" w:rsidRPr="00EA1E04" w:rsidRDefault="000613A0" w:rsidP="000613A0">
      <w:pPr>
        <w:pStyle w:val="Bibliography"/>
        <w:rPr>
          <w:rFonts w:ascii="Calibri" w:hAnsi="Calibri"/>
          <w:sz w:val="24"/>
        </w:rPr>
      </w:pPr>
      <w:r w:rsidRPr="00EA1E04">
        <w:rPr>
          <w:rFonts w:ascii="Calibri" w:hAnsi="Calibri"/>
          <w:sz w:val="24"/>
        </w:rPr>
        <w:t xml:space="preserve">5. </w:t>
      </w:r>
      <w:r w:rsidRPr="00EA1E04">
        <w:rPr>
          <w:rFonts w:ascii="Calibri" w:hAnsi="Calibri"/>
          <w:sz w:val="24"/>
        </w:rPr>
        <w:tab/>
        <w:t>Office for National Statistics. Statistics</w:t>
      </w:r>
      <w:r w:rsidR="004C03F7" w:rsidRPr="00EA1E04">
        <w:rPr>
          <w:rFonts w:ascii="Calibri" w:hAnsi="Calibri"/>
          <w:sz w:val="24"/>
        </w:rPr>
        <w:t xml:space="preserve"> on Alcohol: England, 2013</w:t>
      </w:r>
      <w:r w:rsidRPr="00EA1E04">
        <w:rPr>
          <w:rFonts w:ascii="Calibri" w:hAnsi="Calibri"/>
          <w:sz w:val="24"/>
        </w:rPr>
        <w:t xml:space="preserve">. </w:t>
      </w:r>
    </w:p>
    <w:p w:rsidR="000613A0" w:rsidRPr="00EA1E04" w:rsidRDefault="000613A0" w:rsidP="000613A0">
      <w:pPr>
        <w:pStyle w:val="Bibliography"/>
        <w:rPr>
          <w:rFonts w:ascii="Calibri" w:hAnsi="Calibri"/>
          <w:sz w:val="24"/>
        </w:rPr>
      </w:pPr>
      <w:r w:rsidRPr="00EA1E04">
        <w:rPr>
          <w:rFonts w:ascii="Calibri" w:hAnsi="Calibri"/>
          <w:sz w:val="24"/>
        </w:rPr>
        <w:t xml:space="preserve">6. </w:t>
      </w:r>
      <w:r w:rsidRPr="00EA1E04">
        <w:rPr>
          <w:rFonts w:ascii="Calibri" w:hAnsi="Calibri"/>
          <w:sz w:val="24"/>
        </w:rPr>
        <w:tab/>
        <w:t>Williams R, Aspinall R, Bellis M, Camps-Walsh G, Cramp M, Dhawan A, et al. Addressing liver disease in the UK: a blueprint for attaining excellence in health care and reducing premature mortality from lifestyle issues of excess consumption of alcohol, obesity, and viral he</w:t>
      </w:r>
      <w:r w:rsidR="004C03F7" w:rsidRPr="00EA1E04">
        <w:rPr>
          <w:rFonts w:ascii="Calibri" w:hAnsi="Calibri"/>
          <w:sz w:val="24"/>
        </w:rPr>
        <w:t>patitis. The Lancet. 2014</w:t>
      </w:r>
      <w:r w:rsidRPr="00EA1E04">
        <w:rPr>
          <w:rFonts w:ascii="Calibri" w:hAnsi="Calibri"/>
          <w:sz w:val="24"/>
        </w:rPr>
        <w:t xml:space="preserve">;384(9958):1953–97. </w:t>
      </w:r>
    </w:p>
    <w:p w:rsidR="000613A0" w:rsidRPr="00EA1E04" w:rsidRDefault="000613A0" w:rsidP="000613A0">
      <w:pPr>
        <w:pStyle w:val="Bibliography"/>
        <w:rPr>
          <w:rFonts w:ascii="Calibri" w:hAnsi="Calibri"/>
          <w:sz w:val="24"/>
        </w:rPr>
      </w:pPr>
      <w:r w:rsidRPr="00EA1E04">
        <w:rPr>
          <w:rFonts w:ascii="Calibri" w:hAnsi="Calibri"/>
          <w:sz w:val="24"/>
        </w:rPr>
        <w:t xml:space="preserve">7. </w:t>
      </w:r>
      <w:r w:rsidRPr="00EA1E04">
        <w:rPr>
          <w:rFonts w:ascii="Calibri" w:hAnsi="Calibri"/>
          <w:sz w:val="24"/>
        </w:rPr>
        <w:tab/>
        <w:t xml:space="preserve">Karlsson T, Makela P, Osterberg E, Tigerstedt C. A new environment: Trends in alcohol consumption, harms and policy: Finland 1990-2010. Nord Stud Alcohol Drugs. 2010;27(5):497–513. </w:t>
      </w:r>
    </w:p>
    <w:p w:rsidR="000613A0" w:rsidRPr="00EA1E04" w:rsidRDefault="000613A0" w:rsidP="000613A0">
      <w:pPr>
        <w:pStyle w:val="Bibliography"/>
        <w:rPr>
          <w:rFonts w:ascii="Calibri" w:hAnsi="Calibri"/>
          <w:sz w:val="24"/>
        </w:rPr>
      </w:pPr>
      <w:r w:rsidRPr="00EA1E04">
        <w:rPr>
          <w:rFonts w:ascii="Calibri" w:hAnsi="Calibri"/>
          <w:sz w:val="24"/>
        </w:rPr>
        <w:t xml:space="preserve">8. </w:t>
      </w:r>
      <w:r w:rsidRPr="00EA1E04">
        <w:rPr>
          <w:rFonts w:ascii="Calibri" w:hAnsi="Calibri"/>
          <w:sz w:val="24"/>
        </w:rPr>
        <w:tab/>
        <w:t xml:space="preserve">NICE. Alcohol use disorders: preventing the development of hazardous and harmful drinking. UK; 2010. </w:t>
      </w:r>
    </w:p>
    <w:p w:rsidR="000613A0" w:rsidRPr="00EA1E04" w:rsidRDefault="000613A0" w:rsidP="000613A0">
      <w:pPr>
        <w:pStyle w:val="Bibliography"/>
        <w:rPr>
          <w:rFonts w:ascii="Calibri" w:hAnsi="Calibri"/>
          <w:sz w:val="24"/>
        </w:rPr>
      </w:pPr>
      <w:r w:rsidRPr="00EA1E04">
        <w:rPr>
          <w:rFonts w:ascii="Calibri" w:hAnsi="Calibri"/>
          <w:sz w:val="24"/>
        </w:rPr>
        <w:t xml:space="preserve">9. </w:t>
      </w:r>
      <w:r w:rsidRPr="00EA1E04">
        <w:rPr>
          <w:rFonts w:ascii="Calibri" w:hAnsi="Calibri"/>
          <w:sz w:val="24"/>
        </w:rPr>
        <w:tab/>
        <w:t xml:space="preserve">Gilmore I, Sheron N. Reducing the harms of alcohol in the UK. BMJ. 2007 Dec 20;335(7633):1271–2. </w:t>
      </w:r>
    </w:p>
    <w:p w:rsidR="000613A0" w:rsidRPr="00EA1E04" w:rsidRDefault="000613A0" w:rsidP="000613A0">
      <w:pPr>
        <w:pStyle w:val="Bibliography"/>
        <w:rPr>
          <w:rFonts w:ascii="Calibri" w:hAnsi="Calibri"/>
          <w:sz w:val="24"/>
        </w:rPr>
      </w:pPr>
      <w:r w:rsidRPr="00EA1E04">
        <w:rPr>
          <w:rFonts w:ascii="Calibri" w:hAnsi="Calibri"/>
          <w:sz w:val="24"/>
        </w:rPr>
        <w:t xml:space="preserve">10. </w:t>
      </w:r>
      <w:r w:rsidRPr="00EA1E04">
        <w:rPr>
          <w:rFonts w:ascii="Calibri" w:hAnsi="Calibri"/>
          <w:sz w:val="24"/>
        </w:rPr>
        <w:tab/>
      </w:r>
      <w:r w:rsidR="00F847CA" w:rsidRPr="00EA1E04">
        <w:rPr>
          <w:rFonts w:ascii="Calibri" w:hAnsi="Calibri"/>
          <w:sz w:val="24"/>
        </w:rPr>
        <w:t>National Institute on Alcohol Abuse and Alcoholism</w:t>
      </w:r>
      <w:r w:rsidR="004C03F7" w:rsidRPr="00EA1E04">
        <w:rPr>
          <w:rFonts w:ascii="Calibri" w:hAnsi="Calibri"/>
          <w:sz w:val="24"/>
        </w:rPr>
        <w:t xml:space="preserve">. </w:t>
      </w:r>
      <w:r w:rsidRPr="00EA1E04">
        <w:rPr>
          <w:rFonts w:ascii="Calibri" w:hAnsi="Calibri"/>
          <w:sz w:val="24"/>
        </w:rPr>
        <w:t>The Physicians Guide to Helping Patients with Alcohol Problems. National Institute on Alcohol</w:t>
      </w:r>
      <w:r w:rsidR="004C03F7" w:rsidRPr="00EA1E04">
        <w:rPr>
          <w:rFonts w:ascii="Calibri" w:hAnsi="Calibri"/>
          <w:sz w:val="24"/>
        </w:rPr>
        <w:t xml:space="preserve"> Abuse and Alcoholism,Rockville</w:t>
      </w:r>
      <w:r w:rsidR="00F847CA" w:rsidRPr="00EA1E04">
        <w:rPr>
          <w:rFonts w:ascii="Calibri" w:hAnsi="Calibri"/>
          <w:sz w:val="24"/>
        </w:rPr>
        <w:t>,MD;</w:t>
      </w:r>
      <w:r w:rsidRPr="00EA1E04">
        <w:rPr>
          <w:rFonts w:ascii="Calibri" w:hAnsi="Calibri"/>
          <w:sz w:val="24"/>
        </w:rPr>
        <w:t xml:space="preserve"> 1995. </w:t>
      </w:r>
    </w:p>
    <w:p w:rsidR="000613A0" w:rsidRPr="00EA1E04" w:rsidRDefault="000613A0" w:rsidP="000613A0">
      <w:pPr>
        <w:pStyle w:val="Bibliography"/>
        <w:rPr>
          <w:rFonts w:ascii="Calibri" w:hAnsi="Calibri"/>
          <w:sz w:val="24"/>
        </w:rPr>
      </w:pPr>
      <w:r w:rsidRPr="00EA1E04">
        <w:rPr>
          <w:rFonts w:ascii="Calibri" w:hAnsi="Calibri"/>
          <w:sz w:val="24"/>
        </w:rPr>
        <w:t xml:space="preserve">11. </w:t>
      </w:r>
      <w:r w:rsidRPr="00EA1E04">
        <w:rPr>
          <w:rFonts w:ascii="Calibri" w:hAnsi="Calibri"/>
          <w:sz w:val="24"/>
        </w:rPr>
        <w:tab/>
        <w:t xml:space="preserve">Scottish Intercollegiate Guidelines Network (SIGN). The management of harmful drinking and alcohol dependence in primary care. 2004. </w:t>
      </w:r>
    </w:p>
    <w:p w:rsidR="000613A0" w:rsidRPr="00EA1E04" w:rsidRDefault="000613A0" w:rsidP="000613A0">
      <w:pPr>
        <w:pStyle w:val="Bibliography"/>
        <w:rPr>
          <w:rFonts w:ascii="Calibri" w:hAnsi="Calibri"/>
          <w:sz w:val="24"/>
        </w:rPr>
      </w:pPr>
      <w:r w:rsidRPr="00EA1E04">
        <w:rPr>
          <w:rFonts w:ascii="Calibri" w:hAnsi="Calibri"/>
          <w:sz w:val="24"/>
        </w:rPr>
        <w:t xml:space="preserve">12. </w:t>
      </w:r>
      <w:r w:rsidRPr="00EA1E04">
        <w:rPr>
          <w:rFonts w:ascii="Calibri" w:hAnsi="Calibri"/>
          <w:sz w:val="24"/>
        </w:rPr>
        <w:tab/>
        <w:t xml:space="preserve">Moyer A, Finney JW, Swearingen CE, Vergun P. Brief interventions for alcohol problems: a meta-analytic review of controlled investigations in treatment-seeking and non-treatment-seeking </w:t>
      </w:r>
      <w:r w:rsidR="004C03F7" w:rsidRPr="00EA1E04">
        <w:rPr>
          <w:rFonts w:ascii="Calibri" w:hAnsi="Calibri"/>
          <w:sz w:val="24"/>
        </w:rPr>
        <w:t>populations. Addiction. 2002</w:t>
      </w:r>
      <w:r w:rsidRPr="00EA1E04">
        <w:rPr>
          <w:rFonts w:ascii="Calibri" w:hAnsi="Calibri"/>
          <w:sz w:val="24"/>
        </w:rPr>
        <w:t xml:space="preserve">;97(3):279–92. </w:t>
      </w:r>
    </w:p>
    <w:p w:rsidR="000613A0" w:rsidRPr="00EA1E04" w:rsidRDefault="000613A0" w:rsidP="000613A0">
      <w:pPr>
        <w:pStyle w:val="Bibliography"/>
        <w:rPr>
          <w:rFonts w:ascii="Calibri" w:hAnsi="Calibri"/>
          <w:sz w:val="24"/>
        </w:rPr>
      </w:pPr>
      <w:r w:rsidRPr="00EA1E04">
        <w:rPr>
          <w:rFonts w:ascii="Calibri" w:hAnsi="Calibri"/>
          <w:sz w:val="24"/>
        </w:rPr>
        <w:t xml:space="preserve">13. </w:t>
      </w:r>
      <w:r w:rsidRPr="00EA1E04">
        <w:rPr>
          <w:rFonts w:ascii="Calibri" w:hAnsi="Calibri"/>
          <w:sz w:val="24"/>
        </w:rPr>
        <w:tab/>
        <w:t>Bertholet N, Daeppen J-B, Wietlisbach V, Fleming M, Burnand B. Reduction of alcohol consumption by brief alcohol intervention in primary care: systematic review and meta-analy</w:t>
      </w:r>
      <w:r w:rsidR="004C03F7" w:rsidRPr="00EA1E04">
        <w:rPr>
          <w:rFonts w:ascii="Calibri" w:hAnsi="Calibri"/>
          <w:sz w:val="24"/>
        </w:rPr>
        <w:t>sis. Arch Intern Med. 2005</w:t>
      </w:r>
      <w:r w:rsidRPr="00EA1E04">
        <w:rPr>
          <w:rFonts w:ascii="Calibri" w:hAnsi="Calibri"/>
          <w:sz w:val="24"/>
        </w:rPr>
        <w:t xml:space="preserve">;165(9):986–95. </w:t>
      </w:r>
    </w:p>
    <w:p w:rsidR="000613A0" w:rsidRPr="00EA1E04" w:rsidRDefault="000613A0" w:rsidP="000613A0">
      <w:pPr>
        <w:pStyle w:val="Bibliography"/>
        <w:rPr>
          <w:rFonts w:ascii="Calibri" w:hAnsi="Calibri"/>
          <w:sz w:val="24"/>
        </w:rPr>
      </w:pPr>
      <w:r w:rsidRPr="00EA1E04">
        <w:rPr>
          <w:rFonts w:ascii="Calibri" w:hAnsi="Calibri"/>
          <w:sz w:val="24"/>
        </w:rPr>
        <w:t xml:space="preserve">14. </w:t>
      </w:r>
      <w:r w:rsidRPr="00EA1E04">
        <w:rPr>
          <w:rFonts w:ascii="Calibri" w:hAnsi="Calibri"/>
          <w:sz w:val="24"/>
        </w:rPr>
        <w:tab/>
        <w:t>Kaner E, Bland M, Cassidy P, Coulton S, Dale V, Deluca P, et al. Effectiveness of screening and brief alcohol intervention in primary care (SIPS trial): pragmatic cluster randomised c</w:t>
      </w:r>
      <w:r w:rsidR="004C03F7" w:rsidRPr="00EA1E04">
        <w:rPr>
          <w:rFonts w:ascii="Calibri" w:hAnsi="Calibri"/>
          <w:sz w:val="24"/>
        </w:rPr>
        <w:t>ontrolled trial. BMJ. 2013</w:t>
      </w:r>
      <w:r w:rsidRPr="00EA1E04">
        <w:rPr>
          <w:rFonts w:ascii="Calibri" w:hAnsi="Calibri"/>
          <w:sz w:val="24"/>
        </w:rPr>
        <w:t xml:space="preserve">;346. </w:t>
      </w:r>
    </w:p>
    <w:p w:rsidR="000613A0" w:rsidRPr="00EA1E04" w:rsidRDefault="000613A0" w:rsidP="000613A0">
      <w:pPr>
        <w:pStyle w:val="Bibliography"/>
        <w:rPr>
          <w:rFonts w:ascii="Calibri" w:hAnsi="Calibri"/>
          <w:sz w:val="24"/>
        </w:rPr>
      </w:pPr>
      <w:r w:rsidRPr="00EA1E04">
        <w:rPr>
          <w:rFonts w:ascii="Calibri" w:hAnsi="Calibri"/>
          <w:sz w:val="24"/>
        </w:rPr>
        <w:lastRenderedPageBreak/>
        <w:t xml:space="preserve">15. </w:t>
      </w:r>
      <w:r w:rsidRPr="00EA1E04">
        <w:rPr>
          <w:rFonts w:ascii="Calibri" w:hAnsi="Calibri"/>
          <w:sz w:val="24"/>
        </w:rPr>
        <w:tab/>
        <w:t xml:space="preserve">Nilsen P, Kaner E, Babor T. Brief intervention, three decades on. Nord Stud Alcohol Drugs. 2008;25(6):453–67. </w:t>
      </w:r>
    </w:p>
    <w:p w:rsidR="000613A0" w:rsidRPr="00EA1E04" w:rsidRDefault="000613A0" w:rsidP="000613A0">
      <w:pPr>
        <w:pStyle w:val="Bibliography"/>
        <w:rPr>
          <w:rFonts w:ascii="Calibri" w:hAnsi="Calibri"/>
          <w:sz w:val="24"/>
        </w:rPr>
      </w:pPr>
      <w:r w:rsidRPr="00EA1E04">
        <w:rPr>
          <w:rFonts w:ascii="Calibri" w:hAnsi="Calibri"/>
          <w:sz w:val="24"/>
        </w:rPr>
        <w:t xml:space="preserve">16. </w:t>
      </w:r>
      <w:r w:rsidRPr="00EA1E04">
        <w:rPr>
          <w:rFonts w:ascii="Calibri" w:hAnsi="Calibri"/>
          <w:sz w:val="24"/>
        </w:rPr>
        <w:tab/>
        <w:t xml:space="preserve">Nilsen P, McCambridge J, Karlsson N, Bendtsen P. Brief interventions in routine health care: a population-based study of conversations about alcohol in Sweden. Addict Abingdon Engl. 2011 Oct;106(10):1748–56. </w:t>
      </w:r>
    </w:p>
    <w:p w:rsidR="000613A0" w:rsidRPr="00EA1E04" w:rsidRDefault="000613A0" w:rsidP="000613A0">
      <w:pPr>
        <w:pStyle w:val="Bibliography"/>
        <w:rPr>
          <w:rFonts w:ascii="Calibri" w:hAnsi="Calibri"/>
          <w:sz w:val="24"/>
        </w:rPr>
      </w:pPr>
      <w:r w:rsidRPr="00EA1E04">
        <w:rPr>
          <w:rFonts w:ascii="Calibri" w:hAnsi="Calibri"/>
          <w:sz w:val="24"/>
        </w:rPr>
        <w:t xml:space="preserve">17. </w:t>
      </w:r>
      <w:r w:rsidRPr="00EA1E04">
        <w:rPr>
          <w:rFonts w:ascii="Calibri" w:hAnsi="Calibri"/>
          <w:sz w:val="24"/>
        </w:rPr>
        <w:tab/>
        <w:t xml:space="preserve">Ockene JK, Adams A, Hurley TG, Wheeler EV, Hebert JR. Brief physician- and nurse practitioner–delivered counseling for high-risk drinkers: Does it work? Arch Intern Med. 1999 Oct 11;159(18):2198–205. </w:t>
      </w:r>
    </w:p>
    <w:p w:rsidR="000613A0" w:rsidRPr="00EA1E04" w:rsidRDefault="000613A0" w:rsidP="000613A0">
      <w:pPr>
        <w:pStyle w:val="Bibliography"/>
        <w:rPr>
          <w:rFonts w:ascii="Calibri" w:hAnsi="Calibri"/>
          <w:sz w:val="24"/>
        </w:rPr>
      </w:pPr>
      <w:r w:rsidRPr="00EA1E04">
        <w:rPr>
          <w:rFonts w:ascii="Calibri" w:hAnsi="Calibri"/>
          <w:sz w:val="24"/>
        </w:rPr>
        <w:t xml:space="preserve">18. </w:t>
      </w:r>
      <w:r w:rsidRPr="00EA1E04">
        <w:rPr>
          <w:rFonts w:ascii="Calibri" w:hAnsi="Calibri"/>
          <w:sz w:val="24"/>
        </w:rPr>
        <w:tab/>
        <w:t xml:space="preserve">Nilsen P, Wahlin S, Heather N. Implementing Brief Interventions in Health Care: Lessons learned from the Swedish Risk drinking Project. Int J Environ Res Public Health. 2011(8):3609–27. </w:t>
      </w:r>
    </w:p>
    <w:p w:rsidR="000613A0" w:rsidRPr="00EA1E04" w:rsidRDefault="000613A0" w:rsidP="000613A0">
      <w:pPr>
        <w:pStyle w:val="Bibliography"/>
        <w:rPr>
          <w:rFonts w:ascii="Calibri" w:hAnsi="Calibri"/>
          <w:sz w:val="24"/>
        </w:rPr>
      </w:pPr>
      <w:r w:rsidRPr="00EA1E04">
        <w:rPr>
          <w:rFonts w:ascii="Calibri" w:hAnsi="Calibri"/>
          <w:sz w:val="24"/>
        </w:rPr>
        <w:t xml:space="preserve">19. </w:t>
      </w:r>
      <w:r w:rsidRPr="00EA1E04">
        <w:rPr>
          <w:rFonts w:ascii="Calibri" w:hAnsi="Calibri"/>
          <w:sz w:val="24"/>
        </w:rPr>
        <w:tab/>
        <w:t>Office for National Statistics. General Lifestyle Survey: a report on the 2009 General Lifestyle. Office for National Statistics</w:t>
      </w:r>
      <w:r w:rsidR="004C03F7" w:rsidRPr="00EA1E04">
        <w:rPr>
          <w:rFonts w:ascii="Calibri" w:hAnsi="Calibri"/>
          <w:sz w:val="24"/>
        </w:rPr>
        <w:t>; 2011.</w:t>
      </w:r>
      <w:r w:rsidRPr="00EA1E04">
        <w:rPr>
          <w:rFonts w:ascii="Calibri" w:hAnsi="Calibri"/>
          <w:sz w:val="24"/>
        </w:rPr>
        <w:t xml:space="preserve"> </w:t>
      </w:r>
    </w:p>
    <w:p w:rsidR="000613A0" w:rsidRPr="00EA1E04" w:rsidRDefault="000613A0" w:rsidP="000613A0">
      <w:pPr>
        <w:pStyle w:val="Bibliography"/>
        <w:rPr>
          <w:rFonts w:ascii="Calibri" w:hAnsi="Calibri"/>
          <w:sz w:val="24"/>
        </w:rPr>
      </w:pPr>
      <w:r w:rsidRPr="00EA1E04">
        <w:rPr>
          <w:rFonts w:ascii="Calibri" w:hAnsi="Calibri"/>
          <w:sz w:val="24"/>
        </w:rPr>
        <w:t xml:space="preserve">20. </w:t>
      </w:r>
      <w:r w:rsidRPr="00EA1E04">
        <w:rPr>
          <w:rFonts w:ascii="Calibri" w:hAnsi="Calibri"/>
          <w:sz w:val="24"/>
        </w:rPr>
        <w:tab/>
        <w:t>Hippisley-Cox J, Vinogradova Y. Trend in consultation rates in general practice 1995 to 2008: analysis of the QRESEARCH datab</w:t>
      </w:r>
      <w:r w:rsidR="004C03F7" w:rsidRPr="00EA1E04">
        <w:rPr>
          <w:rFonts w:ascii="Calibri" w:hAnsi="Calibri"/>
          <w:sz w:val="24"/>
        </w:rPr>
        <w:t>ase. The NHS Information Centre;2009.</w:t>
      </w:r>
      <w:r w:rsidRPr="00EA1E04">
        <w:rPr>
          <w:rFonts w:ascii="Calibri" w:hAnsi="Calibri"/>
          <w:sz w:val="24"/>
        </w:rPr>
        <w:t xml:space="preserve"> </w:t>
      </w:r>
    </w:p>
    <w:p w:rsidR="000613A0" w:rsidRPr="00EA1E04" w:rsidRDefault="000613A0" w:rsidP="000613A0">
      <w:pPr>
        <w:pStyle w:val="Bibliography"/>
        <w:rPr>
          <w:rFonts w:ascii="Calibri" w:hAnsi="Calibri"/>
          <w:sz w:val="24"/>
        </w:rPr>
      </w:pPr>
      <w:r w:rsidRPr="00EA1E04">
        <w:rPr>
          <w:rFonts w:ascii="Calibri" w:hAnsi="Calibri"/>
          <w:sz w:val="24"/>
        </w:rPr>
        <w:t xml:space="preserve">21. </w:t>
      </w:r>
      <w:r w:rsidRPr="00EA1E04">
        <w:rPr>
          <w:rFonts w:ascii="Calibri" w:hAnsi="Calibri"/>
          <w:sz w:val="24"/>
        </w:rPr>
        <w:tab/>
        <w:t xml:space="preserve">Saunders JB, Davis M, Williams R. Do women develop alcoholic liver disease more readily than men? </w:t>
      </w:r>
      <w:r w:rsidR="004C03F7" w:rsidRPr="00EA1E04">
        <w:rPr>
          <w:rFonts w:ascii="Calibri" w:hAnsi="Calibri"/>
          <w:sz w:val="24"/>
        </w:rPr>
        <w:t>Br Med J Clin Res Ed. 1981</w:t>
      </w:r>
      <w:r w:rsidRPr="00EA1E04">
        <w:rPr>
          <w:rFonts w:ascii="Calibri" w:hAnsi="Calibri"/>
          <w:sz w:val="24"/>
        </w:rPr>
        <w:t xml:space="preserve">;282(6270):1140–3. </w:t>
      </w:r>
    </w:p>
    <w:p w:rsidR="000613A0" w:rsidRPr="00EA1E04" w:rsidRDefault="000613A0" w:rsidP="000613A0">
      <w:pPr>
        <w:pStyle w:val="Bibliography"/>
        <w:rPr>
          <w:rFonts w:ascii="Calibri" w:hAnsi="Calibri"/>
          <w:sz w:val="24"/>
        </w:rPr>
      </w:pPr>
      <w:r w:rsidRPr="00EA1E04">
        <w:rPr>
          <w:rFonts w:ascii="Calibri" w:hAnsi="Calibri"/>
          <w:sz w:val="24"/>
        </w:rPr>
        <w:t xml:space="preserve">22. </w:t>
      </w:r>
      <w:r w:rsidRPr="00EA1E04">
        <w:rPr>
          <w:rFonts w:ascii="Calibri" w:hAnsi="Calibri"/>
          <w:sz w:val="24"/>
        </w:rPr>
        <w:tab/>
        <w:t xml:space="preserve">Kamper-Jørgensen M, Grønbæk M, Tolstrup J, Becker U. Alcohol and cirrhosis: dose–response or threshold effect? J Hepatol. 7;41(1):25–30. </w:t>
      </w:r>
    </w:p>
    <w:p w:rsidR="000613A0" w:rsidRPr="00EA1E04" w:rsidRDefault="000613A0" w:rsidP="000613A0">
      <w:pPr>
        <w:pStyle w:val="Bibliography"/>
        <w:rPr>
          <w:rFonts w:ascii="Calibri" w:hAnsi="Calibri"/>
          <w:sz w:val="24"/>
        </w:rPr>
      </w:pPr>
      <w:r w:rsidRPr="00EA1E04">
        <w:rPr>
          <w:rFonts w:ascii="Calibri" w:hAnsi="Calibri"/>
          <w:sz w:val="24"/>
        </w:rPr>
        <w:t xml:space="preserve">23. </w:t>
      </w:r>
      <w:r w:rsidRPr="00EA1E04">
        <w:rPr>
          <w:rFonts w:ascii="Calibri" w:hAnsi="Calibri"/>
          <w:sz w:val="24"/>
        </w:rPr>
        <w:tab/>
        <w:t>Morris M, Johnson D, Morrison DS. Opportunities for prevention of alcohol-related death in primary care: results from a population-based cross-sectional stu</w:t>
      </w:r>
      <w:r w:rsidR="004C03F7" w:rsidRPr="00EA1E04">
        <w:rPr>
          <w:rFonts w:ascii="Calibri" w:hAnsi="Calibri"/>
          <w:sz w:val="24"/>
        </w:rPr>
        <w:t>dy. Alcohol Fayettev N. 2012</w:t>
      </w:r>
      <w:r w:rsidRPr="00EA1E04">
        <w:rPr>
          <w:rFonts w:ascii="Calibri" w:hAnsi="Calibri"/>
          <w:sz w:val="24"/>
        </w:rPr>
        <w:t xml:space="preserve">;46(7):703–7. </w:t>
      </w:r>
    </w:p>
    <w:p w:rsidR="000613A0" w:rsidRPr="00EA1E04" w:rsidRDefault="000613A0" w:rsidP="000613A0">
      <w:pPr>
        <w:pStyle w:val="Bibliography"/>
        <w:rPr>
          <w:rFonts w:ascii="Calibri" w:hAnsi="Calibri"/>
          <w:sz w:val="24"/>
        </w:rPr>
      </w:pPr>
      <w:r w:rsidRPr="00EA1E04">
        <w:rPr>
          <w:rFonts w:ascii="Calibri" w:hAnsi="Calibri"/>
          <w:sz w:val="24"/>
        </w:rPr>
        <w:t xml:space="preserve">24. </w:t>
      </w:r>
      <w:r w:rsidRPr="00EA1E04">
        <w:rPr>
          <w:rFonts w:ascii="Calibri" w:hAnsi="Calibri"/>
          <w:sz w:val="24"/>
        </w:rPr>
        <w:tab/>
        <w:t>Becker U, Deis A, Sorensen TI, Gronbaek M, Borch-Johnsen K, Muller CF, et al. Prediction of risk of liver disease by alcohol intake, sex, and age: A prospective populati</w:t>
      </w:r>
      <w:r w:rsidR="004C03F7" w:rsidRPr="00EA1E04">
        <w:rPr>
          <w:rFonts w:ascii="Calibri" w:hAnsi="Calibri"/>
          <w:sz w:val="24"/>
        </w:rPr>
        <w:t>on study. Hepatology.</w:t>
      </w:r>
      <w:r w:rsidRPr="00EA1E04">
        <w:rPr>
          <w:rFonts w:ascii="Calibri" w:hAnsi="Calibri"/>
          <w:sz w:val="24"/>
        </w:rPr>
        <w:t xml:space="preserve">;23(5):1025–9. </w:t>
      </w:r>
    </w:p>
    <w:p w:rsidR="000613A0" w:rsidRPr="00EA1E04" w:rsidRDefault="000613A0" w:rsidP="000613A0">
      <w:pPr>
        <w:pStyle w:val="Bibliography"/>
        <w:rPr>
          <w:rFonts w:ascii="Calibri" w:hAnsi="Calibri"/>
          <w:sz w:val="24"/>
        </w:rPr>
      </w:pPr>
      <w:r w:rsidRPr="00EA1E04">
        <w:rPr>
          <w:rFonts w:ascii="Calibri" w:hAnsi="Calibri"/>
          <w:sz w:val="24"/>
        </w:rPr>
        <w:t xml:space="preserve">25. </w:t>
      </w:r>
      <w:r w:rsidRPr="00EA1E04">
        <w:rPr>
          <w:rFonts w:ascii="Calibri" w:hAnsi="Calibri"/>
          <w:sz w:val="24"/>
        </w:rPr>
        <w:tab/>
        <w:t xml:space="preserve">Rehm J, Baliunas D, Borges GLG, Graham K, Irving H, Kehoe T, et al. The relation between different dimensions of alcohol consumption and burden of disease: an overview. Addiction. 2010;105(5):817–43. </w:t>
      </w:r>
    </w:p>
    <w:p w:rsidR="000613A0" w:rsidRPr="00EA1E04" w:rsidRDefault="000613A0" w:rsidP="000613A0">
      <w:pPr>
        <w:pStyle w:val="Bibliography"/>
        <w:rPr>
          <w:rFonts w:ascii="Calibri" w:hAnsi="Calibri"/>
          <w:sz w:val="24"/>
        </w:rPr>
      </w:pPr>
      <w:r w:rsidRPr="00EA1E04">
        <w:rPr>
          <w:rFonts w:ascii="Calibri" w:hAnsi="Calibri"/>
          <w:sz w:val="24"/>
        </w:rPr>
        <w:t xml:space="preserve">26. </w:t>
      </w:r>
      <w:r w:rsidRPr="00EA1E04">
        <w:rPr>
          <w:rFonts w:ascii="Calibri" w:hAnsi="Calibri"/>
          <w:sz w:val="24"/>
        </w:rPr>
        <w:tab/>
        <w:t>Walley T, Mantgani A. The UK Gener</w:t>
      </w:r>
      <w:r w:rsidR="004C03F7" w:rsidRPr="00EA1E04">
        <w:rPr>
          <w:rFonts w:ascii="Calibri" w:hAnsi="Calibri"/>
          <w:sz w:val="24"/>
        </w:rPr>
        <w:t>al Practice Research Database. L</w:t>
      </w:r>
      <w:r w:rsidRPr="00EA1E04">
        <w:rPr>
          <w:rFonts w:ascii="Calibri" w:hAnsi="Calibri"/>
          <w:sz w:val="24"/>
        </w:rPr>
        <w:t xml:space="preserve">ancet. 350:1097–9. </w:t>
      </w:r>
    </w:p>
    <w:p w:rsidR="000613A0" w:rsidRPr="00EA1E04" w:rsidRDefault="000613A0" w:rsidP="000613A0">
      <w:pPr>
        <w:pStyle w:val="Bibliography"/>
        <w:rPr>
          <w:rFonts w:ascii="Calibri" w:hAnsi="Calibri"/>
          <w:sz w:val="24"/>
        </w:rPr>
      </w:pPr>
      <w:r w:rsidRPr="00EA1E04">
        <w:rPr>
          <w:rFonts w:ascii="Calibri" w:hAnsi="Calibri"/>
          <w:sz w:val="24"/>
        </w:rPr>
        <w:t xml:space="preserve">27. </w:t>
      </w:r>
      <w:r w:rsidRPr="00EA1E04">
        <w:rPr>
          <w:rFonts w:ascii="Calibri" w:hAnsi="Calibri"/>
          <w:sz w:val="24"/>
        </w:rPr>
        <w:tab/>
        <w:t xml:space="preserve">Ratib S, West J, Crooks CJ, Fleming KM. Diagnosis of Liver Cirrhosis in England, a Cohort Study, 1998-2009: A Comparison with Cancer. Am J Gastroenterol. 2014 Feb;109(2):190–8. </w:t>
      </w:r>
    </w:p>
    <w:p w:rsidR="000613A0" w:rsidRPr="00EA1E04" w:rsidRDefault="000613A0" w:rsidP="000613A0">
      <w:pPr>
        <w:pStyle w:val="Bibliography"/>
        <w:rPr>
          <w:rFonts w:ascii="Calibri" w:hAnsi="Calibri"/>
          <w:sz w:val="24"/>
        </w:rPr>
      </w:pPr>
      <w:r w:rsidRPr="00EA1E04">
        <w:rPr>
          <w:rFonts w:ascii="Calibri" w:hAnsi="Calibri"/>
          <w:sz w:val="24"/>
        </w:rPr>
        <w:t xml:space="preserve">28. </w:t>
      </w:r>
      <w:r w:rsidRPr="00EA1E04">
        <w:rPr>
          <w:rFonts w:ascii="Calibri" w:hAnsi="Calibri"/>
          <w:sz w:val="24"/>
        </w:rPr>
        <w:tab/>
        <w:t>Ratib S, Fleming KM, Crooks CJ, Aithal GP, West J. 1 and 5 year survival estimates for people with cirrhosis of the liver in England, 1998-2009: a large popul</w:t>
      </w:r>
      <w:r w:rsidR="004C03F7" w:rsidRPr="00EA1E04">
        <w:rPr>
          <w:rFonts w:ascii="Calibri" w:hAnsi="Calibri"/>
          <w:sz w:val="24"/>
        </w:rPr>
        <w:t>ation study. J Hepatol. 2014</w:t>
      </w:r>
      <w:r w:rsidRPr="00EA1E04">
        <w:rPr>
          <w:rFonts w:ascii="Calibri" w:hAnsi="Calibri"/>
          <w:sz w:val="24"/>
        </w:rPr>
        <w:t xml:space="preserve">;60(2):282–9. </w:t>
      </w:r>
    </w:p>
    <w:p w:rsidR="000613A0" w:rsidRPr="00EA1E04" w:rsidRDefault="000613A0" w:rsidP="000613A0">
      <w:pPr>
        <w:pStyle w:val="Bibliography"/>
        <w:rPr>
          <w:rFonts w:ascii="Calibri" w:hAnsi="Calibri"/>
          <w:sz w:val="24"/>
        </w:rPr>
      </w:pPr>
      <w:r w:rsidRPr="00EA1E04">
        <w:rPr>
          <w:rFonts w:ascii="Calibri" w:hAnsi="Calibri"/>
          <w:sz w:val="24"/>
        </w:rPr>
        <w:lastRenderedPageBreak/>
        <w:t xml:space="preserve">29. </w:t>
      </w:r>
      <w:r w:rsidRPr="00EA1E04">
        <w:rPr>
          <w:rFonts w:ascii="Calibri" w:hAnsi="Calibri"/>
          <w:sz w:val="24"/>
        </w:rPr>
        <w:tab/>
        <w:t>Verrill C, Smith S, Sheron N. Are the opportunities to prevent alcohol related liver deaths in the UK in primary or secondary care? A retrospective clinical review and prospective interview study. Subst Abus</w:t>
      </w:r>
      <w:r w:rsidR="004C03F7" w:rsidRPr="00EA1E04">
        <w:rPr>
          <w:rFonts w:ascii="Calibri" w:hAnsi="Calibri"/>
          <w:sz w:val="24"/>
        </w:rPr>
        <w:t>e Treat Prev Policy. 2006</w:t>
      </w:r>
      <w:r w:rsidRPr="00EA1E04">
        <w:rPr>
          <w:rFonts w:ascii="Calibri" w:hAnsi="Calibri"/>
          <w:sz w:val="24"/>
        </w:rPr>
        <w:t xml:space="preserve">;1(1):1–5. </w:t>
      </w:r>
    </w:p>
    <w:p w:rsidR="000613A0" w:rsidRPr="00EA1E04" w:rsidRDefault="000613A0" w:rsidP="000613A0">
      <w:pPr>
        <w:pStyle w:val="Bibliography"/>
        <w:rPr>
          <w:rFonts w:ascii="Calibri" w:hAnsi="Calibri"/>
          <w:sz w:val="24"/>
        </w:rPr>
      </w:pPr>
      <w:r w:rsidRPr="00EA1E04">
        <w:rPr>
          <w:rFonts w:ascii="Calibri" w:hAnsi="Calibri"/>
          <w:sz w:val="24"/>
        </w:rPr>
        <w:t xml:space="preserve">30. </w:t>
      </w:r>
      <w:r w:rsidRPr="00EA1E04">
        <w:rPr>
          <w:rFonts w:ascii="Calibri" w:hAnsi="Calibri"/>
          <w:sz w:val="24"/>
        </w:rPr>
        <w:tab/>
        <w:t>Walker A, O’Brien M, Traynor J, et al. Living in Britain: results from the 2001 General Household Survey. London:</w:t>
      </w:r>
      <w:r w:rsidR="007719C5" w:rsidRPr="00EA1E04">
        <w:rPr>
          <w:rFonts w:ascii="Calibri" w:hAnsi="Calibri"/>
          <w:sz w:val="24"/>
        </w:rPr>
        <w:t>HMSO,2002.</w:t>
      </w:r>
      <w:r w:rsidRPr="00EA1E04">
        <w:rPr>
          <w:rFonts w:ascii="Calibri" w:hAnsi="Calibri"/>
          <w:sz w:val="24"/>
        </w:rPr>
        <w:t xml:space="preserve"> </w:t>
      </w:r>
    </w:p>
    <w:p w:rsidR="000613A0" w:rsidRPr="00EA1E04" w:rsidRDefault="000613A0" w:rsidP="000613A0">
      <w:pPr>
        <w:pStyle w:val="Bibliography"/>
        <w:rPr>
          <w:rFonts w:ascii="Calibri" w:hAnsi="Calibri"/>
          <w:sz w:val="24"/>
        </w:rPr>
      </w:pPr>
      <w:r w:rsidRPr="00EA1E04">
        <w:rPr>
          <w:rFonts w:ascii="Calibri" w:hAnsi="Calibri"/>
          <w:sz w:val="24"/>
        </w:rPr>
        <w:t xml:space="preserve">31. </w:t>
      </w:r>
      <w:r w:rsidRPr="00EA1E04">
        <w:rPr>
          <w:rFonts w:ascii="Calibri" w:hAnsi="Calibri"/>
          <w:sz w:val="24"/>
        </w:rPr>
        <w:tab/>
        <w:t>Sattar G, Glen F, Diaper A. General Household Survey Report 2004: Overview report. london: Office for National Statistics</w:t>
      </w:r>
      <w:r w:rsidR="007719C5" w:rsidRPr="00EA1E04">
        <w:rPr>
          <w:rFonts w:ascii="Calibri" w:hAnsi="Calibri"/>
          <w:sz w:val="24"/>
        </w:rPr>
        <w:t>; 2005.</w:t>
      </w:r>
    </w:p>
    <w:p w:rsidR="000613A0" w:rsidRPr="00EA1E04" w:rsidRDefault="000613A0" w:rsidP="000613A0">
      <w:pPr>
        <w:pStyle w:val="Bibliography"/>
        <w:rPr>
          <w:rFonts w:ascii="Calibri" w:hAnsi="Calibri"/>
          <w:sz w:val="24"/>
        </w:rPr>
      </w:pPr>
      <w:r w:rsidRPr="00EA1E04">
        <w:rPr>
          <w:rFonts w:ascii="Calibri" w:hAnsi="Calibri"/>
          <w:sz w:val="24"/>
        </w:rPr>
        <w:t xml:space="preserve">32. </w:t>
      </w:r>
      <w:r w:rsidRPr="00EA1E04">
        <w:rPr>
          <w:rFonts w:ascii="Calibri" w:hAnsi="Calibri"/>
          <w:sz w:val="24"/>
        </w:rPr>
        <w:tab/>
        <w:t>Bertakis KD, Azari R, Helms LJ, Callahan EJ, Robbins JA. Gender differences in the utilization of health care</w:t>
      </w:r>
      <w:r w:rsidR="007719C5" w:rsidRPr="00EA1E04">
        <w:rPr>
          <w:rFonts w:ascii="Calibri" w:hAnsi="Calibri"/>
          <w:sz w:val="24"/>
        </w:rPr>
        <w:t xml:space="preserve"> services. J Fam Pract. 2000</w:t>
      </w:r>
      <w:r w:rsidRPr="00EA1E04">
        <w:rPr>
          <w:rFonts w:ascii="Calibri" w:hAnsi="Calibri"/>
          <w:sz w:val="24"/>
        </w:rPr>
        <w:t xml:space="preserve">;49(2):147–52. </w:t>
      </w:r>
    </w:p>
    <w:p w:rsidR="000613A0" w:rsidRPr="00EA1E04" w:rsidRDefault="000613A0" w:rsidP="000613A0">
      <w:pPr>
        <w:pStyle w:val="Bibliography"/>
        <w:rPr>
          <w:rFonts w:ascii="Calibri" w:hAnsi="Calibri"/>
          <w:sz w:val="24"/>
        </w:rPr>
      </w:pPr>
      <w:r w:rsidRPr="00EA1E04">
        <w:rPr>
          <w:rFonts w:ascii="Calibri" w:hAnsi="Calibri"/>
          <w:sz w:val="24"/>
        </w:rPr>
        <w:t xml:space="preserve">33. </w:t>
      </w:r>
      <w:r w:rsidRPr="00EA1E04">
        <w:rPr>
          <w:rFonts w:ascii="Calibri" w:hAnsi="Calibri"/>
          <w:sz w:val="24"/>
        </w:rPr>
        <w:tab/>
        <w:t xml:space="preserve">Hunt K, Adamson J, Hewitt C, Nazareth I. Do women consult more than men? A review of gender and consultation for back pain and headache. J </w:t>
      </w:r>
      <w:r w:rsidR="004C03F7" w:rsidRPr="00EA1E04">
        <w:rPr>
          <w:rFonts w:ascii="Calibri" w:hAnsi="Calibri"/>
          <w:sz w:val="24"/>
        </w:rPr>
        <w:t>Health Serv Res Policy. 2011</w:t>
      </w:r>
      <w:r w:rsidRPr="00EA1E04">
        <w:rPr>
          <w:rFonts w:ascii="Calibri" w:hAnsi="Calibri"/>
          <w:sz w:val="24"/>
        </w:rPr>
        <w:t xml:space="preserve">;16(2):108–17. </w:t>
      </w:r>
    </w:p>
    <w:p w:rsidR="000613A0" w:rsidRPr="00EA1E04" w:rsidRDefault="000613A0" w:rsidP="000613A0">
      <w:pPr>
        <w:pStyle w:val="Bibliography"/>
        <w:rPr>
          <w:rFonts w:ascii="Calibri" w:hAnsi="Calibri"/>
          <w:sz w:val="24"/>
        </w:rPr>
      </w:pPr>
      <w:r w:rsidRPr="00EA1E04">
        <w:rPr>
          <w:rFonts w:ascii="Calibri" w:hAnsi="Calibri"/>
          <w:sz w:val="24"/>
        </w:rPr>
        <w:t xml:space="preserve">34. </w:t>
      </w:r>
      <w:r w:rsidRPr="00EA1E04">
        <w:rPr>
          <w:rFonts w:ascii="Calibri" w:hAnsi="Calibri"/>
          <w:sz w:val="24"/>
        </w:rPr>
        <w:tab/>
        <w:t>Hunt K, Ford G, Harkins L, Wyke S. Are Women More Ready to Consult than Men? Gender Differences in Family Practitioner Consultation for Common Chronic Conditions. J H</w:t>
      </w:r>
      <w:r w:rsidR="005A6BA9" w:rsidRPr="00EA1E04">
        <w:rPr>
          <w:rFonts w:ascii="Calibri" w:hAnsi="Calibri"/>
          <w:sz w:val="24"/>
        </w:rPr>
        <w:t>ealth Serv Res Policy. 1999</w:t>
      </w:r>
      <w:r w:rsidRPr="00EA1E04">
        <w:rPr>
          <w:rFonts w:ascii="Calibri" w:hAnsi="Calibri"/>
          <w:sz w:val="24"/>
        </w:rPr>
        <w:t xml:space="preserve">;4(2):96–100. </w:t>
      </w:r>
    </w:p>
    <w:p w:rsidR="005A6BA9" w:rsidRPr="00EA1E04" w:rsidRDefault="000613A0" w:rsidP="000613A0">
      <w:pPr>
        <w:pStyle w:val="Bibliography"/>
        <w:rPr>
          <w:rFonts w:ascii="Calibri" w:hAnsi="Calibri"/>
          <w:sz w:val="24"/>
        </w:rPr>
      </w:pPr>
      <w:r w:rsidRPr="00EA1E04">
        <w:rPr>
          <w:rFonts w:ascii="Calibri" w:hAnsi="Calibri"/>
          <w:sz w:val="24"/>
        </w:rPr>
        <w:t xml:space="preserve">35. </w:t>
      </w:r>
      <w:r w:rsidRPr="00EA1E04">
        <w:rPr>
          <w:rFonts w:ascii="Calibri" w:hAnsi="Calibri"/>
          <w:sz w:val="24"/>
        </w:rPr>
        <w:tab/>
      </w:r>
      <w:r w:rsidR="005A6BA9" w:rsidRPr="00EA1E04">
        <w:rPr>
          <w:rFonts w:ascii="Calibri" w:hAnsi="Calibri"/>
          <w:sz w:val="24"/>
        </w:rPr>
        <w:t>Wang Y, Hunt K, Nazareth I, Freemantle N, Petersen I. Do men consult less than women? An analysis of routinely collected UK general practice data. BMJ Open</w:t>
      </w:r>
      <w:r w:rsidR="004C03F7" w:rsidRPr="00EA1E04">
        <w:rPr>
          <w:rFonts w:ascii="Calibri" w:hAnsi="Calibri"/>
          <w:sz w:val="24"/>
        </w:rPr>
        <w:t xml:space="preserve">. Available at: </w:t>
      </w:r>
      <w:r w:rsidR="005A6BA9" w:rsidRPr="00EA1E04">
        <w:rPr>
          <w:rFonts w:ascii="Calibri" w:hAnsi="Calibri"/>
          <w:sz w:val="24"/>
        </w:rPr>
        <w:t xml:space="preserve">http://bmjopen.bmj.com/content/3/8/e003320.full. </w:t>
      </w:r>
      <w:r w:rsidR="004C03F7" w:rsidRPr="00EA1E04">
        <w:rPr>
          <w:rFonts w:ascii="Calibri" w:hAnsi="Calibri"/>
          <w:sz w:val="24"/>
        </w:rPr>
        <w:t xml:space="preserve">(Accessed </w:t>
      </w:r>
      <w:r w:rsidR="005A6BA9" w:rsidRPr="00EA1E04">
        <w:rPr>
          <w:rFonts w:ascii="Calibri" w:hAnsi="Calibri"/>
          <w:sz w:val="24"/>
        </w:rPr>
        <w:t>27</w:t>
      </w:r>
      <w:r w:rsidR="004C03F7" w:rsidRPr="00EA1E04">
        <w:rPr>
          <w:rFonts w:ascii="Calibri" w:hAnsi="Calibri"/>
          <w:sz w:val="24"/>
        </w:rPr>
        <w:t xml:space="preserve"> December 2014)</w:t>
      </w:r>
      <w:r w:rsidR="005A6BA9" w:rsidRPr="00EA1E04">
        <w:rPr>
          <w:rFonts w:ascii="Calibri" w:hAnsi="Calibri"/>
          <w:sz w:val="24"/>
        </w:rPr>
        <w:t> </w:t>
      </w:r>
      <w:hyperlink r:id="rId13" w:history="1">
        <w:r w:rsidR="005A6BA9" w:rsidRPr="00EA1E04">
          <w:rPr>
            <w:rStyle w:val="Hyperlink"/>
            <w:rFonts w:ascii="Calibri" w:hAnsi="Calibri"/>
            <w:b/>
            <w:bCs/>
            <w:color w:val="auto"/>
            <w:sz w:val="24"/>
          </w:rPr>
          <w:t>(Archived by WebCite</w:t>
        </w:r>
        <w:r w:rsidR="005A6BA9" w:rsidRPr="00EA1E04">
          <w:rPr>
            <w:rStyle w:val="Hyperlink"/>
            <w:rFonts w:ascii="Calibri" w:hAnsi="Calibri"/>
            <w:b/>
            <w:bCs/>
            <w:color w:val="auto"/>
            <w:sz w:val="24"/>
            <w:vertAlign w:val="superscript"/>
          </w:rPr>
          <w:t>®</w:t>
        </w:r>
        <w:r w:rsidR="005A6BA9" w:rsidRPr="00EA1E04">
          <w:rPr>
            <w:rStyle w:val="Hyperlink"/>
            <w:rFonts w:ascii="Calibri" w:hAnsi="Calibri"/>
            <w:b/>
            <w:bCs/>
            <w:color w:val="auto"/>
            <w:sz w:val="24"/>
          </w:rPr>
          <w:t> at http://www.webcitation.org/6ZbavvfQ0)</w:t>
        </w:r>
      </w:hyperlink>
    </w:p>
    <w:p w:rsidR="000613A0" w:rsidRPr="00EA1E04" w:rsidRDefault="000613A0" w:rsidP="000613A0">
      <w:pPr>
        <w:pStyle w:val="Bibliography"/>
        <w:rPr>
          <w:rFonts w:ascii="Calibri" w:hAnsi="Calibri"/>
          <w:sz w:val="24"/>
        </w:rPr>
      </w:pPr>
      <w:r w:rsidRPr="00EA1E04">
        <w:rPr>
          <w:rFonts w:ascii="Calibri" w:hAnsi="Calibri"/>
          <w:sz w:val="24"/>
        </w:rPr>
        <w:t xml:space="preserve">36. </w:t>
      </w:r>
      <w:r w:rsidRPr="00EA1E04">
        <w:rPr>
          <w:rFonts w:ascii="Calibri" w:hAnsi="Calibri"/>
          <w:sz w:val="24"/>
        </w:rPr>
        <w:tab/>
        <w:t xml:space="preserve">Heather N. Can screening and brief intervention lead to population-level reductions in alcohol-related harm? Addict Sci Clin Pract. 2012;7(15). </w:t>
      </w:r>
    </w:p>
    <w:p w:rsidR="000613A0" w:rsidRPr="00EA1E04" w:rsidRDefault="000613A0" w:rsidP="000613A0">
      <w:pPr>
        <w:pStyle w:val="Bibliography"/>
        <w:rPr>
          <w:rFonts w:ascii="Calibri" w:hAnsi="Calibri"/>
          <w:sz w:val="24"/>
        </w:rPr>
      </w:pPr>
      <w:r w:rsidRPr="00EA1E04">
        <w:rPr>
          <w:rFonts w:ascii="Calibri" w:hAnsi="Calibri"/>
          <w:sz w:val="24"/>
        </w:rPr>
        <w:t xml:space="preserve">37. </w:t>
      </w:r>
      <w:r w:rsidRPr="00EA1E04">
        <w:rPr>
          <w:rFonts w:ascii="Calibri" w:hAnsi="Calibri"/>
          <w:sz w:val="24"/>
        </w:rPr>
        <w:tab/>
        <w:t>Mäkelä P, Havio M, Seppä K. Alcohol-related discussions in health care—a popula</w:t>
      </w:r>
      <w:r w:rsidR="005A6BA9" w:rsidRPr="00EA1E04">
        <w:rPr>
          <w:rFonts w:ascii="Calibri" w:hAnsi="Calibri"/>
          <w:sz w:val="24"/>
        </w:rPr>
        <w:t>tion view. Addiction. 2011</w:t>
      </w:r>
      <w:r w:rsidRPr="00EA1E04">
        <w:rPr>
          <w:rFonts w:ascii="Calibri" w:hAnsi="Calibri"/>
          <w:sz w:val="24"/>
        </w:rPr>
        <w:t xml:space="preserve">;106(7):1239–48. </w:t>
      </w:r>
    </w:p>
    <w:p w:rsidR="000613A0" w:rsidRPr="00EA1E04" w:rsidRDefault="000613A0" w:rsidP="000613A0">
      <w:pPr>
        <w:pStyle w:val="Bibliography"/>
        <w:rPr>
          <w:rFonts w:ascii="Calibri" w:hAnsi="Calibri"/>
          <w:sz w:val="24"/>
        </w:rPr>
      </w:pPr>
      <w:r w:rsidRPr="00EA1E04">
        <w:rPr>
          <w:rFonts w:ascii="Calibri" w:hAnsi="Calibri"/>
          <w:sz w:val="24"/>
        </w:rPr>
        <w:t xml:space="preserve">38. </w:t>
      </w:r>
      <w:r w:rsidRPr="00EA1E04">
        <w:rPr>
          <w:rFonts w:ascii="Calibri" w:hAnsi="Calibri"/>
          <w:sz w:val="24"/>
        </w:rPr>
        <w:tab/>
        <w:t>Roche AM, Toby Freeman. Brief interventions: good in theory but weak in practi</w:t>
      </w:r>
      <w:r w:rsidR="005A6BA9" w:rsidRPr="00EA1E04">
        <w:rPr>
          <w:rFonts w:ascii="Calibri" w:hAnsi="Calibri"/>
          <w:sz w:val="24"/>
        </w:rPr>
        <w:t>ce. Drug Alcohol Rev. 2004</w:t>
      </w:r>
      <w:r w:rsidRPr="00EA1E04">
        <w:rPr>
          <w:rFonts w:ascii="Calibri" w:hAnsi="Calibri"/>
          <w:sz w:val="24"/>
        </w:rPr>
        <w:t xml:space="preserve">;23(1):11–8. </w:t>
      </w:r>
    </w:p>
    <w:p w:rsidR="000613A0" w:rsidRPr="00EA1E04" w:rsidRDefault="000613A0" w:rsidP="000613A0">
      <w:pPr>
        <w:pStyle w:val="Bibliography"/>
        <w:rPr>
          <w:rFonts w:ascii="Calibri" w:hAnsi="Calibri"/>
          <w:sz w:val="24"/>
        </w:rPr>
      </w:pPr>
      <w:r w:rsidRPr="00EA1E04">
        <w:rPr>
          <w:rFonts w:ascii="Calibri" w:hAnsi="Calibri"/>
          <w:sz w:val="24"/>
        </w:rPr>
        <w:t xml:space="preserve">39. </w:t>
      </w:r>
      <w:r w:rsidRPr="00EA1E04">
        <w:rPr>
          <w:rFonts w:ascii="Calibri" w:hAnsi="Calibri"/>
          <w:sz w:val="24"/>
        </w:rPr>
        <w:tab/>
        <w:t>Kaner EFS, Heather N, Mcavoy BR, Lock CA, Gilvarry E. Intervention for excessive alcohol consumption in primary health care: attitudes and practices of English General Practitioners. Alcohol Alcoho</w:t>
      </w:r>
      <w:r w:rsidR="005A6BA9" w:rsidRPr="00EA1E04">
        <w:rPr>
          <w:rFonts w:ascii="Calibri" w:hAnsi="Calibri"/>
          <w:sz w:val="24"/>
        </w:rPr>
        <w:t>l. 1999</w:t>
      </w:r>
      <w:r w:rsidRPr="00EA1E04">
        <w:rPr>
          <w:rFonts w:ascii="Calibri" w:hAnsi="Calibri"/>
          <w:sz w:val="24"/>
        </w:rPr>
        <w:t xml:space="preserve">;34(4):559–66. </w:t>
      </w:r>
    </w:p>
    <w:p w:rsidR="000613A0" w:rsidRPr="00EA1E04" w:rsidRDefault="000613A0" w:rsidP="000613A0">
      <w:pPr>
        <w:pStyle w:val="Bibliography"/>
        <w:rPr>
          <w:rFonts w:ascii="Calibri" w:hAnsi="Calibri"/>
          <w:sz w:val="24"/>
        </w:rPr>
      </w:pPr>
      <w:r w:rsidRPr="00EA1E04">
        <w:rPr>
          <w:rFonts w:ascii="Calibri" w:hAnsi="Calibri"/>
          <w:sz w:val="24"/>
        </w:rPr>
        <w:t xml:space="preserve">40. </w:t>
      </w:r>
      <w:r w:rsidRPr="00EA1E04">
        <w:rPr>
          <w:rFonts w:ascii="Calibri" w:hAnsi="Calibri"/>
          <w:sz w:val="24"/>
        </w:rPr>
        <w:tab/>
        <w:t>Johansson K, Bendtsen P, Akerlind I. Early intervention for problem drinkers: readiness to participate among general practitioners and nurses in Swedish primary health care. Al</w:t>
      </w:r>
      <w:r w:rsidR="005A6BA9" w:rsidRPr="00EA1E04">
        <w:rPr>
          <w:rFonts w:ascii="Calibri" w:hAnsi="Calibri"/>
          <w:sz w:val="24"/>
        </w:rPr>
        <w:t xml:space="preserve">cohol Alcohol Oxf Oxfs. 2002 </w:t>
      </w:r>
      <w:r w:rsidRPr="00EA1E04">
        <w:rPr>
          <w:rFonts w:ascii="Calibri" w:hAnsi="Calibri"/>
          <w:sz w:val="24"/>
        </w:rPr>
        <w:t>;37(1)</w:t>
      </w:r>
      <w:r w:rsidR="005A6BA9" w:rsidRPr="00EA1E04">
        <w:rPr>
          <w:rFonts w:ascii="Calibri" w:hAnsi="Calibri"/>
          <w:sz w:val="24"/>
        </w:rPr>
        <w:t>38-42</w:t>
      </w:r>
      <w:r w:rsidRPr="00EA1E04">
        <w:rPr>
          <w:rFonts w:ascii="Calibri" w:hAnsi="Calibri"/>
          <w:sz w:val="24"/>
        </w:rPr>
        <w:t xml:space="preserve">. </w:t>
      </w:r>
    </w:p>
    <w:p w:rsidR="000613A0" w:rsidRPr="00EA1E04" w:rsidRDefault="000613A0" w:rsidP="000613A0">
      <w:pPr>
        <w:pStyle w:val="Bibliography"/>
        <w:rPr>
          <w:rFonts w:ascii="Calibri" w:hAnsi="Calibri"/>
          <w:sz w:val="24"/>
        </w:rPr>
      </w:pPr>
      <w:r w:rsidRPr="00EA1E04">
        <w:rPr>
          <w:rFonts w:ascii="Calibri" w:hAnsi="Calibri"/>
          <w:sz w:val="24"/>
        </w:rPr>
        <w:t xml:space="preserve">41. </w:t>
      </w:r>
      <w:r w:rsidRPr="00EA1E04">
        <w:rPr>
          <w:rFonts w:ascii="Calibri" w:hAnsi="Calibri"/>
          <w:sz w:val="24"/>
        </w:rPr>
        <w:tab/>
        <w:t>Nilsen P, Aalto M, Bendtsen P, Seppä K. Effectiveness of strategies to implement brief alcohol intervention in primary healthcare. Scan</w:t>
      </w:r>
      <w:r w:rsidR="005A6BA9" w:rsidRPr="00EA1E04">
        <w:rPr>
          <w:rFonts w:ascii="Calibri" w:hAnsi="Calibri"/>
          <w:sz w:val="24"/>
        </w:rPr>
        <w:t>d J Prim Health Care. 2006</w:t>
      </w:r>
      <w:r w:rsidRPr="00EA1E04">
        <w:rPr>
          <w:rFonts w:ascii="Calibri" w:hAnsi="Calibri"/>
          <w:sz w:val="24"/>
        </w:rPr>
        <w:t xml:space="preserve">;24(1):5–15. </w:t>
      </w:r>
    </w:p>
    <w:p w:rsidR="000613A0" w:rsidRPr="00EA1E04" w:rsidRDefault="000613A0" w:rsidP="000613A0">
      <w:pPr>
        <w:pStyle w:val="Bibliography"/>
        <w:rPr>
          <w:rFonts w:ascii="Calibri" w:hAnsi="Calibri"/>
          <w:sz w:val="24"/>
        </w:rPr>
      </w:pPr>
      <w:r w:rsidRPr="00EA1E04">
        <w:rPr>
          <w:rFonts w:ascii="Calibri" w:hAnsi="Calibri"/>
          <w:sz w:val="24"/>
        </w:rPr>
        <w:t xml:space="preserve">42. </w:t>
      </w:r>
      <w:r w:rsidRPr="00EA1E04">
        <w:rPr>
          <w:rFonts w:ascii="Calibri" w:hAnsi="Calibri"/>
          <w:sz w:val="24"/>
        </w:rPr>
        <w:tab/>
        <w:t>Johnson M, Jackson R, Guillaume L, Meier P, Goyder E. Barriers and facilitators to implementing screening and brief intervention for alcohol misuse: a systematic review of qualitative evide</w:t>
      </w:r>
      <w:r w:rsidR="005A6BA9" w:rsidRPr="00EA1E04">
        <w:rPr>
          <w:rFonts w:ascii="Calibri" w:hAnsi="Calibri"/>
          <w:sz w:val="24"/>
        </w:rPr>
        <w:t>nce. J Public Health. 2011</w:t>
      </w:r>
      <w:r w:rsidRPr="00EA1E04">
        <w:rPr>
          <w:rFonts w:ascii="Calibri" w:hAnsi="Calibri"/>
          <w:sz w:val="24"/>
        </w:rPr>
        <w:t xml:space="preserve">;33(3):412–21. </w:t>
      </w:r>
    </w:p>
    <w:p w:rsidR="000613A0" w:rsidRPr="00EA1E04" w:rsidRDefault="000613A0" w:rsidP="000613A0">
      <w:pPr>
        <w:pStyle w:val="Bibliography"/>
        <w:rPr>
          <w:rFonts w:ascii="Calibri" w:hAnsi="Calibri"/>
          <w:sz w:val="24"/>
        </w:rPr>
      </w:pPr>
      <w:r w:rsidRPr="00EA1E04">
        <w:rPr>
          <w:rFonts w:ascii="Calibri" w:hAnsi="Calibri"/>
          <w:sz w:val="24"/>
        </w:rPr>
        <w:lastRenderedPageBreak/>
        <w:t xml:space="preserve">43. </w:t>
      </w:r>
      <w:r w:rsidRPr="00EA1E04">
        <w:rPr>
          <w:rFonts w:ascii="Calibri" w:hAnsi="Calibri"/>
          <w:sz w:val="24"/>
        </w:rPr>
        <w:tab/>
        <w:t>Nilsen P. Brief alcohol intervention—where to from here? Challenges remain for research and</w:t>
      </w:r>
      <w:r w:rsidR="005A6BA9" w:rsidRPr="00EA1E04">
        <w:rPr>
          <w:rFonts w:ascii="Calibri" w:hAnsi="Calibri"/>
          <w:sz w:val="24"/>
        </w:rPr>
        <w:t xml:space="preserve"> practice. Addiction. 2010</w:t>
      </w:r>
      <w:r w:rsidRPr="00EA1E04">
        <w:rPr>
          <w:rFonts w:ascii="Calibri" w:hAnsi="Calibri"/>
          <w:sz w:val="24"/>
        </w:rPr>
        <w:t xml:space="preserve">;105(6):954–9. </w:t>
      </w:r>
    </w:p>
    <w:p w:rsidR="000613A0" w:rsidRPr="00EA1E04" w:rsidRDefault="000613A0" w:rsidP="000613A0">
      <w:pPr>
        <w:pStyle w:val="Bibliography"/>
        <w:rPr>
          <w:rFonts w:ascii="Calibri" w:hAnsi="Calibri"/>
          <w:sz w:val="24"/>
        </w:rPr>
      </w:pPr>
      <w:r w:rsidRPr="00EA1E04">
        <w:rPr>
          <w:rFonts w:ascii="Calibri" w:hAnsi="Calibri"/>
          <w:sz w:val="24"/>
        </w:rPr>
        <w:t xml:space="preserve">44. </w:t>
      </w:r>
      <w:r w:rsidRPr="00EA1E04">
        <w:rPr>
          <w:rFonts w:ascii="Calibri" w:hAnsi="Calibri"/>
          <w:sz w:val="24"/>
        </w:rPr>
        <w:tab/>
        <w:t>Nilsen P, Holmquist M. Alcohol Issues in Daily healthcare. The Risky Drinking Project: Background, Strategy and Results. Swed Natl In</w:t>
      </w:r>
      <w:r w:rsidR="007719C5" w:rsidRPr="00EA1E04">
        <w:rPr>
          <w:rFonts w:ascii="Calibri" w:hAnsi="Calibri"/>
          <w:sz w:val="24"/>
        </w:rPr>
        <w:t>st Public Health Stockh. 2010</w:t>
      </w:r>
      <w:r w:rsidR="005A6BA9" w:rsidRPr="00EA1E04">
        <w:rPr>
          <w:rFonts w:ascii="Calibri" w:hAnsi="Calibri"/>
          <w:sz w:val="24"/>
        </w:rPr>
        <w:t>.</w:t>
      </w:r>
    </w:p>
    <w:p w:rsidR="005A6BA9" w:rsidRPr="00EA1E04" w:rsidRDefault="000613A0" w:rsidP="000613A0">
      <w:pPr>
        <w:pStyle w:val="Bibliography"/>
        <w:rPr>
          <w:rFonts w:ascii="Calibri" w:hAnsi="Calibri"/>
          <w:sz w:val="24"/>
        </w:rPr>
      </w:pPr>
      <w:r w:rsidRPr="00EA1E04">
        <w:rPr>
          <w:rFonts w:ascii="Calibri" w:hAnsi="Calibri"/>
          <w:sz w:val="24"/>
        </w:rPr>
        <w:t xml:space="preserve">45. </w:t>
      </w:r>
      <w:r w:rsidRPr="00EA1E04">
        <w:rPr>
          <w:rFonts w:ascii="Calibri" w:hAnsi="Calibri"/>
          <w:sz w:val="24"/>
        </w:rPr>
        <w:tab/>
      </w:r>
      <w:r w:rsidR="005A6BA9" w:rsidRPr="00EA1E04">
        <w:rPr>
          <w:rFonts w:ascii="Calibri" w:hAnsi="Calibri"/>
          <w:sz w:val="24"/>
        </w:rPr>
        <w:t xml:space="preserve">Heather N.  WHO Collaborative Project on Identification and Management of Alcohol-Related Problems in Primary Health Care. Development of Country-wide Strategies for Implementing Early Identification and Brief Intervention in Primary Health Care. Report to the World Health Organization on Phase IV. Available at: http://www.who.int/substance_abuse/publications/identification_management_alcoholproblems_phaseiv.pdf. (Accessed: 03 June 2015) </w:t>
      </w:r>
      <w:hyperlink r:id="rId14" w:history="1">
        <w:r w:rsidR="005A6BA9" w:rsidRPr="00EA1E04">
          <w:rPr>
            <w:rStyle w:val="Hyperlink"/>
            <w:rFonts w:ascii="Calibri" w:hAnsi="Calibri"/>
            <w:b/>
            <w:bCs/>
            <w:color w:val="auto"/>
            <w:sz w:val="24"/>
          </w:rPr>
          <w:t>(Archived by WebCite</w:t>
        </w:r>
        <w:r w:rsidR="005A6BA9" w:rsidRPr="00EA1E04">
          <w:rPr>
            <w:rStyle w:val="Hyperlink"/>
            <w:rFonts w:ascii="Calibri" w:hAnsi="Calibri"/>
            <w:b/>
            <w:bCs/>
            <w:color w:val="auto"/>
            <w:sz w:val="24"/>
            <w:vertAlign w:val="superscript"/>
          </w:rPr>
          <w:t>®</w:t>
        </w:r>
        <w:r w:rsidR="005A6BA9" w:rsidRPr="00EA1E04">
          <w:rPr>
            <w:rStyle w:val="Hyperlink"/>
            <w:rFonts w:ascii="Calibri" w:hAnsi="Calibri"/>
            <w:b/>
            <w:bCs/>
            <w:color w:val="auto"/>
            <w:sz w:val="24"/>
          </w:rPr>
          <w:t> at http://www.webcitation.org/6ZbagH00z)</w:t>
        </w:r>
      </w:hyperlink>
    </w:p>
    <w:p w:rsidR="000613A0" w:rsidRPr="00EA1E04" w:rsidRDefault="000613A0" w:rsidP="000613A0">
      <w:pPr>
        <w:pStyle w:val="Bibliography"/>
        <w:rPr>
          <w:rFonts w:ascii="Calibri" w:hAnsi="Calibri"/>
          <w:sz w:val="24"/>
        </w:rPr>
      </w:pPr>
      <w:r w:rsidRPr="00EA1E04">
        <w:rPr>
          <w:rFonts w:ascii="Calibri" w:hAnsi="Calibri"/>
          <w:sz w:val="24"/>
        </w:rPr>
        <w:t xml:space="preserve">46. </w:t>
      </w:r>
      <w:r w:rsidRPr="00EA1E04">
        <w:rPr>
          <w:rFonts w:ascii="Calibri" w:hAnsi="Calibri"/>
          <w:sz w:val="24"/>
        </w:rPr>
        <w:tab/>
        <w:t xml:space="preserve">Coleman T. Do financial incentives for delivering health promotion counselling work? Analysis of smoking cessation activities stimulated by the quality and outcomes framework. BMC Publ Health. 2010;10:167. </w:t>
      </w:r>
    </w:p>
    <w:p w:rsidR="000613A0" w:rsidRPr="00EA1E04" w:rsidRDefault="000613A0" w:rsidP="000613A0">
      <w:pPr>
        <w:pStyle w:val="Bibliography"/>
        <w:rPr>
          <w:rFonts w:ascii="Calibri" w:hAnsi="Calibri"/>
          <w:sz w:val="24"/>
        </w:rPr>
      </w:pPr>
      <w:r w:rsidRPr="00EA1E04">
        <w:rPr>
          <w:rFonts w:ascii="Calibri" w:hAnsi="Calibri"/>
          <w:sz w:val="24"/>
        </w:rPr>
        <w:t xml:space="preserve">47. </w:t>
      </w:r>
      <w:r w:rsidRPr="00EA1E04">
        <w:rPr>
          <w:rFonts w:ascii="Calibri" w:hAnsi="Calibri"/>
          <w:sz w:val="24"/>
        </w:rPr>
        <w:tab/>
        <w:t xml:space="preserve">Grant BF. Prevalence and correlates of alcohol use and DSM-IV alcohol dependence in the United States: results of the National Longitudinal Alcohol Epidemiologic </w:t>
      </w:r>
      <w:r w:rsidR="004C03F7" w:rsidRPr="00EA1E04">
        <w:rPr>
          <w:rFonts w:ascii="Calibri" w:hAnsi="Calibri"/>
          <w:sz w:val="24"/>
        </w:rPr>
        <w:t xml:space="preserve">Survey. J Stud Alcohol. 1997 </w:t>
      </w:r>
      <w:r w:rsidRPr="00EA1E04">
        <w:rPr>
          <w:rFonts w:ascii="Calibri" w:hAnsi="Calibri"/>
          <w:sz w:val="24"/>
        </w:rPr>
        <w:t xml:space="preserve">;58(5):464–73. </w:t>
      </w:r>
    </w:p>
    <w:p w:rsidR="000613A0" w:rsidRPr="00EA1E04" w:rsidRDefault="000613A0" w:rsidP="000613A0">
      <w:pPr>
        <w:pStyle w:val="Bibliography"/>
        <w:rPr>
          <w:rFonts w:ascii="Calibri" w:hAnsi="Calibri"/>
          <w:sz w:val="24"/>
        </w:rPr>
      </w:pPr>
      <w:r w:rsidRPr="00EA1E04">
        <w:rPr>
          <w:rFonts w:ascii="Calibri" w:hAnsi="Calibri"/>
          <w:sz w:val="24"/>
        </w:rPr>
        <w:t xml:space="preserve">48. </w:t>
      </w:r>
      <w:r w:rsidRPr="00EA1E04">
        <w:rPr>
          <w:rFonts w:ascii="Calibri" w:hAnsi="Calibri"/>
          <w:sz w:val="24"/>
        </w:rPr>
        <w:tab/>
        <w:t>Rehm J, Mathers C, Popova S, Thavorncharoensap M, Teerawattananon Y, Patra J. Global burden of disease and injury and economic cost attributable to alcohol use and alcohol-u</w:t>
      </w:r>
      <w:r w:rsidR="007719C5" w:rsidRPr="00EA1E04">
        <w:rPr>
          <w:rFonts w:ascii="Calibri" w:hAnsi="Calibri"/>
          <w:sz w:val="24"/>
        </w:rPr>
        <w:t>se disorders. The Lancet. 2009</w:t>
      </w:r>
      <w:r w:rsidRPr="00EA1E04">
        <w:rPr>
          <w:rFonts w:ascii="Calibri" w:hAnsi="Calibri"/>
          <w:sz w:val="24"/>
        </w:rPr>
        <w:t xml:space="preserve">;373(9682):2223–33. </w:t>
      </w:r>
    </w:p>
    <w:p w:rsidR="009742F0" w:rsidRPr="00EA1E04" w:rsidRDefault="009742F0" w:rsidP="00CB1235">
      <w:pPr>
        <w:pStyle w:val="Bibliography"/>
        <w:jc w:val="both"/>
        <w:rPr>
          <w:sz w:val="24"/>
          <w:szCs w:val="24"/>
        </w:rPr>
      </w:pPr>
      <w:r w:rsidRPr="00EA1E04">
        <w:fldChar w:fldCharType="end"/>
      </w:r>
      <w:r w:rsidRPr="00EA1E04">
        <w:rPr>
          <w:sz w:val="24"/>
          <w:szCs w:val="24"/>
        </w:rPr>
        <w:fldChar w:fldCharType="begin"/>
      </w:r>
      <w:r w:rsidRPr="00EA1E04">
        <w:rPr>
          <w:sz w:val="24"/>
          <w:szCs w:val="24"/>
        </w:rPr>
        <w:instrText xml:space="preserve"> ADDIN EN.REFLIST </w:instrText>
      </w:r>
      <w:r w:rsidRPr="00EA1E04">
        <w:rPr>
          <w:sz w:val="24"/>
          <w:szCs w:val="24"/>
        </w:rPr>
        <w:fldChar w:fldCharType="end"/>
      </w:r>
    </w:p>
    <w:p w:rsidR="00BB508E" w:rsidRPr="00EA1E04" w:rsidRDefault="00BB508E"/>
    <w:sectPr w:rsidR="00BB508E" w:rsidRPr="00EA1E04" w:rsidSect="0065472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ECF" w:rsidRDefault="000F2ECF" w:rsidP="005A585F">
      <w:pPr>
        <w:spacing w:after="0" w:line="240" w:lineRule="auto"/>
      </w:pPr>
      <w:r>
        <w:separator/>
      </w:r>
    </w:p>
  </w:endnote>
  <w:endnote w:type="continuationSeparator" w:id="0">
    <w:p w:rsidR="000F2ECF" w:rsidRDefault="000F2ECF" w:rsidP="005A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022364"/>
      <w:docPartObj>
        <w:docPartGallery w:val="Page Numbers (Bottom of Page)"/>
        <w:docPartUnique/>
      </w:docPartObj>
    </w:sdtPr>
    <w:sdtEndPr>
      <w:rPr>
        <w:noProof/>
      </w:rPr>
    </w:sdtEndPr>
    <w:sdtContent>
      <w:p w:rsidR="00EA1E04" w:rsidRDefault="00EA1E04">
        <w:pPr>
          <w:pStyle w:val="Footer"/>
          <w:jc w:val="center"/>
        </w:pPr>
        <w:r>
          <w:fldChar w:fldCharType="begin"/>
        </w:r>
        <w:r>
          <w:instrText xml:space="preserve"> PAGE   \* MERGEFORMAT </w:instrText>
        </w:r>
        <w:r>
          <w:fldChar w:fldCharType="separate"/>
        </w:r>
        <w:r w:rsidR="0037520D">
          <w:rPr>
            <w:noProof/>
          </w:rPr>
          <w:t>1</w:t>
        </w:r>
        <w:r>
          <w:rPr>
            <w:noProof/>
          </w:rPr>
          <w:fldChar w:fldCharType="end"/>
        </w:r>
      </w:p>
    </w:sdtContent>
  </w:sdt>
  <w:p w:rsidR="00EA1E04" w:rsidRDefault="00EA1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ECF" w:rsidRDefault="000F2ECF" w:rsidP="005A585F">
      <w:pPr>
        <w:spacing w:after="0" w:line="240" w:lineRule="auto"/>
      </w:pPr>
      <w:r>
        <w:separator/>
      </w:r>
    </w:p>
  </w:footnote>
  <w:footnote w:type="continuationSeparator" w:id="0">
    <w:p w:rsidR="000F2ECF" w:rsidRDefault="000F2ECF" w:rsidP="005A5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F3F"/>
    <w:multiLevelType w:val="hybridMultilevel"/>
    <w:tmpl w:val="A172F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471F4"/>
    <w:multiLevelType w:val="multilevel"/>
    <w:tmpl w:val="8D1E3C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670AD6"/>
    <w:multiLevelType w:val="hybridMultilevel"/>
    <w:tmpl w:val="C5A840F0"/>
    <w:lvl w:ilvl="0" w:tplc="CA48B8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6285C"/>
    <w:multiLevelType w:val="hybridMultilevel"/>
    <w:tmpl w:val="149ACB1E"/>
    <w:lvl w:ilvl="0" w:tplc="B14C53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991799"/>
    <w:multiLevelType w:val="hybridMultilevel"/>
    <w:tmpl w:val="64E4D358"/>
    <w:lvl w:ilvl="0" w:tplc="64F687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57187B"/>
    <w:multiLevelType w:val="hybridMultilevel"/>
    <w:tmpl w:val="858CEDA8"/>
    <w:lvl w:ilvl="0" w:tplc="E5BC0E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F0"/>
    <w:rsid w:val="00004D03"/>
    <w:rsid w:val="000172AE"/>
    <w:rsid w:val="00022823"/>
    <w:rsid w:val="0002329D"/>
    <w:rsid w:val="00024B43"/>
    <w:rsid w:val="00036826"/>
    <w:rsid w:val="00046E8F"/>
    <w:rsid w:val="00056671"/>
    <w:rsid w:val="000613A0"/>
    <w:rsid w:val="000661F8"/>
    <w:rsid w:val="00074CC7"/>
    <w:rsid w:val="00083F9C"/>
    <w:rsid w:val="00095C2D"/>
    <w:rsid w:val="00097F84"/>
    <w:rsid w:val="000A0AD6"/>
    <w:rsid w:val="000A26FE"/>
    <w:rsid w:val="000A3E8D"/>
    <w:rsid w:val="000B244E"/>
    <w:rsid w:val="000C0162"/>
    <w:rsid w:val="000D39AF"/>
    <w:rsid w:val="000D79DB"/>
    <w:rsid w:val="000D7A17"/>
    <w:rsid w:val="000E4F0C"/>
    <w:rsid w:val="000F2ECF"/>
    <w:rsid w:val="000F4B30"/>
    <w:rsid w:val="001003D1"/>
    <w:rsid w:val="00101C45"/>
    <w:rsid w:val="00102D7F"/>
    <w:rsid w:val="0010413B"/>
    <w:rsid w:val="00111716"/>
    <w:rsid w:val="00114165"/>
    <w:rsid w:val="001141B7"/>
    <w:rsid w:val="00117FF6"/>
    <w:rsid w:val="0012158E"/>
    <w:rsid w:val="00127726"/>
    <w:rsid w:val="00140689"/>
    <w:rsid w:val="00141D63"/>
    <w:rsid w:val="00145850"/>
    <w:rsid w:val="0015183D"/>
    <w:rsid w:val="00152F85"/>
    <w:rsid w:val="00160393"/>
    <w:rsid w:val="0017476B"/>
    <w:rsid w:val="0017792A"/>
    <w:rsid w:val="00184553"/>
    <w:rsid w:val="00187596"/>
    <w:rsid w:val="001954F9"/>
    <w:rsid w:val="001958F7"/>
    <w:rsid w:val="001A191E"/>
    <w:rsid w:val="001A56EF"/>
    <w:rsid w:val="001A6AC6"/>
    <w:rsid w:val="001B5DC4"/>
    <w:rsid w:val="001B5E4E"/>
    <w:rsid w:val="001D1C7C"/>
    <w:rsid w:val="001E1FE2"/>
    <w:rsid w:val="001E6C42"/>
    <w:rsid w:val="001E7D25"/>
    <w:rsid w:val="001F655F"/>
    <w:rsid w:val="00200766"/>
    <w:rsid w:val="00211A8F"/>
    <w:rsid w:val="00213380"/>
    <w:rsid w:val="0022388F"/>
    <w:rsid w:val="0022404C"/>
    <w:rsid w:val="00241B59"/>
    <w:rsid w:val="002421A4"/>
    <w:rsid w:val="00245B7E"/>
    <w:rsid w:val="002809EC"/>
    <w:rsid w:val="00285878"/>
    <w:rsid w:val="002872FE"/>
    <w:rsid w:val="00287DBE"/>
    <w:rsid w:val="00291900"/>
    <w:rsid w:val="002A142F"/>
    <w:rsid w:val="002B0D51"/>
    <w:rsid w:val="002B2399"/>
    <w:rsid w:val="002D3122"/>
    <w:rsid w:val="002F134F"/>
    <w:rsid w:val="002F5B2C"/>
    <w:rsid w:val="002F5F90"/>
    <w:rsid w:val="002F6E9E"/>
    <w:rsid w:val="00300475"/>
    <w:rsid w:val="00300B62"/>
    <w:rsid w:val="003102BB"/>
    <w:rsid w:val="003110D5"/>
    <w:rsid w:val="0032002D"/>
    <w:rsid w:val="003273D6"/>
    <w:rsid w:val="0034320F"/>
    <w:rsid w:val="00344068"/>
    <w:rsid w:val="00353609"/>
    <w:rsid w:val="00355CD5"/>
    <w:rsid w:val="00357ADA"/>
    <w:rsid w:val="00362D58"/>
    <w:rsid w:val="0036398C"/>
    <w:rsid w:val="0037520D"/>
    <w:rsid w:val="003931ED"/>
    <w:rsid w:val="003933D7"/>
    <w:rsid w:val="00395B6A"/>
    <w:rsid w:val="0039623A"/>
    <w:rsid w:val="00397A1E"/>
    <w:rsid w:val="003A1D2C"/>
    <w:rsid w:val="003B0E8C"/>
    <w:rsid w:val="003B0F48"/>
    <w:rsid w:val="003B334C"/>
    <w:rsid w:val="003B5563"/>
    <w:rsid w:val="003C19CF"/>
    <w:rsid w:val="003D4E8E"/>
    <w:rsid w:val="003E1882"/>
    <w:rsid w:val="003F2887"/>
    <w:rsid w:val="0040260A"/>
    <w:rsid w:val="00404E86"/>
    <w:rsid w:val="00412DF8"/>
    <w:rsid w:val="004138CC"/>
    <w:rsid w:val="00433AF3"/>
    <w:rsid w:val="00471FD8"/>
    <w:rsid w:val="00474795"/>
    <w:rsid w:val="00480D28"/>
    <w:rsid w:val="004810F3"/>
    <w:rsid w:val="0049125E"/>
    <w:rsid w:val="00492AEB"/>
    <w:rsid w:val="004953BB"/>
    <w:rsid w:val="004B295C"/>
    <w:rsid w:val="004B2A01"/>
    <w:rsid w:val="004C0247"/>
    <w:rsid w:val="004C03F7"/>
    <w:rsid w:val="004D29F6"/>
    <w:rsid w:val="004D2D8B"/>
    <w:rsid w:val="004D547E"/>
    <w:rsid w:val="004E12EE"/>
    <w:rsid w:val="004E2BC5"/>
    <w:rsid w:val="004E3098"/>
    <w:rsid w:val="004F38E2"/>
    <w:rsid w:val="004F794E"/>
    <w:rsid w:val="0051544C"/>
    <w:rsid w:val="005218A2"/>
    <w:rsid w:val="0052420C"/>
    <w:rsid w:val="00525544"/>
    <w:rsid w:val="00525E9E"/>
    <w:rsid w:val="00526C16"/>
    <w:rsid w:val="00533DC3"/>
    <w:rsid w:val="00534F74"/>
    <w:rsid w:val="00537B8F"/>
    <w:rsid w:val="005464DA"/>
    <w:rsid w:val="00550BA7"/>
    <w:rsid w:val="0055165F"/>
    <w:rsid w:val="00554E93"/>
    <w:rsid w:val="005625C2"/>
    <w:rsid w:val="0058051E"/>
    <w:rsid w:val="0059148B"/>
    <w:rsid w:val="00597CA6"/>
    <w:rsid w:val="005A164E"/>
    <w:rsid w:val="005A3985"/>
    <w:rsid w:val="005A585F"/>
    <w:rsid w:val="005A6902"/>
    <w:rsid w:val="005A6BA9"/>
    <w:rsid w:val="005B3245"/>
    <w:rsid w:val="005B4EC9"/>
    <w:rsid w:val="005B524C"/>
    <w:rsid w:val="005F1775"/>
    <w:rsid w:val="005F2814"/>
    <w:rsid w:val="005F7C30"/>
    <w:rsid w:val="00607EF7"/>
    <w:rsid w:val="00615BEC"/>
    <w:rsid w:val="00630DFF"/>
    <w:rsid w:val="0063196A"/>
    <w:rsid w:val="006345E1"/>
    <w:rsid w:val="00647100"/>
    <w:rsid w:val="00650F1A"/>
    <w:rsid w:val="00653974"/>
    <w:rsid w:val="0065472B"/>
    <w:rsid w:val="006707BA"/>
    <w:rsid w:val="0067158E"/>
    <w:rsid w:val="00671B6E"/>
    <w:rsid w:val="006817BC"/>
    <w:rsid w:val="00690994"/>
    <w:rsid w:val="0069502C"/>
    <w:rsid w:val="006967EA"/>
    <w:rsid w:val="006B1955"/>
    <w:rsid w:val="006C0975"/>
    <w:rsid w:val="006D03D4"/>
    <w:rsid w:val="006D05BD"/>
    <w:rsid w:val="006D5676"/>
    <w:rsid w:val="006E2EB8"/>
    <w:rsid w:val="006F01DA"/>
    <w:rsid w:val="006F156D"/>
    <w:rsid w:val="006F6FCC"/>
    <w:rsid w:val="007041D4"/>
    <w:rsid w:val="00710924"/>
    <w:rsid w:val="0072323D"/>
    <w:rsid w:val="00724751"/>
    <w:rsid w:val="007274A5"/>
    <w:rsid w:val="00727A7D"/>
    <w:rsid w:val="007325CD"/>
    <w:rsid w:val="00752BB5"/>
    <w:rsid w:val="0075615D"/>
    <w:rsid w:val="00756A32"/>
    <w:rsid w:val="00763AE6"/>
    <w:rsid w:val="007719C5"/>
    <w:rsid w:val="00776C25"/>
    <w:rsid w:val="0078033E"/>
    <w:rsid w:val="007849A6"/>
    <w:rsid w:val="00784E7B"/>
    <w:rsid w:val="0079178F"/>
    <w:rsid w:val="0079382F"/>
    <w:rsid w:val="00796A5D"/>
    <w:rsid w:val="007C63E4"/>
    <w:rsid w:val="007D4D26"/>
    <w:rsid w:val="007D4D7E"/>
    <w:rsid w:val="007D5578"/>
    <w:rsid w:val="007E4AB8"/>
    <w:rsid w:val="00800014"/>
    <w:rsid w:val="00802F91"/>
    <w:rsid w:val="008031A5"/>
    <w:rsid w:val="008051C4"/>
    <w:rsid w:val="008079D5"/>
    <w:rsid w:val="008129DA"/>
    <w:rsid w:val="008144E8"/>
    <w:rsid w:val="00822E2B"/>
    <w:rsid w:val="00830261"/>
    <w:rsid w:val="00842080"/>
    <w:rsid w:val="00847BA7"/>
    <w:rsid w:val="00853340"/>
    <w:rsid w:val="008716AE"/>
    <w:rsid w:val="00873625"/>
    <w:rsid w:val="008766F5"/>
    <w:rsid w:val="008914A1"/>
    <w:rsid w:val="008A0D67"/>
    <w:rsid w:val="008A35CF"/>
    <w:rsid w:val="008A4BD6"/>
    <w:rsid w:val="008A6BCB"/>
    <w:rsid w:val="008B3B62"/>
    <w:rsid w:val="008C1497"/>
    <w:rsid w:val="008C1AEC"/>
    <w:rsid w:val="008C3238"/>
    <w:rsid w:val="008D4609"/>
    <w:rsid w:val="008F1AE8"/>
    <w:rsid w:val="008F375F"/>
    <w:rsid w:val="008F4A16"/>
    <w:rsid w:val="009003DB"/>
    <w:rsid w:val="009039C5"/>
    <w:rsid w:val="0090496B"/>
    <w:rsid w:val="00913D18"/>
    <w:rsid w:val="00917C75"/>
    <w:rsid w:val="00921D40"/>
    <w:rsid w:val="00934EF6"/>
    <w:rsid w:val="009408F0"/>
    <w:rsid w:val="00941CF5"/>
    <w:rsid w:val="00942A0D"/>
    <w:rsid w:val="00942BB1"/>
    <w:rsid w:val="009551AC"/>
    <w:rsid w:val="00955A34"/>
    <w:rsid w:val="00961636"/>
    <w:rsid w:val="00962B93"/>
    <w:rsid w:val="00963098"/>
    <w:rsid w:val="00971C00"/>
    <w:rsid w:val="009729BD"/>
    <w:rsid w:val="009742F0"/>
    <w:rsid w:val="00977ECD"/>
    <w:rsid w:val="00982A3F"/>
    <w:rsid w:val="00987C88"/>
    <w:rsid w:val="00987D43"/>
    <w:rsid w:val="00991DB9"/>
    <w:rsid w:val="009A167C"/>
    <w:rsid w:val="009B0BC9"/>
    <w:rsid w:val="009C7B98"/>
    <w:rsid w:val="009D2EFE"/>
    <w:rsid w:val="009D405D"/>
    <w:rsid w:val="009D459D"/>
    <w:rsid w:val="009E0799"/>
    <w:rsid w:val="009E40D1"/>
    <w:rsid w:val="009E436E"/>
    <w:rsid w:val="009F1E3A"/>
    <w:rsid w:val="00A15001"/>
    <w:rsid w:val="00A34AF3"/>
    <w:rsid w:val="00A42EE3"/>
    <w:rsid w:val="00A43EDC"/>
    <w:rsid w:val="00A81CF1"/>
    <w:rsid w:val="00A92BB6"/>
    <w:rsid w:val="00A9428C"/>
    <w:rsid w:val="00AA347F"/>
    <w:rsid w:val="00AB4B90"/>
    <w:rsid w:val="00AC0BF2"/>
    <w:rsid w:val="00AC0FA8"/>
    <w:rsid w:val="00AC2045"/>
    <w:rsid w:val="00AC2E35"/>
    <w:rsid w:val="00AC51F8"/>
    <w:rsid w:val="00AC70E0"/>
    <w:rsid w:val="00AD163C"/>
    <w:rsid w:val="00AD394D"/>
    <w:rsid w:val="00B00B53"/>
    <w:rsid w:val="00B00D6F"/>
    <w:rsid w:val="00B11496"/>
    <w:rsid w:val="00B40AB4"/>
    <w:rsid w:val="00B43282"/>
    <w:rsid w:val="00B56392"/>
    <w:rsid w:val="00B7375F"/>
    <w:rsid w:val="00B74F04"/>
    <w:rsid w:val="00B7788C"/>
    <w:rsid w:val="00B801FC"/>
    <w:rsid w:val="00B915EB"/>
    <w:rsid w:val="00BA38A9"/>
    <w:rsid w:val="00BB2FD3"/>
    <w:rsid w:val="00BB508E"/>
    <w:rsid w:val="00BB79AB"/>
    <w:rsid w:val="00BC4C1E"/>
    <w:rsid w:val="00BE589B"/>
    <w:rsid w:val="00BF1C25"/>
    <w:rsid w:val="00BF261F"/>
    <w:rsid w:val="00BF39CC"/>
    <w:rsid w:val="00BF4CDA"/>
    <w:rsid w:val="00C00F8A"/>
    <w:rsid w:val="00C21B3D"/>
    <w:rsid w:val="00C25CF0"/>
    <w:rsid w:val="00C26E38"/>
    <w:rsid w:val="00C307ED"/>
    <w:rsid w:val="00C31F6A"/>
    <w:rsid w:val="00C357E1"/>
    <w:rsid w:val="00C438B2"/>
    <w:rsid w:val="00C6191D"/>
    <w:rsid w:val="00C74586"/>
    <w:rsid w:val="00C75C35"/>
    <w:rsid w:val="00C779A8"/>
    <w:rsid w:val="00C817A3"/>
    <w:rsid w:val="00C9535C"/>
    <w:rsid w:val="00CA427A"/>
    <w:rsid w:val="00CB1235"/>
    <w:rsid w:val="00CB35C7"/>
    <w:rsid w:val="00CC175A"/>
    <w:rsid w:val="00CC2939"/>
    <w:rsid w:val="00CC2A1E"/>
    <w:rsid w:val="00CC6B0E"/>
    <w:rsid w:val="00CD5062"/>
    <w:rsid w:val="00CD7E73"/>
    <w:rsid w:val="00CE3982"/>
    <w:rsid w:val="00CF0813"/>
    <w:rsid w:val="00CF5D99"/>
    <w:rsid w:val="00D02014"/>
    <w:rsid w:val="00D17CBA"/>
    <w:rsid w:val="00D404A8"/>
    <w:rsid w:val="00D44C3C"/>
    <w:rsid w:val="00D52AB7"/>
    <w:rsid w:val="00D57762"/>
    <w:rsid w:val="00D607F8"/>
    <w:rsid w:val="00D636D7"/>
    <w:rsid w:val="00D65E59"/>
    <w:rsid w:val="00D73305"/>
    <w:rsid w:val="00D7692D"/>
    <w:rsid w:val="00D803C4"/>
    <w:rsid w:val="00D92BDE"/>
    <w:rsid w:val="00DA2A50"/>
    <w:rsid w:val="00DB2C70"/>
    <w:rsid w:val="00DB2D95"/>
    <w:rsid w:val="00DB50D8"/>
    <w:rsid w:val="00DB5448"/>
    <w:rsid w:val="00DB70ED"/>
    <w:rsid w:val="00DB7188"/>
    <w:rsid w:val="00DC00D7"/>
    <w:rsid w:val="00DC294C"/>
    <w:rsid w:val="00DC7F01"/>
    <w:rsid w:val="00DD0685"/>
    <w:rsid w:val="00DE6B82"/>
    <w:rsid w:val="00E01D86"/>
    <w:rsid w:val="00E063AE"/>
    <w:rsid w:val="00E066D6"/>
    <w:rsid w:val="00E10815"/>
    <w:rsid w:val="00E10DE0"/>
    <w:rsid w:val="00E203D6"/>
    <w:rsid w:val="00E2523F"/>
    <w:rsid w:val="00E26E0B"/>
    <w:rsid w:val="00E275A8"/>
    <w:rsid w:val="00E4055A"/>
    <w:rsid w:val="00E4765A"/>
    <w:rsid w:val="00E5167E"/>
    <w:rsid w:val="00E52301"/>
    <w:rsid w:val="00E53467"/>
    <w:rsid w:val="00E6126B"/>
    <w:rsid w:val="00E6136D"/>
    <w:rsid w:val="00E8699D"/>
    <w:rsid w:val="00E9114F"/>
    <w:rsid w:val="00EA1E04"/>
    <w:rsid w:val="00EA2BBB"/>
    <w:rsid w:val="00EB71EA"/>
    <w:rsid w:val="00EB7E52"/>
    <w:rsid w:val="00EC1196"/>
    <w:rsid w:val="00EE3325"/>
    <w:rsid w:val="00EF0508"/>
    <w:rsid w:val="00F07D54"/>
    <w:rsid w:val="00F339C4"/>
    <w:rsid w:val="00F36279"/>
    <w:rsid w:val="00F36EAB"/>
    <w:rsid w:val="00F41E29"/>
    <w:rsid w:val="00F503DB"/>
    <w:rsid w:val="00F64955"/>
    <w:rsid w:val="00F72C36"/>
    <w:rsid w:val="00F8263E"/>
    <w:rsid w:val="00F847CA"/>
    <w:rsid w:val="00F94A2A"/>
    <w:rsid w:val="00F958B5"/>
    <w:rsid w:val="00FB4369"/>
    <w:rsid w:val="00FB5FC4"/>
    <w:rsid w:val="00FC0A4A"/>
    <w:rsid w:val="00FC6E3C"/>
    <w:rsid w:val="00FD189A"/>
    <w:rsid w:val="00FE71B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38DBB-D332-45E4-80EC-E32A4699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F0"/>
  </w:style>
  <w:style w:type="paragraph" w:styleId="Heading1">
    <w:name w:val="heading 1"/>
    <w:basedOn w:val="Normal"/>
    <w:next w:val="Normal"/>
    <w:link w:val="Heading1Char"/>
    <w:uiPriority w:val="9"/>
    <w:qFormat/>
    <w:rsid w:val="009742F0"/>
    <w:pPr>
      <w:keepNext/>
      <w:keepLines/>
      <w:numPr>
        <w:numId w:val="1"/>
      </w:numPr>
      <w:spacing w:before="360" w:after="240"/>
      <w:outlineLvl w:val="0"/>
    </w:pPr>
    <w:rPr>
      <w:rFonts w:eastAsiaTheme="majorEastAsia" w:cstheme="majorBidi"/>
      <w:b/>
      <w:bCs/>
      <w:sz w:val="24"/>
      <w:szCs w:val="28"/>
    </w:rPr>
  </w:style>
  <w:style w:type="paragraph" w:styleId="Heading2">
    <w:name w:val="heading 2"/>
    <w:basedOn w:val="Normal"/>
    <w:next w:val="Normal"/>
    <w:link w:val="Heading2Char"/>
    <w:autoRedefine/>
    <w:uiPriority w:val="9"/>
    <w:unhideWhenUsed/>
    <w:qFormat/>
    <w:rsid w:val="009742F0"/>
    <w:pPr>
      <w:keepNext/>
      <w:keepLines/>
      <w:numPr>
        <w:ilvl w:val="1"/>
        <w:numId w:val="1"/>
      </w:numPr>
      <w:spacing w:before="200" w:after="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9742F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2F0"/>
    <w:rPr>
      <w:rFonts w:eastAsiaTheme="majorEastAsia" w:cstheme="majorBidi"/>
      <w:b/>
      <w:bCs/>
      <w:sz w:val="24"/>
      <w:szCs w:val="28"/>
    </w:rPr>
  </w:style>
  <w:style w:type="character" w:customStyle="1" w:styleId="Heading2Char">
    <w:name w:val="Heading 2 Char"/>
    <w:basedOn w:val="DefaultParagraphFont"/>
    <w:link w:val="Heading2"/>
    <w:uiPriority w:val="9"/>
    <w:rsid w:val="009742F0"/>
    <w:rPr>
      <w:rFonts w:eastAsiaTheme="majorEastAsia" w:cstheme="majorBidi"/>
      <w:b/>
      <w:bCs/>
      <w:color w:val="4F81BD" w:themeColor="accent1"/>
      <w:sz w:val="24"/>
      <w:szCs w:val="26"/>
    </w:rPr>
  </w:style>
  <w:style w:type="character" w:customStyle="1" w:styleId="Heading3Char">
    <w:name w:val="Heading 3 Char"/>
    <w:basedOn w:val="DefaultParagraphFont"/>
    <w:link w:val="Heading3"/>
    <w:uiPriority w:val="9"/>
    <w:rsid w:val="009742F0"/>
    <w:rPr>
      <w:rFonts w:asciiTheme="majorHAnsi" w:eastAsiaTheme="majorEastAsia" w:hAnsiTheme="majorHAnsi" w:cstheme="majorBidi"/>
      <w:b/>
      <w:bCs/>
      <w:color w:val="4F81BD" w:themeColor="accent1"/>
    </w:rPr>
  </w:style>
  <w:style w:type="table" w:customStyle="1" w:styleId="LightList1">
    <w:name w:val="Light List1"/>
    <w:basedOn w:val="TableNormal"/>
    <w:next w:val="LightList"/>
    <w:uiPriority w:val="61"/>
    <w:rsid w:val="009742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9742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9742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9742F0"/>
    <w:rPr>
      <w:color w:val="0000FF" w:themeColor="hyperlink"/>
      <w:u w:val="single"/>
    </w:rPr>
  </w:style>
  <w:style w:type="paragraph" w:styleId="BalloonText">
    <w:name w:val="Balloon Text"/>
    <w:basedOn w:val="Normal"/>
    <w:link w:val="BalloonTextChar"/>
    <w:uiPriority w:val="99"/>
    <w:semiHidden/>
    <w:unhideWhenUsed/>
    <w:rsid w:val="0097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F0"/>
    <w:rPr>
      <w:rFonts w:ascii="Tahoma" w:hAnsi="Tahoma" w:cs="Tahoma"/>
      <w:sz w:val="16"/>
      <w:szCs w:val="16"/>
    </w:rPr>
  </w:style>
  <w:style w:type="character" w:styleId="CommentReference">
    <w:name w:val="annotation reference"/>
    <w:rsid w:val="009742F0"/>
    <w:rPr>
      <w:sz w:val="16"/>
      <w:szCs w:val="16"/>
    </w:rPr>
  </w:style>
  <w:style w:type="paragraph" w:styleId="CommentText">
    <w:name w:val="annotation text"/>
    <w:basedOn w:val="Normal"/>
    <w:link w:val="CommentTextChar"/>
    <w:rsid w:val="009742F0"/>
    <w:pPr>
      <w:spacing w:after="0" w:line="240" w:lineRule="auto"/>
    </w:pPr>
    <w:rPr>
      <w:rFonts w:ascii="Times New Roman" w:eastAsia="Times New Roman" w:hAnsi="Times New Roman" w:cs="Times New Roman"/>
      <w:sz w:val="20"/>
      <w:szCs w:val="20"/>
      <w:lang w:eastAsia="x-none"/>
    </w:rPr>
  </w:style>
  <w:style w:type="character" w:customStyle="1" w:styleId="CommentTextChar">
    <w:name w:val="Comment Text Char"/>
    <w:basedOn w:val="DefaultParagraphFont"/>
    <w:link w:val="CommentText"/>
    <w:rsid w:val="009742F0"/>
    <w:rPr>
      <w:rFonts w:ascii="Times New Roman" w:eastAsia="Times New Roman" w:hAnsi="Times New Roman" w:cs="Times New Roman"/>
      <w:sz w:val="20"/>
      <w:szCs w:val="20"/>
      <w:lang w:eastAsia="x-none"/>
    </w:rPr>
  </w:style>
  <w:style w:type="table" w:customStyle="1" w:styleId="LightShading1">
    <w:name w:val="Light Shading1"/>
    <w:basedOn w:val="TableNormal"/>
    <w:next w:val="LightShading"/>
    <w:uiPriority w:val="60"/>
    <w:rsid w:val="009742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742F0"/>
    <w:pPr>
      <w:ind w:left="720"/>
      <w:contextualSpacing/>
    </w:pPr>
  </w:style>
  <w:style w:type="paragraph" w:styleId="Header">
    <w:name w:val="header"/>
    <w:basedOn w:val="Normal"/>
    <w:link w:val="HeaderChar"/>
    <w:uiPriority w:val="99"/>
    <w:unhideWhenUsed/>
    <w:rsid w:val="00974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2F0"/>
  </w:style>
  <w:style w:type="paragraph" w:styleId="Footer">
    <w:name w:val="footer"/>
    <w:basedOn w:val="Normal"/>
    <w:link w:val="FooterChar"/>
    <w:uiPriority w:val="99"/>
    <w:unhideWhenUsed/>
    <w:rsid w:val="00974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2F0"/>
  </w:style>
  <w:style w:type="paragraph" w:styleId="Bibliography">
    <w:name w:val="Bibliography"/>
    <w:basedOn w:val="Normal"/>
    <w:next w:val="Normal"/>
    <w:uiPriority w:val="37"/>
    <w:unhideWhenUsed/>
    <w:rsid w:val="009742F0"/>
    <w:pPr>
      <w:tabs>
        <w:tab w:val="left" w:pos="504"/>
      </w:tabs>
      <w:spacing w:after="240" w:line="240" w:lineRule="auto"/>
      <w:ind w:left="504" w:hanging="504"/>
    </w:pPr>
  </w:style>
  <w:style w:type="paragraph" w:styleId="CommentSubject">
    <w:name w:val="annotation subject"/>
    <w:basedOn w:val="CommentText"/>
    <w:next w:val="CommentText"/>
    <w:link w:val="CommentSubjectChar"/>
    <w:uiPriority w:val="99"/>
    <w:semiHidden/>
    <w:unhideWhenUsed/>
    <w:rsid w:val="009742F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742F0"/>
    <w:rPr>
      <w:rFonts w:ascii="Times New Roman" w:eastAsia="Times New Roman" w:hAnsi="Times New Roman" w:cs="Times New Roman"/>
      <w:b/>
      <w:bCs/>
      <w:sz w:val="20"/>
      <w:szCs w:val="20"/>
      <w:lang w:eastAsia="x-none"/>
    </w:rPr>
  </w:style>
  <w:style w:type="paragraph" w:styleId="Revision">
    <w:name w:val="Revision"/>
    <w:hidden/>
    <w:uiPriority w:val="99"/>
    <w:semiHidden/>
    <w:rsid w:val="003B0F48"/>
    <w:pPr>
      <w:spacing w:after="0" w:line="240" w:lineRule="auto"/>
    </w:pPr>
  </w:style>
  <w:style w:type="character" w:styleId="FollowedHyperlink">
    <w:name w:val="FollowedHyperlink"/>
    <w:basedOn w:val="DefaultParagraphFont"/>
    <w:uiPriority w:val="99"/>
    <w:semiHidden/>
    <w:unhideWhenUsed/>
    <w:rsid w:val="009551AC"/>
    <w:rPr>
      <w:color w:val="800080" w:themeColor="followedHyperlink"/>
      <w:u w:val="single"/>
    </w:rPr>
  </w:style>
  <w:style w:type="table" w:styleId="TableGrid">
    <w:name w:val="Table Grid"/>
    <w:basedOn w:val="TableNormal"/>
    <w:uiPriority w:val="59"/>
    <w:rsid w:val="00C30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755975">
      <w:bodyDiv w:val="1"/>
      <w:marLeft w:val="0"/>
      <w:marRight w:val="0"/>
      <w:marTop w:val="0"/>
      <w:marBottom w:val="0"/>
      <w:divBdr>
        <w:top w:val="none" w:sz="0" w:space="0" w:color="auto"/>
        <w:left w:val="none" w:sz="0" w:space="0" w:color="auto"/>
        <w:bottom w:val="none" w:sz="0" w:space="0" w:color="auto"/>
        <w:right w:val="none" w:sz="0" w:space="0" w:color="auto"/>
      </w:divBdr>
    </w:div>
    <w:div w:id="899902564">
      <w:bodyDiv w:val="1"/>
      <w:marLeft w:val="0"/>
      <w:marRight w:val="0"/>
      <w:marTop w:val="0"/>
      <w:marBottom w:val="0"/>
      <w:divBdr>
        <w:top w:val="none" w:sz="0" w:space="0" w:color="auto"/>
        <w:left w:val="none" w:sz="0" w:space="0" w:color="auto"/>
        <w:bottom w:val="none" w:sz="0" w:space="0" w:color="auto"/>
        <w:right w:val="none" w:sz="0" w:space="0" w:color="auto"/>
      </w:divBdr>
    </w:div>
    <w:div w:id="1564216985">
      <w:bodyDiv w:val="1"/>
      <w:marLeft w:val="0"/>
      <w:marRight w:val="0"/>
      <w:marTop w:val="0"/>
      <w:marBottom w:val="0"/>
      <w:divBdr>
        <w:top w:val="none" w:sz="0" w:space="0" w:color="auto"/>
        <w:left w:val="none" w:sz="0" w:space="0" w:color="auto"/>
        <w:bottom w:val="none" w:sz="0" w:space="0" w:color="auto"/>
        <w:right w:val="none" w:sz="0" w:space="0" w:color="auto"/>
      </w:divBdr>
    </w:div>
    <w:div w:id="1639725478">
      <w:bodyDiv w:val="1"/>
      <w:marLeft w:val="0"/>
      <w:marRight w:val="0"/>
      <w:marTop w:val="0"/>
      <w:marBottom w:val="0"/>
      <w:divBdr>
        <w:top w:val="none" w:sz="0" w:space="0" w:color="auto"/>
        <w:left w:val="none" w:sz="0" w:space="0" w:color="auto"/>
        <w:bottom w:val="none" w:sz="0" w:space="0" w:color="auto"/>
        <w:right w:val="none" w:sz="0" w:space="0" w:color="auto"/>
      </w:divBdr>
    </w:div>
    <w:div w:id="1767113412">
      <w:bodyDiv w:val="1"/>
      <w:marLeft w:val="0"/>
      <w:marRight w:val="0"/>
      <w:marTop w:val="0"/>
      <w:marBottom w:val="0"/>
      <w:divBdr>
        <w:top w:val="none" w:sz="0" w:space="0" w:color="auto"/>
        <w:left w:val="none" w:sz="0" w:space="0" w:color="auto"/>
        <w:bottom w:val="none" w:sz="0" w:space="0" w:color="auto"/>
        <w:right w:val="none" w:sz="0" w:space="0" w:color="auto"/>
      </w:divBdr>
    </w:div>
    <w:div w:id="1967195076">
      <w:bodyDiv w:val="1"/>
      <w:marLeft w:val="0"/>
      <w:marRight w:val="0"/>
      <w:marTop w:val="0"/>
      <w:marBottom w:val="0"/>
      <w:divBdr>
        <w:top w:val="none" w:sz="0" w:space="0" w:color="auto"/>
        <w:left w:val="none" w:sz="0" w:space="0" w:color="auto"/>
        <w:bottom w:val="none" w:sz="0" w:space="0" w:color="auto"/>
        <w:right w:val="none" w:sz="0" w:space="0" w:color="auto"/>
      </w:divBdr>
    </w:div>
    <w:div w:id="19710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xehot@nottingham.ac.uk" TargetMode="External"/><Relationship Id="rId13" Type="http://schemas.openxmlformats.org/officeDocument/2006/relationships/hyperlink" Target="http://www.webcitation.org/6ZbavvfQ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mje.org/coi_disclosur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ebcitation.org/6ZbagH00z"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Sheet1!$J$1</c:f>
              <c:strCache>
                <c:ptCount val="1"/>
                <c:pt idx="0">
                  <c:v>Cases</c:v>
                </c:pt>
              </c:strCache>
            </c:strRef>
          </c:tx>
          <c:spPr>
            <a:solidFill>
              <a:schemeClr val="tx2"/>
            </a:solidFill>
          </c:spPr>
          <c:invertIfNegative val="0"/>
          <c:errBars>
            <c:errBarType val="both"/>
            <c:errValType val="cust"/>
            <c:noEndCap val="0"/>
            <c:plus>
              <c:numRef>
                <c:f>(Sheet1!$X$2,Sheet1!$X$3,Sheet1!$X$4,Sheet1!$X$5,Sheet1!$X$6,Sheet1!$X$7,Sheet1!$X$8,Sheet1!$X$9,Sheet1!$X$10,Sheet1!$X$11)</c:f>
                <c:numCache>
                  <c:formatCode>General</c:formatCode>
                  <c:ptCount val="10"/>
                  <c:pt idx="0">
                    <c:v>0.15000000000000036</c:v>
                  </c:pt>
                  <c:pt idx="1">
                    <c:v>0.13000000000000078</c:v>
                  </c:pt>
                  <c:pt idx="2">
                    <c:v>0.14000000000000057</c:v>
                  </c:pt>
                  <c:pt idx="3">
                    <c:v>8.0000000000000071E-2</c:v>
                  </c:pt>
                  <c:pt idx="4">
                    <c:v>0.10000000000000053</c:v>
                  </c:pt>
                  <c:pt idx="5">
                    <c:v>0.19000000000000039</c:v>
                  </c:pt>
                  <c:pt idx="6">
                    <c:v>0.24000000000000021</c:v>
                  </c:pt>
                  <c:pt idx="7">
                    <c:v>0.15000000000000036</c:v>
                  </c:pt>
                  <c:pt idx="8">
                    <c:v>0.20000000000000018</c:v>
                  </c:pt>
                  <c:pt idx="9">
                    <c:v>0.19999999999999929</c:v>
                  </c:pt>
                </c:numCache>
              </c:numRef>
            </c:plus>
            <c:minus>
              <c:numRef>
                <c:f>(Sheet1!$V$2,Sheet1!$V$3,Sheet1!$V$4,Sheet1!$V$5,Sheet1!$V$6,Sheet1!$V$7,Sheet1!$V$8,Sheet1!$V$9,Sheet1!$V$10,Sheet1!$V$11)</c:f>
                <c:numCache>
                  <c:formatCode>General</c:formatCode>
                  <c:ptCount val="10"/>
                  <c:pt idx="0">
                    <c:v>0.15000000000000036</c:v>
                  </c:pt>
                  <c:pt idx="1">
                    <c:v>0.13999999999999879</c:v>
                  </c:pt>
                  <c:pt idx="2">
                    <c:v>0.12999999999999901</c:v>
                  </c:pt>
                  <c:pt idx="3">
                    <c:v>0.1899999999999995</c:v>
                  </c:pt>
                  <c:pt idx="4">
                    <c:v>0.17999999999999972</c:v>
                  </c:pt>
                  <c:pt idx="5">
                    <c:v>9.9999999999999645E-2</c:v>
                  </c:pt>
                  <c:pt idx="6">
                    <c:v>5.9999999999999609E-2</c:v>
                  </c:pt>
                  <c:pt idx="7">
                    <c:v>0.16999999999999993</c:v>
                  </c:pt>
                  <c:pt idx="8">
                    <c:v>9.9999999999999645E-2</c:v>
                  </c:pt>
                  <c:pt idx="9">
                    <c:v>0.10000000000000053</c:v>
                  </c:pt>
                </c:numCache>
              </c:numRef>
            </c:minus>
          </c:errBars>
          <c:val>
            <c:numRef>
              <c:f>Sheet1!$J$2:$J$11</c:f>
              <c:numCache>
                <c:formatCode>0.0</c:formatCode>
                <c:ptCount val="10"/>
                <c:pt idx="0">
                  <c:v>14.82</c:v>
                </c:pt>
                <c:pt idx="1">
                  <c:v>11.1</c:v>
                </c:pt>
                <c:pt idx="2">
                  <c:v>9.6</c:v>
                </c:pt>
                <c:pt idx="3">
                  <c:v>8.4</c:v>
                </c:pt>
                <c:pt idx="4">
                  <c:v>7.8</c:v>
                </c:pt>
                <c:pt idx="5">
                  <c:v>7</c:v>
                </c:pt>
                <c:pt idx="6">
                  <c:v>6.5</c:v>
                </c:pt>
                <c:pt idx="7">
                  <c:v>6</c:v>
                </c:pt>
                <c:pt idx="8">
                  <c:v>5.5</c:v>
                </c:pt>
                <c:pt idx="9">
                  <c:v>5.4</c:v>
                </c:pt>
              </c:numCache>
            </c:numRef>
          </c:val>
        </c:ser>
        <c:ser>
          <c:idx val="1"/>
          <c:order val="1"/>
          <c:tx>
            <c:strRef>
              <c:f>Sheet1!$S$1</c:f>
              <c:strCache>
                <c:ptCount val="1"/>
                <c:pt idx="0">
                  <c:v>Control group</c:v>
                </c:pt>
              </c:strCache>
            </c:strRef>
          </c:tx>
          <c:spPr>
            <a:solidFill>
              <a:schemeClr val="tx2">
                <a:lumMod val="40000"/>
                <a:lumOff val="60000"/>
              </a:schemeClr>
            </a:solidFill>
          </c:spPr>
          <c:invertIfNegative val="0"/>
          <c:errBars>
            <c:errBarType val="both"/>
            <c:errValType val="cust"/>
            <c:noEndCap val="0"/>
            <c:plus>
              <c:numRef>
                <c:f>(Sheet1!$Q$2,Sheet1!$Q$3,Sheet1!$Q$4,Sheet1!$Q$5,Sheet1!$Q$6,Sheet1!$Q$7,Sheet1!$Q$8,Sheet1!$Q$9,Sheet1!$Q$10,Sheet1!$Q$11)</c:f>
                <c:numCache>
                  <c:formatCode>General</c:formatCode>
                  <c:ptCount val="10"/>
                  <c:pt idx="0">
                    <c:v>1.9999999999999574E-2</c:v>
                  </c:pt>
                  <c:pt idx="1">
                    <c:v>4.0000000000000036E-2</c:v>
                  </c:pt>
                  <c:pt idx="2">
                    <c:v>4.0000000000000036E-2</c:v>
                  </c:pt>
                  <c:pt idx="3">
                    <c:v>4.0000000000000036E-2</c:v>
                  </c:pt>
                  <c:pt idx="4">
                    <c:v>6.9999999999999396E-2</c:v>
                  </c:pt>
                  <c:pt idx="5">
                    <c:v>4.9999999999999822E-2</c:v>
                  </c:pt>
                  <c:pt idx="6">
                    <c:v>4.9999999999999822E-2</c:v>
                  </c:pt>
                  <c:pt idx="7">
                    <c:v>5.9999999999999609E-2</c:v>
                  </c:pt>
                  <c:pt idx="8">
                    <c:v>5.9999999999999609E-2</c:v>
                  </c:pt>
                  <c:pt idx="9">
                    <c:v>0.10000000000000053</c:v>
                  </c:pt>
                </c:numCache>
              </c:numRef>
            </c:plus>
            <c:minus>
              <c:numRef>
                <c:f>(Sheet1!$O$2,Sheet1!$O$3,Sheet1!$O$4,Sheet1!$O$5,Sheet1!$O$6,Sheet1!$O$7,Sheet1!$O$8,Sheet1!$O$9,Sheet1!$O$10,Sheet1!$O$11)</c:f>
                <c:numCache>
                  <c:formatCode>General</c:formatCode>
                  <c:ptCount val="10"/>
                  <c:pt idx="0">
                    <c:v>4.0000000000000036E-2</c:v>
                  </c:pt>
                  <c:pt idx="1">
                    <c:v>3.0000000000000249E-2</c:v>
                  </c:pt>
                  <c:pt idx="2">
                    <c:v>2.9999999999999361E-2</c:v>
                  </c:pt>
                  <c:pt idx="3">
                    <c:v>9.9999999999999645E-2</c:v>
                  </c:pt>
                  <c:pt idx="4">
                    <c:v>2.0000000000000462E-2</c:v>
                  </c:pt>
                  <c:pt idx="5">
                    <c:v>3.0000000000000249E-2</c:v>
                  </c:pt>
                  <c:pt idx="6">
                    <c:v>4.0000000000000036E-2</c:v>
                  </c:pt>
                  <c:pt idx="7">
                    <c:v>4.9999999999999822E-2</c:v>
                  </c:pt>
                  <c:pt idx="8">
                    <c:v>5.0000000000000711E-2</c:v>
                  </c:pt>
                  <c:pt idx="9">
                    <c:v>3.0000000000000249E-2</c:v>
                  </c:pt>
                </c:numCache>
              </c:numRef>
            </c:minus>
          </c:errBars>
          <c:val>
            <c:numRef>
              <c:f>Sheet1!$S$2:$S$11</c:f>
              <c:numCache>
                <c:formatCode>0.0</c:formatCode>
                <c:ptCount val="10"/>
                <c:pt idx="0">
                  <c:v>7.08</c:v>
                </c:pt>
                <c:pt idx="1">
                  <c:v>6.83</c:v>
                </c:pt>
                <c:pt idx="2">
                  <c:v>6.35</c:v>
                </c:pt>
                <c:pt idx="3">
                  <c:v>6</c:v>
                </c:pt>
                <c:pt idx="4">
                  <c:v>5.7</c:v>
                </c:pt>
                <c:pt idx="5">
                  <c:v>5.3</c:v>
                </c:pt>
                <c:pt idx="6">
                  <c:v>4.97</c:v>
                </c:pt>
                <c:pt idx="7">
                  <c:v>4.7</c:v>
                </c:pt>
                <c:pt idx="8">
                  <c:v>4.4400000000000004</c:v>
                </c:pt>
                <c:pt idx="9">
                  <c:v>4.3</c:v>
                </c:pt>
              </c:numCache>
            </c:numRef>
          </c:val>
        </c:ser>
        <c:dLbls>
          <c:showLegendKey val="0"/>
          <c:showVal val="0"/>
          <c:showCatName val="0"/>
          <c:showSerName val="0"/>
          <c:showPercent val="0"/>
          <c:showBubbleSize val="0"/>
        </c:dLbls>
        <c:gapWidth val="150"/>
        <c:axId val="285734488"/>
        <c:axId val="285734880"/>
      </c:barChart>
      <c:catAx>
        <c:axId val="285734488"/>
        <c:scaling>
          <c:orientation val="maxMin"/>
        </c:scaling>
        <c:delete val="0"/>
        <c:axPos val="b"/>
        <c:title>
          <c:tx>
            <c:rich>
              <a:bodyPr/>
              <a:lstStyle/>
              <a:p>
                <a:pPr>
                  <a:defRPr/>
                </a:pPr>
                <a:r>
                  <a:rPr lang="en-US"/>
                  <a:t>Time to diagnosis(years)</a:t>
                </a:r>
              </a:p>
            </c:rich>
          </c:tx>
          <c:layout/>
          <c:overlay val="0"/>
        </c:title>
        <c:majorTickMark val="out"/>
        <c:minorTickMark val="none"/>
        <c:tickLblPos val="nextTo"/>
        <c:crossAx val="285734880"/>
        <c:crosses val="autoZero"/>
        <c:auto val="1"/>
        <c:lblAlgn val="ctr"/>
        <c:lblOffset val="100"/>
        <c:noMultiLvlLbl val="0"/>
      </c:catAx>
      <c:valAx>
        <c:axId val="285734880"/>
        <c:scaling>
          <c:orientation val="minMax"/>
        </c:scaling>
        <c:delete val="0"/>
        <c:axPos val="r"/>
        <c:title>
          <c:tx>
            <c:rich>
              <a:bodyPr rot="-5400000" vert="horz"/>
              <a:lstStyle/>
              <a:p>
                <a:pPr>
                  <a:defRPr/>
                </a:pPr>
                <a:r>
                  <a:rPr lang="en-US"/>
                  <a:t>Consultation rates per person-year</a:t>
                </a:r>
              </a:p>
            </c:rich>
          </c:tx>
          <c:layout/>
          <c:overlay val="0"/>
        </c:title>
        <c:numFmt formatCode="0.0" sourceLinked="1"/>
        <c:majorTickMark val="out"/>
        <c:minorTickMark val="none"/>
        <c:tickLblPos val="nextTo"/>
        <c:crossAx val="285734488"/>
        <c:crosses val="autoZero"/>
        <c:crossBetween val="between"/>
      </c:valAx>
    </c:plotArea>
    <c:legend>
      <c:legendPos val="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086594589712629E-2"/>
          <c:y val="0.10841286173633441"/>
          <c:w val="0.84868934855532252"/>
          <c:h val="0.8032126045016077"/>
        </c:manualLayout>
      </c:layout>
      <c:barChart>
        <c:barDir val="col"/>
        <c:grouping val="clustered"/>
        <c:varyColors val="0"/>
        <c:ser>
          <c:idx val="0"/>
          <c:order val="0"/>
          <c:tx>
            <c:strRef>
              <c:f>Sheet1!$AM$17</c:f>
              <c:strCache>
                <c:ptCount val="1"/>
                <c:pt idx="0">
                  <c:v>Cases</c:v>
                </c:pt>
              </c:strCache>
            </c:strRef>
          </c:tx>
          <c:invertIfNegative val="0"/>
          <c:errBars>
            <c:errBarType val="both"/>
            <c:errValType val="cust"/>
            <c:noEndCap val="0"/>
            <c:plus>
              <c:numRef>
                <c:f>(Sheet1!$AK$18,Sheet1!$AK$19,Sheet1!$AK$20,Sheet1!$AK$21,Sheet1!$AK$22,Sheet1!$AK$23,Sheet1!$AK$24,Sheet1!$AK$25,Sheet1!$AK$26,Sheet1!$AK$27)</c:f>
                <c:numCache>
                  <c:formatCode>General</c:formatCode>
                  <c:ptCount val="10"/>
                  <c:pt idx="0">
                    <c:v>0.5</c:v>
                  </c:pt>
                  <c:pt idx="1">
                    <c:v>0.40000000000000036</c:v>
                  </c:pt>
                  <c:pt idx="2">
                    <c:v>0.40000000000000036</c:v>
                  </c:pt>
                  <c:pt idx="3">
                    <c:v>0.29999999999999982</c:v>
                  </c:pt>
                  <c:pt idx="4">
                    <c:v>0.29999999999999982</c:v>
                  </c:pt>
                  <c:pt idx="5">
                    <c:v>0.25</c:v>
                  </c:pt>
                  <c:pt idx="6">
                    <c:v>0.31999999999999984</c:v>
                  </c:pt>
                  <c:pt idx="7">
                    <c:v>0.40000000000000036</c:v>
                  </c:pt>
                  <c:pt idx="8">
                    <c:v>0.30000000000000027</c:v>
                  </c:pt>
                  <c:pt idx="9">
                    <c:v>0.39999999999999991</c:v>
                  </c:pt>
                </c:numCache>
              </c:numRef>
            </c:plus>
            <c:minus>
              <c:numRef>
                <c:f>(Sheet1!$AI$18,Sheet1!$AI$19,Sheet1!$AI$20,Sheet1!$AI$21,Sheet1!$AI$22,Sheet1!$AI$23,Sheet1!$AI$24,Sheet1!$AI$25,Sheet1!$AI$26,Sheet1!$AI$27)</c:f>
                <c:numCache>
                  <c:formatCode>General</c:formatCode>
                  <c:ptCount val="10"/>
                  <c:pt idx="0">
                    <c:v>0.40000000000000036</c:v>
                  </c:pt>
                  <c:pt idx="1">
                    <c:v>0.29999999999999982</c:v>
                  </c:pt>
                  <c:pt idx="2">
                    <c:v>0.29999999999999982</c:v>
                  </c:pt>
                  <c:pt idx="3">
                    <c:v>0.29999999999999982</c:v>
                  </c:pt>
                  <c:pt idx="4">
                    <c:v>0.29999999999999982</c:v>
                  </c:pt>
                  <c:pt idx="5">
                    <c:v>0.30000000000000027</c:v>
                  </c:pt>
                  <c:pt idx="6">
                    <c:v>0.30000000000000027</c:v>
                  </c:pt>
                  <c:pt idx="7">
                    <c:v>0.19999999999999973</c:v>
                  </c:pt>
                  <c:pt idx="8">
                    <c:v>0.29999999999999982</c:v>
                  </c:pt>
                  <c:pt idx="9">
                    <c:v>0.39999999999999991</c:v>
                  </c:pt>
                </c:numCache>
              </c:numRef>
            </c:minus>
          </c:errBars>
          <c:val>
            <c:numRef>
              <c:f>Sheet1!$AM$18:$AM$27</c:f>
              <c:numCache>
                <c:formatCode>General</c:formatCode>
                <c:ptCount val="10"/>
                <c:pt idx="0">
                  <c:v>13.1</c:v>
                </c:pt>
                <c:pt idx="1">
                  <c:v>6.8</c:v>
                </c:pt>
                <c:pt idx="2">
                  <c:v>5.5</c:v>
                </c:pt>
                <c:pt idx="3">
                  <c:v>4.7</c:v>
                </c:pt>
                <c:pt idx="4">
                  <c:v>3.5</c:v>
                </c:pt>
                <c:pt idx="5">
                  <c:v>2.7</c:v>
                </c:pt>
                <c:pt idx="6">
                  <c:v>2.6</c:v>
                </c:pt>
                <c:pt idx="7">
                  <c:v>2.2999999999999998</c:v>
                </c:pt>
                <c:pt idx="8">
                  <c:v>1.9</c:v>
                </c:pt>
                <c:pt idx="9">
                  <c:v>2.6</c:v>
                </c:pt>
              </c:numCache>
            </c:numRef>
          </c:val>
        </c:ser>
        <c:ser>
          <c:idx val="1"/>
          <c:order val="1"/>
          <c:tx>
            <c:strRef>
              <c:f>Sheet1!$AT$17</c:f>
              <c:strCache>
                <c:ptCount val="1"/>
                <c:pt idx="0">
                  <c:v>Control group</c:v>
                </c:pt>
              </c:strCache>
            </c:strRef>
          </c:tx>
          <c:invertIfNegative val="0"/>
          <c:errBars>
            <c:errBarType val="both"/>
            <c:errValType val="cust"/>
            <c:noEndCap val="0"/>
            <c:plus>
              <c:numRef>
                <c:f>(Sheet1!$AR$18,Sheet1!$AR$19,Sheet1!$AR$20,Sheet1!$AR$21,Sheet1!$AR$22,Sheet1!$AR$23,Sheet1!$AR$24,Sheet1!$AR$25,Sheet1!$AR$26,Sheet1!$AR$27)</c:f>
                <c:numCache>
                  <c:formatCode>General</c:formatCode>
                  <c:ptCount val="10"/>
                  <c:pt idx="0">
                    <c:v>7.0000000000000284E-2</c:v>
                  </c:pt>
                  <c:pt idx="1">
                    <c:v>7.0000000000000284E-2</c:v>
                  </c:pt>
                  <c:pt idx="2">
                    <c:v>6.999999999999984E-2</c:v>
                  </c:pt>
                  <c:pt idx="3">
                    <c:v>6.999999999999984E-2</c:v>
                  </c:pt>
                  <c:pt idx="4">
                    <c:v>8.0000000000000071E-2</c:v>
                  </c:pt>
                  <c:pt idx="5">
                    <c:v>8.9999999999999858E-2</c:v>
                  </c:pt>
                  <c:pt idx="6">
                    <c:v>8.9999999999999858E-2</c:v>
                  </c:pt>
                  <c:pt idx="7">
                    <c:v>9.9999999999999867E-2</c:v>
                  </c:pt>
                  <c:pt idx="8">
                    <c:v>0.1100000000000001</c:v>
                  </c:pt>
                  <c:pt idx="9">
                    <c:v>0.12999999999999989</c:v>
                  </c:pt>
                </c:numCache>
              </c:numRef>
            </c:plus>
            <c:minus>
              <c:numRef>
                <c:f>(Sheet1!$AP$18,Sheet1!$AP$19,Sheet1!$AP$20,Sheet1!$AP$21,Sheet1!$AP$22,Sheet1!$AP$23,Sheet1!$AP$24,Sheet1!$AP$25,Sheet1!$AP$26,Sheet1!$AP$27)</c:f>
                <c:numCache>
                  <c:formatCode>General</c:formatCode>
                  <c:ptCount val="10"/>
                  <c:pt idx="0">
                    <c:v>6.999999999999984E-2</c:v>
                  </c:pt>
                  <c:pt idx="1">
                    <c:v>4.9999999999999822E-2</c:v>
                  </c:pt>
                  <c:pt idx="2">
                    <c:v>6.999999999999984E-2</c:v>
                  </c:pt>
                  <c:pt idx="3">
                    <c:v>8.0000000000000071E-2</c:v>
                  </c:pt>
                  <c:pt idx="4">
                    <c:v>7.0000000000000062E-2</c:v>
                  </c:pt>
                  <c:pt idx="5">
                    <c:v>8.0000000000000071E-2</c:v>
                  </c:pt>
                  <c:pt idx="6">
                    <c:v>8.0000000000000071E-2</c:v>
                  </c:pt>
                  <c:pt idx="7">
                    <c:v>9.000000000000008E-2</c:v>
                  </c:pt>
                  <c:pt idx="8">
                    <c:v>0.10999999999999988</c:v>
                  </c:pt>
                  <c:pt idx="9">
                    <c:v>0.12000000000000011</c:v>
                  </c:pt>
                </c:numCache>
              </c:numRef>
            </c:minus>
          </c:errBars>
          <c:val>
            <c:numRef>
              <c:f>Sheet1!$AT$18:$AT$27</c:f>
              <c:numCache>
                <c:formatCode>0.0</c:formatCode>
                <c:ptCount val="10"/>
                <c:pt idx="0">
                  <c:v>3.09</c:v>
                </c:pt>
                <c:pt idx="1">
                  <c:v>2.5499999999999998</c:v>
                </c:pt>
                <c:pt idx="2">
                  <c:v>2.23</c:v>
                </c:pt>
                <c:pt idx="3">
                  <c:v>2.06</c:v>
                </c:pt>
                <c:pt idx="4">
                  <c:v>2.02</c:v>
                </c:pt>
                <c:pt idx="5">
                  <c:v>1.8</c:v>
                </c:pt>
                <c:pt idx="6">
                  <c:v>1.59</c:v>
                </c:pt>
                <c:pt idx="7">
                  <c:v>1.58</c:v>
                </c:pt>
                <c:pt idx="8">
                  <c:v>1.66</c:v>
                </c:pt>
                <c:pt idx="9">
                  <c:v>1.56</c:v>
                </c:pt>
              </c:numCache>
            </c:numRef>
          </c:val>
        </c:ser>
        <c:dLbls>
          <c:showLegendKey val="0"/>
          <c:showVal val="0"/>
          <c:showCatName val="0"/>
          <c:showSerName val="0"/>
          <c:showPercent val="0"/>
          <c:showBubbleSize val="0"/>
        </c:dLbls>
        <c:gapWidth val="150"/>
        <c:axId val="259358760"/>
        <c:axId val="259359152"/>
      </c:barChart>
      <c:catAx>
        <c:axId val="259358760"/>
        <c:scaling>
          <c:orientation val="maxMin"/>
        </c:scaling>
        <c:delete val="0"/>
        <c:axPos val="b"/>
        <c:majorTickMark val="out"/>
        <c:minorTickMark val="none"/>
        <c:tickLblPos val="nextTo"/>
        <c:crossAx val="259359152"/>
        <c:crosses val="autoZero"/>
        <c:auto val="1"/>
        <c:lblAlgn val="ctr"/>
        <c:lblOffset val="100"/>
        <c:noMultiLvlLbl val="0"/>
      </c:catAx>
      <c:valAx>
        <c:axId val="259359152"/>
        <c:scaling>
          <c:orientation val="minMax"/>
        </c:scaling>
        <c:delete val="0"/>
        <c:axPos val="r"/>
        <c:title>
          <c:tx>
            <c:rich>
              <a:bodyPr rot="-5400000" vert="horz"/>
              <a:lstStyle/>
              <a:p>
                <a:pPr>
                  <a:defRPr/>
                </a:pPr>
                <a:r>
                  <a:rPr lang="en-US"/>
                  <a:t>Admission rate/ 10 person-years</a:t>
                </a:r>
              </a:p>
            </c:rich>
          </c:tx>
          <c:layout/>
          <c:overlay val="0"/>
        </c:title>
        <c:numFmt formatCode="General" sourceLinked="1"/>
        <c:majorTickMark val="out"/>
        <c:minorTickMark val="none"/>
        <c:tickLblPos val="nextTo"/>
        <c:crossAx val="259358760"/>
        <c:crosses val="autoZero"/>
        <c:crossBetween val="between"/>
      </c:valAx>
    </c:plotArea>
    <c:legend>
      <c:legendPos val="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46C8D-DD35-4B57-9B7F-9ACC04E6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18536</Words>
  <Characters>105657</Characters>
  <Application>Microsoft Office Word</Application>
  <DocSecurity>4</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123946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Otete Eroboghene</dc:creator>
  <cp:lastModifiedBy>KateFleming</cp:lastModifiedBy>
  <cp:revision>2</cp:revision>
  <cp:lastPrinted>2014-10-02T09:42:00Z</cp:lastPrinted>
  <dcterms:created xsi:type="dcterms:W3CDTF">2016-05-24T15:47:00Z</dcterms:created>
  <dcterms:modified xsi:type="dcterms:W3CDTF">2016-05-24T15:47:00Z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id="GRgZbUvU"/&gt;&lt;style id="http://www.zotero.org/styles/vancouver"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ies>
</file>