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F" w:rsidRDefault="000C0B4F" w:rsidP="00EA0CE2">
      <w:pPr>
        <w:pStyle w:val="Title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NANOSCALE CHARACTERIZATION </w:t>
      </w:r>
      <w:r w:rsidR="00E857AF"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COLD PLASMA TREATED COLLAGEN FILM</w:t>
      </w:r>
      <w:r w:rsidR="000C5145">
        <w:rPr>
          <w:rFonts w:ascii="Arial" w:hAnsi="Arial" w:cs="Arial"/>
          <w:b/>
          <w:bCs/>
          <w:color w:val="000000"/>
          <w:sz w:val="20"/>
          <w:szCs w:val="20"/>
        </w:rPr>
        <w:t xml:space="preserve"> AND ITS INFLAMMATORY RESPONSE IN VITRO</w:t>
      </w:r>
    </w:p>
    <w:p w:rsidR="00F87E2A" w:rsidRPr="0090281B" w:rsidRDefault="00F87E2A" w:rsidP="00EA0CE2">
      <w:pPr>
        <w:jc w:val="center"/>
        <w:rPr>
          <w:rFonts w:ascii="Arial" w:hAnsi="Arial" w:cs="Arial"/>
        </w:rPr>
      </w:pPr>
    </w:p>
    <w:p w:rsidR="00C23215" w:rsidRPr="00B00D39" w:rsidRDefault="000C0B4F" w:rsidP="00EA0CE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Rui Chen</w:t>
      </w:r>
      <w:r w:rsidR="00C23215" w:rsidRPr="00B00D39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, John Hunt</w:t>
      </w:r>
      <w:r w:rsidRPr="000C0B4F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 Jude Curran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 w:rsidR="00C23215" w:rsidRPr="00B00D39">
        <w:rPr>
          <w:rFonts w:ascii="Arial" w:hAnsi="Arial" w:cs="Arial"/>
          <w:sz w:val="18"/>
          <w:szCs w:val="18"/>
        </w:rPr>
        <w:t xml:space="preserve"> </w:t>
      </w:r>
    </w:p>
    <w:p w:rsidR="00A577D8" w:rsidRPr="00B00D39" w:rsidRDefault="0090281B" w:rsidP="00EA0CE2">
      <w:pPr>
        <w:jc w:val="center"/>
        <w:rPr>
          <w:rFonts w:ascii="Arial" w:hAnsi="Arial" w:cs="Arial"/>
          <w:sz w:val="18"/>
          <w:szCs w:val="18"/>
        </w:rPr>
      </w:pPr>
      <w:r w:rsidRPr="00B00D39">
        <w:rPr>
          <w:rFonts w:ascii="Arial" w:hAnsi="Arial" w:cs="Arial"/>
          <w:sz w:val="18"/>
          <w:szCs w:val="18"/>
          <w:vertAlign w:val="superscript"/>
        </w:rPr>
        <w:t>1</w:t>
      </w:r>
      <w:r w:rsidR="00E857AF">
        <w:rPr>
          <w:rFonts w:ascii="Arial" w:hAnsi="Arial" w:cs="Arial"/>
          <w:sz w:val="18"/>
          <w:szCs w:val="18"/>
        </w:rPr>
        <w:t>School of Engineering, University of Liverpool</w:t>
      </w:r>
      <w:r w:rsidRPr="00B00D39">
        <w:rPr>
          <w:rFonts w:ascii="Arial" w:hAnsi="Arial" w:cs="Arial"/>
          <w:sz w:val="18"/>
          <w:szCs w:val="18"/>
        </w:rPr>
        <w:t xml:space="preserve">, </w:t>
      </w:r>
      <w:r w:rsidR="00C23215" w:rsidRPr="00B00D39">
        <w:rPr>
          <w:rFonts w:ascii="Arial" w:hAnsi="Arial" w:cs="Arial"/>
          <w:sz w:val="18"/>
          <w:szCs w:val="18"/>
          <w:vertAlign w:val="superscript"/>
        </w:rPr>
        <w:t>2</w:t>
      </w:r>
      <w:r w:rsidR="00E857AF" w:rsidRPr="00E857AF">
        <w:rPr>
          <w:rFonts w:ascii="Arial" w:hAnsi="Arial" w:cs="Arial"/>
          <w:sz w:val="18"/>
          <w:szCs w:val="18"/>
        </w:rPr>
        <w:t>School of Science and Technology, Nottingham Trent University</w:t>
      </w:r>
    </w:p>
    <w:p w:rsidR="00A577D8" w:rsidRPr="00B00D39" w:rsidRDefault="00A577D8" w:rsidP="00EA0CE2">
      <w:pPr>
        <w:jc w:val="center"/>
        <w:rPr>
          <w:rFonts w:ascii="Arial" w:hAnsi="Arial" w:cs="Arial"/>
          <w:sz w:val="18"/>
          <w:szCs w:val="18"/>
        </w:rPr>
      </w:pPr>
      <w:r w:rsidRPr="00B00D39">
        <w:rPr>
          <w:rFonts w:ascii="Arial" w:hAnsi="Arial" w:cs="Arial"/>
          <w:sz w:val="18"/>
          <w:szCs w:val="18"/>
        </w:rPr>
        <w:t xml:space="preserve">Corresponding author: </w:t>
      </w:r>
      <w:hyperlink r:id="rId8" w:history="1">
        <w:r w:rsidR="000C0B4F" w:rsidRPr="00D34CF2">
          <w:rPr>
            <w:rStyle w:val="Hyperlink"/>
            <w:rFonts w:ascii="Arial" w:hAnsi="Arial" w:cs="Arial"/>
            <w:sz w:val="18"/>
            <w:szCs w:val="18"/>
          </w:rPr>
          <w:t>ruichen@</w:t>
        </w:r>
      </w:hyperlink>
      <w:r w:rsidR="000C0B4F">
        <w:rPr>
          <w:rStyle w:val="Hyperlink"/>
          <w:rFonts w:ascii="Arial" w:hAnsi="Arial" w:cs="Arial"/>
          <w:sz w:val="18"/>
          <w:szCs w:val="18"/>
        </w:rPr>
        <w:t>liverpool.ac.uk</w:t>
      </w:r>
      <w:r w:rsidR="00EA0CE2" w:rsidRPr="00B00D39">
        <w:rPr>
          <w:rFonts w:ascii="Arial" w:hAnsi="Arial" w:cs="Arial"/>
          <w:sz w:val="18"/>
          <w:szCs w:val="18"/>
        </w:rPr>
        <w:t xml:space="preserve"> </w:t>
      </w:r>
    </w:p>
    <w:p w:rsidR="00A577D8" w:rsidRPr="0090281B" w:rsidRDefault="00A577D8" w:rsidP="00EA0CE2">
      <w:pPr>
        <w:rPr>
          <w:rFonts w:ascii="Arial" w:hAnsi="Arial" w:cs="Arial"/>
        </w:rPr>
        <w:sectPr w:rsidR="00A577D8" w:rsidRPr="0090281B" w:rsidSect="00E032D0">
          <w:headerReference w:type="default" r:id="rId9"/>
          <w:footerReference w:type="default" r:id="rId10"/>
          <w:pgSz w:w="11907" w:h="16840" w:code="9"/>
          <w:pgMar w:top="1134" w:right="1134" w:bottom="1134" w:left="1134" w:header="0" w:footer="358" w:gutter="0"/>
          <w:cols w:space="709"/>
          <w:docGrid w:linePitch="272"/>
        </w:sectPr>
      </w:pPr>
    </w:p>
    <w:p w:rsidR="00E40E7A" w:rsidRDefault="00E40E7A" w:rsidP="00EA0CE2">
      <w:pPr>
        <w:jc w:val="both"/>
        <w:rPr>
          <w:rFonts w:ascii="Arial" w:hAnsi="Arial" w:cs="Arial"/>
          <w:b/>
          <w:lang w:val="en-GB"/>
        </w:rPr>
      </w:pPr>
    </w:p>
    <w:p w:rsidR="00C8722F" w:rsidRDefault="00E857AF" w:rsidP="00EA0CE2">
      <w:pPr>
        <w:jc w:val="both"/>
        <w:rPr>
          <w:rFonts w:ascii="Arial" w:hAnsi="Arial" w:cs="Arial"/>
          <w:b/>
          <w:lang w:val="en-GB"/>
        </w:rPr>
      </w:pPr>
      <w:r w:rsidRPr="00B00D39">
        <w:rPr>
          <w:rFonts w:ascii="Arial" w:hAnsi="Arial" w:cs="Arial"/>
          <w:b/>
          <w:lang w:val="en-GB"/>
        </w:rPr>
        <w:t>Introduction</w:t>
      </w:r>
    </w:p>
    <w:p w:rsidR="00DD71B4" w:rsidRDefault="003D4A8F" w:rsidP="00EA0C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bookmarkStart w:id="0" w:name="_GoBack"/>
      <w:bookmarkEnd w:id="0"/>
      <w:r w:rsidR="00785680">
        <w:rPr>
          <w:rFonts w:ascii="Arial" w:hAnsi="Arial" w:cs="Arial"/>
          <w:lang w:val="en-GB"/>
        </w:rPr>
        <w:t>old gas p</w:t>
      </w:r>
      <w:r w:rsidR="00914168">
        <w:rPr>
          <w:rFonts w:ascii="Arial" w:hAnsi="Arial" w:cs="Arial"/>
          <w:lang w:val="en-GB"/>
        </w:rPr>
        <w:t xml:space="preserve">lasma treatments have been widely used to clean, sterilize and/or improve biocompatibility for </w:t>
      </w:r>
      <w:r w:rsidR="00785680">
        <w:rPr>
          <w:rFonts w:ascii="Arial" w:hAnsi="Arial" w:cs="Arial"/>
          <w:lang w:val="en-GB"/>
        </w:rPr>
        <w:t>bio</w:t>
      </w:r>
      <w:r w:rsidR="00914168">
        <w:rPr>
          <w:rFonts w:ascii="Arial" w:hAnsi="Arial" w:cs="Arial"/>
          <w:lang w:val="en-GB"/>
        </w:rPr>
        <w:t xml:space="preserve">medical </w:t>
      </w:r>
      <w:r w:rsidR="00785680">
        <w:rPr>
          <w:rFonts w:ascii="Arial" w:hAnsi="Arial" w:cs="Arial"/>
          <w:lang w:val="en-GB"/>
        </w:rPr>
        <w:t>device</w:t>
      </w:r>
      <w:r w:rsidR="00914168">
        <w:rPr>
          <w:rFonts w:ascii="Arial" w:hAnsi="Arial" w:cs="Arial"/>
          <w:lang w:val="en-GB"/>
        </w:rPr>
        <w:t>s</w:t>
      </w:r>
      <w:r w:rsidR="00D63D2F">
        <w:rPr>
          <w:rFonts w:ascii="Arial" w:hAnsi="Arial" w:cs="Arial"/>
          <w:lang w:val="en-GB"/>
        </w:rPr>
        <w:t xml:space="preserve"> [1]</w:t>
      </w:r>
      <w:r w:rsidR="00914168">
        <w:rPr>
          <w:rFonts w:ascii="Arial" w:hAnsi="Arial" w:cs="Arial"/>
          <w:lang w:val="en-GB"/>
        </w:rPr>
        <w:t>.</w:t>
      </w:r>
      <w:r w:rsidR="00E425B9">
        <w:rPr>
          <w:rFonts w:ascii="Arial" w:hAnsi="Arial" w:cs="Arial"/>
          <w:lang w:val="en-GB"/>
        </w:rPr>
        <w:t xml:space="preserve"> T</w:t>
      </w:r>
      <w:r w:rsidR="000C5145" w:rsidRPr="000C5145">
        <w:rPr>
          <w:rFonts w:ascii="Arial" w:hAnsi="Arial" w:cs="Arial"/>
          <w:lang w:val="en-GB"/>
        </w:rPr>
        <w:t>he implantation of biomedical devices including collagen-based implants evokes an inflammatory response</w:t>
      </w:r>
      <w:r w:rsidR="00D63D2F">
        <w:rPr>
          <w:rFonts w:ascii="Arial" w:hAnsi="Arial" w:cs="Arial"/>
          <w:lang w:val="en-GB"/>
        </w:rPr>
        <w:t xml:space="preserve"> [2]</w:t>
      </w:r>
      <w:r w:rsidR="000C5145" w:rsidRPr="000C5145">
        <w:rPr>
          <w:rFonts w:ascii="Arial" w:hAnsi="Arial" w:cs="Arial"/>
          <w:lang w:val="en-GB"/>
        </w:rPr>
        <w:t xml:space="preserve">. Despite inflammation playing an important role in the early stages of wound healing, excessive and </w:t>
      </w:r>
      <w:proofErr w:type="spellStart"/>
      <w:r w:rsidR="000C5145" w:rsidRPr="000C5145">
        <w:rPr>
          <w:rFonts w:ascii="Arial" w:hAnsi="Arial" w:cs="Arial"/>
          <w:lang w:val="en-GB"/>
        </w:rPr>
        <w:t>nonresolving</w:t>
      </w:r>
      <w:proofErr w:type="spellEnd"/>
      <w:r w:rsidR="000C5145" w:rsidRPr="000C5145">
        <w:rPr>
          <w:rFonts w:ascii="Arial" w:hAnsi="Arial" w:cs="Arial"/>
          <w:lang w:val="en-GB"/>
        </w:rPr>
        <w:t xml:space="preserve"> inflammation is one of major causes which may lead to the poor performance of biomaterial implants in some patients.</w:t>
      </w:r>
      <w:r w:rsidR="00BF0D81">
        <w:rPr>
          <w:rFonts w:ascii="Arial" w:hAnsi="Arial" w:cs="Arial"/>
          <w:lang w:val="en-GB"/>
        </w:rPr>
        <w:t xml:space="preserve"> </w:t>
      </w:r>
      <w:r w:rsidR="000C5145" w:rsidRPr="000C5145">
        <w:rPr>
          <w:rFonts w:ascii="Arial" w:hAnsi="Arial" w:cs="Arial"/>
          <w:lang w:val="en-GB"/>
        </w:rPr>
        <w:t xml:space="preserve">In this study, </w:t>
      </w:r>
      <w:r w:rsidR="00DD71B4">
        <w:rPr>
          <w:rFonts w:ascii="Arial" w:hAnsi="Arial" w:cs="Arial"/>
          <w:lang w:val="en-GB"/>
        </w:rPr>
        <w:t>effects of cold plasma tre</w:t>
      </w:r>
      <w:r w:rsidR="004275F7">
        <w:rPr>
          <w:rFonts w:ascii="Arial" w:hAnsi="Arial" w:cs="Arial"/>
          <w:lang w:val="en-GB"/>
        </w:rPr>
        <w:t xml:space="preserve">atment on the surface </w:t>
      </w:r>
      <w:r w:rsidR="00D63D2F">
        <w:rPr>
          <w:rFonts w:ascii="Arial" w:hAnsi="Arial" w:cs="Arial"/>
          <w:lang w:val="en-GB"/>
        </w:rPr>
        <w:t>morphology and elastic modulus</w:t>
      </w:r>
      <w:r w:rsidR="00D230B9">
        <w:rPr>
          <w:rFonts w:ascii="Arial" w:hAnsi="Arial" w:cs="Arial"/>
          <w:lang w:val="en-GB"/>
        </w:rPr>
        <w:t xml:space="preserve"> </w:t>
      </w:r>
      <w:r w:rsidR="00DD71B4">
        <w:rPr>
          <w:rFonts w:ascii="Arial" w:hAnsi="Arial" w:cs="Arial"/>
          <w:lang w:val="en-GB"/>
        </w:rPr>
        <w:t xml:space="preserve">were investigated </w:t>
      </w:r>
      <w:r w:rsidR="00DD71B4" w:rsidRPr="00DD71B4">
        <w:rPr>
          <w:rFonts w:ascii="Arial" w:hAnsi="Arial" w:cs="Arial"/>
          <w:lang w:val="en-GB"/>
        </w:rPr>
        <w:t xml:space="preserve">through </w:t>
      </w:r>
      <w:proofErr w:type="spellStart"/>
      <w:r w:rsidR="00DD71B4" w:rsidRPr="00DD71B4">
        <w:rPr>
          <w:rFonts w:ascii="Arial" w:hAnsi="Arial" w:cs="Arial"/>
          <w:lang w:val="en-GB"/>
        </w:rPr>
        <w:t>PeakForce</w:t>
      </w:r>
      <w:proofErr w:type="spellEnd"/>
      <w:r w:rsidR="00DD71B4" w:rsidRPr="00DD71B4">
        <w:rPr>
          <w:rFonts w:ascii="Arial" w:hAnsi="Arial" w:cs="Arial"/>
          <w:lang w:val="en-GB"/>
        </w:rPr>
        <w:t xml:space="preserve"> Quantitative Nanoscale Mechanical Characterization (</w:t>
      </w:r>
      <w:proofErr w:type="spellStart"/>
      <w:r w:rsidR="00DD71B4" w:rsidRPr="00DD71B4">
        <w:rPr>
          <w:rFonts w:ascii="Arial" w:hAnsi="Arial" w:cs="Arial"/>
          <w:lang w:val="en-GB"/>
        </w:rPr>
        <w:t>PeakForce</w:t>
      </w:r>
      <w:proofErr w:type="spellEnd"/>
      <w:r w:rsidR="00DD71B4" w:rsidRPr="00DD71B4">
        <w:rPr>
          <w:rFonts w:ascii="Arial" w:hAnsi="Arial" w:cs="Arial"/>
          <w:lang w:val="en-GB"/>
        </w:rPr>
        <w:t xml:space="preserve"> QNM)</w:t>
      </w:r>
      <w:r w:rsidR="00D63D2F">
        <w:rPr>
          <w:rFonts w:ascii="Arial" w:hAnsi="Arial" w:cs="Arial"/>
          <w:lang w:val="en-GB"/>
        </w:rPr>
        <w:t>; And the</w:t>
      </w:r>
      <w:r w:rsidR="00DD71B4" w:rsidRPr="00DD71B4">
        <w:rPr>
          <w:rFonts w:ascii="Arial" w:hAnsi="Arial" w:cs="Arial"/>
          <w:lang w:val="en-GB"/>
        </w:rPr>
        <w:t xml:space="preserve"> </w:t>
      </w:r>
      <w:r w:rsidR="00D63D2F">
        <w:rPr>
          <w:rFonts w:ascii="Arial" w:hAnsi="Arial" w:cs="Arial"/>
          <w:lang w:val="en-GB"/>
        </w:rPr>
        <w:t>e</w:t>
      </w:r>
      <w:r w:rsidR="000C5145" w:rsidRPr="000C5145">
        <w:rPr>
          <w:rFonts w:ascii="Arial" w:hAnsi="Arial" w:cs="Arial"/>
          <w:lang w:val="en-GB"/>
        </w:rPr>
        <w:t xml:space="preserve">ffects of cold plasma treatment on the non-specific inflammatory response </w:t>
      </w:r>
      <w:r w:rsidR="00D63D2F">
        <w:rPr>
          <w:rFonts w:ascii="Arial" w:hAnsi="Arial" w:cs="Arial"/>
          <w:lang w:val="en-GB"/>
        </w:rPr>
        <w:t>were</w:t>
      </w:r>
      <w:r w:rsidR="000C5145" w:rsidRPr="000C5145">
        <w:rPr>
          <w:rFonts w:ascii="Arial" w:hAnsi="Arial" w:cs="Arial"/>
          <w:lang w:val="en-GB"/>
        </w:rPr>
        <w:t xml:space="preserve"> </w:t>
      </w:r>
      <w:r w:rsidR="00DD71B4">
        <w:rPr>
          <w:rFonts w:ascii="Arial" w:hAnsi="Arial" w:cs="Arial"/>
          <w:lang w:val="en-GB"/>
        </w:rPr>
        <w:t xml:space="preserve">also </w:t>
      </w:r>
      <w:r w:rsidR="000C5145" w:rsidRPr="000C5145">
        <w:rPr>
          <w:rFonts w:ascii="Arial" w:hAnsi="Arial" w:cs="Arial"/>
          <w:lang w:val="en-GB"/>
        </w:rPr>
        <w:t xml:space="preserve">investigated in vitro by the measurement of protein expression and cytokine production after one and four days of </w:t>
      </w:r>
      <w:r w:rsidR="00DD71B4">
        <w:rPr>
          <w:rFonts w:ascii="Arial" w:hAnsi="Arial" w:cs="Arial"/>
          <w:lang w:val="en-GB"/>
        </w:rPr>
        <w:t>U937</w:t>
      </w:r>
      <w:r w:rsidR="000C5145" w:rsidRPr="000C5145">
        <w:rPr>
          <w:rFonts w:ascii="Arial" w:hAnsi="Arial" w:cs="Arial"/>
          <w:lang w:val="en-GB"/>
        </w:rPr>
        <w:t xml:space="preserve"> cell </w:t>
      </w:r>
      <w:r w:rsidR="00DD71B4">
        <w:rPr>
          <w:rFonts w:ascii="Arial" w:hAnsi="Arial" w:cs="Arial"/>
          <w:lang w:val="en-GB"/>
        </w:rPr>
        <w:t>line</w:t>
      </w:r>
      <w:r w:rsidR="000C5145" w:rsidRPr="000C5145">
        <w:rPr>
          <w:rFonts w:ascii="Arial" w:hAnsi="Arial" w:cs="Arial"/>
          <w:lang w:val="en-GB"/>
        </w:rPr>
        <w:t xml:space="preserve"> culture</w:t>
      </w:r>
      <w:r w:rsidR="00D63D2F">
        <w:rPr>
          <w:rFonts w:ascii="Arial" w:hAnsi="Arial" w:cs="Arial"/>
          <w:lang w:val="en-GB"/>
        </w:rPr>
        <w:t>d on the collagen films</w:t>
      </w:r>
      <w:r w:rsidR="000C5145" w:rsidRPr="000C5145">
        <w:rPr>
          <w:rFonts w:ascii="Arial" w:hAnsi="Arial" w:cs="Arial"/>
          <w:lang w:val="en-GB"/>
        </w:rPr>
        <w:t xml:space="preserve">. </w:t>
      </w:r>
    </w:p>
    <w:p w:rsidR="00E857AF" w:rsidRDefault="00E857AF" w:rsidP="00EA0CE2">
      <w:pPr>
        <w:jc w:val="both"/>
        <w:rPr>
          <w:rFonts w:ascii="Arial" w:hAnsi="Arial" w:cs="Arial"/>
          <w:b/>
          <w:lang w:val="en-GB"/>
        </w:rPr>
      </w:pPr>
      <w:r w:rsidRPr="00B00D39">
        <w:rPr>
          <w:rFonts w:ascii="Arial" w:hAnsi="Arial" w:cs="Arial"/>
          <w:b/>
          <w:lang w:val="en-GB"/>
        </w:rPr>
        <w:t>Materials and Methods</w:t>
      </w:r>
    </w:p>
    <w:p w:rsidR="00E857AF" w:rsidRDefault="005617F6" w:rsidP="005617F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 spin-coating and dried in the fume hood for 24 hours, c</w:t>
      </w:r>
      <w:r w:rsidRPr="005617F6">
        <w:rPr>
          <w:rFonts w:ascii="Arial" w:hAnsi="Arial" w:cs="Arial"/>
          <w:lang w:val="en-GB"/>
        </w:rPr>
        <w:t xml:space="preserve">ollagen coated coverslips were then placed in 24-well plates within a plasma </w:t>
      </w:r>
      <w:proofErr w:type="spellStart"/>
      <w:proofErr w:type="gramStart"/>
      <w:r w:rsidRPr="005617F6">
        <w:rPr>
          <w:rFonts w:ascii="Arial" w:hAnsi="Arial" w:cs="Arial"/>
          <w:lang w:val="en-GB"/>
        </w:rPr>
        <w:t>asher</w:t>
      </w:r>
      <w:proofErr w:type="spellEnd"/>
      <w:proofErr w:type="gramEnd"/>
      <w:r w:rsidRPr="005617F6">
        <w:rPr>
          <w:rFonts w:ascii="Arial" w:hAnsi="Arial" w:cs="Arial"/>
          <w:lang w:val="en-GB"/>
        </w:rPr>
        <w:t xml:space="preserve"> (</w:t>
      </w:r>
      <w:proofErr w:type="spellStart"/>
      <w:r w:rsidRPr="005617F6">
        <w:rPr>
          <w:rFonts w:ascii="Arial" w:hAnsi="Arial" w:cs="Arial"/>
          <w:lang w:val="en-GB"/>
        </w:rPr>
        <w:t>Emitech</w:t>
      </w:r>
      <w:proofErr w:type="spellEnd"/>
      <w:r w:rsidRPr="005617F6">
        <w:rPr>
          <w:rFonts w:ascii="Arial" w:hAnsi="Arial" w:cs="Arial"/>
          <w:lang w:val="en-GB"/>
        </w:rPr>
        <w:t xml:space="preserve"> K1050X, Quorum Technologies, UK) and treated with either </w:t>
      </w:r>
      <w:r w:rsidR="00B3666D">
        <w:rPr>
          <w:rFonts w:ascii="Arial" w:hAnsi="Arial" w:cs="Arial"/>
          <w:lang w:val="en-GB"/>
        </w:rPr>
        <w:t xml:space="preserve">nitrogen or </w:t>
      </w:r>
      <w:r w:rsidRPr="005617F6">
        <w:rPr>
          <w:rFonts w:ascii="Arial" w:hAnsi="Arial" w:cs="Arial"/>
          <w:lang w:val="en-GB"/>
        </w:rPr>
        <w:t>oxygen plasma at a pressure of 0.6 mbar with a flow rate of 15ml/min at</w:t>
      </w:r>
      <w:r w:rsidR="006776EA">
        <w:rPr>
          <w:rFonts w:ascii="Arial" w:hAnsi="Arial" w:cs="Arial"/>
          <w:lang w:val="en-GB"/>
        </w:rPr>
        <w:t xml:space="preserve"> 20W or</w:t>
      </w:r>
      <w:r w:rsidRPr="005617F6">
        <w:rPr>
          <w:rFonts w:ascii="Arial" w:hAnsi="Arial" w:cs="Arial"/>
          <w:lang w:val="en-GB"/>
        </w:rPr>
        <w:t xml:space="preserve"> 80W for 2 minutes. </w:t>
      </w:r>
    </w:p>
    <w:p w:rsidR="006776EA" w:rsidRDefault="00512B68" w:rsidP="005617F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AFM analysis </w:t>
      </w:r>
      <w:r w:rsidR="006776EA" w:rsidRPr="006776EA">
        <w:rPr>
          <w:rFonts w:ascii="Arial" w:hAnsi="Arial" w:cs="Arial"/>
          <w:lang w:val="en-GB"/>
        </w:rPr>
        <w:t>was carried out using a commercial AFM (</w:t>
      </w:r>
      <w:proofErr w:type="spellStart"/>
      <w:r w:rsidR="006776EA" w:rsidRPr="006776EA">
        <w:rPr>
          <w:rFonts w:ascii="Arial" w:hAnsi="Arial" w:cs="Arial"/>
          <w:lang w:val="en-GB"/>
        </w:rPr>
        <w:t>NanoScope</w:t>
      </w:r>
      <w:proofErr w:type="spellEnd"/>
      <w:r w:rsidR="006776EA" w:rsidRPr="006776EA">
        <w:rPr>
          <w:rFonts w:ascii="Arial" w:hAnsi="Arial" w:cs="Arial"/>
          <w:lang w:val="en-GB"/>
        </w:rPr>
        <w:t xml:space="preserve"> VIII </w:t>
      </w:r>
      <w:proofErr w:type="spellStart"/>
      <w:r w:rsidR="006776EA" w:rsidRPr="006776EA">
        <w:rPr>
          <w:rFonts w:ascii="Arial" w:hAnsi="Arial" w:cs="Arial"/>
          <w:lang w:val="en-GB"/>
        </w:rPr>
        <w:t>MultiMode</w:t>
      </w:r>
      <w:proofErr w:type="spellEnd"/>
      <w:r w:rsidR="006776EA" w:rsidRPr="006776EA">
        <w:rPr>
          <w:rFonts w:ascii="Arial" w:hAnsi="Arial" w:cs="Arial"/>
          <w:lang w:val="en-GB"/>
        </w:rPr>
        <w:t xml:space="preserve"> AFM, Bruker Co., Santa Barbara, CA, USA). The </w:t>
      </w:r>
      <w:proofErr w:type="spellStart"/>
      <w:r w:rsidR="006776EA" w:rsidRPr="006776EA">
        <w:rPr>
          <w:rFonts w:ascii="Arial" w:hAnsi="Arial" w:cs="Arial"/>
          <w:lang w:val="en-GB"/>
        </w:rPr>
        <w:t>PeakForce</w:t>
      </w:r>
      <w:proofErr w:type="spellEnd"/>
      <w:r w:rsidR="006776EA" w:rsidRPr="006776EA">
        <w:rPr>
          <w:rFonts w:ascii="Arial" w:hAnsi="Arial" w:cs="Arial"/>
          <w:lang w:val="en-GB"/>
        </w:rPr>
        <w:t xml:space="preserve"> QNM was conducted in ambient conditions with a silicon nitride probe (Bruker RTESPA-150A, nominal frequency of 150 kHz, nominal spring constant of 5N/m) with a scan resolution </w:t>
      </w:r>
      <w:proofErr w:type="gramStart"/>
      <w:r w:rsidR="006776EA" w:rsidRPr="006776EA">
        <w:rPr>
          <w:rFonts w:ascii="Arial" w:hAnsi="Arial" w:cs="Arial"/>
          <w:lang w:val="en-GB"/>
        </w:rPr>
        <w:t>of 256 pixels/line</w:t>
      </w:r>
      <w:proofErr w:type="gramEnd"/>
      <w:r w:rsidR="006776EA" w:rsidRPr="006776EA">
        <w:rPr>
          <w:rFonts w:ascii="Arial" w:hAnsi="Arial" w:cs="Arial"/>
          <w:lang w:val="en-GB"/>
        </w:rPr>
        <w:t xml:space="preserve">. The data were fitted with the </w:t>
      </w:r>
      <w:proofErr w:type="spellStart"/>
      <w:r w:rsidR="006776EA" w:rsidRPr="006776EA">
        <w:rPr>
          <w:rFonts w:ascii="Arial" w:hAnsi="Arial" w:cs="Arial"/>
          <w:lang w:val="en-GB"/>
        </w:rPr>
        <w:t>Derjaguin</w:t>
      </w:r>
      <w:proofErr w:type="spellEnd"/>
      <w:r w:rsidR="006776EA" w:rsidRPr="006776EA">
        <w:rPr>
          <w:rFonts w:ascii="Arial" w:hAnsi="Arial" w:cs="Arial"/>
          <w:lang w:val="en-GB"/>
        </w:rPr>
        <w:t>–Muller–</w:t>
      </w:r>
      <w:proofErr w:type="spellStart"/>
      <w:r w:rsidR="006776EA" w:rsidRPr="006776EA">
        <w:rPr>
          <w:rFonts w:ascii="Arial" w:hAnsi="Arial" w:cs="Arial"/>
          <w:lang w:val="en-GB"/>
        </w:rPr>
        <w:t>Toporov</w:t>
      </w:r>
      <w:proofErr w:type="spellEnd"/>
      <w:r w:rsidR="006776EA" w:rsidRPr="006776EA">
        <w:rPr>
          <w:rFonts w:ascii="Arial" w:hAnsi="Arial" w:cs="Arial"/>
          <w:lang w:val="en-GB"/>
        </w:rPr>
        <w:t xml:space="preserve"> (DMT) model to extract the elastic modulus by fitting the contact region of the retract curve close to the contact point.</w:t>
      </w:r>
      <w:r w:rsidR="00B3666D" w:rsidRPr="00B3666D">
        <w:t xml:space="preserve"> </w:t>
      </w:r>
      <w:r w:rsidR="00B3666D" w:rsidRPr="00B3666D">
        <w:rPr>
          <w:rFonts w:ascii="Arial" w:hAnsi="Arial" w:cs="Arial"/>
          <w:lang w:val="en-GB"/>
        </w:rPr>
        <w:t xml:space="preserve">All post-image processing was carried out using IMAGESXM v1.99 and </w:t>
      </w:r>
      <w:proofErr w:type="spellStart"/>
      <w:r w:rsidR="00B3666D" w:rsidRPr="00B3666D">
        <w:rPr>
          <w:rFonts w:ascii="Arial" w:hAnsi="Arial" w:cs="Arial"/>
          <w:lang w:val="en-GB"/>
        </w:rPr>
        <w:t>Nanoscope</w:t>
      </w:r>
      <w:proofErr w:type="spellEnd"/>
      <w:r w:rsidR="00B3666D" w:rsidRPr="00B3666D">
        <w:rPr>
          <w:rFonts w:ascii="Arial" w:hAnsi="Arial" w:cs="Arial"/>
          <w:lang w:val="en-GB"/>
        </w:rPr>
        <w:t xml:space="preserve"> Analysis 1.7 (Bruker, USA).</w:t>
      </w:r>
    </w:p>
    <w:p w:rsidR="005617F6" w:rsidRDefault="006776EA" w:rsidP="005617F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the in vitro experiment, </w:t>
      </w:r>
      <w:r w:rsidRPr="006776EA">
        <w:rPr>
          <w:rFonts w:ascii="Arial" w:hAnsi="Arial" w:cs="Arial"/>
          <w:lang w:val="en-GB"/>
        </w:rPr>
        <w:t>U937 cells were induced to differentiate by exposing the cells (5 × 10</w:t>
      </w:r>
      <w:r w:rsidRPr="006776EA">
        <w:rPr>
          <w:rFonts w:ascii="Arial" w:hAnsi="Arial" w:cs="Arial"/>
          <w:vertAlign w:val="superscript"/>
          <w:lang w:val="en-GB"/>
        </w:rPr>
        <w:t>5</w:t>
      </w:r>
      <w:r w:rsidRPr="006776EA">
        <w:rPr>
          <w:rFonts w:ascii="Arial" w:hAnsi="Arial" w:cs="Arial"/>
          <w:lang w:val="en-GB"/>
        </w:rPr>
        <w:t xml:space="preserve"> cells/ml) to 5 ng/ml of </w:t>
      </w:r>
      <w:proofErr w:type="spellStart"/>
      <w:r w:rsidRPr="006776EA">
        <w:rPr>
          <w:rFonts w:ascii="Arial" w:hAnsi="Arial" w:cs="Arial"/>
          <w:lang w:val="en-GB"/>
        </w:rPr>
        <w:t>phorbol</w:t>
      </w:r>
      <w:proofErr w:type="spellEnd"/>
      <w:r w:rsidRPr="006776EA">
        <w:rPr>
          <w:rFonts w:ascii="Arial" w:hAnsi="Arial" w:cs="Arial"/>
          <w:lang w:val="en-GB"/>
        </w:rPr>
        <w:t xml:space="preserve"> 12-myristate 13-acetate (PMA) for 24 hr. Differentiated U937 were seeded at 3 × 10</w:t>
      </w:r>
      <w:r w:rsidRPr="006776EA">
        <w:rPr>
          <w:rFonts w:ascii="Arial" w:hAnsi="Arial" w:cs="Arial"/>
          <w:vertAlign w:val="superscript"/>
          <w:lang w:val="en-GB"/>
        </w:rPr>
        <w:t>5</w:t>
      </w:r>
      <w:r w:rsidRPr="006776EA">
        <w:rPr>
          <w:rFonts w:ascii="Arial" w:hAnsi="Arial" w:cs="Arial"/>
          <w:lang w:val="en-GB"/>
        </w:rPr>
        <w:t xml:space="preserve"> cells/ml on </w:t>
      </w:r>
      <w:r>
        <w:rPr>
          <w:rFonts w:ascii="Arial" w:hAnsi="Arial" w:cs="Arial"/>
          <w:lang w:val="en-GB"/>
        </w:rPr>
        <w:t>control and plasma treated</w:t>
      </w:r>
      <w:r w:rsidRPr="006776EA">
        <w:rPr>
          <w:rFonts w:ascii="Arial" w:hAnsi="Arial" w:cs="Arial"/>
          <w:lang w:val="en-GB"/>
        </w:rPr>
        <w:t xml:space="preserve"> collagen films for 1 and 3 days.</w:t>
      </w:r>
      <w:r w:rsidRPr="006776EA">
        <w:t xml:space="preserve"> </w:t>
      </w:r>
      <w:r w:rsidRPr="006776EA">
        <w:rPr>
          <w:rFonts w:ascii="Arial" w:hAnsi="Arial" w:cs="Arial"/>
          <w:lang w:val="en-GB"/>
        </w:rPr>
        <w:t xml:space="preserve">Quantification of human IL-1β, TNF-α and IL-10 </w:t>
      </w:r>
      <w:r w:rsidR="00E425B9">
        <w:rPr>
          <w:rFonts w:ascii="Arial" w:hAnsi="Arial" w:cs="Arial"/>
          <w:lang w:val="en-GB"/>
        </w:rPr>
        <w:t xml:space="preserve">in supernatant </w:t>
      </w:r>
      <w:r w:rsidRPr="006776EA">
        <w:rPr>
          <w:rFonts w:ascii="Arial" w:hAnsi="Arial" w:cs="Arial"/>
          <w:lang w:val="en-GB"/>
        </w:rPr>
        <w:t>were achieved using commercially available kits (Invitrogen™). A total of 4 separate repeats were carried out per single culture system.</w:t>
      </w:r>
    </w:p>
    <w:p w:rsidR="00E857AF" w:rsidRDefault="00E857AF" w:rsidP="00EA0CE2">
      <w:pPr>
        <w:jc w:val="both"/>
        <w:rPr>
          <w:rFonts w:ascii="Arial" w:hAnsi="Arial" w:cs="Arial"/>
          <w:b/>
          <w:lang w:val="en-GB"/>
        </w:rPr>
      </w:pPr>
      <w:r w:rsidRPr="00B00D39">
        <w:rPr>
          <w:rFonts w:ascii="Arial" w:hAnsi="Arial" w:cs="Arial"/>
          <w:b/>
          <w:lang w:val="en-GB"/>
        </w:rPr>
        <w:t>Results and Discussion</w:t>
      </w:r>
    </w:p>
    <w:p w:rsidR="00E857AF" w:rsidRDefault="00D54153" w:rsidP="00EA0C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Table</w:t>
      </w:r>
      <w:r w:rsidR="00DF35DF">
        <w:rPr>
          <w:rFonts w:ascii="Arial" w:hAnsi="Arial" w:cs="Arial"/>
          <w:lang w:val="en-GB"/>
        </w:rPr>
        <w:t xml:space="preserve"> 1</w:t>
      </w:r>
      <w:r w:rsidR="00185F5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showed the s</w:t>
      </w:r>
      <w:r w:rsidRPr="00D54153">
        <w:rPr>
          <w:rFonts w:ascii="Arial" w:hAnsi="Arial" w:cs="Arial"/>
          <w:lang w:val="en-GB"/>
        </w:rPr>
        <w:t>urface roughness (</w:t>
      </w:r>
      <w:proofErr w:type="spellStart"/>
      <w:r w:rsidRPr="00D54153">
        <w:rPr>
          <w:rFonts w:ascii="Arial" w:hAnsi="Arial" w:cs="Arial"/>
          <w:lang w:val="en-GB"/>
        </w:rPr>
        <w:t>Rq</w:t>
      </w:r>
      <w:proofErr w:type="spellEnd"/>
      <w:r w:rsidRPr="00D54153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and e</w:t>
      </w:r>
      <w:r w:rsidRPr="00D54153">
        <w:rPr>
          <w:rFonts w:ascii="Arial" w:hAnsi="Arial" w:cs="Arial"/>
          <w:lang w:val="en-GB"/>
        </w:rPr>
        <w:t xml:space="preserve">lastic </w:t>
      </w:r>
      <w:r>
        <w:rPr>
          <w:rFonts w:ascii="Arial" w:hAnsi="Arial" w:cs="Arial"/>
          <w:lang w:val="en-GB"/>
        </w:rPr>
        <w:t>m</w:t>
      </w:r>
      <w:r w:rsidRPr="00D54153">
        <w:rPr>
          <w:rFonts w:ascii="Arial" w:hAnsi="Arial" w:cs="Arial"/>
          <w:lang w:val="en-GB"/>
        </w:rPr>
        <w:t xml:space="preserve">odulus of </w:t>
      </w:r>
      <w:r>
        <w:rPr>
          <w:rFonts w:ascii="Arial" w:hAnsi="Arial" w:cs="Arial"/>
          <w:lang w:val="en-GB"/>
        </w:rPr>
        <w:t>c</w:t>
      </w:r>
      <w:r w:rsidRPr="00D54153">
        <w:rPr>
          <w:rFonts w:ascii="Arial" w:hAnsi="Arial" w:cs="Arial"/>
          <w:lang w:val="en-GB"/>
        </w:rPr>
        <w:t>ollagen films before and after plasma treatment</w:t>
      </w:r>
      <w:r>
        <w:rPr>
          <w:rFonts w:ascii="Arial" w:hAnsi="Arial" w:cs="Arial"/>
          <w:lang w:val="en-GB"/>
        </w:rPr>
        <w:t>. The results showed that</w:t>
      </w:r>
      <w:r w:rsidR="00DF35DF">
        <w:rPr>
          <w:rFonts w:ascii="Arial" w:hAnsi="Arial" w:cs="Arial"/>
          <w:lang w:val="en-GB"/>
        </w:rPr>
        <w:t xml:space="preserve"> p</w:t>
      </w:r>
      <w:r w:rsidR="00974A22">
        <w:rPr>
          <w:rFonts w:ascii="Arial" w:hAnsi="Arial" w:cs="Arial"/>
          <w:lang w:val="en-GB"/>
        </w:rPr>
        <w:t xml:space="preserve">lasma treatment </w:t>
      </w:r>
      <w:r w:rsidR="00DF35DF">
        <w:rPr>
          <w:rFonts w:ascii="Arial" w:hAnsi="Arial" w:cs="Arial"/>
          <w:lang w:val="en-GB"/>
        </w:rPr>
        <w:t xml:space="preserve">changed the morphology and </w:t>
      </w:r>
      <w:r w:rsidR="00B3666D">
        <w:rPr>
          <w:rFonts w:ascii="Arial" w:hAnsi="Arial" w:cs="Arial"/>
          <w:lang w:val="en-GB"/>
        </w:rPr>
        <w:t>elastic modulus</w:t>
      </w:r>
      <w:r>
        <w:rPr>
          <w:rFonts w:ascii="Arial" w:hAnsi="Arial" w:cs="Arial"/>
          <w:lang w:val="en-GB"/>
        </w:rPr>
        <w:t xml:space="preserve"> of collagen film</w:t>
      </w:r>
      <w:r w:rsidR="00B3666D">
        <w:rPr>
          <w:rFonts w:ascii="Arial" w:hAnsi="Arial" w:cs="Arial"/>
          <w:lang w:val="en-GB"/>
        </w:rPr>
        <w:t xml:space="preserve"> </w:t>
      </w:r>
      <w:r w:rsidR="00F8024B">
        <w:rPr>
          <w:rFonts w:ascii="Arial" w:hAnsi="Arial" w:cs="Arial"/>
          <w:lang w:val="en-GB"/>
        </w:rPr>
        <w:t>at</w:t>
      </w:r>
      <w:r w:rsidR="00B3666D">
        <w:rPr>
          <w:rFonts w:ascii="Arial" w:hAnsi="Arial" w:cs="Arial"/>
          <w:lang w:val="en-GB"/>
        </w:rPr>
        <w:t xml:space="preserve"> nanoscale.</w:t>
      </w:r>
    </w:p>
    <w:p w:rsidR="007256EA" w:rsidRPr="007256EA" w:rsidRDefault="007256EA" w:rsidP="007256EA">
      <w:pPr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7256EA">
        <w:rPr>
          <w:rFonts w:ascii="Arial" w:hAnsi="Arial" w:cs="Arial"/>
          <w:sz w:val="18"/>
          <w:szCs w:val="18"/>
          <w:lang w:val="en-GB"/>
        </w:rPr>
        <w:t>Table 1.</w:t>
      </w:r>
      <w:proofErr w:type="gramEnd"/>
      <w:r w:rsidRPr="007256EA">
        <w:rPr>
          <w:rFonts w:ascii="Arial" w:hAnsi="Arial" w:cs="Arial"/>
          <w:sz w:val="18"/>
          <w:szCs w:val="18"/>
          <w:lang w:val="en-GB"/>
        </w:rPr>
        <w:t xml:space="preserve"> Surface roughness (</w:t>
      </w:r>
      <w:proofErr w:type="spellStart"/>
      <w:r w:rsidRPr="007256EA">
        <w:rPr>
          <w:rFonts w:ascii="Arial" w:hAnsi="Arial" w:cs="Arial"/>
          <w:sz w:val="18"/>
          <w:szCs w:val="18"/>
          <w:lang w:val="en-GB"/>
        </w:rPr>
        <w:t>Rq</w:t>
      </w:r>
      <w:proofErr w:type="spellEnd"/>
      <w:r w:rsidRPr="007256EA">
        <w:rPr>
          <w:rFonts w:ascii="Arial" w:hAnsi="Arial" w:cs="Arial"/>
          <w:sz w:val="18"/>
          <w:szCs w:val="18"/>
          <w:lang w:val="en-GB"/>
        </w:rPr>
        <w:t>) and elastic modulus of Collagen films before and after plasma treatment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6EA" w:rsidRPr="007256EA" w:rsidTr="007256EA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7256EA">
              <w:rPr>
                <w:rFonts w:ascii="Arial" w:hAnsi="Arial" w:cs="Arial"/>
                <w:lang w:val="en-GB"/>
              </w:rPr>
              <w:t>Rq</w:t>
            </w:r>
            <w:proofErr w:type="spellEnd"/>
            <w:r w:rsidRPr="007256EA">
              <w:rPr>
                <w:rFonts w:ascii="Arial" w:hAnsi="Arial" w:cs="Arial"/>
                <w:lang w:val="en-GB"/>
              </w:rPr>
              <w:t xml:space="preserve"> (nm)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7256EA" w:rsidRPr="007256EA" w:rsidRDefault="00185F5C" w:rsidP="007256E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DMT modulus (MP</w:t>
            </w:r>
            <w:r w:rsidR="007256EA" w:rsidRPr="007256EA">
              <w:rPr>
                <w:rFonts w:ascii="Arial" w:hAnsi="Arial" w:cs="Arial"/>
                <w:lang w:val="en-GB"/>
              </w:rPr>
              <w:t>a)</w:t>
            </w:r>
          </w:p>
        </w:tc>
      </w:tr>
      <w:tr w:rsidR="007256EA" w:rsidRPr="007256EA" w:rsidTr="007256EA">
        <w:trPr>
          <w:jc w:val="center"/>
        </w:trPr>
        <w:tc>
          <w:tcPr>
            <w:tcW w:w="3080" w:type="dxa"/>
            <w:tcBorders>
              <w:top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Control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2.73 ± 1.47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0.75 ± 0.07</w:t>
            </w:r>
          </w:p>
        </w:tc>
      </w:tr>
      <w:tr w:rsidR="007256EA" w:rsidRPr="007256EA" w:rsidTr="007256EA">
        <w:trPr>
          <w:jc w:val="center"/>
        </w:trPr>
        <w:tc>
          <w:tcPr>
            <w:tcW w:w="3080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N</w:t>
            </w:r>
            <w:r w:rsidRPr="007256EA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7256EA">
              <w:rPr>
                <w:rFonts w:ascii="Arial" w:hAnsi="Arial" w:cs="Arial"/>
                <w:lang w:val="en-GB"/>
              </w:rPr>
              <w:t xml:space="preserve"> plasma treated 20w</w:t>
            </w:r>
          </w:p>
        </w:tc>
        <w:tc>
          <w:tcPr>
            <w:tcW w:w="3081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0.62 ± 0.11</w:t>
            </w:r>
          </w:p>
        </w:tc>
        <w:tc>
          <w:tcPr>
            <w:tcW w:w="3081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0.96 ± 0.53</w:t>
            </w:r>
          </w:p>
        </w:tc>
      </w:tr>
      <w:tr w:rsidR="007256EA" w:rsidRPr="007256EA" w:rsidTr="007256EA">
        <w:trPr>
          <w:jc w:val="center"/>
        </w:trPr>
        <w:tc>
          <w:tcPr>
            <w:tcW w:w="3080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 xml:space="preserve">                  </w:t>
            </w:r>
            <w:r w:rsidR="00D21D48">
              <w:rPr>
                <w:rFonts w:ascii="Arial" w:hAnsi="Arial" w:cs="Arial"/>
                <w:lang w:val="en-GB"/>
              </w:rPr>
              <w:t xml:space="preserve">          </w:t>
            </w:r>
            <w:r w:rsidRPr="007256EA">
              <w:rPr>
                <w:rFonts w:ascii="Arial" w:hAnsi="Arial" w:cs="Arial"/>
                <w:lang w:val="en-GB"/>
              </w:rPr>
              <w:t>80w</w:t>
            </w:r>
          </w:p>
        </w:tc>
        <w:tc>
          <w:tcPr>
            <w:tcW w:w="3081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0.59 ± 0.15</w:t>
            </w:r>
          </w:p>
        </w:tc>
        <w:tc>
          <w:tcPr>
            <w:tcW w:w="3081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28.44 ± 2.08</w:t>
            </w:r>
          </w:p>
        </w:tc>
      </w:tr>
      <w:tr w:rsidR="007256EA" w:rsidRPr="007256EA" w:rsidTr="007256EA">
        <w:trPr>
          <w:jc w:val="center"/>
        </w:trPr>
        <w:tc>
          <w:tcPr>
            <w:tcW w:w="3080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O</w:t>
            </w:r>
            <w:r w:rsidRPr="007256EA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7256EA">
              <w:rPr>
                <w:rFonts w:ascii="Arial" w:hAnsi="Arial" w:cs="Arial"/>
                <w:lang w:val="en-GB"/>
              </w:rPr>
              <w:t xml:space="preserve"> plasma treated 20w</w:t>
            </w:r>
          </w:p>
        </w:tc>
        <w:tc>
          <w:tcPr>
            <w:tcW w:w="3081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1.56 ± 0.79</w:t>
            </w:r>
          </w:p>
        </w:tc>
        <w:tc>
          <w:tcPr>
            <w:tcW w:w="3081" w:type="dxa"/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171.58 ± 15.67</w:t>
            </w:r>
          </w:p>
        </w:tc>
      </w:tr>
      <w:tr w:rsidR="007256EA" w:rsidRPr="007256EA" w:rsidTr="007256EA">
        <w:trPr>
          <w:jc w:val="center"/>
        </w:trPr>
        <w:tc>
          <w:tcPr>
            <w:tcW w:w="3080" w:type="dxa"/>
            <w:tcBorders>
              <w:bottom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 xml:space="preserve">                  </w:t>
            </w:r>
            <w:r w:rsidR="00D21D48">
              <w:rPr>
                <w:rFonts w:ascii="Arial" w:hAnsi="Arial" w:cs="Arial"/>
                <w:lang w:val="en-GB"/>
              </w:rPr>
              <w:t xml:space="preserve">          </w:t>
            </w:r>
            <w:r w:rsidRPr="007256EA">
              <w:rPr>
                <w:rFonts w:ascii="Arial" w:hAnsi="Arial" w:cs="Arial"/>
                <w:lang w:val="en-GB"/>
              </w:rPr>
              <w:t>80w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1.83 ± 0.03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256EA" w:rsidRPr="007256EA" w:rsidRDefault="007256EA" w:rsidP="007256EA">
            <w:pPr>
              <w:jc w:val="both"/>
              <w:rPr>
                <w:rFonts w:ascii="Arial" w:hAnsi="Arial" w:cs="Arial"/>
                <w:lang w:val="en-GB"/>
              </w:rPr>
            </w:pPr>
            <w:r w:rsidRPr="007256EA">
              <w:rPr>
                <w:rFonts w:ascii="Arial" w:hAnsi="Arial" w:cs="Arial"/>
                <w:lang w:val="en-GB"/>
              </w:rPr>
              <w:t>105.57 ± 30.17</w:t>
            </w:r>
          </w:p>
        </w:tc>
      </w:tr>
    </w:tbl>
    <w:p w:rsidR="00914168" w:rsidRPr="00E857AF" w:rsidRDefault="00914168" w:rsidP="00EA0C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results of in vitro U937 cell culture showed that </w:t>
      </w:r>
      <w:r w:rsidR="005418C2">
        <w:rPr>
          <w:rFonts w:ascii="Arial" w:hAnsi="Arial" w:cs="Arial"/>
          <w:lang w:val="en-GB"/>
        </w:rPr>
        <w:t>n</w:t>
      </w:r>
      <w:r w:rsidRPr="00B3666D">
        <w:rPr>
          <w:rFonts w:ascii="Arial" w:hAnsi="Arial" w:cs="Arial"/>
          <w:lang w:val="en-GB"/>
        </w:rPr>
        <w:t>itrogen plasma treatment may impart an anti-inflammatory effect on collagen film by reducing initial activation of monocytes and macrophages, which led a lower production pro-inflammatory cytokines IL-1β, TNFα and higher production of anti-inflammatory cytokine IL-10.</w:t>
      </w:r>
    </w:p>
    <w:p w:rsidR="00E857AF" w:rsidRDefault="00E857AF" w:rsidP="00EA0CE2">
      <w:pPr>
        <w:jc w:val="both"/>
        <w:rPr>
          <w:rFonts w:ascii="Arial" w:hAnsi="Arial" w:cs="Arial"/>
          <w:b/>
          <w:lang w:val="en-GB"/>
        </w:rPr>
      </w:pPr>
      <w:r w:rsidRPr="00B00D39">
        <w:rPr>
          <w:rFonts w:ascii="Arial" w:hAnsi="Arial" w:cs="Arial"/>
          <w:b/>
          <w:lang w:val="en-GB"/>
        </w:rPr>
        <w:t>Conclusions</w:t>
      </w:r>
    </w:p>
    <w:p w:rsidR="00DD71B4" w:rsidRPr="0090281B" w:rsidRDefault="00B3666D" w:rsidP="00B3666D">
      <w:pPr>
        <w:jc w:val="both"/>
        <w:rPr>
          <w:rFonts w:ascii="Arial" w:hAnsi="Arial" w:cs="Arial"/>
          <w:lang w:val="en-GB"/>
        </w:rPr>
      </w:pPr>
      <w:r w:rsidRPr="00B3666D">
        <w:rPr>
          <w:rFonts w:ascii="Arial" w:hAnsi="Arial" w:cs="Arial"/>
          <w:lang w:val="en-GB"/>
        </w:rPr>
        <w:t>Oxygen and nitrogen cold plasma treatment</w:t>
      </w:r>
      <w:r w:rsidR="00914168">
        <w:rPr>
          <w:rFonts w:ascii="Arial" w:hAnsi="Arial" w:cs="Arial"/>
          <w:lang w:val="en-GB"/>
        </w:rPr>
        <w:t xml:space="preserve"> </w:t>
      </w:r>
      <w:r w:rsidRPr="00B3666D">
        <w:rPr>
          <w:rFonts w:ascii="Arial" w:hAnsi="Arial" w:cs="Arial"/>
          <w:lang w:val="en-GB"/>
        </w:rPr>
        <w:t>on collagen films, modified material surfaces not only their chemical composition and surface energy, but also their surface morphology</w:t>
      </w:r>
      <w:r w:rsidR="009C6707">
        <w:rPr>
          <w:rFonts w:ascii="Arial" w:hAnsi="Arial" w:cs="Arial"/>
          <w:lang w:val="en-GB"/>
        </w:rPr>
        <w:t xml:space="preserve"> and elastic modulus at </w:t>
      </w:r>
      <w:proofErr w:type="spellStart"/>
      <w:r w:rsidR="009C6707">
        <w:rPr>
          <w:rFonts w:ascii="Arial" w:hAnsi="Arial" w:cs="Arial"/>
          <w:lang w:val="en-GB"/>
        </w:rPr>
        <w:t>nanocale</w:t>
      </w:r>
      <w:proofErr w:type="spellEnd"/>
      <w:r w:rsidRPr="00B3666D">
        <w:rPr>
          <w:rFonts w:ascii="Arial" w:hAnsi="Arial" w:cs="Arial"/>
          <w:lang w:val="en-GB"/>
        </w:rPr>
        <w:t>. Oxygen plasma treatment decomposed the 3D network structure and made the surface rougher</w:t>
      </w:r>
      <w:r w:rsidR="009C6707">
        <w:rPr>
          <w:rFonts w:ascii="Arial" w:hAnsi="Arial" w:cs="Arial"/>
          <w:lang w:val="en-GB"/>
        </w:rPr>
        <w:t xml:space="preserve"> and stiffer</w:t>
      </w:r>
      <w:r w:rsidRPr="00B3666D">
        <w:rPr>
          <w:rFonts w:ascii="Arial" w:hAnsi="Arial" w:cs="Arial"/>
          <w:lang w:val="en-GB"/>
        </w:rPr>
        <w:t>; nitrogen plasma treatment maintained the 3D network structure of collagen films and made the surface smoother</w:t>
      </w:r>
      <w:r w:rsidR="009C6707" w:rsidRPr="009C6707">
        <w:rPr>
          <w:rFonts w:ascii="Arial" w:hAnsi="Arial" w:cs="Arial"/>
          <w:lang w:val="en-GB"/>
        </w:rPr>
        <w:t xml:space="preserve"> </w:t>
      </w:r>
      <w:r w:rsidR="009C6707" w:rsidRPr="00B3666D">
        <w:rPr>
          <w:rFonts w:ascii="Arial" w:hAnsi="Arial" w:cs="Arial"/>
          <w:lang w:val="en-GB"/>
        </w:rPr>
        <w:t>at the nanoscale</w:t>
      </w:r>
      <w:r w:rsidRPr="00B3666D">
        <w:rPr>
          <w:rFonts w:ascii="Arial" w:hAnsi="Arial" w:cs="Arial"/>
          <w:lang w:val="en-GB"/>
        </w:rPr>
        <w:t>.</w:t>
      </w:r>
      <w:r w:rsidR="00717413">
        <w:rPr>
          <w:rFonts w:ascii="Arial" w:hAnsi="Arial" w:cs="Arial"/>
          <w:lang w:val="en-GB"/>
        </w:rPr>
        <w:t xml:space="preserve"> </w:t>
      </w:r>
      <w:r w:rsidR="00DD71B4" w:rsidRPr="000C5145">
        <w:rPr>
          <w:rFonts w:ascii="Arial" w:hAnsi="Arial" w:cs="Arial"/>
          <w:lang w:val="en-GB"/>
        </w:rPr>
        <w:t>The results indicated that compared to oxygen plasma, nitrogen plasma treatment may have produ</w:t>
      </w:r>
      <w:r w:rsidR="00914168">
        <w:rPr>
          <w:rFonts w:ascii="Arial" w:hAnsi="Arial" w:cs="Arial"/>
          <w:lang w:val="en-GB"/>
        </w:rPr>
        <w:t xml:space="preserve">ced an anti-inflammatory effect. </w:t>
      </w:r>
      <w:r w:rsidR="00DD71B4" w:rsidRPr="000C5145">
        <w:rPr>
          <w:rFonts w:ascii="Arial" w:hAnsi="Arial" w:cs="Arial"/>
          <w:lang w:val="en-GB"/>
        </w:rPr>
        <w:t>This could have been due to the combination of the amino chemical group and the smoother of the collagen film, introduced by nitrogen plasma treatment.</w:t>
      </w:r>
    </w:p>
    <w:p w:rsidR="007256EA" w:rsidRPr="00D63D2F" w:rsidRDefault="00D63D2F" w:rsidP="00EA0CE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References</w:t>
      </w:r>
    </w:p>
    <w:p w:rsidR="00D63D2F" w:rsidRPr="00D63D2F" w:rsidRDefault="00D63D2F" w:rsidP="00D63D2F">
      <w:pPr>
        <w:jc w:val="both"/>
        <w:rPr>
          <w:rFonts w:ascii="Arial" w:hAnsi="Arial" w:cs="Arial"/>
          <w:lang w:val="en-GB"/>
        </w:rPr>
      </w:pPr>
      <w:r w:rsidRPr="00D63D2F">
        <w:rPr>
          <w:rFonts w:ascii="Arial" w:hAnsi="Arial" w:cs="Arial"/>
          <w:lang w:val="en-GB"/>
        </w:rPr>
        <w:t>1. Chen R et al. Colloids and</w:t>
      </w:r>
      <w:r w:rsidR="00FF442B">
        <w:rPr>
          <w:rFonts w:ascii="Arial" w:hAnsi="Arial" w:cs="Arial"/>
          <w:lang w:val="en-GB"/>
        </w:rPr>
        <w:t xml:space="preserve"> Surfaces B: </w:t>
      </w:r>
      <w:proofErr w:type="spellStart"/>
      <w:r w:rsidR="00FF442B">
        <w:rPr>
          <w:rFonts w:ascii="Arial" w:hAnsi="Arial" w:cs="Arial"/>
          <w:lang w:val="en-GB"/>
        </w:rPr>
        <w:t>Biointerfaces</w:t>
      </w:r>
      <w:proofErr w:type="spellEnd"/>
      <w:r w:rsidR="00185F5C">
        <w:rPr>
          <w:rFonts w:ascii="Arial" w:hAnsi="Arial" w:cs="Arial"/>
          <w:lang w:val="en-GB"/>
        </w:rPr>
        <w:t>.</w:t>
      </w:r>
      <w:r w:rsidR="00FF442B">
        <w:rPr>
          <w:rFonts w:ascii="Arial" w:hAnsi="Arial" w:cs="Arial"/>
          <w:lang w:val="en-GB"/>
        </w:rPr>
        <w:t xml:space="preserve"> </w:t>
      </w:r>
      <w:r w:rsidRPr="00D63D2F">
        <w:rPr>
          <w:rFonts w:ascii="Arial" w:hAnsi="Arial" w:cs="Arial"/>
          <w:lang w:val="en-GB"/>
        </w:rPr>
        <w:t>96:62-68</w:t>
      </w:r>
      <w:r w:rsidR="00FF442B">
        <w:rPr>
          <w:rFonts w:ascii="Arial" w:hAnsi="Arial" w:cs="Arial"/>
          <w:lang w:val="en-GB"/>
        </w:rPr>
        <w:t>, 2012.</w:t>
      </w:r>
    </w:p>
    <w:p w:rsidR="00D63D2F" w:rsidRPr="00D63D2F" w:rsidRDefault="00D63D2F" w:rsidP="00D63D2F">
      <w:pPr>
        <w:jc w:val="both"/>
        <w:rPr>
          <w:rFonts w:ascii="Arial" w:hAnsi="Arial" w:cs="Arial"/>
          <w:lang w:val="en-GB"/>
        </w:rPr>
      </w:pPr>
      <w:proofErr w:type="gramStart"/>
      <w:r w:rsidRPr="00D63D2F">
        <w:rPr>
          <w:rFonts w:ascii="Arial" w:hAnsi="Arial" w:cs="Arial"/>
          <w:lang w:val="en-GB"/>
        </w:rPr>
        <w:t>2. Curran JM et al. Comprehensive Biomaterials</w:t>
      </w:r>
      <w:r w:rsidR="00185F5C">
        <w:rPr>
          <w:rFonts w:ascii="Arial" w:hAnsi="Arial" w:cs="Arial"/>
          <w:lang w:val="en-GB"/>
        </w:rPr>
        <w:t>.</w:t>
      </w:r>
      <w:proofErr w:type="gramEnd"/>
      <w:r w:rsidRPr="00D63D2F">
        <w:rPr>
          <w:rFonts w:ascii="Arial" w:hAnsi="Arial" w:cs="Arial"/>
          <w:lang w:val="en-GB"/>
        </w:rPr>
        <w:t xml:space="preserve"> 4: 49-52, 2011.</w:t>
      </w:r>
    </w:p>
    <w:p w:rsidR="00E857AF" w:rsidRDefault="00E857AF" w:rsidP="00EA0CE2">
      <w:pPr>
        <w:jc w:val="both"/>
        <w:rPr>
          <w:rFonts w:ascii="Arial" w:hAnsi="Arial" w:cs="Arial"/>
          <w:b/>
          <w:lang w:val="en-GB"/>
        </w:rPr>
      </w:pPr>
      <w:r w:rsidRPr="00B00D39">
        <w:rPr>
          <w:rFonts w:ascii="Arial" w:hAnsi="Arial" w:cs="Arial"/>
          <w:b/>
          <w:lang w:val="en-GB"/>
        </w:rPr>
        <w:t>Acknowledgements</w:t>
      </w:r>
    </w:p>
    <w:p w:rsidR="00E857AF" w:rsidRDefault="00DD71B4" w:rsidP="00EA0CE2">
      <w:pPr>
        <w:jc w:val="both"/>
        <w:rPr>
          <w:rFonts w:ascii="Arial" w:hAnsi="Arial" w:cs="Arial"/>
          <w:lang w:val="en-GB"/>
        </w:rPr>
      </w:pPr>
      <w:r w:rsidRPr="00DD71B4">
        <w:rPr>
          <w:rFonts w:ascii="Arial" w:hAnsi="Arial" w:cs="Arial"/>
          <w:lang w:val="en-GB"/>
        </w:rPr>
        <w:t xml:space="preserve">This work was supported by The </w:t>
      </w:r>
      <w:proofErr w:type="spellStart"/>
      <w:r w:rsidRPr="00DD71B4">
        <w:rPr>
          <w:rFonts w:ascii="Arial" w:hAnsi="Arial" w:cs="Arial"/>
          <w:lang w:val="en-GB"/>
        </w:rPr>
        <w:t>Leverhulme</w:t>
      </w:r>
      <w:proofErr w:type="spellEnd"/>
      <w:r w:rsidRPr="00DD71B4">
        <w:rPr>
          <w:rFonts w:ascii="Arial" w:hAnsi="Arial" w:cs="Arial"/>
          <w:lang w:val="en-GB"/>
        </w:rPr>
        <w:t xml:space="preserve"> Trust.</w:t>
      </w:r>
    </w:p>
    <w:p w:rsidR="00E40E7A" w:rsidRDefault="00E40E7A" w:rsidP="00EA0CE2">
      <w:pPr>
        <w:jc w:val="both"/>
        <w:rPr>
          <w:rFonts w:ascii="Arial" w:hAnsi="Arial" w:cs="Arial"/>
          <w:lang w:val="en-GB"/>
        </w:rPr>
      </w:pPr>
    </w:p>
    <w:p w:rsidR="00E40E7A" w:rsidRPr="00E857AF" w:rsidRDefault="00E40E7A" w:rsidP="00EA0CE2">
      <w:pPr>
        <w:jc w:val="both"/>
        <w:rPr>
          <w:rFonts w:ascii="Arial" w:hAnsi="Arial" w:cs="Arial"/>
          <w:lang w:val="en-GB"/>
        </w:rPr>
      </w:pPr>
    </w:p>
    <w:p w:rsidR="006776EA" w:rsidRDefault="006776EA" w:rsidP="00677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Submitted for either/ both</w:t>
      </w:r>
    </w:p>
    <w:p w:rsidR="006776EA" w:rsidRDefault="006776EA" w:rsidP="00677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POSTER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158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5C">
            <w:rPr>
              <w:rFonts w:ascii="MS Gothic" w:eastAsia="MS Gothic" w:hAnsi="MS Gothic" w:cs="Arial" w:hint="eastAsia"/>
            </w:rPr>
            <w:t>☐</w:t>
          </w:r>
        </w:sdtContent>
      </w:sdt>
    </w:p>
    <w:p w:rsidR="006776EA" w:rsidRDefault="006776EA" w:rsidP="00677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ORAL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3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6776EA" w:rsidSect="00E032D0">
      <w:type w:val="continuous"/>
      <w:pgSz w:w="11907" w:h="16840" w:code="9"/>
      <w:pgMar w:top="1134" w:right="1134" w:bottom="1134" w:left="1134" w:header="0" w:footer="35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1E" w:rsidRDefault="009D391E">
      <w:r>
        <w:separator/>
      </w:r>
    </w:p>
  </w:endnote>
  <w:endnote w:type="continuationSeparator" w:id="0">
    <w:p w:rsidR="009D391E" w:rsidRDefault="009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D0" w:rsidRPr="00EA0CE2" w:rsidRDefault="00EA0CE2" w:rsidP="00EA0CE2">
    <w:pPr>
      <w:pStyle w:val="Footer"/>
      <w:jc w:val="center"/>
      <w:rPr>
        <w:rFonts w:ascii="Arial" w:hAnsi="Arial" w:cs="Arial"/>
        <w:i/>
      </w:rPr>
    </w:pPr>
    <w:r w:rsidRPr="00EA0CE2">
      <w:rPr>
        <w:rFonts w:ascii="Arial" w:hAnsi="Arial" w:cs="Arial"/>
        <w:i/>
      </w:rPr>
      <w:t>UKSB 201</w:t>
    </w:r>
    <w:r w:rsidR="00B73E63">
      <w:rPr>
        <w:rFonts w:ascii="Arial" w:hAnsi="Arial" w:cs="Arial"/>
        <w:i/>
      </w:rPr>
      <w:t>7</w:t>
    </w:r>
    <w:r w:rsidRPr="00EA0CE2">
      <w:rPr>
        <w:rFonts w:ascii="Arial" w:hAnsi="Arial" w:cs="Arial"/>
        <w:i/>
      </w:rPr>
      <w:t xml:space="preserve"> Annual Conference and Postgraduate Day</w:t>
    </w:r>
  </w:p>
  <w:p w:rsidR="003D39D0" w:rsidRPr="00E032D0" w:rsidRDefault="00E032D0" w:rsidP="00E032D0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1E" w:rsidRDefault="009D391E">
      <w:r>
        <w:separator/>
      </w:r>
    </w:p>
  </w:footnote>
  <w:footnote w:type="continuationSeparator" w:id="0">
    <w:p w:rsidR="009D391E" w:rsidRDefault="009D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D0" w:rsidRDefault="00D3792A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238125</wp:posOffset>
          </wp:positionV>
          <wp:extent cx="962025" cy="409575"/>
          <wp:effectExtent l="0" t="0" r="3175" b="0"/>
          <wp:wrapNone/>
          <wp:docPr id="1" name="Picture 1" descr="uksb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sb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889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E01BA"/>
    <w:multiLevelType w:val="hybridMultilevel"/>
    <w:tmpl w:val="6FC0A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A"/>
    <w:rsid w:val="00005D99"/>
    <w:rsid w:val="000112C6"/>
    <w:rsid w:val="00037475"/>
    <w:rsid w:val="0009551F"/>
    <w:rsid w:val="000A2CB9"/>
    <w:rsid w:val="000A54AB"/>
    <w:rsid w:val="000C0B4F"/>
    <w:rsid w:val="000C5145"/>
    <w:rsid w:val="000C73FD"/>
    <w:rsid w:val="000D2B48"/>
    <w:rsid w:val="001103C2"/>
    <w:rsid w:val="00113AF8"/>
    <w:rsid w:val="00116243"/>
    <w:rsid w:val="00185F5C"/>
    <w:rsid w:val="001C5C1C"/>
    <w:rsid w:val="002B0556"/>
    <w:rsid w:val="002C1C94"/>
    <w:rsid w:val="003B16B0"/>
    <w:rsid w:val="003D39D0"/>
    <w:rsid w:val="003D4A8F"/>
    <w:rsid w:val="004143F9"/>
    <w:rsid w:val="00422CE3"/>
    <w:rsid w:val="00423B58"/>
    <w:rsid w:val="004275F7"/>
    <w:rsid w:val="00457484"/>
    <w:rsid w:val="004804AA"/>
    <w:rsid w:val="00485AA8"/>
    <w:rsid w:val="004A4FAF"/>
    <w:rsid w:val="004B658F"/>
    <w:rsid w:val="004E439B"/>
    <w:rsid w:val="00504A4A"/>
    <w:rsid w:val="00512B68"/>
    <w:rsid w:val="005418C2"/>
    <w:rsid w:val="005461BA"/>
    <w:rsid w:val="00550D93"/>
    <w:rsid w:val="005617F6"/>
    <w:rsid w:val="00566D12"/>
    <w:rsid w:val="00580A79"/>
    <w:rsid w:val="00591BFE"/>
    <w:rsid w:val="005929F5"/>
    <w:rsid w:val="00626AF3"/>
    <w:rsid w:val="006776EA"/>
    <w:rsid w:val="00716733"/>
    <w:rsid w:val="00717413"/>
    <w:rsid w:val="007256EA"/>
    <w:rsid w:val="00751776"/>
    <w:rsid w:val="007665EB"/>
    <w:rsid w:val="00785680"/>
    <w:rsid w:val="007C320C"/>
    <w:rsid w:val="007D40C9"/>
    <w:rsid w:val="007F404C"/>
    <w:rsid w:val="00804682"/>
    <w:rsid w:val="0083405C"/>
    <w:rsid w:val="00885E07"/>
    <w:rsid w:val="008C4736"/>
    <w:rsid w:val="008D17A0"/>
    <w:rsid w:val="008D1D7E"/>
    <w:rsid w:val="0090281B"/>
    <w:rsid w:val="0090379B"/>
    <w:rsid w:val="00906FCA"/>
    <w:rsid w:val="00912EA4"/>
    <w:rsid w:val="00914168"/>
    <w:rsid w:val="00924ACE"/>
    <w:rsid w:val="00957C7C"/>
    <w:rsid w:val="00974A22"/>
    <w:rsid w:val="009837A4"/>
    <w:rsid w:val="0099714F"/>
    <w:rsid w:val="009C6707"/>
    <w:rsid w:val="009D391E"/>
    <w:rsid w:val="009E41A4"/>
    <w:rsid w:val="00A577D8"/>
    <w:rsid w:val="00A87B44"/>
    <w:rsid w:val="00A962F8"/>
    <w:rsid w:val="00B00D39"/>
    <w:rsid w:val="00B07E3E"/>
    <w:rsid w:val="00B16224"/>
    <w:rsid w:val="00B3666D"/>
    <w:rsid w:val="00B61433"/>
    <w:rsid w:val="00B73E63"/>
    <w:rsid w:val="00B76659"/>
    <w:rsid w:val="00BA3136"/>
    <w:rsid w:val="00BE0E2C"/>
    <w:rsid w:val="00BF0D81"/>
    <w:rsid w:val="00C23215"/>
    <w:rsid w:val="00C647F4"/>
    <w:rsid w:val="00C8722F"/>
    <w:rsid w:val="00CD1898"/>
    <w:rsid w:val="00CE011F"/>
    <w:rsid w:val="00CE71AF"/>
    <w:rsid w:val="00D0271A"/>
    <w:rsid w:val="00D103C2"/>
    <w:rsid w:val="00D21D48"/>
    <w:rsid w:val="00D230B9"/>
    <w:rsid w:val="00D25C3F"/>
    <w:rsid w:val="00D3792A"/>
    <w:rsid w:val="00D51782"/>
    <w:rsid w:val="00D54153"/>
    <w:rsid w:val="00D63D2F"/>
    <w:rsid w:val="00D76D9E"/>
    <w:rsid w:val="00D84EAA"/>
    <w:rsid w:val="00D85D8C"/>
    <w:rsid w:val="00DB4B92"/>
    <w:rsid w:val="00DC7AEE"/>
    <w:rsid w:val="00DD71B4"/>
    <w:rsid w:val="00DF35DF"/>
    <w:rsid w:val="00E032D0"/>
    <w:rsid w:val="00E40E7A"/>
    <w:rsid w:val="00E425B9"/>
    <w:rsid w:val="00E857AF"/>
    <w:rsid w:val="00EA0CE2"/>
    <w:rsid w:val="00F11D5D"/>
    <w:rsid w:val="00F35AE1"/>
    <w:rsid w:val="00F8024B"/>
    <w:rsid w:val="00F87E2A"/>
    <w:rsid w:val="00F90C0A"/>
    <w:rsid w:val="00FA3536"/>
    <w:rsid w:val="00FA70B3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autoSpaceDE w:val="0"/>
      <w:autoSpaceDN w:val="0"/>
    </w:pPr>
    <w:rPr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Strong">
    <w:name w:val="Strong"/>
    <w:qFormat/>
    <w:rsid w:val="00D84EAA"/>
    <w:rPr>
      <w:b/>
      <w:bCs/>
    </w:rPr>
  </w:style>
  <w:style w:type="paragraph" w:styleId="DocumentMap">
    <w:name w:val="Document Map"/>
    <w:basedOn w:val="Normal"/>
    <w:semiHidden/>
    <w:rsid w:val="00FA70B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E71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63"/>
    <w:rPr>
      <w:rFonts w:ascii="Tahoma" w:hAnsi="Tahoma" w:cs="Tahoma"/>
      <w:sz w:val="16"/>
      <w:szCs w:val="16"/>
      <w:lang w:val="en-US" w:eastAsia="de-DE"/>
    </w:rPr>
  </w:style>
  <w:style w:type="table" w:styleId="TableGrid">
    <w:name w:val="Table Grid"/>
    <w:basedOn w:val="TableNormal"/>
    <w:rsid w:val="0072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D6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autoSpaceDE w:val="0"/>
      <w:autoSpaceDN w:val="0"/>
    </w:pPr>
    <w:rPr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Strong">
    <w:name w:val="Strong"/>
    <w:qFormat/>
    <w:rsid w:val="00D84EAA"/>
    <w:rPr>
      <w:b/>
      <w:bCs/>
    </w:rPr>
  </w:style>
  <w:style w:type="paragraph" w:styleId="DocumentMap">
    <w:name w:val="Document Map"/>
    <w:basedOn w:val="Normal"/>
    <w:semiHidden/>
    <w:rsid w:val="00FA70B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E71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63"/>
    <w:rPr>
      <w:rFonts w:ascii="Tahoma" w:hAnsi="Tahoma" w:cs="Tahoma"/>
      <w:sz w:val="16"/>
      <w:szCs w:val="16"/>
      <w:lang w:val="en-US" w:eastAsia="de-DE"/>
    </w:rPr>
  </w:style>
  <w:style w:type="table" w:styleId="TableGrid">
    <w:name w:val="Table Grid"/>
    <w:basedOn w:val="TableNormal"/>
    <w:rsid w:val="0072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D6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chen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Here using Upper and Lower Case</vt:lpstr>
    </vt:vector>
  </TitlesOfParts>
  <Company>The Ardel Group</Company>
  <LinksUpToDate>false</LinksUpToDate>
  <CharactersWithSpaces>4668</CharactersWithSpaces>
  <SharedDoc>false</SharedDoc>
  <HLinks>
    <vt:vector size="18" baseType="variant">
      <vt:variant>
        <vt:i4>1835062</vt:i4>
      </vt:variant>
      <vt:variant>
        <vt:i4>6</vt:i4>
      </vt:variant>
      <vt:variant>
        <vt:i4>0</vt:i4>
      </vt:variant>
      <vt:variant>
        <vt:i4>5</vt:i4>
      </vt:variant>
      <vt:variant>
        <vt:lpwstr>mailto:royips@gmail.com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mailto:I.Roy01@westminster.ac.uk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mailto:author@domain.com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Here using Upper and Lower Case</dc:title>
  <dc:creator>CS-1</dc:creator>
  <cp:lastModifiedBy>Chen, Rui</cp:lastModifiedBy>
  <cp:revision>9</cp:revision>
  <cp:lastPrinted>2017-05-02T11:51:00Z</cp:lastPrinted>
  <dcterms:created xsi:type="dcterms:W3CDTF">2017-05-02T11:41:00Z</dcterms:created>
  <dcterms:modified xsi:type="dcterms:W3CDTF">2017-05-02T15:11:00Z</dcterms:modified>
</cp:coreProperties>
</file>