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02" w:rsidRPr="009122EB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b/>
          <w:color w:val="000000" w:themeColor="text1"/>
          <w:sz w:val="28"/>
        </w:rPr>
      </w:pPr>
      <w:r w:rsidRPr="009122EB">
        <w:rPr>
          <w:rFonts w:cs="ArialUnicodeMS_PDF_Subset"/>
          <w:b/>
          <w:color w:val="000000" w:themeColor="text1"/>
          <w:sz w:val="28"/>
        </w:rPr>
        <w:t>Antiepileptic drug monotherapy: a network meta-analysis of 10 AEDs</w:t>
      </w:r>
    </w:p>
    <w:p w:rsidR="00701502" w:rsidRPr="009122EB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</w:p>
    <w:p w:rsidR="00701502" w:rsidRPr="009122EB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  <w:vertAlign w:val="superscript"/>
        </w:rPr>
      </w:pPr>
      <w:r w:rsidRPr="009122EB">
        <w:rPr>
          <w:rFonts w:cs="ArialUnicodeMS_PDF_Subset"/>
          <w:color w:val="000000" w:themeColor="text1"/>
        </w:rPr>
        <w:t>Sarah J Nevitt</w:t>
      </w:r>
      <w:r w:rsidRPr="009122EB">
        <w:rPr>
          <w:rFonts w:cs="ArialUnicodeMS_PDF_Subset"/>
          <w:color w:val="000000" w:themeColor="text1"/>
          <w:vertAlign w:val="superscript"/>
        </w:rPr>
        <w:t>1</w:t>
      </w:r>
      <w:r w:rsidRPr="009122EB">
        <w:rPr>
          <w:rFonts w:cs="ArialUnicodeMS_PDF_Subset"/>
          <w:color w:val="000000" w:themeColor="text1"/>
        </w:rPr>
        <w:t>, Maria Sudell</w:t>
      </w:r>
      <w:r w:rsidRPr="009122EB">
        <w:rPr>
          <w:rFonts w:cs="ArialUnicodeMS_PDF_Subset"/>
          <w:color w:val="000000" w:themeColor="text1"/>
          <w:vertAlign w:val="superscript"/>
        </w:rPr>
        <w:t>1</w:t>
      </w:r>
      <w:r w:rsidRPr="009122EB">
        <w:rPr>
          <w:rFonts w:cs="ArialUnicodeMS_PDF_Subset"/>
          <w:color w:val="000000" w:themeColor="text1"/>
        </w:rPr>
        <w:t>, Jennifer Weston</w:t>
      </w:r>
      <w:r w:rsidRPr="009122EB">
        <w:rPr>
          <w:rFonts w:cs="ArialUnicodeMS_PDF_Subset"/>
          <w:color w:val="000000" w:themeColor="text1"/>
          <w:vertAlign w:val="superscript"/>
        </w:rPr>
        <w:t>1</w:t>
      </w:r>
      <w:proofErr w:type="gramStart"/>
      <w:r w:rsidRPr="009122EB">
        <w:rPr>
          <w:rFonts w:cs="ArialUnicodeMS_PDF_Subset"/>
          <w:color w:val="000000" w:themeColor="text1"/>
          <w:vertAlign w:val="superscript"/>
        </w:rPr>
        <w:t>,2</w:t>
      </w:r>
      <w:proofErr w:type="gramEnd"/>
      <w:r w:rsidRPr="009122EB">
        <w:rPr>
          <w:rFonts w:cs="ArialUnicodeMS_PDF_Subset"/>
          <w:color w:val="000000" w:themeColor="text1"/>
        </w:rPr>
        <w:t>, Catrin Tudur Smith</w:t>
      </w:r>
      <w:r w:rsidRPr="009122EB">
        <w:rPr>
          <w:rFonts w:cs="ArialUnicodeMS_PDF_Subset"/>
          <w:color w:val="000000" w:themeColor="text1"/>
          <w:vertAlign w:val="superscript"/>
        </w:rPr>
        <w:t>1</w:t>
      </w:r>
      <w:r w:rsidRPr="009122EB">
        <w:rPr>
          <w:rFonts w:cs="ArialUnicodeMS_PDF_Subset"/>
          <w:color w:val="000000" w:themeColor="text1"/>
        </w:rPr>
        <w:t>, Anthony G Marson</w:t>
      </w:r>
      <w:r w:rsidRPr="009122EB">
        <w:rPr>
          <w:rFonts w:cs="ArialUnicodeMS_PDF_Subset"/>
          <w:color w:val="000000" w:themeColor="text1"/>
          <w:vertAlign w:val="superscript"/>
        </w:rPr>
        <w:t>2</w:t>
      </w:r>
    </w:p>
    <w:p w:rsidR="00701502" w:rsidRPr="009122EB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</w:p>
    <w:p w:rsidR="00701502" w:rsidRPr="009122EB" w:rsidRDefault="00701502" w:rsidP="00912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  <w:r w:rsidRPr="009122EB">
        <w:rPr>
          <w:rFonts w:cs="ArialUnicodeMS_PDF_Subset"/>
          <w:color w:val="000000" w:themeColor="text1"/>
        </w:rPr>
        <w:t>Department of Biostatistics, University of Liverpool, Institute of Translational Medicine, Liverpool, UK</w:t>
      </w:r>
    </w:p>
    <w:p w:rsidR="00701502" w:rsidRPr="009122EB" w:rsidRDefault="00701502" w:rsidP="009122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  <w:r w:rsidRPr="009122EB">
        <w:rPr>
          <w:rFonts w:cs="ArialUnicodeMS_PDF_Subset"/>
          <w:color w:val="000000" w:themeColor="text1"/>
        </w:rPr>
        <w:t>Department of Molecular and Clinical Pharmacology, Institute of Translational Medicine, University of Liverpool, Liverpool, UK</w:t>
      </w:r>
    </w:p>
    <w:p w:rsidR="00701502" w:rsidRPr="009903E3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b/>
          <w:color w:val="000000" w:themeColor="text1"/>
        </w:rPr>
      </w:pPr>
    </w:p>
    <w:p w:rsidR="00701502" w:rsidRPr="009903E3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b/>
          <w:color w:val="000000" w:themeColor="text1"/>
        </w:rPr>
      </w:pPr>
      <w:r w:rsidRPr="009903E3">
        <w:rPr>
          <w:rFonts w:cs="ArialUnicodeMS_PDF_Subset"/>
          <w:b/>
          <w:color w:val="000000" w:themeColor="text1"/>
        </w:rPr>
        <w:t>Bac</w:t>
      </w:r>
      <w:bookmarkStart w:id="0" w:name="_GoBack"/>
      <w:bookmarkEnd w:id="0"/>
      <w:r w:rsidRPr="009903E3">
        <w:rPr>
          <w:rFonts w:cs="ArialUnicodeMS_PDF_Subset"/>
          <w:b/>
          <w:color w:val="000000" w:themeColor="text1"/>
        </w:rPr>
        <w:t>kground</w:t>
      </w:r>
    </w:p>
    <w:p w:rsidR="00701502" w:rsidRPr="009903E3" w:rsidRDefault="00F52527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  <w:r w:rsidRPr="009903E3">
        <w:rPr>
          <w:rFonts w:cs="ArialUnicodeMS_PDF_Subset"/>
          <w:color w:val="000000" w:themeColor="text1"/>
        </w:rPr>
        <w:t>C</w:t>
      </w:r>
      <w:r w:rsidR="00701502" w:rsidRPr="009903E3">
        <w:rPr>
          <w:rFonts w:cs="ArialUnicodeMS_PDF_Subset"/>
          <w:color w:val="000000" w:themeColor="text1"/>
        </w:rPr>
        <w:t xml:space="preserve">urrent </w:t>
      </w:r>
      <w:r w:rsidR="008A79C3" w:rsidRPr="009903E3">
        <w:rPr>
          <w:rFonts w:cs="ArialUnicodeMS_PDF_Subset"/>
          <w:color w:val="000000" w:themeColor="text1"/>
        </w:rPr>
        <w:t xml:space="preserve">NICE </w:t>
      </w:r>
      <w:r w:rsidR="00701502" w:rsidRPr="009903E3">
        <w:rPr>
          <w:rFonts w:cs="ArialUnicodeMS_PDF_Subset"/>
          <w:color w:val="000000" w:themeColor="text1"/>
        </w:rPr>
        <w:t>guidelines for adults and</w:t>
      </w:r>
      <w:r w:rsidRPr="009903E3">
        <w:rPr>
          <w:rFonts w:cs="ArialUnicodeMS_PDF_Subset"/>
          <w:color w:val="000000" w:themeColor="text1"/>
        </w:rPr>
        <w:t xml:space="preserve"> </w:t>
      </w:r>
      <w:r w:rsidR="00701502" w:rsidRPr="009903E3">
        <w:rPr>
          <w:rFonts w:cs="ArialUnicodeMS_PDF_Subset"/>
          <w:color w:val="000000" w:themeColor="text1"/>
        </w:rPr>
        <w:t>children recommend carbamazepine or lamotrigine as first-line treatment for partial onset seizures and valproate for</w:t>
      </w:r>
      <w:r w:rsidRPr="009903E3">
        <w:rPr>
          <w:rFonts w:cs="ArialUnicodeMS_PDF_Subset"/>
          <w:color w:val="000000" w:themeColor="text1"/>
        </w:rPr>
        <w:t xml:space="preserve"> </w:t>
      </w:r>
      <w:r w:rsidR="00701502" w:rsidRPr="009903E3">
        <w:rPr>
          <w:rFonts w:cs="ArialUnicodeMS_PDF_Subset"/>
          <w:color w:val="000000" w:themeColor="text1"/>
        </w:rPr>
        <w:t>generalised onset seizures; however a range of other anti-epileptic drug treatments are available, and evidence is</w:t>
      </w:r>
      <w:r w:rsidRPr="009903E3">
        <w:rPr>
          <w:rFonts w:cs="ArialUnicodeMS_PDF_Subset"/>
          <w:color w:val="000000" w:themeColor="text1"/>
        </w:rPr>
        <w:t xml:space="preserve"> </w:t>
      </w:r>
      <w:r w:rsidR="00701502" w:rsidRPr="009903E3">
        <w:rPr>
          <w:rFonts w:cs="ArialUnicodeMS_PDF_Subset"/>
          <w:color w:val="000000" w:themeColor="text1"/>
        </w:rPr>
        <w:t>needed regarding their comparative effectiveness in order to inform treatment choices.</w:t>
      </w:r>
    </w:p>
    <w:p w:rsidR="00F52527" w:rsidRPr="009903E3" w:rsidRDefault="00F52527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</w:p>
    <w:p w:rsidR="00701502" w:rsidRPr="009903E3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b/>
          <w:color w:val="000000" w:themeColor="text1"/>
        </w:rPr>
      </w:pPr>
      <w:r w:rsidRPr="009903E3">
        <w:rPr>
          <w:rFonts w:cs="ArialUnicodeMS_PDF_Subset"/>
          <w:b/>
          <w:color w:val="000000" w:themeColor="text1"/>
        </w:rPr>
        <w:t>Objectives</w:t>
      </w:r>
    </w:p>
    <w:p w:rsidR="00BB318E" w:rsidRPr="009903E3" w:rsidRDefault="00701502" w:rsidP="00F52527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  <w:r w:rsidRPr="009903E3">
        <w:rPr>
          <w:rFonts w:cs="ArialUnicodeMS_PDF_Subset"/>
          <w:color w:val="000000" w:themeColor="text1"/>
        </w:rPr>
        <w:t xml:space="preserve">To compare the </w:t>
      </w:r>
      <w:r w:rsidR="009122EB" w:rsidRPr="009903E3">
        <w:rPr>
          <w:rFonts w:cs="ArialUnicodeMS_PDF_Subset"/>
          <w:color w:val="000000" w:themeColor="text1"/>
        </w:rPr>
        <w:t xml:space="preserve">clinical effectiveness </w:t>
      </w:r>
      <w:r w:rsidRPr="009903E3">
        <w:rPr>
          <w:rFonts w:cs="ArialUnicodeMS_PDF_Subset"/>
          <w:color w:val="000000" w:themeColor="text1"/>
        </w:rPr>
        <w:t>of 10 antiepileptic drugs</w:t>
      </w:r>
      <w:r w:rsidR="00F52527" w:rsidRPr="009903E3">
        <w:rPr>
          <w:rFonts w:cs="ArialUnicodeMS_PDF_Subset"/>
          <w:color w:val="000000" w:themeColor="text1"/>
        </w:rPr>
        <w:t xml:space="preserve"> </w:t>
      </w:r>
      <w:r w:rsidRPr="009903E3">
        <w:rPr>
          <w:rFonts w:cs="ArialUnicodeMS_PDF_Subset"/>
          <w:color w:val="000000" w:themeColor="text1"/>
        </w:rPr>
        <w:t>(carbamazepine, phenytoin, valproate, phenobarbitone, oxcarbazepine, lamotrigine, gabapentin, topiramate, levetiracetam,</w:t>
      </w:r>
      <w:r w:rsidR="00F52527" w:rsidRPr="009903E3">
        <w:rPr>
          <w:rFonts w:cs="ArialUnicodeMS_PDF_Subset"/>
          <w:color w:val="000000" w:themeColor="text1"/>
        </w:rPr>
        <w:t xml:space="preserve"> </w:t>
      </w:r>
      <w:r w:rsidRPr="009903E3">
        <w:rPr>
          <w:rFonts w:cs="ArialUnicodeMS_PDF_Subset"/>
          <w:color w:val="000000" w:themeColor="text1"/>
        </w:rPr>
        <w:t>zonisamide) currently used as monotherapy in children and adults with partial onset seizures or generalised tonic-clonic seizures with or without other generalised seizure types</w:t>
      </w:r>
      <w:r w:rsidR="009122EB" w:rsidRPr="009903E3">
        <w:rPr>
          <w:rFonts w:cs="ArialUnicodeMS_PDF_Subset"/>
          <w:color w:val="000000" w:themeColor="text1"/>
        </w:rPr>
        <w:t>.</w:t>
      </w:r>
      <w:r w:rsidRPr="009903E3">
        <w:rPr>
          <w:rFonts w:cs="ArialUnicodeMS_PDF_Subset"/>
          <w:color w:val="000000" w:themeColor="text1"/>
        </w:rPr>
        <w:t xml:space="preserve"> </w:t>
      </w:r>
    </w:p>
    <w:p w:rsidR="00F52527" w:rsidRPr="009903E3" w:rsidRDefault="00F52527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</w:p>
    <w:p w:rsidR="00701502" w:rsidRPr="009903E3" w:rsidRDefault="00F52527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b/>
          <w:color w:val="000000" w:themeColor="text1"/>
        </w:rPr>
      </w:pPr>
      <w:r w:rsidRPr="009903E3">
        <w:rPr>
          <w:rFonts w:cs="ArialUnicodeMS_PDF_Subset"/>
          <w:b/>
          <w:color w:val="000000" w:themeColor="text1"/>
        </w:rPr>
        <w:t>M</w:t>
      </w:r>
      <w:r w:rsidR="00701502" w:rsidRPr="009903E3">
        <w:rPr>
          <w:rFonts w:cs="ArialUnicodeMS_PDF_Subset"/>
          <w:b/>
          <w:color w:val="000000" w:themeColor="text1"/>
        </w:rPr>
        <w:t>ethods</w:t>
      </w:r>
    </w:p>
    <w:p w:rsidR="00F52527" w:rsidRPr="009903E3" w:rsidRDefault="00701502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  <w:r w:rsidRPr="009903E3">
        <w:rPr>
          <w:rFonts w:cs="ArialUnicodeMS_PDF_Subset"/>
          <w:color w:val="000000" w:themeColor="text1"/>
        </w:rPr>
        <w:t xml:space="preserve">We </w:t>
      </w:r>
      <w:r w:rsidR="00F52527" w:rsidRPr="009903E3">
        <w:rPr>
          <w:rFonts w:cs="ArialUnicodeMS_PDF_Subset"/>
          <w:color w:val="000000" w:themeColor="text1"/>
        </w:rPr>
        <w:t>performed an individual participant data network meta-analysis of randomised monotherapy trials published up to July 2016.</w:t>
      </w:r>
      <w:r w:rsidR="008A79C3" w:rsidRPr="009903E3">
        <w:rPr>
          <w:rFonts w:cs="ArialUnicodeMS_PDF_Subset"/>
          <w:color w:val="000000" w:themeColor="text1"/>
        </w:rPr>
        <w:t xml:space="preserve"> Outcomes were time to 12 month remission and time to treatment failure. We included data from </w:t>
      </w:r>
      <w:r w:rsidR="009903E3" w:rsidRPr="009903E3">
        <w:rPr>
          <w:rFonts w:cs="ArialUnicodeMS_PDF_Subset"/>
          <w:color w:val="000000" w:themeColor="text1"/>
        </w:rPr>
        <w:t>77</w:t>
      </w:r>
      <w:r w:rsidR="008A79C3" w:rsidRPr="009903E3">
        <w:rPr>
          <w:rFonts w:cs="ArialUnicodeMS_PDF_Subset"/>
          <w:color w:val="000000" w:themeColor="text1"/>
        </w:rPr>
        <w:t xml:space="preserve"> trials,</w:t>
      </w:r>
      <w:r w:rsidR="009903E3" w:rsidRPr="009903E3">
        <w:rPr>
          <w:rFonts w:cs="Arial"/>
          <w:color w:val="000000"/>
          <w:shd w:val="clear" w:color="auto" w:fill="FFFFFF"/>
        </w:rPr>
        <w:t xml:space="preserve"> 18045</w:t>
      </w:r>
      <w:r w:rsidR="008A79C3" w:rsidRPr="009903E3">
        <w:rPr>
          <w:rFonts w:cs="ArialUnicodeMS_PDF_Subset"/>
          <w:color w:val="000000" w:themeColor="text1"/>
        </w:rPr>
        <w:t xml:space="preserve"> </w:t>
      </w:r>
      <w:r w:rsidR="009903E3" w:rsidRPr="009903E3">
        <w:rPr>
          <w:rFonts w:cs="ArialUnicodeMS_PDF_Subset"/>
          <w:color w:val="000000" w:themeColor="text1"/>
        </w:rPr>
        <w:t>participants</w:t>
      </w:r>
      <w:r w:rsidR="008A79C3" w:rsidRPr="009903E3">
        <w:rPr>
          <w:rFonts w:cs="ArialUnicodeMS_PDF_Subset"/>
          <w:color w:val="000000" w:themeColor="text1"/>
        </w:rPr>
        <w:t>.</w:t>
      </w:r>
    </w:p>
    <w:p w:rsidR="00F52527" w:rsidRPr="009903E3" w:rsidRDefault="00F52527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b/>
          <w:color w:val="000000" w:themeColor="text1"/>
        </w:rPr>
      </w:pPr>
    </w:p>
    <w:p w:rsidR="00701502" w:rsidRPr="009903E3" w:rsidRDefault="00F52527" w:rsidP="00701502">
      <w:pPr>
        <w:autoSpaceDE w:val="0"/>
        <w:autoSpaceDN w:val="0"/>
        <w:adjustRightInd w:val="0"/>
        <w:spacing w:after="0" w:line="240" w:lineRule="auto"/>
        <w:rPr>
          <w:rFonts w:cs="ArialUnicodeMS_PDF_Subset"/>
          <w:b/>
          <w:color w:val="000000" w:themeColor="text1"/>
        </w:rPr>
      </w:pPr>
      <w:r w:rsidRPr="009903E3">
        <w:rPr>
          <w:rFonts w:cs="ArialUnicodeMS_PDF_Subset"/>
          <w:b/>
          <w:color w:val="000000" w:themeColor="text1"/>
        </w:rPr>
        <w:t xml:space="preserve">Key results </w:t>
      </w:r>
    </w:p>
    <w:p w:rsidR="00701502" w:rsidRPr="009903E3" w:rsidRDefault="00F52527" w:rsidP="00F52527">
      <w:pPr>
        <w:autoSpaceDE w:val="0"/>
        <w:autoSpaceDN w:val="0"/>
        <w:adjustRightInd w:val="0"/>
        <w:spacing w:after="0" w:line="240" w:lineRule="auto"/>
        <w:rPr>
          <w:rFonts w:cs="ArialUnicodeMS_PDF_Subset"/>
          <w:color w:val="000000" w:themeColor="text1"/>
        </w:rPr>
      </w:pPr>
      <w:r w:rsidRPr="009903E3">
        <w:rPr>
          <w:rFonts w:cs="ArialUnicodeMS_PDF_Subset"/>
          <w:color w:val="000000" w:themeColor="text1"/>
        </w:rPr>
        <w:t xml:space="preserve">Results support </w:t>
      </w:r>
      <w:r w:rsidR="00701502" w:rsidRPr="009903E3">
        <w:rPr>
          <w:rFonts w:cs="ArialUnicodeMS_PDF_Subset"/>
          <w:color w:val="000000" w:themeColor="text1"/>
        </w:rPr>
        <w:t>current</w:t>
      </w:r>
      <w:r w:rsidRPr="009903E3">
        <w:rPr>
          <w:rFonts w:cs="ArialUnicodeMS_PDF_Subset"/>
          <w:color w:val="000000" w:themeColor="text1"/>
        </w:rPr>
        <w:t xml:space="preserve"> NICE</w:t>
      </w:r>
      <w:r w:rsidR="00701502" w:rsidRPr="009903E3">
        <w:rPr>
          <w:rFonts w:cs="ArialUnicodeMS_PDF_Subset"/>
          <w:color w:val="000000" w:themeColor="text1"/>
        </w:rPr>
        <w:t xml:space="preserve"> guidance that carbamazepine and</w:t>
      </w:r>
      <w:r w:rsidRPr="009903E3">
        <w:rPr>
          <w:rFonts w:cs="ArialUnicodeMS_PDF_Subset"/>
          <w:color w:val="000000" w:themeColor="text1"/>
        </w:rPr>
        <w:t xml:space="preserve"> </w:t>
      </w:r>
      <w:r w:rsidR="00701502" w:rsidRPr="009903E3">
        <w:rPr>
          <w:rFonts w:cs="ArialUnicodeMS_PDF_Subset"/>
          <w:color w:val="000000" w:themeColor="text1"/>
        </w:rPr>
        <w:t>lamotrigine are suitable first-line treatments for individuals with partial onset seizures and demonstrates that</w:t>
      </w:r>
      <w:r w:rsidRPr="009903E3">
        <w:rPr>
          <w:rFonts w:cs="ArialUnicodeMS_PDF_Subset"/>
          <w:color w:val="000000" w:themeColor="text1"/>
        </w:rPr>
        <w:t xml:space="preserve"> </w:t>
      </w:r>
      <w:r w:rsidR="00701502" w:rsidRPr="009903E3">
        <w:rPr>
          <w:rFonts w:cs="ArialUnicodeMS_PDF_Subset"/>
          <w:color w:val="000000" w:themeColor="text1"/>
        </w:rPr>
        <w:t xml:space="preserve">levetiracetam may be suitable alternative. </w:t>
      </w:r>
      <w:r w:rsidRPr="009903E3">
        <w:rPr>
          <w:rFonts w:cs="ArialUnicodeMS_PDF_Subset"/>
          <w:color w:val="000000" w:themeColor="text1"/>
        </w:rPr>
        <w:t xml:space="preserve">Results also </w:t>
      </w:r>
      <w:r w:rsidR="00701502" w:rsidRPr="009903E3">
        <w:rPr>
          <w:rFonts w:cs="ArialUnicodeMS_PDF_Subset"/>
          <w:color w:val="000000" w:themeColor="text1"/>
        </w:rPr>
        <w:t>support the use of valproate</w:t>
      </w:r>
      <w:r w:rsidRPr="009903E3">
        <w:rPr>
          <w:rFonts w:cs="ArialUnicodeMS_PDF_Subset"/>
          <w:color w:val="000000" w:themeColor="text1"/>
        </w:rPr>
        <w:t xml:space="preserve"> </w:t>
      </w:r>
      <w:r w:rsidR="00701502" w:rsidRPr="009903E3">
        <w:rPr>
          <w:rFonts w:cs="ArialUnicodeMS_PDF_Subset"/>
          <w:color w:val="000000" w:themeColor="text1"/>
        </w:rPr>
        <w:t>as the first-line treatment for individuals with generalised tonic-clonic seizures (with or without other generalised seizure</w:t>
      </w:r>
      <w:r w:rsidRPr="009903E3">
        <w:rPr>
          <w:rFonts w:cs="ArialUnicodeMS_PDF_Subset"/>
          <w:color w:val="000000" w:themeColor="text1"/>
        </w:rPr>
        <w:t xml:space="preserve"> </w:t>
      </w:r>
      <w:r w:rsidR="00701502" w:rsidRPr="009903E3">
        <w:rPr>
          <w:rFonts w:cs="ArialUnicodeMS_PDF_Subset"/>
          <w:color w:val="000000" w:themeColor="text1"/>
        </w:rPr>
        <w:t>types) and also demonstrates that lamotrigine and levetiracetam would be suitable alternative</w:t>
      </w:r>
      <w:r w:rsidR="009122EB" w:rsidRPr="009903E3">
        <w:rPr>
          <w:rFonts w:cs="ArialUnicodeMS_PDF_Subset"/>
          <w:color w:val="000000" w:themeColor="text1"/>
        </w:rPr>
        <w:t>s,</w:t>
      </w:r>
      <w:r w:rsidR="00701502" w:rsidRPr="009903E3">
        <w:rPr>
          <w:rFonts w:cs="ArialUnicodeMS_PDF_Subset"/>
          <w:color w:val="000000" w:themeColor="text1"/>
        </w:rPr>
        <w:t xml:space="preserve"> particularly for th</w:t>
      </w:r>
      <w:r w:rsidR="009122EB" w:rsidRPr="009903E3">
        <w:rPr>
          <w:rFonts w:cs="ArialUnicodeMS_PDF_Subset"/>
          <w:color w:val="000000" w:themeColor="text1"/>
        </w:rPr>
        <w:t>ose of child bearing potential.</w:t>
      </w:r>
    </w:p>
    <w:p w:rsidR="00701502" w:rsidRDefault="00701502" w:rsidP="00701502"/>
    <w:sectPr w:rsidR="0070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UnicodeMS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DF3"/>
    <w:multiLevelType w:val="hybridMultilevel"/>
    <w:tmpl w:val="AE78C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2"/>
    <w:rsid w:val="00701502"/>
    <w:rsid w:val="008A79C3"/>
    <w:rsid w:val="009122EB"/>
    <w:rsid w:val="009903E3"/>
    <w:rsid w:val="00BB318E"/>
    <w:rsid w:val="00F5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3A08D9-0381-457E-BD75-3BF0E1FA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Nevitt, Sarah</dc:creator>
  <cp:keywords/>
  <dc:description/>
  <cp:lastModifiedBy>Nevitt, Sarah</cp:lastModifiedBy>
  <cp:revision>2</cp:revision>
  <dcterms:created xsi:type="dcterms:W3CDTF">2017-01-13T09:25:00Z</dcterms:created>
  <dcterms:modified xsi:type="dcterms:W3CDTF">2017-01-13T09:25:00Z</dcterms:modified>
</cp:coreProperties>
</file>