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E03F49" w14:textId="77777777" w:rsidR="00F66BA8" w:rsidRPr="00F66BA8" w:rsidRDefault="00F66BA8" w:rsidP="004F4EEE">
      <w:pPr>
        <w:spacing w:line="360" w:lineRule="auto"/>
        <w:jc w:val="both"/>
        <w:rPr>
          <w:b/>
          <w:sz w:val="30"/>
          <w:szCs w:val="30"/>
        </w:rPr>
      </w:pPr>
      <w:r w:rsidRPr="00F66BA8">
        <w:rPr>
          <w:b/>
          <w:sz w:val="30"/>
          <w:szCs w:val="30"/>
        </w:rPr>
        <w:t xml:space="preserve">Special Issue on </w:t>
      </w:r>
      <w:r w:rsidR="00267927" w:rsidRPr="00267927">
        <w:rPr>
          <w:b/>
          <w:sz w:val="30"/>
          <w:szCs w:val="30"/>
        </w:rPr>
        <w:t>Youth and Graduate Migration</w:t>
      </w:r>
    </w:p>
    <w:p w14:paraId="11E88B6B" w14:textId="77777777" w:rsidR="00F66BA8" w:rsidRPr="00DC5A7C" w:rsidRDefault="00F66BA8" w:rsidP="004F4EEE">
      <w:pPr>
        <w:pBdr>
          <w:bottom w:val="single" w:sz="6" w:space="1" w:color="auto"/>
        </w:pBdr>
        <w:spacing w:after="120" w:line="360" w:lineRule="auto"/>
        <w:jc w:val="both"/>
        <w:rPr>
          <w:sz w:val="20"/>
          <w:szCs w:val="20"/>
        </w:rPr>
      </w:pPr>
    </w:p>
    <w:p w14:paraId="21394EAE" w14:textId="77777777" w:rsidR="00F66BA8" w:rsidRPr="004F4EEE" w:rsidRDefault="00267927" w:rsidP="004F4EEE">
      <w:pPr>
        <w:pBdr>
          <w:bottom w:val="single" w:sz="6" w:space="1" w:color="auto"/>
        </w:pBdr>
        <w:spacing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Alessandra Faggian</w:t>
      </w:r>
      <w:r w:rsidR="00F66BA8" w:rsidRPr="00F66BA8">
        <w:rPr>
          <w:sz w:val="28"/>
          <w:szCs w:val="28"/>
          <w:vertAlign w:val="superscript"/>
        </w:rPr>
        <w:t>1</w:t>
      </w:r>
      <w:r w:rsidRPr="00267927">
        <w:rPr>
          <w:sz w:val="28"/>
          <w:szCs w:val="28"/>
        </w:rPr>
        <w:t>,</w:t>
      </w:r>
      <w:r w:rsidR="00F66BA8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Jonathan Corcoran</w:t>
      </w:r>
      <w:r w:rsidRPr="00267927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a</w:t>
      </w:r>
      <w:r w:rsidR="00F66BA8" w:rsidRPr="00F66BA8">
        <w:rPr>
          <w:sz w:val="28"/>
          <w:szCs w:val="28"/>
        </w:rPr>
        <w:t xml:space="preserve">nd </w:t>
      </w:r>
      <w:r>
        <w:rPr>
          <w:sz w:val="28"/>
          <w:szCs w:val="28"/>
        </w:rPr>
        <w:t>Francisco Rowe</w:t>
      </w:r>
      <w:r>
        <w:rPr>
          <w:sz w:val="28"/>
          <w:szCs w:val="28"/>
          <w:vertAlign w:val="superscript"/>
        </w:rPr>
        <w:t>3</w:t>
      </w:r>
      <w:r w:rsidR="004F4EEE">
        <w:rPr>
          <w:sz w:val="28"/>
          <w:szCs w:val="28"/>
        </w:rPr>
        <w:t xml:space="preserve"> </w:t>
      </w:r>
    </w:p>
    <w:p w14:paraId="2E8C35A4" w14:textId="77777777" w:rsidR="00267927" w:rsidRPr="004F4EEE" w:rsidRDefault="00793246" w:rsidP="004F4EEE">
      <w:pPr>
        <w:spacing w:after="0" w:line="360" w:lineRule="auto"/>
        <w:jc w:val="both"/>
        <w:rPr>
          <w:sz w:val="24"/>
          <w:szCs w:val="24"/>
          <w:vertAlign w:val="superscript"/>
        </w:rPr>
      </w:pPr>
      <w:r w:rsidRPr="004F4EEE">
        <w:rPr>
          <w:sz w:val="24"/>
          <w:szCs w:val="24"/>
          <w:vertAlign w:val="superscript"/>
        </w:rPr>
        <w:t>1</w:t>
      </w:r>
      <w:r w:rsidR="00267927" w:rsidRPr="004F4EEE">
        <w:rPr>
          <w:sz w:val="24"/>
          <w:szCs w:val="24"/>
        </w:rPr>
        <w:t xml:space="preserve"> </w:t>
      </w:r>
      <w:r w:rsidR="00733D5B" w:rsidRPr="004F4EEE">
        <w:rPr>
          <w:sz w:val="24"/>
          <w:szCs w:val="24"/>
        </w:rPr>
        <w:t xml:space="preserve">Gran </w:t>
      </w:r>
      <w:proofErr w:type="spellStart"/>
      <w:r w:rsidR="00733D5B" w:rsidRPr="004F4EEE">
        <w:rPr>
          <w:sz w:val="24"/>
          <w:szCs w:val="24"/>
        </w:rPr>
        <w:t>Sasso</w:t>
      </w:r>
      <w:proofErr w:type="spellEnd"/>
      <w:r w:rsidR="00733D5B" w:rsidRPr="004F4EEE">
        <w:rPr>
          <w:sz w:val="24"/>
          <w:szCs w:val="24"/>
        </w:rPr>
        <w:t xml:space="preserve"> Science Institute</w:t>
      </w:r>
      <w:r w:rsidR="00267927" w:rsidRPr="004F4EEE">
        <w:rPr>
          <w:sz w:val="24"/>
          <w:szCs w:val="24"/>
        </w:rPr>
        <w:t xml:space="preserve">, </w:t>
      </w:r>
      <w:r w:rsidR="00733D5B" w:rsidRPr="004F4EEE">
        <w:rPr>
          <w:sz w:val="24"/>
          <w:szCs w:val="24"/>
        </w:rPr>
        <w:t>School of Advanced Studies</w:t>
      </w:r>
      <w:r w:rsidR="00267927" w:rsidRPr="004F4EEE">
        <w:rPr>
          <w:sz w:val="24"/>
          <w:szCs w:val="24"/>
        </w:rPr>
        <w:t xml:space="preserve">, </w:t>
      </w:r>
      <w:r w:rsidR="00017474" w:rsidRPr="004F4EEE">
        <w:rPr>
          <w:sz w:val="24"/>
          <w:szCs w:val="24"/>
        </w:rPr>
        <w:t xml:space="preserve">Social Sciences, </w:t>
      </w:r>
      <w:r w:rsidR="00733D5B" w:rsidRPr="004F4EEE">
        <w:rPr>
          <w:sz w:val="24"/>
          <w:szCs w:val="24"/>
        </w:rPr>
        <w:t xml:space="preserve">L’Aquila, Italy. </w:t>
      </w:r>
      <w:hyperlink r:id="rId8" w:history="1">
        <w:r w:rsidR="00733D5B" w:rsidRPr="004F4EEE">
          <w:rPr>
            <w:rStyle w:val="Hyperlink"/>
            <w:sz w:val="24"/>
            <w:szCs w:val="24"/>
          </w:rPr>
          <w:t>alessandra.faggian@gssi.it</w:t>
        </w:r>
      </w:hyperlink>
      <w:r w:rsidR="00733D5B" w:rsidRPr="004F4EEE">
        <w:rPr>
          <w:sz w:val="24"/>
          <w:szCs w:val="24"/>
        </w:rPr>
        <w:t xml:space="preserve">    </w:t>
      </w:r>
    </w:p>
    <w:p w14:paraId="53F2928B" w14:textId="77777777" w:rsidR="00F66BA8" w:rsidRPr="004F4EEE" w:rsidRDefault="00793246" w:rsidP="004F4EEE">
      <w:pPr>
        <w:spacing w:after="0" w:line="360" w:lineRule="auto"/>
        <w:jc w:val="both"/>
        <w:rPr>
          <w:sz w:val="24"/>
          <w:szCs w:val="24"/>
        </w:rPr>
      </w:pPr>
      <w:r w:rsidRPr="004F4EEE">
        <w:rPr>
          <w:sz w:val="24"/>
          <w:szCs w:val="24"/>
          <w:vertAlign w:val="superscript"/>
        </w:rPr>
        <w:t>2</w:t>
      </w:r>
      <w:r w:rsidR="00F66BA8" w:rsidRPr="004F4EEE">
        <w:rPr>
          <w:sz w:val="24"/>
          <w:szCs w:val="24"/>
        </w:rPr>
        <w:t xml:space="preserve"> School of </w:t>
      </w:r>
      <w:r w:rsidR="00733D5B" w:rsidRPr="004F4EEE">
        <w:rPr>
          <w:sz w:val="24"/>
          <w:szCs w:val="24"/>
        </w:rPr>
        <w:t>Earth</w:t>
      </w:r>
      <w:r w:rsidR="00F66BA8" w:rsidRPr="004F4EEE">
        <w:rPr>
          <w:sz w:val="24"/>
          <w:szCs w:val="24"/>
        </w:rPr>
        <w:t xml:space="preserve"> and Environmental </w:t>
      </w:r>
      <w:r w:rsidR="00733D5B" w:rsidRPr="004F4EEE">
        <w:rPr>
          <w:sz w:val="24"/>
          <w:szCs w:val="24"/>
        </w:rPr>
        <w:t>Sciences</w:t>
      </w:r>
      <w:r w:rsidR="00F66BA8" w:rsidRPr="004F4EEE">
        <w:rPr>
          <w:sz w:val="24"/>
          <w:szCs w:val="24"/>
        </w:rPr>
        <w:t>, The Unive</w:t>
      </w:r>
      <w:r w:rsidR="00733D5B" w:rsidRPr="004F4EEE">
        <w:rPr>
          <w:sz w:val="24"/>
          <w:szCs w:val="24"/>
        </w:rPr>
        <w:t xml:space="preserve">rsity of Queensland, Australia. </w:t>
      </w:r>
      <w:hyperlink r:id="rId9" w:history="1">
        <w:r w:rsidR="00F66BA8" w:rsidRPr="004F4EEE">
          <w:rPr>
            <w:rStyle w:val="Hyperlink"/>
            <w:sz w:val="24"/>
            <w:szCs w:val="24"/>
          </w:rPr>
          <w:t>jj.corcoran@uq.edu.au</w:t>
        </w:r>
      </w:hyperlink>
      <w:r w:rsidR="00F66BA8" w:rsidRPr="004F4EEE">
        <w:rPr>
          <w:sz w:val="24"/>
          <w:szCs w:val="24"/>
        </w:rPr>
        <w:t xml:space="preserve"> </w:t>
      </w:r>
    </w:p>
    <w:p w14:paraId="1BECC0A8" w14:textId="77777777" w:rsidR="00CB2047" w:rsidRPr="004F4EEE" w:rsidRDefault="00267927" w:rsidP="004F4EEE">
      <w:pPr>
        <w:pBdr>
          <w:bottom w:val="single" w:sz="6" w:space="1" w:color="auto"/>
        </w:pBdr>
        <w:spacing w:after="0" w:line="360" w:lineRule="auto"/>
        <w:jc w:val="both"/>
        <w:rPr>
          <w:rStyle w:val="Hyperlink"/>
          <w:sz w:val="24"/>
          <w:szCs w:val="24"/>
        </w:rPr>
      </w:pPr>
      <w:r w:rsidRPr="004F4EEE">
        <w:rPr>
          <w:sz w:val="24"/>
          <w:szCs w:val="24"/>
          <w:vertAlign w:val="superscript"/>
        </w:rPr>
        <w:t>3</w:t>
      </w:r>
      <w:r w:rsidRPr="004F4EEE">
        <w:rPr>
          <w:sz w:val="24"/>
          <w:szCs w:val="24"/>
        </w:rPr>
        <w:t>Geography and Planning, University of Liverpool, United Kingdom</w:t>
      </w:r>
      <w:r w:rsidR="00733D5B" w:rsidRPr="004F4EEE">
        <w:rPr>
          <w:sz w:val="24"/>
          <w:szCs w:val="24"/>
        </w:rPr>
        <w:t xml:space="preserve">. </w:t>
      </w:r>
      <w:hyperlink r:id="rId10" w:history="1">
        <w:r w:rsidRPr="004F4EEE">
          <w:rPr>
            <w:rStyle w:val="Hyperlink"/>
            <w:sz w:val="24"/>
            <w:szCs w:val="24"/>
          </w:rPr>
          <w:t>F.Rowe-Gonzalez@liverpool.ac.uk</w:t>
        </w:r>
      </w:hyperlink>
      <w:r w:rsidRPr="004F4EEE">
        <w:rPr>
          <w:sz w:val="24"/>
          <w:szCs w:val="24"/>
        </w:rPr>
        <w:t xml:space="preserve"> </w:t>
      </w:r>
    </w:p>
    <w:p w14:paraId="64A79E8F" w14:textId="77777777" w:rsidR="00F66BA8" w:rsidRPr="004F4EEE" w:rsidRDefault="00F66BA8" w:rsidP="004F4EEE">
      <w:pPr>
        <w:spacing w:after="0" w:line="360" w:lineRule="auto"/>
        <w:jc w:val="both"/>
        <w:rPr>
          <w:sz w:val="24"/>
          <w:szCs w:val="24"/>
        </w:rPr>
      </w:pPr>
    </w:p>
    <w:p w14:paraId="0D7AB044" w14:textId="77777777" w:rsidR="00970F05" w:rsidRPr="004F4EEE" w:rsidRDefault="00970F05" w:rsidP="004F4EEE">
      <w:pPr>
        <w:pStyle w:val="MediumGrid1-Accent21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4F4EEE">
        <w:rPr>
          <w:b/>
          <w:sz w:val="24"/>
          <w:szCs w:val="24"/>
        </w:rPr>
        <w:t>Introduction</w:t>
      </w:r>
    </w:p>
    <w:p w14:paraId="36C8CBCA" w14:textId="77777777" w:rsidR="009713D4" w:rsidRPr="004F4EEE" w:rsidRDefault="0064158A" w:rsidP="009D206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Y</w:t>
      </w:r>
      <w:r w:rsidR="00AD491B" w:rsidRPr="004F4EEE">
        <w:rPr>
          <w:sz w:val="24"/>
          <w:szCs w:val="24"/>
        </w:rPr>
        <w:t xml:space="preserve">oung people are </w:t>
      </w:r>
      <w:r w:rsidR="00EC7A97">
        <w:rPr>
          <w:sz w:val="24"/>
          <w:szCs w:val="24"/>
        </w:rPr>
        <w:t>associated with high levels</w:t>
      </w:r>
      <w:r w:rsidR="00AD491B" w:rsidRPr="004F4EEE">
        <w:rPr>
          <w:sz w:val="24"/>
          <w:szCs w:val="24"/>
        </w:rPr>
        <w:t xml:space="preserve"> </w:t>
      </w:r>
      <w:r w:rsidR="00EC7A97">
        <w:rPr>
          <w:sz w:val="24"/>
          <w:szCs w:val="24"/>
        </w:rPr>
        <w:t xml:space="preserve">of </w:t>
      </w:r>
      <w:r w:rsidR="00912E43">
        <w:rPr>
          <w:sz w:val="24"/>
          <w:szCs w:val="24"/>
        </w:rPr>
        <w:t xml:space="preserve">spatial </w:t>
      </w:r>
      <w:r w:rsidR="00AD491B" w:rsidRPr="004F4EEE">
        <w:rPr>
          <w:sz w:val="24"/>
          <w:szCs w:val="24"/>
        </w:rPr>
        <w:t>mobil</w:t>
      </w:r>
      <w:r w:rsidR="00EC7A97">
        <w:rPr>
          <w:sz w:val="24"/>
          <w:szCs w:val="24"/>
        </w:rPr>
        <w:t>ity</w:t>
      </w:r>
      <w:r w:rsidR="00AD491B" w:rsidRPr="004F4EEE">
        <w:rPr>
          <w:sz w:val="24"/>
          <w:szCs w:val="24"/>
        </w:rPr>
        <w:t xml:space="preserve"> </w:t>
      </w:r>
      <w:r w:rsidR="00DA52ED">
        <w:rPr>
          <w:sz w:val="24"/>
          <w:szCs w:val="24"/>
        </w:rPr>
        <w:t>which is</w:t>
      </w:r>
      <w:r w:rsidR="0068003C">
        <w:rPr>
          <w:sz w:val="24"/>
          <w:szCs w:val="24"/>
        </w:rPr>
        <w:t xml:space="preserve"> linked</w:t>
      </w:r>
      <w:r w:rsidR="00C065A4">
        <w:rPr>
          <w:sz w:val="24"/>
          <w:szCs w:val="24"/>
        </w:rPr>
        <w:t xml:space="preserve"> </w:t>
      </w:r>
      <w:r w:rsidR="0068003C">
        <w:rPr>
          <w:sz w:val="24"/>
          <w:szCs w:val="24"/>
        </w:rPr>
        <w:t>to</w:t>
      </w:r>
      <w:r w:rsidR="00C065A4">
        <w:rPr>
          <w:sz w:val="24"/>
          <w:szCs w:val="24"/>
        </w:rPr>
        <w:t xml:space="preserve"> a series of </w:t>
      </w:r>
      <w:r w:rsidR="00A00327">
        <w:rPr>
          <w:sz w:val="24"/>
          <w:szCs w:val="24"/>
        </w:rPr>
        <w:t>life</w:t>
      </w:r>
      <w:r w:rsidR="00C065A4">
        <w:rPr>
          <w:sz w:val="24"/>
          <w:szCs w:val="24"/>
        </w:rPr>
        <w:t xml:space="preserve"> </w:t>
      </w:r>
      <w:r w:rsidR="00A00327">
        <w:rPr>
          <w:sz w:val="24"/>
          <w:szCs w:val="24"/>
        </w:rPr>
        <w:t>course</w:t>
      </w:r>
      <w:r w:rsidR="00C065A4">
        <w:rPr>
          <w:sz w:val="24"/>
          <w:szCs w:val="24"/>
        </w:rPr>
        <w:t xml:space="preserve"> events</w:t>
      </w:r>
      <w:r w:rsidR="00DA52ED">
        <w:rPr>
          <w:sz w:val="24"/>
          <w:szCs w:val="24"/>
        </w:rPr>
        <w:t xml:space="preserve">, involving </w:t>
      </w:r>
      <w:r w:rsidR="00C065A4" w:rsidRPr="00C065A4">
        <w:rPr>
          <w:sz w:val="24"/>
          <w:szCs w:val="24"/>
        </w:rPr>
        <w:t>leaving</w:t>
      </w:r>
      <w:r w:rsidR="00C065A4">
        <w:rPr>
          <w:sz w:val="24"/>
          <w:szCs w:val="24"/>
        </w:rPr>
        <w:t xml:space="preserve"> the </w:t>
      </w:r>
      <w:r w:rsidR="00C065A4" w:rsidRPr="00C065A4">
        <w:rPr>
          <w:sz w:val="24"/>
          <w:szCs w:val="24"/>
        </w:rPr>
        <w:t xml:space="preserve">parental home, skills development, partnership and family formation, and entry to the labour force </w:t>
      </w:r>
      <w:r w:rsidR="00B91FDB">
        <w:rPr>
          <w:sz w:val="24"/>
          <w:szCs w:val="24"/>
        </w:rPr>
        <w:t>(</w:t>
      </w:r>
      <w:r w:rsidR="00ED0F86">
        <w:rPr>
          <w:sz w:val="24"/>
          <w:szCs w:val="24"/>
          <w:lang w:val="en-GB"/>
        </w:rPr>
        <w:t>Rogers et al. Castro 1978</w:t>
      </w:r>
      <w:r w:rsidR="00B91FDB">
        <w:rPr>
          <w:sz w:val="24"/>
          <w:szCs w:val="24"/>
        </w:rPr>
        <w:t>)</w:t>
      </w:r>
      <w:r w:rsidR="00C065A4">
        <w:rPr>
          <w:sz w:val="24"/>
          <w:szCs w:val="24"/>
        </w:rPr>
        <w:t>.</w:t>
      </w:r>
      <w:r w:rsidR="00AD491B" w:rsidRPr="004F4EEE">
        <w:rPr>
          <w:sz w:val="24"/>
          <w:szCs w:val="24"/>
        </w:rPr>
        <w:t xml:space="preserve"> </w:t>
      </w:r>
      <w:r>
        <w:rPr>
          <w:sz w:val="24"/>
          <w:szCs w:val="24"/>
        </w:rPr>
        <w:t>These</w:t>
      </w:r>
      <w:r w:rsidR="00C065A4">
        <w:rPr>
          <w:sz w:val="24"/>
          <w:szCs w:val="24"/>
        </w:rPr>
        <w:t xml:space="preserve"> </w:t>
      </w:r>
      <w:r w:rsidR="00EF62D4">
        <w:rPr>
          <w:sz w:val="24"/>
          <w:szCs w:val="24"/>
        </w:rPr>
        <w:t xml:space="preserve">life course </w:t>
      </w:r>
      <w:r w:rsidR="00C065A4">
        <w:rPr>
          <w:sz w:val="24"/>
          <w:szCs w:val="24"/>
        </w:rPr>
        <w:t>events</w:t>
      </w:r>
      <w:r>
        <w:rPr>
          <w:sz w:val="24"/>
          <w:szCs w:val="24"/>
        </w:rPr>
        <w:t>,</w:t>
      </w:r>
      <w:r w:rsidR="00C065A4">
        <w:rPr>
          <w:sz w:val="24"/>
          <w:szCs w:val="24"/>
        </w:rPr>
        <w:t xml:space="preserve"> and their associated spatial </w:t>
      </w:r>
      <w:r w:rsidR="00AD491B" w:rsidRPr="004F4EEE">
        <w:rPr>
          <w:sz w:val="24"/>
          <w:szCs w:val="24"/>
        </w:rPr>
        <w:t>mobility</w:t>
      </w:r>
      <w:r>
        <w:rPr>
          <w:sz w:val="24"/>
          <w:szCs w:val="24"/>
        </w:rPr>
        <w:t>,</w:t>
      </w:r>
      <w:r w:rsidR="00AD491B" w:rsidRPr="004F4EEE">
        <w:rPr>
          <w:sz w:val="24"/>
          <w:szCs w:val="24"/>
        </w:rPr>
        <w:t xml:space="preserve"> ha</w:t>
      </w:r>
      <w:r w:rsidR="00C065A4">
        <w:rPr>
          <w:sz w:val="24"/>
          <w:szCs w:val="24"/>
        </w:rPr>
        <w:t>ve</w:t>
      </w:r>
      <w:r w:rsidR="00AD491B" w:rsidRPr="004F4EEE">
        <w:rPr>
          <w:sz w:val="24"/>
          <w:szCs w:val="24"/>
        </w:rPr>
        <w:t xml:space="preserve"> importan</w:t>
      </w:r>
      <w:r w:rsidR="00EF62D4">
        <w:rPr>
          <w:sz w:val="24"/>
          <w:szCs w:val="24"/>
        </w:rPr>
        <w:t>t</w:t>
      </w:r>
      <w:r w:rsidR="00AD491B" w:rsidRPr="004F4EEE">
        <w:rPr>
          <w:sz w:val="24"/>
          <w:szCs w:val="24"/>
        </w:rPr>
        <w:t xml:space="preserve"> consequences for both individual employment outcomes </w:t>
      </w:r>
      <w:r w:rsidR="00390841">
        <w:rPr>
          <w:sz w:val="24"/>
          <w:szCs w:val="24"/>
        </w:rPr>
        <w:t>and</w:t>
      </w:r>
      <w:r w:rsidR="00AD491B" w:rsidRPr="004F4EEE">
        <w:rPr>
          <w:sz w:val="24"/>
          <w:szCs w:val="24"/>
        </w:rPr>
        <w:t xml:space="preserve"> the economic vitality of local labour markets</w:t>
      </w:r>
      <w:r w:rsidR="00912E43">
        <w:rPr>
          <w:sz w:val="24"/>
          <w:szCs w:val="24"/>
        </w:rPr>
        <w:t xml:space="preserve"> </w:t>
      </w:r>
      <w:r w:rsidR="004F4EEE">
        <w:rPr>
          <w:sz w:val="24"/>
          <w:szCs w:val="24"/>
        </w:rPr>
        <w:t>(</w:t>
      </w:r>
      <w:proofErr w:type="spellStart"/>
      <w:r w:rsidR="006D4B88">
        <w:rPr>
          <w:sz w:val="24"/>
          <w:szCs w:val="24"/>
        </w:rPr>
        <w:t>Faggian</w:t>
      </w:r>
      <w:proofErr w:type="spellEnd"/>
      <w:r w:rsidR="006D4B88">
        <w:rPr>
          <w:sz w:val="24"/>
          <w:szCs w:val="24"/>
        </w:rPr>
        <w:t xml:space="preserve"> </w:t>
      </w:r>
      <w:r w:rsidR="00274794">
        <w:rPr>
          <w:sz w:val="24"/>
          <w:szCs w:val="24"/>
        </w:rPr>
        <w:t xml:space="preserve">and McCann, 2009; </w:t>
      </w:r>
      <w:proofErr w:type="spellStart"/>
      <w:r w:rsidR="00274794">
        <w:rPr>
          <w:sz w:val="24"/>
          <w:szCs w:val="24"/>
        </w:rPr>
        <w:t>Venhorst</w:t>
      </w:r>
      <w:proofErr w:type="spellEnd"/>
      <w:r w:rsidR="00274794">
        <w:rPr>
          <w:sz w:val="24"/>
          <w:szCs w:val="24"/>
        </w:rPr>
        <w:t>, et al., 201</w:t>
      </w:r>
      <w:r w:rsidR="00EB6C23">
        <w:rPr>
          <w:sz w:val="24"/>
          <w:szCs w:val="24"/>
        </w:rPr>
        <w:t>0</w:t>
      </w:r>
      <w:r w:rsidR="009C1102">
        <w:rPr>
          <w:sz w:val="24"/>
          <w:szCs w:val="24"/>
        </w:rPr>
        <w:t xml:space="preserve">; Corcoran and </w:t>
      </w:r>
      <w:proofErr w:type="spellStart"/>
      <w:r w:rsidR="009C1102">
        <w:rPr>
          <w:sz w:val="24"/>
          <w:szCs w:val="24"/>
        </w:rPr>
        <w:t>Faggian</w:t>
      </w:r>
      <w:proofErr w:type="spellEnd"/>
      <w:r w:rsidR="009C1102">
        <w:rPr>
          <w:sz w:val="24"/>
          <w:szCs w:val="24"/>
        </w:rPr>
        <w:t>, 2017</w:t>
      </w:r>
      <w:r w:rsidR="004F4EEE">
        <w:rPr>
          <w:sz w:val="24"/>
          <w:szCs w:val="24"/>
        </w:rPr>
        <w:t>)</w:t>
      </w:r>
      <w:r w:rsidR="00AD491B" w:rsidRPr="004F4EEE">
        <w:rPr>
          <w:sz w:val="24"/>
          <w:szCs w:val="24"/>
        </w:rPr>
        <w:t xml:space="preserve">. </w:t>
      </w:r>
      <w:r w:rsidR="00ED0F86">
        <w:rPr>
          <w:sz w:val="24"/>
          <w:szCs w:val="24"/>
        </w:rPr>
        <w:t>Existing</w:t>
      </w:r>
      <w:r w:rsidR="00ED0F86" w:rsidRPr="004F4EEE">
        <w:rPr>
          <w:sz w:val="24"/>
          <w:szCs w:val="24"/>
        </w:rPr>
        <w:t xml:space="preserve"> </w:t>
      </w:r>
      <w:r w:rsidR="0068003C">
        <w:rPr>
          <w:sz w:val="24"/>
          <w:szCs w:val="24"/>
        </w:rPr>
        <w:t xml:space="preserve">scholarship </w:t>
      </w:r>
      <w:r w:rsidR="0068003C" w:rsidRPr="00DB1771">
        <w:rPr>
          <w:sz w:val="24"/>
          <w:szCs w:val="24"/>
        </w:rPr>
        <w:t>has highlighted</w:t>
      </w:r>
      <w:r w:rsidR="0092381C" w:rsidRPr="00DB1771">
        <w:rPr>
          <w:sz w:val="24"/>
          <w:szCs w:val="24"/>
        </w:rPr>
        <w:t xml:space="preserve"> </w:t>
      </w:r>
      <w:r w:rsidR="0068003C" w:rsidRPr="00DB1771">
        <w:rPr>
          <w:sz w:val="24"/>
          <w:szCs w:val="24"/>
        </w:rPr>
        <w:t xml:space="preserve">that </w:t>
      </w:r>
      <w:r w:rsidR="003E46E8" w:rsidRPr="00DB1771">
        <w:rPr>
          <w:sz w:val="24"/>
          <w:szCs w:val="24"/>
        </w:rPr>
        <w:t xml:space="preserve">this </w:t>
      </w:r>
      <w:r w:rsidR="00912E43" w:rsidRPr="00DB1771">
        <w:rPr>
          <w:sz w:val="24"/>
          <w:szCs w:val="24"/>
        </w:rPr>
        <w:t xml:space="preserve">spatial </w:t>
      </w:r>
      <w:r w:rsidR="0092381C" w:rsidRPr="00DB1771">
        <w:rPr>
          <w:sz w:val="24"/>
          <w:szCs w:val="24"/>
        </w:rPr>
        <w:t xml:space="preserve">mobility is not </w:t>
      </w:r>
      <w:r w:rsidR="00DB1771" w:rsidRPr="00DB1771">
        <w:rPr>
          <w:sz w:val="24"/>
          <w:szCs w:val="24"/>
        </w:rPr>
        <w:t xml:space="preserve">uniform </w:t>
      </w:r>
      <w:r w:rsidR="00A00327" w:rsidRPr="00DB1771">
        <w:rPr>
          <w:sz w:val="24"/>
          <w:szCs w:val="24"/>
        </w:rPr>
        <w:t>a</w:t>
      </w:r>
      <w:r w:rsidR="003E46E8" w:rsidRPr="00DB1771">
        <w:rPr>
          <w:sz w:val="24"/>
          <w:szCs w:val="24"/>
        </w:rPr>
        <w:t>cross the urban hierarchy</w:t>
      </w:r>
      <w:r w:rsidR="00A00327" w:rsidRPr="00DB1771">
        <w:rPr>
          <w:sz w:val="24"/>
          <w:szCs w:val="24"/>
        </w:rPr>
        <w:t>.</w:t>
      </w:r>
      <w:r w:rsidR="00A00327">
        <w:rPr>
          <w:sz w:val="24"/>
          <w:szCs w:val="24"/>
        </w:rPr>
        <w:t xml:space="preserve"> </w:t>
      </w:r>
      <w:r w:rsidR="009D2067">
        <w:rPr>
          <w:sz w:val="24"/>
          <w:szCs w:val="24"/>
        </w:rPr>
        <w:t>R</w:t>
      </w:r>
      <w:r w:rsidR="0092381C" w:rsidRPr="004F4EEE">
        <w:rPr>
          <w:sz w:val="24"/>
          <w:szCs w:val="24"/>
        </w:rPr>
        <w:t>ural areas are subject to persistent pressure</w:t>
      </w:r>
      <w:r w:rsidR="00A00327">
        <w:rPr>
          <w:sz w:val="24"/>
          <w:szCs w:val="24"/>
        </w:rPr>
        <w:t>s</w:t>
      </w:r>
      <w:r w:rsidR="0092381C" w:rsidRPr="004F4EEE">
        <w:rPr>
          <w:sz w:val="24"/>
          <w:szCs w:val="24"/>
        </w:rPr>
        <w:t xml:space="preserve"> to attract and retain </w:t>
      </w:r>
      <w:r w:rsidR="00912E43">
        <w:rPr>
          <w:sz w:val="24"/>
          <w:szCs w:val="24"/>
        </w:rPr>
        <w:t>youth</w:t>
      </w:r>
      <w:r w:rsidR="0092381C" w:rsidRPr="004F4EEE">
        <w:rPr>
          <w:sz w:val="24"/>
          <w:szCs w:val="24"/>
        </w:rPr>
        <w:t xml:space="preserve"> and in particular young educated people to help redress accelerating ageing populations </w:t>
      </w:r>
      <w:r w:rsidR="009D2067">
        <w:rPr>
          <w:sz w:val="24"/>
          <w:szCs w:val="24"/>
        </w:rPr>
        <w:t xml:space="preserve">and </w:t>
      </w:r>
      <w:r w:rsidR="009D2067" w:rsidRPr="009D2067">
        <w:rPr>
          <w:sz w:val="24"/>
          <w:szCs w:val="24"/>
        </w:rPr>
        <w:t>replenish</w:t>
      </w:r>
      <w:r w:rsidR="009D2067">
        <w:rPr>
          <w:sz w:val="24"/>
          <w:szCs w:val="24"/>
        </w:rPr>
        <w:t xml:space="preserve">ing labour gaps </w:t>
      </w:r>
      <w:r w:rsidR="00A00327">
        <w:rPr>
          <w:sz w:val="24"/>
          <w:szCs w:val="24"/>
        </w:rPr>
        <w:t>as well as</w:t>
      </w:r>
      <w:r w:rsidR="0092381C" w:rsidRPr="004F4EEE">
        <w:rPr>
          <w:sz w:val="24"/>
          <w:szCs w:val="24"/>
        </w:rPr>
        <w:t xml:space="preserve"> </w:t>
      </w:r>
      <w:r w:rsidR="00A00327">
        <w:rPr>
          <w:sz w:val="24"/>
          <w:szCs w:val="24"/>
        </w:rPr>
        <w:t>to act</w:t>
      </w:r>
      <w:r w:rsidR="0092381C" w:rsidRPr="004F4EEE">
        <w:rPr>
          <w:sz w:val="24"/>
          <w:szCs w:val="24"/>
        </w:rPr>
        <w:t xml:space="preserve"> </w:t>
      </w:r>
      <w:r w:rsidR="00912E43">
        <w:rPr>
          <w:sz w:val="24"/>
          <w:szCs w:val="24"/>
        </w:rPr>
        <w:t xml:space="preserve">as </w:t>
      </w:r>
      <w:r w:rsidR="0092381C" w:rsidRPr="004F4EEE">
        <w:rPr>
          <w:sz w:val="24"/>
          <w:szCs w:val="24"/>
        </w:rPr>
        <w:t>a key ingredient in stimulating economic development</w:t>
      </w:r>
      <w:r w:rsidR="004F4EEE">
        <w:rPr>
          <w:sz w:val="24"/>
          <w:szCs w:val="24"/>
        </w:rPr>
        <w:t xml:space="preserve"> (Corcoran et al., 2010; </w:t>
      </w:r>
      <w:r w:rsidR="00EB6C23">
        <w:rPr>
          <w:sz w:val="24"/>
          <w:szCs w:val="24"/>
        </w:rPr>
        <w:t>Stockdale, 2006</w:t>
      </w:r>
      <w:r w:rsidR="004F4EEE">
        <w:rPr>
          <w:sz w:val="24"/>
          <w:szCs w:val="24"/>
        </w:rPr>
        <w:t>)</w:t>
      </w:r>
      <w:r w:rsidR="0092381C" w:rsidRPr="004F4EEE">
        <w:rPr>
          <w:sz w:val="24"/>
          <w:szCs w:val="24"/>
        </w:rPr>
        <w:t xml:space="preserve">. </w:t>
      </w:r>
      <w:r w:rsidR="009D2067">
        <w:rPr>
          <w:sz w:val="24"/>
          <w:szCs w:val="24"/>
        </w:rPr>
        <w:t>In contrast, l</w:t>
      </w:r>
      <w:r w:rsidR="005C47E7">
        <w:rPr>
          <w:sz w:val="24"/>
          <w:szCs w:val="24"/>
        </w:rPr>
        <w:t>arger metropolitan areas</w:t>
      </w:r>
      <w:r w:rsidR="007755B1">
        <w:rPr>
          <w:sz w:val="24"/>
          <w:szCs w:val="24"/>
        </w:rPr>
        <w:t xml:space="preserve"> </w:t>
      </w:r>
      <w:r w:rsidR="009D2067">
        <w:rPr>
          <w:sz w:val="24"/>
          <w:szCs w:val="24"/>
        </w:rPr>
        <w:t xml:space="preserve">are </w:t>
      </w:r>
      <w:r w:rsidR="005C47E7">
        <w:rPr>
          <w:sz w:val="24"/>
          <w:szCs w:val="24"/>
        </w:rPr>
        <w:t>attract</w:t>
      </w:r>
      <w:r w:rsidR="009D2067">
        <w:rPr>
          <w:sz w:val="24"/>
          <w:szCs w:val="24"/>
        </w:rPr>
        <w:t>ion</w:t>
      </w:r>
      <w:r w:rsidR="005C47E7">
        <w:rPr>
          <w:sz w:val="24"/>
          <w:szCs w:val="24"/>
        </w:rPr>
        <w:t xml:space="preserve"> </w:t>
      </w:r>
      <w:r w:rsidR="009D2067" w:rsidRPr="009D2067">
        <w:rPr>
          <w:sz w:val="24"/>
          <w:szCs w:val="24"/>
        </w:rPr>
        <w:t>magnets</w:t>
      </w:r>
      <w:r w:rsidR="009D2067">
        <w:rPr>
          <w:sz w:val="24"/>
          <w:szCs w:val="24"/>
        </w:rPr>
        <w:t xml:space="preserve"> for</w:t>
      </w:r>
      <w:r w:rsidR="005C47E7">
        <w:rPr>
          <w:sz w:val="24"/>
          <w:szCs w:val="24"/>
        </w:rPr>
        <w:t xml:space="preserve"> the </w:t>
      </w:r>
      <w:r w:rsidR="004F33DA">
        <w:rPr>
          <w:sz w:val="24"/>
          <w:szCs w:val="24"/>
        </w:rPr>
        <w:t>‘</w:t>
      </w:r>
      <w:r w:rsidR="005C47E7">
        <w:rPr>
          <w:sz w:val="24"/>
          <w:szCs w:val="24"/>
        </w:rPr>
        <w:t>best</w:t>
      </w:r>
      <w:r w:rsidR="004F33DA">
        <w:rPr>
          <w:sz w:val="24"/>
          <w:szCs w:val="24"/>
        </w:rPr>
        <w:t>’</w:t>
      </w:r>
      <w:r w:rsidR="005C47E7">
        <w:rPr>
          <w:sz w:val="24"/>
          <w:szCs w:val="24"/>
        </w:rPr>
        <w:t xml:space="preserve"> and the </w:t>
      </w:r>
      <w:r w:rsidR="004F33DA">
        <w:rPr>
          <w:sz w:val="24"/>
          <w:szCs w:val="24"/>
        </w:rPr>
        <w:t>‘</w:t>
      </w:r>
      <w:r w:rsidR="005C47E7">
        <w:rPr>
          <w:sz w:val="24"/>
          <w:szCs w:val="24"/>
        </w:rPr>
        <w:t>brightest</w:t>
      </w:r>
      <w:r w:rsidR="004F33DA">
        <w:rPr>
          <w:sz w:val="24"/>
          <w:szCs w:val="24"/>
        </w:rPr>
        <w:t>’</w:t>
      </w:r>
      <w:r w:rsidR="003578DD">
        <w:rPr>
          <w:sz w:val="24"/>
          <w:szCs w:val="24"/>
        </w:rPr>
        <w:t xml:space="preserve"> (</w:t>
      </w:r>
      <w:r w:rsidR="00DB1771">
        <w:rPr>
          <w:sz w:val="24"/>
          <w:szCs w:val="24"/>
        </w:rPr>
        <w:t>Costa and Kahn</w:t>
      </w:r>
      <w:r w:rsidR="0022541A">
        <w:rPr>
          <w:sz w:val="24"/>
          <w:szCs w:val="24"/>
        </w:rPr>
        <w:t xml:space="preserve"> 2000</w:t>
      </w:r>
      <w:r w:rsidR="00DB1771">
        <w:rPr>
          <w:sz w:val="24"/>
          <w:szCs w:val="24"/>
        </w:rPr>
        <w:t xml:space="preserve">; </w:t>
      </w:r>
      <w:proofErr w:type="spellStart"/>
      <w:r w:rsidR="003578DD">
        <w:rPr>
          <w:sz w:val="24"/>
          <w:szCs w:val="24"/>
        </w:rPr>
        <w:t>Ritsilä</w:t>
      </w:r>
      <w:proofErr w:type="spellEnd"/>
      <w:r w:rsidR="003578DD">
        <w:rPr>
          <w:sz w:val="24"/>
          <w:szCs w:val="24"/>
        </w:rPr>
        <w:t xml:space="preserve"> and </w:t>
      </w:r>
      <w:proofErr w:type="spellStart"/>
      <w:r w:rsidR="003578DD">
        <w:rPr>
          <w:sz w:val="24"/>
          <w:szCs w:val="24"/>
        </w:rPr>
        <w:t>Ovaskainen</w:t>
      </w:r>
      <w:proofErr w:type="spellEnd"/>
      <w:r w:rsidR="003578DD" w:rsidRPr="003578DD">
        <w:rPr>
          <w:sz w:val="24"/>
          <w:szCs w:val="24"/>
        </w:rPr>
        <w:t xml:space="preserve"> 2001</w:t>
      </w:r>
      <w:r w:rsidR="003578DD">
        <w:rPr>
          <w:sz w:val="24"/>
          <w:szCs w:val="24"/>
        </w:rPr>
        <w:t>)</w:t>
      </w:r>
      <w:r w:rsidR="009D2067">
        <w:rPr>
          <w:sz w:val="24"/>
          <w:szCs w:val="24"/>
        </w:rPr>
        <w:t>.</w:t>
      </w:r>
      <w:r w:rsidR="005C47E7">
        <w:rPr>
          <w:sz w:val="24"/>
          <w:szCs w:val="24"/>
        </w:rPr>
        <w:t xml:space="preserve"> </w:t>
      </w:r>
      <w:r w:rsidR="009D2067">
        <w:rPr>
          <w:sz w:val="24"/>
          <w:szCs w:val="24"/>
        </w:rPr>
        <w:t xml:space="preserve">At </w:t>
      </w:r>
      <w:r w:rsidR="005C47E7">
        <w:rPr>
          <w:sz w:val="24"/>
          <w:szCs w:val="24"/>
        </w:rPr>
        <w:t>the expense of smaller towns and rural areas</w:t>
      </w:r>
      <w:r w:rsidR="009D2067">
        <w:rPr>
          <w:sz w:val="24"/>
          <w:szCs w:val="24"/>
        </w:rPr>
        <w:t xml:space="preserve">, </w:t>
      </w:r>
      <w:r w:rsidR="004F33DA">
        <w:rPr>
          <w:sz w:val="24"/>
          <w:szCs w:val="24"/>
        </w:rPr>
        <w:t xml:space="preserve">young people migrate up the urban hierarchy </w:t>
      </w:r>
      <w:r w:rsidR="005C47E7">
        <w:rPr>
          <w:sz w:val="24"/>
          <w:szCs w:val="24"/>
        </w:rPr>
        <w:t xml:space="preserve">in search of </w:t>
      </w:r>
      <w:r w:rsidR="007755B1">
        <w:rPr>
          <w:sz w:val="24"/>
          <w:szCs w:val="24"/>
        </w:rPr>
        <w:t>enhanced</w:t>
      </w:r>
      <w:r w:rsidR="00815E15">
        <w:rPr>
          <w:sz w:val="24"/>
          <w:szCs w:val="24"/>
        </w:rPr>
        <w:t xml:space="preserve"> education</w:t>
      </w:r>
      <w:r w:rsidR="007755B1">
        <w:rPr>
          <w:sz w:val="24"/>
          <w:szCs w:val="24"/>
        </w:rPr>
        <w:t>,</w:t>
      </w:r>
      <w:r w:rsidR="00815E15">
        <w:rPr>
          <w:sz w:val="24"/>
          <w:szCs w:val="24"/>
        </w:rPr>
        <w:t xml:space="preserve"> employment</w:t>
      </w:r>
      <w:r w:rsidR="007755B1">
        <w:rPr>
          <w:sz w:val="24"/>
          <w:szCs w:val="24"/>
        </w:rPr>
        <w:t xml:space="preserve"> and lifestyle</w:t>
      </w:r>
      <w:r w:rsidR="00815E15">
        <w:rPr>
          <w:sz w:val="24"/>
          <w:szCs w:val="24"/>
        </w:rPr>
        <w:t xml:space="preserve"> opportunities </w:t>
      </w:r>
      <w:r w:rsidR="004F33DA">
        <w:rPr>
          <w:sz w:val="24"/>
          <w:szCs w:val="24"/>
        </w:rPr>
        <w:t>(</w:t>
      </w:r>
      <w:proofErr w:type="spellStart"/>
      <w:r w:rsidR="008423CB">
        <w:rPr>
          <w:sz w:val="24"/>
          <w:szCs w:val="24"/>
        </w:rPr>
        <w:t>Artz</w:t>
      </w:r>
      <w:proofErr w:type="spellEnd"/>
      <w:r w:rsidR="008423CB">
        <w:rPr>
          <w:sz w:val="24"/>
          <w:szCs w:val="24"/>
        </w:rPr>
        <w:t xml:space="preserve"> 2003</w:t>
      </w:r>
      <w:r w:rsidR="0003678F">
        <w:rPr>
          <w:sz w:val="24"/>
          <w:szCs w:val="24"/>
        </w:rPr>
        <w:t xml:space="preserve">; </w:t>
      </w:r>
      <w:r w:rsidR="00D644C6" w:rsidRPr="00D644C6">
        <w:rPr>
          <w:sz w:val="24"/>
          <w:szCs w:val="24"/>
        </w:rPr>
        <w:t>Gibson</w:t>
      </w:r>
      <w:r w:rsidR="00D644C6">
        <w:rPr>
          <w:sz w:val="24"/>
          <w:szCs w:val="24"/>
        </w:rPr>
        <w:t xml:space="preserve"> and</w:t>
      </w:r>
      <w:r w:rsidR="00D644C6" w:rsidRPr="00D644C6">
        <w:rPr>
          <w:sz w:val="24"/>
          <w:szCs w:val="24"/>
        </w:rPr>
        <w:t xml:space="preserve"> McKenzie, 2012</w:t>
      </w:r>
      <w:r w:rsidR="0003678F" w:rsidRPr="0003678F">
        <w:rPr>
          <w:sz w:val="24"/>
          <w:szCs w:val="24"/>
        </w:rPr>
        <w:t>)</w:t>
      </w:r>
      <w:r w:rsidR="004F4EEE">
        <w:rPr>
          <w:sz w:val="24"/>
          <w:szCs w:val="24"/>
        </w:rPr>
        <w:t>.</w:t>
      </w:r>
    </w:p>
    <w:p w14:paraId="503EC8DE" w14:textId="62E85FEB" w:rsidR="00912E43" w:rsidRDefault="00D72F4E" w:rsidP="004F4EEE">
      <w:pPr>
        <w:spacing w:line="360" w:lineRule="auto"/>
        <w:jc w:val="both"/>
        <w:rPr>
          <w:sz w:val="24"/>
          <w:szCs w:val="24"/>
        </w:rPr>
      </w:pPr>
      <w:r w:rsidRPr="00D72F4E">
        <w:rPr>
          <w:sz w:val="24"/>
          <w:szCs w:val="24"/>
        </w:rPr>
        <w:t xml:space="preserve">Not surprisingly, </w:t>
      </w:r>
      <w:r>
        <w:rPr>
          <w:sz w:val="24"/>
          <w:szCs w:val="24"/>
        </w:rPr>
        <w:t xml:space="preserve">given the </w:t>
      </w:r>
      <w:r w:rsidR="00815E15">
        <w:rPr>
          <w:sz w:val="24"/>
          <w:szCs w:val="24"/>
        </w:rPr>
        <w:t xml:space="preserve">significance </w:t>
      </w:r>
      <w:r>
        <w:rPr>
          <w:sz w:val="24"/>
          <w:szCs w:val="24"/>
        </w:rPr>
        <w:t xml:space="preserve">of the topic, </w:t>
      </w:r>
      <w:r w:rsidR="000D5C98">
        <w:rPr>
          <w:sz w:val="24"/>
          <w:szCs w:val="24"/>
        </w:rPr>
        <w:t>youth and grad</w:t>
      </w:r>
      <w:r>
        <w:rPr>
          <w:sz w:val="24"/>
          <w:szCs w:val="24"/>
        </w:rPr>
        <w:t>u</w:t>
      </w:r>
      <w:r w:rsidR="000D5C98">
        <w:rPr>
          <w:sz w:val="24"/>
          <w:szCs w:val="24"/>
        </w:rPr>
        <w:t>a</w:t>
      </w:r>
      <w:r>
        <w:rPr>
          <w:sz w:val="24"/>
          <w:szCs w:val="24"/>
        </w:rPr>
        <w:t>te</w:t>
      </w:r>
      <w:r w:rsidRPr="00D72F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migration </w:t>
      </w:r>
      <w:r w:rsidRPr="00D72F4E">
        <w:rPr>
          <w:sz w:val="24"/>
          <w:szCs w:val="24"/>
        </w:rPr>
        <w:t xml:space="preserve">has attracted </w:t>
      </w:r>
      <w:r w:rsidR="004A025B">
        <w:rPr>
          <w:sz w:val="24"/>
          <w:szCs w:val="24"/>
        </w:rPr>
        <w:t>continued</w:t>
      </w:r>
      <w:r w:rsidRPr="00D72F4E">
        <w:rPr>
          <w:sz w:val="24"/>
          <w:szCs w:val="24"/>
        </w:rPr>
        <w:t xml:space="preserve"> attention across the media, policy debates and a</w:t>
      </w:r>
      <w:r w:rsidR="00D80B6D">
        <w:rPr>
          <w:sz w:val="24"/>
          <w:szCs w:val="24"/>
        </w:rPr>
        <w:t>cademic circles</w:t>
      </w:r>
      <w:r>
        <w:rPr>
          <w:sz w:val="24"/>
          <w:szCs w:val="24"/>
        </w:rPr>
        <w:t xml:space="preserve"> </w:t>
      </w:r>
      <w:r w:rsidR="00D31556">
        <w:rPr>
          <w:sz w:val="24"/>
          <w:szCs w:val="24"/>
        </w:rPr>
        <w:t xml:space="preserve">concerning both the challenges and opportunities that it presents to individuals, labour </w:t>
      </w:r>
      <w:r w:rsidR="00D31556">
        <w:rPr>
          <w:sz w:val="24"/>
          <w:szCs w:val="24"/>
        </w:rPr>
        <w:lastRenderedPageBreak/>
        <w:t xml:space="preserve">markets and national economies </w:t>
      </w:r>
      <w:r>
        <w:rPr>
          <w:sz w:val="24"/>
          <w:szCs w:val="24"/>
        </w:rPr>
        <w:t>(</w:t>
      </w:r>
      <w:r w:rsidR="00D31556">
        <w:rPr>
          <w:sz w:val="24"/>
          <w:szCs w:val="24"/>
        </w:rPr>
        <w:t>United Nations, 2016; Global Migration Group, 2014</w:t>
      </w:r>
      <w:r>
        <w:rPr>
          <w:sz w:val="24"/>
          <w:szCs w:val="24"/>
        </w:rPr>
        <w:t>)</w:t>
      </w:r>
      <w:r w:rsidRPr="00D72F4E">
        <w:rPr>
          <w:sz w:val="24"/>
          <w:szCs w:val="24"/>
        </w:rPr>
        <w:t xml:space="preserve">. </w:t>
      </w:r>
      <w:r w:rsidR="00D31556">
        <w:rPr>
          <w:sz w:val="24"/>
          <w:szCs w:val="24"/>
        </w:rPr>
        <w:t>From a regional labour market perspective, t</w:t>
      </w:r>
      <w:r w:rsidRPr="00D72F4E">
        <w:rPr>
          <w:sz w:val="24"/>
          <w:szCs w:val="24"/>
        </w:rPr>
        <w:t xml:space="preserve">here </w:t>
      </w:r>
      <w:r w:rsidR="00D31556">
        <w:rPr>
          <w:sz w:val="24"/>
          <w:szCs w:val="24"/>
        </w:rPr>
        <w:t>is</w:t>
      </w:r>
      <w:r w:rsidRPr="00D72F4E">
        <w:rPr>
          <w:sz w:val="24"/>
          <w:szCs w:val="24"/>
        </w:rPr>
        <w:t xml:space="preserve"> </w:t>
      </w:r>
      <w:r w:rsidR="00D80B6D">
        <w:rPr>
          <w:sz w:val="24"/>
          <w:szCs w:val="24"/>
        </w:rPr>
        <w:t xml:space="preserve">continued interest in understanding whether </w:t>
      </w:r>
      <w:r w:rsidR="00D80B6D" w:rsidRPr="0081010F">
        <w:rPr>
          <w:sz w:val="24"/>
          <w:szCs w:val="24"/>
        </w:rPr>
        <w:t xml:space="preserve">international human capital is an </w:t>
      </w:r>
      <w:r w:rsidR="000F06A8" w:rsidRPr="0081010F">
        <w:rPr>
          <w:sz w:val="24"/>
          <w:szCs w:val="24"/>
        </w:rPr>
        <w:t xml:space="preserve">effective solution to </w:t>
      </w:r>
      <w:r w:rsidR="0081010F" w:rsidRPr="0081010F">
        <w:rPr>
          <w:sz w:val="24"/>
          <w:szCs w:val="24"/>
        </w:rPr>
        <w:t>mitigate</w:t>
      </w:r>
      <w:r w:rsidR="00BD25E4" w:rsidRPr="0081010F">
        <w:rPr>
          <w:sz w:val="24"/>
          <w:szCs w:val="24"/>
        </w:rPr>
        <w:t xml:space="preserve"> </w:t>
      </w:r>
      <w:r w:rsidR="000F06A8" w:rsidRPr="0081010F">
        <w:rPr>
          <w:sz w:val="24"/>
          <w:szCs w:val="24"/>
        </w:rPr>
        <w:t>the</w:t>
      </w:r>
      <w:r w:rsidR="00D80B6D" w:rsidRPr="0081010F">
        <w:rPr>
          <w:sz w:val="24"/>
          <w:szCs w:val="24"/>
        </w:rPr>
        <w:t xml:space="preserve"> declining young educated</w:t>
      </w:r>
      <w:r w:rsidR="00D80B6D">
        <w:rPr>
          <w:sz w:val="24"/>
          <w:szCs w:val="24"/>
        </w:rPr>
        <w:t xml:space="preserve"> populations in </w:t>
      </w:r>
      <w:r w:rsidR="00BD25E4">
        <w:rPr>
          <w:sz w:val="24"/>
          <w:szCs w:val="24"/>
        </w:rPr>
        <w:t xml:space="preserve">peripheral </w:t>
      </w:r>
      <w:r w:rsidR="00D80B6D">
        <w:rPr>
          <w:sz w:val="24"/>
          <w:szCs w:val="24"/>
        </w:rPr>
        <w:t>area</w:t>
      </w:r>
      <w:r w:rsidR="000F06A8">
        <w:rPr>
          <w:sz w:val="24"/>
          <w:szCs w:val="24"/>
        </w:rPr>
        <w:t>s</w:t>
      </w:r>
      <w:r w:rsidR="00D80B6D">
        <w:rPr>
          <w:sz w:val="24"/>
          <w:szCs w:val="24"/>
        </w:rPr>
        <w:t xml:space="preserve"> (</w:t>
      </w:r>
      <w:r w:rsidR="00EB6C23">
        <w:rPr>
          <w:sz w:val="24"/>
          <w:szCs w:val="24"/>
        </w:rPr>
        <w:t>Rowe et al., 2013</w:t>
      </w:r>
      <w:r w:rsidR="009F2BF7">
        <w:rPr>
          <w:sz w:val="24"/>
          <w:szCs w:val="24"/>
        </w:rPr>
        <w:t xml:space="preserve">; </w:t>
      </w:r>
      <w:proofErr w:type="spellStart"/>
      <w:r w:rsidR="00F80F05" w:rsidRPr="00F80F05">
        <w:rPr>
          <w:sz w:val="24"/>
          <w:szCs w:val="24"/>
        </w:rPr>
        <w:t>Faggian</w:t>
      </w:r>
      <w:proofErr w:type="spellEnd"/>
      <w:r w:rsidR="00F80F05">
        <w:rPr>
          <w:sz w:val="24"/>
          <w:szCs w:val="24"/>
        </w:rPr>
        <w:t xml:space="preserve"> et al., 2016</w:t>
      </w:r>
      <w:r w:rsidR="009F2BF7">
        <w:rPr>
          <w:sz w:val="24"/>
          <w:szCs w:val="24"/>
        </w:rPr>
        <w:t>; Tang et al.,</w:t>
      </w:r>
      <w:r w:rsidR="00CD6EDA">
        <w:rPr>
          <w:sz w:val="24"/>
          <w:szCs w:val="24"/>
        </w:rPr>
        <w:t xml:space="preserve"> 2014,</w:t>
      </w:r>
      <w:r w:rsidR="009F2BF7">
        <w:rPr>
          <w:sz w:val="24"/>
          <w:szCs w:val="24"/>
        </w:rPr>
        <w:t xml:space="preserve"> 2016</w:t>
      </w:r>
      <w:r w:rsidR="00D80B6D">
        <w:rPr>
          <w:sz w:val="24"/>
          <w:szCs w:val="24"/>
        </w:rPr>
        <w:t xml:space="preserve">), and the extent to which growing up in a </w:t>
      </w:r>
      <w:r w:rsidR="00FA782C">
        <w:rPr>
          <w:sz w:val="24"/>
          <w:szCs w:val="24"/>
        </w:rPr>
        <w:t xml:space="preserve">peripheral </w:t>
      </w:r>
      <w:r w:rsidR="00D80B6D">
        <w:rPr>
          <w:sz w:val="24"/>
          <w:szCs w:val="24"/>
        </w:rPr>
        <w:t xml:space="preserve">area is </w:t>
      </w:r>
      <w:r w:rsidR="00FA782C">
        <w:rPr>
          <w:sz w:val="24"/>
          <w:szCs w:val="24"/>
        </w:rPr>
        <w:t xml:space="preserve">an </w:t>
      </w:r>
      <w:r w:rsidR="00D80B6D">
        <w:rPr>
          <w:sz w:val="24"/>
          <w:szCs w:val="24"/>
        </w:rPr>
        <w:t xml:space="preserve">important </w:t>
      </w:r>
      <w:r w:rsidR="00D31556">
        <w:rPr>
          <w:sz w:val="24"/>
          <w:szCs w:val="24"/>
        </w:rPr>
        <w:t>predictor of return</w:t>
      </w:r>
      <w:r w:rsidR="00D80B6D">
        <w:rPr>
          <w:sz w:val="24"/>
          <w:szCs w:val="24"/>
        </w:rPr>
        <w:t xml:space="preserve"> </w:t>
      </w:r>
      <w:r w:rsidR="000F06A8">
        <w:rPr>
          <w:sz w:val="24"/>
          <w:szCs w:val="24"/>
        </w:rPr>
        <w:t>and ent</w:t>
      </w:r>
      <w:r w:rsidR="00D80B6D">
        <w:rPr>
          <w:sz w:val="24"/>
          <w:szCs w:val="24"/>
        </w:rPr>
        <w:t>r</w:t>
      </w:r>
      <w:r w:rsidR="000F06A8">
        <w:rPr>
          <w:sz w:val="24"/>
          <w:szCs w:val="24"/>
        </w:rPr>
        <w:t>y into</w:t>
      </w:r>
      <w:r w:rsidR="00D80B6D">
        <w:rPr>
          <w:sz w:val="24"/>
          <w:szCs w:val="24"/>
        </w:rPr>
        <w:t xml:space="preserve"> the labour force following completion of their studies (</w:t>
      </w:r>
      <w:proofErr w:type="spellStart"/>
      <w:r w:rsidR="00EC7A97" w:rsidRPr="00EC7A97">
        <w:rPr>
          <w:sz w:val="24"/>
          <w:szCs w:val="24"/>
        </w:rPr>
        <w:t>Rérat</w:t>
      </w:r>
      <w:proofErr w:type="spellEnd"/>
      <w:r w:rsidR="00EC7A97">
        <w:rPr>
          <w:sz w:val="24"/>
          <w:szCs w:val="24"/>
        </w:rPr>
        <w:t xml:space="preserve">, </w:t>
      </w:r>
      <w:r w:rsidR="00EC7A97" w:rsidRPr="00EC7A97">
        <w:rPr>
          <w:sz w:val="24"/>
          <w:szCs w:val="24"/>
        </w:rPr>
        <w:t>2014)</w:t>
      </w:r>
      <w:r w:rsidR="00D80B6D">
        <w:rPr>
          <w:sz w:val="24"/>
          <w:szCs w:val="24"/>
        </w:rPr>
        <w:t>.</w:t>
      </w:r>
      <w:r w:rsidR="00E4126F">
        <w:rPr>
          <w:sz w:val="24"/>
          <w:szCs w:val="24"/>
        </w:rPr>
        <w:t xml:space="preserve"> Increasing attention has been dedicated to the factors that attract and retain young educated people in regional areas</w:t>
      </w:r>
      <w:r w:rsidR="00333AB7">
        <w:rPr>
          <w:sz w:val="24"/>
          <w:szCs w:val="24"/>
        </w:rPr>
        <w:t xml:space="preserve"> (</w:t>
      </w:r>
      <w:proofErr w:type="spellStart"/>
      <w:r w:rsidR="0054507E">
        <w:rPr>
          <w:sz w:val="24"/>
          <w:szCs w:val="24"/>
        </w:rPr>
        <w:t>Mellander</w:t>
      </w:r>
      <w:proofErr w:type="spellEnd"/>
      <w:r w:rsidR="0054507E">
        <w:rPr>
          <w:sz w:val="24"/>
          <w:szCs w:val="24"/>
        </w:rPr>
        <w:t xml:space="preserve"> et al. </w:t>
      </w:r>
      <w:r w:rsidR="0054507E" w:rsidRPr="0054507E">
        <w:rPr>
          <w:sz w:val="24"/>
          <w:szCs w:val="24"/>
        </w:rPr>
        <w:t>2011</w:t>
      </w:r>
      <w:r w:rsidR="00333AB7">
        <w:rPr>
          <w:sz w:val="24"/>
          <w:szCs w:val="24"/>
        </w:rPr>
        <w:t>)</w:t>
      </w:r>
      <w:r w:rsidR="00E4126F">
        <w:rPr>
          <w:sz w:val="24"/>
          <w:szCs w:val="24"/>
        </w:rPr>
        <w:t xml:space="preserve"> </w:t>
      </w:r>
      <w:r w:rsidR="00333AB7">
        <w:rPr>
          <w:sz w:val="24"/>
          <w:szCs w:val="24"/>
        </w:rPr>
        <w:t>and the skills profiles of these individuals</w:t>
      </w:r>
      <w:r w:rsidR="006012CF">
        <w:rPr>
          <w:sz w:val="24"/>
          <w:szCs w:val="24"/>
        </w:rPr>
        <w:t xml:space="preserve"> (</w:t>
      </w:r>
      <w:r w:rsidR="00D864E3">
        <w:rPr>
          <w:sz w:val="24"/>
          <w:szCs w:val="24"/>
        </w:rPr>
        <w:t xml:space="preserve">Abel et al. 2014; </w:t>
      </w:r>
      <w:r w:rsidR="006012CF">
        <w:rPr>
          <w:sz w:val="24"/>
          <w:szCs w:val="24"/>
        </w:rPr>
        <w:t>Rowe et al. 2015)</w:t>
      </w:r>
      <w:r>
        <w:rPr>
          <w:sz w:val="24"/>
          <w:szCs w:val="24"/>
        </w:rPr>
        <w:t>.</w:t>
      </w:r>
    </w:p>
    <w:p w14:paraId="13ACC73D" w14:textId="2FEF0BED" w:rsidR="00D571F4" w:rsidRPr="004F4EEE" w:rsidRDefault="00912E43" w:rsidP="005E115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Despite a </w:t>
      </w:r>
      <w:r w:rsidR="004F4EEE" w:rsidRPr="004F4EEE">
        <w:rPr>
          <w:sz w:val="24"/>
          <w:szCs w:val="24"/>
        </w:rPr>
        <w:t xml:space="preserve">growing scholarship on youth and graduate migration </w:t>
      </w:r>
      <w:r w:rsidR="00BE6C70">
        <w:rPr>
          <w:sz w:val="24"/>
          <w:szCs w:val="24"/>
        </w:rPr>
        <w:t>a number of areas</w:t>
      </w:r>
      <w:r w:rsidRPr="004F4EEE">
        <w:rPr>
          <w:sz w:val="24"/>
          <w:szCs w:val="24"/>
        </w:rPr>
        <w:t xml:space="preserve"> remain </w:t>
      </w:r>
      <w:r w:rsidR="00E60CCE">
        <w:rPr>
          <w:sz w:val="24"/>
          <w:szCs w:val="24"/>
        </w:rPr>
        <w:t xml:space="preserve">under-researched. The aim of this </w:t>
      </w:r>
      <w:r w:rsidR="0022541A">
        <w:rPr>
          <w:sz w:val="24"/>
          <w:szCs w:val="24"/>
        </w:rPr>
        <w:t>Special Issue</w:t>
      </w:r>
      <w:r w:rsidR="00E60CCE">
        <w:rPr>
          <w:sz w:val="24"/>
          <w:szCs w:val="24"/>
        </w:rPr>
        <w:t xml:space="preserve"> is to address some of them. </w:t>
      </w:r>
      <w:r w:rsidR="00BE6C70">
        <w:rPr>
          <w:sz w:val="24"/>
          <w:szCs w:val="24"/>
        </w:rPr>
        <w:t>In particular</w:t>
      </w:r>
      <w:r w:rsidR="00E60CCE">
        <w:rPr>
          <w:sz w:val="24"/>
          <w:szCs w:val="24"/>
        </w:rPr>
        <w:t>,</w:t>
      </w:r>
      <w:r w:rsidR="00BE6C70">
        <w:rPr>
          <w:sz w:val="24"/>
          <w:szCs w:val="24"/>
        </w:rPr>
        <w:t xml:space="preserve"> the need to draw on </w:t>
      </w:r>
      <w:r w:rsidR="00BE6C70" w:rsidRPr="00BE6C70">
        <w:rPr>
          <w:sz w:val="24"/>
          <w:szCs w:val="24"/>
        </w:rPr>
        <w:t xml:space="preserve">longitudinal datasets </w:t>
      </w:r>
      <w:r w:rsidR="00BE6C70">
        <w:rPr>
          <w:sz w:val="24"/>
          <w:szCs w:val="24"/>
        </w:rPr>
        <w:t>such that we can begin to</w:t>
      </w:r>
      <w:r w:rsidR="00BE6C70" w:rsidRPr="00BE6C70">
        <w:rPr>
          <w:sz w:val="24"/>
          <w:szCs w:val="24"/>
        </w:rPr>
        <w:t xml:space="preserve"> examine</w:t>
      </w:r>
      <w:r w:rsidR="005C3C5C">
        <w:rPr>
          <w:sz w:val="24"/>
          <w:szCs w:val="24"/>
        </w:rPr>
        <w:t xml:space="preserve"> longer windows of time to better capture</w:t>
      </w:r>
      <w:r w:rsidR="00BE6C70" w:rsidRPr="00BE6C70">
        <w:rPr>
          <w:sz w:val="24"/>
          <w:szCs w:val="24"/>
        </w:rPr>
        <w:t xml:space="preserve"> </w:t>
      </w:r>
      <w:r w:rsidR="00BE6C70">
        <w:rPr>
          <w:sz w:val="24"/>
          <w:szCs w:val="24"/>
        </w:rPr>
        <w:t>how the</w:t>
      </w:r>
      <w:r w:rsidR="00BE6C70" w:rsidRPr="00BE6C70">
        <w:rPr>
          <w:sz w:val="24"/>
          <w:szCs w:val="24"/>
        </w:rPr>
        <w:t xml:space="preserve"> spatial mobility of </w:t>
      </w:r>
      <w:r w:rsidR="00BE6C70">
        <w:rPr>
          <w:sz w:val="24"/>
          <w:szCs w:val="24"/>
        </w:rPr>
        <w:t xml:space="preserve">young people </w:t>
      </w:r>
      <w:r w:rsidR="005E1159">
        <w:rPr>
          <w:sz w:val="24"/>
          <w:szCs w:val="24"/>
        </w:rPr>
        <w:t xml:space="preserve">from school through university to the labour market </w:t>
      </w:r>
      <w:r w:rsidR="00BE6C70" w:rsidRPr="00BE6C70">
        <w:rPr>
          <w:sz w:val="24"/>
          <w:szCs w:val="24"/>
        </w:rPr>
        <w:t>intersects with</w:t>
      </w:r>
      <w:r w:rsidR="00704D18">
        <w:rPr>
          <w:sz w:val="24"/>
          <w:szCs w:val="24"/>
        </w:rPr>
        <w:t xml:space="preserve"> their</w:t>
      </w:r>
      <w:r w:rsidR="00BE6C70" w:rsidRPr="00BE6C70">
        <w:rPr>
          <w:sz w:val="24"/>
          <w:szCs w:val="24"/>
        </w:rPr>
        <w:t xml:space="preserve"> educational and occupational pathways</w:t>
      </w:r>
      <w:r w:rsidR="00BE6C70">
        <w:rPr>
          <w:sz w:val="24"/>
          <w:szCs w:val="24"/>
        </w:rPr>
        <w:t xml:space="preserve"> </w:t>
      </w:r>
      <w:r w:rsidR="00704D18">
        <w:rPr>
          <w:sz w:val="24"/>
          <w:szCs w:val="24"/>
        </w:rPr>
        <w:t>and</w:t>
      </w:r>
      <w:r w:rsidR="00F534C3">
        <w:rPr>
          <w:sz w:val="24"/>
          <w:szCs w:val="24"/>
        </w:rPr>
        <w:t xml:space="preserve"> impacts on</w:t>
      </w:r>
      <w:r w:rsidR="005553A9">
        <w:rPr>
          <w:sz w:val="24"/>
          <w:szCs w:val="24"/>
        </w:rPr>
        <w:t xml:space="preserve"> </w:t>
      </w:r>
      <w:r w:rsidR="00760677">
        <w:rPr>
          <w:sz w:val="24"/>
          <w:szCs w:val="24"/>
        </w:rPr>
        <w:t>places</w:t>
      </w:r>
      <w:r w:rsidR="005553A9">
        <w:rPr>
          <w:sz w:val="24"/>
          <w:szCs w:val="24"/>
        </w:rPr>
        <w:t xml:space="preserve"> </w:t>
      </w:r>
      <w:r w:rsidR="00760677">
        <w:rPr>
          <w:sz w:val="24"/>
          <w:szCs w:val="24"/>
        </w:rPr>
        <w:t xml:space="preserve">where </w:t>
      </w:r>
      <w:r w:rsidR="005553A9">
        <w:rPr>
          <w:sz w:val="24"/>
          <w:szCs w:val="24"/>
        </w:rPr>
        <w:t>they study and work</w:t>
      </w:r>
      <w:r w:rsidR="00BE6C70">
        <w:rPr>
          <w:sz w:val="24"/>
          <w:szCs w:val="24"/>
        </w:rPr>
        <w:t xml:space="preserve">. Through </w:t>
      </w:r>
      <w:r w:rsidR="00691E03">
        <w:rPr>
          <w:sz w:val="24"/>
          <w:szCs w:val="24"/>
        </w:rPr>
        <w:t xml:space="preserve">understanding </w:t>
      </w:r>
      <w:r w:rsidR="00BE6C70">
        <w:rPr>
          <w:sz w:val="24"/>
          <w:szCs w:val="24"/>
        </w:rPr>
        <w:t xml:space="preserve">these </w:t>
      </w:r>
      <w:r w:rsidR="00691E03">
        <w:rPr>
          <w:sz w:val="24"/>
          <w:szCs w:val="24"/>
        </w:rPr>
        <w:t>trajectories</w:t>
      </w:r>
      <w:r w:rsidR="003E728C">
        <w:rPr>
          <w:sz w:val="24"/>
          <w:szCs w:val="24"/>
        </w:rPr>
        <w:t>,</w:t>
      </w:r>
      <w:r w:rsidR="00BE6C70" w:rsidRPr="00BE6C70">
        <w:rPr>
          <w:sz w:val="24"/>
          <w:szCs w:val="24"/>
        </w:rPr>
        <w:t xml:space="preserve"> </w:t>
      </w:r>
      <w:r w:rsidR="003E728C">
        <w:rPr>
          <w:sz w:val="24"/>
          <w:szCs w:val="24"/>
        </w:rPr>
        <w:t>we</w:t>
      </w:r>
      <w:r w:rsidR="00BE6C70">
        <w:rPr>
          <w:sz w:val="24"/>
          <w:szCs w:val="24"/>
        </w:rPr>
        <w:t xml:space="preserve"> will</w:t>
      </w:r>
      <w:r w:rsidR="003E728C">
        <w:rPr>
          <w:sz w:val="24"/>
          <w:szCs w:val="24"/>
        </w:rPr>
        <w:t xml:space="preserve"> have a greater capacity</w:t>
      </w:r>
      <w:r w:rsidR="00BE6C70">
        <w:rPr>
          <w:sz w:val="24"/>
          <w:szCs w:val="24"/>
        </w:rPr>
        <w:t xml:space="preserve"> to</w:t>
      </w:r>
      <w:r w:rsidR="00BE6C70" w:rsidRPr="00BE6C70">
        <w:rPr>
          <w:sz w:val="24"/>
          <w:szCs w:val="24"/>
        </w:rPr>
        <w:t xml:space="preserve"> guide</w:t>
      </w:r>
      <w:r w:rsidR="00BE6C70">
        <w:rPr>
          <w:sz w:val="24"/>
          <w:szCs w:val="24"/>
        </w:rPr>
        <w:t xml:space="preserve"> regional development</w:t>
      </w:r>
      <w:r w:rsidR="00BE6C70" w:rsidRPr="00BE6C70">
        <w:rPr>
          <w:sz w:val="24"/>
          <w:szCs w:val="24"/>
        </w:rPr>
        <w:t xml:space="preserve"> policy on the </w:t>
      </w:r>
      <w:r w:rsidR="00BE6C70">
        <w:rPr>
          <w:sz w:val="24"/>
          <w:szCs w:val="24"/>
        </w:rPr>
        <w:t xml:space="preserve">attraction and </w:t>
      </w:r>
      <w:r w:rsidR="00BE6C70" w:rsidRPr="00BE6C70">
        <w:rPr>
          <w:sz w:val="24"/>
          <w:szCs w:val="24"/>
        </w:rPr>
        <w:t>retention of human capital</w:t>
      </w:r>
      <w:r w:rsidR="003E728C">
        <w:rPr>
          <w:sz w:val="24"/>
          <w:szCs w:val="24"/>
        </w:rPr>
        <w:t xml:space="preserve"> and</w:t>
      </w:r>
      <w:r w:rsidR="00135F1A">
        <w:rPr>
          <w:sz w:val="24"/>
          <w:szCs w:val="24"/>
        </w:rPr>
        <w:t xml:space="preserve"> </w:t>
      </w:r>
      <w:r w:rsidR="00691E03">
        <w:rPr>
          <w:sz w:val="24"/>
          <w:szCs w:val="24"/>
        </w:rPr>
        <w:t>develop more</w:t>
      </w:r>
      <w:r w:rsidR="003E728C">
        <w:rPr>
          <w:sz w:val="24"/>
          <w:szCs w:val="24"/>
        </w:rPr>
        <w:t xml:space="preserve"> appropriate </w:t>
      </w:r>
      <w:r w:rsidR="00135F1A">
        <w:rPr>
          <w:sz w:val="24"/>
          <w:szCs w:val="24"/>
        </w:rPr>
        <w:t xml:space="preserve">policy </w:t>
      </w:r>
      <w:r w:rsidR="003E728C">
        <w:rPr>
          <w:sz w:val="24"/>
          <w:szCs w:val="24"/>
        </w:rPr>
        <w:t xml:space="preserve">strategies to </w:t>
      </w:r>
      <w:r w:rsidR="006062F6">
        <w:rPr>
          <w:sz w:val="24"/>
          <w:szCs w:val="24"/>
        </w:rPr>
        <w:t>address skill shortages</w:t>
      </w:r>
      <w:r w:rsidR="0007595E">
        <w:rPr>
          <w:sz w:val="24"/>
          <w:szCs w:val="24"/>
        </w:rPr>
        <w:t>,</w:t>
      </w:r>
      <w:r w:rsidR="006062F6">
        <w:rPr>
          <w:sz w:val="24"/>
          <w:szCs w:val="24"/>
        </w:rPr>
        <w:t xml:space="preserve"> particularly in rural areas</w:t>
      </w:r>
      <w:r w:rsidR="0007595E">
        <w:rPr>
          <w:sz w:val="24"/>
          <w:szCs w:val="24"/>
        </w:rPr>
        <w:t>,</w:t>
      </w:r>
      <w:r w:rsidR="006062F6">
        <w:rPr>
          <w:sz w:val="24"/>
          <w:szCs w:val="24"/>
        </w:rPr>
        <w:t xml:space="preserve"> and enhanc</w:t>
      </w:r>
      <w:r w:rsidR="00DA57B4">
        <w:rPr>
          <w:sz w:val="24"/>
          <w:szCs w:val="24"/>
        </w:rPr>
        <w:t>ing</w:t>
      </w:r>
      <w:r w:rsidR="006062F6">
        <w:rPr>
          <w:sz w:val="24"/>
          <w:szCs w:val="24"/>
        </w:rPr>
        <w:t xml:space="preserve"> </w:t>
      </w:r>
      <w:r w:rsidR="006062F6" w:rsidRPr="006062F6">
        <w:rPr>
          <w:sz w:val="24"/>
          <w:szCs w:val="24"/>
        </w:rPr>
        <w:t>individual employment outcomes</w:t>
      </w:r>
      <w:r w:rsidR="006062F6">
        <w:rPr>
          <w:sz w:val="24"/>
          <w:szCs w:val="24"/>
        </w:rPr>
        <w:t>.</w:t>
      </w:r>
    </w:p>
    <w:p w14:paraId="666439C9" w14:textId="77777777" w:rsidR="00BF581D" w:rsidRPr="004F4EEE" w:rsidRDefault="00FC0DD1" w:rsidP="004F4EEE">
      <w:pPr>
        <w:pStyle w:val="MediumGrid1-Accent21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4F4EEE">
        <w:rPr>
          <w:b/>
          <w:sz w:val="24"/>
          <w:szCs w:val="24"/>
        </w:rPr>
        <w:t>Special issue papers</w:t>
      </w:r>
    </w:p>
    <w:p w14:paraId="2E09D0ED" w14:textId="77777777" w:rsidR="00E27018" w:rsidRDefault="000101DA" w:rsidP="004F4EE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With an increasing availab</w:t>
      </w:r>
      <w:r w:rsidR="00981216">
        <w:rPr>
          <w:sz w:val="24"/>
          <w:szCs w:val="24"/>
        </w:rPr>
        <w:t>ility of</w:t>
      </w:r>
      <w:r>
        <w:rPr>
          <w:sz w:val="24"/>
          <w:szCs w:val="24"/>
        </w:rPr>
        <w:t xml:space="preserve"> data sets </w:t>
      </w:r>
      <w:r w:rsidR="00981216">
        <w:rPr>
          <w:sz w:val="24"/>
          <w:szCs w:val="24"/>
        </w:rPr>
        <w:t xml:space="preserve">to </w:t>
      </w:r>
      <w:r>
        <w:rPr>
          <w:sz w:val="24"/>
          <w:szCs w:val="24"/>
        </w:rPr>
        <w:t>capture youth and graduation migration, t</w:t>
      </w:r>
      <w:r w:rsidR="00C07888" w:rsidRPr="004F4EEE">
        <w:rPr>
          <w:sz w:val="24"/>
          <w:szCs w:val="24"/>
        </w:rPr>
        <w:t xml:space="preserve">he </w:t>
      </w:r>
      <w:r w:rsidR="00C07888" w:rsidRPr="00DB1771">
        <w:rPr>
          <w:sz w:val="24"/>
          <w:szCs w:val="24"/>
        </w:rPr>
        <w:t xml:space="preserve">papers </w:t>
      </w:r>
      <w:r w:rsidR="00FC0DD1" w:rsidRPr="00DB1771">
        <w:rPr>
          <w:sz w:val="24"/>
          <w:szCs w:val="24"/>
        </w:rPr>
        <w:t xml:space="preserve">in this </w:t>
      </w:r>
      <w:r w:rsidR="00DB1771" w:rsidRPr="00DB1771">
        <w:rPr>
          <w:sz w:val="24"/>
          <w:szCs w:val="24"/>
        </w:rPr>
        <w:t xml:space="preserve">Special Issue </w:t>
      </w:r>
      <w:r w:rsidR="00583AD1" w:rsidRPr="00DB1771">
        <w:rPr>
          <w:sz w:val="24"/>
          <w:szCs w:val="24"/>
        </w:rPr>
        <w:t>draw</w:t>
      </w:r>
      <w:r w:rsidR="00B11318" w:rsidRPr="00DB1771">
        <w:rPr>
          <w:sz w:val="24"/>
          <w:szCs w:val="24"/>
        </w:rPr>
        <w:t xml:space="preserve"> on a </w:t>
      </w:r>
      <w:r w:rsidR="007E75D2" w:rsidRPr="00DB1771">
        <w:rPr>
          <w:sz w:val="24"/>
          <w:szCs w:val="24"/>
        </w:rPr>
        <w:t xml:space="preserve">select </w:t>
      </w:r>
      <w:r w:rsidR="00B11318" w:rsidRPr="00DB1771">
        <w:rPr>
          <w:sz w:val="24"/>
          <w:szCs w:val="24"/>
        </w:rPr>
        <w:t xml:space="preserve">set of </w:t>
      </w:r>
      <w:r w:rsidR="00FC0DD1" w:rsidRPr="00DB1771">
        <w:rPr>
          <w:sz w:val="24"/>
          <w:szCs w:val="24"/>
        </w:rPr>
        <w:t xml:space="preserve">international </w:t>
      </w:r>
      <w:r w:rsidR="00B11318" w:rsidRPr="00DB1771">
        <w:rPr>
          <w:sz w:val="24"/>
          <w:szCs w:val="24"/>
        </w:rPr>
        <w:t xml:space="preserve">case </w:t>
      </w:r>
      <w:r w:rsidR="00FC0DD1" w:rsidRPr="00DB1771">
        <w:rPr>
          <w:sz w:val="24"/>
          <w:szCs w:val="24"/>
        </w:rPr>
        <w:t>studies</w:t>
      </w:r>
      <w:r w:rsidR="00FC0DD1" w:rsidRPr="004F4EEE">
        <w:rPr>
          <w:sz w:val="24"/>
          <w:szCs w:val="24"/>
        </w:rPr>
        <w:t xml:space="preserve"> </w:t>
      </w:r>
      <w:r w:rsidR="002B433D" w:rsidRPr="004F4EEE">
        <w:rPr>
          <w:sz w:val="24"/>
          <w:szCs w:val="24"/>
        </w:rPr>
        <w:t>t</w:t>
      </w:r>
      <w:r w:rsidR="004A025B">
        <w:rPr>
          <w:sz w:val="24"/>
          <w:szCs w:val="24"/>
        </w:rPr>
        <w:t>hat examine</w:t>
      </w:r>
      <w:r w:rsidR="00267927" w:rsidRPr="004F4EEE">
        <w:rPr>
          <w:sz w:val="24"/>
          <w:szCs w:val="24"/>
        </w:rPr>
        <w:t xml:space="preserve"> </w:t>
      </w:r>
      <w:r w:rsidR="00086343" w:rsidRPr="004F4EEE">
        <w:rPr>
          <w:sz w:val="24"/>
          <w:szCs w:val="24"/>
        </w:rPr>
        <w:t>youth and graduate migration from</w:t>
      </w:r>
      <w:r w:rsidR="00981216">
        <w:rPr>
          <w:sz w:val="24"/>
          <w:szCs w:val="24"/>
        </w:rPr>
        <w:t xml:space="preserve"> a</w:t>
      </w:r>
      <w:r w:rsidR="00086343" w:rsidRPr="004F4EEE">
        <w:rPr>
          <w:sz w:val="24"/>
          <w:szCs w:val="24"/>
        </w:rPr>
        <w:t xml:space="preserve"> </w:t>
      </w:r>
      <w:r w:rsidR="0032286C">
        <w:rPr>
          <w:sz w:val="24"/>
          <w:szCs w:val="24"/>
        </w:rPr>
        <w:t>cross-</w:t>
      </w:r>
      <w:r w:rsidR="00981216">
        <w:rPr>
          <w:sz w:val="24"/>
          <w:szCs w:val="24"/>
        </w:rPr>
        <w:t>sectional and longitudinal</w:t>
      </w:r>
      <w:r w:rsidR="00086343" w:rsidRPr="004F4EEE">
        <w:rPr>
          <w:sz w:val="24"/>
          <w:szCs w:val="24"/>
        </w:rPr>
        <w:t xml:space="preserve"> perspective</w:t>
      </w:r>
      <w:r w:rsidR="0032286C">
        <w:rPr>
          <w:sz w:val="24"/>
          <w:szCs w:val="24"/>
        </w:rPr>
        <w:t xml:space="preserve">, </w:t>
      </w:r>
      <w:r w:rsidR="00981216">
        <w:rPr>
          <w:sz w:val="24"/>
          <w:szCs w:val="24"/>
        </w:rPr>
        <w:t>adopting micro and macro migration approaches (</w:t>
      </w:r>
      <w:r w:rsidR="00CB0F8F">
        <w:rPr>
          <w:sz w:val="24"/>
          <w:szCs w:val="24"/>
        </w:rPr>
        <w:t xml:space="preserve">Stillwell and Congdon </w:t>
      </w:r>
      <w:r w:rsidR="00CB0F8F" w:rsidRPr="00CB0F8F">
        <w:rPr>
          <w:sz w:val="24"/>
          <w:szCs w:val="24"/>
        </w:rPr>
        <w:t>1991</w:t>
      </w:r>
      <w:r w:rsidR="00981216">
        <w:rPr>
          <w:sz w:val="24"/>
          <w:szCs w:val="24"/>
        </w:rPr>
        <w:t>)</w:t>
      </w:r>
      <w:r>
        <w:rPr>
          <w:sz w:val="24"/>
          <w:szCs w:val="24"/>
        </w:rPr>
        <w:t>.</w:t>
      </w:r>
      <w:r w:rsidR="00086343" w:rsidRPr="004F4EEE">
        <w:rPr>
          <w:sz w:val="24"/>
          <w:szCs w:val="24"/>
        </w:rPr>
        <w:t xml:space="preserve"> </w:t>
      </w:r>
      <w:r w:rsidR="00CB0F8F">
        <w:rPr>
          <w:sz w:val="24"/>
          <w:szCs w:val="24"/>
        </w:rPr>
        <w:t>T</w:t>
      </w:r>
      <w:r w:rsidR="00086343" w:rsidRPr="004F4EEE">
        <w:rPr>
          <w:sz w:val="24"/>
          <w:szCs w:val="24"/>
        </w:rPr>
        <w:t xml:space="preserve">he </w:t>
      </w:r>
      <w:r w:rsidR="00CB0F8F">
        <w:rPr>
          <w:sz w:val="24"/>
          <w:szCs w:val="24"/>
        </w:rPr>
        <w:t xml:space="preserve">micro </w:t>
      </w:r>
      <w:r>
        <w:rPr>
          <w:sz w:val="24"/>
          <w:szCs w:val="24"/>
        </w:rPr>
        <w:t xml:space="preserve">perspective </w:t>
      </w:r>
      <w:r w:rsidR="005553A9">
        <w:rPr>
          <w:sz w:val="24"/>
          <w:szCs w:val="24"/>
        </w:rPr>
        <w:t>places</w:t>
      </w:r>
      <w:r w:rsidR="00086343" w:rsidRPr="004F4EEE">
        <w:rPr>
          <w:sz w:val="24"/>
          <w:szCs w:val="24"/>
        </w:rPr>
        <w:t xml:space="preserve"> the youth</w:t>
      </w:r>
      <w:r w:rsidR="00CB0F8F">
        <w:rPr>
          <w:sz w:val="24"/>
          <w:szCs w:val="24"/>
        </w:rPr>
        <w:t>,</w:t>
      </w:r>
      <w:r w:rsidR="00086343" w:rsidRPr="004F4EEE">
        <w:rPr>
          <w:sz w:val="24"/>
          <w:szCs w:val="24"/>
        </w:rPr>
        <w:t xml:space="preserve"> or graduate</w:t>
      </w:r>
      <w:r w:rsidR="00601D1E">
        <w:rPr>
          <w:sz w:val="24"/>
          <w:szCs w:val="24"/>
        </w:rPr>
        <w:t>,</w:t>
      </w:r>
      <w:r>
        <w:rPr>
          <w:sz w:val="24"/>
          <w:szCs w:val="24"/>
        </w:rPr>
        <w:t xml:space="preserve"> as the object of study</w:t>
      </w:r>
      <w:r w:rsidR="00601D1E">
        <w:rPr>
          <w:sz w:val="24"/>
          <w:szCs w:val="24"/>
        </w:rPr>
        <w:t>,</w:t>
      </w:r>
      <w:r w:rsidR="00086343" w:rsidRPr="004F4EEE">
        <w:rPr>
          <w:sz w:val="24"/>
          <w:szCs w:val="24"/>
        </w:rPr>
        <w:t xml:space="preserve"> </w:t>
      </w:r>
      <w:r w:rsidR="00601D1E">
        <w:rPr>
          <w:sz w:val="24"/>
          <w:szCs w:val="24"/>
        </w:rPr>
        <w:t>while</w:t>
      </w:r>
      <w:r w:rsidR="00601D1E" w:rsidRPr="004F4EEE">
        <w:rPr>
          <w:sz w:val="24"/>
          <w:szCs w:val="24"/>
        </w:rPr>
        <w:t xml:space="preserve"> </w:t>
      </w:r>
      <w:r w:rsidR="00CB0F8F">
        <w:rPr>
          <w:sz w:val="24"/>
          <w:szCs w:val="24"/>
        </w:rPr>
        <w:t>the macro approach focuses</w:t>
      </w:r>
      <w:r>
        <w:rPr>
          <w:sz w:val="24"/>
          <w:szCs w:val="24"/>
        </w:rPr>
        <w:t xml:space="preserve"> </w:t>
      </w:r>
      <w:r w:rsidR="005637F8">
        <w:rPr>
          <w:sz w:val="24"/>
          <w:szCs w:val="24"/>
        </w:rPr>
        <w:t xml:space="preserve">on </w:t>
      </w:r>
      <w:r w:rsidR="00086343" w:rsidRPr="004F4EEE">
        <w:rPr>
          <w:sz w:val="24"/>
          <w:szCs w:val="24"/>
        </w:rPr>
        <w:t>local labour market</w:t>
      </w:r>
      <w:r w:rsidR="00CB0F8F">
        <w:rPr>
          <w:sz w:val="24"/>
          <w:szCs w:val="24"/>
        </w:rPr>
        <w:t>s</w:t>
      </w:r>
      <w:r w:rsidR="00086343" w:rsidRPr="004F4EEE">
        <w:rPr>
          <w:sz w:val="24"/>
          <w:szCs w:val="24"/>
        </w:rPr>
        <w:t xml:space="preserve"> </w:t>
      </w:r>
      <w:r w:rsidR="004A025B">
        <w:rPr>
          <w:sz w:val="24"/>
          <w:szCs w:val="24"/>
        </w:rPr>
        <w:t>to unveil</w:t>
      </w:r>
      <w:r>
        <w:rPr>
          <w:sz w:val="24"/>
          <w:szCs w:val="24"/>
        </w:rPr>
        <w:t xml:space="preserve"> the characteristics of the locations </w:t>
      </w:r>
      <w:r w:rsidR="00086343" w:rsidRPr="004F4EEE">
        <w:rPr>
          <w:sz w:val="24"/>
          <w:szCs w:val="24"/>
        </w:rPr>
        <w:t xml:space="preserve">in which </w:t>
      </w:r>
      <w:r w:rsidR="003E46E8">
        <w:rPr>
          <w:sz w:val="24"/>
          <w:szCs w:val="24"/>
        </w:rPr>
        <w:t>the young people and graduates</w:t>
      </w:r>
      <w:r w:rsidR="00086343" w:rsidRPr="004F4EEE">
        <w:rPr>
          <w:sz w:val="24"/>
          <w:szCs w:val="24"/>
        </w:rPr>
        <w:t xml:space="preserve"> </w:t>
      </w:r>
      <w:r w:rsidR="005553A9">
        <w:rPr>
          <w:sz w:val="24"/>
          <w:szCs w:val="24"/>
        </w:rPr>
        <w:t xml:space="preserve">study and </w:t>
      </w:r>
      <w:r w:rsidR="00CB0F8F">
        <w:rPr>
          <w:sz w:val="24"/>
          <w:szCs w:val="24"/>
        </w:rPr>
        <w:t>work</w:t>
      </w:r>
      <w:r w:rsidR="002B433D" w:rsidRPr="004F4EEE">
        <w:rPr>
          <w:sz w:val="24"/>
          <w:szCs w:val="24"/>
        </w:rPr>
        <w:t xml:space="preserve">. </w:t>
      </w:r>
    </w:p>
    <w:p w14:paraId="49A0E612" w14:textId="77777777" w:rsidR="00B56585" w:rsidRDefault="00DF6135" w:rsidP="00E04B2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first article by </w:t>
      </w:r>
      <w:r w:rsidR="00C97A3D">
        <w:rPr>
          <w:sz w:val="24"/>
          <w:szCs w:val="24"/>
          <w:lang w:val="en-GB"/>
        </w:rPr>
        <w:t>Perales</w:t>
      </w:r>
      <w:r w:rsidR="00C97A3D" w:rsidRPr="00C97A3D">
        <w:rPr>
          <w:sz w:val="24"/>
          <w:szCs w:val="24"/>
          <w:lang w:val="en-GB"/>
        </w:rPr>
        <w:t xml:space="preserve"> </w:t>
      </w:r>
      <w:r w:rsidR="00C97A3D">
        <w:rPr>
          <w:sz w:val="24"/>
          <w:szCs w:val="24"/>
          <w:lang w:val="en-GB"/>
        </w:rPr>
        <w:t>(</w:t>
      </w:r>
      <w:r w:rsidR="00C97A3D" w:rsidRPr="00C97A3D">
        <w:rPr>
          <w:sz w:val="24"/>
          <w:szCs w:val="24"/>
          <w:lang w:val="en-GB"/>
        </w:rPr>
        <w:t>201</w:t>
      </w:r>
      <w:r w:rsidR="006D4B88">
        <w:rPr>
          <w:sz w:val="24"/>
          <w:szCs w:val="24"/>
          <w:lang w:val="en-GB"/>
        </w:rPr>
        <w:t>7</w:t>
      </w:r>
      <w:r w:rsidR="00C97A3D">
        <w:rPr>
          <w:sz w:val="24"/>
          <w:szCs w:val="24"/>
          <w:lang w:val="en-GB"/>
        </w:rPr>
        <w:t>)</w:t>
      </w:r>
      <w:r>
        <w:rPr>
          <w:sz w:val="24"/>
          <w:szCs w:val="24"/>
        </w:rPr>
        <w:t xml:space="preserve"> draws on panel data from the United Kingdom and Australia to investigate the relationship between internal migration and job satisfaction.</w:t>
      </w:r>
      <w:r w:rsidR="00E04B21">
        <w:rPr>
          <w:sz w:val="24"/>
          <w:szCs w:val="24"/>
        </w:rPr>
        <w:t xml:space="preserve"> The paper </w:t>
      </w:r>
      <w:r w:rsidR="00B017E0">
        <w:rPr>
          <w:sz w:val="24"/>
          <w:szCs w:val="24"/>
        </w:rPr>
        <w:t xml:space="preserve">shows </w:t>
      </w:r>
      <w:r w:rsidR="00E04B21">
        <w:rPr>
          <w:sz w:val="24"/>
          <w:szCs w:val="24"/>
        </w:rPr>
        <w:t>that long</w:t>
      </w:r>
      <w:r w:rsidR="0032286C">
        <w:rPr>
          <w:sz w:val="24"/>
          <w:szCs w:val="24"/>
        </w:rPr>
        <w:t>-</w:t>
      </w:r>
      <w:r w:rsidR="00E04B21">
        <w:rPr>
          <w:sz w:val="24"/>
          <w:szCs w:val="24"/>
        </w:rPr>
        <w:t>distance migration</w:t>
      </w:r>
      <w:r w:rsidR="003404F8">
        <w:rPr>
          <w:sz w:val="24"/>
          <w:szCs w:val="24"/>
        </w:rPr>
        <w:t xml:space="preserve"> (</w:t>
      </w:r>
      <w:r w:rsidR="00B56585">
        <w:rPr>
          <w:sz w:val="24"/>
          <w:szCs w:val="24"/>
        </w:rPr>
        <w:t>define</w:t>
      </w:r>
      <w:r w:rsidR="00261DB2">
        <w:rPr>
          <w:sz w:val="24"/>
          <w:szCs w:val="24"/>
        </w:rPr>
        <w:t>d</w:t>
      </w:r>
      <w:r w:rsidR="00B56585">
        <w:rPr>
          <w:sz w:val="24"/>
          <w:szCs w:val="24"/>
        </w:rPr>
        <w:t xml:space="preserve"> as moves that are </w:t>
      </w:r>
      <w:r w:rsidR="003404F8">
        <w:rPr>
          <w:sz w:val="24"/>
          <w:szCs w:val="24"/>
        </w:rPr>
        <w:t>greater than 50 kilometres)</w:t>
      </w:r>
      <w:r w:rsidR="00E04B21">
        <w:rPr>
          <w:sz w:val="24"/>
          <w:szCs w:val="24"/>
        </w:rPr>
        <w:t xml:space="preserve"> </w:t>
      </w:r>
      <w:r w:rsidR="00261DB2">
        <w:rPr>
          <w:sz w:val="24"/>
          <w:szCs w:val="24"/>
        </w:rPr>
        <w:lastRenderedPageBreak/>
        <w:t>and moves</w:t>
      </w:r>
      <w:r w:rsidR="00E04B21">
        <w:rPr>
          <w:sz w:val="24"/>
          <w:szCs w:val="24"/>
        </w:rPr>
        <w:t xml:space="preserve"> motivated principally by work </w:t>
      </w:r>
      <w:r w:rsidR="00261DB2">
        <w:rPr>
          <w:sz w:val="24"/>
          <w:szCs w:val="24"/>
        </w:rPr>
        <w:t xml:space="preserve">are </w:t>
      </w:r>
      <w:r w:rsidR="00E04B21">
        <w:rPr>
          <w:sz w:val="24"/>
          <w:szCs w:val="24"/>
        </w:rPr>
        <w:t xml:space="preserve">positively </w:t>
      </w:r>
      <w:r w:rsidR="0032286C">
        <w:rPr>
          <w:sz w:val="24"/>
          <w:szCs w:val="24"/>
        </w:rPr>
        <w:t xml:space="preserve">associated with </w:t>
      </w:r>
      <w:r w:rsidR="00E04B21">
        <w:rPr>
          <w:sz w:val="24"/>
          <w:szCs w:val="24"/>
        </w:rPr>
        <w:t>perceived level</w:t>
      </w:r>
      <w:r w:rsidR="0032286C">
        <w:rPr>
          <w:sz w:val="24"/>
          <w:szCs w:val="24"/>
        </w:rPr>
        <w:t>s</w:t>
      </w:r>
      <w:r w:rsidR="00E04B21">
        <w:rPr>
          <w:sz w:val="24"/>
          <w:szCs w:val="24"/>
        </w:rPr>
        <w:t xml:space="preserve"> of </w:t>
      </w:r>
      <w:r w:rsidR="00E04B21" w:rsidRPr="00E04B21">
        <w:rPr>
          <w:sz w:val="24"/>
          <w:szCs w:val="24"/>
        </w:rPr>
        <w:t>job satisfaction</w:t>
      </w:r>
      <w:r w:rsidR="00E04B21">
        <w:rPr>
          <w:sz w:val="24"/>
          <w:szCs w:val="24"/>
        </w:rPr>
        <w:t>.</w:t>
      </w:r>
      <w:r w:rsidR="00261DB2">
        <w:rPr>
          <w:sz w:val="24"/>
          <w:szCs w:val="24"/>
        </w:rPr>
        <w:t xml:space="preserve"> This</w:t>
      </w:r>
      <w:r w:rsidR="0032286C">
        <w:rPr>
          <w:sz w:val="24"/>
          <w:szCs w:val="24"/>
        </w:rPr>
        <w:t xml:space="preserve"> association</w:t>
      </w:r>
      <w:r w:rsidR="00261DB2">
        <w:rPr>
          <w:sz w:val="24"/>
          <w:szCs w:val="24"/>
        </w:rPr>
        <w:t xml:space="preserve"> </w:t>
      </w:r>
      <w:r w:rsidR="004163C3">
        <w:rPr>
          <w:sz w:val="24"/>
          <w:szCs w:val="24"/>
        </w:rPr>
        <w:t>appears</w:t>
      </w:r>
      <w:r w:rsidR="00261DB2">
        <w:rPr>
          <w:sz w:val="24"/>
          <w:szCs w:val="24"/>
        </w:rPr>
        <w:t xml:space="preserve"> to be especially</w:t>
      </w:r>
      <w:r w:rsidR="004163C3">
        <w:rPr>
          <w:sz w:val="24"/>
          <w:szCs w:val="24"/>
        </w:rPr>
        <w:t xml:space="preserve"> significant for</w:t>
      </w:r>
      <w:r w:rsidR="00261DB2">
        <w:rPr>
          <w:sz w:val="24"/>
          <w:szCs w:val="24"/>
        </w:rPr>
        <w:t xml:space="preserve"> </w:t>
      </w:r>
      <w:r w:rsidR="004163C3">
        <w:rPr>
          <w:sz w:val="24"/>
          <w:szCs w:val="24"/>
        </w:rPr>
        <w:t>university graduate</w:t>
      </w:r>
      <w:r w:rsidR="00261DB2">
        <w:rPr>
          <w:sz w:val="24"/>
          <w:szCs w:val="24"/>
        </w:rPr>
        <w:t>s.</w:t>
      </w:r>
    </w:p>
    <w:p w14:paraId="3CA70F70" w14:textId="77777777" w:rsidR="00B62836" w:rsidRDefault="00B62836" w:rsidP="005B2E8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lang w:eastAsia="zh-CN"/>
        </w:rPr>
        <w:t>Five</w:t>
      </w:r>
      <w:r w:rsidR="00B04623">
        <w:rPr>
          <w:sz w:val="24"/>
          <w:szCs w:val="24"/>
          <w:lang w:eastAsia="zh-CN"/>
        </w:rPr>
        <w:t xml:space="preserve"> papers examine the determinant</w:t>
      </w:r>
      <w:r w:rsidR="00261DB2">
        <w:rPr>
          <w:sz w:val="24"/>
          <w:szCs w:val="24"/>
          <w:lang w:eastAsia="zh-CN"/>
        </w:rPr>
        <w:t>s</w:t>
      </w:r>
      <w:r w:rsidR="00B04623">
        <w:rPr>
          <w:sz w:val="24"/>
          <w:szCs w:val="24"/>
          <w:lang w:eastAsia="zh-CN"/>
        </w:rPr>
        <w:t xml:space="preserve"> of location decisions. The first by </w:t>
      </w:r>
      <w:proofErr w:type="spellStart"/>
      <w:r w:rsidR="00152A68">
        <w:rPr>
          <w:sz w:val="24"/>
          <w:szCs w:val="24"/>
          <w:lang w:val="en-GB" w:eastAsia="zh-CN"/>
        </w:rPr>
        <w:t>Crescenzi</w:t>
      </w:r>
      <w:proofErr w:type="spellEnd"/>
      <w:r w:rsidR="00152A68" w:rsidRPr="00152A68">
        <w:rPr>
          <w:sz w:val="24"/>
          <w:szCs w:val="24"/>
          <w:lang w:val="en-GB" w:eastAsia="zh-CN"/>
        </w:rPr>
        <w:t xml:space="preserve"> </w:t>
      </w:r>
      <w:r w:rsidR="00152A68">
        <w:rPr>
          <w:sz w:val="24"/>
          <w:szCs w:val="24"/>
          <w:lang w:val="en-GB" w:eastAsia="zh-CN"/>
        </w:rPr>
        <w:t xml:space="preserve">and Holman </w:t>
      </w:r>
      <w:r w:rsidR="00D14D22">
        <w:rPr>
          <w:sz w:val="24"/>
          <w:szCs w:val="24"/>
          <w:lang w:eastAsia="zh-CN"/>
        </w:rPr>
        <w:t>adopt</w:t>
      </w:r>
      <w:r w:rsidR="00B37EA1">
        <w:rPr>
          <w:sz w:val="24"/>
          <w:szCs w:val="24"/>
          <w:lang w:eastAsia="zh-CN"/>
        </w:rPr>
        <w:t>s</w:t>
      </w:r>
      <w:r w:rsidR="00D14D22">
        <w:rPr>
          <w:sz w:val="24"/>
          <w:szCs w:val="24"/>
          <w:lang w:eastAsia="zh-CN"/>
        </w:rPr>
        <w:t xml:space="preserve"> </w:t>
      </w:r>
      <w:proofErr w:type="gramStart"/>
      <w:r w:rsidR="00D14D22">
        <w:rPr>
          <w:sz w:val="24"/>
          <w:szCs w:val="24"/>
          <w:lang w:eastAsia="zh-CN"/>
        </w:rPr>
        <w:t>a mixed methods</w:t>
      </w:r>
      <w:proofErr w:type="gramEnd"/>
      <w:r w:rsidR="00D14D22">
        <w:rPr>
          <w:sz w:val="24"/>
          <w:szCs w:val="24"/>
          <w:lang w:eastAsia="zh-CN"/>
        </w:rPr>
        <w:t xml:space="preserve"> approach </w:t>
      </w:r>
      <w:r w:rsidR="00B56585">
        <w:rPr>
          <w:sz w:val="24"/>
          <w:szCs w:val="24"/>
          <w:lang w:eastAsia="zh-CN"/>
        </w:rPr>
        <w:t>o</w:t>
      </w:r>
      <w:r w:rsidR="00D14D22">
        <w:rPr>
          <w:sz w:val="24"/>
          <w:szCs w:val="24"/>
          <w:lang w:eastAsia="zh-CN"/>
        </w:rPr>
        <w:t>n</w:t>
      </w:r>
      <w:r w:rsidR="00B56585">
        <w:rPr>
          <w:sz w:val="24"/>
          <w:szCs w:val="24"/>
          <w:lang w:eastAsia="zh-CN"/>
        </w:rPr>
        <w:t xml:space="preserve"> data for Sardinia, Italy</w:t>
      </w:r>
      <w:r w:rsidR="00B017E0">
        <w:rPr>
          <w:sz w:val="24"/>
          <w:szCs w:val="24"/>
          <w:lang w:eastAsia="zh-CN"/>
        </w:rPr>
        <w:t xml:space="preserve">, </w:t>
      </w:r>
      <w:r w:rsidR="00B56585">
        <w:rPr>
          <w:sz w:val="24"/>
          <w:szCs w:val="24"/>
          <w:lang w:eastAsia="zh-CN"/>
        </w:rPr>
        <w:t xml:space="preserve">to identify the reasons </w:t>
      </w:r>
      <w:r w:rsidR="00392241">
        <w:rPr>
          <w:sz w:val="24"/>
          <w:szCs w:val="24"/>
          <w:lang w:eastAsia="zh-CN"/>
        </w:rPr>
        <w:t>why</w:t>
      </w:r>
      <w:r w:rsidR="00B56585">
        <w:rPr>
          <w:sz w:val="24"/>
          <w:szCs w:val="24"/>
        </w:rPr>
        <w:t xml:space="preserve"> graduates (</w:t>
      </w:r>
      <w:r w:rsidR="00261DB2">
        <w:rPr>
          <w:sz w:val="24"/>
          <w:szCs w:val="24"/>
        </w:rPr>
        <w:t>defined as individuals who moved away from their home region to study at university</w:t>
      </w:r>
      <w:r w:rsidR="00B56585">
        <w:rPr>
          <w:sz w:val="24"/>
          <w:szCs w:val="24"/>
        </w:rPr>
        <w:t>) return to an economically lagging region.</w:t>
      </w:r>
      <w:r w:rsidR="00D14D22">
        <w:rPr>
          <w:sz w:val="24"/>
          <w:szCs w:val="24"/>
        </w:rPr>
        <w:t xml:space="preserve"> Results reveal that income does not fully explain </w:t>
      </w:r>
      <w:r w:rsidR="00392241">
        <w:rPr>
          <w:sz w:val="24"/>
          <w:szCs w:val="24"/>
        </w:rPr>
        <w:t xml:space="preserve">this </w:t>
      </w:r>
      <w:r w:rsidR="00D14D22">
        <w:rPr>
          <w:sz w:val="24"/>
          <w:szCs w:val="24"/>
        </w:rPr>
        <w:t>migratory behaviour</w:t>
      </w:r>
      <w:r w:rsidR="00392241">
        <w:rPr>
          <w:sz w:val="24"/>
          <w:szCs w:val="24"/>
        </w:rPr>
        <w:t>,</w:t>
      </w:r>
      <w:r w:rsidR="00D14D22">
        <w:rPr>
          <w:sz w:val="24"/>
          <w:szCs w:val="24"/>
        </w:rPr>
        <w:t xml:space="preserve"> rather family, social networks and quality of life are shown to be important considerations. </w:t>
      </w:r>
      <w:r w:rsidR="00B04623">
        <w:rPr>
          <w:sz w:val="24"/>
          <w:szCs w:val="24"/>
        </w:rPr>
        <w:t xml:space="preserve"> </w:t>
      </w:r>
    </w:p>
    <w:p w14:paraId="70081FCA" w14:textId="77777777" w:rsidR="00B62836" w:rsidRDefault="00B04623" w:rsidP="005B2E8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second paper by </w:t>
      </w:r>
      <w:r w:rsidR="00862AB0">
        <w:rPr>
          <w:sz w:val="24"/>
          <w:szCs w:val="24"/>
          <w:lang w:val="en-GB"/>
        </w:rPr>
        <w:t>Winters</w:t>
      </w:r>
      <w:r w:rsidR="00862AB0" w:rsidRPr="00862AB0">
        <w:rPr>
          <w:sz w:val="24"/>
          <w:szCs w:val="24"/>
          <w:lang w:val="en-GB"/>
        </w:rPr>
        <w:t xml:space="preserve"> </w:t>
      </w:r>
      <w:r w:rsidR="00C77F5C">
        <w:rPr>
          <w:sz w:val="24"/>
          <w:szCs w:val="24"/>
        </w:rPr>
        <w:t xml:space="preserve">examines </w:t>
      </w:r>
      <w:r>
        <w:rPr>
          <w:sz w:val="24"/>
          <w:szCs w:val="24"/>
        </w:rPr>
        <w:t xml:space="preserve">the way in which migration decisions are impacted by earnings in their college major by drawing on microdata from the American </w:t>
      </w:r>
      <w:r w:rsidRPr="00B04623">
        <w:rPr>
          <w:sz w:val="24"/>
          <w:szCs w:val="24"/>
        </w:rPr>
        <w:t>Community Survey</w:t>
      </w:r>
      <w:r>
        <w:rPr>
          <w:sz w:val="24"/>
          <w:szCs w:val="24"/>
        </w:rPr>
        <w:t xml:space="preserve">. Results reveal that </w:t>
      </w:r>
      <w:r w:rsidR="00E80406">
        <w:rPr>
          <w:sz w:val="24"/>
          <w:szCs w:val="24"/>
        </w:rPr>
        <w:t>where the major-specific earnings are higher than other States for an individuals’ state of birth, the probability of migration is reduced</w:t>
      </w:r>
      <w:r>
        <w:rPr>
          <w:sz w:val="24"/>
          <w:szCs w:val="24"/>
        </w:rPr>
        <w:t>.</w:t>
      </w:r>
      <w:r w:rsidR="00E80406">
        <w:rPr>
          <w:sz w:val="24"/>
          <w:szCs w:val="24"/>
        </w:rPr>
        <w:t xml:space="preserve"> Winter also points to the importance of family and social networks in the decision to migrate.</w:t>
      </w:r>
      <w:r>
        <w:rPr>
          <w:sz w:val="24"/>
          <w:szCs w:val="24"/>
        </w:rPr>
        <w:t xml:space="preserve"> </w:t>
      </w:r>
    </w:p>
    <w:p w14:paraId="02B87C00" w14:textId="77777777" w:rsidR="00B62836" w:rsidRDefault="00B04623" w:rsidP="005B2E8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third paper by </w:t>
      </w:r>
      <w:r w:rsidR="00BC1DE2">
        <w:rPr>
          <w:sz w:val="24"/>
          <w:szCs w:val="24"/>
          <w:lang w:val="en-GB"/>
        </w:rPr>
        <w:t xml:space="preserve">Liu </w:t>
      </w:r>
      <w:r w:rsidR="006B25DC">
        <w:rPr>
          <w:sz w:val="24"/>
          <w:szCs w:val="24"/>
          <w:lang w:val="en-GB"/>
        </w:rPr>
        <w:t>and colleagues</w:t>
      </w:r>
      <w:r w:rsidR="00BC1DE2">
        <w:rPr>
          <w:sz w:val="24"/>
          <w:szCs w:val="24"/>
          <w:lang w:val="en-GB"/>
        </w:rPr>
        <w:t xml:space="preserve"> </w:t>
      </w:r>
      <w:r w:rsidR="00E80406">
        <w:rPr>
          <w:sz w:val="24"/>
          <w:szCs w:val="24"/>
        </w:rPr>
        <w:t>draw</w:t>
      </w:r>
      <w:r w:rsidR="00C77F5C">
        <w:rPr>
          <w:sz w:val="24"/>
          <w:szCs w:val="24"/>
        </w:rPr>
        <w:t>s</w:t>
      </w:r>
      <w:r w:rsidR="00E80406">
        <w:rPr>
          <w:sz w:val="24"/>
          <w:szCs w:val="24"/>
        </w:rPr>
        <w:t xml:space="preserve"> on micro data for China to examine the migration decisions of graduates</w:t>
      </w:r>
      <w:r w:rsidR="00C77F5C">
        <w:rPr>
          <w:sz w:val="24"/>
          <w:szCs w:val="24"/>
        </w:rPr>
        <w:t xml:space="preserve"> from school to university and work</w:t>
      </w:r>
      <w:r>
        <w:rPr>
          <w:sz w:val="24"/>
          <w:szCs w:val="24"/>
        </w:rPr>
        <w:t>.</w:t>
      </w:r>
      <w:r w:rsidR="00E80406">
        <w:rPr>
          <w:sz w:val="24"/>
          <w:szCs w:val="24"/>
        </w:rPr>
        <w:t xml:space="preserve"> </w:t>
      </w:r>
      <w:r w:rsidR="00A3287D">
        <w:rPr>
          <w:sz w:val="24"/>
          <w:szCs w:val="24"/>
        </w:rPr>
        <w:t xml:space="preserve">Their results show that regional differences in wages </w:t>
      </w:r>
      <w:r w:rsidR="00D75780">
        <w:rPr>
          <w:sz w:val="24"/>
          <w:szCs w:val="24"/>
        </w:rPr>
        <w:t>are the main predictors that</w:t>
      </w:r>
      <w:r w:rsidR="00A3287D">
        <w:rPr>
          <w:sz w:val="24"/>
          <w:szCs w:val="24"/>
        </w:rPr>
        <w:t xml:space="preserve"> explain migration decisions</w:t>
      </w:r>
      <w:r w:rsidR="00D75780">
        <w:rPr>
          <w:sz w:val="24"/>
          <w:szCs w:val="24"/>
        </w:rPr>
        <w:t>. They also</w:t>
      </w:r>
      <w:r w:rsidR="00A3287D">
        <w:rPr>
          <w:sz w:val="24"/>
          <w:szCs w:val="24"/>
        </w:rPr>
        <w:t xml:space="preserve"> suggest that policies </w:t>
      </w:r>
      <w:r w:rsidR="00D75780">
        <w:rPr>
          <w:sz w:val="24"/>
          <w:szCs w:val="24"/>
        </w:rPr>
        <w:t xml:space="preserve">which </w:t>
      </w:r>
      <w:r w:rsidR="00A3287D">
        <w:rPr>
          <w:sz w:val="24"/>
          <w:szCs w:val="24"/>
        </w:rPr>
        <w:t>target increasing labour market returns in lagging regions</w:t>
      </w:r>
      <w:r w:rsidR="00D75780">
        <w:rPr>
          <w:sz w:val="24"/>
          <w:szCs w:val="24"/>
        </w:rPr>
        <w:t xml:space="preserve"> in terms of wages</w:t>
      </w:r>
      <w:r w:rsidR="00A3287D">
        <w:rPr>
          <w:sz w:val="24"/>
          <w:szCs w:val="24"/>
        </w:rPr>
        <w:t xml:space="preserve"> are likely to be more effective at stemming the loss of human capital </w:t>
      </w:r>
      <w:r w:rsidR="00D75780">
        <w:rPr>
          <w:sz w:val="24"/>
          <w:szCs w:val="24"/>
        </w:rPr>
        <w:t xml:space="preserve">compared to </w:t>
      </w:r>
      <w:r w:rsidR="00A3287D">
        <w:rPr>
          <w:sz w:val="24"/>
          <w:szCs w:val="24"/>
        </w:rPr>
        <w:t>education</w:t>
      </w:r>
      <w:r w:rsidR="00D75780">
        <w:rPr>
          <w:sz w:val="24"/>
          <w:szCs w:val="24"/>
        </w:rPr>
        <w:t xml:space="preserve"> investment</w:t>
      </w:r>
      <w:r w:rsidR="00A3287D">
        <w:rPr>
          <w:sz w:val="24"/>
          <w:szCs w:val="24"/>
        </w:rPr>
        <w:t xml:space="preserve"> in these locales. </w:t>
      </w:r>
    </w:p>
    <w:p w14:paraId="7A79C9F6" w14:textId="77777777" w:rsidR="00793246" w:rsidRPr="004F4EEE" w:rsidRDefault="005B2E84" w:rsidP="005B2E84">
      <w:pPr>
        <w:spacing w:line="360" w:lineRule="auto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In a fourth study, </w:t>
      </w:r>
      <w:proofErr w:type="spellStart"/>
      <w:r w:rsidR="00370886">
        <w:rPr>
          <w:sz w:val="24"/>
          <w:szCs w:val="24"/>
          <w:lang w:val="en-GB"/>
        </w:rPr>
        <w:t>Dotzel</w:t>
      </w:r>
      <w:proofErr w:type="spellEnd"/>
      <w:r w:rsidR="00370886">
        <w:rPr>
          <w:sz w:val="24"/>
          <w:szCs w:val="24"/>
          <w:lang w:val="en-GB"/>
        </w:rPr>
        <w:t xml:space="preserve">, </w:t>
      </w:r>
      <w:r w:rsidR="00E62819">
        <w:rPr>
          <w:sz w:val="24"/>
          <w:szCs w:val="24"/>
          <w:lang w:eastAsia="zh-CN"/>
        </w:rPr>
        <w:t>examines</w:t>
      </w:r>
      <w:r>
        <w:rPr>
          <w:sz w:val="24"/>
          <w:szCs w:val="24"/>
          <w:lang w:eastAsia="zh-CN"/>
        </w:rPr>
        <w:t xml:space="preserve"> student migration in the United States and </w:t>
      </w:r>
      <w:r w:rsidR="00DB1771">
        <w:rPr>
          <w:sz w:val="24"/>
          <w:szCs w:val="24"/>
          <w:lang w:eastAsia="zh-CN"/>
        </w:rPr>
        <w:t xml:space="preserve">examines </w:t>
      </w:r>
      <w:r>
        <w:rPr>
          <w:sz w:val="24"/>
          <w:szCs w:val="24"/>
          <w:lang w:eastAsia="zh-CN"/>
        </w:rPr>
        <w:t>the role that natural amenities play</w:t>
      </w:r>
      <w:r w:rsidR="00E62819">
        <w:rPr>
          <w:sz w:val="24"/>
          <w:szCs w:val="24"/>
          <w:lang w:eastAsia="zh-CN"/>
        </w:rPr>
        <w:t xml:space="preserve"> in student migration decisions</w:t>
      </w:r>
      <w:r>
        <w:rPr>
          <w:sz w:val="24"/>
          <w:szCs w:val="24"/>
          <w:lang w:eastAsia="zh-CN"/>
        </w:rPr>
        <w:t xml:space="preserve"> </w:t>
      </w:r>
      <w:r w:rsidR="00E62819">
        <w:rPr>
          <w:sz w:val="24"/>
          <w:szCs w:val="24"/>
          <w:lang w:eastAsia="zh-CN"/>
        </w:rPr>
        <w:t xml:space="preserve">to undertake </w:t>
      </w:r>
      <w:r w:rsidR="00C03C89">
        <w:rPr>
          <w:sz w:val="24"/>
          <w:szCs w:val="24"/>
          <w:lang w:eastAsia="zh-CN"/>
        </w:rPr>
        <w:t>higher</w:t>
      </w:r>
      <w:r w:rsidR="00E62819">
        <w:rPr>
          <w:sz w:val="24"/>
          <w:szCs w:val="24"/>
          <w:lang w:eastAsia="zh-CN"/>
        </w:rPr>
        <w:t xml:space="preserve"> education </w:t>
      </w:r>
      <w:r>
        <w:rPr>
          <w:sz w:val="24"/>
          <w:szCs w:val="24"/>
          <w:lang w:eastAsia="zh-CN"/>
        </w:rPr>
        <w:t xml:space="preserve">using </w:t>
      </w:r>
      <w:r w:rsidRPr="00845912">
        <w:rPr>
          <w:sz w:val="24"/>
          <w:szCs w:val="24"/>
          <w:lang w:eastAsia="zh-CN"/>
        </w:rPr>
        <w:t>institution-level da</w:t>
      </w:r>
      <w:r>
        <w:rPr>
          <w:sz w:val="24"/>
          <w:szCs w:val="24"/>
          <w:lang w:eastAsia="zh-CN"/>
        </w:rPr>
        <w:t xml:space="preserve">ta from the National </w:t>
      </w:r>
      <w:proofErr w:type="spellStart"/>
      <w:r>
        <w:rPr>
          <w:sz w:val="24"/>
          <w:szCs w:val="24"/>
          <w:lang w:eastAsia="zh-CN"/>
        </w:rPr>
        <w:t>Center</w:t>
      </w:r>
      <w:proofErr w:type="spellEnd"/>
      <w:r>
        <w:rPr>
          <w:sz w:val="24"/>
          <w:szCs w:val="24"/>
          <w:lang w:eastAsia="zh-CN"/>
        </w:rPr>
        <w:t xml:space="preserve"> for </w:t>
      </w:r>
      <w:r w:rsidRPr="00845912">
        <w:rPr>
          <w:sz w:val="24"/>
          <w:szCs w:val="24"/>
          <w:lang w:eastAsia="zh-CN"/>
        </w:rPr>
        <w:t>Education Statistics' Integrated Postsecondary Education Data System</w:t>
      </w:r>
      <w:r>
        <w:rPr>
          <w:sz w:val="24"/>
          <w:szCs w:val="24"/>
          <w:lang w:eastAsia="zh-CN"/>
        </w:rPr>
        <w:t xml:space="preserve">. Results highlight the importance of natural amenities in the students’ decision to migrate </w:t>
      </w:r>
      <w:r w:rsidR="00C03C89">
        <w:rPr>
          <w:sz w:val="24"/>
          <w:szCs w:val="24"/>
          <w:lang w:eastAsia="zh-CN"/>
        </w:rPr>
        <w:t xml:space="preserve">along with </w:t>
      </w:r>
      <w:r>
        <w:rPr>
          <w:sz w:val="24"/>
          <w:szCs w:val="24"/>
          <w:lang w:eastAsia="zh-CN"/>
        </w:rPr>
        <w:t>institutional and regional characteristics.</w:t>
      </w:r>
    </w:p>
    <w:p w14:paraId="2D45EAE4" w14:textId="00683AA4" w:rsidR="005B4C5F" w:rsidRDefault="00B62836" w:rsidP="000C53C3">
      <w:pPr>
        <w:spacing w:line="360" w:lineRule="auto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The fifth paper by </w:t>
      </w:r>
      <w:proofErr w:type="spellStart"/>
      <w:r w:rsidR="002F7F12" w:rsidRPr="002F7F12">
        <w:rPr>
          <w:sz w:val="24"/>
          <w:szCs w:val="24"/>
          <w:lang w:val="en-GB"/>
        </w:rPr>
        <w:t>Bjerk</w:t>
      </w:r>
      <w:r w:rsidR="002F7F12">
        <w:rPr>
          <w:sz w:val="24"/>
          <w:szCs w:val="24"/>
          <w:lang w:val="en-GB"/>
        </w:rPr>
        <w:t>e</w:t>
      </w:r>
      <w:proofErr w:type="spellEnd"/>
      <w:r w:rsidR="002F7F12" w:rsidRPr="002F7F12">
        <w:rPr>
          <w:sz w:val="24"/>
          <w:szCs w:val="24"/>
          <w:lang w:val="en-GB"/>
        </w:rPr>
        <w:t xml:space="preserve"> </w:t>
      </w:r>
      <w:r w:rsidR="002F7F12">
        <w:rPr>
          <w:sz w:val="24"/>
          <w:szCs w:val="24"/>
          <w:lang w:val="en-GB"/>
        </w:rPr>
        <w:t xml:space="preserve">and </w:t>
      </w:r>
      <w:proofErr w:type="spellStart"/>
      <w:r w:rsidR="003E13CC">
        <w:rPr>
          <w:sz w:val="24"/>
          <w:szCs w:val="24"/>
          <w:lang w:val="en-GB"/>
        </w:rPr>
        <w:t>Mellander</w:t>
      </w:r>
      <w:proofErr w:type="spellEnd"/>
      <w:r w:rsidR="003E13CC">
        <w:rPr>
          <w:sz w:val="24"/>
          <w:szCs w:val="24"/>
          <w:lang w:val="en-GB"/>
        </w:rPr>
        <w:t xml:space="preserve"> draws</w:t>
      </w:r>
      <w:r>
        <w:rPr>
          <w:sz w:val="24"/>
          <w:szCs w:val="24"/>
          <w:lang w:eastAsia="zh-CN"/>
        </w:rPr>
        <w:t xml:space="preserve"> on micro data for Sweden to examine short (5 years post-graduation) and long (10 years post-graduation) term location decisions of </w:t>
      </w:r>
      <w:r w:rsidR="00C03C89">
        <w:rPr>
          <w:sz w:val="24"/>
          <w:szCs w:val="24"/>
          <w:lang w:eastAsia="zh-CN"/>
        </w:rPr>
        <w:t xml:space="preserve">university </w:t>
      </w:r>
      <w:r>
        <w:rPr>
          <w:sz w:val="24"/>
          <w:szCs w:val="24"/>
          <w:lang w:eastAsia="zh-CN"/>
        </w:rPr>
        <w:t xml:space="preserve">graduates. Looking specifically at urban-rural differentials, their results reveal </w:t>
      </w:r>
      <w:r w:rsidRPr="00DB1771">
        <w:rPr>
          <w:sz w:val="24"/>
          <w:szCs w:val="24"/>
          <w:lang w:eastAsia="zh-CN"/>
        </w:rPr>
        <w:t xml:space="preserve">that family is one of the strongest </w:t>
      </w:r>
      <w:r w:rsidR="00DB1771" w:rsidRPr="00DB1771">
        <w:rPr>
          <w:sz w:val="24"/>
          <w:szCs w:val="24"/>
          <w:lang w:eastAsia="zh-CN"/>
        </w:rPr>
        <w:t xml:space="preserve">drivers </w:t>
      </w:r>
      <w:r w:rsidRPr="00DB1771">
        <w:rPr>
          <w:sz w:val="24"/>
          <w:szCs w:val="24"/>
          <w:lang w:eastAsia="zh-CN"/>
        </w:rPr>
        <w:t>concerning where graduates locate than</w:t>
      </w:r>
      <w:r>
        <w:rPr>
          <w:sz w:val="24"/>
          <w:szCs w:val="24"/>
          <w:lang w:eastAsia="zh-CN"/>
        </w:rPr>
        <w:t xml:space="preserve"> any other </w:t>
      </w:r>
      <w:r>
        <w:rPr>
          <w:sz w:val="24"/>
          <w:szCs w:val="24"/>
          <w:lang w:eastAsia="zh-CN"/>
        </w:rPr>
        <w:lastRenderedPageBreak/>
        <w:t>individual factor</w:t>
      </w:r>
      <w:r w:rsidR="00022A0D">
        <w:rPr>
          <w:sz w:val="24"/>
          <w:szCs w:val="24"/>
          <w:lang w:eastAsia="zh-CN"/>
        </w:rPr>
        <w:t>. They also reveal that this finding is consistent looking at migration decisions across</w:t>
      </w:r>
      <w:r>
        <w:rPr>
          <w:sz w:val="24"/>
          <w:szCs w:val="24"/>
          <w:lang w:eastAsia="zh-CN"/>
        </w:rPr>
        <w:t xml:space="preserve"> </w:t>
      </w:r>
      <w:r w:rsidR="00022A0D">
        <w:rPr>
          <w:sz w:val="24"/>
          <w:szCs w:val="24"/>
          <w:lang w:eastAsia="zh-CN"/>
        </w:rPr>
        <w:t>the urban hierarchy</w:t>
      </w:r>
      <w:r w:rsidR="006B25DC">
        <w:rPr>
          <w:sz w:val="24"/>
          <w:szCs w:val="24"/>
          <w:lang w:eastAsia="zh-CN"/>
        </w:rPr>
        <w:t>.</w:t>
      </w:r>
    </w:p>
    <w:p w14:paraId="6E50F56E" w14:textId="7479DFDC" w:rsidR="00A3287D" w:rsidRDefault="00A3287D" w:rsidP="000C53C3">
      <w:pPr>
        <w:spacing w:line="360" w:lineRule="auto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The paper by </w:t>
      </w:r>
      <w:proofErr w:type="spellStart"/>
      <w:r w:rsidR="00EF4EF5">
        <w:rPr>
          <w:sz w:val="24"/>
          <w:szCs w:val="24"/>
          <w:lang w:val="en-GB"/>
        </w:rPr>
        <w:t>Kazakis</w:t>
      </w:r>
      <w:proofErr w:type="spellEnd"/>
      <w:r w:rsidR="00EF4EF5">
        <w:rPr>
          <w:sz w:val="24"/>
          <w:szCs w:val="24"/>
          <w:lang w:val="en-GB"/>
        </w:rPr>
        <w:t xml:space="preserve"> </w:t>
      </w:r>
      <w:r w:rsidR="00463477">
        <w:rPr>
          <w:sz w:val="24"/>
          <w:szCs w:val="24"/>
          <w:lang w:val="en-GB"/>
        </w:rPr>
        <w:t xml:space="preserve">and </w:t>
      </w:r>
      <w:proofErr w:type="spellStart"/>
      <w:r w:rsidR="00463477">
        <w:rPr>
          <w:sz w:val="24"/>
          <w:szCs w:val="24"/>
          <w:lang w:eastAsia="zh-CN"/>
        </w:rPr>
        <w:t>Faggian</w:t>
      </w:r>
      <w:proofErr w:type="spellEnd"/>
      <w:r w:rsidR="003E13CC" w:rsidRPr="00EF4EF5">
        <w:rPr>
          <w:sz w:val="24"/>
          <w:szCs w:val="24"/>
          <w:lang w:val="en-GB"/>
        </w:rPr>
        <w:t xml:space="preserve"> </w:t>
      </w:r>
      <w:r w:rsidR="003E13CC">
        <w:rPr>
          <w:sz w:val="24"/>
          <w:szCs w:val="24"/>
          <w:lang w:val="en-GB"/>
        </w:rPr>
        <w:t>explores</w:t>
      </w:r>
      <w:r>
        <w:rPr>
          <w:sz w:val="24"/>
          <w:szCs w:val="24"/>
          <w:lang w:eastAsia="zh-CN"/>
        </w:rPr>
        <w:t xml:space="preserve"> </w:t>
      </w:r>
      <w:r w:rsidR="00B62836">
        <w:rPr>
          <w:sz w:val="24"/>
          <w:szCs w:val="24"/>
          <w:lang w:eastAsia="zh-CN"/>
        </w:rPr>
        <w:t xml:space="preserve">the </w:t>
      </w:r>
      <w:r>
        <w:rPr>
          <w:sz w:val="24"/>
          <w:szCs w:val="24"/>
          <w:lang w:eastAsia="zh-CN"/>
        </w:rPr>
        <w:t>sequential migration</w:t>
      </w:r>
      <w:r w:rsidR="000C53C3">
        <w:rPr>
          <w:sz w:val="24"/>
          <w:szCs w:val="24"/>
          <w:lang w:eastAsia="zh-CN"/>
        </w:rPr>
        <w:t xml:space="preserve"> decisions</w:t>
      </w:r>
      <w:r>
        <w:rPr>
          <w:sz w:val="24"/>
          <w:szCs w:val="24"/>
          <w:lang w:eastAsia="zh-CN"/>
        </w:rPr>
        <w:t xml:space="preserve"> of graduates and its connection to</w:t>
      </w:r>
      <w:r w:rsidR="00020747">
        <w:rPr>
          <w:sz w:val="24"/>
          <w:szCs w:val="24"/>
          <w:lang w:eastAsia="zh-CN"/>
        </w:rPr>
        <w:t xml:space="preserve"> their</w:t>
      </w:r>
      <w:r>
        <w:rPr>
          <w:sz w:val="24"/>
          <w:szCs w:val="24"/>
          <w:lang w:eastAsia="zh-CN"/>
        </w:rPr>
        <w:t xml:space="preserve"> labour market outcomes in the United States</w:t>
      </w:r>
      <w:r w:rsidR="004A3DAE">
        <w:rPr>
          <w:sz w:val="24"/>
          <w:szCs w:val="24"/>
          <w:lang w:eastAsia="zh-CN"/>
        </w:rPr>
        <w:t xml:space="preserve"> accounting also for the problem of migrant self-selection</w:t>
      </w:r>
      <w:r>
        <w:rPr>
          <w:sz w:val="24"/>
          <w:szCs w:val="24"/>
          <w:lang w:eastAsia="zh-CN"/>
        </w:rPr>
        <w:t xml:space="preserve">. Their study draws on </w:t>
      </w:r>
      <w:r w:rsidR="000C53C3">
        <w:rPr>
          <w:sz w:val="24"/>
          <w:szCs w:val="24"/>
          <w:lang w:eastAsia="zh-CN"/>
        </w:rPr>
        <w:t xml:space="preserve">individual survey data from the Scientists and Engineers </w:t>
      </w:r>
      <w:r w:rsidR="000C53C3" w:rsidRPr="000C53C3">
        <w:rPr>
          <w:sz w:val="24"/>
          <w:szCs w:val="24"/>
          <w:lang w:eastAsia="zh-CN"/>
        </w:rPr>
        <w:t>Statistical Data System</w:t>
      </w:r>
      <w:r>
        <w:rPr>
          <w:sz w:val="24"/>
          <w:szCs w:val="24"/>
          <w:lang w:eastAsia="zh-CN"/>
        </w:rPr>
        <w:t xml:space="preserve"> </w:t>
      </w:r>
      <w:r w:rsidR="008D136B">
        <w:rPr>
          <w:sz w:val="24"/>
          <w:szCs w:val="24"/>
          <w:lang w:eastAsia="zh-CN"/>
        </w:rPr>
        <w:t xml:space="preserve">by the National </w:t>
      </w:r>
      <w:r w:rsidR="008D136B" w:rsidRPr="00DB1771">
        <w:rPr>
          <w:sz w:val="24"/>
          <w:szCs w:val="24"/>
          <w:lang w:eastAsia="zh-CN"/>
        </w:rPr>
        <w:t xml:space="preserve">Science Foundation (NSF) </w:t>
      </w:r>
      <w:r w:rsidR="000C53C3" w:rsidRPr="00DB1771">
        <w:rPr>
          <w:sz w:val="24"/>
          <w:szCs w:val="24"/>
          <w:lang w:eastAsia="zh-CN"/>
        </w:rPr>
        <w:t>to</w:t>
      </w:r>
      <w:r w:rsidRPr="00DB1771">
        <w:rPr>
          <w:sz w:val="24"/>
          <w:szCs w:val="24"/>
          <w:lang w:eastAsia="zh-CN"/>
        </w:rPr>
        <w:t xml:space="preserve"> model the </w:t>
      </w:r>
      <w:r w:rsidR="000C53C3" w:rsidRPr="00DB1771">
        <w:rPr>
          <w:sz w:val="24"/>
          <w:szCs w:val="24"/>
          <w:lang w:eastAsia="zh-CN"/>
        </w:rPr>
        <w:t>combined set of decisions that are</w:t>
      </w:r>
      <w:r w:rsidR="00463477">
        <w:rPr>
          <w:sz w:val="24"/>
          <w:szCs w:val="24"/>
          <w:lang w:eastAsia="zh-CN"/>
        </w:rPr>
        <w:t xml:space="preserve"> </w:t>
      </w:r>
      <w:r w:rsidR="000C53C3" w:rsidRPr="00DB1771">
        <w:rPr>
          <w:sz w:val="24"/>
          <w:szCs w:val="24"/>
          <w:lang w:eastAsia="zh-CN"/>
        </w:rPr>
        <w:t>to migrate for</w:t>
      </w:r>
      <w:r w:rsidR="000C53C3">
        <w:rPr>
          <w:sz w:val="24"/>
          <w:szCs w:val="24"/>
          <w:lang w:eastAsia="zh-CN"/>
        </w:rPr>
        <w:t xml:space="preserve"> </w:t>
      </w:r>
      <w:r w:rsidR="000C53C3" w:rsidRPr="00DB1771">
        <w:rPr>
          <w:sz w:val="24"/>
          <w:szCs w:val="24"/>
          <w:lang w:eastAsia="zh-CN"/>
        </w:rPr>
        <w:t xml:space="preserve">study and to migrate for employment. Results reveal that repeat migrants </w:t>
      </w:r>
      <w:r w:rsidR="00020747" w:rsidRPr="00DB1771">
        <w:rPr>
          <w:sz w:val="24"/>
          <w:szCs w:val="24"/>
          <w:lang w:eastAsia="zh-CN"/>
        </w:rPr>
        <w:t>tend to be</w:t>
      </w:r>
      <w:r w:rsidR="000C53C3">
        <w:rPr>
          <w:sz w:val="24"/>
          <w:szCs w:val="24"/>
          <w:lang w:eastAsia="zh-CN"/>
        </w:rPr>
        <w:t xml:space="preserve"> associated with salary </w:t>
      </w:r>
      <w:proofErr w:type="spellStart"/>
      <w:r w:rsidR="000C53C3">
        <w:rPr>
          <w:sz w:val="24"/>
          <w:szCs w:val="24"/>
          <w:lang w:eastAsia="zh-CN"/>
        </w:rPr>
        <w:t>premi</w:t>
      </w:r>
      <w:r w:rsidR="0061705B">
        <w:rPr>
          <w:sz w:val="24"/>
          <w:szCs w:val="24"/>
          <w:lang w:eastAsia="zh-CN"/>
        </w:rPr>
        <w:t>a</w:t>
      </w:r>
      <w:proofErr w:type="spellEnd"/>
      <w:r w:rsidR="000C53C3">
        <w:rPr>
          <w:sz w:val="24"/>
          <w:szCs w:val="24"/>
          <w:lang w:eastAsia="zh-CN"/>
        </w:rPr>
        <w:t xml:space="preserve">, while late migrants </w:t>
      </w:r>
      <w:r w:rsidR="00020747">
        <w:rPr>
          <w:sz w:val="24"/>
          <w:szCs w:val="24"/>
          <w:lang w:eastAsia="zh-CN"/>
        </w:rPr>
        <w:t>experience salary losses</w:t>
      </w:r>
      <w:r w:rsidR="000C53C3">
        <w:rPr>
          <w:sz w:val="24"/>
          <w:szCs w:val="24"/>
          <w:lang w:eastAsia="zh-CN"/>
        </w:rPr>
        <w:t>.</w:t>
      </w:r>
    </w:p>
    <w:p w14:paraId="32E47D8A" w14:textId="10E94C6E" w:rsidR="004B57E4" w:rsidRPr="004B57E4" w:rsidRDefault="00861965" w:rsidP="004324EF">
      <w:pPr>
        <w:spacing w:line="360" w:lineRule="auto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val="en-GB"/>
        </w:rPr>
        <w:t xml:space="preserve">Di </w:t>
      </w:r>
      <w:proofErr w:type="spellStart"/>
      <w:r>
        <w:rPr>
          <w:sz w:val="24"/>
          <w:szCs w:val="24"/>
          <w:lang w:val="en-GB"/>
        </w:rPr>
        <w:t>Cintio</w:t>
      </w:r>
      <w:proofErr w:type="spellEnd"/>
      <w:r>
        <w:rPr>
          <w:sz w:val="24"/>
          <w:szCs w:val="24"/>
          <w:lang w:val="en-GB"/>
        </w:rPr>
        <w:t xml:space="preserve"> and </w:t>
      </w:r>
      <w:proofErr w:type="spellStart"/>
      <w:r>
        <w:rPr>
          <w:sz w:val="24"/>
          <w:szCs w:val="24"/>
          <w:lang w:val="en-GB"/>
        </w:rPr>
        <w:t>Grassi</w:t>
      </w:r>
      <w:proofErr w:type="spellEnd"/>
      <w:r w:rsidRPr="00861965">
        <w:rPr>
          <w:sz w:val="24"/>
          <w:szCs w:val="24"/>
          <w:lang w:val="en-GB"/>
        </w:rPr>
        <w:t xml:space="preserve"> </w:t>
      </w:r>
      <w:r w:rsidR="000C53C3">
        <w:rPr>
          <w:sz w:val="24"/>
          <w:szCs w:val="24"/>
          <w:lang w:eastAsia="zh-CN"/>
        </w:rPr>
        <w:t xml:space="preserve">focus on </w:t>
      </w:r>
      <w:r w:rsidR="00845912">
        <w:rPr>
          <w:sz w:val="24"/>
          <w:szCs w:val="24"/>
          <w:lang w:eastAsia="zh-CN"/>
        </w:rPr>
        <w:t xml:space="preserve">the mobility of </w:t>
      </w:r>
      <w:r w:rsidR="000C53C3">
        <w:rPr>
          <w:sz w:val="24"/>
          <w:szCs w:val="24"/>
          <w:lang w:eastAsia="zh-CN"/>
        </w:rPr>
        <w:t>two cohorts of Italian doctoral graduates</w:t>
      </w:r>
      <w:r w:rsidR="00845912">
        <w:rPr>
          <w:sz w:val="24"/>
          <w:szCs w:val="24"/>
          <w:lang w:eastAsia="zh-CN"/>
        </w:rPr>
        <w:t xml:space="preserve"> </w:t>
      </w:r>
      <w:r w:rsidR="004825FF">
        <w:rPr>
          <w:sz w:val="24"/>
          <w:szCs w:val="24"/>
          <w:lang w:eastAsia="zh-CN"/>
        </w:rPr>
        <w:t xml:space="preserve">using survey data </w:t>
      </w:r>
      <w:r w:rsidR="004B57E4">
        <w:rPr>
          <w:sz w:val="24"/>
          <w:szCs w:val="24"/>
          <w:lang w:eastAsia="zh-CN"/>
        </w:rPr>
        <w:t xml:space="preserve">collected by the </w:t>
      </w:r>
      <w:r w:rsidR="004825FF" w:rsidRPr="004825FF">
        <w:rPr>
          <w:sz w:val="24"/>
          <w:szCs w:val="24"/>
          <w:lang w:eastAsia="zh-CN"/>
        </w:rPr>
        <w:t>Italian National Institute of Statistics.</w:t>
      </w:r>
      <w:r w:rsidR="004B57E4">
        <w:rPr>
          <w:sz w:val="24"/>
          <w:szCs w:val="24"/>
          <w:lang w:eastAsia="zh-CN"/>
        </w:rPr>
        <w:t xml:space="preserve"> F</w:t>
      </w:r>
      <w:r w:rsidR="00845912">
        <w:rPr>
          <w:sz w:val="24"/>
          <w:szCs w:val="24"/>
          <w:lang w:eastAsia="zh-CN"/>
        </w:rPr>
        <w:t>inding</w:t>
      </w:r>
      <w:r w:rsidR="004B57E4">
        <w:rPr>
          <w:sz w:val="24"/>
          <w:szCs w:val="24"/>
          <w:lang w:eastAsia="zh-CN"/>
        </w:rPr>
        <w:t>s</w:t>
      </w:r>
      <w:r w:rsidR="00845912">
        <w:rPr>
          <w:sz w:val="24"/>
          <w:szCs w:val="24"/>
          <w:lang w:eastAsia="zh-CN"/>
        </w:rPr>
        <w:t xml:space="preserve"> </w:t>
      </w:r>
      <w:r w:rsidR="004B57E4">
        <w:rPr>
          <w:sz w:val="24"/>
          <w:szCs w:val="24"/>
          <w:lang w:eastAsia="zh-CN"/>
        </w:rPr>
        <w:t>show</w:t>
      </w:r>
      <w:r w:rsidR="00845912">
        <w:rPr>
          <w:sz w:val="24"/>
          <w:szCs w:val="24"/>
          <w:lang w:eastAsia="zh-CN"/>
        </w:rPr>
        <w:t xml:space="preserve"> that international mobility is associated with higher wage premiums</w:t>
      </w:r>
      <w:r w:rsidR="004324EF">
        <w:rPr>
          <w:sz w:val="24"/>
          <w:szCs w:val="24"/>
          <w:lang w:eastAsia="zh-CN"/>
        </w:rPr>
        <w:t>.</w:t>
      </w:r>
      <w:r w:rsidR="004B57E4">
        <w:rPr>
          <w:sz w:val="24"/>
          <w:szCs w:val="24"/>
          <w:lang w:eastAsia="zh-CN"/>
        </w:rPr>
        <w:t xml:space="preserve"> </w:t>
      </w:r>
      <w:r w:rsidR="004324EF">
        <w:rPr>
          <w:sz w:val="24"/>
          <w:szCs w:val="24"/>
          <w:lang w:eastAsia="zh-CN"/>
        </w:rPr>
        <w:t>Drawing on their findings</w:t>
      </w:r>
      <w:r w:rsidR="001E5271">
        <w:rPr>
          <w:sz w:val="24"/>
          <w:szCs w:val="24"/>
          <w:lang w:eastAsia="zh-CN"/>
        </w:rPr>
        <w:t>,</w:t>
      </w:r>
      <w:r w:rsidR="004324EF">
        <w:rPr>
          <w:sz w:val="24"/>
          <w:szCs w:val="24"/>
          <w:lang w:eastAsia="zh-CN"/>
        </w:rPr>
        <w:t xml:space="preserve"> the authors </w:t>
      </w:r>
      <w:r w:rsidR="004B57E4">
        <w:rPr>
          <w:sz w:val="24"/>
          <w:szCs w:val="24"/>
          <w:lang w:eastAsia="zh-CN"/>
        </w:rPr>
        <w:t>suggest that policy targeted</w:t>
      </w:r>
      <w:r w:rsidR="004B57E4" w:rsidRPr="004B57E4">
        <w:rPr>
          <w:sz w:val="24"/>
          <w:szCs w:val="24"/>
          <w:lang w:eastAsia="zh-CN"/>
        </w:rPr>
        <w:t xml:space="preserve"> </w:t>
      </w:r>
      <w:r w:rsidR="004B57E4">
        <w:rPr>
          <w:sz w:val="24"/>
          <w:szCs w:val="24"/>
          <w:lang w:eastAsia="zh-CN"/>
        </w:rPr>
        <w:t>at the retention of</w:t>
      </w:r>
      <w:r w:rsidR="004B57E4" w:rsidRPr="004B57E4">
        <w:rPr>
          <w:sz w:val="24"/>
          <w:szCs w:val="24"/>
          <w:lang w:eastAsia="zh-CN"/>
        </w:rPr>
        <w:t xml:space="preserve"> human capital in a country </w:t>
      </w:r>
      <w:r w:rsidR="004B57E4">
        <w:rPr>
          <w:sz w:val="24"/>
          <w:szCs w:val="24"/>
          <w:lang w:eastAsia="zh-CN"/>
        </w:rPr>
        <w:t>through incentive schemes needs</w:t>
      </w:r>
      <w:r w:rsidR="004B57E4" w:rsidRPr="004B57E4">
        <w:rPr>
          <w:sz w:val="24"/>
          <w:szCs w:val="24"/>
          <w:lang w:eastAsia="zh-CN"/>
        </w:rPr>
        <w:t xml:space="preserve"> to account for individual gains</w:t>
      </w:r>
      <w:r w:rsidR="004324EF">
        <w:rPr>
          <w:sz w:val="24"/>
          <w:szCs w:val="24"/>
          <w:lang w:eastAsia="zh-CN"/>
        </w:rPr>
        <w:t xml:space="preserve"> </w:t>
      </w:r>
      <w:r w:rsidR="004324EF" w:rsidRPr="004324EF">
        <w:rPr>
          <w:sz w:val="24"/>
          <w:szCs w:val="24"/>
          <w:lang w:eastAsia="zh-CN"/>
        </w:rPr>
        <w:t xml:space="preserve">associated </w:t>
      </w:r>
      <w:r w:rsidR="004324EF">
        <w:rPr>
          <w:sz w:val="24"/>
          <w:szCs w:val="24"/>
          <w:lang w:eastAsia="zh-CN"/>
        </w:rPr>
        <w:t>with the</w:t>
      </w:r>
      <w:r w:rsidR="004324EF" w:rsidRPr="004324EF">
        <w:rPr>
          <w:sz w:val="24"/>
          <w:szCs w:val="24"/>
          <w:lang w:eastAsia="zh-CN"/>
        </w:rPr>
        <w:t xml:space="preserve"> migration </w:t>
      </w:r>
      <w:r w:rsidR="004324EF">
        <w:rPr>
          <w:sz w:val="24"/>
          <w:szCs w:val="24"/>
          <w:lang w:eastAsia="zh-CN"/>
        </w:rPr>
        <w:t>allied</w:t>
      </w:r>
      <w:r w:rsidR="004324EF" w:rsidRPr="004324EF">
        <w:rPr>
          <w:sz w:val="24"/>
          <w:szCs w:val="24"/>
          <w:lang w:eastAsia="zh-CN"/>
        </w:rPr>
        <w:t xml:space="preserve"> with increas</w:t>
      </w:r>
      <w:r w:rsidR="004324EF">
        <w:rPr>
          <w:sz w:val="24"/>
          <w:szCs w:val="24"/>
          <w:lang w:eastAsia="zh-CN"/>
        </w:rPr>
        <w:t>ed</w:t>
      </w:r>
      <w:r w:rsidR="004324EF" w:rsidRPr="004324EF">
        <w:rPr>
          <w:sz w:val="24"/>
          <w:szCs w:val="24"/>
          <w:lang w:eastAsia="zh-CN"/>
        </w:rPr>
        <w:t xml:space="preserve"> research fund</w:t>
      </w:r>
      <w:r w:rsidR="004324EF">
        <w:rPr>
          <w:sz w:val="24"/>
          <w:szCs w:val="24"/>
          <w:lang w:eastAsia="zh-CN"/>
        </w:rPr>
        <w:t>ing</w:t>
      </w:r>
      <w:r w:rsidR="004324EF" w:rsidRPr="004324EF">
        <w:rPr>
          <w:sz w:val="24"/>
          <w:szCs w:val="24"/>
          <w:lang w:eastAsia="zh-CN"/>
        </w:rPr>
        <w:t xml:space="preserve"> and </w:t>
      </w:r>
      <w:r w:rsidR="004324EF">
        <w:rPr>
          <w:sz w:val="24"/>
          <w:szCs w:val="24"/>
          <w:lang w:eastAsia="zh-CN"/>
        </w:rPr>
        <w:t>prospects.</w:t>
      </w:r>
    </w:p>
    <w:p w14:paraId="02B0E549" w14:textId="46EA99C0" w:rsidR="00036F2A" w:rsidRDefault="003E13CC" w:rsidP="00B62836">
      <w:pPr>
        <w:spacing w:line="360" w:lineRule="auto"/>
        <w:jc w:val="both"/>
        <w:rPr>
          <w:sz w:val="24"/>
          <w:szCs w:val="24"/>
          <w:lang w:eastAsia="zh-CN"/>
        </w:rPr>
      </w:pPr>
      <w:proofErr w:type="spellStart"/>
      <w:r>
        <w:rPr>
          <w:sz w:val="24"/>
          <w:szCs w:val="24"/>
          <w:lang w:val="en-GB"/>
        </w:rPr>
        <w:t>Venhorst</w:t>
      </w:r>
      <w:proofErr w:type="spellEnd"/>
      <w:r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eastAsia="zh-CN"/>
        </w:rPr>
        <w:t>places</w:t>
      </w:r>
      <w:r w:rsidR="00B62836">
        <w:rPr>
          <w:sz w:val="24"/>
          <w:szCs w:val="24"/>
          <w:lang w:eastAsia="zh-CN"/>
        </w:rPr>
        <w:t xml:space="preserve"> a focus on the way in which the </w:t>
      </w:r>
      <w:r w:rsidR="00D84DC0">
        <w:rPr>
          <w:sz w:val="24"/>
          <w:szCs w:val="24"/>
          <w:lang w:eastAsia="zh-CN"/>
        </w:rPr>
        <w:t>skill structure</w:t>
      </w:r>
      <w:r w:rsidR="00A91943">
        <w:rPr>
          <w:sz w:val="24"/>
          <w:szCs w:val="24"/>
          <w:lang w:eastAsia="zh-CN"/>
        </w:rPr>
        <w:t xml:space="preserve"> of</w:t>
      </w:r>
      <w:r w:rsidR="00B62836">
        <w:rPr>
          <w:sz w:val="24"/>
          <w:szCs w:val="24"/>
          <w:lang w:eastAsia="zh-CN"/>
        </w:rPr>
        <w:t xml:space="preserve"> m</w:t>
      </w:r>
      <w:r w:rsidR="003D749B" w:rsidRPr="004F4EEE">
        <w:rPr>
          <w:sz w:val="24"/>
          <w:szCs w:val="24"/>
          <w:lang w:eastAsia="zh-CN"/>
        </w:rPr>
        <w:t>etropolitan</w:t>
      </w:r>
      <w:r w:rsidR="00B62836">
        <w:rPr>
          <w:sz w:val="24"/>
          <w:szCs w:val="24"/>
          <w:lang w:eastAsia="zh-CN"/>
        </w:rPr>
        <w:t xml:space="preserve"> areas determines their ability to attract Dutch graduates. </w:t>
      </w:r>
      <w:r w:rsidR="00D84DC0">
        <w:rPr>
          <w:sz w:val="24"/>
          <w:szCs w:val="24"/>
          <w:lang w:eastAsia="zh-CN"/>
        </w:rPr>
        <w:t xml:space="preserve">Results reveal that </w:t>
      </w:r>
      <w:r w:rsidR="00036F2A">
        <w:rPr>
          <w:sz w:val="24"/>
          <w:szCs w:val="24"/>
          <w:lang w:eastAsia="zh-CN"/>
        </w:rPr>
        <w:t xml:space="preserve">labour markets </w:t>
      </w:r>
      <w:r w:rsidR="00D84DC0">
        <w:rPr>
          <w:sz w:val="24"/>
          <w:szCs w:val="24"/>
          <w:lang w:eastAsia="zh-CN"/>
        </w:rPr>
        <w:t xml:space="preserve">with larger </w:t>
      </w:r>
      <w:r w:rsidR="00036F2A">
        <w:rPr>
          <w:sz w:val="24"/>
          <w:szCs w:val="24"/>
          <w:lang w:eastAsia="zh-CN"/>
        </w:rPr>
        <w:t xml:space="preserve">shares </w:t>
      </w:r>
      <w:r w:rsidR="00D84DC0">
        <w:rPr>
          <w:sz w:val="24"/>
          <w:szCs w:val="24"/>
          <w:lang w:eastAsia="zh-CN"/>
        </w:rPr>
        <w:t xml:space="preserve">of higher and scientific-level employment </w:t>
      </w:r>
      <w:r w:rsidR="00DD6051">
        <w:rPr>
          <w:sz w:val="24"/>
          <w:szCs w:val="24"/>
          <w:lang w:eastAsia="zh-CN"/>
        </w:rPr>
        <w:t xml:space="preserve">are </w:t>
      </w:r>
      <w:r w:rsidR="00D84DC0">
        <w:rPr>
          <w:sz w:val="24"/>
          <w:szCs w:val="24"/>
          <w:lang w:eastAsia="zh-CN"/>
        </w:rPr>
        <w:t>related to stronger inflows of recent graduates</w:t>
      </w:r>
      <w:r w:rsidR="00C71879">
        <w:rPr>
          <w:sz w:val="24"/>
          <w:szCs w:val="24"/>
          <w:lang w:eastAsia="zh-CN"/>
        </w:rPr>
        <w:t xml:space="preserve">, indicating </w:t>
      </w:r>
      <w:r w:rsidR="00036F2A">
        <w:rPr>
          <w:sz w:val="24"/>
          <w:szCs w:val="24"/>
          <w:lang w:eastAsia="zh-CN"/>
        </w:rPr>
        <w:t xml:space="preserve">a </w:t>
      </w:r>
      <w:r w:rsidR="00C71879">
        <w:rPr>
          <w:sz w:val="24"/>
          <w:szCs w:val="24"/>
          <w:lang w:eastAsia="zh-CN"/>
        </w:rPr>
        <w:t xml:space="preserve">potential </w:t>
      </w:r>
      <w:proofErr w:type="gramStart"/>
      <w:r w:rsidR="00C71879">
        <w:rPr>
          <w:sz w:val="24"/>
          <w:szCs w:val="24"/>
          <w:lang w:eastAsia="zh-CN"/>
        </w:rPr>
        <w:t xml:space="preserve">positive </w:t>
      </w:r>
      <w:r w:rsidR="008957A5">
        <w:rPr>
          <w:sz w:val="24"/>
          <w:szCs w:val="24"/>
          <w:lang w:eastAsia="zh-CN"/>
        </w:rPr>
        <w:t>”production</w:t>
      </w:r>
      <w:proofErr w:type="gramEnd"/>
      <w:r w:rsidR="008957A5">
        <w:rPr>
          <w:sz w:val="24"/>
          <w:szCs w:val="24"/>
          <w:lang w:eastAsia="zh-CN"/>
        </w:rPr>
        <w:t xml:space="preserve"> </w:t>
      </w:r>
      <w:proofErr w:type="spellStart"/>
      <w:r w:rsidR="008957A5">
        <w:rPr>
          <w:sz w:val="24"/>
          <w:szCs w:val="24"/>
          <w:lang w:eastAsia="zh-CN"/>
        </w:rPr>
        <w:t>spillover</w:t>
      </w:r>
      <w:proofErr w:type="spellEnd"/>
      <w:r w:rsidR="008957A5">
        <w:rPr>
          <w:sz w:val="24"/>
          <w:szCs w:val="24"/>
          <w:lang w:eastAsia="zh-CN"/>
        </w:rPr>
        <w:t xml:space="preserve">” </w:t>
      </w:r>
      <w:r w:rsidR="00036F2A">
        <w:rPr>
          <w:sz w:val="24"/>
          <w:szCs w:val="24"/>
          <w:lang w:eastAsia="zh-CN"/>
        </w:rPr>
        <w:t xml:space="preserve"> from this influx. Additionally, inflows of recent graduates are also associated with larger shares of low and medium skill jobs in their residential settlement areas –</w:t>
      </w:r>
      <w:r w:rsidR="00DD6051">
        <w:rPr>
          <w:sz w:val="24"/>
          <w:szCs w:val="24"/>
          <w:lang w:eastAsia="zh-CN"/>
        </w:rPr>
        <w:t>indicating</w:t>
      </w:r>
      <w:r w:rsidR="00036F2A">
        <w:rPr>
          <w:sz w:val="24"/>
          <w:szCs w:val="24"/>
          <w:lang w:eastAsia="zh-CN"/>
        </w:rPr>
        <w:t xml:space="preserve"> the existence of a positive “consumption </w:t>
      </w:r>
      <w:proofErr w:type="spellStart"/>
      <w:r w:rsidR="00036F2A">
        <w:rPr>
          <w:sz w:val="24"/>
          <w:szCs w:val="24"/>
          <w:lang w:eastAsia="zh-CN"/>
        </w:rPr>
        <w:t>spillover</w:t>
      </w:r>
      <w:proofErr w:type="spellEnd"/>
      <w:r w:rsidR="00036F2A">
        <w:rPr>
          <w:sz w:val="24"/>
          <w:szCs w:val="24"/>
          <w:lang w:eastAsia="zh-CN"/>
        </w:rPr>
        <w:t>” effect.</w:t>
      </w:r>
    </w:p>
    <w:p w14:paraId="5758E64D" w14:textId="08D34546" w:rsidR="00793246" w:rsidRDefault="00B75BA0" w:rsidP="00B75BA0">
      <w:pPr>
        <w:spacing w:line="360" w:lineRule="auto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The final paper </w:t>
      </w:r>
      <w:r w:rsidR="00926D85">
        <w:rPr>
          <w:sz w:val="24"/>
          <w:szCs w:val="24"/>
          <w:lang w:eastAsia="zh-CN"/>
        </w:rPr>
        <w:t xml:space="preserve">by Rowe </w:t>
      </w:r>
      <w:r w:rsidR="006B25DC">
        <w:rPr>
          <w:sz w:val="24"/>
          <w:szCs w:val="24"/>
          <w:lang w:eastAsia="zh-CN"/>
        </w:rPr>
        <w:t>and colleagues</w:t>
      </w:r>
      <w:r w:rsidR="00926D85">
        <w:rPr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examine</w:t>
      </w:r>
      <w:r w:rsidR="00DD6051">
        <w:rPr>
          <w:sz w:val="24"/>
          <w:szCs w:val="24"/>
          <w:lang w:eastAsia="zh-CN"/>
        </w:rPr>
        <w:t>s</w:t>
      </w:r>
      <w:r w:rsidR="00330ABA">
        <w:rPr>
          <w:sz w:val="24"/>
          <w:szCs w:val="24"/>
          <w:lang w:eastAsia="zh-CN"/>
        </w:rPr>
        <w:t xml:space="preserve"> the role of youth and graduate p</w:t>
      </w:r>
      <w:r w:rsidR="00765A40" w:rsidRPr="004F4EEE">
        <w:rPr>
          <w:sz w:val="24"/>
          <w:szCs w:val="24"/>
          <w:lang w:eastAsia="zh-CN"/>
        </w:rPr>
        <w:t>athways</w:t>
      </w:r>
      <w:r w:rsidR="00330ABA">
        <w:rPr>
          <w:sz w:val="24"/>
          <w:szCs w:val="24"/>
          <w:lang w:eastAsia="zh-CN"/>
        </w:rPr>
        <w:t xml:space="preserve"> in Australia</w:t>
      </w:r>
      <w:r>
        <w:rPr>
          <w:sz w:val="24"/>
          <w:szCs w:val="24"/>
          <w:lang w:eastAsia="zh-CN"/>
        </w:rPr>
        <w:t xml:space="preserve"> from an urban-rural perspective</w:t>
      </w:r>
      <w:r w:rsidR="00330ABA">
        <w:rPr>
          <w:sz w:val="24"/>
          <w:szCs w:val="24"/>
          <w:lang w:eastAsia="zh-CN"/>
        </w:rPr>
        <w:t>.</w:t>
      </w:r>
      <w:r w:rsidR="00765A40" w:rsidRPr="004F4EEE">
        <w:rPr>
          <w:sz w:val="24"/>
          <w:szCs w:val="24"/>
          <w:lang w:eastAsia="zh-CN"/>
        </w:rPr>
        <w:t xml:space="preserve"> </w:t>
      </w:r>
      <w:r w:rsidR="00330ABA">
        <w:rPr>
          <w:sz w:val="24"/>
          <w:szCs w:val="24"/>
          <w:lang w:eastAsia="zh-CN"/>
        </w:rPr>
        <w:t xml:space="preserve">Drawing on data from the Longitudinal Survey of Australia Youth, </w:t>
      </w:r>
      <w:r w:rsidR="00765A40" w:rsidRPr="004F4EEE">
        <w:rPr>
          <w:sz w:val="24"/>
          <w:szCs w:val="24"/>
          <w:lang w:eastAsia="zh-CN"/>
        </w:rPr>
        <w:t>Rowe and colleagues</w:t>
      </w:r>
      <w:r>
        <w:rPr>
          <w:sz w:val="24"/>
          <w:szCs w:val="24"/>
          <w:lang w:eastAsia="zh-CN"/>
        </w:rPr>
        <w:t xml:space="preserve"> place a particular</w:t>
      </w:r>
      <w:r w:rsidR="00DD6051">
        <w:rPr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emphasis in revealing the way migration decisions influence labour market outcomes</w:t>
      </w:r>
      <w:r w:rsidR="00DD6051">
        <w:rPr>
          <w:sz w:val="24"/>
          <w:szCs w:val="24"/>
          <w:lang w:eastAsia="zh-CN"/>
        </w:rPr>
        <w:t xml:space="preserve"> over a ten-year period</w:t>
      </w:r>
      <w:r w:rsidR="00330ABA">
        <w:rPr>
          <w:sz w:val="24"/>
          <w:szCs w:val="24"/>
          <w:lang w:eastAsia="zh-CN"/>
        </w:rPr>
        <w:t>.</w:t>
      </w:r>
      <w:r>
        <w:rPr>
          <w:sz w:val="24"/>
          <w:szCs w:val="24"/>
          <w:lang w:eastAsia="zh-CN"/>
        </w:rPr>
        <w:t xml:space="preserve"> Results show that i</w:t>
      </w:r>
      <w:r w:rsidRPr="00B75BA0">
        <w:rPr>
          <w:sz w:val="24"/>
          <w:szCs w:val="24"/>
          <w:lang w:eastAsia="zh-CN"/>
        </w:rPr>
        <w:t>ndividuals</w:t>
      </w:r>
      <w:r>
        <w:rPr>
          <w:sz w:val="24"/>
          <w:szCs w:val="24"/>
          <w:lang w:eastAsia="zh-CN"/>
        </w:rPr>
        <w:t xml:space="preserve"> </w:t>
      </w:r>
      <w:r w:rsidR="00DD6051">
        <w:rPr>
          <w:sz w:val="24"/>
          <w:szCs w:val="24"/>
          <w:lang w:eastAsia="zh-CN"/>
        </w:rPr>
        <w:t xml:space="preserve">who </w:t>
      </w:r>
      <w:r>
        <w:rPr>
          <w:sz w:val="24"/>
          <w:szCs w:val="24"/>
          <w:lang w:eastAsia="zh-CN"/>
        </w:rPr>
        <w:t>decide to</w:t>
      </w:r>
      <w:r w:rsidRPr="00B75BA0">
        <w:rPr>
          <w:sz w:val="24"/>
          <w:szCs w:val="24"/>
          <w:lang w:eastAsia="zh-CN"/>
        </w:rPr>
        <w:t xml:space="preserve"> remain in non</w:t>
      </w:r>
      <w:r>
        <w:rPr>
          <w:sz w:val="24"/>
          <w:szCs w:val="24"/>
          <w:lang w:eastAsia="zh-CN"/>
        </w:rPr>
        <w:t>-</w:t>
      </w:r>
      <w:r w:rsidRPr="00B75BA0">
        <w:rPr>
          <w:sz w:val="24"/>
          <w:szCs w:val="24"/>
          <w:lang w:eastAsia="zh-CN"/>
        </w:rPr>
        <w:t>metropolitan</w:t>
      </w:r>
      <w:r>
        <w:rPr>
          <w:sz w:val="24"/>
          <w:szCs w:val="24"/>
          <w:lang w:eastAsia="zh-CN"/>
        </w:rPr>
        <w:t xml:space="preserve"> locations</w:t>
      </w:r>
      <w:r w:rsidRPr="00B75BA0">
        <w:rPr>
          <w:sz w:val="24"/>
          <w:szCs w:val="24"/>
          <w:lang w:eastAsia="zh-CN"/>
        </w:rPr>
        <w:t xml:space="preserve"> were </w:t>
      </w:r>
      <w:r>
        <w:rPr>
          <w:sz w:val="24"/>
          <w:szCs w:val="24"/>
          <w:lang w:eastAsia="zh-CN"/>
        </w:rPr>
        <w:t>aligned with</w:t>
      </w:r>
      <w:r w:rsidRPr="00B75BA0">
        <w:rPr>
          <w:sz w:val="24"/>
          <w:szCs w:val="24"/>
          <w:lang w:eastAsia="zh-CN"/>
        </w:rPr>
        <w:t xml:space="preserve"> pathways lead</w:t>
      </w:r>
      <w:r>
        <w:rPr>
          <w:sz w:val="24"/>
          <w:szCs w:val="24"/>
          <w:lang w:eastAsia="zh-CN"/>
        </w:rPr>
        <w:t xml:space="preserve">ing to lower wage </w:t>
      </w:r>
      <w:r w:rsidRPr="00B75BA0">
        <w:rPr>
          <w:sz w:val="24"/>
          <w:szCs w:val="24"/>
          <w:lang w:eastAsia="zh-CN"/>
        </w:rPr>
        <w:t>returns</w:t>
      </w:r>
      <w:r w:rsidR="00DD6051">
        <w:rPr>
          <w:sz w:val="24"/>
          <w:szCs w:val="24"/>
          <w:lang w:eastAsia="zh-CN"/>
        </w:rPr>
        <w:t xml:space="preserve">, while those who migrate to metropolitan </w:t>
      </w:r>
      <w:r w:rsidR="00981B2C">
        <w:rPr>
          <w:sz w:val="24"/>
          <w:szCs w:val="24"/>
          <w:lang w:eastAsia="zh-CN"/>
        </w:rPr>
        <w:t>areas after school enhance</w:t>
      </w:r>
      <w:r w:rsidR="00DD6051">
        <w:rPr>
          <w:sz w:val="24"/>
          <w:szCs w:val="24"/>
          <w:lang w:eastAsia="zh-CN"/>
        </w:rPr>
        <w:t xml:space="preserve"> their human capital and earning capacity</w:t>
      </w:r>
      <w:r w:rsidR="007142E0">
        <w:rPr>
          <w:sz w:val="24"/>
          <w:szCs w:val="24"/>
          <w:lang w:eastAsia="zh-CN"/>
        </w:rPr>
        <w:t xml:space="preserve"> after three years post-migration</w:t>
      </w:r>
      <w:r w:rsidR="00DD6051">
        <w:rPr>
          <w:sz w:val="24"/>
          <w:szCs w:val="24"/>
          <w:lang w:eastAsia="zh-CN"/>
        </w:rPr>
        <w:t xml:space="preserve">. </w:t>
      </w:r>
      <w:r w:rsidR="00DD6051">
        <w:rPr>
          <w:sz w:val="24"/>
          <w:szCs w:val="24"/>
          <w:lang w:eastAsia="zh-CN"/>
        </w:rPr>
        <w:lastRenderedPageBreak/>
        <w:t xml:space="preserve">They </w:t>
      </w:r>
      <w:r w:rsidR="007142E0">
        <w:rPr>
          <w:sz w:val="24"/>
          <w:szCs w:val="24"/>
          <w:lang w:eastAsia="zh-CN"/>
        </w:rPr>
        <w:t xml:space="preserve">also </w:t>
      </w:r>
      <w:r w:rsidR="00981B2C">
        <w:rPr>
          <w:sz w:val="24"/>
          <w:szCs w:val="24"/>
          <w:lang w:eastAsia="zh-CN"/>
        </w:rPr>
        <w:t>indicate</w:t>
      </w:r>
      <w:r w:rsidR="00DD6051">
        <w:rPr>
          <w:sz w:val="24"/>
          <w:szCs w:val="24"/>
          <w:lang w:eastAsia="zh-CN"/>
        </w:rPr>
        <w:t xml:space="preserve"> that </w:t>
      </w:r>
      <w:r w:rsidRPr="00B75BA0">
        <w:rPr>
          <w:sz w:val="24"/>
          <w:szCs w:val="24"/>
          <w:lang w:eastAsia="zh-CN"/>
        </w:rPr>
        <w:t>unobserved attributes</w:t>
      </w:r>
      <w:r w:rsidR="00981B2C">
        <w:rPr>
          <w:sz w:val="24"/>
          <w:szCs w:val="24"/>
          <w:lang w:eastAsia="zh-CN"/>
        </w:rPr>
        <w:t>, such as greater aspirations and motivation</w:t>
      </w:r>
      <w:r>
        <w:rPr>
          <w:sz w:val="24"/>
          <w:szCs w:val="24"/>
          <w:lang w:eastAsia="zh-CN"/>
        </w:rPr>
        <w:t xml:space="preserve"> were </w:t>
      </w:r>
      <w:r w:rsidRPr="00B75BA0">
        <w:rPr>
          <w:sz w:val="24"/>
          <w:szCs w:val="24"/>
          <w:lang w:eastAsia="zh-CN"/>
        </w:rPr>
        <w:t xml:space="preserve">a major </w:t>
      </w:r>
      <w:r>
        <w:rPr>
          <w:sz w:val="24"/>
          <w:szCs w:val="24"/>
          <w:lang w:eastAsia="zh-CN"/>
        </w:rPr>
        <w:t>feature</w:t>
      </w:r>
      <w:r w:rsidRPr="00B75BA0">
        <w:rPr>
          <w:sz w:val="24"/>
          <w:szCs w:val="24"/>
          <w:lang w:eastAsia="zh-CN"/>
        </w:rPr>
        <w:t xml:space="preserve"> explain</w:t>
      </w:r>
      <w:r>
        <w:rPr>
          <w:sz w:val="24"/>
          <w:szCs w:val="24"/>
          <w:lang w:eastAsia="zh-CN"/>
        </w:rPr>
        <w:t>ing</w:t>
      </w:r>
      <w:r w:rsidRPr="00B75BA0">
        <w:rPr>
          <w:sz w:val="24"/>
          <w:szCs w:val="24"/>
          <w:lang w:eastAsia="zh-CN"/>
        </w:rPr>
        <w:t xml:space="preserve"> higher wage returns </w:t>
      </w:r>
      <w:r w:rsidR="007142E0">
        <w:rPr>
          <w:sz w:val="24"/>
          <w:szCs w:val="24"/>
          <w:lang w:eastAsia="zh-CN"/>
        </w:rPr>
        <w:t>following</w:t>
      </w:r>
      <w:r w:rsidR="0098114F">
        <w:rPr>
          <w:sz w:val="24"/>
          <w:szCs w:val="24"/>
          <w:lang w:eastAsia="zh-CN"/>
        </w:rPr>
        <w:t xml:space="preserve"> migration</w:t>
      </w:r>
      <w:r w:rsidRPr="00B75BA0">
        <w:rPr>
          <w:sz w:val="24"/>
          <w:szCs w:val="24"/>
          <w:lang w:eastAsia="zh-CN"/>
        </w:rPr>
        <w:t>.</w:t>
      </w:r>
    </w:p>
    <w:p w14:paraId="08880E71" w14:textId="77777777" w:rsidR="00FC0DD1" w:rsidRPr="00632C14" w:rsidRDefault="004F33DA" w:rsidP="00632C14">
      <w:pPr>
        <w:spacing w:line="360" w:lineRule="auto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This </w:t>
      </w:r>
      <w:r w:rsidR="005668FB">
        <w:rPr>
          <w:sz w:val="24"/>
          <w:szCs w:val="24"/>
          <w:lang w:eastAsia="zh-CN"/>
        </w:rPr>
        <w:t>S</w:t>
      </w:r>
      <w:r>
        <w:rPr>
          <w:sz w:val="24"/>
          <w:szCs w:val="24"/>
          <w:lang w:eastAsia="zh-CN"/>
        </w:rPr>
        <w:t xml:space="preserve">pecial </w:t>
      </w:r>
      <w:r w:rsidR="005668FB">
        <w:rPr>
          <w:sz w:val="24"/>
          <w:szCs w:val="24"/>
          <w:lang w:eastAsia="zh-CN"/>
        </w:rPr>
        <w:t xml:space="preserve">Issue </w:t>
      </w:r>
      <w:r>
        <w:rPr>
          <w:sz w:val="24"/>
          <w:szCs w:val="24"/>
          <w:lang w:eastAsia="zh-CN"/>
        </w:rPr>
        <w:t xml:space="preserve">draws together a set of papers that highlight the importance of youth and graduate migration </w:t>
      </w:r>
      <w:r w:rsidR="00BE3276">
        <w:rPr>
          <w:sz w:val="24"/>
          <w:szCs w:val="24"/>
          <w:lang w:eastAsia="zh-CN"/>
        </w:rPr>
        <w:t>in the context of both</w:t>
      </w:r>
      <w:r w:rsidR="00500A76">
        <w:rPr>
          <w:sz w:val="24"/>
          <w:szCs w:val="24"/>
          <w:lang w:eastAsia="zh-CN"/>
        </w:rPr>
        <w:t xml:space="preserve"> individual career pathways and</w:t>
      </w:r>
      <w:r w:rsidR="006062F6">
        <w:rPr>
          <w:sz w:val="24"/>
          <w:szCs w:val="24"/>
          <w:lang w:eastAsia="zh-CN"/>
        </w:rPr>
        <w:t xml:space="preserve"> regional labour markets</w:t>
      </w:r>
      <w:r>
        <w:rPr>
          <w:sz w:val="24"/>
          <w:szCs w:val="24"/>
          <w:lang w:eastAsia="zh-CN"/>
        </w:rPr>
        <w:t xml:space="preserve">, </w:t>
      </w:r>
      <w:r w:rsidR="00500A76">
        <w:rPr>
          <w:sz w:val="24"/>
          <w:szCs w:val="24"/>
          <w:lang w:eastAsia="zh-CN"/>
        </w:rPr>
        <w:t>along with</w:t>
      </w:r>
      <w:r>
        <w:rPr>
          <w:sz w:val="24"/>
          <w:szCs w:val="24"/>
          <w:lang w:eastAsia="zh-CN"/>
        </w:rPr>
        <w:t xml:space="preserve"> provid</w:t>
      </w:r>
      <w:r w:rsidR="00500A76">
        <w:rPr>
          <w:sz w:val="24"/>
          <w:szCs w:val="24"/>
          <w:lang w:eastAsia="zh-CN"/>
        </w:rPr>
        <w:t>ing</w:t>
      </w:r>
      <w:r>
        <w:rPr>
          <w:sz w:val="24"/>
          <w:szCs w:val="24"/>
          <w:lang w:eastAsia="zh-CN"/>
        </w:rPr>
        <w:t xml:space="preserve"> an overview of the various data sets available to study this </w:t>
      </w:r>
      <w:r w:rsidR="006D4B88">
        <w:rPr>
          <w:sz w:val="24"/>
          <w:szCs w:val="24"/>
          <w:lang w:eastAsia="zh-CN"/>
        </w:rPr>
        <w:t>phenomenon</w:t>
      </w:r>
      <w:r>
        <w:rPr>
          <w:sz w:val="24"/>
          <w:szCs w:val="24"/>
          <w:lang w:eastAsia="zh-CN"/>
        </w:rPr>
        <w:t xml:space="preserve"> across a range of international contexts, including Australia, China, </w:t>
      </w:r>
      <w:r w:rsidR="0067634D">
        <w:rPr>
          <w:sz w:val="24"/>
          <w:szCs w:val="24"/>
          <w:lang w:eastAsia="zh-CN"/>
        </w:rPr>
        <w:t xml:space="preserve">Italy, </w:t>
      </w:r>
      <w:r w:rsidRPr="00DB1771">
        <w:rPr>
          <w:sz w:val="24"/>
          <w:szCs w:val="24"/>
          <w:lang w:eastAsia="zh-CN"/>
        </w:rPr>
        <w:t>Netherlands,</w:t>
      </w:r>
      <w:r w:rsidR="0067634D" w:rsidRPr="00DB1771">
        <w:rPr>
          <w:sz w:val="24"/>
          <w:szCs w:val="24"/>
          <w:lang w:eastAsia="zh-CN"/>
        </w:rPr>
        <w:t xml:space="preserve"> United Kingdom and the United States. Through the </w:t>
      </w:r>
      <w:r w:rsidR="00DB1771" w:rsidRPr="00DB1771">
        <w:rPr>
          <w:sz w:val="24"/>
          <w:szCs w:val="24"/>
          <w:lang w:eastAsia="zh-CN"/>
        </w:rPr>
        <w:t>Special Issue</w:t>
      </w:r>
      <w:r w:rsidR="005668FB" w:rsidRPr="00DB1771">
        <w:rPr>
          <w:sz w:val="24"/>
          <w:szCs w:val="24"/>
          <w:lang w:eastAsia="zh-CN"/>
        </w:rPr>
        <w:t>,</w:t>
      </w:r>
      <w:r w:rsidR="0067634D">
        <w:rPr>
          <w:sz w:val="24"/>
          <w:szCs w:val="24"/>
          <w:lang w:eastAsia="zh-CN"/>
        </w:rPr>
        <w:t xml:space="preserve"> </w:t>
      </w:r>
      <w:r w:rsidR="005668FB">
        <w:rPr>
          <w:sz w:val="24"/>
          <w:szCs w:val="24"/>
          <w:lang w:eastAsia="zh-CN"/>
        </w:rPr>
        <w:t>we</w:t>
      </w:r>
      <w:r w:rsidR="0067634D">
        <w:rPr>
          <w:sz w:val="24"/>
          <w:szCs w:val="24"/>
          <w:lang w:eastAsia="zh-CN"/>
        </w:rPr>
        <w:t xml:space="preserve"> hope that the importance in the collection of spatially detailed longitudinal records of youth and graduate mobility</w:t>
      </w:r>
      <w:r w:rsidR="005668FB">
        <w:rPr>
          <w:sz w:val="24"/>
          <w:szCs w:val="24"/>
          <w:lang w:eastAsia="zh-CN"/>
        </w:rPr>
        <w:t>,</w:t>
      </w:r>
      <w:r w:rsidR="0067634D">
        <w:rPr>
          <w:sz w:val="24"/>
          <w:szCs w:val="24"/>
          <w:lang w:eastAsia="zh-CN"/>
        </w:rPr>
        <w:t xml:space="preserve"> interfaced with comprehensive data on labour market characteristics</w:t>
      </w:r>
      <w:r w:rsidR="005668FB">
        <w:rPr>
          <w:sz w:val="24"/>
          <w:szCs w:val="24"/>
          <w:lang w:eastAsia="zh-CN"/>
        </w:rPr>
        <w:t>,</w:t>
      </w:r>
      <w:r w:rsidR="0067634D">
        <w:rPr>
          <w:sz w:val="24"/>
          <w:szCs w:val="24"/>
          <w:lang w:eastAsia="zh-CN"/>
        </w:rPr>
        <w:t xml:space="preserve"> </w:t>
      </w:r>
      <w:r w:rsidR="005668FB">
        <w:rPr>
          <w:sz w:val="24"/>
          <w:szCs w:val="24"/>
          <w:lang w:eastAsia="zh-CN"/>
        </w:rPr>
        <w:t xml:space="preserve">to contribute to developing effective policy </w:t>
      </w:r>
      <w:r w:rsidR="0067634D">
        <w:rPr>
          <w:sz w:val="24"/>
          <w:szCs w:val="24"/>
          <w:lang w:eastAsia="zh-CN"/>
        </w:rPr>
        <w:t>will be</w:t>
      </w:r>
      <w:r w:rsidR="007E6384">
        <w:rPr>
          <w:sz w:val="24"/>
          <w:szCs w:val="24"/>
          <w:lang w:eastAsia="zh-CN"/>
        </w:rPr>
        <w:t>come</w:t>
      </w:r>
      <w:r w:rsidR="0067634D">
        <w:rPr>
          <w:sz w:val="24"/>
          <w:szCs w:val="24"/>
          <w:lang w:eastAsia="zh-CN"/>
        </w:rPr>
        <w:t xml:space="preserve"> evident. </w:t>
      </w:r>
      <w:r w:rsidR="00FD0985" w:rsidRPr="00FD0985">
        <w:rPr>
          <w:sz w:val="24"/>
          <w:szCs w:val="24"/>
          <w:lang w:eastAsia="zh-CN"/>
        </w:rPr>
        <w:t xml:space="preserve">Furthermore, the papers </w:t>
      </w:r>
      <w:r w:rsidR="00FD0985">
        <w:rPr>
          <w:sz w:val="24"/>
          <w:szCs w:val="24"/>
          <w:lang w:eastAsia="zh-CN"/>
        </w:rPr>
        <w:t xml:space="preserve">contained in this </w:t>
      </w:r>
      <w:r w:rsidR="005668FB">
        <w:rPr>
          <w:sz w:val="24"/>
          <w:szCs w:val="24"/>
          <w:lang w:eastAsia="zh-CN"/>
        </w:rPr>
        <w:t xml:space="preserve">Special Issue </w:t>
      </w:r>
      <w:r w:rsidR="00FD0985" w:rsidRPr="00FD0985">
        <w:rPr>
          <w:sz w:val="24"/>
          <w:szCs w:val="24"/>
          <w:lang w:eastAsia="zh-CN"/>
        </w:rPr>
        <w:t xml:space="preserve">offer a new consolidated resource for </w:t>
      </w:r>
      <w:r w:rsidR="00FD0985">
        <w:rPr>
          <w:sz w:val="24"/>
          <w:szCs w:val="24"/>
          <w:lang w:eastAsia="zh-CN"/>
        </w:rPr>
        <w:t>researchers and policy analysts</w:t>
      </w:r>
      <w:r w:rsidR="00FD0985" w:rsidRPr="00FD0985">
        <w:rPr>
          <w:sz w:val="24"/>
          <w:szCs w:val="24"/>
          <w:lang w:eastAsia="zh-CN"/>
        </w:rPr>
        <w:t xml:space="preserve"> </w:t>
      </w:r>
      <w:r w:rsidR="006B25DC">
        <w:rPr>
          <w:sz w:val="24"/>
          <w:szCs w:val="24"/>
          <w:lang w:eastAsia="zh-CN"/>
        </w:rPr>
        <w:t>interested in youth and graduate migration, presenting a</w:t>
      </w:r>
      <w:r w:rsidR="00FD0985" w:rsidRPr="00FD0985">
        <w:rPr>
          <w:sz w:val="24"/>
          <w:szCs w:val="24"/>
          <w:lang w:eastAsia="zh-CN"/>
        </w:rPr>
        <w:t xml:space="preserve"> variety of </w:t>
      </w:r>
      <w:r w:rsidR="00DA57B4">
        <w:rPr>
          <w:sz w:val="24"/>
          <w:szCs w:val="24"/>
          <w:lang w:eastAsia="zh-CN"/>
        </w:rPr>
        <w:t>policy issues,</w:t>
      </w:r>
      <w:r w:rsidR="00FD0985" w:rsidRPr="00FD0985">
        <w:rPr>
          <w:sz w:val="24"/>
          <w:szCs w:val="24"/>
          <w:lang w:eastAsia="zh-CN"/>
        </w:rPr>
        <w:t xml:space="preserve"> </w:t>
      </w:r>
      <w:r w:rsidR="00DA57B4">
        <w:rPr>
          <w:sz w:val="24"/>
          <w:szCs w:val="24"/>
          <w:lang w:eastAsia="zh-CN"/>
        </w:rPr>
        <w:t xml:space="preserve">available data sets </w:t>
      </w:r>
      <w:r w:rsidR="00FD0985" w:rsidRPr="00FD0985">
        <w:rPr>
          <w:sz w:val="24"/>
          <w:szCs w:val="24"/>
          <w:lang w:eastAsia="zh-CN"/>
        </w:rPr>
        <w:t xml:space="preserve">and </w:t>
      </w:r>
      <w:r w:rsidR="00DA57B4">
        <w:rPr>
          <w:sz w:val="24"/>
          <w:szCs w:val="24"/>
          <w:lang w:eastAsia="zh-CN"/>
        </w:rPr>
        <w:t>applied method</w:t>
      </w:r>
      <w:r w:rsidR="006B25DC">
        <w:rPr>
          <w:sz w:val="24"/>
          <w:szCs w:val="24"/>
          <w:lang w:eastAsia="zh-CN"/>
        </w:rPr>
        <w:t>s</w:t>
      </w:r>
      <w:r w:rsidR="00DA57B4">
        <w:rPr>
          <w:sz w:val="24"/>
          <w:szCs w:val="24"/>
          <w:lang w:eastAsia="zh-CN"/>
        </w:rPr>
        <w:t xml:space="preserve"> </w:t>
      </w:r>
      <w:r w:rsidR="00FD0985">
        <w:rPr>
          <w:sz w:val="24"/>
          <w:szCs w:val="24"/>
          <w:lang w:eastAsia="zh-CN"/>
        </w:rPr>
        <w:t xml:space="preserve">across a set of international case study </w:t>
      </w:r>
      <w:r w:rsidR="00FD0985" w:rsidRPr="006B25DC">
        <w:rPr>
          <w:sz w:val="24"/>
          <w:szCs w:val="24"/>
          <w:lang w:eastAsia="zh-CN"/>
        </w:rPr>
        <w:t>contexts.</w:t>
      </w:r>
    </w:p>
    <w:p w14:paraId="669EAFD5" w14:textId="77777777" w:rsidR="00A15CB7" w:rsidRPr="004F4EEE" w:rsidRDefault="00FA6CEE" w:rsidP="004F4EEE">
      <w:pPr>
        <w:spacing w:line="360" w:lineRule="auto"/>
        <w:jc w:val="both"/>
        <w:rPr>
          <w:sz w:val="24"/>
          <w:szCs w:val="24"/>
        </w:rPr>
      </w:pPr>
      <w:r w:rsidRPr="004F4EEE">
        <w:rPr>
          <w:sz w:val="24"/>
          <w:szCs w:val="24"/>
        </w:rPr>
        <w:t xml:space="preserve">In </w:t>
      </w:r>
      <w:r w:rsidR="00733D5B" w:rsidRPr="004F4EEE">
        <w:rPr>
          <w:sz w:val="24"/>
          <w:szCs w:val="24"/>
        </w:rPr>
        <w:t>summary</w:t>
      </w:r>
      <w:r w:rsidR="005668FB">
        <w:rPr>
          <w:sz w:val="24"/>
          <w:szCs w:val="24"/>
        </w:rPr>
        <w:t>,</w:t>
      </w:r>
      <w:r w:rsidRPr="004F4EEE">
        <w:rPr>
          <w:sz w:val="24"/>
          <w:szCs w:val="24"/>
        </w:rPr>
        <w:t xml:space="preserve"> </w:t>
      </w:r>
      <w:r w:rsidR="003017CE">
        <w:rPr>
          <w:sz w:val="24"/>
          <w:szCs w:val="24"/>
        </w:rPr>
        <w:t>the aim of the</w:t>
      </w:r>
      <w:r w:rsidR="00A15CB7" w:rsidRPr="004F4EEE">
        <w:rPr>
          <w:sz w:val="24"/>
          <w:szCs w:val="24"/>
        </w:rPr>
        <w:t xml:space="preserve"> Special Issue </w:t>
      </w:r>
      <w:r w:rsidR="003017CE">
        <w:rPr>
          <w:sz w:val="24"/>
          <w:szCs w:val="24"/>
        </w:rPr>
        <w:t xml:space="preserve">is to </w:t>
      </w:r>
      <w:r w:rsidR="00733D5B" w:rsidRPr="004F4EEE">
        <w:rPr>
          <w:sz w:val="24"/>
          <w:szCs w:val="24"/>
        </w:rPr>
        <w:t>offer</w:t>
      </w:r>
      <w:r w:rsidR="00FC0DD1" w:rsidRPr="004F4EEE">
        <w:rPr>
          <w:sz w:val="24"/>
          <w:szCs w:val="24"/>
        </w:rPr>
        <w:t xml:space="preserve"> a</w:t>
      </w:r>
      <w:r w:rsidR="00497880" w:rsidRPr="004F4EEE">
        <w:rPr>
          <w:sz w:val="24"/>
          <w:szCs w:val="24"/>
        </w:rPr>
        <w:t xml:space="preserve"> point of reference by showcasing the latest </w:t>
      </w:r>
      <w:r w:rsidR="00A97C0A">
        <w:rPr>
          <w:sz w:val="24"/>
          <w:szCs w:val="24"/>
        </w:rPr>
        <w:t xml:space="preserve">international </w:t>
      </w:r>
      <w:r w:rsidR="00497880" w:rsidRPr="004F4EEE">
        <w:rPr>
          <w:sz w:val="24"/>
          <w:szCs w:val="24"/>
        </w:rPr>
        <w:t xml:space="preserve">research </w:t>
      </w:r>
      <w:r w:rsidR="00733D5B" w:rsidRPr="004F4EEE">
        <w:rPr>
          <w:sz w:val="24"/>
          <w:szCs w:val="24"/>
        </w:rPr>
        <w:t>on youth and graduate migration</w:t>
      </w:r>
      <w:r w:rsidR="00A15CB7" w:rsidRPr="004F4EEE">
        <w:rPr>
          <w:sz w:val="24"/>
          <w:szCs w:val="24"/>
        </w:rPr>
        <w:t>.</w:t>
      </w:r>
      <w:r w:rsidR="009A0C15" w:rsidRPr="004F4EEE">
        <w:rPr>
          <w:sz w:val="24"/>
          <w:szCs w:val="24"/>
        </w:rPr>
        <w:t xml:space="preserve"> </w:t>
      </w:r>
      <w:r w:rsidR="00A15CB7" w:rsidRPr="004F4EEE">
        <w:rPr>
          <w:sz w:val="24"/>
          <w:szCs w:val="24"/>
        </w:rPr>
        <w:t>Finally, w</w:t>
      </w:r>
      <w:r w:rsidR="00903208" w:rsidRPr="004F4EEE">
        <w:rPr>
          <w:sz w:val="24"/>
          <w:szCs w:val="24"/>
        </w:rPr>
        <w:t xml:space="preserve">e would like </w:t>
      </w:r>
      <w:proofErr w:type="gramStart"/>
      <w:r w:rsidR="00903208" w:rsidRPr="004F4EEE">
        <w:rPr>
          <w:sz w:val="24"/>
          <w:szCs w:val="24"/>
        </w:rPr>
        <w:t>thank</w:t>
      </w:r>
      <w:proofErr w:type="gramEnd"/>
      <w:r w:rsidR="00903208" w:rsidRPr="004F4EEE">
        <w:rPr>
          <w:sz w:val="24"/>
          <w:szCs w:val="24"/>
        </w:rPr>
        <w:t xml:space="preserve"> each</w:t>
      </w:r>
      <w:r w:rsidR="00A15CB7" w:rsidRPr="004F4EEE">
        <w:rPr>
          <w:sz w:val="24"/>
          <w:szCs w:val="24"/>
        </w:rPr>
        <w:t xml:space="preserve"> of the</w:t>
      </w:r>
      <w:r w:rsidR="00733D5B" w:rsidRPr="004F4EEE">
        <w:rPr>
          <w:sz w:val="24"/>
          <w:szCs w:val="24"/>
        </w:rPr>
        <w:t xml:space="preserve"> contributing</w:t>
      </w:r>
      <w:r w:rsidR="00A15CB7" w:rsidRPr="004F4EEE">
        <w:rPr>
          <w:sz w:val="24"/>
          <w:szCs w:val="24"/>
        </w:rPr>
        <w:t xml:space="preserve"> authors, the r</w:t>
      </w:r>
      <w:r w:rsidR="002B4F3B" w:rsidRPr="004F4EEE">
        <w:rPr>
          <w:sz w:val="24"/>
          <w:szCs w:val="24"/>
        </w:rPr>
        <w:t>eferees</w:t>
      </w:r>
      <w:r w:rsidR="00A15CB7" w:rsidRPr="004F4EEE">
        <w:rPr>
          <w:sz w:val="24"/>
          <w:szCs w:val="24"/>
        </w:rPr>
        <w:t xml:space="preserve"> and the editorial team </w:t>
      </w:r>
      <w:r w:rsidR="00A97C0A">
        <w:rPr>
          <w:sz w:val="24"/>
          <w:szCs w:val="24"/>
        </w:rPr>
        <w:t>at</w:t>
      </w:r>
      <w:r w:rsidR="00A15CB7" w:rsidRPr="004F4EEE">
        <w:rPr>
          <w:sz w:val="24"/>
          <w:szCs w:val="24"/>
        </w:rPr>
        <w:t xml:space="preserve"> the </w:t>
      </w:r>
      <w:r w:rsidR="00733D5B" w:rsidRPr="004F4EEE">
        <w:rPr>
          <w:i/>
          <w:sz w:val="24"/>
          <w:szCs w:val="24"/>
        </w:rPr>
        <w:t>Annals of Regional Science</w:t>
      </w:r>
      <w:r w:rsidR="00A15CB7" w:rsidRPr="004F4EEE">
        <w:rPr>
          <w:sz w:val="24"/>
          <w:szCs w:val="24"/>
        </w:rPr>
        <w:t>.</w:t>
      </w:r>
    </w:p>
    <w:p w14:paraId="70CC73B7" w14:textId="77777777" w:rsidR="00726F52" w:rsidRDefault="00204628" w:rsidP="004F4EEE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F66BA8" w:rsidRPr="004F4EEE">
        <w:rPr>
          <w:b/>
          <w:sz w:val="24"/>
          <w:szCs w:val="24"/>
        </w:rPr>
        <w:lastRenderedPageBreak/>
        <w:t>References</w:t>
      </w:r>
    </w:p>
    <w:p w14:paraId="6E801E8D" w14:textId="77777777" w:rsidR="00D864E3" w:rsidRDefault="00D864E3" w:rsidP="005C3F71">
      <w:pPr>
        <w:spacing w:line="240" w:lineRule="auto"/>
        <w:ind w:left="284" w:hanging="284"/>
        <w:jc w:val="both"/>
        <w:rPr>
          <w:sz w:val="24"/>
          <w:szCs w:val="24"/>
        </w:rPr>
      </w:pPr>
      <w:r w:rsidRPr="00D864E3">
        <w:rPr>
          <w:sz w:val="24"/>
          <w:szCs w:val="24"/>
        </w:rPr>
        <w:t xml:space="preserve">Abel, J.R., Gabe, T.M. </w:t>
      </w:r>
      <w:r w:rsidR="00682662">
        <w:rPr>
          <w:sz w:val="24"/>
          <w:szCs w:val="24"/>
        </w:rPr>
        <w:t>&amp;</w:t>
      </w:r>
      <w:r w:rsidRPr="00D864E3">
        <w:rPr>
          <w:sz w:val="24"/>
          <w:szCs w:val="24"/>
        </w:rPr>
        <w:t xml:space="preserve"> </w:t>
      </w:r>
      <w:proofErr w:type="spellStart"/>
      <w:r w:rsidRPr="00D864E3">
        <w:rPr>
          <w:sz w:val="24"/>
          <w:szCs w:val="24"/>
        </w:rPr>
        <w:t>Stolarick</w:t>
      </w:r>
      <w:proofErr w:type="spellEnd"/>
      <w:r w:rsidRPr="00D864E3">
        <w:rPr>
          <w:sz w:val="24"/>
          <w:szCs w:val="24"/>
        </w:rPr>
        <w:t xml:space="preserve">, K., </w:t>
      </w:r>
      <w:r w:rsidR="00152A68">
        <w:rPr>
          <w:sz w:val="24"/>
          <w:szCs w:val="24"/>
        </w:rPr>
        <w:t>(</w:t>
      </w:r>
      <w:r w:rsidRPr="00D864E3">
        <w:rPr>
          <w:sz w:val="24"/>
          <w:szCs w:val="24"/>
        </w:rPr>
        <w:t>2014</w:t>
      </w:r>
      <w:r w:rsidR="00152A68">
        <w:rPr>
          <w:sz w:val="24"/>
          <w:szCs w:val="24"/>
        </w:rPr>
        <w:t>)</w:t>
      </w:r>
      <w:r w:rsidRPr="00D864E3">
        <w:rPr>
          <w:sz w:val="24"/>
          <w:szCs w:val="24"/>
        </w:rPr>
        <w:t>. Skills across the urban–rural hierarch</w:t>
      </w:r>
      <w:r>
        <w:rPr>
          <w:sz w:val="24"/>
          <w:szCs w:val="24"/>
        </w:rPr>
        <w:t xml:space="preserve">y. </w:t>
      </w:r>
      <w:r w:rsidRPr="006D4B88">
        <w:rPr>
          <w:i/>
          <w:sz w:val="24"/>
          <w:szCs w:val="24"/>
        </w:rPr>
        <w:t>Growth and Change</w:t>
      </w:r>
      <w:r>
        <w:rPr>
          <w:sz w:val="24"/>
          <w:szCs w:val="24"/>
        </w:rPr>
        <w:t xml:space="preserve">, 45(4), </w:t>
      </w:r>
      <w:r w:rsidRPr="00D864E3">
        <w:rPr>
          <w:sz w:val="24"/>
          <w:szCs w:val="24"/>
        </w:rPr>
        <w:t>499-517.</w:t>
      </w:r>
    </w:p>
    <w:p w14:paraId="4420F6CA" w14:textId="77777777" w:rsidR="008423CB" w:rsidRDefault="008423CB" w:rsidP="005C3F71">
      <w:pPr>
        <w:spacing w:line="240" w:lineRule="auto"/>
        <w:ind w:left="284" w:hanging="284"/>
        <w:jc w:val="both"/>
        <w:rPr>
          <w:sz w:val="24"/>
          <w:szCs w:val="24"/>
        </w:rPr>
      </w:pPr>
      <w:proofErr w:type="spellStart"/>
      <w:r w:rsidRPr="008423CB">
        <w:rPr>
          <w:sz w:val="24"/>
          <w:szCs w:val="24"/>
        </w:rPr>
        <w:t>Artz</w:t>
      </w:r>
      <w:proofErr w:type="spellEnd"/>
      <w:r w:rsidRPr="008423CB">
        <w:rPr>
          <w:sz w:val="24"/>
          <w:szCs w:val="24"/>
        </w:rPr>
        <w:t xml:space="preserve"> </w:t>
      </w:r>
      <w:bookmarkStart w:id="0" w:name="_GoBack"/>
      <w:r w:rsidRPr="008423CB">
        <w:rPr>
          <w:sz w:val="24"/>
          <w:szCs w:val="24"/>
        </w:rPr>
        <w:t xml:space="preserve">G (2003) Rural area brain drain: is it </w:t>
      </w:r>
      <w:bookmarkEnd w:id="0"/>
      <w:r w:rsidRPr="008423CB">
        <w:rPr>
          <w:sz w:val="24"/>
          <w:szCs w:val="24"/>
        </w:rPr>
        <w:t>a reality? Choices 4th Quarter:11–15</w:t>
      </w:r>
    </w:p>
    <w:p w14:paraId="3FA88F0E" w14:textId="77777777" w:rsidR="00DB1771" w:rsidRDefault="00DB1771" w:rsidP="00682662">
      <w:pPr>
        <w:spacing w:line="240" w:lineRule="auto"/>
        <w:ind w:left="284" w:hanging="284"/>
        <w:jc w:val="both"/>
        <w:rPr>
          <w:sz w:val="24"/>
          <w:szCs w:val="24"/>
          <w:lang w:val="en-GB"/>
        </w:rPr>
      </w:pPr>
      <w:r w:rsidRPr="00DB1771">
        <w:rPr>
          <w:sz w:val="24"/>
          <w:szCs w:val="24"/>
          <w:lang w:val="en-GB"/>
        </w:rPr>
        <w:t xml:space="preserve">Costa, D. L., &amp; Kahn, M. E. (2000). Power couples: changes in the locational choice of the college educated, 1940–1990. </w:t>
      </w:r>
      <w:r w:rsidRPr="00DB1771">
        <w:rPr>
          <w:i/>
          <w:sz w:val="24"/>
          <w:szCs w:val="24"/>
          <w:lang w:val="en-GB"/>
        </w:rPr>
        <w:t>The Quarterly Journal of Economics</w:t>
      </w:r>
      <w:r w:rsidRPr="00DB1771">
        <w:rPr>
          <w:sz w:val="24"/>
          <w:szCs w:val="24"/>
          <w:lang w:val="en-GB"/>
        </w:rPr>
        <w:t>, 115(4), 1287-1315.</w:t>
      </w:r>
    </w:p>
    <w:p w14:paraId="4084E699" w14:textId="77777777" w:rsidR="009C1102" w:rsidRDefault="009C1102" w:rsidP="005C3F71">
      <w:pPr>
        <w:spacing w:line="240" w:lineRule="auto"/>
        <w:ind w:left="284" w:hanging="284"/>
        <w:jc w:val="both"/>
        <w:rPr>
          <w:sz w:val="24"/>
          <w:szCs w:val="24"/>
        </w:rPr>
      </w:pPr>
      <w:r w:rsidRPr="009C1102">
        <w:rPr>
          <w:sz w:val="24"/>
          <w:szCs w:val="24"/>
        </w:rPr>
        <w:t xml:space="preserve">Corcoran, J., &amp; </w:t>
      </w:r>
      <w:proofErr w:type="spellStart"/>
      <w:r w:rsidRPr="009C1102">
        <w:rPr>
          <w:sz w:val="24"/>
          <w:szCs w:val="24"/>
        </w:rPr>
        <w:t>Faggian</w:t>
      </w:r>
      <w:proofErr w:type="spellEnd"/>
      <w:r w:rsidRPr="009C1102">
        <w:rPr>
          <w:sz w:val="24"/>
          <w:szCs w:val="24"/>
        </w:rPr>
        <w:t xml:space="preserve">, A. (Eds.). (2017). </w:t>
      </w:r>
      <w:r w:rsidRPr="009C1102">
        <w:rPr>
          <w:i/>
          <w:sz w:val="24"/>
          <w:szCs w:val="24"/>
        </w:rPr>
        <w:t>Graduate migration and regional development: An international perspective</w:t>
      </w:r>
      <w:r w:rsidRPr="009C1102">
        <w:rPr>
          <w:sz w:val="24"/>
          <w:szCs w:val="24"/>
        </w:rPr>
        <w:t>. Edward Elgar Publishing.</w:t>
      </w:r>
    </w:p>
    <w:p w14:paraId="458F659B" w14:textId="77777777" w:rsidR="00ED4B40" w:rsidRDefault="00ED4B40" w:rsidP="005C3F71">
      <w:pPr>
        <w:spacing w:line="240" w:lineRule="auto"/>
        <w:ind w:left="284" w:hanging="284"/>
        <w:jc w:val="both"/>
        <w:rPr>
          <w:sz w:val="24"/>
          <w:szCs w:val="24"/>
        </w:rPr>
      </w:pPr>
      <w:r w:rsidRPr="00ED4B40">
        <w:rPr>
          <w:sz w:val="24"/>
          <w:szCs w:val="24"/>
        </w:rPr>
        <w:t xml:space="preserve">Corcoran J, </w:t>
      </w:r>
      <w:proofErr w:type="spellStart"/>
      <w:r w:rsidRPr="00ED4B40">
        <w:rPr>
          <w:sz w:val="24"/>
          <w:szCs w:val="24"/>
        </w:rPr>
        <w:t>Faggian</w:t>
      </w:r>
      <w:proofErr w:type="spellEnd"/>
      <w:r w:rsidRPr="00ED4B40">
        <w:rPr>
          <w:sz w:val="24"/>
          <w:szCs w:val="24"/>
        </w:rPr>
        <w:t xml:space="preserve"> A, </w:t>
      </w:r>
      <w:r w:rsidR="00926D85">
        <w:rPr>
          <w:sz w:val="24"/>
          <w:szCs w:val="24"/>
        </w:rPr>
        <w:t xml:space="preserve">&amp; </w:t>
      </w:r>
      <w:r w:rsidRPr="00ED4B40">
        <w:rPr>
          <w:sz w:val="24"/>
          <w:szCs w:val="24"/>
        </w:rPr>
        <w:t>McCann P (2010) Hu</w:t>
      </w:r>
      <w:r>
        <w:rPr>
          <w:sz w:val="24"/>
          <w:szCs w:val="24"/>
        </w:rPr>
        <w:t xml:space="preserve">man capital in remote and rural </w:t>
      </w:r>
      <w:r w:rsidRPr="00ED4B40">
        <w:rPr>
          <w:sz w:val="24"/>
          <w:szCs w:val="24"/>
        </w:rPr>
        <w:t xml:space="preserve">Australia: The role of graduate migration. </w:t>
      </w:r>
      <w:r w:rsidRPr="00ED4B40">
        <w:rPr>
          <w:i/>
          <w:sz w:val="24"/>
          <w:szCs w:val="24"/>
        </w:rPr>
        <w:t>Growth and Change</w:t>
      </w:r>
      <w:r w:rsidRPr="00ED4B40">
        <w:rPr>
          <w:sz w:val="24"/>
          <w:szCs w:val="24"/>
        </w:rPr>
        <w:t xml:space="preserve"> 41</w:t>
      </w:r>
      <w:r w:rsidR="00274794">
        <w:rPr>
          <w:sz w:val="24"/>
          <w:szCs w:val="24"/>
        </w:rPr>
        <w:t xml:space="preserve">, </w:t>
      </w:r>
      <w:r w:rsidRPr="00ED4B40">
        <w:rPr>
          <w:sz w:val="24"/>
          <w:szCs w:val="24"/>
        </w:rPr>
        <w:t>192-220</w:t>
      </w:r>
      <w:r w:rsidR="00D31556">
        <w:rPr>
          <w:sz w:val="24"/>
          <w:szCs w:val="24"/>
        </w:rPr>
        <w:t>.</w:t>
      </w:r>
    </w:p>
    <w:p w14:paraId="6D1DF281" w14:textId="77777777" w:rsidR="00274794" w:rsidRDefault="00274794" w:rsidP="005C3F71">
      <w:pPr>
        <w:spacing w:line="240" w:lineRule="auto"/>
        <w:ind w:left="284" w:hanging="284"/>
        <w:jc w:val="both"/>
        <w:rPr>
          <w:sz w:val="24"/>
          <w:szCs w:val="24"/>
        </w:rPr>
      </w:pPr>
      <w:proofErr w:type="spellStart"/>
      <w:r w:rsidRPr="00274794">
        <w:rPr>
          <w:sz w:val="24"/>
          <w:szCs w:val="24"/>
        </w:rPr>
        <w:t>Faggian</w:t>
      </w:r>
      <w:proofErr w:type="spellEnd"/>
      <w:r w:rsidRPr="00274794">
        <w:rPr>
          <w:sz w:val="24"/>
          <w:szCs w:val="24"/>
        </w:rPr>
        <w:t xml:space="preserve">, A., &amp; McCann, P. (2009). Universities, agglomerations and graduate human capital mobility. </w:t>
      </w:r>
      <w:proofErr w:type="spellStart"/>
      <w:r w:rsidRPr="00274794">
        <w:rPr>
          <w:i/>
          <w:sz w:val="24"/>
          <w:szCs w:val="24"/>
        </w:rPr>
        <w:t>Tijdschrift</w:t>
      </w:r>
      <w:proofErr w:type="spellEnd"/>
      <w:r w:rsidRPr="00274794">
        <w:rPr>
          <w:i/>
          <w:sz w:val="24"/>
          <w:szCs w:val="24"/>
        </w:rPr>
        <w:t xml:space="preserve"> </w:t>
      </w:r>
      <w:proofErr w:type="spellStart"/>
      <w:r w:rsidRPr="00274794">
        <w:rPr>
          <w:i/>
          <w:sz w:val="24"/>
          <w:szCs w:val="24"/>
        </w:rPr>
        <w:t>voor</w:t>
      </w:r>
      <w:proofErr w:type="spellEnd"/>
      <w:r w:rsidRPr="00274794">
        <w:rPr>
          <w:i/>
          <w:sz w:val="24"/>
          <w:szCs w:val="24"/>
        </w:rPr>
        <w:t xml:space="preserve"> </w:t>
      </w:r>
      <w:proofErr w:type="spellStart"/>
      <w:r w:rsidRPr="00274794">
        <w:rPr>
          <w:i/>
          <w:sz w:val="24"/>
          <w:szCs w:val="24"/>
        </w:rPr>
        <w:t>economische</w:t>
      </w:r>
      <w:proofErr w:type="spellEnd"/>
      <w:r w:rsidRPr="00274794">
        <w:rPr>
          <w:i/>
          <w:sz w:val="24"/>
          <w:szCs w:val="24"/>
        </w:rPr>
        <w:t xml:space="preserve"> </w:t>
      </w:r>
      <w:proofErr w:type="spellStart"/>
      <w:r w:rsidRPr="00274794">
        <w:rPr>
          <w:i/>
          <w:sz w:val="24"/>
          <w:szCs w:val="24"/>
        </w:rPr>
        <w:t>en</w:t>
      </w:r>
      <w:proofErr w:type="spellEnd"/>
      <w:r w:rsidRPr="00274794">
        <w:rPr>
          <w:i/>
          <w:sz w:val="24"/>
          <w:szCs w:val="24"/>
        </w:rPr>
        <w:t xml:space="preserve"> </w:t>
      </w:r>
      <w:proofErr w:type="spellStart"/>
      <w:r w:rsidRPr="00274794">
        <w:rPr>
          <w:i/>
          <w:sz w:val="24"/>
          <w:szCs w:val="24"/>
        </w:rPr>
        <w:t>sociale</w:t>
      </w:r>
      <w:proofErr w:type="spellEnd"/>
      <w:r w:rsidRPr="00274794">
        <w:rPr>
          <w:i/>
          <w:sz w:val="24"/>
          <w:szCs w:val="24"/>
        </w:rPr>
        <w:t xml:space="preserve"> </w:t>
      </w:r>
      <w:proofErr w:type="spellStart"/>
      <w:r w:rsidRPr="00274794">
        <w:rPr>
          <w:i/>
          <w:sz w:val="24"/>
          <w:szCs w:val="24"/>
        </w:rPr>
        <w:t>geografie</w:t>
      </w:r>
      <w:proofErr w:type="spellEnd"/>
      <w:r w:rsidRPr="00274794">
        <w:rPr>
          <w:sz w:val="24"/>
          <w:szCs w:val="24"/>
        </w:rPr>
        <w:t>, 100(2), 210-223.</w:t>
      </w:r>
    </w:p>
    <w:p w14:paraId="30ED3793" w14:textId="77777777" w:rsidR="009B6BEB" w:rsidRDefault="00F80F05" w:rsidP="009B6BEB">
      <w:pPr>
        <w:spacing w:line="240" w:lineRule="auto"/>
        <w:ind w:left="284" w:hanging="284"/>
        <w:jc w:val="both"/>
        <w:rPr>
          <w:sz w:val="24"/>
          <w:szCs w:val="24"/>
        </w:rPr>
      </w:pPr>
      <w:proofErr w:type="spellStart"/>
      <w:r w:rsidRPr="00F80F05">
        <w:rPr>
          <w:sz w:val="24"/>
          <w:szCs w:val="24"/>
          <w:lang w:val="en-GB"/>
        </w:rPr>
        <w:t>Faggian</w:t>
      </w:r>
      <w:proofErr w:type="spellEnd"/>
      <w:r w:rsidRPr="00F80F05">
        <w:rPr>
          <w:sz w:val="24"/>
          <w:szCs w:val="24"/>
          <w:lang w:val="en-GB"/>
        </w:rPr>
        <w:t>, A., Corcoran, J.</w:t>
      </w:r>
      <w:r w:rsidR="00926D85">
        <w:rPr>
          <w:sz w:val="24"/>
          <w:szCs w:val="24"/>
          <w:lang w:val="en-GB"/>
        </w:rPr>
        <w:t xml:space="preserve"> &amp;</w:t>
      </w:r>
      <w:r w:rsidRPr="00F80F05">
        <w:rPr>
          <w:sz w:val="24"/>
          <w:szCs w:val="24"/>
          <w:lang w:val="en-GB"/>
        </w:rPr>
        <w:t xml:space="preserve"> Rowe, F., </w:t>
      </w:r>
      <w:r>
        <w:rPr>
          <w:sz w:val="24"/>
          <w:szCs w:val="24"/>
          <w:lang w:val="en-GB"/>
        </w:rPr>
        <w:t>(</w:t>
      </w:r>
      <w:r w:rsidRPr="00F80F05">
        <w:rPr>
          <w:sz w:val="24"/>
          <w:szCs w:val="24"/>
          <w:lang w:val="en-GB"/>
        </w:rPr>
        <w:t>2016</w:t>
      </w:r>
      <w:r>
        <w:rPr>
          <w:sz w:val="24"/>
          <w:szCs w:val="24"/>
          <w:lang w:val="en-GB"/>
        </w:rPr>
        <w:t>)</w:t>
      </w:r>
      <w:r w:rsidRPr="00F80F05">
        <w:rPr>
          <w:sz w:val="24"/>
          <w:szCs w:val="24"/>
          <w:lang w:val="en-GB"/>
        </w:rPr>
        <w:t>. Evaluating the effects of Australian policy changes on human capital: the role of a graduate visa scheme. </w:t>
      </w:r>
      <w:r w:rsidRPr="00F80F05">
        <w:rPr>
          <w:i/>
          <w:iCs/>
          <w:sz w:val="24"/>
          <w:szCs w:val="24"/>
          <w:lang w:val="en-GB"/>
        </w:rPr>
        <w:t>Environment and Planning C: Government and Policy</w:t>
      </w:r>
      <w:r w:rsidRPr="00F80F05">
        <w:rPr>
          <w:sz w:val="24"/>
          <w:szCs w:val="24"/>
          <w:lang w:val="en-GB"/>
        </w:rPr>
        <w:t>, </w:t>
      </w:r>
      <w:r w:rsidRPr="00F80F05">
        <w:rPr>
          <w:i/>
          <w:iCs/>
          <w:sz w:val="24"/>
          <w:szCs w:val="24"/>
          <w:lang w:val="en-GB"/>
        </w:rPr>
        <w:t>34</w:t>
      </w:r>
      <w:r>
        <w:rPr>
          <w:sz w:val="24"/>
          <w:szCs w:val="24"/>
          <w:lang w:val="en-GB"/>
        </w:rPr>
        <w:t xml:space="preserve">(1), </w:t>
      </w:r>
      <w:r w:rsidRPr="00F80F05">
        <w:rPr>
          <w:sz w:val="24"/>
          <w:szCs w:val="24"/>
          <w:lang w:val="en-GB"/>
        </w:rPr>
        <w:t>151-170.</w:t>
      </w:r>
    </w:p>
    <w:p w14:paraId="1779CDDC" w14:textId="77777777" w:rsidR="00D31556" w:rsidRDefault="00D31556" w:rsidP="005C3F71">
      <w:pPr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Global Migration Group (2014) Migration and youth: challenges and opportunities. </w:t>
      </w:r>
      <w:hyperlink r:id="rId11" w:history="1">
        <w:r w:rsidRPr="00FF6F90">
          <w:rPr>
            <w:rStyle w:val="Hyperlink"/>
            <w:sz w:val="24"/>
            <w:szCs w:val="24"/>
          </w:rPr>
          <w:t>http://unesdoc.unesco.org/images/0022/002277/227720e.pdf</w:t>
        </w:r>
      </w:hyperlink>
      <w:r>
        <w:rPr>
          <w:sz w:val="24"/>
          <w:szCs w:val="24"/>
        </w:rPr>
        <w:t xml:space="preserve"> [last accessed 28th May, 2017].</w:t>
      </w:r>
    </w:p>
    <w:p w14:paraId="36DB2107" w14:textId="77777777" w:rsidR="00D644C6" w:rsidRDefault="00D644C6" w:rsidP="005C3F71">
      <w:pPr>
        <w:spacing w:line="240" w:lineRule="auto"/>
        <w:ind w:left="284" w:hanging="284"/>
        <w:jc w:val="both"/>
        <w:rPr>
          <w:sz w:val="24"/>
          <w:szCs w:val="24"/>
        </w:rPr>
      </w:pPr>
      <w:r w:rsidRPr="00D644C6">
        <w:rPr>
          <w:sz w:val="24"/>
          <w:szCs w:val="24"/>
        </w:rPr>
        <w:t>Gibson, J., &amp; McKenzie, D. (2012). The economic consequences of ‘brain drain’</w:t>
      </w:r>
      <w:r>
        <w:rPr>
          <w:sz w:val="24"/>
          <w:szCs w:val="24"/>
        </w:rPr>
        <w:t xml:space="preserve"> </w:t>
      </w:r>
      <w:r w:rsidRPr="00D644C6">
        <w:rPr>
          <w:sz w:val="24"/>
          <w:szCs w:val="24"/>
        </w:rPr>
        <w:t xml:space="preserve">of the best and brightest: Microeconomic evidence from five countries. </w:t>
      </w:r>
      <w:r w:rsidRPr="00D644C6">
        <w:rPr>
          <w:i/>
          <w:sz w:val="24"/>
          <w:szCs w:val="24"/>
        </w:rPr>
        <w:t>The Economic Journal</w:t>
      </w:r>
      <w:r w:rsidRPr="00D644C6">
        <w:rPr>
          <w:sz w:val="24"/>
          <w:szCs w:val="24"/>
        </w:rPr>
        <w:t>, 122(560), 339-375.</w:t>
      </w:r>
    </w:p>
    <w:p w14:paraId="508C8878" w14:textId="77777777" w:rsidR="002F7F12" w:rsidRPr="002F7F12" w:rsidRDefault="002F7F12" w:rsidP="002F7F12">
      <w:pPr>
        <w:spacing w:line="240" w:lineRule="auto"/>
        <w:ind w:left="284" w:hanging="284"/>
        <w:jc w:val="both"/>
        <w:rPr>
          <w:sz w:val="24"/>
          <w:szCs w:val="24"/>
        </w:rPr>
      </w:pPr>
      <w:proofErr w:type="spellStart"/>
      <w:r w:rsidRPr="002F7F12">
        <w:rPr>
          <w:sz w:val="24"/>
          <w:szCs w:val="24"/>
        </w:rPr>
        <w:t>Mellander</w:t>
      </w:r>
      <w:proofErr w:type="spellEnd"/>
      <w:r w:rsidRPr="002F7F12">
        <w:rPr>
          <w:sz w:val="24"/>
          <w:szCs w:val="24"/>
        </w:rPr>
        <w:t xml:space="preserve">, C., Florida, R. &amp; </w:t>
      </w:r>
      <w:proofErr w:type="spellStart"/>
      <w:r w:rsidRPr="002F7F12">
        <w:rPr>
          <w:sz w:val="24"/>
          <w:szCs w:val="24"/>
        </w:rPr>
        <w:t>Stolarick</w:t>
      </w:r>
      <w:proofErr w:type="spellEnd"/>
      <w:r w:rsidRPr="002F7F12">
        <w:rPr>
          <w:sz w:val="24"/>
          <w:szCs w:val="24"/>
        </w:rPr>
        <w:t xml:space="preserve">, K., (2011). Here to stay—the effects of community satisfaction on the decision to stay. </w:t>
      </w:r>
      <w:r w:rsidRPr="006D4B88">
        <w:rPr>
          <w:i/>
          <w:sz w:val="24"/>
          <w:szCs w:val="24"/>
        </w:rPr>
        <w:t>Spatial Economic Analysis</w:t>
      </w:r>
      <w:r w:rsidRPr="002F7F12">
        <w:rPr>
          <w:sz w:val="24"/>
          <w:szCs w:val="24"/>
        </w:rPr>
        <w:t>, 6(1), 5-24.</w:t>
      </w:r>
    </w:p>
    <w:p w14:paraId="7E54AC83" w14:textId="77777777" w:rsidR="00EC7A97" w:rsidRDefault="00EC7A97" w:rsidP="005C3F71">
      <w:pPr>
        <w:spacing w:line="240" w:lineRule="auto"/>
        <w:ind w:left="284" w:hanging="284"/>
        <w:jc w:val="both"/>
        <w:rPr>
          <w:sz w:val="24"/>
          <w:szCs w:val="24"/>
        </w:rPr>
      </w:pPr>
      <w:proofErr w:type="spellStart"/>
      <w:r w:rsidRPr="00EC7A97">
        <w:rPr>
          <w:sz w:val="24"/>
          <w:szCs w:val="24"/>
        </w:rPr>
        <w:t>Rérat</w:t>
      </w:r>
      <w:proofErr w:type="spellEnd"/>
      <w:r w:rsidRPr="00EC7A97">
        <w:rPr>
          <w:sz w:val="24"/>
          <w:szCs w:val="24"/>
        </w:rPr>
        <w:t xml:space="preserve">, P. (2014). Highly qualified rural youth: why do young graduates return to their home region? </w:t>
      </w:r>
      <w:r w:rsidRPr="00EC7A97">
        <w:rPr>
          <w:i/>
          <w:sz w:val="24"/>
          <w:szCs w:val="24"/>
        </w:rPr>
        <w:t>Children's Geographies</w:t>
      </w:r>
      <w:r w:rsidRPr="00EC7A97">
        <w:rPr>
          <w:sz w:val="24"/>
          <w:szCs w:val="24"/>
        </w:rPr>
        <w:t>, 12(1), 70-86.</w:t>
      </w:r>
    </w:p>
    <w:p w14:paraId="116B1926" w14:textId="77777777" w:rsidR="003578DD" w:rsidRDefault="003578DD" w:rsidP="005C3F71">
      <w:pPr>
        <w:spacing w:line="240" w:lineRule="auto"/>
        <w:ind w:left="284" w:hanging="284"/>
        <w:jc w:val="both"/>
        <w:rPr>
          <w:sz w:val="24"/>
          <w:szCs w:val="24"/>
        </w:rPr>
      </w:pPr>
      <w:proofErr w:type="spellStart"/>
      <w:r w:rsidRPr="003578DD">
        <w:rPr>
          <w:sz w:val="24"/>
          <w:szCs w:val="24"/>
        </w:rPr>
        <w:t>Ritsilä</w:t>
      </w:r>
      <w:proofErr w:type="spellEnd"/>
      <w:r w:rsidRPr="003578DD">
        <w:rPr>
          <w:sz w:val="24"/>
          <w:szCs w:val="24"/>
        </w:rPr>
        <w:t xml:space="preserve">, J. </w:t>
      </w:r>
      <w:r w:rsidR="00926D85">
        <w:rPr>
          <w:sz w:val="24"/>
          <w:szCs w:val="24"/>
        </w:rPr>
        <w:t>&amp;</w:t>
      </w:r>
      <w:r w:rsidRPr="003578DD">
        <w:rPr>
          <w:sz w:val="24"/>
          <w:szCs w:val="24"/>
        </w:rPr>
        <w:t xml:space="preserve"> </w:t>
      </w:r>
      <w:proofErr w:type="spellStart"/>
      <w:r w:rsidRPr="003578DD">
        <w:rPr>
          <w:sz w:val="24"/>
          <w:szCs w:val="24"/>
        </w:rPr>
        <w:t>Ovaskainen</w:t>
      </w:r>
      <w:proofErr w:type="spellEnd"/>
      <w:r w:rsidRPr="003578DD">
        <w:rPr>
          <w:sz w:val="24"/>
          <w:szCs w:val="24"/>
        </w:rPr>
        <w:t xml:space="preserve">, M., </w:t>
      </w:r>
      <w:r>
        <w:rPr>
          <w:sz w:val="24"/>
          <w:szCs w:val="24"/>
        </w:rPr>
        <w:t>(</w:t>
      </w:r>
      <w:r w:rsidRPr="003578DD">
        <w:rPr>
          <w:sz w:val="24"/>
          <w:szCs w:val="24"/>
        </w:rPr>
        <w:t>2001</w:t>
      </w:r>
      <w:r>
        <w:rPr>
          <w:sz w:val="24"/>
          <w:szCs w:val="24"/>
        </w:rPr>
        <w:t>)</w:t>
      </w:r>
      <w:r w:rsidRPr="003578DD">
        <w:rPr>
          <w:sz w:val="24"/>
          <w:szCs w:val="24"/>
        </w:rPr>
        <w:t xml:space="preserve">. Migration and regional centralization of human capital. </w:t>
      </w:r>
      <w:r w:rsidRPr="00AC7488">
        <w:rPr>
          <w:i/>
          <w:sz w:val="24"/>
          <w:szCs w:val="24"/>
        </w:rPr>
        <w:t>Applied Economics</w:t>
      </w:r>
      <w:r>
        <w:rPr>
          <w:sz w:val="24"/>
          <w:szCs w:val="24"/>
        </w:rPr>
        <w:t xml:space="preserve">, 33(3), </w:t>
      </w:r>
      <w:r w:rsidRPr="003578DD">
        <w:rPr>
          <w:sz w:val="24"/>
          <w:szCs w:val="24"/>
        </w:rPr>
        <w:t>317-325.</w:t>
      </w:r>
    </w:p>
    <w:p w14:paraId="54B08E83" w14:textId="77777777" w:rsidR="00ED0F86" w:rsidRPr="00AC7488" w:rsidRDefault="00ED0F86" w:rsidP="005C3F71">
      <w:pPr>
        <w:spacing w:line="240" w:lineRule="auto"/>
        <w:ind w:left="284" w:hanging="284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Rogers, A. R., </w:t>
      </w:r>
      <w:proofErr w:type="spellStart"/>
      <w:r>
        <w:rPr>
          <w:sz w:val="24"/>
          <w:szCs w:val="24"/>
          <w:lang w:val="en-GB"/>
        </w:rPr>
        <w:t>Raquillet</w:t>
      </w:r>
      <w:proofErr w:type="spellEnd"/>
      <w:r>
        <w:rPr>
          <w:sz w:val="24"/>
          <w:szCs w:val="24"/>
          <w:lang w:val="en-GB"/>
        </w:rPr>
        <w:t>, R. &amp; Castro, L. (1978)</w:t>
      </w:r>
      <w:r w:rsidR="006D4B88">
        <w:rPr>
          <w:sz w:val="24"/>
          <w:szCs w:val="24"/>
          <w:lang w:val="en-GB"/>
        </w:rPr>
        <w:t>.</w:t>
      </w:r>
      <w:r w:rsidRPr="00ED0F86">
        <w:rPr>
          <w:sz w:val="24"/>
          <w:szCs w:val="24"/>
          <w:lang w:val="en-GB"/>
        </w:rPr>
        <w:t xml:space="preserve"> Model migration schedules and their applications, </w:t>
      </w:r>
      <w:r w:rsidRPr="00AC7488">
        <w:rPr>
          <w:i/>
          <w:sz w:val="24"/>
          <w:szCs w:val="24"/>
          <w:lang w:val="en-GB"/>
        </w:rPr>
        <w:t>Environment &amp; Planning A</w:t>
      </w:r>
      <w:r>
        <w:rPr>
          <w:sz w:val="24"/>
          <w:szCs w:val="24"/>
          <w:lang w:val="en-GB"/>
        </w:rPr>
        <w:t>, 10,</w:t>
      </w:r>
      <w:r w:rsidRPr="00ED0F86">
        <w:rPr>
          <w:sz w:val="24"/>
          <w:szCs w:val="24"/>
          <w:lang w:val="en-GB"/>
        </w:rPr>
        <w:t xml:space="preserve"> 475-502.</w:t>
      </w:r>
    </w:p>
    <w:p w14:paraId="14580AEA" w14:textId="77777777" w:rsidR="00EB6C23" w:rsidRDefault="00EB6C23" w:rsidP="005C3F71">
      <w:pPr>
        <w:spacing w:line="240" w:lineRule="auto"/>
        <w:ind w:left="284" w:hanging="284"/>
        <w:jc w:val="both"/>
        <w:rPr>
          <w:sz w:val="24"/>
          <w:szCs w:val="24"/>
        </w:rPr>
      </w:pPr>
      <w:r w:rsidRPr="00EB6C23">
        <w:rPr>
          <w:sz w:val="24"/>
          <w:szCs w:val="24"/>
        </w:rPr>
        <w:t xml:space="preserve">Rowe, F., Corcoran, J., &amp; </w:t>
      </w:r>
      <w:proofErr w:type="spellStart"/>
      <w:r w:rsidRPr="00EB6C23">
        <w:rPr>
          <w:sz w:val="24"/>
          <w:szCs w:val="24"/>
        </w:rPr>
        <w:t>Faggian</w:t>
      </w:r>
      <w:proofErr w:type="spellEnd"/>
      <w:r w:rsidRPr="00EB6C23">
        <w:rPr>
          <w:sz w:val="24"/>
          <w:szCs w:val="24"/>
        </w:rPr>
        <w:t>, A. (2013). Mobility patterns of overseas human capital in Australia: the role of a ‘new’</w:t>
      </w:r>
      <w:r>
        <w:rPr>
          <w:sz w:val="24"/>
          <w:szCs w:val="24"/>
        </w:rPr>
        <w:t xml:space="preserve"> </w:t>
      </w:r>
      <w:r w:rsidRPr="00EB6C23">
        <w:rPr>
          <w:sz w:val="24"/>
          <w:szCs w:val="24"/>
        </w:rPr>
        <w:t xml:space="preserve">graduate visa scheme and rural development policy. </w:t>
      </w:r>
      <w:r w:rsidRPr="00EB6C23">
        <w:rPr>
          <w:i/>
          <w:sz w:val="24"/>
          <w:szCs w:val="24"/>
        </w:rPr>
        <w:t>Australian Geographer</w:t>
      </w:r>
      <w:r w:rsidRPr="00EB6C23">
        <w:rPr>
          <w:sz w:val="24"/>
          <w:szCs w:val="24"/>
        </w:rPr>
        <w:t>, 44(2), 177-195.</w:t>
      </w:r>
    </w:p>
    <w:p w14:paraId="10A765E3" w14:textId="77777777" w:rsidR="006012CF" w:rsidRDefault="006012CF" w:rsidP="005C3F71">
      <w:pPr>
        <w:spacing w:line="240" w:lineRule="auto"/>
        <w:ind w:left="284" w:hanging="284"/>
        <w:jc w:val="both"/>
        <w:rPr>
          <w:sz w:val="24"/>
          <w:szCs w:val="24"/>
        </w:rPr>
      </w:pPr>
      <w:r w:rsidRPr="006012CF">
        <w:rPr>
          <w:sz w:val="24"/>
          <w:szCs w:val="24"/>
        </w:rPr>
        <w:t xml:space="preserve">Rowe, F., Tang, A.Z.R. </w:t>
      </w:r>
      <w:r w:rsidR="00926D85">
        <w:rPr>
          <w:sz w:val="24"/>
          <w:szCs w:val="24"/>
        </w:rPr>
        <w:t>&amp;</w:t>
      </w:r>
      <w:r w:rsidRPr="006012CF">
        <w:rPr>
          <w:sz w:val="24"/>
          <w:szCs w:val="24"/>
        </w:rPr>
        <w:t xml:space="preserve"> Corcoran, J., </w:t>
      </w:r>
      <w:r>
        <w:rPr>
          <w:sz w:val="24"/>
          <w:szCs w:val="24"/>
        </w:rPr>
        <w:t>(</w:t>
      </w:r>
      <w:r w:rsidRPr="006012CF">
        <w:rPr>
          <w:sz w:val="24"/>
          <w:szCs w:val="24"/>
        </w:rPr>
        <w:t>2015</w:t>
      </w:r>
      <w:r>
        <w:rPr>
          <w:sz w:val="24"/>
          <w:szCs w:val="24"/>
        </w:rPr>
        <w:t>)</w:t>
      </w:r>
      <w:r w:rsidRPr="006012CF">
        <w:rPr>
          <w:sz w:val="24"/>
          <w:szCs w:val="24"/>
        </w:rPr>
        <w:t>. Transfer of human capital flows to non-metropolitan economies: University graduates, skills and knowledge in Australia. Working Paper 01/2015). Brisbane: Queensland Centre for Population Research.</w:t>
      </w:r>
    </w:p>
    <w:p w14:paraId="00FC75C2" w14:textId="77777777" w:rsidR="00926D85" w:rsidRPr="00AC7488" w:rsidRDefault="00926D85" w:rsidP="00926D85">
      <w:pPr>
        <w:spacing w:line="240" w:lineRule="auto"/>
        <w:ind w:left="284" w:hanging="284"/>
        <w:jc w:val="both"/>
        <w:rPr>
          <w:sz w:val="24"/>
          <w:szCs w:val="24"/>
          <w:lang w:val="en-GB"/>
        </w:rPr>
      </w:pPr>
    </w:p>
    <w:p w14:paraId="703E411B" w14:textId="77777777" w:rsidR="00CB0F8F" w:rsidRDefault="00C97A3D" w:rsidP="00C97A3D">
      <w:pPr>
        <w:spacing w:line="240" w:lineRule="auto"/>
        <w:ind w:left="284" w:hanging="284"/>
        <w:jc w:val="both"/>
        <w:rPr>
          <w:sz w:val="24"/>
          <w:szCs w:val="24"/>
        </w:rPr>
      </w:pPr>
      <w:r w:rsidRPr="00EB6C23">
        <w:rPr>
          <w:sz w:val="24"/>
          <w:szCs w:val="24"/>
        </w:rPr>
        <w:lastRenderedPageBreak/>
        <w:t xml:space="preserve">Stockdale, A. (2006). Migration: Pre-requisite for rural economic regeneration? </w:t>
      </w:r>
      <w:r w:rsidRPr="00EB6C23">
        <w:rPr>
          <w:i/>
          <w:sz w:val="24"/>
          <w:szCs w:val="24"/>
        </w:rPr>
        <w:t>Journal of Rural Studies</w:t>
      </w:r>
      <w:r w:rsidRPr="00EB6C23">
        <w:rPr>
          <w:sz w:val="24"/>
          <w:szCs w:val="24"/>
        </w:rPr>
        <w:t>, 22(3), 354-366.</w:t>
      </w:r>
    </w:p>
    <w:p w14:paraId="1F549A67" w14:textId="77777777" w:rsidR="00CB0F8F" w:rsidRPr="00AC7488" w:rsidRDefault="00CB0F8F" w:rsidP="00CB0F8F">
      <w:pPr>
        <w:spacing w:line="240" w:lineRule="auto"/>
        <w:ind w:left="284" w:hanging="284"/>
        <w:jc w:val="both"/>
        <w:rPr>
          <w:sz w:val="24"/>
          <w:szCs w:val="24"/>
          <w:lang w:val="en-GB"/>
        </w:rPr>
      </w:pPr>
      <w:r w:rsidRPr="00CB0F8F">
        <w:rPr>
          <w:sz w:val="24"/>
          <w:szCs w:val="24"/>
          <w:lang w:val="en-GB"/>
        </w:rPr>
        <w:t xml:space="preserve">Stillwell, J., </w:t>
      </w:r>
      <w:r>
        <w:rPr>
          <w:sz w:val="24"/>
          <w:szCs w:val="24"/>
          <w:lang w:val="en-GB"/>
        </w:rPr>
        <w:t xml:space="preserve">&amp; </w:t>
      </w:r>
      <w:r w:rsidR="006D4B88">
        <w:rPr>
          <w:sz w:val="24"/>
          <w:szCs w:val="24"/>
          <w:lang w:val="en-GB"/>
        </w:rPr>
        <w:t>Congdon, P.</w:t>
      </w:r>
      <w:r w:rsidRPr="00CB0F8F">
        <w:rPr>
          <w:sz w:val="24"/>
          <w:szCs w:val="24"/>
          <w:lang w:val="en-GB"/>
        </w:rPr>
        <w:t xml:space="preserve"> </w:t>
      </w:r>
      <w:r w:rsidR="006D4B88">
        <w:rPr>
          <w:sz w:val="24"/>
          <w:szCs w:val="24"/>
          <w:lang w:val="en-GB"/>
        </w:rPr>
        <w:t>(</w:t>
      </w:r>
      <w:r w:rsidRPr="00CB0F8F">
        <w:rPr>
          <w:sz w:val="24"/>
          <w:szCs w:val="24"/>
          <w:lang w:val="en-GB"/>
        </w:rPr>
        <w:t>1991</w:t>
      </w:r>
      <w:r w:rsidR="006D4B88">
        <w:rPr>
          <w:sz w:val="24"/>
          <w:szCs w:val="24"/>
          <w:lang w:val="en-GB"/>
        </w:rPr>
        <w:t>)</w:t>
      </w:r>
      <w:r w:rsidRPr="00CB0F8F">
        <w:rPr>
          <w:sz w:val="24"/>
          <w:szCs w:val="24"/>
          <w:lang w:val="en-GB"/>
        </w:rPr>
        <w:t xml:space="preserve">. Migration Models: Macro and Micro Approaches. Belhaven Press, London. </w:t>
      </w:r>
    </w:p>
    <w:p w14:paraId="0BB42E86" w14:textId="77777777" w:rsidR="00CD6EDA" w:rsidRPr="00AC7488" w:rsidRDefault="00CD6EDA" w:rsidP="00CD6EDA">
      <w:pPr>
        <w:spacing w:line="240" w:lineRule="auto"/>
        <w:ind w:left="284" w:hanging="284"/>
        <w:jc w:val="both"/>
        <w:rPr>
          <w:sz w:val="24"/>
          <w:szCs w:val="24"/>
          <w:lang w:val="en-GB"/>
        </w:rPr>
      </w:pPr>
      <w:r w:rsidRPr="00CD6EDA">
        <w:rPr>
          <w:sz w:val="24"/>
          <w:szCs w:val="24"/>
          <w:lang w:val="en-GB"/>
        </w:rPr>
        <w:t xml:space="preserve">Tang, A.Z.R., Rowe, F., Corcoran, J. and Sigler, T., </w:t>
      </w:r>
      <w:r w:rsidR="006D4B88">
        <w:rPr>
          <w:sz w:val="24"/>
          <w:szCs w:val="24"/>
          <w:lang w:val="en-GB"/>
        </w:rPr>
        <w:t>(</w:t>
      </w:r>
      <w:r w:rsidRPr="00CD6EDA">
        <w:rPr>
          <w:sz w:val="24"/>
          <w:szCs w:val="24"/>
          <w:lang w:val="en-GB"/>
        </w:rPr>
        <w:t>2014</w:t>
      </w:r>
      <w:r w:rsidR="006D4B88">
        <w:rPr>
          <w:sz w:val="24"/>
          <w:szCs w:val="24"/>
          <w:lang w:val="en-GB"/>
        </w:rPr>
        <w:t>)</w:t>
      </w:r>
      <w:r w:rsidRPr="00CD6EDA">
        <w:rPr>
          <w:sz w:val="24"/>
          <w:szCs w:val="24"/>
          <w:lang w:val="en-GB"/>
        </w:rPr>
        <w:t>. Where are the overseas graduates staying on? Overseas graduate migration and rural attachment in Australia. </w:t>
      </w:r>
      <w:r w:rsidRPr="00CD6EDA">
        <w:rPr>
          <w:i/>
          <w:iCs/>
          <w:sz w:val="24"/>
          <w:szCs w:val="24"/>
          <w:lang w:val="en-GB"/>
        </w:rPr>
        <w:t xml:space="preserve">Applied </w:t>
      </w:r>
      <w:r w:rsidR="006D4B88">
        <w:rPr>
          <w:i/>
          <w:iCs/>
          <w:sz w:val="24"/>
          <w:szCs w:val="24"/>
          <w:lang w:val="en-GB"/>
        </w:rPr>
        <w:t>G</w:t>
      </w:r>
      <w:r w:rsidRPr="00CD6EDA">
        <w:rPr>
          <w:i/>
          <w:iCs/>
          <w:sz w:val="24"/>
          <w:szCs w:val="24"/>
          <w:lang w:val="en-GB"/>
        </w:rPr>
        <w:t>eography</w:t>
      </w:r>
      <w:r w:rsidRPr="00CD6EDA">
        <w:rPr>
          <w:sz w:val="24"/>
          <w:szCs w:val="24"/>
          <w:lang w:val="en-GB"/>
        </w:rPr>
        <w:t>, </w:t>
      </w:r>
      <w:r w:rsidRPr="00CD6EDA">
        <w:rPr>
          <w:i/>
          <w:iCs/>
          <w:sz w:val="24"/>
          <w:szCs w:val="24"/>
          <w:lang w:val="en-GB"/>
        </w:rPr>
        <w:t>53</w:t>
      </w:r>
      <w:r w:rsidRPr="00CD6EDA">
        <w:rPr>
          <w:sz w:val="24"/>
          <w:szCs w:val="24"/>
          <w:lang w:val="en-GB"/>
        </w:rPr>
        <w:t>, 66-76.</w:t>
      </w:r>
    </w:p>
    <w:p w14:paraId="1A697AA3" w14:textId="77777777" w:rsidR="009C1102" w:rsidRDefault="009C1102" w:rsidP="005C3F71">
      <w:pPr>
        <w:spacing w:line="240" w:lineRule="auto"/>
        <w:ind w:left="284" w:hanging="284"/>
        <w:jc w:val="both"/>
        <w:rPr>
          <w:sz w:val="24"/>
          <w:szCs w:val="24"/>
        </w:rPr>
      </w:pPr>
      <w:r w:rsidRPr="009C1102">
        <w:rPr>
          <w:sz w:val="24"/>
          <w:szCs w:val="24"/>
        </w:rPr>
        <w:t xml:space="preserve">Tang, A. Z. R., Rowe, F., Corcoran, J., &amp; Sigler, T. (2016). Spatial mobility patterns of overseas graduates in Australia. In </w:t>
      </w:r>
      <w:r w:rsidRPr="009C1102">
        <w:rPr>
          <w:i/>
          <w:sz w:val="24"/>
          <w:szCs w:val="24"/>
        </w:rPr>
        <w:t>Demography for Planning and Policy: Australian Case Studies</w:t>
      </w:r>
      <w:r w:rsidRPr="009C1102">
        <w:rPr>
          <w:sz w:val="24"/>
          <w:szCs w:val="24"/>
        </w:rPr>
        <w:t xml:space="preserve"> (pp. 175-195). Springer International Publishing.</w:t>
      </w:r>
    </w:p>
    <w:p w14:paraId="5B927C48" w14:textId="77777777" w:rsidR="00D31556" w:rsidRDefault="00D31556" w:rsidP="005C3F71">
      <w:pPr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United Nations (2016) Youth and migration. </w:t>
      </w:r>
      <w:r w:rsidRPr="00D31556">
        <w:rPr>
          <w:sz w:val="24"/>
          <w:szCs w:val="24"/>
        </w:rPr>
        <w:t>Youth Issue Briefs 2016</w:t>
      </w:r>
      <w:r>
        <w:rPr>
          <w:sz w:val="24"/>
          <w:szCs w:val="24"/>
        </w:rPr>
        <w:t xml:space="preserve">, </w:t>
      </w:r>
      <w:r w:rsidRPr="00D31556">
        <w:rPr>
          <w:sz w:val="24"/>
          <w:szCs w:val="24"/>
        </w:rPr>
        <w:t>UN Department of Economic and Social Affairs</w:t>
      </w:r>
      <w:r>
        <w:rPr>
          <w:sz w:val="24"/>
          <w:szCs w:val="24"/>
        </w:rPr>
        <w:t xml:space="preserve">. Available at: </w:t>
      </w:r>
      <w:hyperlink r:id="rId12" w:history="1">
        <w:r w:rsidRPr="00FF6F90">
          <w:rPr>
            <w:rStyle w:val="Hyperlink"/>
            <w:sz w:val="24"/>
            <w:szCs w:val="24"/>
          </w:rPr>
          <w:t>http://www.un.org/esa/socdev/documents/youth/fact-sheets/youth-migration.pdf</w:t>
        </w:r>
      </w:hyperlink>
      <w:r>
        <w:rPr>
          <w:sz w:val="24"/>
          <w:szCs w:val="24"/>
        </w:rPr>
        <w:t xml:space="preserve"> [last accessed 28th May, 2017].</w:t>
      </w:r>
    </w:p>
    <w:p w14:paraId="1DB6B16C" w14:textId="77777777" w:rsidR="00DB472E" w:rsidRDefault="00DB472E" w:rsidP="00DB472E">
      <w:pPr>
        <w:spacing w:line="240" w:lineRule="auto"/>
        <w:ind w:left="284" w:hanging="284"/>
        <w:jc w:val="both"/>
        <w:rPr>
          <w:sz w:val="24"/>
          <w:szCs w:val="24"/>
        </w:rPr>
      </w:pPr>
      <w:proofErr w:type="spellStart"/>
      <w:r w:rsidRPr="00EB6C23">
        <w:rPr>
          <w:sz w:val="24"/>
          <w:szCs w:val="24"/>
        </w:rPr>
        <w:t>Venhorst</w:t>
      </w:r>
      <w:proofErr w:type="spellEnd"/>
      <w:r w:rsidRPr="00EB6C23">
        <w:rPr>
          <w:sz w:val="24"/>
          <w:szCs w:val="24"/>
        </w:rPr>
        <w:t xml:space="preserve">, V., Van </w:t>
      </w:r>
      <w:proofErr w:type="spellStart"/>
      <w:r w:rsidRPr="00EB6C23">
        <w:rPr>
          <w:sz w:val="24"/>
          <w:szCs w:val="24"/>
        </w:rPr>
        <w:t>Dijk</w:t>
      </w:r>
      <w:proofErr w:type="spellEnd"/>
      <w:r w:rsidRPr="00EB6C23">
        <w:rPr>
          <w:sz w:val="24"/>
          <w:szCs w:val="24"/>
        </w:rPr>
        <w:t xml:space="preserve">, J., &amp; Van </w:t>
      </w:r>
      <w:proofErr w:type="spellStart"/>
      <w:r w:rsidRPr="00EB6C23">
        <w:rPr>
          <w:sz w:val="24"/>
          <w:szCs w:val="24"/>
        </w:rPr>
        <w:t>Wissen</w:t>
      </w:r>
      <w:proofErr w:type="spellEnd"/>
      <w:r w:rsidRPr="00EB6C23">
        <w:rPr>
          <w:sz w:val="24"/>
          <w:szCs w:val="24"/>
        </w:rPr>
        <w:t xml:space="preserve">, L. E. O. (2010). Do the best graduates leave the peripheral areas of the Netherlands? </w:t>
      </w:r>
      <w:proofErr w:type="spellStart"/>
      <w:r w:rsidRPr="00EB6C23">
        <w:rPr>
          <w:i/>
          <w:sz w:val="24"/>
          <w:szCs w:val="24"/>
        </w:rPr>
        <w:t>Tijdschrift</w:t>
      </w:r>
      <w:proofErr w:type="spellEnd"/>
      <w:r w:rsidRPr="00EB6C23">
        <w:rPr>
          <w:i/>
          <w:sz w:val="24"/>
          <w:szCs w:val="24"/>
        </w:rPr>
        <w:t xml:space="preserve"> </w:t>
      </w:r>
      <w:proofErr w:type="spellStart"/>
      <w:r w:rsidRPr="00EB6C23">
        <w:rPr>
          <w:i/>
          <w:sz w:val="24"/>
          <w:szCs w:val="24"/>
        </w:rPr>
        <w:t>voor</w:t>
      </w:r>
      <w:proofErr w:type="spellEnd"/>
      <w:r w:rsidRPr="00EB6C23">
        <w:rPr>
          <w:i/>
          <w:sz w:val="24"/>
          <w:szCs w:val="24"/>
        </w:rPr>
        <w:t xml:space="preserve"> </w:t>
      </w:r>
      <w:proofErr w:type="spellStart"/>
      <w:r w:rsidRPr="00EB6C23">
        <w:rPr>
          <w:i/>
          <w:sz w:val="24"/>
          <w:szCs w:val="24"/>
        </w:rPr>
        <w:t>economische</w:t>
      </w:r>
      <w:proofErr w:type="spellEnd"/>
      <w:r w:rsidRPr="00EB6C23">
        <w:rPr>
          <w:i/>
          <w:sz w:val="24"/>
          <w:szCs w:val="24"/>
        </w:rPr>
        <w:t xml:space="preserve"> </w:t>
      </w:r>
      <w:proofErr w:type="spellStart"/>
      <w:r w:rsidRPr="00EB6C23">
        <w:rPr>
          <w:i/>
          <w:sz w:val="24"/>
          <w:szCs w:val="24"/>
        </w:rPr>
        <w:t>en</w:t>
      </w:r>
      <w:proofErr w:type="spellEnd"/>
      <w:r w:rsidRPr="00EB6C23">
        <w:rPr>
          <w:i/>
          <w:sz w:val="24"/>
          <w:szCs w:val="24"/>
        </w:rPr>
        <w:t xml:space="preserve"> </w:t>
      </w:r>
      <w:proofErr w:type="spellStart"/>
      <w:r w:rsidRPr="00EB6C23">
        <w:rPr>
          <w:i/>
          <w:sz w:val="24"/>
          <w:szCs w:val="24"/>
        </w:rPr>
        <w:t>sociale</w:t>
      </w:r>
      <w:proofErr w:type="spellEnd"/>
      <w:r w:rsidRPr="00EB6C23">
        <w:rPr>
          <w:i/>
          <w:sz w:val="24"/>
          <w:szCs w:val="24"/>
        </w:rPr>
        <w:t xml:space="preserve"> </w:t>
      </w:r>
      <w:proofErr w:type="spellStart"/>
      <w:r w:rsidRPr="00EB6C23">
        <w:rPr>
          <w:i/>
          <w:sz w:val="24"/>
          <w:szCs w:val="24"/>
        </w:rPr>
        <w:t>geografie</w:t>
      </w:r>
      <w:proofErr w:type="spellEnd"/>
      <w:r w:rsidRPr="00EB6C23">
        <w:rPr>
          <w:sz w:val="24"/>
          <w:szCs w:val="24"/>
        </w:rPr>
        <w:t>, 101(5), 521-537.</w:t>
      </w:r>
    </w:p>
    <w:p w14:paraId="04C138DB" w14:textId="77777777" w:rsidR="00862AB0" w:rsidRPr="006B25DC" w:rsidRDefault="00862AB0" w:rsidP="006B25DC">
      <w:pPr>
        <w:spacing w:line="240" w:lineRule="auto"/>
        <w:ind w:left="284" w:hanging="284"/>
        <w:jc w:val="both"/>
        <w:rPr>
          <w:sz w:val="24"/>
          <w:szCs w:val="24"/>
          <w:lang w:val="en-GB"/>
        </w:rPr>
      </w:pPr>
    </w:p>
    <w:sectPr w:rsidR="00862AB0" w:rsidRPr="006B25DC" w:rsidSect="004F4EEE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38EE2F" w14:textId="77777777" w:rsidR="00F62A55" w:rsidRDefault="00F62A55" w:rsidP="00FA6CEE">
      <w:pPr>
        <w:spacing w:after="0" w:line="240" w:lineRule="auto"/>
      </w:pPr>
      <w:r>
        <w:separator/>
      </w:r>
    </w:p>
  </w:endnote>
  <w:endnote w:type="continuationSeparator" w:id="0">
    <w:p w14:paraId="33E80E07" w14:textId="77777777" w:rsidR="00F62A55" w:rsidRDefault="00F62A55" w:rsidP="00FA6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6A2B8" w14:textId="77777777" w:rsidR="00F62A55" w:rsidRDefault="00F62A55" w:rsidP="00FA6CEE">
      <w:pPr>
        <w:spacing w:after="0" w:line="240" w:lineRule="auto"/>
      </w:pPr>
      <w:r>
        <w:separator/>
      </w:r>
    </w:p>
  </w:footnote>
  <w:footnote w:type="continuationSeparator" w:id="0">
    <w:p w14:paraId="70F4FEFE" w14:textId="77777777" w:rsidR="00F62A55" w:rsidRDefault="00F62A55" w:rsidP="00FA6C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60919"/>
    <w:multiLevelType w:val="hybridMultilevel"/>
    <w:tmpl w:val="C820FF4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AF5742"/>
    <w:multiLevelType w:val="hybridMultilevel"/>
    <w:tmpl w:val="0BC01D88"/>
    <w:lvl w:ilvl="0" w:tplc="EB3AC3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203537"/>
    <w:multiLevelType w:val="hybridMultilevel"/>
    <w:tmpl w:val="8CE4792C"/>
    <w:lvl w:ilvl="0" w:tplc="A8FA28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4DE"/>
    <w:rsid w:val="0000327B"/>
    <w:rsid w:val="00003EC5"/>
    <w:rsid w:val="000101DA"/>
    <w:rsid w:val="00016D35"/>
    <w:rsid w:val="00017474"/>
    <w:rsid w:val="00017687"/>
    <w:rsid w:val="00020747"/>
    <w:rsid w:val="00022A0D"/>
    <w:rsid w:val="00030D30"/>
    <w:rsid w:val="0003246B"/>
    <w:rsid w:val="0003678F"/>
    <w:rsid w:val="000367FC"/>
    <w:rsid w:val="00036F2A"/>
    <w:rsid w:val="0004196F"/>
    <w:rsid w:val="00047515"/>
    <w:rsid w:val="000523D8"/>
    <w:rsid w:val="00052B0F"/>
    <w:rsid w:val="00056860"/>
    <w:rsid w:val="00061B03"/>
    <w:rsid w:val="00062E31"/>
    <w:rsid w:val="00065ED2"/>
    <w:rsid w:val="000667D8"/>
    <w:rsid w:val="00066AD3"/>
    <w:rsid w:val="0006702C"/>
    <w:rsid w:val="00072D2C"/>
    <w:rsid w:val="00074684"/>
    <w:rsid w:val="0007595E"/>
    <w:rsid w:val="00076563"/>
    <w:rsid w:val="000833B4"/>
    <w:rsid w:val="00084136"/>
    <w:rsid w:val="00085BC3"/>
    <w:rsid w:val="00086343"/>
    <w:rsid w:val="00090AD0"/>
    <w:rsid w:val="0009130C"/>
    <w:rsid w:val="00095684"/>
    <w:rsid w:val="000B29A0"/>
    <w:rsid w:val="000B2C4D"/>
    <w:rsid w:val="000B3064"/>
    <w:rsid w:val="000B4047"/>
    <w:rsid w:val="000C035F"/>
    <w:rsid w:val="000C0A5B"/>
    <w:rsid w:val="000C250E"/>
    <w:rsid w:val="000C53C3"/>
    <w:rsid w:val="000D107D"/>
    <w:rsid w:val="000D2F22"/>
    <w:rsid w:val="000D4C09"/>
    <w:rsid w:val="000D5C98"/>
    <w:rsid w:val="000E17F4"/>
    <w:rsid w:val="000E3F23"/>
    <w:rsid w:val="000E5A53"/>
    <w:rsid w:val="000F06A8"/>
    <w:rsid w:val="000F08DE"/>
    <w:rsid w:val="000F4156"/>
    <w:rsid w:val="00103626"/>
    <w:rsid w:val="00103B9C"/>
    <w:rsid w:val="00106CC3"/>
    <w:rsid w:val="00110276"/>
    <w:rsid w:val="00115D41"/>
    <w:rsid w:val="001212C2"/>
    <w:rsid w:val="00135F1A"/>
    <w:rsid w:val="00137D6B"/>
    <w:rsid w:val="001447C5"/>
    <w:rsid w:val="00147139"/>
    <w:rsid w:val="00152A68"/>
    <w:rsid w:val="001563F4"/>
    <w:rsid w:val="001626EE"/>
    <w:rsid w:val="001638F1"/>
    <w:rsid w:val="00167B2E"/>
    <w:rsid w:val="00173ACA"/>
    <w:rsid w:val="00174463"/>
    <w:rsid w:val="00181C03"/>
    <w:rsid w:val="00182B2B"/>
    <w:rsid w:val="00183533"/>
    <w:rsid w:val="0018396F"/>
    <w:rsid w:val="0018787C"/>
    <w:rsid w:val="0019128D"/>
    <w:rsid w:val="001935A6"/>
    <w:rsid w:val="00196A03"/>
    <w:rsid w:val="0019725A"/>
    <w:rsid w:val="001A5621"/>
    <w:rsid w:val="001A6E96"/>
    <w:rsid w:val="001A767B"/>
    <w:rsid w:val="001A7EE8"/>
    <w:rsid w:val="001B6B2E"/>
    <w:rsid w:val="001B76A0"/>
    <w:rsid w:val="001C1FE1"/>
    <w:rsid w:val="001C4F85"/>
    <w:rsid w:val="001C56AA"/>
    <w:rsid w:val="001D16F5"/>
    <w:rsid w:val="001D2B59"/>
    <w:rsid w:val="001D4628"/>
    <w:rsid w:val="001D5E6C"/>
    <w:rsid w:val="001E23C2"/>
    <w:rsid w:val="001E3E6A"/>
    <w:rsid w:val="001E5271"/>
    <w:rsid w:val="001E6186"/>
    <w:rsid w:val="001F1CB1"/>
    <w:rsid w:val="001F1E2C"/>
    <w:rsid w:val="001F65D9"/>
    <w:rsid w:val="00200B1F"/>
    <w:rsid w:val="0020259D"/>
    <w:rsid w:val="00204628"/>
    <w:rsid w:val="002064FD"/>
    <w:rsid w:val="0022541A"/>
    <w:rsid w:val="00235172"/>
    <w:rsid w:val="00235667"/>
    <w:rsid w:val="00236ADF"/>
    <w:rsid w:val="00237859"/>
    <w:rsid w:val="0024095F"/>
    <w:rsid w:val="00244549"/>
    <w:rsid w:val="00246370"/>
    <w:rsid w:val="002466F2"/>
    <w:rsid w:val="00251A19"/>
    <w:rsid w:val="002531C0"/>
    <w:rsid w:val="00253F07"/>
    <w:rsid w:val="00254074"/>
    <w:rsid w:val="00260A13"/>
    <w:rsid w:val="00261DB2"/>
    <w:rsid w:val="0026329A"/>
    <w:rsid w:val="002643FE"/>
    <w:rsid w:val="00265BFB"/>
    <w:rsid w:val="00266E7E"/>
    <w:rsid w:val="00267927"/>
    <w:rsid w:val="00271602"/>
    <w:rsid w:val="00274794"/>
    <w:rsid w:val="002807F0"/>
    <w:rsid w:val="00291809"/>
    <w:rsid w:val="00295D36"/>
    <w:rsid w:val="00295F84"/>
    <w:rsid w:val="002A02F5"/>
    <w:rsid w:val="002A0631"/>
    <w:rsid w:val="002A484C"/>
    <w:rsid w:val="002A56DD"/>
    <w:rsid w:val="002A6BE6"/>
    <w:rsid w:val="002B095A"/>
    <w:rsid w:val="002B433D"/>
    <w:rsid w:val="002B4F3B"/>
    <w:rsid w:val="002C0C9D"/>
    <w:rsid w:val="002C488F"/>
    <w:rsid w:val="002C6CE5"/>
    <w:rsid w:val="002D12AA"/>
    <w:rsid w:val="002D317E"/>
    <w:rsid w:val="002D4BDE"/>
    <w:rsid w:val="002D5788"/>
    <w:rsid w:val="002D707C"/>
    <w:rsid w:val="002D74DE"/>
    <w:rsid w:val="002E1F13"/>
    <w:rsid w:val="002F0C1C"/>
    <w:rsid w:val="002F299A"/>
    <w:rsid w:val="002F7F12"/>
    <w:rsid w:val="003017CE"/>
    <w:rsid w:val="00302376"/>
    <w:rsid w:val="00307B15"/>
    <w:rsid w:val="00310FE1"/>
    <w:rsid w:val="00313A27"/>
    <w:rsid w:val="003145FD"/>
    <w:rsid w:val="003155E3"/>
    <w:rsid w:val="00316D8A"/>
    <w:rsid w:val="0032039C"/>
    <w:rsid w:val="0032286C"/>
    <w:rsid w:val="0032475F"/>
    <w:rsid w:val="00324CEF"/>
    <w:rsid w:val="00327F0F"/>
    <w:rsid w:val="00330ABA"/>
    <w:rsid w:val="00333AB7"/>
    <w:rsid w:val="0033662E"/>
    <w:rsid w:val="003404F8"/>
    <w:rsid w:val="00340693"/>
    <w:rsid w:val="00340844"/>
    <w:rsid w:val="003556A8"/>
    <w:rsid w:val="003578DD"/>
    <w:rsid w:val="00361680"/>
    <w:rsid w:val="00362026"/>
    <w:rsid w:val="00362944"/>
    <w:rsid w:val="00365D0F"/>
    <w:rsid w:val="003662E8"/>
    <w:rsid w:val="00370886"/>
    <w:rsid w:val="00371052"/>
    <w:rsid w:val="00376DAF"/>
    <w:rsid w:val="00377216"/>
    <w:rsid w:val="00384247"/>
    <w:rsid w:val="0038482C"/>
    <w:rsid w:val="00385C0E"/>
    <w:rsid w:val="00390841"/>
    <w:rsid w:val="00392241"/>
    <w:rsid w:val="003A157A"/>
    <w:rsid w:val="003A1DD2"/>
    <w:rsid w:val="003A39D1"/>
    <w:rsid w:val="003A7081"/>
    <w:rsid w:val="003B1047"/>
    <w:rsid w:val="003B135A"/>
    <w:rsid w:val="003B13B3"/>
    <w:rsid w:val="003B307C"/>
    <w:rsid w:val="003B3EB4"/>
    <w:rsid w:val="003C32FA"/>
    <w:rsid w:val="003C41FA"/>
    <w:rsid w:val="003C5778"/>
    <w:rsid w:val="003D4B69"/>
    <w:rsid w:val="003D749B"/>
    <w:rsid w:val="003D76B4"/>
    <w:rsid w:val="003E13CC"/>
    <w:rsid w:val="003E2565"/>
    <w:rsid w:val="003E46E8"/>
    <w:rsid w:val="003E659D"/>
    <w:rsid w:val="003E6D43"/>
    <w:rsid w:val="003E728C"/>
    <w:rsid w:val="003F79B8"/>
    <w:rsid w:val="0040159D"/>
    <w:rsid w:val="004028DA"/>
    <w:rsid w:val="00405A75"/>
    <w:rsid w:val="0040784B"/>
    <w:rsid w:val="00412CF7"/>
    <w:rsid w:val="004163C3"/>
    <w:rsid w:val="00416E5F"/>
    <w:rsid w:val="00416F82"/>
    <w:rsid w:val="0042634C"/>
    <w:rsid w:val="00431E6B"/>
    <w:rsid w:val="004324EF"/>
    <w:rsid w:val="00434842"/>
    <w:rsid w:val="004433D6"/>
    <w:rsid w:val="00446FB7"/>
    <w:rsid w:val="00452FCE"/>
    <w:rsid w:val="004551F2"/>
    <w:rsid w:val="0046234C"/>
    <w:rsid w:val="0046304B"/>
    <w:rsid w:val="00463477"/>
    <w:rsid w:val="004657D7"/>
    <w:rsid w:val="00465E53"/>
    <w:rsid w:val="004812CE"/>
    <w:rsid w:val="004814D0"/>
    <w:rsid w:val="004825FF"/>
    <w:rsid w:val="004837B5"/>
    <w:rsid w:val="00484AFB"/>
    <w:rsid w:val="00486673"/>
    <w:rsid w:val="00493BEF"/>
    <w:rsid w:val="00494E10"/>
    <w:rsid w:val="00497880"/>
    <w:rsid w:val="00497E9C"/>
    <w:rsid w:val="004A025B"/>
    <w:rsid w:val="004A3DAE"/>
    <w:rsid w:val="004B251D"/>
    <w:rsid w:val="004B37CA"/>
    <w:rsid w:val="004B57E4"/>
    <w:rsid w:val="004B6871"/>
    <w:rsid w:val="004C3ADF"/>
    <w:rsid w:val="004C6312"/>
    <w:rsid w:val="004C7A54"/>
    <w:rsid w:val="004C7A78"/>
    <w:rsid w:val="004D13DE"/>
    <w:rsid w:val="004D4C56"/>
    <w:rsid w:val="004D59B8"/>
    <w:rsid w:val="004D7B39"/>
    <w:rsid w:val="004E02F8"/>
    <w:rsid w:val="004E7D0A"/>
    <w:rsid w:val="004F1861"/>
    <w:rsid w:val="004F33DA"/>
    <w:rsid w:val="004F35EA"/>
    <w:rsid w:val="004F4EEE"/>
    <w:rsid w:val="004F5892"/>
    <w:rsid w:val="004F6204"/>
    <w:rsid w:val="00500A76"/>
    <w:rsid w:val="005024E7"/>
    <w:rsid w:val="00507400"/>
    <w:rsid w:val="00510BA6"/>
    <w:rsid w:val="00514C93"/>
    <w:rsid w:val="00516454"/>
    <w:rsid w:val="00524DB6"/>
    <w:rsid w:val="00530100"/>
    <w:rsid w:val="005426D7"/>
    <w:rsid w:val="0054507E"/>
    <w:rsid w:val="0054666F"/>
    <w:rsid w:val="00550D69"/>
    <w:rsid w:val="005543A5"/>
    <w:rsid w:val="005553A9"/>
    <w:rsid w:val="005626FF"/>
    <w:rsid w:val="005637F8"/>
    <w:rsid w:val="00565BBC"/>
    <w:rsid w:val="005668FB"/>
    <w:rsid w:val="00573961"/>
    <w:rsid w:val="005749BD"/>
    <w:rsid w:val="00576F22"/>
    <w:rsid w:val="0058027B"/>
    <w:rsid w:val="00583AD1"/>
    <w:rsid w:val="005872A6"/>
    <w:rsid w:val="005971B6"/>
    <w:rsid w:val="00597D8A"/>
    <w:rsid w:val="005A2C67"/>
    <w:rsid w:val="005A3183"/>
    <w:rsid w:val="005A687F"/>
    <w:rsid w:val="005B1133"/>
    <w:rsid w:val="005B2E84"/>
    <w:rsid w:val="005B4C5F"/>
    <w:rsid w:val="005C095D"/>
    <w:rsid w:val="005C3C5C"/>
    <w:rsid w:val="005C3F71"/>
    <w:rsid w:val="005C47E7"/>
    <w:rsid w:val="005C64D8"/>
    <w:rsid w:val="005D03DE"/>
    <w:rsid w:val="005D0FE5"/>
    <w:rsid w:val="005D3867"/>
    <w:rsid w:val="005D474D"/>
    <w:rsid w:val="005E1159"/>
    <w:rsid w:val="005E316B"/>
    <w:rsid w:val="005F04F9"/>
    <w:rsid w:val="005F1294"/>
    <w:rsid w:val="005F555B"/>
    <w:rsid w:val="006012CF"/>
    <w:rsid w:val="00601D1E"/>
    <w:rsid w:val="00601D74"/>
    <w:rsid w:val="0060347B"/>
    <w:rsid w:val="00604703"/>
    <w:rsid w:val="006062F6"/>
    <w:rsid w:val="00606937"/>
    <w:rsid w:val="006106F7"/>
    <w:rsid w:val="00611005"/>
    <w:rsid w:val="006113F6"/>
    <w:rsid w:val="0061266A"/>
    <w:rsid w:val="0061705B"/>
    <w:rsid w:val="006176AE"/>
    <w:rsid w:val="00620717"/>
    <w:rsid w:val="00622110"/>
    <w:rsid w:val="0062412D"/>
    <w:rsid w:val="00632C14"/>
    <w:rsid w:val="006379B2"/>
    <w:rsid w:val="0064076D"/>
    <w:rsid w:val="0064158A"/>
    <w:rsid w:val="00646FA4"/>
    <w:rsid w:val="0065082C"/>
    <w:rsid w:val="00663659"/>
    <w:rsid w:val="006709CF"/>
    <w:rsid w:val="006744AC"/>
    <w:rsid w:val="0067634D"/>
    <w:rsid w:val="0068003C"/>
    <w:rsid w:val="00682662"/>
    <w:rsid w:val="0068299F"/>
    <w:rsid w:val="00682B55"/>
    <w:rsid w:val="00682D43"/>
    <w:rsid w:val="00684C06"/>
    <w:rsid w:val="0069121D"/>
    <w:rsid w:val="00691E03"/>
    <w:rsid w:val="006A04C2"/>
    <w:rsid w:val="006A0BAB"/>
    <w:rsid w:val="006A28E3"/>
    <w:rsid w:val="006A65AA"/>
    <w:rsid w:val="006B2288"/>
    <w:rsid w:val="006B23CF"/>
    <w:rsid w:val="006B25DC"/>
    <w:rsid w:val="006B6BB2"/>
    <w:rsid w:val="006C0AF6"/>
    <w:rsid w:val="006D0C4B"/>
    <w:rsid w:val="006D163A"/>
    <w:rsid w:val="006D4B88"/>
    <w:rsid w:val="006D5C83"/>
    <w:rsid w:val="006E41BA"/>
    <w:rsid w:val="006E48B2"/>
    <w:rsid w:val="006E6F43"/>
    <w:rsid w:val="006E7264"/>
    <w:rsid w:val="006E7DC2"/>
    <w:rsid w:val="006F258F"/>
    <w:rsid w:val="006F2F83"/>
    <w:rsid w:val="006F3846"/>
    <w:rsid w:val="006F4D0D"/>
    <w:rsid w:val="006F5FD9"/>
    <w:rsid w:val="006F6A88"/>
    <w:rsid w:val="00700DE9"/>
    <w:rsid w:val="0070232C"/>
    <w:rsid w:val="00703231"/>
    <w:rsid w:val="00704D18"/>
    <w:rsid w:val="00704F97"/>
    <w:rsid w:val="00713E8A"/>
    <w:rsid w:val="007142E0"/>
    <w:rsid w:val="00714502"/>
    <w:rsid w:val="00714555"/>
    <w:rsid w:val="007167AE"/>
    <w:rsid w:val="00722E7A"/>
    <w:rsid w:val="0072427B"/>
    <w:rsid w:val="00724690"/>
    <w:rsid w:val="00725F77"/>
    <w:rsid w:val="007264CC"/>
    <w:rsid w:val="00726F52"/>
    <w:rsid w:val="00727F9D"/>
    <w:rsid w:val="00730EA7"/>
    <w:rsid w:val="007311E4"/>
    <w:rsid w:val="0073326D"/>
    <w:rsid w:val="00733D5B"/>
    <w:rsid w:val="00734A22"/>
    <w:rsid w:val="00736583"/>
    <w:rsid w:val="0074175E"/>
    <w:rsid w:val="00744FD3"/>
    <w:rsid w:val="00750B5A"/>
    <w:rsid w:val="00751238"/>
    <w:rsid w:val="00755008"/>
    <w:rsid w:val="007561CF"/>
    <w:rsid w:val="00757190"/>
    <w:rsid w:val="00760677"/>
    <w:rsid w:val="007638AB"/>
    <w:rsid w:val="00765A40"/>
    <w:rsid w:val="00765B58"/>
    <w:rsid w:val="00767601"/>
    <w:rsid w:val="0077146C"/>
    <w:rsid w:val="007755B1"/>
    <w:rsid w:val="00776011"/>
    <w:rsid w:val="007766B2"/>
    <w:rsid w:val="00776E36"/>
    <w:rsid w:val="007839FD"/>
    <w:rsid w:val="0079127C"/>
    <w:rsid w:val="00793246"/>
    <w:rsid w:val="007A6271"/>
    <w:rsid w:val="007A7772"/>
    <w:rsid w:val="007B096D"/>
    <w:rsid w:val="007B1182"/>
    <w:rsid w:val="007B58B5"/>
    <w:rsid w:val="007B66CC"/>
    <w:rsid w:val="007C2A4B"/>
    <w:rsid w:val="007C3AE9"/>
    <w:rsid w:val="007D43A9"/>
    <w:rsid w:val="007D46E4"/>
    <w:rsid w:val="007D4B9D"/>
    <w:rsid w:val="007E15B4"/>
    <w:rsid w:val="007E1922"/>
    <w:rsid w:val="007E241C"/>
    <w:rsid w:val="007E6384"/>
    <w:rsid w:val="007E66D8"/>
    <w:rsid w:val="007E75D2"/>
    <w:rsid w:val="007E7880"/>
    <w:rsid w:val="007F1896"/>
    <w:rsid w:val="007F2DC0"/>
    <w:rsid w:val="007F742B"/>
    <w:rsid w:val="008017F7"/>
    <w:rsid w:val="00810081"/>
    <w:rsid w:val="0081010F"/>
    <w:rsid w:val="0081198D"/>
    <w:rsid w:val="00814C4D"/>
    <w:rsid w:val="00815E15"/>
    <w:rsid w:val="008168F3"/>
    <w:rsid w:val="008227BF"/>
    <w:rsid w:val="0082543A"/>
    <w:rsid w:val="0083127B"/>
    <w:rsid w:val="00831315"/>
    <w:rsid w:val="008423CB"/>
    <w:rsid w:val="00843847"/>
    <w:rsid w:val="00845766"/>
    <w:rsid w:val="00845912"/>
    <w:rsid w:val="00846E83"/>
    <w:rsid w:val="00852CB5"/>
    <w:rsid w:val="00854AD5"/>
    <w:rsid w:val="008555BB"/>
    <w:rsid w:val="00860644"/>
    <w:rsid w:val="00861965"/>
    <w:rsid w:val="008626CB"/>
    <w:rsid w:val="00862AB0"/>
    <w:rsid w:val="0086376F"/>
    <w:rsid w:val="008673E8"/>
    <w:rsid w:val="008676AF"/>
    <w:rsid w:val="008701EB"/>
    <w:rsid w:val="00870E14"/>
    <w:rsid w:val="00874AEB"/>
    <w:rsid w:val="0087681C"/>
    <w:rsid w:val="00881CEA"/>
    <w:rsid w:val="00883380"/>
    <w:rsid w:val="00886336"/>
    <w:rsid w:val="008957A5"/>
    <w:rsid w:val="008970E2"/>
    <w:rsid w:val="008A26E2"/>
    <w:rsid w:val="008B05C5"/>
    <w:rsid w:val="008B6C2B"/>
    <w:rsid w:val="008B7A8D"/>
    <w:rsid w:val="008B7DFD"/>
    <w:rsid w:val="008C0ABD"/>
    <w:rsid w:val="008D136B"/>
    <w:rsid w:val="008E202D"/>
    <w:rsid w:val="008E25BA"/>
    <w:rsid w:val="008E561E"/>
    <w:rsid w:val="008F213D"/>
    <w:rsid w:val="008F35A2"/>
    <w:rsid w:val="008F4B3F"/>
    <w:rsid w:val="008F545B"/>
    <w:rsid w:val="008F76A1"/>
    <w:rsid w:val="00900640"/>
    <w:rsid w:val="00900E46"/>
    <w:rsid w:val="00903208"/>
    <w:rsid w:val="00910302"/>
    <w:rsid w:val="00911382"/>
    <w:rsid w:val="00912E43"/>
    <w:rsid w:val="00914EE0"/>
    <w:rsid w:val="00917CAE"/>
    <w:rsid w:val="0092381C"/>
    <w:rsid w:val="009258A4"/>
    <w:rsid w:val="00926D85"/>
    <w:rsid w:val="00927216"/>
    <w:rsid w:val="00932310"/>
    <w:rsid w:val="0093454E"/>
    <w:rsid w:val="009378F8"/>
    <w:rsid w:val="00937C07"/>
    <w:rsid w:val="00940DFB"/>
    <w:rsid w:val="00941A98"/>
    <w:rsid w:val="0094577C"/>
    <w:rsid w:val="00947239"/>
    <w:rsid w:val="00950F79"/>
    <w:rsid w:val="00951748"/>
    <w:rsid w:val="00952876"/>
    <w:rsid w:val="00957C27"/>
    <w:rsid w:val="00963B8A"/>
    <w:rsid w:val="00963D39"/>
    <w:rsid w:val="00967714"/>
    <w:rsid w:val="00970F05"/>
    <w:rsid w:val="009713D4"/>
    <w:rsid w:val="00974216"/>
    <w:rsid w:val="009769C0"/>
    <w:rsid w:val="00977B70"/>
    <w:rsid w:val="009807EA"/>
    <w:rsid w:val="0098114F"/>
    <w:rsid w:val="00981216"/>
    <w:rsid w:val="00981B2C"/>
    <w:rsid w:val="009857DD"/>
    <w:rsid w:val="00986629"/>
    <w:rsid w:val="009901A1"/>
    <w:rsid w:val="009913C1"/>
    <w:rsid w:val="0099337A"/>
    <w:rsid w:val="00993568"/>
    <w:rsid w:val="009964A4"/>
    <w:rsid w:val="009A0C15"/>
    <w:rsid w:val="009A23F4"/>
    <w:rsid w:val="009A2855"/>
    <w:rsid w:val="009A61D8"/>
    <w:rsid w:val="009B0397"/>
    <w:rsid w:val="009B2D93"/>
    <w:rsid w:val="009B5619"/>
    <w:rsid w:val="009B6BEB"/>
    <w:rsid w:val="009C0377"/>
    <w:rsid w:val="009C1102"/>
    <w:rsid w:val="009D2067"/>
    <w:rsid w:val="009D55DA"/>
    <w:rsid w:val="009D604D"/>
    <w:rsid w:val="009E0CEE"/>
    <w:rsid w:val="009E3E6B"/>
    <w:rsid w:val="009E6130"/>
    <w:rsid w:val="009F1924"/>
    <w:rsid w:val="009F2BF7"/>
    <w:rsid w:val="009F36A6"/>
    <w:rsid w:val="009F6041"/>
    <w:rsid w:val="00A00327"/>
    <w:rsid w:val="00A04FBB"/>
    <w:rsid w:val="00A0614B"/>
    <w:rsid w:val="00A10976"/>
    <w:rsid w:val="00A159AF"/>
    <w:rsid w:val="00A15CB7"/>
    <w:rsid w:val="00A17FEC"/>
    <w:rsid w:val="00A234BE"/>
    <w:rsid w:val="00A252AC"/>
    <w:rsid w:val="00A26E82"/>
    <w:rsid w:val="00A3287D"/>
    <w:rsid w:val="00A43C9B"/>
    <w:rsid w:val="00A52106"/>
    <w:rsid w:val="00A54793"/>
    <w:rsid w:val="00A5589F"/>
    <w:rsid w:val="00A57DF7"/>
    <w:rsid w:val="00A61501"/>
    <w:rsid w:val="00A62961"/>
    <w:rsid w:val="00A63D02"/>
    <w:rsid w:val="00A64C53"/>
    <w:rsid w:val="00A82FBE"/>
    <w:rsid w:val="00A83609"/>
    <w:rsid w:val="00A87506"/>
    <w:rsid w:val="00A8789E"/>
    <w:rsid w:val="00A91738"/>
    <w:rsid w:val="00A91943"/>
    <w:rsid w:val="00A9734C"/>
    <w:rsid w:val="00A97C0A"/>
    <w:rsid w:val="00AA119C"/>
    <w:rsid w:val="00AA15DA"/>
    <w:rsid w:val="00AC1AEA"/>
    <w:rsid w:val="00AC2D65"/>
    <w:rsid w:val="00AC7488"/>
    <w:rsid w:val="00AD03D3"/>
    <w:rsid w:val="00AD0BAA"/>
    <w:rsid w:val="00AD0EAE"/>
    <w:rsid w:val="00AD43A2"/>
    <w:rsid w:val="00AD491B"/>
    <w:rsid w:val="00AD7C6E"/>
    <w:rsid w:val="00AE3AF6"/>
    <w:rsid w:val="00AE6375"/>
    <w:rsid w:val="00AF4BDE"/>
    <w:rsid w:val="00AF5D3C"/>
    <w:rsid w:val="00B017E0"/>
    <w:rsid w:val="00B02E05"/>
    <w:rsid w:val="00B04623"/>
    <w:rsid w:val="00B05157"/>
    <w:rsid w:val="00B05CD8"/>
    <w:rsid w:val="00B11318"/>
    <w:rsid w:val="00B113F8"/>
    <w:rsid w:val="00B1329D"/>
    <w:rsid w:val="00B14719"/>
    <w:rsid w:val="00B14CE2"/>
    <w:rsid w:val="00B16C6A"/>
    <w:rsid w:val="00B17CD6"/>
    <w:rsid w:val="00B25EFE"/>
    <w:rsid w:val="00B264E2"/>
    <w:rsid w:val="00B26956"/>
    <w:rsid w:val="00B27507"/>
    <w:rsid w:val="00B30FF3"/>
    <w:rsid w:val="00B31B74"/>
    <w:rsid w:val="00B37EA1"/>
    <w:rsid w:val="00B42A38"/>
    <w:rsid w:val="00B42F98"/>
    <w:rsid w:val="00B44EEA"/>
    <w:rsid w:val="00B46B16"/>
    <w:rsid w:val="00B54B1A"/>
    <w:rsid w:val="00B56585"/>
    <w:rsid w:val="00B62836"/>
    <w:rsid w:val="00B6354B"/>
    <w:rsid w:val="00B635D2"/>
    <w:rsid w:val="00B66F55"/>
    <w:rsid w:val="00B737E9"/>
    <w:rsid w:val="00B74D2F"/>
    <w:rsid w:val="00B74E8E"/>
    <w:rsid w:val="00B75BA0"/>
    <w:rsid w:val="00B81684"/>
    <w:rsid w:val="00B85FC9"/>
    <w:rsid w:val="00B87137"/>
    <w:rsid w:val="00B90A5F"/>
    <w:rsid w:val="00B91FDB"/>
    <w:rsid w:val="00B921C7"/>
    <w:rsid w:val="00B95493"/>
    <w:rsid w:val="00B95C7C"/>
    <w:rsid w:val="00BA00F0"/>
    <w:rsid w:val="00BA15E7"/>
    <w:rsid w:val="00BA2741"/>
    <w:rsid w:val="00BA6766"/>
    <w:rsid w:val="00BA6780"/>
    <w:rsid w:val="00BA7802"/>
    <w:rsid w:val="00BB04CE"/>
    <w:rsid w:val="00BB0593"/>
    <w:rsid w:val="00BB56C9"/>
    <w:rsid w:val="00BC0100"/>
    <w:rsid w:val="00BC05A9"/>
    <w:rsid w:val="00BC1DE2"/>
    <w:rsid w:val="00BC42FD"/>
    <w:rsid w:val="00BD25E4"/>
    <w:rsid w:val="00BE1075"/>
    <w:rsid w:val="00BE1517"/>
    <w:rsid w:val="00BE2EBF"/>
    <w:rsid w:val="00BE3276"/>
    <w:rsid w:val="00BE39D2"/>
    <w:rsid w:val="00BE6C70"/>
    <w:rsid w:val="00BE71DB"/>
    <w:rsid w:val="00BE758B"/>
    <w:rsid w:val="00BE7949"/>
    <w:rsid w:val="00BF581D"/>
    <w:rsid w:val="00BF59B9"/>
    <w:rsid w:val="00BF7F3C"/>
    <w:rsid w:val="00C003B4"/>
    <w:rsid w:val="00C011C8"/>
    <w:rsid w:val="00C03C89"/>
    <w:rsid w:val="00C065A4"/>
    <w:rsid w:val="00C07888"/>
    <w:rsid w:val="00C22C92"/>
    <w:rsid w:val="00C305B9"/>
    <w:rsid w:val="00C345A3"/>
    <w:rsid w:val="00C34E5A"/>
    <w:rsid w:val="00C355DE"/>
    <w:rsid w:val="00C42F48"/>
    <w:rsid w:val="00C5041E"/>
    <w:rsid w:val="00C511BF"/>
    <w:rsid w:val="00C51589"/>
    <w:rsid w:val="00C542E5"/>
    <w:rsid w:val="00C56DF7"/>
    <w:rsid w:val="00C56E2A"/>
    <w:rsid w:val="00C6282F"/>
    <w:rsid w:val="00C64C82"/>
    <w:rsid w:val="00C64ECF"/>
    <w:rsid w:val="00C67BFD"/>
    <w:rsid w:val="00C71879"/>
    <w:rsid w:val="00C7564A"/>
    <w:rsid w:val="00C77F5C"/>
    <w:rsid w:val="00C823BD"/>
    <w:rsid w:val="00C842B1"/>
    <w:rsid w:val="00C85F29"/>
    <w:rsid w:val="00C94E62"/>
    <w:rsid w:val="00C97A3D"/>
    <w:rsid w:val="00CB0F8F"/>
    <w:rsid w:val="00CB2047"/>
    <w:rsid w:val="00CB4C7D"/>
    <w:rsid w:val="00CB553F"/>
    <w:rsid w:val="00CB5D12"/>
    <w:rsid w:val="00CB6BF4"/>
    <w:rsid w:val="00CC071C"/>
    <w:rsid w:val="00CC19CD"/>
    <w:rsid w:val="00CC378C"/>
    <w:rsid w:val="00CC4E7E"/>
    <w:rsid w:val="00CC716D"/>
    <w:rsid w:val="00CD1BBA"/>
    <w:rsid w:val="00CD25C1"/>
    <w:rsid w:val="00CD2601"/>
    <w:rsid w:val="00CD6EDA"/>
    <w:rsid w:val="00CE04DF"/>
    <w:rsid w:val="00CE0689"/>
    <w:rsid w:val="00CE7A49"/>
    <w:rsid w:val="00CF0965"/>
    <w:rsid w:val="00CF1879"/>
    <w:rsid w:val="00CF533E"/>
    <w:rsid w:val="00CF7021"/>
    <w:rsid w:val="00CF7355"/>
    <w:rsid w:val="00D0097A"/>
    <w:rsid w:val="00D042FA"/>
    <w:rsid w:val="00D05E47"/>
    <w:rsid w:val="00D071E2"/>
    <w:rsid w:val="00D105F7"/>
    <w:rsid w:val="00D10851"/>
    <w:rsid w:val="00D1480B"/>
    <w:rsid w:val="00D14D22"/>
    <w:rsid w:val="00D16C5E"/>
    <w:rsid w:val="00D21CFF"/>
    <w:rsid w:val="00D24ED9"/>
    <w:rsid w:val="00D2629A"/>
    <w:rsid w:val="00D2655B"/>
    <w:rsid w:val="00D26B8E"/>
    <w:rsid w:val="00D31556"/>
    <w:rsid w:val="00D32B38"/>
    <w:rsid w:val="00D364A0"/>
    <w:rsid w:val="00D37523"/>
    <w:rsid w:val="00D40C28"/>
    <w:rsid w:val="00D44635"/>
    <w:rsid w:val="00D571F4"/>
    <w:rsid w:val="00D644C6"/>
    <w:rsid w:val="00D71116"/>
    <w:rsid w:val="00D72F4E"/>
    <w:rsid w:val="00D75780"/>
    <w:rsid w:val="00D75FE5"/>
    <w:rsid w:val="00D771C4"/>
    <w:rsid w:val="00D80B6D"/>
    <w:rsid w:val="00D844F8"/>
    <w:rsid w:val="00D84DC0"/>
    <w:rsid w:val="00D864E3"/>
    <w:rsid w:val="00D91A0B"/>
    <w:rsid w:val="00D93D46"/>
    <w:rsid w:val="00D94EBB"/>
    <w:rsid w:val="00D959B8"/>
    <w:rsid w:val="00DA1FEF"/>
    <w:rsid w:val="00DA52ED"/>
    <w:rsid w:val="00DA57B4"/>
    <w:rsid w:val="00DA5B40"/>
    <w:rsid w:val="00DB1771"/>
    <w:rsid w:val="00DB472E"/>
    <w:rsid w:val="00DB6AFF"/>
    <w:rsid w:val="00DB7412"/>
    <w:rsid w:val="00DB7FB4"/>
    <w:rsid w:val="00DC3C3E"/>
    <w:rsid w:val="00DC402F"/>
    <w:rsid w:val="00DC5A7C"/>
    <w:rsid w:val="00DD1240"/>
    <w:rsid w:val="00DD2E3C"/>
    <w:rsid w:val="00DD39B0"/>
    <w:rsid w:val="00DD6051"/>
    <w:rsid w:val="00DE1023"/>
    <w:rsid w:val="00DE319E"/>
    <w:rsid w:val="00DE50AB"/>
    <w:rsid w:val="00DF6135"/>
    <w:rsid w:val="00DF618B"/>
    <w:rsid w:val="00E03131"/>
    <w:rsid w:val="00E04B21"/>
    <w:rsid w:val="00E0762C"/>
    <w:rsid w:val="00E17702"/>
    <w:rsid w:val="00E20158"/>
    <w:rsid w:val="00E214D4"/>
    <w:rsid w:val="00E21A19"/>
    <w:rsid w:val="00E26338"/>
    <w:rsid w:val="00E27018"/>
    <w:rsid w:val="00E337A1"/>
    <w:rsid w:val="00E33A69"/>
    <w:rsid w:val="00E352D2"/>
    <w:rsid w:val="00E37BE0"/>
    <w:rsid w:val="00E40706"/>
    <w:rsid w:val="00E40A3C"/>
    <w:rsid w:val="00E4126F"/>
    <w:rsid w:val="00E4232C"/>
    <w:rsid w:val="00E46AA5"/>
    <w:rsid w:val="00E505A9"/>
    <w:rsid w:val="00E50C19"/>
    <w:rsid w:val="00E529DE"/>
    <w:rsid w:val="00E57BBD"/>
    <w:rsid w:val="00E60CCE"/>
    <w:rsid w:val="00E62819"/>
    <w:rsid w:val="00E7553B"/>
    <w:rsid w:val="00E77E03"/>
    <w:rsid w:val="00E80406"/>
    <w:rsid w:val="00E80A95"/>
    <w:rsid w:val="00E81137"/>
    <w:rsid w:val="00E97E05"/>
    <w:rsid w:val="00EA0F1C"/>
    <w:rsid w:val="00EB058D"/>
    <w:rsid w:val="00EB6C23"/>
    <w:rsid w:val="00EC0B1A"/>
    <w:rsid w:val="00EC2613"/>
    <w:rsid w:val="00EC5017"/>
    <w:rsid w:val="00EC537D"/>
    <w:rsid w:val="00EC7A97"/>
    <w:rsid w:val="00ED0F86"/>
    <w:rsid w:val="00ED3DED"/>
    <w:rsid w:val="00ED4B40"/>
    <w:rsid w:val="00ED7518"/>
    <w:rsid w:val="00EE083A"/>
    <w:rsid w:val="00EE3217"/>
    <w:rsid w:val="00EE59B4"/>
    <w:rsid w:val="00EE66CF"/>
    <w:rsid w:val="00EF192A"/>
    <w:rsid w:val="00EF2880"/>
    <w:rsid w:val="00EF4792"/>
    <w:rsid w:val="00EF4EF5"/>
    <w:rsid w:val="00EF62D4"/>
    <w:rsid w:val="00F016B7"/>
    <w:rsid w:val="00F01B49"/>
    <w:rsid w:val="00F03DF7"/>
    <w:rsid w:val="00F07205"/>
    <w:rsid w:val="00F10CA9"/>
    <w:rsid w:val="00F10E30"/>
    <w:rsid w:val="00F12575"/>
    <w:rsid w:val="00F12D20"/>
    <w:rsid w:val="00F13BBA"/>
    <w:rsid w:val="00F171F8"/>
    <w:rsid w:val="00F17973"/>
    <w:rsid w:val="00F25AF8"/>
    <w:rsid w:val="00F26903"/>
    <w:rsid w:val="00F3010A"/>
    <w:rsid w:val="00F30C46"/>
    <w:rsid w:val="00F30DF0"/>
    <w:rsid w:val="00F33203"/>
    <w:rsid w:val="00F340DD"/>
    <w:rsid w:val="00F3580A"/>
    <w:rsid w:val="00F40E71"/>
    <w:rsid w:val="00F52FFB"/>
    <w:rsid w:val="00F534C3"/>
    <w:rsid w:val="00F558DD"/>
    <w:rsid w:val="00F57F52"/>
    <w:rsid w:val="00F6117F"/>
    <w:rsid w:val="00F62A55"/>
    <w:rsid w:val="00F66BA8"/>
    <w:rsid w:val="00F70038"/>
    <w:rsid w:val="00F70EA1"/>
    <w:rsid w:val="00F77847"/>
    <w:rsid w:val="00F8073F"/>
    <w:rsid w:val="00F80F05"/>
    <w:rsid w:val="00F850EE"/>
    <w:rsid w:val="00F87B7E"/>
    <w:rsid w:val="00F87DEF"/>
    <w:rsid w:val="00F93248"/>
    <w:rsid w:val="00F9668F"/>
    <w:rsid w:val="00FA0134"/>
    <w:rsid w:val="00FA6CC1"/>
    <w:rsid w:val="00FA6CEE"/>
    <w:rsid w:val="00FA782C"/>
    <w:rsid w:val="00FB02F5"/>
    <w:rsid w:val="00FB33AE"/>
    <w:rsid w:val="00FB46C7"/>
    <w:rsid w:val="00FB4B19"/>
    <w:rsid w:val="00FB6A8E"/>
    <w:rsid w:val="00FC0DD1"/>
    <w:rsid w:val="00FC1352"/>
    <w:rsid w:val="00FC315D"/>
    <w:rsid w:val="00FC4313"/>
    <w:rsid w:val="00FC68D6"/>
    <w:rsid w:val="00FD030E"/>
    <w:rsid w:val="00FD0985"/>
    <w:rsid w:val="00FD1451"/>
    <w:rsid w:val="00FD3902"/>
    <w:rsid w:val="00FD5BD9"/>
    <w:rsid w:val="00FE0022"/>
    <w:rsid w:val="00FE0C34"/>
    <w:rsid w:val="00FE2C46"/>
    <w:rsid w:val="00FE3CA0"/>
    <w:rsid w:val="00FE4E6D"/>
    <w:rsid w:val="00FF1234"/>
    <w:rsid w:val="00FF31D1"/>
    <w:rsid w:val="00FF6EBE"/>
    <w:rsid w:val="00FF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D4894"/>
  <w15:chartTrackingRefBased/>
  <w15:docId w15:val="{3A20B7A2-C8ED-4EB9-BD34-B31E91154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A04C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52D2"/>
    <w:rPr>
      <w:rFonts w:ascii="Tahoma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970F0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A6C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A6CEE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FA6CEE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597D8A"/>
    <w:pPr>
      <w:spacing w:before="100" w:beforeAutospacing="1" w:after="39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CommentReference">
    <w:name w:val="annotation reference"/>
    <w:uiPriority w:val="99"/>
    <w:semiHidden/>
    <w:unhideWhenUsed/>
    <w:rsid w:val="009901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01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901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01A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901A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6283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6283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6283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6283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2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53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3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56826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7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66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88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03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79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2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126858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6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31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209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8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885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26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51720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08467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0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0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9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6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7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94045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0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04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783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28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90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91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66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676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unesdoc.unesco.org/images/0022/002277/227720e.pdf" TargetMode="External"/><Relationship Id="rId12" Type="http://schemas.openxmlformats.org/officeDocument/2006/relationships/hyperlink" Target="http://www.un.org/esa/socdev/documents/youth/fact-sheets/youth-migration.pdf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lessandra.faggian@gssi.it" TargetMode="External"/><Relationship Id="rId9" Type="http://schemas.openxmlformats.org/officeDocument/2006/relationships/hyperlink" Target="mailto:jj.corcoran@uq.edu.au" TargetMode="External"/><Relationship Id="rId10" Type="http://schemas.openxmlformats.org/officeDocument/2006/relationships/hyperlink" Target="mailto:F.Rowe-Gonzalez@liverpoo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BB94D-46B3-A14A-A810-4EE602BC8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2191</Words>
  <Characters>12491</Characters>
  <Application>Microsoft Macintosh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 of QLD</Company>
  <LinksUpToDate>false</LinksUpToDate>
  <CharactersWithSpaces>14653</CharactersWithSpaces>
  <SharedDoc>false</SharedDoc>
  <HLinks>
    <vt:vector size="30" baseType="variant">
      <vt:variant>
        <vt:i4>5701724</vt:i4>
      </vt:variant>
      <vt:variant>
        <vt:i4>12</vt:i4>
      </vt:variant>
      <vt:variant>
        <vt:i4>0</vt:i4>
      </vt:variant>
      <vt:variant>
        <vt:i4>5</vt:i4>
      </vt:variant>
      <vt:variant>
        <vt:lpwstr>http://www.un.org/esa/socdev/documents/youth/fact-sheets/youth-migration.pdf</vt:lpwstr>
      </vt:variant>
      <vt:variant>
        <vt:lpwstr/>
      </vt:variant>
      <vt:variant>
        <vt:i4>1638410</vt:i4>
      </vt:variant>
      <vt:variant>
        <vt:i4>9</vt:i4>
      </vt:variant>
      <vt:variant>
        <vt:i4>0</vt:i4>
      </vt:variant>
      <vt:variant>
        <vt:i4>5</vt:i4>
      </vt:variant>
      <vt:variant>
        <vt:lpwstr>http://unesdoc.unesco.org/images/0022/002277/227720e.pdf</vt:lpwstr>
      </vt:variant>
      <vt:variant>
        <vt:lpwstr/>
      </vt:variant>
      <vt:variant>
        <vt:i4>6291464</vt:i4>
      </vt:variant>
      <vt:variant>
        <vt:i4>6</vt:i4>
      </vt:variant>
      <vt:variant>
        <vt:i4>0</vt:i4>
      </vt:variant>
      <vt:variant>
        <vt:i4>5</vt:i4>
      </vt:variant>
      <vt:variant>
        <vt:lpwstr>mailto:F.Rowe-Gonzalez@liverpool.ac.uk</vt:lpwstr>
      </vt:variant>
      <vt:variant>
        <vt:lpwstr/>
      </vt:variant>
      <vt:variant>
        <vt:i4>5374079</vt:i4>
      </vt:variant>
      <vt:variant>
        <vt:i4>3</vt:i4>
      </vt:variant>
      <vt:variant>
        <vt:i4>0</vt:i4>
      </vt:variant>
      <vt:variant>
        <vt:i4>5</vt:i4>
      </vt:variant>
      <vt:variant>
        <vt:lpwstr>mailto:jj.corcoran@uq.edu.au</vt:lpwstr>
      </vt:variant>
      <vt:variant>
        <vt:lpwstr/>
      </vt:variant>
      <vt:variant>
        <vt:i4>7536653</vt:i4>
      </vt:variant>
      <vt:variant>
        <vt:i4>0</vt:i4>
      </vt:variant>
      <vt:variant>
        <vt:i4>0</vt:i4>
      </vt:variant>
      <vt:variant>
        <vt:i4>5</vt:i4>
      </vt:variant>
      <vt:variant>
        <vt:lpwstr>mailto:alessandra.faggian@gssi.it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</dc:creator>
  <cp:keywords/>
  <cp:lastModifiedBy>Rowe, Francisco</cp:lastModifiedBy>
  <cp:revision>2</cp:revision>
  <cp:lastPrinted>2014-07-22T22:52:00Z</cp:lastPrinted>
  <dcterms:created xsi:type="dcterms:W3CDTF">2017-10-02T08:09:00Z</dcterms:created>
  <dcterms:modified xsi:type="dcterms:W3CDTF">2017-10-02T08:09:00Z</dcterms:modified>
</cp:coreProperties>
</file>