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39491" w14:textId="77777777" w:rsidR="003E253C" w:rsidRPr="003E751B" w:rsidRDefault="00992E60" w:rsidP="00D9599A">
      <w:pPr>
        <w:rPr>
          <w:rFonts w:ascii="Calibri" w:hAnsi="Calibri"/>
          <w:b/>
          <w:sz w:val="22"/>
          <w:szCs w:val="22"/>
          <w:lang w:val="en-GB"/>
        </w:rPr>
      </w:pPr>
      <w:r w:rsidRPr="003E751B">
        <w:rPr>
          <w:rFonts w:ascii="Calibri" w:hAnsi="Calibri"/>
          <w:b/>
          <w:sz w:val="22"/>
          <w:szCs w:val="22"/>
          <w:lang w:val="en-GB"/>
        </w:rPr>
        <w:t>W</w:t>
      </w:r>
      <w:r w:rsidR="003E253C" w:rsidRPr="003E751B">
        <w:rPr>
          <w:rFonts w:ascii="Calibri" w:hAnsi="Calibri"/>
          <w:b/>
          <w:sz w:val="22"/>
          <w:szCs w:val="22"/>
          <w:lang w:val="en-GB"/>
        </w:rPr>
        <w:t xml:space="preserve">hat about the urban periphery? </w:t>
      </w:r>
      <w:r w:rsidR="00BB3BDE" w:rsidRPr="003E751B">
        <w:rPr>
          <w:rFonts w:ascii="Calibri" w:hAnsi="Calibri"/>
          <w:b/>
          <w:sz w:val="22"/>
          <w:szCs w:val="22"/>
          <w:lang w:val="en-GB"/>
        </w:rPr>
        <w:t>The effects of the urban renaissance in the Mersey Belt</w:t>
      </w:r>
    </w:p>
    <w:p w14:paraId="67674B1A" w14:textId="77777777" w:rsidR="003E253C" w:rsidRPr="003E751B" w:rsidRDefault="003E253C" w:rsidP="00D9599A">
      <w:pPr>
        <w:rPr>
          <w:rFonts w:ascii="Calibri" w:hAnsi="Calibri"/>
          <w:sz w:val="22"/>
          <w:szCs w:val="22"/>
          <w:lang w:val="en-GB"/>
        </w:rPr>
      </w:pPr>
    </w:p>
    <w:p w14:paraId="00B908C7" w14:textId="77777777" w:rsidR="00104DBD" w:rsidRPr="003E751B" w:rsidRDefault="00EB5C58" w:rsidP="00D9599A">
      <w:pPr>
        <w:rPr>
          <w:rFonts w:ascii="Calibri" w:hAnsi="Calibri"/>
          <w:i/>
          <w:sz w:val="22"/>
          <w:szCs w:val="22"/>
          <w:lang w:val="en-GB"/>
        </w:rPr>
      </w:pPr>
      <w:r w:rsidRPr="003E751B">
        <w:rPr>
          <w:rFonts w:ascii="Calibri" w:hAnsi="Calibri"/>
          <w:i/>
          <w:sz w:val="22"/>
          <w:szCs w:val="22"/>
          <w:lang w:val="en-GB"/>
        </w:rPr>
        <w:t xml:space="preserve">Sebastian Dembski, </w:t>
      </w:r>
      <w:r w:rsidR="00B4561A" w:rsidRPr="003E751B">
        <w:rPr>
          <w:rFonts w:ascii="Calibri" w:hAnsi="Calibri"/>
          <w:i/>
          <w:sz w:val="22"/>
          <w:szCs w:val="22"/>
          <w:lang w:val="en-GB"/>
        </w:rPr>
        <w:t xml:space="preserve">Andreas </w:t>
      </w:r>
      <w:r w:rsidR="00E04375" w:rsidRPr="003E751B">
        <w:rPr>
          <w:rFonts w:ascii="Calibri" w:hAnsi="Calibri"/>
          <w:i/>
          <w:sz w:val="22"/>
          <w:szCs w:val="22"/>
          <w:lang w:val="en-GB"/>
        </w:rPr>
        <w:t>Schulze</w:t>
      </w:r>
      <w:r w:rsidR="005D3C10" w:rsidRPr="003E751B">
        <w:rPr>
          <w:rFonts w:ascii="Calibri" w:hAnsi="Calibri"/>
          <w:i/>
          <w:sz w:val="22"/>
          <w:szCs w:val="22"/>
          <w:lang w:val="en-GB"/>
        </w:rPr>
        <w:t xml:space="preserve"> </w:t>
      </w:r>
      <w:r w:rsidR="00E04375" w:rsidRPr="003E751B">
        <w:rPr>
          <w:rFonts w:ascii="Calibri" w:hAnsi="Calibri"/>
          <w:i/>
          <w:sz w:val="22"/>
          <w:szCs w:val="22"/>
          <w:lang w:val="en-GB"/>
        </w:rPr>
        <w:t>B</w:t>
      </w:r>
      <w:r w:rsidR="00B4561A" w:rsidRPr="003E751B">
        <w:rPr>
          <w:rFonts w:ascii="Calibri" w:hAnsi="Calibri"/>
          <w:i/>
          <w:sz w:val="22"/>
          <w:szCs w:val="22"/>
          <w:lang w:val="en-GB"/>
        </w:rPr>
        <w:t>ä</w:t>
      </w:r>
      <w:r w:rsidR="00E04375" w:rsidRPr="003E751B">
        <w:rPr>
          <w:rFonts w:ascii="Calibri" w:hAnsi="Calibri"/>
          <w:i/>
          <w:sz w:val="22"/>
          <w:szCs w:val="22"/>
          <w:lang w:val="en-GB"/>
        </w:rPr>
        <w:t>ing</w:t>
      </w:r>
      <w:r w:rsidR="00D4030D" w:rsidRPr="003E751B">
        <w:rPr>
          <w:rFonts w:ascii="Calibri" w:hAnsi="Calibri"/>
          <w:i/>
          <w:sz w:val="22"/>
          <w:szCs w:val="22"/>
          <w:lang w:val="en-GB"/>
        </w:rPr>
        <w:t>,</w:t>
      </w:r>
      <w:r w:rsidR="00E04375" w:rsidRPr="003E751B">
        <w:rPr>
          <w:rFonts w:ascii="Calibri" w:hAnsi="Calibri"/>
          <w:i/>
          <w:sz w:val="22"/>
          <w:szCs w:val="22"/>
          <w:lang w:val="en-GB"/>
        </w:rPr>
        <w:t xml:space="preserve"> </w:t>
      </w:r>
      <w:r w:rsidR="00B4561A" w:rsidRPr="003E751B">
        <w:rPr>
          <w:rFonts w:ascii="Calibri" w:hAnsi="Calibri"/>
          <w:i/>
          <w:sz w:val="22"/>
          <w:szCs w:val="22"/>
          <w:lang w:val="en-GB"/>
        </w:rPr>
        <w:t xml:space="preserve">Olivier </w:t>
      </w:r>
      <w:r w:rsidR="00E04375" w:rsidRPr="003E751B">
        <w:rPr>
          <w:rFonts w:ascii="Calibri" w:hAnsi="Calibri"/>
          <w:i/>
          <w:sz w:val="22"/>
          <w:szCs w:val="22"/>
          <w:lang w:val="en-GB"/>
        </w:rPr>
        <w:t>Sykes</w:t>
      </w:r>
    </w:p>
    <w:p w14:paraId="55927616" w14:textId="77777777" w:rsidR="00B4561A" w:rsidRPr="003E751B" w:rsidRDefault="00B4561A" w:rsidP="00D9599A">
      <w:pPr>
        <w:rPr>
          <w:rFonts w:ascii="Calibri" w:hAnsi="Calibri"/>
          <w:sz w:val="22"/>
          <w:szCs w:val="22"/>
          <w:lang w:val="en-GB"/>
        </w:rPr>
      </w:pPr>
    </w:p>
    <w:p w14:paraId="6EC901E2" w14:textId="77777777" w:rsidR="008024E0" w:rsidRPr="003E751B" w:rsidRDefault="008024E0" w:rsidP="00D9599A">
      <w:pPr>
        <w:rPr>
          <w:rFonts w:ascii="Calibri" w:hAnsi="Calibri"/>
          <w:sz w:val="22"/>
          <w:szCs w:val="22"/>
          <w:lang w:val="en-GB"/>
        </w:rPr>
      </w:pPr>
    </w:p>
    <w:p w14:paraId="305A22E1" w14:textId="1BA7CD4D" w:rsidR="00EE45F5" w:rsidRPr="003E751B" w:rsidRDefault="00B4561A" w:rsidP="00D9599A">
      <w:pPr>
        <w:rPr>
          <w:rFonts w:ascii="Calibri" w:hAnsi="Calibri"/>
          <w:sz w:val="22"/>
          <w:szCs w:val="22"/>
          <w:lang w:val="en-GB"/>
        </w:rPr>
      </w:pPr>
      <w:r w:rsidRPr="003E751B">
        <w:rPr>
          <w:rFonts w:ascii="Calibri" w:hAnsi="Calibri"/>
          <w:b/>
          <w:sz w:val="22"/>
          <w:szCs w:val="22"/>
          <w:lang w:val="en-GB"/>
        </w:rPr>
        <w:t>Abstract</w:t>
      </w:r>
      <w:r w:rsidR="00D4030D" w:rsidRPr="003E751B">
        <w:rPr>
          <w:rFonts w:ascii="Calibri" w:hAnsi="Calibri"/>
          <w:b/>
          <w:sz w:val="22"/>
          <w:szCs w:val="22"/>
          <w:lang w:val="en-GB"/>
        </w:rPr>
        <w:t>:</w:t>
      </w:r>
      <w:r w:rsidR="00171623" w:rsidRPr="003E751B">
        <w:rPr>
          <w:rFonts w:ascii="Calibri" w:hAnsi="Calibri"/>
          <w:sz w:val="22"/>
          <w:szCs w:val="22"/>
          <w:lang w:val="en-GB"/>
        </w:rPr>
        <w:t xml:space="preserve"> Cities in the UK have undergone an urban renaissance since the late 1990s, when New Labour started an initiative of the same name. </w:t>
      </w:r>
      <w:r w:rsidR="00AD0CCD" w:rsidRPr="003E751B">
        <w:rPr>
          <w:rFonts w:ascii="Calibri" w:hAnsi="Calibri"/>
          <w:sz w:val="22"/>
          <w:szCs w:val="22"/>
          <w:lang w:val="en-GB"/>
        </w:rPr>
        <w:t>However, the effects of urban growth have been limited mainly to the cores of second-tier cities, creating new challenges in the urban fringe of city regions and for cities outside the major agglomerations. In this article</w:t>
      </w:r>
      <w:r w:rsidR="00DE6FD2" w:rsidRPr="003E751B">
        <w:rPr>
          <w:rFonts w:ascii="Calibri" w:hAnsi="Calibri"/>
          <w:sz w:val="22"/>
          <w:szCs w:val="22"/>
          <w:lang w:val="en-GB"/>
        </w:rPr>
        <w:t>,</w:t>
      </w:r>
      <w:r w:rsidR="00AD0CCD" w:rsidRPr="003E751B">
        <w:rPr>
          <w:rFonts w:ascii="Calibri" w:hAnsi="Calibri"/>
          <w:sz w:val="22"/>
          <w:szCs w:val="22"/>
          <w:lang w:val="en-GB"/>
        </w:rPr>
        <w:t xml:space="preserve"> we examine the </w:t>
      </w:r>
      <w:r w:rsidR="009A1633">
        <w:rPr>
          <w:rFonts w:ascii="Calibri" w:hAnsi="Calibri"/>
          <w:sz w:val="22"/>
          <w:szCs w:val="22"/>
          <w:lang w:val="en-GB"/>
        </w:rPr>
        <w:t>process of</w:t>
      </w:r>
      <w:r w:rsidR="00AD0CCD" w:rsidRPr="003E751B">
        <w:rPr>
          <w:rFonts w:ascii="Calibri" w:hAnsi="Calibri"/>
          <w:sz w:val="22"/>
          <w:szCs w:val="22"/>
          <w:lang w:val="en-GB"/>
        </w:rPr>
        <w:t xml:space="preserve"> reurbanisation in the Manchester and Liverpool city regions and zoom in on one of the local authorities in the fringe of </w:t>
      </w:r>
      <w:r w:rsidR="00E073DD" w:rsidRPr="003E751B">
        <w:rPr>
          <w:rFonts w:ascii="Calibri" w:hAnsi="Calibri"/>
          <w:sz w:val="22"/>
          <w:szCs w:val="22"/>
          <w:lang w:val="en-GB"/>
        </w:rPr>
        <w:t xml:space="preserve">these </w:t>
      </w:r>
      <w:r w:rsidR="00AD0CCD" w:rsidRPr="003E751B">
        <w:rPr>
          <w:rFonts w:ascii="Calibri" w:hAnsi="Calibri"/>
          <w:sz w:val="22"/>
          <w:szCs w:val="22"/>
          <w:lang w:val="en-GB"/>
        </w:rPr>
        <w:t>city regions</w:t>
      </w:r>
      <w:r w:rsidR="00E073DD" w:rsidRPr="003E751B">
        <w:rPr>
          <w:rFonts w:ascii="Calibri" w:hAnsi="Calibri"/>
          <w:sz w:val="22"/>
          <w:szCs w:val="22"/>
          <w:lang w:val="en-GB"/>
        </w:rPr>
        <w:t xml:space="preserve"> which is</w:t>
      </w:r>
      <w:r w:rsidR="00AD0CCD" w:rsidRPr="003E751B">
        <w:rPr>
          <w:rFonts w:ascii="Calibri" w:hAnsi="Calibri"/>
          <w:sz w:val="22"/>
          <w:szCs w:val="22"/>
          <w:lang w:val="en-GB"/>
        </w:rPr>
        <w:t xml:space="preserve"> trying to grapple with the challenges posed by a new urban age. </w:t>
      </w:r>
      <w:r w:rsidR="001917FF" w:rsidRPr="003E751B">
        <w:rPr>
          <w:rFonts w:ascii="Calibri" w:hAnsi="Calibri"/>
          <w:sz w:val="22"/>
          <w:szCs w:val="22"/>
          <w:lang w:val="en-GB"/>
        </w:rPr>
        <w:t xml:space="preserve">We find increasing evidence that places in the spatial in-between of urban regions face particular challenges as a result of the urban renaissance, with the already problematic areas </w:t>
      </w:r>
      <w:r w:rsidR="00EE45F5" w:rsidRPr="003E751B">
        <w:rPr>
          <w:rFonts w:ascii="Calibri" w:hAnsi="Calibri"/>
          <w:sz w:val="22"/>
          <w:szCs w:val="22"/>
          <w:lang w:val="en-GB"/>
        </w:rPr>
        <w:t xml:space="preserve">requiring increased attention to avoid structural urban problems similar to that of the inner urban areas in the past. </w:t>
      </w:r>
    </w:p>
    <w:p w14:paraId="0CF8DB3F" w14:textId="77777777" w:rsidR="00D4030D" w:rsidRPr="003E751B" w:rsidRDefault="00D4030D" w:rsidP="00D9599A">
      <w:pPr>
        <w:rPr>
          <w:rFonts w:ascii="Calibri" w:hAnsi="Calibri"/>
          <w:b/>
          <w:sz w:val="22"/>
          <w:szCs w:val="22"/>
          <w:lang w:val="en-GB"/>
        </w:rPr>
      </w:pPr>
    </w:p>
    <w:p w14:paraId="41FFBAA1" w14:textId="77777777" w:rsidR="00D4030D" w:rsidRPr="003E751B" w:rsidRDefault="00D4030D" w:rsidP="00D9599A">
      <w:pPr>
        <w:rPr>
          <w:rFonts w:ascii="Calibri" w:hAnsi="Calibri"/>
          <w:sz w:val="22"/>
          <w:szCs w:val="22"/>
          <w:lang w:val="en-GB"/>
        </w:rPr>
      </w:pPr>
      <w:r w:rsidRPr="003E751B">
        <w:rPr>
          <w:rFonts w:ascii="Calibri" w:hAnsi="Calibri"/>
          <w:b/>
          <w:sz w:val="22"/>
          <w:szCs w:val="22"/>
          <w:lang w:val="en-GB"/>
        </w:rPr>
        <w:t xml:space="preserve">Keywords: </w:t>
      </w:r>
      <w:r w:rsidRPr="003E751B">
        <w:rPr>
          <w:rFonts w:ascii="Calibri" w:hAnsi="Calibri"/>
          <w:sz w:val="22"/>
          <w:szCs w:val="22"/>
          <w:lang w:val="en-GB"/>
        </w:rPr>
        <w:t>Urban Renaissance, Urban Periphery, City Regions, Shrinking Cities</w:t>
      </w:r>
      <w:r w:rsidR="00DE6FD2" w:rsidRPr="003E751B">
        <w:rPr>
          <w:rFonts w:ascii="Calibri" w:hAnsi="Calibri"/>
          <w:sz w:val="22"/>
          <w:szCs w:val="22"/>
          <w:lang w:val="en-GB"/>
        </w:rPr>
        <w:t xml:space="preserve">, </w:t>
      </w:r>
      <w:r w:rsidR="00183BC8" w:rsidRPr="003E751B">
        <w:rPr>
          <w:rFonts w:ascii="Calibri" w:hAnsi="Calibri"/>
          <w:sz w:val="22"/>
          <w:szCs w:val="22"/>
          <w:lang w:val="en-GB"/>
        </w:rPr>
        <w:t>Small and Medium Towns</w:t>
      </w:r>
    </w:p>
    <w:p w14:paraId="0F7BBA33" w14:textId="77777777" w:rsidR="00EC1858" w:rsidRPr="003E751B" w:rsidRDefault="00EC1858" w:rsidP="00D9599A">
      <w:pPr>
        <w:rPr>
          <w:rFonts w:ascii="Calibri" w:hAnsi="Calibri"/>
          <w:sz w:val="22"/>
          <w:szCs w:val="22"/>
          <w:lang w:val="en-GB"/>
        </w:rPr>
      </w:pPr>
    </w:p>
    <w:p w14:paraId="5B152949" w14:textId="77777777" w:rsidR="00B66883" w:rsidRPr="003E751B" w:rsidRDefault="00152F93" w:rsidP="00D9599A">
      <w:pPr>
        <w:keepNext/>
        <w:ind w:left="567" w:hanging="567"/>
        <w:rPr>
          <w:rFonts w:ascii="Calibri" w:hAnsi="Calibri"/>
          <w:b/>
          <w:sz w:val="22"/>
          <w:szCs w:val="22"/>
          <w:lang w:val="en-GB"/>
        </w:rPr>
      </w:pPr>
      <w:r w:rsidRPr="003E751B">
        <w:rPr>
          <w:rFonts w:ascii="Calibri" w:hAnsi="Calibri"/>
          <w:b/>
          <w:sz w:val="22"/>
          <w:szCs w:val="22"/>
          <w:lang w:val="en-GB"/>
        </w:rPr>
        <w:t>1</w:t>
      </w:r>
      <w:r w:rsidRPr="003E751B">
        <w:rPr>
          <w:rFonts w:ascii="Calibri" w:hAnsi="Calibri"/>
          <w:b/>
          <w:sz w:val="22"/>
          <w:szCs w:val="22"/>
          <w:lang w:val="en-GB"/>
        </w:rPr>
        <w:tab/>
      </w:r>
      <w:r w:rsidR="000846C3" w:rsidRPr="003E751B">
        <w:rPr>
          <w:rFonts w:ascii="Calibri" w:hAnsi="Calibri"/>
          <w:b/>
          <w:sz w:val="22"/>
          <w:szCs w:val="22"/>
          <w:lang w:val="en-GB"/>
        </w:rPr>
        <w:t>Introduction</w:t>
      </w:r>
    </w:p>
    <w:p w14:paraId="3851C36B" w14:textId="04478606" w:rsidR="00C70822" w:rsidRPr="003E751B" w:rsidRDefault="00C70822" w:rsidP="00EC1858">
      <w:pPr>
        <w:rPr>
          <w:rFonts w:ascii="Calibri" w:hAnsi="Calibri"/>
          <w:sz w:val="22"/>
          <w:szCs w:val="22"/>
          <w:lang w:val="en-GB"/>
        </w:rPr>
      </w:pPr>
      <w:proofErr w:type="gramStart"/>
      <w:r w:rsidRPr="003E751B">
        <w:rPr>
          <w:rFonts w:ascii="Calibri" w:hAnsi="Calibri"/>
          <w:sz w:val="22"/>
          <w:szCs w:val="22"/>
          <w:lang w:val="en-GB"/>
        </w:rPr>
        <w:t>Certainly</w:t>
      </w:r>
      <w:proofErr w:type="gramEnd"/>
      <w:r w:rsidRPr="003E751B">
        <w:rPr>
          <w:rFonts w:ascii="Calibri" w:hAnsi="Calibri"/>
          <w:sz w:val="22"/>
          <w:szCs w:val="22"/>
          <w:lang w:val="en-GB"/>
        </w:rPr>
        <w:t xml:space="preserve"> since the </w:t>
      </w:r>
      <w:r w:rsidR="00D76EE4" w:rsidRPr="003E751B">
        <w:rPr>
          <w:rFonts w:ascii="Calibri" w:hAnsi="Calibri"/>
          <w:sz w:val="22"/>
          <w:szCs w:val="22"/>
          <w:lang w:val="en-GB"/>
        </w:rPr>
        <w:t xml:space="preserve">start of the new </w:t>
      </w:r>
      <w:r w:rsidR="00C060DA" w:rsidRPr="003E751B">
        <w:rPr>
          <w:rFonts w:ascii="Calibri" w:hAnsi="Calibri"/>
          <w:sz w:val="22"/>
          <w:szCs w:val="22"/>
          <w:lang w:val="en-GB"/>
        </w:rPr>
        <w:t>millennium</w:t>
      </w:r>
      <w:r w:rsidR="00D76EE4" w:rsidRPr="003E751B">
        <w:rPr>
          <w:rFonts w:ascii="Calibri" w:hAnsi="Calibri"/>
          <w:sz w:val="22"/>
          <w:szCs w:val="22"/>
          <w:lang w:val="en-GB"/>
        </w:rPr>
        <w:t>, evi</w:t>
      </w:r>
      <w:r w:rsidRPr="003E751B">
        <w:rPr>
          <w:rFonts w:ascii="Calibri" w:hAnsi="Calibri"/>
          <w:sz w:val="22"/>
          <w:szCs w:val="22"/>
          <w:lang w:val="en-GB"/>
        </w:rPr>
        <w:t xml:space="preserve">dence </w:t>
      </w:r>
      <w:r w:rsidR="00F16443" w:rsidRPr="003E751B">
        <w:rPr>
          <w:rFonts w:ascii="Calibri" w:hAnsi="Calibri"/>
          <w:sz w:val="22"/>
          <w:szCs w:val="22"/>
          <w:lang w:val="en-GB"/>
        </w:rPr>
        <w:t xml:space="preserve">has </w:t>
      </w:r>
      <w:r w:rsidRPr="003E751B">
        <w:rPr>
          <w:rFonts w:ascii="Calibri" w:hAnsi="Calibri"/>
          <w:sz w:val="22"/>
          <w:szCs w:val="22"/>
          <w:lang w:val="en-GB"/>
        </w:rPr>
        <w:t>amasse</w:t>
      </w:r>
      <w:r w:rsidR="00F16443" w:rsidRPr="003E751B">
        <w:rPr>
          <w:rFonts w:ascii="Calibri" w:hAnsi="Calibri"/>
          <w:sz w:val="22"/>
          <w:szCs w:val="22"/>
          <w:lang w:val="en-GB"/>
        </w:rPr>
        <w:t>d</w:t>
      </w:r>
      <w:r w:rsidRPr="003E751B">
        <w:rPr>
          <w:rFonts w:ascii="Calibri" w:hAnsi="Calibri"/>
          <w:sz w:val="22"/>
          <w:szCs w:val="22"/>
          <w:lang w:val="en-GB"/>
        </w:rPr>
        <w:t xml:space="preserve"> that the economic resurgence of cities increasingly translates into demographic growth</w:t>
      </w:r>
      <w:r w:rsidR="003B2C71" w:rsidRPr="003E751B">
        <w:rPr>
          <w:rFonts w:ascii="Calibri" w:hAnsi="Calibri"/>
          <w:sz w:val="22"/>
          <w:szCs w:val="22"/>
          <w:lang w:val="en-GB"/>
        </w:rPr>
        <w:t xml:space="preserve">, </w:t>
      </w:r>
      <w:r w:rsidR="00535088">
        <w:rPr>
          <w:rFonts w:ascii="Calibri" w:hAnsi="Calibri"/>
          <w:sz w:val="22"/>
          <w:szCs w:val="22"/>
          <w:lang w:val="en-GB"/>
        </w:rPr>
        <w:t>even in those cities most heavily affected by the change towards post-industrial urban economies.</w:t>
      </w:r>
      <w:r w:rsidR="00B06E53">
        <w:rPr>
          <w:rFonts w:ascii="Calibri" w:hAnsi="Calibri"/>
          <w:sz w:val="22"/>
          <w:szCs w:val="22"/>
          <w:lang w:val="en-GB"/>
        </w:rPr>
        <w:t xml:space="preserve"> This process is </w:t>
      </w:r>
      <w:r w:rsidR="003B2C71" w:rsidRPr="003E751B">
        <w:rPr>
          <w:rFonts w:ascii="Calibri" w:hAnsi="Calibri"/>
          <w:sz w:val="22"/>
          <w:szCs w:val="22"/>
          <w:lang w:val="en-GB"/>
        </w:rPr>
        <w:t>commonly referred to as reurbanisation</w:t>
      </w:r>
      <w:r w:rsidRPr="003E751B">
        <w:rPr>
          <w:rFonts w:ascii="Calibri" w:hAnsi="Calibri"/>
          <w:sz w:val="22"/>
          <w:szCs w:val="22"/>
          <w:lang w:val="en-GB"/>
        </w:rPr>
        <w:t xml:space="preserve">. </w:t>
      </w:r>
      <w:r w:rsidR="003B2C71" w:rsidRPr="003E751B">
        <w:rPr>
          <w:rFonts w:ascii="Calibri" w:hAnsi="Calibri"/>
          <w:sz w:val="22"/>
          <w:szCs w:val="22"/>
          <w:lang w:val="en-GB"/>
        </w:rPr>
        <w:t>Already in the mid-2000s a major study i</w:t>
      </w:r>
      <w:r w:rsidR="007071D4" w:rsidRPr="003E751B">
        <w:rPr>
          <w:rFonts w:ascii="Calibri" w:hAnsi="Calibri"/>
          <w:sz w:val="22"/>
          <w:szCs w:val="22"/>
          <w:lang w:val="en-GB"/>
        </w:rPr>
        <w:t>n the UK suggest</w:t>
      </w:r>
      <w:r w:rsidR="003B2C71" w:rsidRPr="003E751B">
        <w:rPr>
          <w:rFonts w:ascii="Calibri" w:hAnsi="Calibri"/>
          <w:sz w:val="22"/>
          <w:szCs w:val="22"/>
          <w:lang w:val="en-GB"/>
        </w:rPr>
        <w:t>ed</w:t>
      </w:r>
      <w:r w:rsidR="007071D4" w:rsidRPr="003E751B">
        <w:rPr>
          <w:rFonts w:ascii="Calibri" w:hAnsi="Calibri"/>
          <w:sz w:val="22"/>
          <w:szCs w:val="22"/>
          <w:lang w:val="en-GB"/>
        </w:rPr>
        <w:t xml:space="preserve"> “bright demographic prospects for urban England, especially its larger cities” (</w:t>
      </w:r>
      <w:r w:rsidR="007071D4" w:rsidRPr="003E751B">
        <w:rPr>
          <w:rFonts w:ascii="Calibri" w:hAnsi="Calibri"/>
          <w:i/>
          <w:sz w:val="22"/>
          <w:szCs w:val="22"/>
          <w:lang w:val="en-GB"/>
        </w:rPr>
        <w:t>Parkinson et al.</w:t>
      </w:r>
      <w:r w:rsidR="007071D4" w:rsidRPr="003E751B">
        <w:rPr>
          <w:rFonts w:ascii="Calibri" w:hAnsi="Calibri"/>
          <w:sz w:val="22"/>
          <w:szCs w:val="22"/>
          <w:lang w:val="en-GB"/>
        </w:rPr>
        <w:t xml:space="preserve"> 2006</w:t>
      </w:r>
      <w:r w:rsidR="00555723" w:rsidRPr="003E751B">
        <w:rPr>
          <w:rFonts w:ascii="Calibri" w:hAnsi="Calibri"/>
          <w:sz w:val="22"/>
          <w:szCs w:val="22"/>
          <w:lang w:val="en-GB"/>
        </w:rPr>
        <w:t>:</w:t>
      </w:r>
      <w:r w:rsidR="00DE0900" w:rsidRPr="003E751B">
        <w:rPr>
          <w:rFonts w:ascii="Calibri" w:hAnsi="Calibri"/>
          <w:sz w:val="22"/>
          <w:szCs w:val="22"/>
          <w:lang w:val="en-GB"/>
        </w:rPr>
        <w:t xml:space="preserve"> Vol. 2, 111</w:t>
      </w:r>
      <w:r w:rsidR="007071D4" w:rsidRPr="003E751B">
        <w:rPr>
          <w:rFonts w:ascii="Calibri" w:hAnsi="Calibri"/>
          <w:sz w:val="22"/>
          <w:szCs w:val="22"/>
          <w:lang w:val="en-GB"/>
        </w:rPr>
        <w:t>). This outlook was confirmed in the 2011 Census, showing that cities have indeed regained population over the previous decade, and in many case</w:t>
      </w:r>
      <w:r w:rsidR="00F16443" w:rsidRPr="003E751B">
        <w:rPr>
          <w:rFonts w:ascii="Calibri" w:hAnsi="Calibri"/>
          <w:sz w:val="22"/>
          <w:szCs w:val="22"/>
          <w:lang w:val="en-GB"/>
        </w:rPr>
        <w:t>s</w:t>
      </w:r>
      <w:r w:rsidR="007071D4" w:rsidRPr="003E751B">
        <w:rPr>
          <w:rFonts w:ascii="Calibri" w:hAnsi="Calibri"/>
          <w:sz w:val="22"/>
          <w:szCs w:val="22"/>
          <w:lang w:val="en-GB"/>
        </w:rPr>
        <w:t xml:space="preserve"> substantially. </w:t>
      </w:r>
      <w:r w:rsidRPr="003E751B">
        <w:rPr>
          <w:rFonts w:ascii="Calibri" w:hAnsi="Calibri"/>
          <w:sz w:val="22"/>
          <w:szCs w:val="22"/>
          <w:lang w:val="en-GB"/>
        </w:rPr>
        <w:t>More important</w:t>
      </w:r>
      <w:r w:rsidR="001B157B" w:rsidRPr="003E751B">
        <w:rPr>
          <w:rFonts w:ascii="Calibri" w:hAnsi="Calibri"/>
          <w:sz w:val="22"/>
          <w:szCs w:val="22"/>
          <w:lang w:val="en-GB"/>
        </w:rPr>
        <w:t>ly</w:t>
      </w:r>
      <w:r w:rsidRPr="003E751B">
        <w:rPr>
          <w:rFonts w:ascii="Calibri" w:hAnsi="Calibri"/>
          <w:sz w:val="22"/>
          <w:szCs w:val="22"/>
          <w:lang w:val="en-GB"/>
        </w:rPr>
        <w:t xml:space="preserve">, growth is not restricted to booming London and the wider Southeast, but has also reached </w:t>
      </w:r>
      <w:r w:rsidR="00B06E53">
        <w:rPr>
          <w:rFonts w:ascii="Calibri" w:hAnsi="Calibri"/>
          <w:sz w:val="22"/>
          <w:szCs w:val="22"/>
          <w:lang w:val="en-GB"/>
        </w:rPr>
        <w:t>second-tier cities</w:t>
      </w:r>
      <w:r w:rsidR="007071D4" w:rsidRPr="003E751B">
        <w:rPr>
          <w:rFonts w:ascii="Calibri" w:hAnsi="Calibri"/>
          <w:sz w:val="22"/>
          <w:szCs w:val="22"/>
          <w:lang w:val="en-GB"/>
        </w:rPr>
        <w:t>.</w:t>
      </w:r>
      <w:r w:rsidR="00D76EE4" w:rsidRPr="003E751B">
        <w:rPr>
          <w:rFonts w:ascii="Calibri" w:hAnsi="Calibri"/>
          <w:sz w:val="22"/>
          <w:szCs w:val="22"/>
          <w:lang w:val="en-GB"/>
        </w:rPr>
        <w:t xml:space="preserve"> </w:t>
      </w:r>
      <w:r w:rsidRPr="003E751B">
        <w:rPr>
          <w:rFonts w:ascii="Calibri" w:hAnsi="Calibri"/>
          <w:sz w:val="22"/>
          <w:szCs w:val="22"/>
          <w:lang w:val="en-GB"/>
        </w:rPr>
        <w:t xml:space="preserve">For instance, Manchester grew by </w:t>
      </w:r>
      <w:r w:rsidR="007071D4" w:rsidRPr="003E751B">
        <w:rPr>
          <w:rFonts w:ascii="Calibri" w:hAnsi="Calibri"/>
          <w:sz w:val="22"/>
          <w:szCs w:val="22"/>
          <w:lang w:val="en-GB"/>
        </w:rPr>
        <w:t xml:space="preserve">almost </w:t>
      </w:r>
      <w:r w:rsidRPr="003E751B">
        <w:rPr>
          <w:rFonts w:ascii="Calibri" w:hAnsi="Calibri"/>
          <w:sz w:val="22"/>
          <w:szCs w:val="22"/>
          <w:lang w:val="en-GB"/>
        </w:rPr>
        <w:t xml:space="preserve">20 per cent </w:t>
      </w:r>
      <w:r w:rsidR="007071D4" w:rsidRPr="003E751B">
        <w:rPr>
          <w:rFonts w:ascii="Calibri" w:hAnsi="Calibri"/>
          <w:sz w:val="22"/>
          <w:szCs w:val="22"/>
          <w:lang w:val="en-GB"/>
        </w:rPr>
        <w:t>over</w:t>
      </w:r>
      <w:r w:rsidRPr="003E751B">
        <w:rPr>
          <w:rFonts w:ascii="Calibri" w:hAnsi="Calibri"/>
          <w:sz w:val="22"/>
          <w:szCs w:val="22"/>
          <w:lang w:val="en-GB"/>
        </w:rPr>
        <w:t xml:space="preserve"> the period 2001–2011</w:t>
      </w:r>
      <w:r w:rsidR="00962D18" w:rsidRPr="003E751B">
        <w:rPr>
          <w:rFonts w:ascii="Calibri" w:hAnsi="Calibri"/>
          <w:sz w:val="22"/>
          <w:szCs w:val="22"/>
          <w:lang w:val="en-GB"/>
        </w:rPr>
        <w:t xml:space="preserve"> </w:t>
      </w:r>
      <w:r w:rsidR="004C4070" w:rsidRPr="00D707E7">
        <w:rPr>
          <w:rFonts w:ascii="Calibri" w:hAnsi="Calibri"/>
          <w:sz w:val="22"/>
          <w:szCs w:val="22"/>
          <w:lang w:val="en-GB"/>
        </w:rPr>
        <w:fldChar w:fldCharType="begin"/>
      </w:r>
      <w:r w:rsidRPr="003E751B">
        <w:rPr>
          <w:rFonts w:ascii="Calibri" w:hAnsi="Calibri"/>
          <w:sz w:val="22"/>
          <w:szCs w:val="22"/>
          <w:lang w:val="en-GB"/>
        </w:rPr>
        <w:instrText xml:space="preserve"> ADDIN EN.CITE &lt;EndNote&gt;&lt;Cite&gt;&lt;Author&gt;Rae&lt;/Author&gt;&lt;Year&gt;2013&lt;/Year&gt;&lt;RecNum&gt;4&lt;/RecNum&gt;&lt;DisplayText&gt;(Rae 2013)&lt;/DisplayText&gt;&lt;record&gt;&lt;rec-number&gt;4&lt;/rec-number&gt;&lt;foreign-keys&gt;&lt;key app="EN" db-id="ftft0spwgfe5sve52agvra5bx0tprpffaz29" timestamp="1434723646"&gt;4&lt;/key&gt;&lt;/foreign-keys&gt;&lt;ref-type name="Journal Article"&gt;17&lt;/ref-type&gt;&lt;contributors&gt;&lt;authors&gt;&lt;author&gt;Rae, Alasdair&lt;/author&gt;&lt;/authors&gt;&lt;/contributors&gt;&lt;titles&gt;&lt;title&gt;English urban policy and the return to the city: A decade of growth, 2001–2011&lt;/title&gt;&lt;secondary-title&gt;Cities&lt;/secondary-title&gt;&lt;/titles&gt;&lt;periodical&gt;&lt;full-title&gt;Cities&lt;/full-title&gt;&lt;/periodical&gt;&lt;pages&gt;94-101&lt;/pages&gt;&lt;volume&gt;32&lt;/volume&gt;&lt;number&gt;0&lt;/number&gt;&lt;keywords&gt;&lt;keyword&gt;Cities&lt;/keyword&gt;&lt;keyword&gt;Urban policy&lt;/keyword&gt;&lt;keyword&gt;Reurbanization&lt;/keyword&gt;&lt;keyword&gt;England&lt;/keyword&gt;&lt;keyword&gt;Population&lt;/keyword&gt;&lt;keyword&gt;Growth&lt;/keyword&gt;&lt;keyword&gt;City centres&lt;/keyword&gt;&lt;keyword&gt;Urban white paper&lt;/keyword&gt;&lt;keyword&gt;Deprivation&lt;/keyword&gt;&lt;/keywords&gt;&lt;dates&gt;&lt;year&gt;2013&lt;/year&gt;&lt;pub-dates&gt;&lt;date&gt;6//&lt;/date&gt;&lt;/pub-dates&gt;&lt;/dates&gt;&lt;isbn&gt;0264-2751&lt;/isbn&gt;&lt;urls&gt;&lt;related-urls&gt;&lt;url&gt;http://www.sciencedirect.com/science/article/pii/S0264275113000383&lt;/url&gt;&lt;/related-urls&gt;&lt;/urls&gt;&lt;electronic-resource-num&gt;http://dx.doi.org/10.1016/j.cities.2013.03.012&lt;/electronic-resource-num&gt;&lt;/record&gt;&lt;/Cite&gt;&lt;/EndNote&gt;</w:instrText>
      </w:r>
      <w:r w:rsidR="004C4070" w:rsidRPr="00D707E7">
        <w:rPr>
          <w:rFonts w:ascii="Calibri" w:hAnsi="Calibri"/>
          <w:sz w:val="22"/>
          <w:szCs w:val="22"/>
          <w:lang w:val="en-GB"/>
        </w:rPr>
        <w:fldChar w:fldCharType="separate"/>
      </w:r>
      <w:r w:rsidRPr="003E751B">
        <w:rPr>
          <w:rFonts w:ascii="Calibri" w:hAnsi="Calibri"/>
          <w:noProof/>
          <w:sz w:val="22"/>
          <w:szCs w:val="22"/>
          <w:lang w:val="en-GB"/>
        </w:rPr>
        <w:t>(</w:t>
      </w:r>
      <w:r w:rsidRPr="003E751B">
        <w:rPr>
          <w:rFonts w:ascii="Calibri" w:hAnsi="Calibri"/>
          <w:i/>
          <w:noProof/>
          <w:sz w:val="22"/>
          <w:szCs w:val="22"/>
          <w:lang w:val="en-GB"/>
        </w:rPr>
        <w:t>Rae</w:t>
      </w:r>
      <w:r w:rsidRPr="003E751B">
        <w:rPr>
          <w:rFonts w:ascii="Calibri" w:hAnsi="Calibri"/>
          <w:noProof/>
          <w:sz w:val="22"/>
          <w:szCs w:val="22"/>
          <w:lang w:val="en-GB"/>
        </w:rPr>
        <w:t xml:space="preserve"> 2013)</w:t>
      </w:r>
      <w:r w:rsidR="004C4070" w:rsidRPr="00D707E7">
        <w:rPr>
          <w:rFonts w:ascii="Calibri" w:hAnsi="Calibri"/>
          <w:sz w:val="22"/>
          <w:szCs w:val="22"/>
          <w:lang w:val="en-GB"/>
        </w:rPr>
        <w:fldChar w:fldCharType="end"/>
      </w:r>
      <w:r w:rsidRPr="003E751B">
        <w:rPr>
          <w:rFonts w:ascii="Calibri" w:hAnsi="Calibri"/>
          <w:sz w:val="22"/>
          <w:szCs w:val="22"/>
          <w:lang w:val="en-GB"/>
        </w:rPr>
        <w:t>.</w:t>
      </w:r>
      <w:r w:rsidR="005110E6" w:rsidRPr="003E751B">
        <w:rPr>
          <w:rFonts w:ascii="Calibri" w:hAnsi="Calibri"/>
          <w:sz w:val="22"/>
          <w:szCs w:val="22"/>
          <w:lang w:val="en-GB"/>
        </w:rPr>
        <w:t xml:space="preserve"> However, while all of Britain’s large urban areas have gained population, not all of them grew as </w:t>
      </w:r>
      <w:r w:rsidR="00B349C1" w:rsidRPr="003E751B">
        <w:rPr>
          <w:rFonts w:ascii="Calibri" w:hAnsi="Calibri"/>
          <w:sz w:val="22"/>
          <w:szCs w:val="22"/>
          <w:lang w:val="en-GB"/>
        </w:rPr>
        <w:t>strong</w:t>
      </w:r>
      <w:r w:rsidR="001B157B" w:rsidRPr="003E751B">
        <w:rPr>
          <w:rFonts w:ascii="Calibri" w:hAnsi="Calibri"/>
          <w:sz w:val="22"/>
          <w:szCs w:val="22"/>
          <w:lang w:val="en-GB"/>
        </w:rPr>
        <w:t>ly</w:t>
      </w:r>
      <w:r w:rsidR="00B349C1" w:rsidRPr="003E751B">
        <w:rPr>
          <w:rFonts w:ascii="Calibri" w:hAnsi="Calibri"/>
          <w:sz w:val="22"/>
          <w:szCs w:val="22"/>
          <w:lang w:val="en-GB"/>
        </w:rPr>
        <w:t xml:space="preserve"> </w:t>
      </w:r>
      <w:r w:rsidR="005110E6" w:rsidRPr="003E751B">
        <w:rPr>
          <w:rFonts w:ascii="Calibri" w:hAnsi="Calibri"/>
          <w:sz w:val="22"/>
          <w:szCs w:val="22"/>
          <w:lang w:val="en-GB"/>
        </w:rPr>
        <w:t>as the UK population (</w:t>
      </w:r>
      <w:r w:rsidR="005110E6" w:rsidRPr="003E751B">
        <w:rPr>
          <w:rFonts w:ascii="Calibri" w:hAnsi="Calibri"/>
          <w:i/>
          <w:sz w:val="22"/>
          <w:szCs w:val="22"/>
          <w:lang w:val="en-GB"/>
        </w:rPr>
        <w:t xml:space="preserve">McCann </w:t>
      </w:r>
      <w:r w:rsidR="005110E6" w:rsidRPr="003E751B">
        <w:rPr>
          <w:rFonts w:ascii="Calibri" w:hAnsi="Calibri"/>
          <w:sz w:val="22"/>
          <w:szCs w:val="22"/>
          <w:lang w:val="en-GB"/>
        </w:rPr>
        <w:t>2016</w:t>
      </w:r>
      <w:r w:rsidR="00555723" w:rsidRPr="003E751B">
        <w:rPr>
          <w:rFonts w:ascii="Calibri" w:hAnsi="Calibri"/>
          <w:sz w:val="22"/>
          <w:szCs w:val="22"/>
          <w:lang w:val="en-GB"/>
        </w:rPr>
        <w:t>:</w:t>
      </w:r>
      <w:r w:rsidR="005110E6" w:rsidRPr="003E751B">
        <w:rPr>
          <w:rFonts w:ascii="Calibri" w:hAnsi="Calibri"/>
          <w:sz w:val="22"/>
          <w:szCs w:val="22"/>
          <w:lang w:val="en-GB"/>
        </w:rPr>
        <w:t xml:space="preserve"> 125).</w:t>
      </w:r>
      <w:r w:rsidR="007071D4" w:rsidRPr="003E751B">
        <w:rPr>
          <w:rFonts w:ascii="Calibri" w:hAnsi="Calibri"/>
          <w:sz w:val="22"/>
          <w:szCs w:val="22"/>
          <w:lang w:val="en-GB"/>
        </w:rPr>
        <w:t xml:space="preserve"> Similar evidence can be found </w:t>
      </w:r>
      <w:r w:rsidR="005F3E5C" w:rsidRPr="003E751B">
        <w:rPr>
          <w:rFonts w:ascii="Calibri" w:hAnsi="Calibri"/>
          <w:sz w:val="22"/>
          <w:szCs w:val="22"/>
          <w:lang w:val="en-GB"/>
        </w:rPr>
        <w:t>for</w:t>
      </w:r>
      <w:r w:rsidR="007071D4" w:rsidRPr="003E751B">
        <w:rPr>
          <w:rFonts w:ascii="Calibri" w:hAnsi="Calibri"/>
          <w:sz w:val="22"/>
          <w:szCs w:val="22"/>
          <w:lang w:val="en-GB"/>
        </w:rPr>
        <w:t xml:space="preserve"> Germany</w:t>
      </w:r>
      <w:r w:rsidR="002F7C94" w:rsidRPr="003E751B">
        <w:rPr>
          <w:rFonts w:ascii="Calibri" w:hAnsi="Calibri"/>
          <w:sz w:val="22"/>
          <w:szCs w:val="22"/>
          <w:lang w:val="en-GB"/>
        </w:rPr>
        <w:t>, the Netherlands</w:t>
      </w:r>
      <w:r w:rsidR="007071D4" w:rsidRPr="003E751B">
        <w:rPr>
          <w:rFonts w:ascii="Calibri" w:hAnsi="Calibri"/>
          <w:sz w:val="22"/>
          <w:szCs w:val="22"/>
          <w:lang w:val="en-GB"/>
        </w:rPr>
        <w:t xml:space="preserve"> </w:t>
      </w:r>
      <w:r w:rsidR="005F3E5C" w:rsidRPr="003E751B">
        <w:rPr>
          <w:rFonts w:ascii="Calibri" w:hAnsi="Calibri"/>
          <w:sz w:val="22"/>
          <w:szCs w:val="22"/>
          <w:lang w:val="en-GB"/>
        </w:rPr>
        <w:t xml:space="preserve">and </w:t>
      </w:r>
      <w:r w:rsidR="007071D4" w:rsidRPr="003E751B">
        <w:rPr>
          <w:rFonts w:ascii="Calibri" w:hAnsi="Calibri"/>
          <w:sz w:val="22"/>
          <w:szCs w:val="22"/>
          <w:lang w:val="en-GB"/>
        </w:rPr>
        <w:t>Switzerland (</w:t>
      </w:r>
      <w:r w:rsidR="007071D4" w:rsidRPr="003E751B">
        <w:rPr>
          <w:rFonts w:ascii="Calibri" w:hAnsi="Calibri"/>
          <w:i/>
          <w:sz w:val="22"/>
          <w:szCs w:val="22"/>
          <w:lang w:val="en-GB"/>
        </w:rPr>
        <w:t>Brake/Herfert</w:t>
      </w:r>
      <w:r w:rsidR="007071D4" w:rsidRPr="003E751B">
        <w:rPr>
          <w:rFonts w:ascii="Calibri" w:hAnsi="Calibri"/>
          <w:sz w:val="22"/>
          <w:szCs w:val="22"/>
          <w:lang w:val="en-GB"/>
        </w:rPr>
        <w:t xml:space="preserve"> 2012; </w:t>
      </w:r>
      <w:r w:rsidR="007071D4" w:rsidRPr="003E751B">
        <w:rPr>
          <w:rFonts w:ascii="Calibri" w:hAnsi="Calibri"/>
          <w:i/>
          <w:sz w:val="22"/>
          <w:szCs w:val="22"/>
          <w:lang w:val="en-GB"/>
        </w:rPr>
        <w:t>Rérat</w:t>
      </w:r>
      <w:r w:rsidR="007071D4" w:rsidRPr="003E751B">
        <w:rPr>
          <w:rFonts w:ascii="Calibri" w:hAnsi="Calibri"/>
          <w:sz w:val="22"/>
          <w:szCs w:val="22"/>
          <w:lang w:val="en-GB"/>
        </w:rPr>
        <w:t xml:space="preserve"> 2012</w:t>
      </w:r>
      <w:r w:rsidR="00023BE6" w:rsidRPr="003E751B">
        <w:rPr>
          <w:rFonts w:ascii="Calibri" w:hAnsi="Calibri"/>
          <w:sz w:val="22"/>
          <w:szCs w:val="22"/>
          <w:lang w:val="en-GB"/>
        </w:rPr>
        <w:t xml:space="preserve">; </w:t>
      </w:r>
      <w:r w:rsidR="00023BE6" w:rsidRPr="003E751B">
        <w:rPr>
          <w:rFonts w:ascii="Calibri" w:hAnsi="Calibri"/>
          <w:i/>
          <w:sz w:val="22"/>
          <w:szCs w:val="22"/>
          <w:lang w:val="en-GB"/>
        </w:rPr>
        <w:t>Van Gent/Musterd</w:t>
      </w:r>
      <w:r w:rsidR="00023BE6" w:rsidRPr="003E751B">
        <w:rPr>
          <w:rFonts w:ascii="Calibri" w:hAnsi="Calibri"/>
          <w:sz w:val="22"/>
          <w:szCs w:val="22"/>
          <w:lang w:val="en-GB"/>
        </w:rPr>
        <w:t xml:space="preserve"> 2016</w:t>
      </w:r>
      <w:r w:rsidR="007071D4" w:rsidRPr="003E751B">
        <w:rPr>
          <w:rFonts w:ascii="Calibri" w:hAnsi="Calibri"/>
          <w:sz w:val="22"/>
          <w:szCs w:val="22"/>
          <w:lang w:val="en-GB"/>
        </w:rPr>
        <w:t xml:space="preserve">). </w:t>
      </w:r>
    </w:p>
    <w:p w14:paraId="33C2A807" w14:textId="71DF1363" w:rsidR="00152F93" w:rsidRPr="003E751B" w:rsidRDefault="007A7CE3" w:rsidP="00D9599A">
      <w:pPr>
        <w:ind w:firstLine="284"/>
        <w:rPr>
          <w:rFonts w:ascii="Calibri" w:hAnsi="Calibri"/>
          <w:sz w:val="22"/>
          <w:szCs w:val="22"/>
          <w:lang w:val="en-GB"/>
        </w:rPr>
      </w:pPr>
      <w:r w:rsidRPr="003E751B">
        <w:rPr>
          <w:rFonts w:ascii="Calibri" w:hAnsi="Calibri"/>
          <w:sz w:val="22"/>
          <w:szCs w:val="22"/>
          <w:lang w:val="en-GB"/>
        </w:rPr>
        <w:t>However, the</w:t>
      </w:r>
      <w:r w:rsidR="000846C3" w:rsidRPr="003E751B">
        <w:rPr>
          <w:rFonts w:ascii="Calibri" w:hAnsi="Calibri"/>
          <w:sz w:val="22"/>
          <w:szCs w:val="22"/>
          <w:lang w:val="en-GB"/>
        </w:rPr>
        <w:t xml:space="preserve"> literature has by and large focussed on </w:t>
      </w:r>
      <w:r w:rsidRPr="003E751B">
        <w:rPr>
          <w:rFonts w:ascii="Calibri" w:hAnsi="Calibri"/>
          <w:sz w:val="22"/>
          <w:szCs w:val="22"/>
          <w:lang w:val="en-GB"/>
        </w:rPr>
        <w:t>the</w:t>
      </w:r>
      <w:r w:rsidR="000846C3" w:rsidRPr="003E751B">
        <w:rPr>
          <w:rFonts w:ascii="Calibri" w:hAnsi="Calibri"/>
          <w:sz w:val="22"/>
          <w:szCs w:val="22"/>
          <w:lang w:val="en-GB"/>
        </w:rPr>
        <w:t xml:space="preserve"> pronounced rebirth of </w:t>
      </w:r>
      <w:r w:rsidRPr="003E751B">
        <w:rPr>
          <w:rFonts w:ascii="Calibri" w:hAnsi="Calibri"/>
          <w:sz w:val="22"/>
          <w:szCs w:val="22"/>
          <w:lang w:val="en-GB"/>
        </w:rPr>
        <w:t>the urban core;</w:t>
      </w:r>
      <w:r w:rsidR="000846C3" w:rsidRPr="003E751B">
        <w:rPr>
          <w:rFonts w:ascii="Calibri" w:hAnsi="Calibri"/>
          <w:sz w:val="22"/>
          <w:szCs w:val="22"/>
          <w:lang w:val="en-GB"/>
        </w:rPr>
        <w:t xml:space="preserve"> the suburban hinterland is mainly left out of the equation</w:t>
      </w:r>
      <w:r w:rsidR="007B05BA" w:rsidRPr="003E751B">
        <w:rPr>
          <w:rFonts w:ascii="Calibri" w:hAnsi="Calibri"/>
          <w:sz w:val="22"/>
          <w:szCs w:val="22"/>
          <w:lang w:val="en-GB"/>
        </w:rPr>
        <w:t xml:space="preserve"> (</w:t>
      </w:r>
      <w:r w:rsidR="007B05BA" w:rsidRPr="003E751B">
        <w:rPr>
          <w:rFonts w:ascii="Calibri" w:hAnsi="Calibri"/>
          <w:i/>
          <w:sz w:val="22"/>
          <w:szCs w:val="22"/>
          <w:lang w:val="en-GB"/>
        </w:rPr>
        <w:t xml:space="preserve">Salet et al. </w:t>
      </w:r>
      <w:r w:rsidR="007B05BA" w:rsidRPr="003E751B">
        <w:rPr>
          <w:rFonts w:ascii="Calibri" w:hAnsi="Calibri"/>
          <w:sz w:val="22"/>
          <w:szCs w:val="22"/>
          <w:lang w:val="en-GB"/>
        </w:rPr>
        <w:t>2015</w:t>
      </w:r>
      <w:r w:rsidR="00C85AA6">
        <w:rPr>
          <w:rFonts w:ascii="Calibri" w:hAnsi="Calibri"/>
          <w:sz w:val="22"/>
          <w:szCs w:val="22"/>
          <w:lang w:val="en-GB"/>
        </w:rPr>
        <w:t xml:space="preserve">; </w:t>
      </w:r>
      <w:r w:rsidR="00C85AA6" w:rsidRPr="00C85AA6">
        <w:rPr>
          <w:rFonts w:ascii="Calibri" w:hAnsi="Calibri"/>
          <w:i/>
          <w:sz w:val="22"/>
          <w:szCs w:val="22"/>
          <w:lang w:val="en-GB"/>
        </w:rPr>
        <w:t>Savini</w:t>
      </w:r>
      <w:r w:rsidR="00C85AA6">
        <w:rPr>
          <w:rFonts w:ascii="Calibri" w:hAnsi="Calibri"/>
          <w:sz w:val="22"/>
          <w:szCs w:val="22"/>
          <w:lang w:val="en-GB"/>
        </w:rPr>
        <w:t xml:space="preserve"> 2014</w:t>
      </w:r>
      <w:r w:rsidR="007B05BA" w:rsidRPr="003E751B">
        <w:rPr>
          <w:rFonts w:ascii="Calibri" w:hAnsi="Calibri"/>
          <w:sz w:val="22"/>
          <w:szCs w:val="22"/>
          <w:lang w:val="en-GB"/>
        </w:rPr>
        <w:t>)</w:t>
      </w:r>
      <w:r w:rsidR="000846C3" w:rsidRPr="003E751B">
        <w:rPr>
          <w:rFonts w:ascii="Calibri" w:hAnsi="Calibri"/>
          <w:sz w:val="22"/>
          <w:szCs w:val="22"/>
          <w:lang w:val="en-GB"/>
        </w:rPr>
        <w:t xml:space="preserve">. </w:t>
      </w:r>
      <w:r w:rsidR="00EA34DB" w:rsidRPr="003E751B">
        <w:rPr>
          <w:rFonts w:ascii="Calibri" w:hAnsi="Calibri"/>
          <w:sz w:val="22"/>
          <w:szCs w:val="22"/>
          <w:lang w:val="en-GB"/>
        </w:rPr>
        <w:t>Many authors have pointed to the dark side of the urban renaissance, criticising its strong focus on the m</w:t>
      </w:r>
      <w:r w:rsidR="00EF0B03" w:rsidRPr="003E751B">
        <w:rPr>
          <w:rFonts w:ascii="Calibri" w:hAnsi="Calibri"/>
          <w:sz w:val="22"/>
          <w:szCs w:val="22"/>
          <w:lang w:val="en-GB"/>
        </w:rPr>
        <w:t>iddle-class and offices (</w:t>
      </w:r>
      <w:r w:rsidR="00EF0B03" w:rsidRPr="003E751B">
        <w:rPr>
          <w:rFonts w:ascii="Calibri" w:hAnsi="Calibri"/>
          <w:i/>
          <w:sz w:val="22"/>
          <w:szCs w:val="22"/>
          <w:lang w:val="en-GB"/>
        </w:rPr>
        <w:t>Porter/</w:t>
      </w:r>
      <w:r w:rsidR="00EA34DB" w:rsidRPr="003E751B">
        <w:rPr>
          <w:rFonts w:ascii="Calibri" w:hAnsi="Calibri"/>
          <w:i/>
          <w:sz w:val="22"/>
          <w:szCs w:val="22"/>
          <w:lang w:val="en-GB"/>
        </w:rPr>
        <w:t>Shaw</w:t>
      </w:r>
      <w:r w:rsidR="00EA34DB" w:rsidRPr="003E751B">
        <w:rPr>
          <w:rFonts w:ascii="Calibri" w:hAnsi="Calibri"/>
          <w:sz w:val="22"/>
          <w:szCs w:val="22"/>
          <w:lang w:val="en-GB"/>
        </w:rPr>
        <w:t xml:space="preserve"> </w:t>
      </w:r>
      <w:r w:rsidR="00EF0B03" w:rsidRPr="003E751B">
        <w:rPr>
          <w:rFonts w:ascii="Calibri" w:hAnsi="Calibri"/>
          <w:sz w:val="22"/>
          <w:szCs w:val="22"/>
          <w:lang w:val="en-GB"/>
        </w:rPr>
        <w:t>2009</w:t>
      </w:r>
      <w:r w:rsidR="00EA34DB" w:rsidRPr="003E751B">
        <w:rPr>
          <w:rFonts w:ascii="Calibri" w:hAnsi="Calibri"/>
          <w:sz w:val="22"/>
          <w:szCs w:val="22"/>
          <w:lang w:val="en-GB"/>
        </w:rPr>
        <w:t xml:space="preserve">). </w:t>
      </w:r>
      <w:r w:rsidR="00E073DD" w:rsidRPr="003E751B">
        <w:rPr>
          <w:rFonts w:ascii="Calibri" w:hAnsi="Calibri"/>
          <w:sz w:val="22"/>
          <w:szCs w:val="22"/>
          <w:lang w:val="en-GB"/>
        </w:rPr>
        <w:t xml:space="preserve">Whether such critique is fully-grounded in an appreciation of the </w:t>
      </w:r>
      <w:r w:rsidR="00EF0B03" w:rsidRPr="003E751B">
        <w:rPr>
          <w:rFonts w:ascii="Calibri" w:hAnsi="Calibri"/>
          <w:sz w:val="22"/>
          <w:szCs w:val="22"/>
          <w:lang w:val="en-GB"/>
        </w:rPr>
        <w:t>longer-term</w:t>
      </w:r>
      <w:r w:rsidR="00E073DD" w:rsidRPr="003E751B">
        <w:rPr>
          <w:rFonts w:ascii="Calibri" w:hAnsi="Calibri"/>
          <w:sz w:val="22"/>
          <w:szCs w:val="22"/>
          <w:lang w:val="en-GB"/>
        </w:rPr>
        <w:t xml:space="preserve"> trajectories of growth and decline of certain places (</w:t>
      </w:r>
      <w:r w:rsidR="00EF0B03" w:rsidRPr="003E751B">
        <w:rPr>
          <w:rFonts w:ascii="Calibri" w:hAnsi="Calibri"/>
          <w:i/>
          <w:sz w:val="22"/>
          <w:szCs w:val="22"/>
          <w:lang w:val="en-GB"/>
        </w:rPr>
        <w:t>Shaw/</w:t>
      </w:r>
      <w:r w:rsidR="00E073DD" w:rsidRPr="003E751B">
        <w:rPr>
          <w:rFonts w:ascii="Calibri" w:hAnsi="Calibri"/>
          <w:i/>
          <w:sz w:val="22"/>
          <w:szCs w:val="22"/>
          <w:lang w:val="en-GB"/>
        </w:rPr>
        <w:t>Sykes</w:t>
      </w:r>
      <w:r w:rsidR="00E073DD" w:rsidRPr="003E751B">
        <w:rPr>
          <w:rFonts w:ascii="Calibri" w:hAnsi="Calibri"/>
          <w:sz w:val="22"/>
          <w:szCs w:val="22"/>
          <w:lang w:val="en-GB"/>
        </w:rPr>
        <w:t xml:space="preserve"> 2015), and the achievement for public policy and investment that variants of the ‘urban renaissance’ in different international contexts represent, is perhaps a moot poin</w:t>
      </w:r>
      <w:r w:rsidR="00EF0B03" w:rsidRPr="003E751B">
        <w:rPr>
          <w:rFonts w:ascii="Calibri" w:hAnsi="Calibri"/>
          <w:sz w:val="22"/>
          <w:szCs w:val="22"/>
          <w:lang w:val="en-GB"/>
        </w:rPr>
        <w:t xml:space="preserve">t. </w:t>
      </w:r>
      <w:r w:rsidR="00E073DD" w:rsidRPr="003E751B">
        <w:rPr>
          <w:rFonts w:ascii="Calibri" w:hAnsi="Calibri"/>
          <w:sz w:val="22"/>
          <w:szCs w:val="22"/>
          <w:lang w:val="en-GB"/>
        </w:rPr>
        <w:t xml:space="preserve">Another feature of such ‘critical’ literature is that whilst it devotes extensive words to exploring such social ills as the proliferation </w:t>
      </w:r>
      <w:r w:rsidR="00E073DD" w:rsidRPr="003E751B">
        <w:rPr>
          <w:rFonts w:ascii="Calibri" w:hAnsi="Calibri"/>
          <w:sz w:val="22"/>
          <w:szCs w:val="22"/>
          <w:lang w:val="en-GB"/>
        </w:rPr>
        <w:lastRenderedPageBreak/>
        <w:t xml:space="preserve">of chain-owned coffee shops, city centre retail development, and ‘gentrification’ of abandoned industrial areas, sites and buildings through the installation of new ‘profit-seeking’ uses, it is largely silent on the wider transformation of </w:t>
      </w:r>
      <w:r w:rsidR="00B06E53">
        <w:rPr>
          <w:rFonts w:ascii="Calibri" w:hAnsi="Calibri"/>
          <w:sz w:val="22"/>
          <w:szCs w:val="22"/>
          <w:lang w:val="en-GB"/>
        </w:rPr>
        <w:t xml:space="preserve">the periphery of </w:t>
      </w:r>
      <w:r w:rsidR="00E073DD" w:rsidRPr="003E751B">
        <w:rPr>
          <w:rFonts w:ascii="Calibri" w:hAnsi="Calibri"/>
          <w:sz w:val="22"/>
          <w:szCs w:val="22"/>
          <w:lang w:val="en-GB"/>
        </w:rPr>
        <w:t>urban regions where most people live. Meanwhile</w:t>
      </w:r>
      <w:r w:rsidR="00177D1C" w:rsidRPr="003E751B">
        <w:rPr>
          <w:rFonts w:ascii="Calibri" w:hAnsi="Calibri"/>
          <w:sz w:val="22"/>
          <w:szCs w:val="22"/>
          <w:lang w:val="en-GB"/>
        </w:rPr>
        <w:t xml:space="preserve">, the literature on shrinking cities has been mainly concerned with the decline of </w:t>
      </w:r>
      <w:r w:rsidR="004367F7" w:rsidRPr="003E751B">
        <w:rPr>
          <w:rFonts w:ascii="Calibri" w:hAnsi="Calibri"/>
          <w:sz w:val="22"/>
          <w:szCs w:val="22"/>
          <w:lang w:val="en-GB"/>
        </w:rPr>
        <w:t xml:space="preserve">urban regions </w:t>
      </w:r>
      <w:r w:rsidR="003218A2" w:rsidRPr="003E751B">
        <w:rPr>
          <w:rFonts w:ascii="Calibri" w:hAnsi="Calibri"/>
          <w:sz w:val="22"/>
          <w:szCs w:val="22"/>
          <w:lang w:val="en-GB"/>
        </w:rPr>
        <w:t xml:space="preserve">as a result of deindustrialisation and suburbanisation </w:t>
      </w:r>
      <w:r w:rsidR="00177D1C" w:rsidRPr="003E751B">
        <w:rPr>
          <w:rFonts w:ascii="Calibri" w:hAnsi="Calibri"/>
          <w:sz w:val="22"/>
          <w:szCs w:val="22"/>
          <w:lang w:val="en-GB"/>
        </w:rPr>
        <w:t xml:space="preserve">(e.g. </w:t>
      </w:r>
      <w:r w:rsidR="004367F7" w:rsidRPr="003E751B">
        <w:rPr>
          <w:rFonts w:ascii="Calibri" w:hAnsi="Calibri"/>
          <w:i/>
          <w:sz w:val="22"/>
          <w:szCs w:val="22"/>
          <w:lang w:val="en-GB"/>
        </w:rPr>
        <w:t>Wiechmann</w:t>
      </w:r>
      <w:r w:rsidR="00152F93" w:rsidRPr="003E751B">
        <w:rPr>
          <w:rFonts w:ascii="Calibri" w:hAnsi="Calibri"/>
          <w:i/>
          <w:sz w:val="22"/>
          <w:szCs w:val="22"/>
          <w:lang w:val="en-GB"/>
        </w:rPr>
        <w:t>/</w:t>
      </w:r>
      <w:r w:rsidR="004367F7" w:rsidRPr="003E751B">
        <w:rPr>
          <w:rFonts w:ascii="Calibri" w:hAnsi="Calibri"/>
          <w:i/>
          <w:sz w:val="22"/>
          <w:szCs w:val="22"/>
          <w:lang w:val="en-GB"/>
        </w:rPr>
        <w:t>Pallagst</w:t>
      </w:r>
      <w:r w:rsidR="004367F7" w:rsidRPr="003E751B">
        <w:rPr>
          <w:rFonts w:ascii="Calibri" w:hAnsi="Calibri"/>
          <w:sz w:val="22"/>
          <w:szCs w:val="22"/>
          <w:lang w:val="en-GB"/>
        </w:rPr>
        <w:t xml:space="preserve"> 2012; </w:t>
      </w:r>
      <w:r w:rsidR="00177D1C" w:rsidRPr="003E751B">
        <w:rPr>
          <w:rFonts w:ascii="Calibri" w:hAnsi="Calibri"/>
          <w:i/>
          <w:sz w:val="22"/>
          <w:szCs w:val="22"/>
          <w:lang w:val="en-GB"/>
        </w:rPr>
        <w:t xml:space="preserve">Couch </w:t>
      </w:r>
      <w:r w:rsidR="00114B95" w:rsidRPr="003E751B">
        <w:rPr>
          <w:rFonts w:ascii="Calibri" w:hAnsi="Calibri"/>
          <w:i/>
          <w:sz w:val="22"/>
          <w:szCs w:val="22"/>
          <w:lang w:val="en-GB"/>
        </w:rPr>
        <w:t>et al.</w:t>
      </w:r>
      <w:r w:rsidR="00EB5C58" w:rsidRPr="003E751B">
        <w:rPr>
          <w:rFonts w:ascii="Calibri" w:hAnsi="Calibri"/>
          <w:sz w:val="22"/>
          <w:szCs w:val="22"/>
          <w:lang w:val="en-GB"/>
        </w:rPr>
        <w:t xml:space="preserve"> 2005</w:t>
      </w:r>
      <w:r w:rsidR="00177D1C" w:rsidRPr="003E751B">
        <w:rPr>
          <w:rFonts w:ascii="Calibri" w:hAnsi="Calibri"/>
          <w:sz w:val="22"/>
          <w:szCs w:val="22"/>
          <w:lang w:val="en-GB"/>
        </w:rPr>
        <w:t xml:space="preserve">) and </w:t>
      </w:r>
      <w:r w:rsidR="003218A2" w:rsidRPr="003E751B">
        <w:rPr>
          <w:rFonts w:ascii="Calibri" w:hAnsi="Calibri"/>
          <w:sz w:val="22"/>
          <w:szCs w:val="22"/>
          <w:lang w:val="en-GB"/>
        </w:rPr>
        <w:t>more recently their re-growth (</w:t>
      </w:r>
      <w:r w:rsidR="00661C29" w:rsidRPr="003E751B">
        <w:rPr>
          <w:rFonts w:ascii="Calibri" w:hAnsi="Calibri"/>
          <w:sz w:val="22"/>
          <w:szCs w:val="22"/>
          <w:lang w:val="en-GB"/>
        </w:rPr>
        <w:t xml:space="preserve">e.g. </w:t>
      </w:r>
      <w:r w:rsidR="003218A2" w:rsidRPr="003E751B">
        <w:rPr>
          <w:rFonts w:ascii="Calibri" w:hAnsi="Calibri"/>
          <w:i/>
          <w:sz w:val="22"/>
          <w:szCs w:val="22"/>
          <w:lang w:val="en-GB"/>
        </w:rPr>
        <w:t>Rink et al.</w:t>
      </w:r>
      <w:r w:rsidR="003218A2" w:rsidRPr="003E751B">
        <w:rPr>
          <w:rFonts w:ascii="Calibri" w:hAnsi="Calibri"/>
          <w:sz w:val="22"/>
          <w:szCs w:val="22"/>
          <w:lang w:val="en-GB"/>
        </w:rPr>
        <w:t xml:space="preserve"> 2012), but </w:t>
      </w:r>
      <w:r w:rsidR="00DD10AA" w:rsidRPr="003E751B">
        <w:rPr>
          <w:rFonts w:ascii="Calibri" w:hAnsi="Calibri"/>
          <w:sz w:val="22"/>
          <w:szCs w:val="22"/>
          <w:lang w:val="en-GB"/>
        </w:rPr>
        <w:t xml:space="preserve">only occasionally addresses the role of suburbs and small towns within urban areas (e.g. </w:t>
      </w:r>
      <w:r w:rsidR="00DD10AA" w:rsidRPr="003E751B">
        <w:rPr>
          <w:rFonts w:ascii="Calibri" w:hAnsi="Calibri"/>
          <w:i/>
          <w:sz w:val="22"/>
          <w:szCs w:val="22"/>
          <w:lang w:val="en-GB"/>
        </w:rPr>
        <w:t>Albecker</w:t>
      </w:r>
      <w:r w:rsidR="00DE6FD2" w:rsidRPr="003E751B">
        <w:rPr>
          <w:rFonts w:ascii="Calibri" w:hAnsi="Calibri"/>
          <w:i/>
          <w:sz w:val="22"/>
          <w:szCs w:val="22"/>
          <w:lang w:val="en-GB"/>
        </w:rPr>
        <w:t>/</w:t>
      </w:r>
      <w:r w:rsidR="00DD10AA" w:rsidRPr="003E751B">
        <w:rPr>
          <w:rFonts w:ascii="Calibri" w:hAnsi="Calibri"/>
          <w:i/>
          <w:sz w:val="22"/>
          <w:szCs w:val="22"/>
          <w:lang w:val="en-GB"/>
        </w:rPr>
        <w:t>Fol</w:t>
      </w:r>
      <w:r w:rsidR="00EB5C58" w:rsidRPr="003E751B">
        <w:rPr>
          <w:rFonts w:ascii="Calibri" w:hAnsi="Calibri"/>
          <w:sz w:val="22"/>
          <w:szCs w:val="22"/>
          <w:lang w:val="en-GB"/>
        </w:rPr>
        <w:t xml:space="preserve"> </w:t>
      </w:r>
      <w:r w:rsidR="00526177" w:rsidRPr="003E751B">
        <w:rPr>
          <w:rFonts w:ascii="Calibri" w:hAnsi="Calibri"/>
          <w:sz w:val="22"/>
          <w:szCs w:val="22"/>
          <w:lang w:val="en-GB"/>
        </w:rPr>
        <w:t>2014</w:t>
      </w:r>
      <w:r w:rsidR="00EB5C58" w:rsidRPr="003E751B">
        <w:rPr>
          <w:rFonts w:ascii="Calibri" w:hAnsi="Calibri"/>
          <w:sz w:val="22"/>
          <w:szCs w:val="22"/>
          <w:lang w:val="en-GB"/>
        </w:rPr>
        <w:t xml:space="preserve">, </w:t>
      </w:r>
      <w:r w:rsidR="00EB5C58" w:rsidRPr="003E751B">
        <w:rPr>
          <w:rFonts w:ascii="Calibri" w:hAnsi="Calibri"/>
          <w:i/>
          <w:sz w:val="22"/>
          <w:szCs w:val="22"/>
          <w:lang w:val="en-GB"/>
        </w:rPr>
        <w:t>A</w:t>
      </w:r>
      <w:r w:rsidR="00DE6FD2" w:rsidRPr="003E751B">
        <w:rPr>
          <w:rFonts w:ascii="Calibri" w:hAnsi="Calibri"/>
          <w:i/>
          <w:sz w:val="22"/>
          <w:szCs w:val="22"/>
          <w:lang w:val="en-GB"/>
        </w:rPr>
        <w:t>udirac et al.</w:t>
      </w:r>
      <w:r w:rsidR="00DE6FD2" w:rsidRPr="003E751B">
        <w:rPr>
          <w:rFonts w:ascii="Calibri" w:hAnsi="Calibri"/>
          <w:sz w:val="22"/>
          <w:szCs w:val="22"/>
          <w:lang w:val="en-GB"/>
        </w:rPr>
        <w:t xml:space="preserve"> 2012; </w:t>
      </w:r>
      <w:r w:rsidR="00DE6FD2" w:rsidRPr="003E751B">
        <w:rPr>
          <w:rFonts w:ascii="Calibri" w:hAnsi="Calibri"/>
          <w:i/>
          <w:sz w:val="22"/>
          <w:szCs w:val="22"/>
          <w:lang w:val="en-GB"/>
        </w:rPr>
        <w:t>Blanco et al.</w:t>
      </w:r>
      <w:r w:rsidR="00DE6FD2" w:rsidRPr="003E751B">
        <w:rPr>
          <w:rFonts w:ascii="Calibri" w:hAnsi="Calibri"/>
          <w:sz w:val="22"/>
          <w:szCs w:val="22"/>
          <w:lang w:val="en-GB"/>
        </w:rPr>
        <w:t xml:space="preserve"> 2009)</w:t>
      </w:r>
      <w:r w:rsidR="00DD10AA" w:rsidRPr="003E751B">
        <w:rPr>
          <w:rFonts w:ascii="Calibri" w:hAnsi="Calibri"/>
          <w:sz w:val="22"/>
          <w:szCs w:val="22"/>
          <w:lang w:val="en-GB"/>
        </w:rPr>
        <w:t xml:space="preserve">. </w:t>
      </w:r>
      <w:r w:rsidR="00B66883" w:rsidRPr="003E751B">
        <w:rPr>
          <w:rFonts w:ascii="Calibri" w:hAnsi="Calibri"/>
          <w:sz w:val="22"/>
          <w:szCs w:val="22"/>
          <w:lang w:val="en-GB"/>
        </w:rPr>
        <w:t xml:space="preserve">The periphery has been </w:t>
      </w:r>
      <w:r w:rsidR="00D32CA6" w:rsidRPr="003E751B">
        <w:rPr>
          <w:rFonts w:ascii="Calibri" w:hAnsi="Calibri"/>
          <w:sz w:val="22"/>
          <w:szCs w:val="22"/>
          <w:lang w:val="en-GB"/>
        </w:rPr>
        <w:t xml:space="preserve">mainly considered </w:t>
      </w:r>
      <w:r w:rsidR="00B66883" w:rsidRPr="003E751B">
        <w:rPr>
          <w:rFonts w:ascii="Calibri" w:hAnsi="Calibri"/>
          <w:sz w:val="22"/>
          <w:szCs w:val="22"/>
          <w:lang w:val="en-GB"/>
        </w:rPr>
        <w:t xml:space="preserve">from the perspective of urban sprawl </w:t>
      </w:r>
      <w:r w:rsidR="004C4070" w:rsidRPr="00D707E7">
        <w:rPr>
          <w:rFonts w:ascii="Calibri" w:hAnsi="Calibri"/>
          <w:sz w:val="22"/>
          <w:szCs w:val="22"/>
          <w:lang w:val="en-GB"/>
        </w:rPr>
        <w:fldChar w:fldCharType="begin"/>
      </w:r>
      <w:r w:rsidR="00B66883" w:rsidRPr="003E751B">
        <w:rPr>
          <w:rFonts w:ascii="Calibri" w:hAnsi="Calibri"/>
          <w:sz w:val="22"/>
          <w:szCs w:val="22"/>
          <w:lang w:val="en-GB"/>
        </w:rPr>
        <w:instrText xml:space="preserve"> ADDIN EN.CITE &lt;EndNote&gt;&lt;Cite&gt;&lt;Author&gt;Siedentop&lt;/Author&gt;&lt;Year&gt;2012&lt;/Year&gt;&lt;RecNum&gt;64&lt;/RecNum&gt;&lt;DisplayText&gt;(Siedentop and Fina 2012)&lt;/DisplayText&gt;&lt;record&gt;&lt;rec-number&gt;64&lt;/rec-number&gt;&lt;foreign-keys&gt;&lt;key app="EN" db-id="ftft0spwgfe5sve52agvra5bx0tprpffaz29" timestamp="1461081900"&gt;64&lt;/key&gt;&lt;/foreign-keys&gt;&lt;ref-type name="Journal Article"&gt;17&lt;/ref-type&gt;&lt;contributors&gt;&lt;authors&gt;&lt;author&gt;Siedentop, Stefan&lt;/author&gt;&lt;author&gt;Fina, Stefan&lt;/author&gt;&lt;/authors&gt;&lt;/contributors&gt;&lt;titles&gt;&lt;title&gt;Who Sprawls Most? Exploring the Patterns of Urban Growth across 26 European Countries&lt;/title&gt;&lt;secondary-title&gt;Environment and Planning A&lt;/secondary-title&gt;&lt;/titles&gt;&lt;periodical&gt;&lt;full-title&gt;Environment and Planning A&lt;/full-title&gt;&lt;/periodical&gt;&lt;pages&gt;2765-2784&lt;/pages&gt;&lt;volume&gt;44&lt;/volume&gt;&lt;number&gt;11&lt;/number&gt;&lt;dates&gt;&lt;year&gt;2012&lt;/year&gt;&lt;pub-dates&gt;&lt;date&gt;November 1, 2012&lt;/date&gt;&lt;/pub-dates&gt;&lt;/dates&gt;&lt;urls&gt;&lt;related-urls&gt;&lt;url&gt;http://epn.sagepub.com/content/44/11/2765.abstract&lt;/url&gt;&lt;/related-urls&gt;&lt;/urls&gt;&lt;electronic-resource-num&gt;10.1068/a4580&lt;/electronic-resource-num&gt;&lt;/record&gt;&lt;/Cite&gt;&lt;/EndNote&gt;</w:instrText>
      </w:r>
      <w:r w:rsidR="004C4070" w:rsidRPr="00D707E7">
        <w:rPr>
          <w:rFonts w:ascii="Calibri" w:hAnsi="Calibri"/>
          <w:sz w:val="22"/>
          <w:szCs w:val="22"/>
          <w:lang w:val="en-GB"/>
        </w:rPr>
        <w:fldChar w:fldCharType="separate"/>
      </w:r>
      <w:r w:rsidR="00DE6FD2" w:rsidRPr="003E751B">
        <w:rPr>
          <w:rFonts w:ascii="Calibri" w:hAnsi="Calibri"/>
          <w:noProof/>
          <w:sz w:val="22"/>
          <w:szCs w:val="22"/>
          <w:lang w:val="en-GB"/>
        </w:rPr>
        <w:t>(</w:t>
      </w:r>
      <w:r w:rsidR="00145DB1" w:rsidRPr="003E751B">
        <w:rPr>
          <w:rFonts w:ascii="Calibri" w:hAnsi="Calibri"/>
          <w:noProof/>
          <w:sz w:val="22"/>
          <w:szCs w:val="22"/>
          <w:lang w:val="en-GB"/>
        </w:rPr>
        <w:t xml:space="preserve">e.g. </w:t>
      </w:r>
      <w:r w:rsidR="00DE6FD2" w:rsidRPr="003E751B">
        <w:rPr>
          <w:rFonts w:ascii="Calibri" w:hAnsi="Calibri"/>
          <w:i/>
          <w:noProof/>
          <w:sz w:val="22"/>
          <w:szCs w:val="22"/>
          <w:lang w:val="en-GB"/>
        </w:rPr>
        <w:t>Siedentop/</w:t>
      </w:r>
      <w:r w:rsidR="00B66883" w:rsidRPr="003E751B">
        <w:rPr>
          <w:rFonts w:ascii="Calibri" w:hAnsi="Calibri"/>
          <w:i/>
          <w:noProof/>
          <w:sz w:val="22"/>
          <w:szCs w:val="22"/>
          <w:lang w:val="en-GB"/>
        </w:rPr>
        <w:t>Fina</w:t>
      </w:r>
      <w:r w:rsidR="00B66883" w:rsidRPr="003E751B">
        <w:rPr>
          <w:rFonts w:ascii="Calibri" w:hAnsi="Calibri"/>
          <w:noProof/>
          <w:sz w:val="22"/>
          <w:szCs w:val="22"/>
          <w:lang w:val="en-GB"/>
        </w:rPr>
        <w:t xml:space="preserve"> 2012)</w:t>
      </w:r>
      <w:r w:rsidR="004C4070" w:rsidRPr="00D707E7">
        <w:rPr>
          <w:rFonts w:ascii="Calibri" w:hAnsi="Calibri"/>
          <w:sz w:val="22"/>
          <w:szCs w:val="22"/>
          <w:lang w:val="en-GB"/>
        </w:rPr>
        <w:fldChar w:fldCharType="end"/>
      </w:r>
      <w:r w:rsidR="000C7633" w:rsidRPr="003E751B">
        <w:rPr>
          <w:rFonts w:ascii="Calibri" w:hAnsi="Calibri"/>
          <w:sz w:val="22"/>
          <w:szCs w:val="22"/>
          <w:lang w:val="en-GB"/>
        </w:rPr>
        <w:t xml:space="preserve"> and from discussing the role of peri-urban areas and the rural-urban fringe</w:t>
      </w:r>
      <w:r w:rsidR="00BF457E" w:rsidRPr="003E751B">
        <w:rPr>
          <w:rFonts w:ascii="Calibri" w:hAnsi="Calibri"/>
          <w:sz w:val="22"/>
          <w:szCs w:val="22"/>
          <w:lang w:val="en-GB"/>
        </w:rPr>
        <w:t xml:space="preserve"> (e.g. Gallent et al. 2006; Hoggart 2005)</w:t>
      </w:r>
      <w:r w:rsidR="00B66883" w:rsidRPr="003E751B">
        <w:rPr>
          <w:rFonts w:ascii="Calibri" w:hAnsi="Calibri"/>
          <w:sz w:val="22"/>
          <w:szCs w:val="22"/>
          <w:lang w:val="en-GB"/>
        </w:rPr>
        <w:t xml:space="preserve">. </w:t>
      </w:r>
    </w:p>
    <w:p w14:paraId="4DB4EB4F" w14:textId="3BD1921C" w:rsidR="00BB4C26" w:rsidRPr="003E751B" w:rsidRDefault="007D050D" w:rsidP="00D9599A">
      <w:pPr>
        <w:ind w:firstLine="284"/>
        <w:rPr>
          <w:rFonts w:ascii="Calibri" w:hAnsi="Calibri"/>
          <w:sz w:val="22"/>
          <w:szCs w:val="22"/>
          <w:lang w:val="en-GB"/>
        </w:rPr>
      </w:pPr>
      <w:r w:rsidRPr="003E751B">
        <w:rPr>
          <w:rFonts w:ascii="Calibri" w:hAnsi="Calibri"/>
          <w:sz w:val="22"/>
          <w:szCs w:val="22"/>
          <w:lang w:val="en-GB"/>
        </w:rPr>
        <w:t>In this paper</w:t>
      </w:r>
      <w:r w:rsidR="00150AD2" w:rsidRPr="003E751B">
        <w:rPr>
          <w:rFonts w:ascii="Calibri" w:hAnsi="Calibri"/>
          <w:sz w:val="22"/>
          <w:szCs w:val="22"/>
          <w:lang w:val="en-GB"/>
        </w:rPr>
        <w:t>,</w:t>
      </w:r>
      <w:r w:rsidRPr="003E751B">
        <w:rPr>
          <w:rFonts w:ascii="Calibri" w:hAnsi="Calibri"/>
          <w:sz w:val="22"/>
          <w:szCs w:val="22"/>
          <w:lang w:val="en-GB"/>
        </w:rPr>
        <w:t xml:space="preserve"> we follow the plea of Soja </w:t>
      </w:r>
      <w:r w:rsidR="001478A9" w:rsidRPr="003E751B">
        <w:rPr>
          <w:rFonts w:ascii="Calibri" w:hAnsi="Calibri"/>
          <w:sz w:val="22"/>
          <w:szCs w:val="22"/>
          <w:lang w:val="en-GB"/>
        </w:rPr>
        <w:t xml:space="preserve">(2015) </w:t>
      </w:r>
      <w:r w:rsidRPr="003E751B">
        <w:rPr>
          <w:rFonts w:ascii="Calibri" w:hAnsi="Calibri"/>
          <w:sz w:val="22"/>
          <w:szCs w:val="22"/>
          <w:lang w:val="en-GB"/>
        </w:rPr>
        <w:t xml:space="preserve">to take a regional perspective on urban issues. </w:t>
      </w:r>
      <w:r w:rsidR="00EF0B03" w:rsidRPr="003E751B">
        <w:rPr>
          <w:rFonts w:ascii="Calibri" w:hAnsi="Calibri"/>
          <w:sz w:val="22"/>
          <w:szCs w:val="22"/>
          <w:lang w:val="en-GB"/>
        </w:rPr>
        <w:t xml:space="preserve">So far what is largely lacking from the parallel tracks of investigation outlined above, are accounts that reflect on how dynamic processes of change in urban cores and those in the ‘edge territories’ of urban regions might </w:t>
      </w:r>
      <w:r w:rsidR="003A54B7" w:rsidRPr="003E751B">
        <w:rPr>
          <w:rFonts w:ascii="Calibri" w:hAnsi="Calibri"/>
          <w:sz w:val="22"/>
          <w:szCs w:val="22"/>
          <w:lang w:val="en-GB"/>
        </w:rPr>
        <w:t xml:space="preserve">be </w:t>
      </w:r>
      <w:r w:rsidR="00EF0B03" w:rsidRPr="003E751B">
        <w:rPr>
          <w:rFonts w:ascii="Calibri" w:hAnsi="Calibri"/>
          <w:sz w:val="22"/>
          <w:szCs w:val="22"/>
          <w:lang w:val="en-GB"/>
        </w:rPr>
        <w:t>related and problematized.</w:t>
      </w:r>
      <w:r w:rsidR="00962D18" w:rsidRPr="003E751B">
        <w:rPr>
          <w:rFonts w:ascii="Calibri" w:hAnsi="Calibri"/>
          <w:sz w:val="22"/>
          <w:szCs w:val="22"/>
          <w:lang w:val="en-GB"/>
        </w:rPr>
        <w:t xml:space="preserve"> </w:t>
      </w:r>
      <w:r w:rsidR="001B0BA0" w:rsidRPr="003E751B">
        <w:rPr>
          <w:rFonts w:ascii="Calibri" w:hAnsi="Calibri"/>
          <w:sz w:val="22"/>
          <w:szCs w:val="22"/>
          <w:lang w:val="en-GB"/>
        </w:rPr>
        <w:t xml:space="preserve">Taken together with the observed phenomenon of reurbanisation, we might wonder how reurbanisation effects </w:t>
      </w:r>
      <w:r w:rsidR="00BB4C26" w:rsidRPr="003E751B">
        <w:rPr>
          <w:rFonts w:ascii="Calibri" w:hAnsi="Calibri"/>
          <w:sz w:val="22"/>
          <w:szCs w:val="22"/>
          <w:lang w:val="en-GB"/>
        </w:rPr>
        <w:t xml:space="preserve">play out. </w:t>
      </w:r>
      <w:r w:rsidR="00EF0B03" w:rsidRPr="003E751B">
        <w:rPr>
          <w:rFonts w:ascii="Calibri" w:hAnsi="Calibri"/>
          <w:sz w:val="22"/>
          <w:szCs w:val="22"/>
          <w:lang w:val="en-GB"/>
        </w:rPr>
        <w:t xml:space="preserve">Put simply the questions might be: </w:t>
      </w:r>
      <w:r w:rsidR="00DD10AA" w:rsidRPr="003E751B">
        <w:rPr>
          <w:rFonts w:ascii="Calibri" w:hAnsi="Calibri"/>
          <w:sz w:val="22"/>
          <w:szCs w:val="22"/>
          <w:lang w:val="en-GB"/>
        </w:rPr>
        <w:t xml:space="preserve">What happens </w:t>
      </w:r>
      <w:r w:rsidR="00EA34DB" w:rsidRPr="003E751B">
        <w:rPr>
          <w:rFonts w:ascii="Calibri" w:hAnsi="Calibri"/>
          <w:sz w:val="22"/>
          <w:szCs w:val="22"/>
          <w:lang w:val="en-GB"/>
        </w:rPr>
        <w:t xml:space="preserve">with the urban periphery when </w:t>
      </w:r>
      <w:r w:rsidR="00DD10AA" w:rsidRPr="003E751B">
        <w:rPr>
          <w:rFonts w:ascii="Calibri" w:hAnsi="Calibri"/>
          <w:sz w:val="22"/>
          <w:szCs w:val="22"/>
          <w:lang w:val="en-GB"/>
        </w:rPr>
        <w:t>grow</w:t>
      </w:r>
      <w:r w:rsidR="00EA34DB" w:rsidRPr="003E751B">
        <w:rPr>
          <w:rFonts w:ascii="Calibri" w:hAnsi="Calibri"/>
          <w:sz w:val="22"/>
          <w:szCs w:val="22"/>
          <w:lang w:val="en-GB"/>
        </w:rPr>
        <w:t>th is very strong in the centre</w:t>
      </w:r>
      <w:r w:rsidR="00DD10AA" w:rsidRPr="003E751B">
        <w:rPr>
          <w:rFonts w:ascii="Calibri" w:hAnsi="Calibri"/>
          <w:sz w:val="22"/>
          <w:szCs w:val="22"/>
          <w:lang w:val="en-GB"/>
        </w:rPr>
        <w:t xml:space="preserve">? </w:t>
      </w:r>
      <w:r w:rsidR="003217D7" w:rsidRPr="003E751B">
        <w:rPr>
          <w:rFonts w:ascii="Calibri" w:hAnsi="Calibri"/>
          <w:sz w:val="22"/>
          <w:szCs w:val="22"/>
          <w:lang w:val="en-GB"/>
        </w:rPr>
        <w:t>And what policy options do places in the periphery have in relation to reurbanisation?</w:t>
      </w:r>
      <w:r w:rsidR="00BB4C26" w:rsidRPr="003E751B">
        <w:rPr>
          <w:rFonts w:ascii="Calibri" w:hAnsi="Calibri"/>
          <w:sz w:val="22"/>
          <w:szCs w:val="22"/>
          <w:lang w:val="en-GB"/>
        </w:rPr>
        <w:t xml:space="preserve"> </w:t>
      </w:r>
    </w:p>
    <w:p w14:paraId="30B41C94" w14:textId="5FCC57EA" w:rsidR="00152F93" w:rsidRPr="003E751B" w:rsidRDefault="00DD10AA" w:rsidP="00D9599A">
      <w:pPr>
        <w:ind w:firstLine="284"/>
        <w:rPr>
          <w:rFonts w:ascii="Calibri" w:hAnsi="Calibri"/>
          <w:sz w:val="22"/>
          <w:szCs w:val="22"/>
          <w:lang w:val="en-GB"/>
        </w:rPr>
      </w:pPr>
      <w:r w:rsidRPr="003E751B">
        <w:rPr>
          <w:rFonts w:ascii="Calibri" w:hAnsi="Calibri"/>
          <w:sz w:val="22"/>
          <w:szCs w:val="22"/>
          <w:lang w:val="en-GB"/>
        </w:rPr>
        <w:t xml:space="preserve">The Manchester and Liverpool city regions form an excellent study ground to investigate the process mentioned </w:t>
      </w:r>
      <w:r w:rsidR="003A54B7" w:rsidRPr="003E751B">
        <w:rPr>
          <w:rFonts w:ascii="Calibri" w:hAnsi="Calibri"/>
          <w:sz w:val="22"/>
          <w:szCs w:val="22"/>
          <w:lang w:val="en-GB"/>
        </w:rPr>
        <w:t xml:space="preserve">above </w:t>
      </w:r>
      <w:r w:rsidRPr="003E751B">
        <w:rPr>
          <w:rFonts w:ascii="Calibri" w:hAnsi="Calibri"/>
          <w:sz w:val="22"/>
          <w:szCs w:val="22"/>
          <w:lang w:val="en-GB"/>
        </w:rPr>
        <w:t xml:space="preserve">as both cities have regrown after decades of urban decline. </w:t>
      </w:r>
      <w:r w:rsidR="00EF0B03" w:rsidRPr="003E751B">
        <w:rPr>
          <w:rFonts w:ascii="Calibri" w:hAnsi="Calibri"/>
          <w:sz w:val="22"/>
          <w:szCs w:val="22"/>
          <w:lang w:val="en-GB"/>
        </w:rPr>
        <w:t xml:space="preserve">Half of the </w:t>
      </w:r>
      <w:r w:rsidR="00E6672E" w:rsidRPr="003E751B">
        <w:rPr>
          <w:rFonts w:ascii="Calibri" w:hAnsi="Calibri"/>
          <w:sz w:val="22"/>
          <w:szCs w:val="22"/>
          <w:lang w:val="en-GB"/>
        </w:rPr>
        <w:t xml:space="preserve">population </w:t>
      </w:r>
      <w:r w:rsidR="00EF0B03" w:rsidRPr="003E751B">
        <w:rPr>
          <w:rFonts w:ascii="Calibri" w:hAnsi="Calibri"/>
          <w:sz w:val="22"/>
          <w:szCs w:val="22"/>
          <w:lang w:val="en-GB"/>
        </w:rPr>
        <w:t xml:space="preserve">growth of Greater Manchester occurred within Manchester. </w:t>
      </w:r>
      <w:r w:rsidR="00C201EE" w:rsidRPr="003E751B">
        <w:rPr>
          <w:rFonts w:ascii="Calibri" w:hAnsi="Calibri"/>
          <w:sz w:val="22"/>
          <w:szCs w:val="22"/>
          <w:lang w:val="en-GB"/>
        </w:rPr>
        <w:t xml:space="preserve">Similarly, </w:t>
      </w:r>
      <w:r w:rsidR="00EF0B03" w:rsidRPr="003E751B">
        <w:rPr>
          <w:rFonts w:ascii="Calibri" w:hAnsi="Calibri"/>
          <w:sz w:val="22"/>
          <w:szCs w:val="22"/>
          <w:lang w:val="en-GB"/>
        </w:rPr>
        <w:t xml:space="preserve">Liverpool </w:t>
      </w:r>
      <w:r w:rsidR="00C201EE" w:rsidRPr="003E751B">
        <w:rPr>
          <w:rFonts w:ascii="Calibri" w:hAnsi="Calibri"/>
          <w:sz w:val="22"/>
          <w:szCs w:val="22"/>
          <w:lang w:val="en-GB"/>
        </w:rPr>
        <w:t>was the main driver of population growth of the city region</w:t>
      </w:r>
      <w:r w:rsidR="00920A02" w:rsidRPr="003E751B">
        <w:rPr>
          <w:rFonts w:ascii="Calibri" w:hAnsi="Calibri"/>
          <w:sz w:val="22"/>
          <w:szCs w:val="22"/>
          <w:lang w:val="en-GB"/>
        </w:rPr>
        <w:t xml:space="preserve">, </w:t>
      </w:r>
      <w:r w:rsidR="00C201EE" w:rsidRPr="003E751B">
        <w:rPr>
          <w:rFonts w:ascii="Calibri" w:hAnsi="Calibri"/>
          <w:sz w:val="22"/>
          <w:szCs w:val="22"/>
          <w:lang w:val="en-GB"/>
        </w:rPr>
        <w:t xml:space="preserve">mainly because </w:t>
      </w:r>
      <w:r w:rsidR="00352AF9" w:rsidRPr="003E751B">
        <w:rPr>
          <w:rFonts w:ascii="Calibri" w:hAnsi="Calibri"/>
          <w:sz w:val="22"/>
          <w:szCs w:val="22"/>
          <w:lang w:val="en-GB"/>
        </w:rPr>
        <w:t xml:space="preserve">the other local authorities had very low growth rates or even declining </w:t>
      </w:r>
      <w:r w:rsidR="00C201EE" w:rsidRPr="003E751B">
        <w:rPr>
          <w:rFonts w:ascii="Calibri" w:hAnsi="Calibri"/>
          <w:sz w:val="22"/>
          <w:szCs w:val="22"/>
          <w:lang w:val="en-GB"/>
        </w:rPr>
        <w:t>population</w:t>
      </w:r>
      <w:r w:rsidR="00352AF9" w:rsidRPr="003E751B">
        <w:rPr>
          <w:rFonts w:ascii="Calibri" w:hAnsi="Calibri"/>
          <w:sz w:val="22"/>
          <w:szCs w:val="22"/>
          <w:lang w:val="en-GB"/>
        </w:rPr>
        <w:t>s</w:t>
      </w:r>
      <w:r w:rsidR="00920A02" w:rsidRPr="003E751B">
        <w:rPr>
          <w:rFonts w:ascii="Calibri" w:hAnsi="Calibri"/>
          <w:sz w:val="22"/>
          <w:szCs w:val="22"/>
          <w:lang w:val="en-GB"/>
        </w:rPr>
        <w:t xml:space="preserve">. We will </w:t>
      </w:r>
      <w:r w:rsidR="00BE3AB7" w:rsidRPr="003E751B">
        <w:rPr>
          <w:rFonts w:ascii="Calibri" w:hAnsi="Calibri"/>
          <w:sz w:val="22"/>
          <w:szCs w:val="22"/>
          <w:lang w:val="en-GB"/>
        </w:rPr>
        <w:t>review</w:t>
      </w:r>
      <w:r w:rsidR="00920A02" w:rsidRPr="003E751B">
        <w:rPr>
          <w:rFonts w:ascii="Calibri" w:hAnsi="Calibri"/>
          <w:sz w:val="22"/>
          <w:szCs w:val="22"/>
          <w:lang w:val="en-GB"/>
        </w:rPr>
        <w:t xml:space="preserve"> the policy responses of one of those towns in the spatial in-between of the Manchester and Liverpool city-regions, </w:t>
      </w:r>
      <w:r w:rsidR="00D4030D" w:rsidRPr="003E751B">
        <w:rPr>
          <w:rFonts w:ascii="Calibri" w:hAnsi="Calibri"/>
          <w:sz w:val="22"/>
          <w:szCs w:val="22"/>
          <w:lang w:val="en-GB"/>
        </w:rPr>
        <w:t xml:space="preserve">the former mining town of </w:t>
      </w:r>
      <w:r w:rsidR="00920A02" w:rsidRPr="003E751B">
        <w:rPr>
          <w:rFonts w:ascii="Calibri" w:hAnsi="Calibri"/>
          <w:sz w:val="22"/>
          <w:szCs w:val="22"/>
          <w:lang w:val="en-GB"/>
        </w:rPr>
        <w:t xml:space="preserve">St. Helens. </w:t>
      </w:r>
    </w:p>
    <w:p w14:paraId="08B91C4E" w14:textId="77777777" w:rsidR="002241EB" w:rsidRPr="003E751B" w:rsidRDefault="00AE4870" w:rsidP="00D9599A">
      <w:pPr>
        <w:ind w:firstLine="284"/>
        <w:rPr>
          <w:rFonts w:ascii="Calibri" w:hAnsi="Calibri"/>
          <w:sz w:val="22"/>
          <w:szCs w:val="22"/>
          <w:lang w:val="en-GB"/>
        </w:rPr>
      </w:pPr>
      <w:r w:rsidRPr="003E751B">
        <w:rPr>
          <w:rFonts w:ascii="Calibri" w:hAnsi="Calibri"/>
          <w:sz w:val="22"/>
          <w:szCs w:val="22"/>
          <w:lang w:val="en-GB"/>
        </w:rPr>
        <w:t xml:space="preserve">In the remainder of the article we cast light on the changing periphery in urban regions </w:t>
      </w:r>
      <w:r w:rsidR="00D4030D" w:rsidRPr="003E751B">
        <w:rPr>
          <w:rFonts w:ascii="Calibri" w:hAnsi="Calibri"/>
          <w:sz w:val="22"/>
          <w:szCs w:val="22"/>
          <w:lang w:val="en-GB"/>
        </w:rPr>
        <w:t xml:space="preserve">over </w:t>
      </w:r>
      <w:r w:rsidRPr="003E751B">
        <w:rPr>
          <w:rFonts w:ascii="Calibri" w:hAnsi="Calibri"/>
          <w:sz w:val="22"/>
          <w:szCs w:val="22"/>
          <w:lang w:val="en-GB"/>
        </w:rPr>
        <w:t>the past decades. We then zoom in on the Manchester and Liverpool city regions and the c</w:t>
      </w:r>
      <w:r w:rsidR="00C815A4" w:rsidRPr="003E751B">
        <w:rPr>
          <w:rFonts w:ascii="Calibri" w:hAnsi="Calibri"/>
          <w:sz w:val="22"/>
          <w:szCs w:val="22"/>
          <w:lang w:val="en-GB"/>
        </w:rPr>
        <w:t xml:space="preserve">hanges that took place </w:t>
      </w:r>
      <w:r w:rsidR="00082B54" w:rsidRPr="003E751B">
        <w:rPr>
          <w:rFonts w:ascii="Calibri" w:hAnsi="Calibri"/>
          <w:sz w:val="22"/>
          <w:szCs w:val="22"/>
          <w:lang w:val="en-GB"/>
        </w:rPr>
        <w:t>since the millennium</w:t>
      </w:r>
      <w:r w:rsidR="00C815A4" w:rsidRPr="003E751B">
        <w:rPr>
          <w:rFonts w:ascii="Calibri" w:hAnsi="Calibri"/>
          <w:sz w:val="22"/>
          <w:szCs w:val="22"/>
          <w:lang w:val="en-GB"/>
        </w:rPr>
        <w:t xml:space="preserve"> in terms of demographic, economic and social indicators. In the next section</w:t>
      </w:r>
      <w:r w:rsidR="00152F93" w:rsidRPr="003E751B">
        <w:rPr>
          <w:rFonts w:ascii="Calibri" w:hAnsi="Calibri"/>
          <w:sz w:val="22"/>
          <w:szCs w:val="22"/>
          <w:lang w:val="en-GB"/>
        </w:rPr>
        <w:t>,</w:t>
      </w:r>
      <w:r w:rsidR="00C815A4" w:rsidRPr="003E751B">
        <w:rPr>
          <w:rFonts w:ascii="Calibri" w:hAnsi="Calibri"/>
          <w:sz w:val="22"/>
          <w:szCs w:val="22"/>
          <w:lang w:val="en-GB"/>
        </w:rPr>
        <w:t xml:space="preserve"> we elaborate on the challenging situation of a local authority in the urban fringe and how it is trying to find its role in the context of two big </w:t>
      </w:r>
      <w:r w:rsidR="002241EB" w:rsidRPr="003E751B">
        <w:rPr>
          <w:rFonts w:ascii="Calibri" w:hAnsi="Calibri"/>
          <w:sz w:val="22"/>
          <w:szCs w:val="22"/>
          <w:lang w:val="en-GB"/>
        </w:rPr>
        <w:t xml:space="preserve">neighbours. The paper calls for renewed attention to the role of the urban fringe in an urban age and reflects on the policy implications for places in the fringe. </w:t>
      </w:r>
    </w:p>
    <w:p w14:paraId="407F9B33" w14:textId="77777777" w:rsidR="00AE4870" w:rsidRPr="003E751B" w:rsidRDefault="00AE4870" w:rsidP="00D9599A">
      <w:pPr>
        <w:rPr>
          <w:rFonts w:ascii="Calibri" w:hAnsi="Calibri"/>
          <w:sz w:val="22"/>
          <w:szCs w:val="22"/>
          <w:lang w:val="en-GB"/>
        </w:rPr>
      </w:pPr>
    </w:p>
    <w:p w14:paraId="7A71DC93" w14:textId="77777777" w:rsidR="00177D1C" w:rsidRPr="003E751B" w:rsidRDefault="00152F93" w:rsidP="00D9599A">
      <w:pPr>
        <w:keepNext/>
        <w:ind w:left="567" w:hanging="567"/>
        <w:rPr>
          <w:rFonts w:ascii="Calibri" w:hAnsi="Calibri"/>
          <w:b/>
          <w:sz w:val="22"/>
          <w:szCs w:val="22"/>
          <w:lang w:val="en-GB"/>
        </w:rPr>
      </w:pPr>
      <w:r w:rsidRPr="003E751B">
        <w:rPr>
          <w:rFonts w:ascii="Calibri" w:hAnsi="Calibri"/>
          <w:b/>
          <w:sz w:val="22"/>
          <w:szCs w:val="22"/>
          <w:lang w:val="en-GB"/>
        </w:rPr>
        <w:t>2</w:t>
      </w:r>
      <w:r w:rsidRPr="003E751B">
        <w:rPr>
          <w:rFonts w:ascii="Calibri" w:hAnsi="Calibri"/>
          <w:b/>
          <w:sz w:val="22"/>
          <w:szCs w:val="22"/>
          <w:lang w:val="en-GB"/>
        </w:rPr>
        <w:tab/>
      </w:r>
      <w:r w:rsidR="00826A8B" w:rsidRPr="003E751B">
        <w:rPr>
          <w:rFonts w:ascii="Calibri" w:hAnsi="Calibri"/>
          <w:b/>
          <w:sz w:val="22"/>
          <w:szCs w:val="22"/>
          <w:lang w:val="en-GB"/>
        </w:rPr>
        <w:t xml:space="preserve">The </w:t>
      </w:r>
      <w:r w:rsidR="00AE4870" w:rsidRPr="003E751B">
        <w:rPr>
          <w:rFonts w:ascii="Calibri" w:hAnsi="Calibri"/>
          <w:b/>
          <w:sz w:val="22"/>
          <w:szCs w:val="22"/>
          <w:lang w:val="en-GB"/>
        </w:rPr>
        <w:t>Changing</w:t>
      </w:r>
      <w:r w:rsidR="00BB43CD" w:rsidRPr="003E751B">
        <w:rPr>
          <w:rFonts w:ascii="Calibri" w:hAnsi="Calibri"/>
          <w:b/>
          <w:sz w:val="22"/>
          <w:szCs w:val="22"/>
          <w:lang w:val="en-GB"/>
        </w:rPr>
        <w:t xml:space="preserve"> Relationship Between Centre and</w:t>
      </w:r>
      <w:r w:rsidR="00826A8B" w:rsidRPr="003E751B">
        <w:rPr>
          <w:rFonts w:ascii="Calibri" w:hAnsi="Calibri"/>
          <w:b/>
          <w:sz w:val="22"/>
          <w:szCs w:val="22"/>
          <w:lang w:val="en-GB"/>
        </w:rPr>
        <w:t xml:space="preserve"> Periphery in Urban Regions</w:t>
      </w:r>
    </w:p>
    <w:p w14:paraId="4ACA4275" w14:textId="33DA0193" w:rsidR="0062050F" w:rsidRPr="003E751B" w:rsidRDefault="009202F2" w:rsidP="00CD3A63">
      <w:pPr>
        <w:rPr>
          <w:rFonts w:ascii="Calibri" w:hAnsi="Calibri"/>
          <w:sz w:val="22"/>
          <w:szCs w:val="22"/>
          <w:lang w:val="en-GB"/>
        </w:rPr>
      </w:pPr>
      <w:r w:rsidRPr="003E751B">
        <w:rPr>
          <w:rFonts w:ascii="Calibri" w:hAnsi="Calibri"/>
          <w:sz w:val="22"/>
          <w:szCs w:val="22"/>
          <w:lang w:val="en-GB"/>
        </w:rPr>
        <w:t>T</w:t>
      </w:r>
      <w:r w:rsidR="00757B3B" w:rsidRPr="003E751B">
        <w:rPr>
          <w:rFonts w:ascii="Calibri" w:hAnsi="Calibri"/>
          <w:sz w:val="22"/>
          <w:szCs w:val="22"/>
          <w:lang w:val="en-GB"/>
        </w:rPr>
        <w:t xml:space="preserve">he second half of the twentieth century witnessed a fundamental restructuring of urban form, resulting in </w:t>
      </w:r>
      <w:r w:rsidR="00350220" w:rsidRPr="003E751B">
        <w:rPr>
          <w:rFonts w:ascii="Calibri" w:hAnsi="Calibri"/>
          <w:sz w:val="22"/>
          <w:szCs w:val="22"/>
          <w:lang w:val="en-GB"/>
        </w:rPr>
        <w:t>the emergence of</w:t>
      </w:r>
      <w:r w:rsidR="0001318D" w:rsidRPr="003E751B">
        <w:rPr>
          <w:rFonts w:ascii="Calibri" w:hAnsi="Calibri"/>
          <w:sz w:val="22"/>
          <w:szCs w:val="22"/>
          <w:lang w:val="en-GB"/>
        </w:rPr>
        <w:t xml:space="preserve"> polycentric</w:t>
      </w:r>
      <w:r w:rsidR="00757B3B" w:rsidRPr="003E751B">
        <w:rPr>
          <w:rFonts w:ascii="Calibri" w:hAnsi="Calibri"/>
          <w:sz w:val="22"/>
          <w:szCs w:val="22"/>
          <w:lang w:val="en-GB"/>
        </w:rPr>
        <w:t xml:space="preserve"> urban regions</w:t>
      </w:r>
      <w:r w:rsidR="0001318D" w:rsidRPr="003E751B">
        <w:rPr>
          <w:rFonts w:ascii="Calibri" w:hAnsi="Calibri"/>
          <w:sz w:val="22"/>
          <w:szCs w:val="22"/>
          <w:lang w:val="en-GB"/>
        </w:rPr>
        <w:t xml:space="preserve"> (</w:t>
      </w:r>
      <w:r w:rsidR="0001318D" w:rsidRPr="003E751B">
        <w:rPr>
          <w:rFonts w:ascii="Calibri" w:hAnsi="Calibri"/>
          <w:i/>
          <w:sz w:val="22"/>
          <w:szCs w:val="22"/>
          <w:lang w:val="en-GB"/>
        </w:rPr>
        <w:t>Champion</w:t>
      </w:r>
      <w:r w:rsidR="0001318D" w:rsidRPr="003E751B">
        <w:rPr>
          <w:rFonts w:ascii="Calibri" w:hAnsi="Calibri"/>
          <w:sz w:val="22"/>
          <w:szCs w:val="22"/>
          <w:lang w:val="en-GB"/>
        </w:rPr>
        <w:t xml:space="preserve"> 2001; </w:t>
      </w:r>
      <w:r w:rsidR="0035185F" w:rsidRPr="003E751B">
        <w:rPr>
          <w:rFonts w:ascii="Calibri" w:hAnsi="Calibri"/>
          <w:i/>
          <w:sz w:val="22"/>
          <w:szCs w:val="22"/>
          <w:lang w:val="en-GB"/>
        </w:rPr>
        <w:t>Hall/</w:t>
      </w:r>
      <w:r w:rsidR="0001318D" w:rsidRPr="003E751B">
        <w:rPr>
          <w:rFonts w:ascii="Calibri" w:hAnsi="Calibri"/>
          <w:i/>
          <w:sz w:val="22"/>
          <w:szCs w:val="22"/>
          <w:lang w:val="en-GB"/>
        </w:rPr>
        <w:t>Pain</w:t>
      </w:r>
      <w:r w:rsidR="0001318D" w:rsidRPr="003E751B">
        <w:rPr>
          <w:rFonts w:ascii="Calibri" w:hAnsi="Calibri"/>
          <w:sz w:val="22"/>
          <w:szCs w:val="22"/>
          <w:lang w:val="en-GB"/>
        </w:rPr>
        <w:t xml:space="preserve"> 2006)</w:t>
      </w:r>
      <w:r w:rsidR="00757B3B" w:rsidRPr="003E751B">
        <w:rPr>
          <w:rFonts w:ascii="Calibri" w:hAnsi="Calibri"/>
          <w:sz w:val="22"/>
          <w:szCs w:val="22"/>
          <w:lang w:val="en-GB"/>
        </w:rPr>
        <w:t>.</w:t>
      </w:r>
      <w:r w:rsidR="003B498A" w:rsidRPr="003E751B">
        <w:rPr>
          <w:rFonts w:ascii="Calibri" w:hAnsi="Calibri"/>
          <w:sz w:val="22"/>
          <w:szCs w:val="22"/>
          <w:lang w:val="en-GB"/>
        </w:rPr>
        <w:t xml:space="preserve"> </w:t>
      </w:r>
      <w:r w:rsidR="00232DB6" w:rsidRPr="003E751B">
        <w:rPr>
          <w:rFonts w:ascii="Calibri" w:hAnsi="Calibri"/>
          <w:sz w:val="22"/>
          <w:szCs w:val="22"/>
          <w:lang w:val="en-GB"/>
        </w:rPr>
        <w:t xml:space="preserve">Many scholars have attempted to conceptualise the </w:t>
      </w:r>
      <w:r w:rsidR="00285607" w:rsidRPr="003E751B">
        <w:rPr>
          <w:rFonts w:ascii="Calibri" w:hAnsi="Calibri"/>
          <w:sz w:val="22"/>
          <w:szCs w:val="22"/>
          <w:lang w:val="en-GB"/>
        </w:rPr>
        <w:t>urbanisation process in developed countries</w:t>
      </w:r>
      <w:r w:rsidR="00C32E8E" w:rsidRPr="003E751B">
        <w:rPr>
          <w:rFonts w:ascii="Calibri" w:hAnsi="Calibri"/>
          <w:sz w:val="22"/>
          <w:szCs w:val="22"/>
          <w:lang w:val="en-GB"/>
        </w:rPr>
        <w:t xml:space="preserve"> </w:t>
      </w:r>
      <w:r w:rsidR="003B5552" w:rsidRPr="003E751B">
        <w:rPr>
          <w:rFonts w:ascii="Calibri" w:hAnsi="Calibri"/>
          <w:sz w:val="22"/>
          <w:szCs w:val="22"/>
          <w:lang w:val="en-GB"/>
        </w:rPr>
        <w:t xml:space="preserve">as a cyclical process </w:t>
      </w:r>
      <w:r w:rsidR="00C32E8E" w:rsidRPr="003E751B">
        <w:rPr>
          <w:rFonts w:ascii="Calibri" w:hAnsi="Calibri"/>
          <w:sz w:val="22"/>
          <w:szCs w:val="22"/>
          <w:lang w:val="en-GB"/>
        </w:rPr>
        <w:t xml:space="preserve">(for an overview see </w:t>
      </w:r>
      <w:r w:rsidR="00C32E8E" w:rsidRPr="003E751B">
        <w:rPr>
          <w:rFonts w:ascii="Calibri" w:hAnsi="Calibri"/>
          <w:i/>
          <w:sz w:val="22"/>
          <w:szCs w:val="22"/>
          <w:lang w:val="en-GB"/>
        </w:rPr>
        <w:t>Parr</w:t>
      </w:r>
      <w:r w:rsidR="00C32E8E" w:rsidRPr="003E751B">
        <w:rPr>
          <w:rFonts w:ascii="Calibri" w:hAnsi="Calibri"/>
          <w:sz w:val="22"/>
          <w:szCs w:val="22"/>
          <w:lang w:val="en-GB"/>
        </w:rPr>
        <w:t xml:space="preserve"> 2012)</w:t>
      </w:r>
      <w:r w:rsidR="00285607" w:rsidRPr="003E751B">
        <w:rPr>
          <w:rFonts w:ascii="Calibri" w:hAnsi="Calibri"/>
          <w:sz w:val="22"/>
          <w:szCs w:val="22"/>
          <w:lang w:val="en-GB"/>
        </w:rPr>
        <w:t xml:space="preserve">. </w:t>
      </w:r>
      <w:r w:rsidR="00B403F8" w:rsidRPr="003E751B">
        <w:rPr>
          <w:rFonts w:ascii="Calibri" w:hAnsi="Calibri"/>
          <w:sz w:val="22"/>
          <w:szCs w:val="22"/>
          <w:lang w:val="en-GB"/>
        </w:rPr>
        <w:t>Most contributions look a</w:t>
      </w:r>
      <w:r w:rsidR="00C46AFB" w:rsidRPr="003E751B">
        <w:rPr>
          <w:rFonts w:ascii="Calibri" w:hAnsi="Calibri"/>
          <w:sz w:val="22"/>
          <w:szCs w:val="22"/>
          <w:lang w:val="en-GB"/>
        </w:rPr>
        <w:t>t</w:t>
      </w:r>
      <w:r w:rsidR="00B403F8" w:rsidRPr="003E751B">
        <w:rPr>
          <w:rFonts w:ascii="Calibri" w:hAnsi="Calibri"/>
          <w:sz w:val="22"/>
          <w:szCs w:val="22"/>
          <w:lang w:val="en-GB"/>
        </w:rPr>
        <w:t xml:space="preserve"> the functional urban region</w:t>
      </w:r>
      <w:r w:rsidR="00C46AFB" w:rsidRPr="003E751B">
        <w:rPr>
          <w:rFonts w:ascii="Calibri" w:hAnsi="Calibri"/>
          <w:sz w:val="22"/>
          <w:szCs w:val="22"/>
          <w:lang w:val="en-GB"/>
        </w:rPr>
        <w:t xml:space="preserve">, distinguishing between </w:t>
      </w:r>
      <w:r w:rsidR="00003DE5" w:rsidRPr="003E751B">
        <w:rPr>
          <w:rFonts w:ascii="Calibri" w:hAnsi="Calibri"/>
          <w:sz w:val="22"/>
          <w:szCs w:val="22"/>
          <w:lang w:val="en-GB"/>
        </w:rPr>
        <w:t>a</w:t>
      </w:r>
      <w:r w:rsidR="00C46AFB" w:rsidRPr="003E751B">
        <w:rPr>
          <w:rFonts w:ascii="Calibri" w:hAnsi="Calibri"/>
          <w:sz w:val="22"/>
          <w:szCs w:val="22"/>
          <w:lang w:val="en-GB"/>
        </w:rPr>
        <w:t xml:space="preserve"> core city and a subordinate ring of</w:t>
      </w:r>
      <w:r w:rsidR="00003DE5" w:rsidRPr="003E751B">
        <w:rPr>
          <w:rFonts w:ascii="Calibri" w:hAnsi="Calibri"/>
          <w:sz w:val="22"/>
          <w:szCs w:val="22"/>
          <w:lang w:val="en-GB"/>
        </w:rPr>
        <w:t xml:space="preserve"> dependent</w:t>
      </w:r>
      <w:r w:rsidR="00C46AFB" w:rsidRPr="003E751B">
        <w:rPr>
          <w:rFonts w:ascii="Calibri" w:hAnsi="Calibri"/>
          <w:sz w:val="22"/>
          <w:szCs w:val="22"/>
          <w:lang w:val="en-GB"/>
        </w:rPr>
        <w:t xml:space="preserve"> urban development. </w:t>
      </w:r>
      <w:r w:rsidR="003B498A" w:rsidRPr="003E751B">
        <w:rPr>
          <w:rFonts w:ascii="Calibri" w:hAnsi="Calibri"/>
          <w:sz w:val="22"/>
          <w:szCs w:val="22"/>
          <w:lang w:val="en-GB"/>
        </w:rPr>
        <w:t xml:space="preserve">In the </w:t>
      </w:r>
      <w:r w:rsidR="00285607" w:rsidRPr="003E751B">
        <w:rPr>
          <w:rFonts w:ascii="Calibri" w:hAnsi="Calibri"/>
          <w:sz w:val="22"/>
          <w:szCs w:val="22"/>
          <w:lang w:val="en-GB"/>
        </w:rPr>
        <w:t>literature,</w:t>
      </w:r>
      <w:r w:rsidR="003B498A" w:rsidRPr="003E751B">
        <w:rPr>
          <w:rFonts w:ascii="Calibri" w:hAnsi="Calibri"/>
          <w:sz w:val="22"/>
          <w:szCs w:val="22"/>
          <w:lang w:val="en-GB"/>
        </w:rPr>
        <w:t xml:space="preserve"> we can distinguish two important dimensions in analysing urban development (</w:t>
      </w:r>
      <w:r w:rsidR="003B498A" w:rsidRPr="003E751B">
        <w:rPr>
          <w:rFonts w:ascii="Calibri" w:hAnsi="Calibri"/>
          <w:i/>
          <w:sz w:val="22"/>
          <w:szCs w:val="22"/>
          <w:lang w:val="en-GB"/>
        </w:rPr>
        <w:t>Parr</w:t>
      </w:r>
      <w:r w:rsidR="003B498A" w:rsidRPr="003E751B">
        <w:rPr>
          <w:rFonts w:ascii="Calibri" w:hAnsi="Calibri"/>
          <w:sz w:val="22"/>
          <w:szCs w:val="22"/>
          <w:lang w:val="en-GB"/>
        </w:rPr>
        <w:t xml:space="preserve"> 2012): </w:t>
      </w:r>
      <w:r w:rsidR="00607CB6" w:rsidRPr="003E751B">
        <w:rPr>
          <w:rFonts w:ascii="Calibri" w:hAnsi="Calibri"/>
          <w:sz w:val="22"/>
          <w:szCs w:val="22"/>
          <w:lang w:val="en-GB"/>
        </w:rPr>
        <w:t xml:space="preserve">the overall demographic development of the functional urban region </w:t>
      </w:r>
      <w:r w:rsidR="00607CB6" w:rsidRPr="003E751B">
        <w:rPr>
          <w:rFonts w:ascii="Calibri" w:hAnsi="Calibri"/>
          <w:sz w:val="22"/>
          <w:szCs w:val="22"/>
          <w:lang w:val="en-GB"/>
        </w:rPr>
        <w:lastRenderedPageBreak/>
        <w:t>(</w:t>
      </w:r>
      <w:r w:rsidR="00003DE5" w:rsidRPr="003E751B">
        <w:rPr>
          <w:rFonts w:ascii="Calibri" w:hAnsi="Calibri"/>
          <w:sz w:val="22"/>
          <w:szCs w:val="22"/>
          <w:lang w:val="en-GB"/>
        </w:rPr>
        <w:t>concentration/deconcentration</w:t>
      </w:r>
      <w:r w:rsidR="00607CB6" w:rsidRPr="003E751B">
        <w:rPr>
          <w:rFonts w:ascii="Calibri" w:hAnsi="Calibri"/>
          <w:sz w:val="22"/>
          <w:szCs w:val="22"/>
          <w:lang w:val="en-GB"/>
        </w:rPr>
        <w:t>) and the dynamics</w:t>
      </w:r>
      <w:r w:rsidR="00E83B50" w:rsidRPr="003E751B">
        <w:rPr>
          <w:rFonts w:ascii="Calibri" w:hAnsi="Calibri"/>
          <w:sz w:val="22"/>
          <w:szCs w:val="22"/>
          <w:lang w:val="en-GB"/>
        </w:rPr>
        <w:t xml:space="preserve"> within the functional urban region</w:t>
      </w:r>
      <w:r w:rsidR="00607CB6" w:rsidRPr="003E751B">
        <w:rPr>
          <w:rFonts w:ascii="Calibri" w:hAnsi="Calibri"/>
          <w:sz w:val="22"/>
          <w:szCs w:val="22"/>
          <w:lang w:val="en-GB"/>
        </w:rPr>
        <w:t xml:space="preserve"> (</w:t>
      </w:r>
      <w:r w:rsidR="00003DE5" w:rsidRPr="003E751B">
        <w:rPr>
          <w:rFonts w:ascii="Calibri" w:hAnsi="Calibri"/>
          <w:sz w:val="22"/>
          <w:szCs w:val="22"/>
          <w:lang w:val="en-GB"/>
        </w:rPr>
        <w:t>centralisation/decentralisation</w:t>
      </w:r>
      <w:r w:rsidR="00607CB6" w:rsidRPr="003E751B">
        <w:rPr>
          <w:rFonts w:ascii="Calibri" w:hAnsi="Calibri"/>
          <w:sz w:val="22"/>
          <w:szCs w:val="22"/>
          <w:lang w:val="en-GB"/>
        </w:rPr>
        <w:t xml:space="preserve">). </w:t>
      </w:r>
      <w:r w:rsidR="007F353D" w:rsidRPr="003E751B">
        <w:rPr>
          <w:rFonts w:ascii="Calibri" w:hAnsi="Calibri"/>
          <w:i/>
          <w:sz w:val="22"/>
          <w:szCs w:val="22"/>
          <w:lang w:val="en-GB"/>
        </w:rPr>
        <w:t>Van den Berg et al.</w:t>
      </w:r>
      <w:r w:rsidR="007F353D" w:rsidRPr="003E751B">
        <w:rPr>
          <w:rFonts w:ascii="Calibri" w:hAnsi="Calibri"/>
          <w:sz w:val="22"/>
          <w:szCs w:val="22"/>
          <w:lang w:val="en-GB"/>
        </w:rPr>
        <w:t xml:space="preserve"> (1982) define four stages of urban </w:t>
      </w:r>
      <w:r w:rsidR="00AD2417" w:rsidRPr="003E751B">
        <w:rPr>
          <w:rFonts w:ascii="Calibri" w:hAnsi="Calibri"/>
          <w:sz w:val="22"/>
          <w:szCs w:val="22"/>
          <w:lang w:val="en-GB"/>
        </w:rPr>
        <w:t xml:space="preserve">development: urbanisation, suburbanisation, </w:t>
      </w:r>
      <w:r w:rsidR="00B93DEF" w:rsidRPr="003E751B">
        <w:rPr>
          <w:rFonts w:ascii="Calibri" w:hAnsi="Calibri"/>
          <w:sz w:val="22"/>
          <w:szCs w:val="22"/>
          <w:lang w:val="en-GB"/>
        </w:rPr>
        <w:t>counterurbanisation</w:t>
      </w:r>
      <w:r w:rsidR="00AD2417" w:rsidRPr="003E751B">
        <w:rPr>
          <w:rFonts w:ascii="Calibri" w:hAnsi="Calibri"/>
          <w:sz w:val="22"/>
          <w:szCs w:val="22"/>
          <w:lang w:val="en-GB"/>
        </w:rPr>
        <w:t xml:space="preserve"> and reurbanisation, each distinguished into two sub-phases where </w:t>
      </w:r>
      <w:r w:rsidR="00B93DEF" w:rsidRPr="003E751B">
        <w:rPr>
          <w:rFonts w:ascii="Calibri" w:hAnsi="Calibri"/>
          <w:sz w:val="22"/>
          <w:szCs w:val="22"/>
          <w:lang w:val="en-GB"/>
        </w:rPr>
        <w:t>centralisation</w:t>
      </w:r>
      <w:r w:rsidR="00AD2417" w:rsidRPr="003E751B">
        <w:rPr>
          <w:rFonts w:ascii="Calibri" w:hAnsi="Calibri"/>
          <w:sz w:val="22"/>
          <w:szCs w:val="22"/>
          <w:lang w:val="en-GB"/>
        </w:rPr>
        <w:t xml:space="preserve"> and </w:t>
      </w:r>
      <w:r w:rsidR="00B93DEF" w:rsidRPr="003E751B">
        <w:rPr>
          <w:rFonts w:ascii="Calibri" w:hAnsi="Calibri"/>
          <w:sz w:val="22"/>
          <w:szCs w:val="22"/>
          <w:lang w:val="en-GB"/>
        </w:rPr>
        <w:t xml:space="preserve">decentralisation </w:t>
      </w:r>
      <w:r w:rsidR="00AD2417" w:rsidRPr="003E751B">
        <w:rPr>
          <w:rFonts w:ascii="Calibri" w:hAnsi="Calibri"/>
          <w:sz w:val="22"/>
          <w:szCs w:val="22"/>
          <w:lang w:val="en-GB"/>
        </w:rPr>
        <w:t xml:space="preserve">is either relative </w:t>
      </w:r>
      <w:r w:rsidR="0037436B" w:rsidRPr="003E751B">
        <w:rPr>
          <w:rFonts w:ascii="Calibri" w:hAnsi="Calibri"/>
          <w:sz w:val="22"/>
          <w:szCs w:val="22"/>
          <w:lang w:val="en-GB"/>
        </w:rPr>
        <w:t xml:space="preserve">(i.e. </w:t>
      </w:r>
      <w:r w:rsidR="00964CD6" w:rsidRPr="003E751B">
        <w:rPr>
          <w:rFonts w:ascii="Calibri" w:hAnsi="Calibri"/>
          <w:sz w:val="22"/>
          <w:szCs w:val="22"/>
          <w:lang w:val="en-GB"/>
        </w:rPr>
        <w:t>corresponding trend but different intensity</w:t>
      </w:r>
      <w:r w:rsidR="005A0FD1" w:rsidRPr="003E751B">
        <w:rPr>
          <w:rFonts w:ascii="Calibri" w:hAnsi="Calibri"/>
          <w:sz w:val="22"/>
          <w:szCs w:val="22"/>
          <w:lang w:val="en-GB"/>
        </w:rPr>
        <w:t xml:space="preserve">) </w:t>
      </w:r>
      <w:r w:rsidR="00AD2417" w:rsidRPr="003E751B">
        <w:rPr>
          <w:rFonts w:ascii="Calibri" w:hAnsi="Calibri"/>
          <w:sz w:val="22"/>
          <w:szCs w:val="22"/>
          <w:lang w:val="en-GB"/>
        </w:rPr>
        <w:t>or absolute</w:t>
      </w:r>
      <w:r w:rsidR="005A0FD1" w:rsidRPr="003E751B">
        <w:rPr>
          <w:rFonts w:ascii="Calibri" w:hAnsi="Calibri"/>
          <w:sz w:val="22"/>
          <w:szCs w:val="22"/>
          <w:lang w:val="en-GB"/>
        </w:rPr>
        <w:t xml:space="preserve"> (i.e. diverging trends)</w:t>
      </w:r>
      <w:r w:rsidR="00B93DEF" w:rsidRPr="003E751B">
        <w:rPr>
          <w:rFonts w:ascii="Calibri" w:hAnsi="Calibri"/>
          <w:sz w:val="22"/>
          <w:szCs w:val="22"/>
          <w:lang w:val="en-GB"/>
        </w:rPr>
        <w:t xml:space="preserve"> (see </w:t>
      </w:r>
      <w:r w:rsidR="00FA32DE" w:rsidRPr="00022D1C">
        <w:rPr>
          <w:rFonts w:ascii="Calibri" w:hAnsi="Calibri"/>
          <w:sz w:val="22"/>
          <w:szCs w:val="22"/>
          <w:lang w:val="en-GB"/>
        </w:rPr>
        <w:t>Tab</w:t>
      </w:r>
      <w:r w:rsidR="00B93DEF" w:rsidRPr="00022D1C">
        <w:rPr>
          <w:rFonts w:ascii="Calibri" w:hAnsi="Calibri"/>
          <w:sz w:val="22"/>
          <w:szCs w:val="22"/>
          <w:lang w:val="en-GB"/>
        </w:rPr>
        <w:t xml:space="preserve">. </w:t>
      </w:r>
      <w:r w:rsidR="009A1633">
        <w:rPr>
          <w:rFonts w:ascii="Calibri" w:hAnsi="Calibri"/>
          <w:sz w:val="22"/>
          <w:szCs w:val="22"/>
          <w:lang w:val="en-GB"/>
        </w:rPr>
        <w:t>1</w:t>
      </w:r>
      <w:r w:rsidR="00B93DEF" w:rsidRPr="003E751B">
        <w:rPr>
          <w:rFonts w:ascii="Calibri" w:hAnsi="Calibri"/>
          <w:sz w:val="22"/>
          <w:szCs w:val="22"/>
          <w:lang w:val="en-GB"/>
        </w:rPr>
        <w:t>)</w:t>
      </w:r>
      <w:r w:rsidR="00AD2417" w:rsidRPr="003E751B">
        <w:rPr>
          <w:rFonts w:ascii="Calibri" w:hAnsi="Calibri"/>
          <w:sz w:val="22"/>
          <w:szCs w:val="22"/>
          <w:lang w:val="en-GB"/>
        </w:rPr>
        <w:t xml:space="preserve">. </w:t>
      </w:r>
      <w:r w:rsidR="00AB0E4D" w:rsidRPr="003E751B">
        <w:rPr>
          <w:rFonts w:ascii="Calibri" w:hAnsi="Calibri"/>
          <w:i/>
          <w:sz w:val="22"/>
          <w:szCs w:val="22"/>
          <w:lang w:val="en-GB"/>
        </w:rPr>
        <w:t>Parr</w:t>
      </w:r>
      <w:r w:rsidR="00AB0E4D">
        <w:rPr>
          <w:rFonts w:ascii="Calibri" w:hAnsi="Calibri"/>
          <w:sz w:val="22"/>
          <w:szCs w:val="22"/>
          <w:lang w:val="en-GB"/>
        </w:rPr>
        <w:t xml:space="preserve"> (2012) has refine</w:t>
      </w:r>
      <w:bookmarkStart w:id="0" w:name="_GoBack"/>
      <w:bookmarkEnd w:id="0"/>
      <w:r w:rsidR="00AB0E4D">
        <w:rPr>
          <w:rFonts w:ascii="Calibri" w:hAnsi="Calibri"/>
          <w:sz w:val="22"/>
          <w:szCs w:val="22"/>
          <w:lang w:val="en-GB"/>
        </w:rPr>
        <w:t>d this model by introducing different growth rates instead of absolute population growth.</w:t>
      </w:r>
    </w:p>
    <w:p w14:paraId="00D06036" w14:textId="28E206F2" w:rsidR="00F21187" w:rsidRPr="003E751B" w:rsidRDefault="00F21187" w:rsidP="00F21187">
      <w:pPr>
        <w:ind w:firstLine="284"/>
        <w:rPr>
          <w:rFonts w:ascii="Calibri" w:hAnsi="Calibri"/>
          <w:sz w:val="22"/>
          <w:szCs w:val="22"/>
          <w:lang w:val="en-GB"/>
        </w:rPr>
      </w:pPr>
      <w:r w:rsidRPr="003E751B">
        <w:rPr>
          <w:rFonts w:ascii="Calibri" w:hAnsi="Calibri"/>
          <w:sz w:val="22"/>
          <w:szCs w:val="22"/>
          <w:lang w:val="en-GB"/>
        </w:rPr>
        <w:t>For most of the second half of the twentieth century many cities in Western Europe and the US experienced centrifugal development patterns, first benefitting the suburbs and later resulting in counterurbanisation (</w:t>
      </w:r>
      <w:r w:rsidRPr="003E751B">
        <w:rPr>
          <w:rFonts w:ascii="Calibri" w:hAnsi="Calibri"/>
          <w:i/>
          <w:sz w:val="22"/>
          <w:szCs w:val="22"/>
          <w:lang w:val="en-GB"/>
        </w:rPr>
        <w:t>Berry</w:t>
      </w:r>
      <w:r w:rsidRPr="003E751B">
        <w:rPr>
          <w:rFonts w:ascii="Calibri" w:hAnsi="Calibri"/>
          <w:sz w:val="22"/>
          <w:szCs w:val="22"/>
          <w:lang w:val="en-GB"/>
        </w:rPr>
        <w:t xml:space="preserve"> 1980; </w:t>
      </w:r>
      <w:r w:rsidRPr="003E751B">
        <w:rPr>
          <w:rFonts w:ascii="Calibri" w:hAnsi="Calibri"/>
          <w:i/>
          <w:sz w:val="22"/>
          <w:szCs w:val="22"/>
          <w:lang w:val="en-GB"/>
        </w:rPr>
        <w:t>Champion</w:t>
      </w:r>
      <w:r w:rsidRPr="003E751B">
        <w:rPr>
          <w:rFonts w:ascii="Calibri" w:hAnsi="Calibri"/>
          <w:sz w:val="22"/>
          <w:szCs w:val="22"/>
          <w:lang w:val="en-GB"/>
        </w:rPr>
        <w:t xml:space="preserve"> 1989; </w:t>
      </w:r>
      <w:r w:rsidRPr="003E751B">
        <w:rPr>
          <w:rFonts w:ascii="Calibri" w:hAnsi="Calibri"/>
          <w:i/>
          <w:sz w:val="22"/>
          <w:szCs w:val="22"/>
          <w:lang w:val="en-GB"/>
        </w:rPr>
        <w:t>Fuguitt</w:t>
      </w:r>
      <w:r w:rsidRPr="003E751B">
        <w:rPr>
          <w:rFonts w:ascii="Calibri" w:hAnsi="Calibri"/>
          <w:sz w:val="22"/>
          <w:szCs w:val="22"/>
          <w:lang w:val="en-GB"/>
        </w:rPr>
        <w:t xml:space="preserve"> 1985). </w:t>
      </w:r>
      <w:r w:rsidR="00653D1C" w:rsidRPr="003E751B">
        <w:rPr>
          <w:rFonts w:ascii="Calibri" w:hAnsi="Calibri"/>
          <w:sz w:val="22"/>
          <w:szCs w:val="22"/>
          <w:lang w:val="en-GB"/>
        </w:rPr>
        <w:t>D</w:t>
      </w:r>
      <w:r w:rsidR="00B4733E" w:rsidRPr="003E751B">
        <w:rPr>
          <w:rFonts w:ascii="Calibri" w:hAnsi="Calibri"/>
          <w:sz w:val="22"/>
          <w:szCs w:val="22"/>
          <w:lang w:val="en-GB"/>
        </w:rPr>
        <w:t xml:space="preserve">eindustrialisation and </w:t>
      </w:r>
      <w:r w:rsidR="00124AAD" w:rsidRPr="003E751B">
        <w:rPr>
          <w:rFonts w:ascii="Calibri" w:hAnsi="Calibri"/>
          <w:sz w:val="22"/>
          <w:szCs w:val="22"/>
          <w:lang w:val="en-GB"/>
        </w:rPr>
        <w:t xml:space="preserve">deconcentration </w:t>
      </w:r>
      <w:r w:rsidR="00653D1C" w:rsidRPr="003E751B">
        <w:rPr>
          <w:rFonts w:ascii="Calibri" w:hAnsi="Calibri"/>
          <w:sz w:val="22"/>
          <w:szCs w:val="22"/>
          <w:lang w:val="en-GB"/>
        </w:rPr>
        <w:t xml:space="preserve">resulted in population decline </w:t>
      </w:r>
      <w:r w:rsidR="00C84294" w:rsidRPr="003E751B">
        <w:rPr>
          <w:rFonts w:ascii="Calibri" w:hAnsi="Calibri"/>
          <w:sz w:val="22"/>
          <w:szCs w:val="22"/>
          <w:lang w:val="en-GB"/>
        </w:rPr>
        <w:t xml:space="preserve">of most large cities, though the picture is far from being uniform </w:t>
      </w:r>
      <w:r w:rsidR="00124AAD" w:rsidRPr="003E751B">
        <w:rPr>
          <w:rFonts w:ascii="Calibri" w:hAnsi="Calibri"/>
          <w:sz w:val="22"/>
          <w:szCs w:val="22"/>
          <w:lang w:val="en-GB"/>
        </w:rPr>
        <w:t>(</w:t>
      </w:r>
      <w:r w:rsidR="001500A8" w:rsidRPr="003E751B">
        <w:rPr>
          <w:rFonts w:ascii="Calibri" w:hAnsi="Calibri"/>
          <w:i/>
          <w:sz w:val="22"/>
          <w:szCs w:val="22"/>
          <w:lang w:val="en-GB"/>
        </w:rPr>
        <w:t>Turok/Mykhnenko</w:t>
      </w:r>
      <w:r w:rsidR="001500A8" w:rsidRPr="003E751B">
        <w:rPr>
          <w:rFonts w:ascii="Calibri" w:hAnsi="Calibri"/>
          <w:sz w:val="22"/>
          <w:szCs w:val="22"/>
          <w:lang w:val="en-GB"/>
        </w:rPr>
        <w:t xml:space="preserve"> 2006</w:t>
      </w:r>
      <w:r w:rsidR="00A07907" w:rsidRPr="003E751B">
        <w:rPr>
          <w:rFonts w:ascii="Calibri" w:hAnsi="Calibri"/>
          <w:sz w:val="22"/>
          <w:szCs w:val="22"/>
          <w:lang w:val="en-GB"/>
        </w:rPr>
        <w:t>)</w:t>
      </w:r>
      <w:r w:rsidR="005F2B13" w:rsidRPr="003E751B">
        <w:rPr>
          <w:rFonts w:ascii="Calibri" w:hAnsi="Calibri"/>
          <w:sz w:val="22"/>
          <w:szCs w:val="22"/>
          <w:lang w:val="en-GB"/>
        </w:rPr>
        <w:t>.</w:t>
      </w:r>
      <w:r w:rsidR="00B4733E" w:rsidRPr="003E751B">
        <w:rPr>
          <w:rFonts w:ascii="Calibri" w:hAnsi="Calibri"/>
          <w:sz w:val="22"/>
          <w:szCs w:val="22"/>
          <w:lang w:val="en-GB"/>
        </w:rPr>
        <w:t xml:space="preserve"> </w:t>
      </w:r>
      <w:r w:rsidRPr="003E751B">
        <w:rPr>
          <w:rFonts w:ascii="Calibri" w:hAnsi="Calibri"/>
          <w:sz w:val="22"/>
          <w:szCs w:val="22"/>
          <w:lang w:val="en-GB"/>
        </w:rPr>
        <w:t>It is only towards the end of the century that we observe the resurgence of cities, not just economically but also demographically (</w:t>
      </w:r>
      <w:r w:rsidRPr="003E751B">
        <w:rPr>
          <w:rFonts w:ascii="Calibri" w:hAnsi="Calibri"/>
          <w:i/>
          <w:sz w:val="22"/>
          <w:szCs w:val="22"/>
          <w:lang w:val="en-GB"/>
        </w:rPr>
        <w:t>Cheshire</w:t>
      </w:r>
      <w:r w:rsidRPr="003E751B">
        <w:rPr>
          <w:rFonts w:ascii="Calibri" w:hAnsi="Calibri"/>
          <w:sz w:val="22"/>
          <w:szCs w:val="22"/>
          <w:lang w:val="en-GB"/>
        </w:rPr>
        <w:t xml:space="preserve"> 2006; </w:t>
      </w:r>
      <w:r w:rsidRPr="003E751B">
        <w:rPr>
          <w:rFonts w:ascii="Calibri" w:hAnsi="Calibri"/>
          <w:i/>
          <w:sz w:val="22"/>
          <w:szCs w:val="22"/>
          <w:lang w:val="en-GB"/>
        </w:rPr>
        <w:t>Turok/Mykhnenko</w:t>
      </w:r>
      <w:r w:rsidRPr="003E751B">
        <w:rPr>
          <w:rFonts w:ascii="Calibri" w:hAnsi="Calibri"/>
          <w:sz w:val="22"/>
          <w:szCs w:val="22"/>
          <w:lang w:val="en-GB"/>
        </w:rPr>
        <w:t xml:space="preserve"> 2006). </w:t>
      </w:r>
      <w:r w:rsidR="00D8736F" w:rsidRPr="003E751B">
        <w:rPr>
          <w:rFonts w:ascii="Calibri" w:hAnsi="Calibri"/>
          <w:sz w:val="22"/>
          <w:szCs w:val="22"/>
          <w:lang w:val="en-GB"/>
        </w:rPr>
        <w:t xml:space="preserve">This demographic recovery was picked up as a possibility as the last stage of development by </w:t>
      </w:r>
      <w:r w:rsidR="00D8736F" w:rsidRPr="003E751B">
        <w:rPr>
          <w:rFonts w:ascii="Calibri" w:hAnsi="Calibri"/>
          <w:i/>
          <w:sz w:val="22"/>
          <w:szCs w:val="22"/>
          <w:lang w:val="en-GB"/>
        </w:rPr>
        <w:t>Van den Berg et al.</w:t>
      </w:r>
      <w:r w:rsidR="00D8736F" w:rsidRPr="003E751B">
        <w:rPr>
          <w:rFonts w:ascii="Calibri" w:hAnsi="Calibri"/>
          <w:sz w:val="22"/>
          <w:szCs w:val="22"/>
          <w:lang w:val="en-GB"/>
        </w:rPr>
        <w:t xml:space="preserve"> (1982). </w:t>
      </w:r>
      <w:r w:rsidR="007A65D5" w:rsidRPr="003E751B">
        <w:rPr>
          <w:rFonts w:ascii="Calibri" w:hAnsi="Calibri"/>
          <w:sz w:val="22"/>
          <w:szCs w:val="22"/>
          <w:lang w:val="en-GB"/>
        </w:rPr>
        <w:t>According to their model</w:t>
      </w:r>
      <w:r w:rsidR="00D8736F" w:rsidRPr="003E751B">
        <w:rPr>
          <w:rFonts w:ascii="Calibri" w:hAnsi="Calibri"/>
          <w:sz w:val="22"/>
          <w:szCs w:val="22"/>
          <w:lang w:val="en-GB"/>
        </w:rPr>
        <w:t xml:space="preserve">, reurbanisation was </w:t>
      </w:r>
      <w:r w:rsidR="00C85AA6">
        <w:rPr>
          <w:rFonts w:ascii="Calibri" w:hAnsi="Calibri"/>
          <w:sz w:val="22"/>
          <w:szCs w:val="22"/>
          <w:lang w:val="en-GB"/>
        </w:rPr>
        <w:t>th</w:t>
      </w:r>
      <w:r w:rsidR="00D8736F" w:rsidRPr="003E751B">
        <w:rPr>
          <w:rFonts w:ascii="Calibri" w:hAnsi="Calibri"/>
          <w:sz w:val="22"/>
          <w:szCs w:val="22"/>
          <w:lang w:val="en-GB"/>
        </w:rPr>
        <w:t xml:space="preserve">ought to occur in a context of a declining functional urban region, </w:t>
      </w:r>
      <w:r w:rsidR="007A65D5" w:rsidRPr="003E751B">
        <w:rPr>
          <w:rFonts w:ascii="Calibri" w:hAnsi="Calibri"/>
          <w:sz w:val="22"/>
          <w:szCs w:val="22"/>
          <w:lang w:val="en-GB"/>
        </w:rPr>
        <w:t>but</w:t>
      </w:r>
      <w:r w:rsidR="00634F18" w:rsidRPr="003E751B">
        <w:rPr>
          <w:rFonts w:ascii="Calibri" w:hAnsi="Calibri"/>
          <w:sz w:val="22"/>
          <w:szCs w:val="22"/>
          <w:lang w:val="en-GB"/>
        </w:rPr>
        <w:t xml:space="preserve"> </w:t>
      </w:r>
      <w:r w:rsidR="007A65D5" w:rsidRPr="003E751B">
        <w:rPr>
          <w:rFonts w:ascii="Calibri" w:hAnsi="Calibri"/>
          <w:sz w:val="22"/>
          <w:szCs w:val="22"/>
          <w:lang w:val="en-GB"/>
        </w:rPr>
        <w:t xml:space="preserve">nowadays </w:t>
      </w:r>
      <w:r w:rsidR="00634F18" w:rsidRPr="003E751B">
        <w:rPr>
          <w:rFonts w:ascii="Calibri" w:hAnsi="Calibri"/>
          <w:sz w:val="22"/>
          <w:szCs w:val="22"/>
          <w:lang w:val="en-GB"/>
        </w:rPr>
        <w:t>the term is</w:t>
      </w:r>
      <w:r w:rsidR="004B7134" w:rsidRPr="003E751B">
        <w:rPr>
          <w:rFonts w:ascii="Calibri" w:hAnsi="Calibri"/>
          <w:sz w:val="22"/>
          <w:szCs w:val="22"/>
          <w:lang w:val="en-GB"/>
        </w:rPr>
        <w:t xml:space="preserve"> </w:t>
      </w:r>
      <w:r w:rsidR="00634F18" w:rsidRPr="003E751B">
        <w:rPr>
          <w:rFonts w:ascii="Calibri" w:hAnsi="Calibri"/>
          <w:sz w:val="22"/>
          <w:szCs w:val="22"/>
          <w:lang w:val="en-GB"/>
        </w:rPr>
        <w:t>used</w:t>
      </w:r>
      <w:r w:rsidR="000F65BC" w:rsidRPr="003E751B">
        <w:rPr>
          <w:rFonts w:ascii="Calibri" w:hAnsi="Calibri"/>
          <w:sz w:val="22"/>
          <w:szCs w:val="22"/>
          <w:lang w:val="en-GB"/>
        </w:rPr>
        <w:t xml:space="preserve"> to denote </w:t>
      </w:r>
      <w:r w:rsidR="00CA6B3C" w:rsidRPr="003E751B">
        <w:rPr>
          <w:rFonts w:ascii="Calibri" w:hAnsi="Calibri"/>
          <w:sz w:val="22"/>
          <w:szCs w:val="22"/>
          <w:lang w:val="en-GB"/>
        </w:rPr>
        <w:t>wider</w:t>
      </w:r>
      <w:r w:rsidR="000F65BC" w:rsidRPr="003E751B">
        <w:rPr>
          <w:rFonts w:ascii="Calibri" w:hAnsi="Calibri"/>
          <w:sz w:val="22"/>
          <w:szCs w:val="22"/>
          <w:lang w:val="en-GB"/>
        </w:rPr>
        <w:t xml:space="preserve"> range of transformative processes in cities</w:t>
      </w:r>
      <w:r w:rsidR="00634F18" w:rsidRPr="003E751B">
        <w:rPr>
          <w:rFonts w:ascii="Calibri" w:hAnsi="Calibri"/>
          <w:sz w:val="22"/>
          <w:szCs w:val="22"/>
          <w:lang w:val="en-GB"/>
        </w:rPr>
        <w:t xml:space="preserve"> </w:t>
      </w:r>
      <w:r w:rsidR="004B7134" w:rsidRPr="003E751B">
        <w:rPr>
          <w:rFonts w:ascii="Calibri" w:hAnsi="Calibri"/>
          <w:sz w:val="22"/>
          <w:szCs w:val="22"/>
          <w:lang w:val="en-GB"/>
        </w:rPr>
        <w:t xml:space="preserve">often </w:t>
      </w:r>
      <w:r w:rsidR="00E63684" w:rsidRPr="003E751B">
        <w:rPr>
          <w:rFonts w:ascii="Calibri" w:hAnsi="Calibri"/>
          <w:sz w:val="22"/>
          <w:szCs w:val="22"/>
          <w:lang w:val="en-GB"/>
        </w:rPr>
        <w:t>without reference to the functional urban region</w:t>
      </w:r>
      <w:r w:rsidR="000F65BC" w:rsidRPr="003E751B">
        <w:rPr>
          <w:rFonts w:ascii="Calibri" w:hAnsi="Calibri"/>
          <w:sz w:val="22"/>
          <w:szCs w:val="22"/>
          <w:lang w:val="en-GB"/>
        </w:rPr>
        <w:t xml:space="preserve"> (</w:t>
      </w:r>
      <w:r w:rsidR="008F67DD" w:rsidRPr="003E751B">
        <w:rPr>
          <w:rFonts w:ascii="Calibri" w:hAnsi="Calibri"/>
          <w:sz w:val="22"/>
          <w:szCs w:val="22"/>
          <w:lang w:val="en-GB"/>
        </w:rPr>
        <w:t xml:space="preserve">for an overview, see </w:t>
      </w:r>
      <w:r w:rsidR="000F65BC" w:rsidRPr="003E751B">
        <w:rPr>
          <w:rFonts w:ascii="Calibri" w:hAnsi="Calibri"/>
          <w:i/>
          <w:sz w:val="22"/>
          <w:szCs w:val="22"/>
          <w:lang w:val="en-GB"/>
        </w:rPr>
        <w:t>Rérat</w:t>
      </w:r>
      <w:r w:rsidR="000F65BC" w:rsidRPr="003E751B">
        <w:rPr>
          <w:rFonts w:ascii="Calibri" w:hAnsi="Calibri"/>
          <w:sz w:val="22"/>
          <w:szCs w:val="22"/>
          <w:lang w:val="en-GB"/>
        </w:rPr>
        <w:t xml:space="preserve"> 2012). </w:t>
      </w:r>
      <w:r w:rsidR="00C277FA" w:rsidRPr="003E751B">
        <w:rPr>
          <w:rFonts w:ascii="Calibri" w:hAnsi="Calibri"/>
          <w:sz w:val="22"/>
          <w:szCs w:val="22"/>
          <w:lang w:val="en-GB"/>
        </w:rPr>
        <w:t xml:space="preserve">The model of </w:t>
      </w:r>
      <w:r w:rsidR="00C277FA" w:rsidRPr="003E751B">
        <w:rPr>
          <w:rFonts w:ascii="Calibri" w:hAnsi="Calibri"/>
          <w:i/>
          <w:sz w:val="22"/>
          <w:szCs w:val="22"/>
          <w:lang w:val="en-GB"/>
        </w:rPr>
        <w:t>Van den Berg et al.</w:t>
      </w:r>
      <w:r w:rsidR="00C277FA" w:rsidRPr="003E751B">
        <w:rPr>
          <w:rFonts w:ascii="Calibri" w:hAnsi="Calibri"/>
          <w:sz w:val="22"/>
          <w:szCs w:val="22"/>
          <w:lang w:val="en-GB"/>
        </w:rPr>
        <w:t xml:space="preserve"> (1982) is important, not because of its predictive value or historical accuracy (for a critical appraisal</w:t>
      </w:r>
      <w:r w:rsidR="004B7134" w:rsidRPr="003E751B">
        <w:rPr>
          <w:rFonts w:ascii="Calibri" w:hAnsi="Calibri"/>
          <w:sz w:val="22"/>
          <w:szCs w:val="22"/>
          <w:lang w:val="en-GB"/>
        </w:rPr>
        <w:t>,</w:t>
      </w:r>
      <w:r w:rsidR="00C277FA" w:rsidRPr="003E751B">
        <w:rPr>
          <w:rFonts w:ascii="Calibri" w:hAnsi="Calibri"/>
          <w:sz w:val="22"/>
          <w:szCs w:val="22"/>
          <w:lang w:val="en-GB"/>
        </w:rPr>
        <w:t xml:space="preserve"> see </w:t>
      </w:r>
      <w:r w:rsidR="00C277FA" w:rsidRPr="003E751B">
        <w:rPr>
          <w:rFonts w:ascii="Calibri" w:hAnsi="Calibri"/>
          <w:i/>
          <w:sz w:val="22"/>
          <w:szCs w:val="22"/>
          <w:lang w:val="en-GB"/>
        </w:rPr>
        <w:t>Rérat</w:t>
      </w:r>
      <w:r w:rsidR="00C277FA" w:rsidRPr="003E751B">
        <w:rPr>
          <w:rFonts w:ascii="Calibri" w:hAnsi="Calibri"/>
          <w:sz w:val="22"/>
          <w:szCs w:val="22"/>
          <w:lang w:val="en-GB"/>
        </w:rPr>
        <w:t xml:space="preserve"> 2012</w:t>
      </w:r>
      <w:r w:rsidR="004B7134" w:rsidRPr="003E751B">
        <w:rPr>
          <w:rFonts w:ascii="Calibri" w:hAnsi="Calibri"/>
          <w:sz w:val="22"/>
          <w:szCs w:val="22"/>
          <w:lang w:val="en-GB"/>
        </w:rPr>
        <w:t xml:space="preserve"> and </w:t>
      </w:r>
      <w:r w:rsidR="004B7134" w:rsidRPr="003E751B">
        <w:rPr>
          <w:rFonts w:ascii="Calibri" w:hAnsi="Calibri"/>
          <w:i/>
          <w:sz w:val="22"/>
          <w:szCs w:val="22"/>
          <w:lang w:val="en-GB"/>
        </w:rPr>
        <w:t>Parr</w:t>
      </w:r>
      <w:r w:rsidR="004B7134" w:rsidRPr="003E751B">
        <w:rPr>
          <w:rFonts w:ascii="Calibri" w:hAnsi="Calibri"/>
          <w:sz w:val="22"/>
          <w:szCs w:val="22"/>
          <w:lang w:val="en-GB"/>
        </w:rPr>
        <w:t xml:space="preserve"> 2012</w:t>
      </w:r>
      <w:r w:rsidR="00C277FA" w:rsidRPr="003E751B">
        <w:rPr>
          <w:rFonts w:ascii="Calibri" w:hAnsi="Calibri"/>
          <w:sz w:val="22"/>
          <w:szCs w:val="22"/>
          <w:lang w:val="en-GB"/>
        </w:rPr>
        <w:t xml:space="preserve">), but because they hinted at a new phase in the urbanisation cycle with a (relative) resurgence of the core city at a time that was in the grip of counterurbanisation and because their definition of reurbanisation emphasises the relationship between cities, suburbs and their wider hinterland. </w:t>
      </w:r>
    </w:p>
    <w:p w14:paraId="576C2B16" w14:textId="77777777" w:rsidR="00DB2235" w:rsidRPr="003E751B" w:rsidRDefault="00DB2235" w:rsidP="00DB2235">
      <w:pPr>
        <w:rPr>
          <w:rFonts w:ascii="Calibri" w:hAnsi="Calibri"/>
          <w:sz w:val="22"/>
          <w:szCs w:val="22"/>
          <w:lang w:val="en-GB"/>
        </w:rPr>
      </w:pPr>
    </w:p>
    <w:p w14:paraId="2D329D15" w14:textId="581BE3F6" w:rsidR="00246DF2" w:rsidRPr="003E751B" w:rsidRDefault="00246DF2" w:rsidP="00246DF2">
      <w:pPr>
        <w:spacing w:after="200"/>
        <w:ind w:left="851" w:hanging="851"/>
        <w:rPr>
          <w:rFonts w:ascii="Calibri" w:hAnsi="Calibri"/>
          <w:sz w:val="22"/>
          <w:szCs w:val="22"/>
          <w:lang w:val="en-GB"/>
        </w:rPr>
      </w:pPr>
      <w:r w:rsidRPr="003E751B">
        <w:rPr>
          <w:rFonts w:ascii="Calibri" w:hAnsi="Calibri"/>
          <w:b/>
          <w:sz w:val="22"/>
          <w:szCs w:val="22"/>
          <w:lang w:val="en-GB"/>
        </w:rPr>
        <w:t>Tab 1:</w:t>
      </w:r>
      <w:r w:rsidRPr="003E751B">
        <w:rPr>
          <w:rFonts w:ascii="Calibri" w:hAnsi="Calibri"/>
          <w:b/>
          <w:sz w:val="22"/>
          <w:szCs w:val="22"/>
          <w:lang w:val="en-GB"/>
        </w:rPr>
        <w:tab/>
      </w:r>
      <w:r w:rsidR="00DB2235" w:rsidRPr="003E751B">
        <w:rPr>
          <w:rFonts w:ascii="Calibri" w:hAnsi="Calibri"/>
          <w:sz w:val="22"/>
          <w:szCs w:val="22"/>
          <w:lang w:val="en-GB"/>
        </w:rPr>
        <w:t>Stages of Urban Development: Population Change</w:t>
      </w:r>
    </w:p>
    <w:tbl>
      <w:tblPr>
        <w:tblStyle w:val="TableGrid"/>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8"/>
        <w:gridCol w:w="2551"/>
        <w:gridCol w:w="814"/>
        <w:gridCol w:w="812"/>
        <w:gridCol w:w="816"/>
        <w:gridCol w:w="815"/>
      </w:tblGrid>
      <w:tr w:rsidR="00D432CD" w:rsidRPr="003E751B" w14:paraId="57623665" w14:textId="77777777" w:rsidTr="00D432CD">
        <w:trPr>
          <w:trHeight w:val="104"/>
        </w:trPr>
        <w:tc>
          <w:tcPr>
            <w:tcW w:w="2128" w:type="dxa"/>
            <w:vMerge w:val="restart"/>
            <w:tcBorders>
              <w:top w:val="single" w:sz="4" w:space="0" w:color="auto"/>
            </w:tcBorders>
          </w:tcPr>
          <w:p w14:paraId="09C0F2E4" w14:textId="77777777" w:rsidR="00D432CD" w:rsidRPr="009F1F0D" w:rsidRDefault="00D432CD" w:rsidP="00A70E5E">
            <w:pPr>
              <w:rPr>
                <w:rFonts w:ascii="Calibri" w:hAnsi="Calibri"/>
                <w:b/>
                <w:sz w:val="22"/>
                <w:szCs w:val="22"/>
                <w:lang w:val="en-GB"/>
              </w:rPr>
            </w:pPr>
            <w:r w:rsidRPr="009F1F0D">
              <w:rPr>
                <w:rFonts w:ascii="Calibri" w:hAnsi="Calibri"/>
                <w:b/>
                <w:sz w:val="22"/>
                <w:szCs w:val="22"/>
                <w:lang w:val="en-GB"/>
              </w:rPr>
              <w:t>Stage of Development</w:t>
            </w:r>
          </w:p>
        </w:tc>
        <w:tc>
          <w:tcPr>
            <w:tcW w:w="2551" w:type="dxa"/>
            <w:vMerge w:val="restart"/>
            <w:tcBorders>
              <w:top w:val="single" w:sz="4" w:space="0" w:color="auto"/>
            </w:tcBorders>
          </w:tcPr>
          <w:p w14:paraId="4A32DA83" w14:textId="77777777" w:rsidR="00D432CD" w:rsidRPr="003E751B" w:rsidRDefault="00D432CD" w:rsidP="00A70E5E">
            <w:pPr>
              <w:jc w:val="center"/>
              <w:rPr>
                <w:rFonts w:ascii="Calibri" w:hAnsi="Calibri"/>
                <w:b/>
                <w:sz w:val="22"/>
                <w:szCs w:val="22"/>
                <w:lang w:val="en-GB"/>
              </w:rPr>
            </w:pPr>
            <w:r w:rsidRPr="003E751B">
              <w:rPr>
                <w:rFonts w:ascii="Calibri" w:hAnsi="Calibri"/>
                <w:b/>
                <w:sz w:val="22"/>
                <w:szCs w:val="22"/>
                <w:lang w:val="en-GB"/>
              </w:rPr>
              <w:t>Classification Type</w:t>
            </w:r>
          </w:p>
        </w:tc>
        <w:tc>
          <w:tcPr>
            <w:tcW w:w="3257" w:type="dxa"/>
            <w:gridSpan w:val="4"/>
            <w:tcBorders>
              <w:top w:val="single" w:sz="4" w:space="0" w:color="auto"/>
              <w:bottom w:val="single" w:sz="4" w:space="0" w:color="auto"/>
            </w:tcBorders>
          </w:tcPr>
          <w:p w14:paraId="3A9DEB8C" w14:textId="0DA1DBBF" w:rsidR="00D432CD" w:rsidRPr="003E751B" w:rsidRDefault="00D432CD" w:rsidP="009F1F0D">
            <w:pPr>
              <w:jc w:val="center"/>
              <w:rPr>
                <w:rFonts w:ascii="Calibri" w:hAnsi="Calibri"/>
                <w:b/>
                <w:sz w:val="22"/>
                <w:szCs w:val="22"/>
                <w:lang w:val="en-GB"/>
              </w:rPr>
            </w:pPr>
            <w:r>
              <w:rPr>
                <w:rFonts w:ascii="Calibri" w:hAnsi="Calibri"/>
                <w:b/>
                <w:sz w:val="22"/>
                <w:szCs w:val="22"/>
                <w:lang w:val="en-GB"/>
              </w:rPr>
              <w:t>Population Characteristics</w:t>
            </w:r>
          </w:p>
        </w:tc>
      </w:tr>
      <w:tr w:rsidR="00D432CD" w:rsidRPr="003E751B" w14:paraId="18D9F24E" w14:textId="77777777" w:rsidTr="00FC5902">
        <w:trPr>
          <w:trHeight w:val="104"/>
        </w:trPr>
        <w:tc>
          <w:tcPr>
            <w:tcW w:w="2128" w:type="dxa"/>
            <w:vMerge/>
            <w:tcBorders>
              <w:bottom w:val="single" w:sz="4" w:space="0" w:color="auto"/>
            </w:tcBorders>
          </w:tcPr>
          <w:p w14:paraId="7BB36CE1" w14:textId="77777777" w:rsidR="00D432CD" w:rsidRPr="003E751B" w:rsidRDefault="00D432CD" w:rsidP="00A70E5E">
            <w:pPr>
              <w:rPr>
                <w:rFonts w:ascii="Calibri" w:hAnsi="Calibri"/>
                <w:sz w:val="22"/>
                <w:szCs w:val="22"/>
                <w:lang w:val="en-GB"/>
              </w:rPr>
            </w:pPr>
          </w:p>
        </w:tc>
        <w:tc>
          <w:tcPr>
            <w:tcW w:w="2551" w:type="dxa"/>
            <w:vMerge/>
            <w:tcBorders>
              <w:bottom w:val="single" w:sz="4" w:space="0" w:color="auto"/>
            </w:tcBorders>
          </w:tcPr>
          <w:p w14:paraId="2D64E601" w14:textId="77777777" w:rsidR="00D432CD" w:rsidRPr="003E751B" w:rsidRDefault="00D432CD" w:rsidP="00A70E5E">
            <w:pPr>
              <w:jc w:val="center"/>
              <w:rPr>
                <w:rFonts w:ascii="Calibri" w:hAnsi="Calibri"/>
                <w:b/>
                <w:sz w:val="22"/>
                <w:szCs w:val="22"/>
                <w:lang w:val="en-GB"/>
              </w:rPr>
            </w:pPr>
          </w:p>
        </w:tc>
        <w:tc>
          <w:tcPr>
            <w:tcW w:w="814" w:type="dxa"/>
            <w:tcBorders>
              <w:top w:val="single" w:sz="4" w:space="0" w:color="auto"/>
              <w:bottom w:val="single" w:sz="4" w:space="0" w:color="auto"/>
            </w:tcBorders>
          </w:tcPr>
          <w:p w14:paraId="7D3ADE30" w14:textId="5CF9F3E2" w:rsidR="00D432CD" w:rsidRPr="003E751B" w:rsidRDefault="00D432CD" w:rsidP="009F1F0D">
            <w:pPr>
              <w:jc w:val="center"/>
              <w:rPr>
                <w:rFonts w:ascii="Calibri" w:hAnsi="Calibri"/>
                <w:b/>
                <w:sz w:val="22"/>
                <w:szCs w:val="22"/>
                <w:lang w:val="en-GB"/>
              </w:rPr>
            </w:pPr>
            <w:r>
              <w:rPr>
                <w:rFonts w:ascii="Calibri" w:hAnsi="Calibri"/>
                <w:b/>
                <w:sz w:val="22"/>
                <w:szCs w:val="22"/>
                <w:lang w:val="en-GB"/>
              </w:rPr>
              <w:t>Core</w:t>
            </w:r>
          </w:p>
        </w:tc>
        <w:tc>
          <w:tcPr>
            <w:tcW w:w="812" w:type="dxa"/>
            <w:tcBorders>
              <w:top w:val="single" w:sz="4" w:space="0" w:color="auto"/>
              <w:bottom w:val="single" w:sz="4" w:space="0" w:color="auto"/>
            </w:tcBorders>
          </w:tcPr>
          <w:p w14:paraId="566AC01C" w14:textId="7C0E0947" w:rsidR="00D432CD" w:rsidRPr="003E751B" w:rsidRDefault="00D432CD" w:rsidP="009F1F0D">
            <w:pPr>
              <w:jc w:val="center"/>
              <w:rPr>
                <w:rFonts w:ascii="Calibri" w:hAnsi="Calibri"/>
                <w:b/>
                <w:sz w:val="22"/>
                <w:szCs w:val="22"/>
                <w:lang w:val="en-GB"/>
              </w:rPr>
            </w:pPr>
            <w:r>
              <w:rPr>
                <w:rFonts w:ascii="Calibri" w:hAnsi="Calibri"/>
                <w:b/>
                <w:sz w:val="22"/>
                <w:szCs w:val="22"/>
                <w:lang w:val="en-GB"/>
              </w:rPr>
              <w:t>Ring</w:t>
            </w:r>
          </w:p>
        </w:tc>
        <w:tc>
          <w:tcPr>
            <w:tcW w:w="816" w:type="dxa"/>
            <w:tcBorders>
              <w:top w:val="single" w:sz="4" w:space="0" w:color="auto"/>
              <w:bottom w:val="single" w:sz="4" w:space="0" w:color="auto"/>
            </w:tcBorders>
          </w:tcPr>
          <w:p w14:paraId="5858E8EF" w14:textId="4186E360" w:rsidR="00D432CD" w:rsidRPr="003E751B" w:rsidRDefault="00D432CD" w:rsidP="009F1F0D">
            <w:pPr>
              <w:jc w:val="center"/>
              <w:rPr>
                <w:rFonts w:ascii="Calibri" w:hAnsi="Calibri"/>
                <w:b/>
                <w:sz w:val="22"/>
                <w:szCs w:val="22"/>
                <w:lang w:val="en-GB"/>
              </w:rPr>
            </w:pPr>
            <w:r>
              <w:rPr>
                <w:rFonts w:ascii="Calibri" w:hAnsi="Calibri"/>
                <w:b/>
                <w:sz w:val="22"/>
                <w:szCs w:val="22"/>
                <w:lang w:val="en-GB"/>
              </w:rPr>
              <w:t>FUR</w:t>
            </w:r>
          </w:p>
        </w:tc>
        <w:tc>
          <w:tcPr>
            <w:tcW w:w="815" w:type="dxa"/>
            <w:tcBorders>
              <w:top w:val="single" w:sz="4" w:space="0" w:color="auto"/>
              <w:bottom w:val="single" w:sz="4" w:space="0" w:color="auto"/>
            </w:tcBorders>
          </w:tcPr>
          <w:p w14:paraId="12D88E5B" w14:textId="084FECC4" w:rsidR="00D432CD" w:rsidRPr="003E751B" w:rsidRDefault="00D432CD" w:rsidP="00FC5902">
            <w:pPr>
              <w:ind w:left="-4" w:right="-4" w:firstLine="4"/>
              <w:jc w:val="center"/>
              <w:rPr>
                <w:rFonts w:ascii="Calibri" w:hAnsi="Calibri"/>
                <w:b/>
                <w:sz w:val="22"/>
                <w:szCs w:val="22"/>
                <w:lang w:val="en-GB"/>
              </w:rPr>
            </w:pPr>
          </w:p>
        </w:tc>
      </w:tr>
      <w:tr w:rsidR="00FC5902" w:rsidRPr="003E751B" w14:paraId="00CEB1FE" w14:textId="77777777" w:rsidTr="00FC5902">
        <w:trPr>
          <w:trHeight w:val="406"/>
        </w:trPr>
        <w:tc>
          <w:tcPr>
            <w:tcW w:w="2128" w:type="dxa"/>
            <w:tcBorders>
              <w:top w:val="single" w:sz="4" w:space="0" w:color="auto"/>
            </w:tcBorders>
          </w:tcPr>
          <w:p w14:paraId="6DCDA70A" w14:textId="77777777" w:rsidR="00022D1C" w:rsidRPr="003E751B" w:rsidRDefault="00022D1C" w:rsidP="00A70E5E">
            <w:pPr>
              <w:ind w:left="284" w:hanging="284"/>
              <w:rPr>
                <w:rFonts w:ascii="Calibri" w:hAnsi="Calibri"/>
                <w:sz w:val="22"/>
                <w:szCs w:val="22"/>
                <w:lang w:val="en-GB"/>
              </w:rPr>
            </w:pPr>
            <w:r w:rsidRPr="003E751B">
              <w:rPr>
                <w:rFonts w:ascii="Calibri" w:hAnsi="Calibri"/>
                <w:sz w:val="22"/>
                <w:szCs w:val="22"/>
                <w:lang w:val="en-GB"/>
              </w:rPr>
              <w:t>I</w:t>
            </w:r>
            <w:r w:rsidRPr="003E751B">
              <w:rPr>
                <w:rFonts w:ascii="Calibri" w:hAnsi="Calibri"/>
                <w:sz w:val="22"/>
                <w:szCs w:val="22"/>
                <w:lang w:val="en-GB"/>
              </w:rPr>
              <w:tab/>
              <w:t>Urbanisation</w:t>
            </w:r>
          </w:p>
        </w:tc>
        <w:tc>
          <w:tcPr>
            <w:tcW w:w="2551" w:type="dxa"/>
            <w:tcBorders>
              <w:top w:val="single" w:sz="4" w:space="0" w:color="auto"/>
            </w:tcBorders>
          </w:tcPr>
          <w:p w14:paraId="6AD339EA" w14:textId="77777777" w:rsidR="00D432CD" w:rsidRDefault="00022D1C" w:rsidP="00A70E5E">
            <w:pPr>
              <w:ind w:left="284" w:hanging="284"/>
              <w:rPr>
                <w:rFonts w:ascii="Calibri" w:hAnsi="Calibri"/>
                <w:sz w:val="22"/>
                <w:szCs w:val="22"/>
                <w:lang w:val="en-GB"/>
              </w:rPr>
            </w:pPr>
            <w:r w:rsidRPr="003E751B">
              <w:rPr>
                <w:rFonts w:ascii="Calibri" w:hAnsi="Calibri"/>
                <w:sz w:val="22"/>
                <w:szCs w:val="22"/>
                <w:lang w:val="en-GB"/>
              </w:rPr>
              <w:t>1</w:t>
            </w:r>
            <w:r w:rsidRPr="003E751B">
              <w:rPr>
                <w:rFonts w:ascii="Calibri" w:hAnsi="Calibri"/>
                <w:sz w:val="22"/>
                <w:szCs w:val="22"/>
                <w:lang w:val="en-GB"/>
              </w:rPr>
              <w:tab/>
              <w:t>Absolute centralisation</w:t>
            </w:r>
          </w:p>
          <w:p w14:paraId="058E2F7C" w14:textId="4461BF3E" w:rsidR="00022D1C" w:rsidRPr="003E751B" w:rsidRDefault="00D432CD" w:rsidP="00A70E5E">
            <w:pPr>
              <w:ind w:left="284" w:hanging="284"/>
              <w:rPr>
                <w:rFonts w:ascii="Calibri" w:hAnsi="Calibri"/>
                <w:sz w:val="22"/>
                <w:szCs w:val="22"/>
                <w:lang w:val="en-GB"/>
              </w:rPr>
            </w:pPr>
            <w:r w:rsidRPr="003E751B">
              <w:rPr>
                <w:rFonts w:ascii="Calibri" w:hAnsi="Calibri"/>
                <w:sz w:val="22"/>
                <w:szCs w:val="22"/>
                <w:lang w:val="en-GB"/>
              </w:rPr>
              <w:t>2</w:t>
            </w:r>
            <w:r w:rsidRPr="003E751B">
              <w:rPr>
                <w:rFonts w:ascii="Calibri" w:hAnsi="Calibri"/>
                <w:sz w:val="22"/>
                <w:szCs w:val="22"/>
                <w:lang w:val="en-GB"/>
              </w:rPr>
              <w:tab/>
              <w:t xml:space="preserve">Relative </w:t>
            </w:r>
            <w:proofErr w:type="gramStart"/>
            <w:r w:rsidRPr="003E751B">
              <w:rPr>
                <w:rFonts w:ascii="Calibri" w:hAnsi="Calibri"/>
                <w:sz w:val="22"/>
                <w:szCs w:val="22"/>
                <w:lang w:val="en-GB"/>
              </w:rPr>
              <w:t>centralisation</w:t>
            </w:r>
            <w:proofErr w:type="gramEnd"/>
          </w:p>
        </w:tc>
        <w:tc>
          <w:tcPr>
            <w:tcW w:w="814" w:type="dxa"/>
            <w:tcBorders>
              <w:top w:val="single" w:sz="4" w:space="0" w:color="auto"/>
            </w:tcBorders>
          </w:tcPr>
          <w:p w14:paraId="097304C1" w14:textId="77777777" w:rsidR="00022D1C" w:rsidRDefault="00D432CD" w:rsidP="009F1F0D">
            <w:pPr>
              <w:ind w:right="-4"/>
              <w:jc w:val="center"/>
              <w:rPr>
                <w:rFonts w:ascii="Calibri" w:hAnsi="Calibri"/>
                <w:sz w:val="22"/>
                <w:szCs w:val="22"/>
                <w:lang w:val="en-GB"/>
              </w:rPr>
            </w:pPr>
            <w:r>
              <w:rPr>
                <w:rFonts w:ascii="Calibri" w:hAnsi="Calibri"/>
                <w:sz w:val="22"/>
                <w:szCs w:val="22"/>
                <w:lang w:val="en-GB"/>
              </w:rPr>
              <w:t>++</w:t>
            </w:r>
          </w:p>
          <w:p w14:paraId="74C9B7AF" w14:textId="1C8A0667" w:rsidR="00D432CD" w:rsidRPr="003E751B" w:rsidRDefault="00D432CD" w:rsidP="009F1F0D">
            <w:pPr>
              <w:ind w:right="-4"/>
              <w:jc w:val="center"/>
              <w:rPr>
                <w:rFonts w:ascii="Calibri" w:hAnsi="Calibri"/>
                <w:sz w:val="22"/>
                <w:szCs w:val="22"/>
                <w:lang w:val="en-GB"/>
              </w:rPr>
            </w:pPr>
            <w:r>
              <w:rPr>
                <w:rFonts w:ascii="Calibri" w:hAnsi="Calibri"/>
                <w:sz w:val="22"/>
                <w:szCs w:val="22"/>
                <w:lang w:val="en-GB"/>
              </w:rPr>
              <w:t>++</w:t>
            </w:r>
          </w:p>
        </w:tc>
        <w:tc>
          <w:tcPr>
            <w:tcW w:w="812" w:type="dxa"/>
            <w:tcBorders>
              <w:top w:val="single" w:sz="4" w:space="0" w:color="auto"/>
            </w:tcBorders>
          </w:tcPr>
          <w:p w14:paraId="0A4BBD83" w14:textId="77777777" w:rsidR="00D432CD" w:rsidRDefault="00D432CD" w:rsidP="009F1F0D">
            <w:pPr>
              <w:ind w:right="-4"/>
              <w:jc w:val="center"/>
              <w:rPr>
                <w:rFonts w:ascii="Calibri" w:hAnsi="Calibri"/>
                <w:sz w:val="22"/>
                <w:szCs w:val="22"/>
                <w:lang w:val="en-GB"/>
              </w:rPr>
            </w:pPr>
            <w:r>
              <w:rPr>
                <w:rFonts w:ascii="Calibri" w:hAnsi="Calibri"/>
                <w:sz w:val="22"/>
                <w:szCs w:val="22"/>
                <w:lang w:val="en-GB"/>
              </w:rPr>
              <w:t>–</w:t>
            </w:r>
          </w:p>
          <w:p w14:paraId="7998989A" w14:textId="16B1F6A7" w:rsidR="00D432CD" w:rsidRPr="003E751B" w:rsidRDefault="00D432CD" w:rsidP="009F1F0D">
            <w:pPr>
              <w:ind w:right="-4"/>
              <w:jc w:val="center"/>
              <w:rPr>
                <w:rFonts w:ascii="Calibri" w:hAnsi="Calibri"/>
                <w:sz w:val="22"/>
                <w:szCs w:val="22"/>
                <w:lang w:val="en-GB"/>
              </w:rPr>
            </w:pPr>
            <w:r>
              <w:rPr>
                <w:rFonts w:ascii="Calibri" w:hAnsi="Calibri"/>
                <w:sz w:val="22"/>
                <w:szCs w:val="22"/>
                <w:lang w:val="en-GB"/>
              </w:rPr>
              <w:t>+</w:t>
            </w:r>
          </w:p>
        </w:tc>
        <w:tc>
          <w:tcPr>
            <w:tcW w:w="816" w:type="dxa"/>
            <w:tcBorders>
              <w:top w:val="single" w:sz="4" w:space="0" w:color="auto"/>
            </w:tcBorders>
          </w:tcPr>
          <w:p w14:paraId="7C1E50D4" w14:textId="77777777" w:rsidR="00022D1C" w:rsidRDefault="00D432CD" w:rsidP="009F1F0D">
            <w:pPr>
              <w:ind w:right="-4"/>
              <w:jc w:val="center"/>
              <w:rPr>
                <w:rFonts w:ascii="Calibri" w:hAnsi="Calibri"/>
                <w:sz w:val="22"/>
                <w:szCs w:val="22"/>
                <w:lang w:val="en-GB"/>
              </w:rPr>
            </w:pPr>
            <w:r>
              <w:rPr>
                <w:rFonts w:ascii="Calibri" w:hAnsi="Calibri"/>
                <w:sz w:val="22"/>
                <w:szCs w:val="22"/>
                <w:lang w:val="en-GB"/>
              </w:rPr>
              <w:t>+</w:t>
            </w:r>
          </w:p>
          <w:p w14:paraId="6E2338AA" w14:textId="3F9636E6" w:rsidR="00D432CD" w:rsidRPr="003E751B" w:rsidRDefault="00D432CD" w:rsidP="009F1F0D">
            <w:pPr>
              <w:ind w:right="-4"/>
              <w:jc w:val="center"/>
              <w:rPr>
                <w:rFonts w:ascii="Calibri" w:hAnsi="Calibri"/>
                <w:sz w:val="22"/>
                <w:szCs w:val="22"/>
                <w:lang w:val="en-GB"/>
              </w:rPr>
            </w:pPr>
            <w:r>
              <w:rPr>
                <w:rFonts w:ascii="Calibri" w:hAnsi="Calibri"/>
                <w:sz w:val="22"/>
                <w:szCs w:val="22"/>
                <w:lang w:val="en-GB"/>
              </w:rPr>
              <w:t>+++</w:t>
            </w:r>
          </w:p>
        </w:tc>
        <w:tc>
          <w:tcPr>
            <w:tcW w:w="815" w:type="dxa"/>
            <w:vMerge w:val="restart"/>
            <w:tcBorders>
              <w:top w:val="single" w:sz="4" w:space="0" w:color="auto"/>
            </w:tcBorders>
          </w:tcPr>
          <w:p w14:paraId="28B52466" w14:textId="77777777" w:rsidR="00FC5902" w:rsidRDefault="00FC5902" w:rsidP="00FC5902">
            <w:pPr>
              <w:ind w:left="-4" w:right="-4" w:firstLine="4"/>
              <w:jc w:val="center"/>
              <w:rPr>
                <w:rFonts w:ascii="Calibri" w:hAnsi="Calibri"/>
                <w:sz w:val="22"/>
                <w:szCs w:val="22"/>
                <w:lang w:val="en-GB"/>
              </w:rPr>
            </w:pPr>
          </w:p>
          <w:p w14:paraId="3AC05D79" w14:textId="4B31A7FC" w:rsidR="00022D1C" w:rsidRPr="003E751B" w:rsidRDefault="00FC5902" w:rsidP="00FC5902">
            <w:pPr>
              <w:ind w:left="-4" w:right="-4" w:firstLine="4"/>
              <w:jc w:val="center"/>
              <w:rPr>
                <w:rFonts w:ascii="Calibri" w:hAnsi="Calibri"/>
                <w:sz w:val="22"/>
                <w:szCs w:val="22"/>
                <w:lang w:val="en-GB"/>
              </w:rPr>
            </w:pPr>
            <w:r>
              <w:rPr>
                <w:rFonts w:ascii="Calibri" w:hAnsi="Calibri"/>
                <w:sz w:val="22"/>
                <w:szCs w:val="22"/>
                <w:lang w:val="en-GB"/>
              </w:rPr>
              <w:t>Total growth</w:t>
            </w:r>
          </w:p>
        </w:tc>
      </w:tr>
      <w:tr w:rsidR="00FC5902" w:rsidRPr="003E751B" w14:paraId="0E98E34B" w14:textId="77777777" w:rsidTr="00FC5902">
        <w:tc>
          <w:tcPr>
            <w:tcW w:w="2128" w:type="dxa"/>
          </w:tcPr>
          <w:p w14:paraId="26EC4A80" w14:textId="785B96C8" w:rsidR="00022D1C" w:rsidRPr="003E751B" w:rsidRDefault="00022D1C" w:rsidP="00FC5902">
            <w:pPr>
              <w:ind w:left="284" w:hanging="284"/>
              <w:rPr>
                <w:rFonts w:ascii="Calibri" w:hAnsi="Calibri"/>
                <w:sz w:val="22"/>
                <w:szCs w:val="22"/>
                <w:lang w:val="en-GB"/>
              </w:rPr>
            </w:pPr>
            <w:r w:rsidRPr="003E751B">
              <w:rPr>
                <w:rFonts w:ascii="Calibri" w:hAnsi="Calibri"/>
                <w:sz w:val="22"/>
                <w:szCs w:val="22"/>
                <w:lang w:val="en-GB"/>
              </w:rPr>
              <w:t>II</w:t>
            </w:r>
            <w:r w:rsidRPr="003E751B">
              <w:rPr>
                <w:rFonts w:ascii="Calibri" w:hAnsi="Calibri"/>
                <w:sz w:val="22"/>
                <w:szCs w:val="22"/>
                <w:lang w:val="en-GB"/>
              </w:rPr>
              <w:tab/>
              <w:t>Suburbanisation</w:t>
            </w:r>
          </w:p>
        </w:tc>
        <w:tc>
          <w:tcPr>
            <w:tcW w:w="2551" w:type="dxa"/>
          </w:tcPr>
          <w:p w14:paraId="28F10A58" w14:textId="77777777" w:rsidR="00D432CD" w:rsidRDefault="00022D1C" w:rsidP="00A70E5E">
            <w:pPr>
              <w:ind w:left="284" w:hanging="284"/>
              <w:rPr>
                <w:rFonts w:ascii="Calibri" w:hAnsi="Calibri"/>
                <w:sz w:val="22"/>
                <w:szCs w:val="22"/>
                <w:lang w:val="en-GB"/>
              </w:rPr>
            </w:pPr>
            <w:r w:rsidRPr="003E751B">
              <w:rPr>
                <w:rFonts w:ascii="Calibri" w:hAnsi="Calibri"/>
                <w:sz w:val="22"/>
                <w:szCs w:val="22"/>
                <w:lang w:val="en-GB"/>
              </w:rPr>
              <w:t>3</w:t>
            </w:r>
            <w:r w:rsidRPr="003E751B">
              <w:rPr>
                <w:rFonts w:ascii="Calibri" w:hAnsi="Calibri"/>
                <w:sz w:val="22"/>
                <w:szCs w:val="22"/>
                <w:lang w:val="en-GB"/>
              </w:rPr>
              <w:tab/>
              <w:t xml:space="preserve">Relative </w:t>
            </w:r>
            <w:proofErr w:type="gramStart"/>
            <w:r w:rsidRPr="003E751B">
              <w:rPr>
                <w:rFonts w:ascii="Calibri" w:hAnsi="Calibri"/>
                <w:sz w:val="22"/>
                <w:szCs w:val="22"/>
                <w:lang w:val="en-GB"/>
              </w:rPr>
              <w:t>decentralisation</w:t>
            </w:r>
            <w:proofErr w:type="gramEnd"/>
          </w:p>
          <w:p w14:paraId="51F2E578" w14:textId="42268C43" w:rsidR="00022D1C" w:rsidRPr="003E751B" w:rsidRDefault="00D432CD" w:rsidP="00A70E5E">
            <w:pPr>
              <w:ind w:left="284" w:hanging="284"/>
              <w:rPr>
                <w:rFonts w:ascii="Calibri" w:hAnsi="Calibri"/>
                <w:sz w:val="22"/>
                <w:szCs w:val="22"/>
                <w:lang w:val="en-GB"/>
              </w:rPr>
            </w:pPr>
            <w:r w:rsidRPr="003E751B">
              <w:rPr>
                <w:rFonts w:ascii="Calibri" w:hAnsi="Calibri"/>
                <w:sz w:val="22"/>
                <w:szCs w:val="22"/>
                <w:lang w:val="en-GB"/>
              </w:rPr>
              <w:t>4</w:t>
            </w:r>
            <w:r w:rsidRPr="003E751B">
              <w:rPr>
                <w:rFonts w:ascii="Calibri" w:hAnsi="Calibri"/>
                <w:sz w:val="22"/>
                <w:szCs w:val="22"/>
                <w:lang w:val="en-GB"/>
              </w:rPr>
              <w:tab/>
              <w:t xml:space="preserve">Absolute </w:t>
            </w:r>
            <w:proofErr w:type="gramStart"/>
            <w:r w:rsidRPr="003E751B">
              <w:rPr>
                <w:rFonts w:ascii="Calibri" w:hAnsi="Calibri"/>
                <w:sz w:val="22"/>
                <w:szCs w:val="22"/>
                <w:lang w:val="en-GB"/>
              </w:rPr>
              <w:t>decentralisation</w:t>
            </w:r>
            <w:proofErr w:type="gramEnd"/>
          </w:p>
        </w:tc>
        <w:tc>
          <w:tcPr>
            <w:tcW w:w="814" w:type="dxa"/>
          </w:tcPr>
          <w:p w14:paraId="74A49939" w14:textId="77777777" w:rsidR="00022D1C" w:rsidRDefault="00D432CD" w:rsidP="009F1F0D">
            <w:pPr>
              <w:ind w:right="-4"/>
              <w:jc w:val="center"/>
              <w:rPr>
                <w:rFonts w:ascii="Calibri" w:hAnsi="Calibri"/>
                <w:sz w:val="22"/>
                <w:szCs w:val="22"/>
                <w:lang w:val="en-GB"/>
              </w:rPr>
            </w:pPr>
            <w:r>
              <w:rPr>
                <w:rFonts w:ascii="Calibri" w:hAnsi="Calibri"/>
                <w:sz w:val="22"/>
                <w:szCs w:val="22"/>
                <w:lang w:val="en-GB"/>
              </w:rPr>
              <w:t>+</w:t>
            </w:r>
          </w:p>
          <w:p w14:paraId="2E3B2D63" w14:textId="1FF41480" w:rsidR="00D432CD" w:rsidRPr="003E751B" w:rsidRDefault="00D432CD" w:rsidP="009F1F0D">
            <w:pPr>
              <w:ind w:right="-4"/>
              <w:jc w:val="center"/>
              <w:rPr>
                <w:rFonts w:ascii="Calibri" w:hAnsi="Calibri"/>
                <w:sz w:val="22"/>
                <w:szCs w:val="22"/>
                <w:lang w:val="en-GB"/>
              </w:rPr>
            </w:pPr>
            <w:r>
              <w:rPr>
                <w:rFonts w:ascii="Calibri" w:hAnsi="Calibri"/>
                <w:sz w:val="22"/>
                <w:szCs w:val="22"/>
                <w:lang w:val="en-GB"/>
              </w:rPr>
              <w:t>–</w:t>
            </w:r>
          </w:p>
        </w:tc>
        <w:tc>
          <w:tcPr>
            <w:tcW w:w="812" w:type="dxa"/>
          </w:tcPr>
          <w:p w14:paraId="3FD733EE" w14:textId="77777777" w:rsidR="00022D1C" w:rsidRDefault="009F1F0D" w:rsidP="009F1F0D">
            <w:pPr>
              <w:ind w:right="-4"/>
              <w:jc w:val="center"/>
              <w:rPr>
                <w:rFonts w:ascii="Calibri" w:hAnsi="Calibri"/>
                <w:sz w:val="22"/>
                <w:szCs w:val="22"/>
                <w:lang w:val="en-GB"/>
              </w:rPr>
            </w:pPr>
            <w:r>
              <w:rPr>
                <w:rFonts w:ascii="Calibri" w:hAnsi="Calibri"/>
                <w:sz w:val="22"/>
                <w:szCs w:val="22"/>
                <w:lang w:val="en-GB"/>
              </w:rPr>
              <w:t>++</w:t>
            </w:r>
          </w:p>
          <w:p w14:paraId="2F48FCBE" w14:textId="19FD3175" w:rsidR="009F1F0D" w:rsidRPr="003E751B" w:rsidRDefault="009F1F0D" w:rsidP="009F1F0D">
            <w:pPr>
              <w:ind w:right="-4"/>
              <w:jc w:val="center"/>
              <w:rPr>
                <w:rFonts w:ascii="Calibri" w:hAnsi="Calibri"/>
                <w:sz w:val="22"/>
                <w:szCs w:val="22"/>
                <w:lang w:val="en-GB"/>
              </w:rPr>
            </w:pPr>
            <w:r>
              <w:rPr>
                <w:rFonts w:ascii="Calibri" w:hAnsi="Calibri"/>
                <w:sz w:val="22"/>
                <w:szCs w:val="22"/>
                <w:lang w:val="en-GB"/>
              </w:rPr>
              <w:t>++</w:t>
            </w:r>
          </w:p>
        </w:tc>
        <w:tc>
          <w:tcPr>
            <w:tcW w:w="816" w:type="dxa"/>
          </w:tcPr>
          <w:p w14:paraId="59256C0D" w14:textId="77777777" w:rsidR="00022D1C" w:rsidRDefault="00D432CD" w:rsidP="009F1F0D">
            <w:pPr>
              <w:ind w:right="-4"/>
              <w:jc w:val="center"/>
              <w:rPr>
                <w:rFonts w:ascii="Calibri" w:hAnsi="Calibri"/>
                <w:sz w:val="22"/>
                <w:szCs w:val="22"/>
                <w:lang w:val="en-GB"/>
              </w:rPr>
            </w:pPr>
            <w:r>
              <w:rPr>
                <w:rFonts w:ascii="Calibri" w:hAnsi="Calibri"/>
                <w:sz w:val="22"/>
                <w:szCs w:val="22"/>
                <w:lang w:val="en-GB"/>
              </w:rPr>
              <w:t>+++</w:t>
            </w:r>
          </w:p>
          <w:p w14:paraId="1E14CD55" w14:textId="5DBCEB3D" w:rsidR="00D432CD" w:rsidRPr="003E751B" w:rsidRDefault="00D432CD" w:rsidP="009F1F0D">
            <w:pPr>
              <w:ind w:right="-4"/>
              <w:jc w:val="center"/>
              <w:rPr>
                <w:rFonts w:ascii="Calibri" w:hAnsi="Calibri"/>
                <w:sz w:val="22"/>
                <w:szCs w:val="22"/>
                <w:lang w:val="en-GB"/>
              </w:rPr>
            </w:pPr>
            <w:r>
              <w:rPr>
                <w:rFonts w:ascii="Calibri" w:hAnsi="Calibri"/>
                <w:sz w:val="22"/>
                <w:szCs w:val="22"/>
                <w:lang w:val="en-GB"/>
              </w:rPr>
              <w:t>+</w:t>
            </w:r>
          </w:p>
        </w:tc>
        <w:tc>
          <w:tcPr>
            <w:tcW w:w="815" w:type="dxa"/>
            <w:vMerge/>
          </w:tcPr>
          <w:p w14:paraId="6E5A05AE" w14:textId="06FCE072" w:rsidR="00022D1C" w:rsidRPr="003E751B" w:rsidRDefault="00022D1C" w:rsidP="00FC5902">
            <w:pPr>
              <w:ind w:left="-4" w:right="-4" w:firstLine="4"/>
              <w:jc w:val="center"/>
              <w:rPr>
                <w:rFonts w:ascii="Calibri" w:hAnsi="Calibri"/>
                <w:sz w:val="22"/>
                <w:szCs w:val="22"/>
                <w:lang w:val="en-GB"/>
              </w:rPr>
            </w:pPr>
          </w:p>
        </w:tc>
      </w:tr>
      <w:tr w:rsidR="00FC5902" w:rsidRPr="003E751B" w14:paraId="6E54641E" w14:textId="77777777" w:rsidTr="00FC5902">
        <w:tc>
          <w:tcPr>
            <w:tcW w:w="2128" w:type="dxa"/>
          </w:tcPr>
          <w:p w14:paraId="14B3578B" w14:textId="0BAF1813" w:rsidR="00022D1C" w:rsidRPr="003E751B" w:rsidRDefault="00022D1C" w:rsidP="00A70E5E">
            <w:pPr>
              <w:ind w:left="284" w:hanging="284"/>
              <w:rPr>
                <w:rFonts w:ascii="Calibri" w:hAnsi="Calibri"/>
                <w:sz w:val="22"/>
                <w:szCs w:val="22"/>
                <w:lang w:val="en-GB"/>
              </w:rPr>
            </w:pPr>
            <w:r w:rsidRPr="003E751B">
              <w:rPr>
                <w:rFonts w:ascii="Calibri" w:hAnsi="Calibri"/>
                <w:sz w:val="22"/>
                <w:szCs w:val="22"/>
                <w:lang w:val="en-GB"/>
              </w:rPr>
              <w:t>III</w:t>
            </w:r>
            <w:r w:rsidRPr="003E751B">
              <w:rPr>
                <w:rFonts w:ascii="Calibri" w:hAnsi="Calibri"/>
                <w:sz w:val="22"/>
                <w:szCs w:val="22"/>
                <w:lang w:val="en-GB"/>
              </w:rPr>
              <w:tab/>
              <w:t>Counter</w:t>
            </w:r>
            <w:r w:rsidR="00D432CD">
              <w:rPr>
                <w:rFonts w:ascii="Calibri" w:hAnsi="Calibri"/>
                <w:sz w:val="22"/>
                <w:szCs w:val="22"/>
                <w:lang w:val="en-GB"/>
              </w:rPr>
              <w:softHyphen/>
            </w:r>
            <w:r w:rsidRPr="003E751B">
              <w:rPr>
                <w:rFonts w:ascii="Calibri" w:hAnsi="Calibri"/>
                <w:sz w:val="22"/>
                <w:szCs w:val="22"/>
                <w:lang w:val="en-GB"/>
              </w:rPr>
              <w:t>urbanisation</w:t>
            </w:r>
          </w:p>
        </w:tc>
        <w:tc>
          <w:tcPr>
            <w:tcW w:w="2551" w:type="dxa"/>
          </w:tcPr>
          <w:p w14:paraId="0ABCF9A8" w14:textId="77777777" w:rsidR="00D432CD" w:rsidRDefault="00022D1C" w:rsidP="00A70E5E">
            <w:pPr>
              <w:ind w:left="284" w:hanging="284"/>
              <w:rPr>
                <w:rFonts w:ascii="Calibri" w:hAnsi="Calibri"/>
                <w:sz w:val="22"/>
                <w:szCs w:val="22"/>
                <w:lang w:val="en-GB"/>
              </w:rPr>
            </w:pPr>
            <w:r w:rsidRPr="003E751B">
              <w:rPr>
                <w:rFonts w:ascii="Calibri" w:hAnsi="Calibri"/>
                <w:sz w:val="22"/>
                <w:szCs w:val="22"/>
                <w:lang w:val="en-GB"/>
              </w:rPr>
              <w:t>5</w:t>
            </w:r>
            <w:r w:rsidRPr="003E751B">
              <w:rPr>
                <w:rFonts w:ascii="Calibri" w:hAnsi="Calibri"/>
                <w:sz w:val="22"/>
                <w:szCs w:val="22"/>
                <w:lang w:val="en-GB"/>
              </w:rPr>
              <w:tab/>
              <w:t xml:space="preserve">Absolute </w:t>
            </w:r>
            <w:proofErr w:type="gramStart"/>
            <w:r w:rsidRPr="003E751B">
              <w:rPr>
                <w:rFonts w:ascii="Calibri" w:hAnsi="Calibri"/>
                <w:sz w:val="22"/>
                <w:szCs w:val="22"/>
                <w:lang w:val="en-GB"/>
              </w:rPr>
              <w:t>centralisation</w:t>
            </w:r>
            <w:proofErr w:type="gramEnd"/>
          </w:p>
          <w:p w14:paraId="3F323448" w14:textId="0EC24B18" w:rsidR="00022D1C" w:rsidRPr="003E751B" w:rsidRDefault="00D432CD" w:rsidP="00A70E5E">
            <w:pPr>
              <w:ind w:left="284" w:hanging="284"/>
              <w:rPr>
                <w:rFonts w:ascii="Calibri" w:hAnsi="Calibri"/>
                <w:sz w:val="22"/>
                <w:szCs w:val="22"/>
                <w:lang w:val="en-GB"/>
              </w:rPr>
            </w:pPr>
            <w:r w:rsidRPr="003E751B">
              <w:rPr>
                <w:rFonts w:ascii="Calibri" w:hAnsi="Calibri"/>
                <w:sz w:val="22"/>
                <w:szCs w:val="22"/>
                <w:lang w:val="en-GB"/>
              </w:rPr>
              <w:t>6</w:t>
            </w:r>
            <w:r w:rsidRPr="003E751B">
              <w:rPr>
                <w:rFonts w:ascii="Calibri" w:hAnsi="Calibri"/>
                <w:sz w:val="22"/>
                <w:szCs w:val="22"/>
                <w:lang w:val="en-GB"/>
              </w:rPr>
              <w:tab/>
              <w:t xml:space="preserve">Relative </w:t>
            </w:r>
            <w:proofErr w:type="gramStart"/>
            <w:r w:rsidRPr="003E751B">
              <w:rPr>
                <w:rFonts w:ascii="Calibri" w:hAnsi="Calibri"/>
                <w:sz w:val="22"/>
                <w:szCs w:val="22"/>
                <w:lang w:val="en-GB"/>
              </w:rPr>
              <w:t>centralisation</w:t>
            </w:r>
            <w:proofErr w:type="gramEnd"/>
          </w:p>
        </w:tc>
        <w:tc>
          <w:tcPr>
            <w:tcW w:w="814" w:type="dxa"/>
          </w:tcPr>
          <w:p w14:paraId="135936E8" w14:textId="77777777" w:rsidR="00022D1C" w:rsidRDefault="00D432CD" w:rsidP="00FC5902">
            <w:pPr>
              <w:ind w:right="-4"/>
              <w:jc w:val="center"/>
              <w:rPr>
                <w:rFonts w:ascii="Calibri" w:hAnsi="Calibri"/>
                <w:sz w:val="22"/>
                <w:szCs w:val="22"/>
                <w:lang w:val="en-GB"/>
              </w:rPr>
            </w:pPr>
            <w:r>
              <w:rPr>
                <w:rFonts w:ascii="Calibri" w:hAnsi="Calibri"/>
                <w:sz w:val="22"/>
                <w:szCs w:val="22"/>
                <w:lang w:val="en-GB"/>
              </w:rPr>
              <w:t>– –</w:t>
            </w:r>
          </w:p>
          <w:p w14:paraId="54D28402" w14:textId="32D345E7" w:rsidR="00D432CD" w:rsidRPr="003E751B" w:rsidRDefault="00D432CD" w:rsidP="00FC5902">
            <w:pPr>
              <w:ind w:right="-4"/>
              <w:jc w:val="center"/>
              <w:rPr>
                <w:rFonts w:ascii="Calibri" w:hAnsi="Calibri"/>
                <w:sz w:val="22"/>
                <w:szCs w:val="22"/>
                <w:lang w:val="en-GB"/>
              </w:rPr>
            </w:pPr>
            <w:r>
              <w:rPr>
                <w:rFonts w:ascii="Calibri" w:hAnsi="Calibri"/>
                <w:sz w:val="22"/>
                <w:szCs w:val="22"/>
                <w:lang w:val="en-GB"/>
              </w:rPr>
              <w:t>– –</w:t>
            </w:r>
          </w:p>
        </w:tc>
        <w:tc>
          <w:tcPr>
            <w:tcW w:w="812" w:type="dxa"/>
          </w:tcPr>
          <w:p w14:paraId="71C06B4C" w14:textId="77777777" w:rsidR="00022D1C" w:rsidRDefault="009F1F0D" w:rsidP="009F1F0D">
            <w:pPr>
              <w:ind w:right="-4"/>
              <w:jc w:val="center"/>
              <w:rPr>
                <w:rFonts w:ascii="Calibri" w:hAnsi="Calibri"/>
                <w:sz w:val="22"/>
                <w:szCs w:val="22"/>
                <w:lang w:val="en-GB"/>
              </w:rPr>
            </w:pPr>
            <w:r>
              <w:rPr>
                <w:rFonts w:ascii="Calibri" w:hAnsi="Calibri"/>
                <w:sz w:val="22"/>
                <w:szCs w:val="22"/>
                <w:lang w:val="en-GB"/>
              </w:rPr>
              <w:t>+</w:t>
            </w:r>
          </w:p>
          <w:p w14:paraId="2B1F31DF" w14:textId="2188FD5B" w:rsidR="009F1F0D" w:rsidRPr="003E751B" w:rsidRDefault="009F1F0D" w:rsidP="009F1F0D">
            <w:pPr>
              <w:ind w:right="-4"/>
              <w:jc w:val="center"/>
              <w:rPr>
                <w:rFonts w:ascii="Calibri" w:hAnsi="Calibri"/>
                <w:sz w:val="22"/>
                <w:szCs w:val="22"/>
                <w:lang w:val="en-GB"/>
              </w:rPr>
            </w:pPr>
            <w:r>
              <w:rPr>
                <w:rFonts w:ascii="Calibri" w:hAnsi="Calibri"/>
                <w:sz w:val="22"/>
                <w:szCs w:val="22"/>
                <w:lang w:val="en-GB"/>
              </w:rPr>
              <w:t>–</w:t>
            </w:r>
          </w:p>
        </w:tc>
        <w:tc>
          <w:tcPr>
            <w:tcW w:w="816" w:type="dxa"/>
          </w:tcPr>
          <w:p w14:paraId="394B8070" w14:textId="5A20ACF7" w:rsidR="009F1F0D" w:rsidRDefault="009F1F0D" w:rsidP="009F1F0D">
            <w:pPr>
              <w:ind w:right="-4"/>
              <w:jc w:val="center"/>
              <w:rPr>
                <w:rFonts w:ascii="Calibri" w:hAnsi="Calibri"/>
                <w:sz w:val="22"/>
                <w:szCs w:val="22"/>
                <w:lang w:val="en-GB"/>
              </w:rPr>
            </w:pPr>
            <w:r>
              <w:rPr>
                <w:rFonts w:ascii="Calibri" w:hAnsi="Calibri"/>
                <w:sz w:val="22"/>
                <w:szCs w:val="22"/>
                <w:lang w:val="en-GB"/>
              </w:rPr>
              <w:t>–</w:t>
            </w:r>
          </w:p>
          <w:p w14:paraId="451D8482" w14:textId="1AD24A75" w:rsidR="009F1F0D" w:rsidRPr="009F1F0D" w:rsidRDefault="00D432CD" w:rsidP="009F1F0D">
            <w:pPr>
              <w:ind w:right="-4"/>
              <w:jc w:val="center"/>
              <w:rPr>
                <w:rFonts w:ascii="Calibri" w:hAnsi="Calibri"/>
                <w:sz w:val="22"/>
                <w:szCs w:val="22"/>
                <w:lang w:val="en-GB"/>
              </w:rPr>
            </w:pPr>
            <w:r>
              <w:rPr>
                <w:rFonts w:ascii="Calibri" w:hAnsi="Calibri"/>
                <w:sz w:val="22"/>
                <w:szCs w:val="22"/>
                <w:lang w:val="en-GB"/>
              </w:rPr>
              <w:t xml:space="preserve">– </w:t>
            </w:r>
            <w:r w:rsidRPr="00D432CD">
              <w:rPr>
                <w:rFonts w:ascii="Calibri" w:hAnsi="Calibri"/>
                <w:sz w:val="22"/>
                <w:szCs w:val="22"/>
                <w:lang w:val="en-GB"/>
              </w:rPr>
              <w:t>–</w:t>
            </w:r>
            <w:r>
              <w:rPr>
                <w:rFonts w:ascii="Calibri" w:hAnsi="Calibri"/>
                <w:sz w:val="22"/>
                <w:szCs w:val="22"/>
                <w:lang w:val="en-GB"/>
              </w:rPr>
              <w:t xml:space="preserve"> </w:t>
            </w:r>
            <w:r w:rsidR="009F1F0D">
              <w:rPr>
                <w:rFonts w:ascii="Calibri" w:hAnsi="Calibri"/>
                <w:sz w:val="22"/>
                <w:szCs w:val="22"/>
                <w:lang w:val="en-GB"/>
              </w:rPr>
              <w:t>–</w:t>
            </w:r>
          </w:p>
        </w:tc>
        <w:tc>
          <w:tcPr>
            <w:tcW w:w="815" w:type="dxa"/>
            <w:vMerge w:val="restart"/>
          </w:tcPr>
          <w:p w14:paraId="227BF77A" w14:textId="77777777" w:rsidR="00FC5902" w:rsidRDefault="00FC5902" w:rsidP="00FC5902">
            <w:pPr>
              <w:ind w:left="-4" w:right="-4" w:firstLine="4"/>
              <w:jc w:val="center"/>
              <w:rPr>
                <w:rFonts w:ascii="Calibri" w:hAnsi="Calibri"/>
                <w:sz w:val="22"/>
                <w:szCs w:val="22"/>
                <w:lang w:val="en-GB"/>
              </w:rPr>
            </w:pPr>
          </w:p>
          <w:p w14:paraId="040C7E42" w14:textId="2F9DBFBE" w:rsidR="00022D1C" w:rsidRPr="003E751B" w:rsidRDefault="00FC5902" w:rsidP="00FC5902">
            <w:pPr>
              <w:ind w:left="-4" w:right="-4" w:firstLine="4"/>
              <w:jc w:val="center"/>
              <w:rPr>
                <w:rFonts w:ascii="Calibri" w:hAnsi="Calibri"/>
                <w:sz w:val="22"/>
                <w:szCs w:val="22"/>
                <w:lang w:val="en-GB"/>
              </w:rPr>
            </w:pPr>
            <w:r>
              <w:rPr>
                <w:rFonts w:ascii="Calibri" w:hAnsi="Calibri"/>
                <w:sz w:val="22"/>
                <w:szCs w:val="22"/>
                <w:lang w:val="en-GB"/>
              </w:rPr>
              <w:t>Total decline</w:t>
            </w:r>
          </w:p>
        </w:tc>
      </w:tr>
      <w:tr w:rsidR="00FC5902" w:rsidRPr="003E751B" w14:paraId="486BCCEB" w14:textId="77777777" w:rsidTr="00FC5902">
        <w:trPr>
          <w:trHeight w:val="303"/>
        </w:trPr>
        <w:tc>
          <w:tcPr>
            <w:tcW w:w="2128" w:type="dxa"/>
            <w:tcBorders>
              <w:bottom w:val="single" w:sz="4" w:space="0" w:color="auto"/>
            </w:tcBorders>
          </w:tcPr>
          <w:p w14:paraId="4AC6C7CD" w14:textId="396E4E38" w:rsidR="009F1F0D" w:rsidRPr="003E751B" w:rsidRDefault="009F1F0D" w:rsidP="00FC5902">
            <w:pPr>
              <w:ind w:left="284" w:hanging="284"/>
              <w:rPr>
                <w:rFonts w:ascii="Calibri" w:hAnsi="Calibri"/>
                <w:sz w:val="22"/>
                <w:szCs w:val="22"/>
                <w:lang w:val="en-GB"/>
              </w:rPr>
            </w:pPr>
            <w:r w:rsidRPr="003E751B">
              <w:rPr>
                <w:rFonts w:ascii="Calibri" w:hAnsi="Calibri"/>
                <w:sz w:val="22"/>
                <w:szCs w:val="22"/>
                <w:lang w:val="en-GB"/>
              </w:rPr>
              <w:t>IV</w:t>
            </w:r>
            <w:r w:rsidRPr="003E751B">
              <w:rPr>
                <w:rFonts w:ascii="Calibri" w:hAnsi="Calibri"/>
                <w:sz w:val="22"/>
                <w:szCs w:val="22"/>
                <w:lang w:val="en-GB"/>
              </w:rPr>
              <w:tab/>
              <w:t>Reurbanisation</w:t>
            </w:r>
          </w:p>
        </w:tc>
        <w:tc>
          <w:tcPr>
            <w:tcW w:w="2551" w:type="dxa"/>
            <w:tcBorders>
              <w:bottom w:val="single" w:sz="4" w:space="0" w:color="auto"/>
            </w:tcBorders>
          </w:tcPr>
          <w:p w14:paraId="6D0DF30F" w14:textId="77777777" w:rsidR="009F1F0D" w:rsidRDefault="009F1F0D" w:rsidP="00D432CD">
            <w:pPr>
              <w:ind w:left="284" w:hanging="284"/>
              <w:rPr>
                <w:rFonts w:ascii="Calibri" w:hAnsi="Calibri"/>
                <w:sz w:val="22"/>
                <w:szCs w:val="22"/>
                <w:lang w:val="en-GB"/>
              </w:rPr>
            </w:pPr>
            <w:r w:rsidRPr="003E751B">
              <w:rPr>
                <w:rFonts w:ascii="Calibri" w:hAnsi="Calibri"/>
                <w:sz w:val="22"/>
                <w:szCs w:val="22"/>
                <w:lang w:val="en-GB"/>
              </w:rPr>
              <w:t>7</w:t>
            </w:r>
            <w:r w:rsidRPr="003E751B">
              <w:rPr>
                <w:rFonts w:ascii="Calibri" w:hAnsi="Calibri"/>
                <w:sz w:val="22"/>
                <w:szCs w:val="22"/>
                <w:lang w:val="en-GB"/>
              </w:rPr>
              <w:tab/>
              <w:t xml:space="preserve">Absolute </w:t>
            </w:r>
            <w:proofErr w:type="gramStart"/>
            <w:r w:rsidRPr="003E751B">
              <w:rPr>
                <w:rFonts w:ascii="Calibri" w:hAnsi="Calibri"/>
                <w:sz w:val="22"/>
                <w:szCs w:val="22"/>
                <w:lang w:val="en-GB"/>
              </w:rPr>
              <w:t>centralisation</w:t>
            </w:r>
            <w:proofErr w:type="gramEnd"/>
          </w:p>
          <w:p w14:paraId="46EBD90A" w14:textId="4B32780A" w:rsidR="009F1F0D" w:rsidRPr="003E751B" w:rsidRDefault="009F1F0D" w:rsidP="00D432CD">
            <w:pPr>
              <w:ind w:left="284" w:hanging="284"/>
              <w:rPr>
                <w:rFonts w:ascii="Calibri" w:hAnsi="Calibri"/>
                <w:sz w:val="22"/>
                <w:szCs w:val="22"/>
                <w:lang w:val="en-GB"/>
              </w:rPr>
            </w:pPr>
            <w:r w:rsidRPr="003E751B">
              <w:rPr>
                <w:rFonts w:ascii="Calibri" w:hAnsi="Calibri"/>
                <w:sz w:val="22"/>
                <w:szCs w:val="22"/>
                <w:lang w:val="en-GB"/>
              </w:rPr>
              <w:t>8</w:t>
            </w:r>
            <w:r w:rsidRPr="003E751B">
              <w:rPr>
                <w:rFonts w:ascii="Calibri" w:hAnsi="Calibri"/>
                <w:sz w:val="22"/>
                <w:szCs w:val="22"/>
                <w:lang w:val="en-GB"/>
              </w:rPr>
              <w:tab/>
              <w:t xml:space="preserve">Relative </w:t>
            </w:r>
            <w:proofErr w:type="gramStart"/>
            <w:r w:rsidRPr="003E751B">
              <w:rPr>
                <w:rFonts w:ascii="Calibri" w:hAnsi="Calibri"/>
                <w:sz w:val="22"/>
                <w:szCs w:val="22"/>
                <w:lang w:val="en-GB"/>
              </w:rPr>
              <w:t>centralisation</w:t>
            </w:r>
            <w:proofErr w:type="gramEnd"/>
          </w:p>
        </w:tc>
        <w:tc>
          <w:tcPr>
            <w:tcW w:w="814" w:type="dxa"/>
            <w:tcBorders>
              <w:bottom w:val="single" w:sz="4" w:space="0" w:color="auto"/>
            </w:tcBorders>
          </w:tcPr>
          <w:p w14:paraId="2C761376" w14:textId="77777777" w:rsidR="009F1F0D" w:rsidRDefault="009F1F0D" w:rsidP="009F1F0D">
            <w:pPr>
              <w:ind w:right="-4"/>
              <w:jc w:val="center"/>
              <w:rPr>
                <w:rFonts w:ascii="Calibri" w:hAnsi="Calibri"/>
                <w:sz w:val="22"/>
                <w:szCs w:val="22"/>
                <w:lang w:val="en-GB"/>
              </w:rPr>
            </w:pPr>
            <w:r>
              <w:rPr>
                <w:rFonts w:ascii="Calibri" w:hAnsi="Calibri"/>
                <w:sz w:val="22"/>
                <w:szCs w:val="22"/>
                <w:lang w:val="en-GB"/>
              </w:rPr>
              <w:t>–</w:t>
            </w:r>
          </w:p>
          <w:p w14:paraId="24A53235" w14:textId="574B8932" w:rsidR="009F1F0D" w:rsidRPr="003E751B" w:rsidRDefault="009F1F0D" w:rsidP="009F1F0D">
            <w:pPr>
              <w:ind w:right="-4"/>
              <w:jc w:val="center"/>
              <w:rPr>
                <w:rFonts w:ascii="Calibri" w:hAnsi="Calibri"/>
                <w:sz w:val="22"/>
                <w:szCs w:val="22"/>
                <w:lang w:val="en-GB"/>
              </w:rPr>
            </w:pPr>
            <w:r>
              <w:rPr>
                <w:rFonts w:ascii="Calibri" w:hAnsi="Calibri"/>
                <w:sz w:val="22"/>
                <w:szCs w:val="22"/>
                <w:lang w:val="en-GB"/>
              </w:rPr>
              <w:t>+</w:t>
            </w:r>
          </w:p>
        </w:tc>
        <w:tc>
          <w:tcPr>
            <w:tcW w:w="812" w:type="dxa"/>
            <w:tcBorders>
              <w:bottom w:val="single" w:sz="4" w:space="0" w:color="auto"/>
            </w:tcBorders>
          </w:tcPr>
          <w:p w14:paraId="22FCBA50" w14:textId="77777777" w:rsidR="009F1F0D" w:rsidRDefault="009F1F0D" w:rsidP="009F1F0D">
            <w:pPr>
              <w:ind w:right="-4"/>
              <w:jc w:val="center"/>
              <w:rPr>
                <w:rFonts w:ascii="Calibri" w:hAnsi="Calibri"/>
                <w:sz w:val="22"/>
                <w:szCs w:val="22"/>
                <w:lang w:val="en-GB"/>
              </w:rPr>
            </w:pPr>
            <w:r>
              <w:rPr>
                <w:rFonts w:ascii="Calibri" w:hAnsi="Calibri"/>
                <w:sz w:val="22"/>
                <w:szCs w:val="22"/>
                <w:lang w:val="en-GB"/>
              </w:rPr>
              <w:t>– –</w:t>
            </w:r>
          </w:p>
          <w:p w14:paraId="7083D685" w14:textId="33315B79" w:rsidR="009F1F0D" w:rsidRPr="003E751B" w:rsidRDefault="009F1F0D" w:rsidP="009F1F0D">
            <w:pPr>
              <w:ind w:right="-4"/>
              <w:jc w:val="center"/>
              <w:rPr>
                <w:rFonts w:ascii="Calibri" w:hAnsi="Calibri"/>
                <w:sz w:val="22"/>
                <w:szCs w:val="22"/>
                <w:lang w:val="en-GB"/>
              </w:rPr>
            </w:pPr>
            <w:r>
              <w:rPr>
                <w:rFonts w:ascii="Calibri" w:hAnsi="Calibri"/>
                <w:sz w:val="22"/>
                <w:szCs w:val="22"/>
                <w:lang w:val="en-GB"/>
              </w:rPr>
              <w:t>– –</w:t>
            </w:r>
          </w:p>
        </w:tc>
        <w:tc>
          <w:tcPr>
            <w:tcW w:w="816" w:type="dxa"/>
            <w:tcBorders>
              <w:bottom w:val="single" w:sz="4" w:space="0" w:color="auto"/>
            </w:tcBorders>
          </w:tcPr>
          <w:p w14:paraId="2AB0B766" w14:textId="77777777" w:rsidR="009F1F0D" w:rsidRDefault="009F1F0D" w:rsidP="009F1F0D">
            <w:pPr>
              <w:ind w:right="-4"/>
              <w:jc w:val="center"/>
              <w:rPr>
                <w:rFonts w:ascii="Calibri" w:hAnsi="Calibri"/>
                <w:sz w:val="22"/>
                <w:szCs w:val="22"/>
                <w:lang w:val="en-GB"/>
              </w:rPr>
            </w:pPr>
            <w:r>
              <w:rPr>
                <w:rFonts w:ascii="Calibri" w:hAnsi="Calibri"/>
                <w:sz w:val="22"/>
                <w:szCs w:val="22"/>
                <w:lang w:val="en-GB"/>
              </w:rPr>
              <w:t xml:space="preserve">– </w:t>
            </w:r>
            <w:r w:rsidRPr="00D432CD">
              <w:rPr>
                <w:rFonts w:ascii="Calibri" w:hAnsi="Calibri"/>
                <w:sz w:val="22"/>
                <w:szCs w:val="22"/>
                <w:lang w:val="en-GB"/>
              </w:rPr>
              <w:t>–</w:t>
            </w:r>
            <w:r>
              <w:rPr>
                <w:rFonts w:ascii="Calibri" w:hAnsi="Calibri"/>
                <w:sz w:val="22"/>
                <w:szCs w:val="22"/>
                <w:lang w:val="en-GB"/>
              </w:rPr>
              <w:t xml:space="preserve"> –</w:t>
            </w:r>
          </w:p>
          <w:p w14:paraId="0CC9A029" w14:textId="386B6C5E" w:rsidR="009F1F0D" w:rsidRPr="009F1F0D" w:rsidRDefault="009F1F0D" w:rsidP="009F1F0D">
            <w:pPr>
              <w:ind w:right="-4"/>
              <w:jc w:val="center"/>
              <w:rPr>
                <w:rFonts w:ascii="Calibri" w:hAnsi="Calibri"/>
                <w:sz w:val="22"/>
                <w:szCs w:val="22"/>
                <w:lang w:val="en-GB"/>
              </w:rPr>
            </w:pPr>
            <w:r>
              <w:rPr>
                <w:rFonts w:ascii="Calibri" w:hAnsi="Calibri"/>
                <w:sz w:val="22"/>
                <w:szCs w:val="22"/>
                <w:lang w:val="en-GB"/>
              </w:rPr>
              <w:t>–</w:t>
            </w:r>
          </w:p>
        </w:tc>
        <w:tc>
          <w:tcPr>
            <w:tcW w:w="815" w:type="dxa"/>
            <w:vMerge/>
            <w:tcBorders>
              <w:bottom w:val="single" w:sz="4" w:space="0" w:color="auto"/>
            </w:tcBorders>
          </w:tcPr>
          <w:p w14:paraId="60F23F1B" w14:textId="7F636EF9" w:rsidR="009F1F0D" w:rsidRPr="003E751B" w:rsidRDefault="009F1F0D" w:rsidP="00D432CD">
            <w:pPr>
              <w:ind w:right="567"/>
              <w:rPr>
                <w:rFonts w:ascii="Calibri" w:hAnsi="Calibri"/>
                <w:sz w:val="22"/>
                <w:szCs w:val="22"/>
                <w:lang w:val="en-GB"/>
              </w:rPr>
            </w:pPr>
          </w:p>
        </w:tc>
      </w:tr>
    </w:tbl>
    <w:p w14:paraId="6AA1329A" w14:textId="6F9EADF1" w:rsidR="00246DF2" w:rsidRPr="003E751B" w:rsidRDefault="00246DF2" w:rsidP="00246DF2">
      <w:pPr>
        <w:spacing w:before="200"/>
        <w:ind w:left="720" w:hanging="720"/>
        <w:rPr>
          <w:rFonts w:ascii="Calibri" w:hAnsi="Calibri"/>
          <w:sz w:val="22"/>
          <w:szCs w:val="22"/>
          <w:lang w:val="en-GB"/>
        </w:rPr>
      </w:pPr>
      <w:r w:rsidRPr="003E751B">
        <w:rPr>
          <w:rFonts w:ascii="Calibri" w:hAnsi="Calibri"/>
          <w:sz w:val="22"/>
          <w:szCs w:val="22"/>
          <w:lang w:val="en-GB"/>
        </w:rPr>
        <w:t>Source:</w:t>
      </w:r>
      <w:r w:rsidRPr="003E751B">
        <w:rPr>
          <w:rFonts w:ascii="Calibri" w:hAnsi="Calibri"/>
          <w:sz w:val="22"/>
          <w:szCs w:val="22"/>
          <w:lang w:val="en-GB"/>
        </w:rPr>
        <w:tab/>
        <w:t xml:space="preserve">Adapted from </w:t>
      </w:r>
      <w:r w:rsidRPr="003E751B">
        <w:rPr>
          <w:rFonts w:ascii="Calibri" w:hAnsi="Calibri"/>
          <w:i/>
          <w:sz w:val="22"/>
          <w:szCs w:val="22"/>
          <w:lang w:val="en-GB"/>
        </w:rPr>
        <w:t>Van den Berg et al.</w:t>
      </w:r>
      <w:r w:rsidRPr="003E751B">
        <w:rPr>
          <w:rFonts w:ascii="Calibri" w:hAnsi="Calibri"/>
          <w:sz w:val="22"/>
          <w:szCs w:val="22"/>
          <w:lang w:val="en-GB"/>
        </w:rPr>
        <w:t xml:space="preserve"> 1982: 36. </w:t>
      </w:r>
    </w:p>
    <w:p w14:paraId="52A72282" w14:textId="77777777" w:rsidR="006C05AC" w:rsidRPr="003E751B" w:rsidRDefault="006C05AC" w:rsidP="00B51648">
      <w:pPr>
        <w:rPr>
          <w:rFonts w:ascii="Calibri" w:hAnsi="Calibri"/>
          <w:sz w:val="22"/>
          <w:szCs w:val="22"/>
          <w:lang w:val="en-GB"/>
        </w:rPr>
      </w:pPr>
    </w:p>
    <w:p w14:paraId="4D9579C5" w14:textId="59FE3663" w:rsidR="00E63684" w:rsidRPr="003E751B" w:rsidRDefault="008F67DD" w:rsidP="00CD3A63">
      <w:pPr>
        <w:ind w:firstLine="284"/>
        <w:rPr>
          <w:rFonts w:ascii="Calibri" w:hAnsi="Calibri"/>
          <w:sz w:val="22"/>
          <w:szCs w:val="22"/>
          <w:lang w:val="en-GB"/>
        </w:rPr>
      </w:pPr>
      <w:r w:rsidRPr="003E751B">
        <w:rPr>
          <w:rFonts w:ascii="Calibri" w:hAnsi="Calibri"/>
          <w:sz w:val="22"/>
          <w:szCs w:val="22"/>
          <w:lang w:val="en-GB"/>
        </w:rPr>
        <w:t>This urges us to define our take on reurbanisation</w:t>
      </w:r>
      <w:r w:rsidR="00AC232A" w:rsidRPr="003E751B">
        <w:rPr>
          <w:rFonts w:ascii="Calibri" w:hAnsi="Calibri"/>
          <w:sz w:val="22"/>
          <w:szCs w:val="22"/>
          <w:lang w:val="en-GB"/>
        </w:rPr>
        <w:t xml:space="preserve">, in particular </w:t>
      </w:r>
      <w:r w:rsidR="00AD2A10" w:rsidRPr="003E751B">
        <w:rPr>
          <w:rFonts w:ascii="Calibri" w:hAnsi="Calibri"/>
          <w:sz w:val="22"/>
          <w:szCs w:val="22"/>
          <w:lang w:val="en-GB"/>
        </w:rPr>
        <w:t xml:space="preserve">its substance and how it plays out </w:t>
      </w:r>
      <w:r w:rsidR="00711F70" w:rsidRPr="003E751B">
        <w:rPr>
          <w:rFonts w:ascii="Calibri" w:hAnsi="Calibri"/>
          <w:sz w:val="22"/>
          <w:szCs w:val="22"/>
          <w:lang w:val="en-GB"/>
        </w:rPr>
        <w:t>geographically</w:t>
      </w:r>
      <w:r w:rsidR="00AD2A10" w:rsidRPr="003E751B">
        <w:rPr>
          <w:rFonts w:ascii="Calibri" w:hAnsi="Calibri"/>
          <w:sz w:val="22"/>
          <w:szCs w:val="22"/>
          <w:lang w:val="en-GB"/>
        </w:rPr>
        <w:t>.</w:t>
      </w:r>
      <w:r w:rsidR="00711F70" w:rsidRPr="003E751B">
        <w:rPr>
          <w:rFonts w:ascii="Calibri" w:hAnsi="Calibri"/>
          <w:sz w:val="22"/>
          <w:szCs w:val="22"/>
          <w:lang w:val="en-GB"/>
        </w:rPr>
        <w:t xml:space="preserve"> </w:t>
      </w:r>
      <w:r w:rsidR="00D4095B" w:rsidRPr="003E751B">
        <w:rPr>
          <w:rFonts w:ascii="Calibri" w:hAnsi="Calibri"/>
          <w:sz w:val="22"/>
          <w:szCs w:val="22"/>
          <w:lang w:val="en-GB"/>
        </w:rPr>
        <w:t>Substantially</w:t>
      </w:r>
      <w:r w:rsidR="00AD2A10" w:rsidRPr="003E751B">
        <w:rPr>
          <w:rFonts w:ascii="Calibri" w:hAnsi="Calibri"/>
          <w:sz w:val="22"/>
          <w:szCs w:val="22"/>
          <w:lang w:val="en-GB"/>
        </w:rPr>
        <w:t>, the question is whether reurbanisation is purely about demographic growth for a defined area</w:t>
      </w:r>
      <w:r w:rsidR="00865A11" w:rsidRPr="003E751B">
        <w:rPr>
          <w:rFonts w:ascii="Calibri" w:hAnsi="Calibri"/>
          <w:sz w:val="22"/>
          <w:szCs w:val="22"/>
          <w:lang w:val="en-GB"/>
        </w:rPr>
        <w:t xml:space="preserve"> (e.g. </w:t>
      </w:r>
      <w:r w:rsidR="00865A11" w:rsidRPr="003E751B">
        <w:rPr>
          <w:rFonts w:ascii="Calibri" w:hAnsi="Calibri"/>
          <w:i/>
          <w:sz w:val="22"/>
          <w:szCs w:val="22"/>
          <w:lang w:val="en-GB"/>
        </w:rPr>
        <w:t>Rérat</w:t>
      </w:r>
      <w:r w:rsidR="00865A11" w:rsidRPr="003E751B">
        <w:rPr>
          <w:rFonts w:ascii="Calibri" w:hAnsi="Calibri"/>
          <w:sz w:val="22"/>
          <w:szCs w:val="22"/>
          <w:lang w:val="en-GB"/>
        </w:rPr>
        <w:t xml:space="preserve"> 2012)</w:t>
      </w:r>
      <w:r w:rsidR="00AD2A10" w:rsidRPr="003E751B">
        <w:rPr>
          <w:rFonts w:ascii="Calibri" w:hAnsi="Calibri"/>
          <w:sz w:val="22"/>
          <w:szCs w:val="22"/>
          <w:lang w:val="en-GB"/>
        </w:rPr>
        <w:t xml:space="preserve"> or whether it is about </w:t>
      </w:r>
      <w:r w:rsidR="005B37BD" w:rsidRPr="003E751B">
        <w:rPr>
          <w:rFonts w:ascii="Calibri" w:hAnsi="Calibri"/>
          <w:sz w:val="22"/>
          <w:szCs w:val="22"/>
          <w:lang w:val="en-GB"/>
        </w:rPr>
        <w:t>a qualitative change of the urban population and the built environment</w:t>
      </w:r>
      <w:r w:rsidR="004646A1" w:rsidRPr="003E751B">
        <w:rPr>
          <w:rFonts w:ascii="Calibri" w:hAnsi="Calibri"/>
          <w:sz w:val="22"/>
          <w:szCs w:val="22"/>
          <w:lang w:val="en-GB"/>
        </w:rPr>
        <w:t>, particularly of the inner city</w:t>
      </w:r>
      <w:r w:rsidR="00865A11" w:rsidRPr="003E751B">
        <w:rPr>
          <w:rFonts w:ascii="Calibri" w:hAnsi="Calibri"/>
          <w:sz w:val="22"/>
          <w:szCs w:val="22"/>
          <w:lang w:val="en-GB"/>
        </w:rPr>
        <w:t xml:space="preserve"> (e.g. </w:t>
      </w:r>
      <w:r w:rsidR="00865A11" w:rsidRPr="003E751B">
        <w:rPr>
          <w:rFonts w:ascii="Calibri" w:hAnsi="Calibri"/>
          <w:i/>
          <w:sz w:val="22"/>
          <w:szCs w:val="22"/>
          <w:lang w:val="en-GB"/>
        </w:rPr>
        <w:t>Buzar et al.</w:t>
      </w:r>
      <w:r w:rsidR="00865A11" w:rsidRPr="003E751B">
        <w:rPr>
          <w:rFonts w:ascii="Calibri" w:hAnsi="Calibri"/>
          <w:sz w:val="22"/>
          <w:szCs w:val="22"/>
          <w:lang w:val="en-GB"/>
        </w:rPr>
        <w:t xml:space="preserve"> 2007</w:t>
      </w:r>
      <w:r w:rsidR="004A5B03" w:rsidRPr="003E751B">
        <w:rPr>
          <w:rFonts w:ascii="Calibri" w:hAnsi="Calibri"/>
          <w:sz w:val="22"/>
          <w:szCs w:val="22"/>
          <w:lang w:val="en-GB"/>
        </w:rPr>
        <w:t xml:space="preserve">; </w:t>
      </w:r>
      <w:r w:rsidR="004A5B03" w:rsidRPr="003E751B">
        <w:rPr>
          <w:rFonts w:ascii="Calibri" w:hAnsi="Calibri"/>
          <w:i/>
          <w:sz w:val="22"/>
          <w:szCs w:val="22"/>
          <w:lang w:val="en-GB"/>
        </w:rPr>
        <w:t>Haase et al.</w:t>
      </w:r>
      <w:r w:rsidR="004A5B03" w:rsidRPr="003E751B">
        <w:rPr>
          <w:rFonts w:ascii="Calibri" w:hAnsi="Calibri"/>
          <w:sz w:val="22"/>
          <w:szCs w:val="22"/>
          <w:lang w:val="en-GB"/>
        </w:rPr>
        <w:t xml:space="preserve"> 2010</w:t>
      </w:r>
      <w:r w:rsidR="00865A11" w:rsidRPr="003E751B">
        <w:rPr>
          <w:rFonts w:ascii="Calibri" w:hAnsi="Calibri"/>
          <w:sz w:val="22"/>
          <w:szCs w:val="22"/>
          <w:lang w:val="en-GB"/>
        </w:rPr>
        <w:t>)</w:t>
      </w:r>
      <w:r w:rsidR="00AD2A10" w:rsidRPr="003E751B">
        <w:rPr>
          <w:rFonts w:ascii="Calibri" w:hAnsi="Calibri"/>
          <w:sz w:val="22"/>
          <w:szCs w:val="22"/>
          <w:lang w:val="en-GB"/>
        </w:rPr>
        <w:t xml:space="preserve">. </w:t>
      </w:r>
      <w:r w:rsidR="00731457" w:rsidRPr="003E751B">
        <w:rPr>
          <w:rFonts w:ascii="Calibri" w:hAnsi="Calibri"/>
          <w:sz w:val="22"/>
          <w:szCs w:val="22"/>
          <w:lang w:val="en-GB"/>
        </w:rPr>
        <w:t xml:space="preserve">Demographic </w:t>
      </w:r>
      <w:r w:rsidR="00731457" w:rsidRPr="003E751B">
        <w:rPr>
          <w:rFonts w:ascii="Calibri" w:hAnsi="Calibri"/>
          <w:sz w:val="22"/>
          <w:szCs w:val="22"/>
          <w:lang w:val="en-GB"/>
        </w:rPr>
        <w:lastRenderedPageBreak/>
        <w:t xml:space="preserve">growth is an essential criterion, but much of the literature on the urban economy and gentrification suggests </w:t>
      </w:r>
      <w:r w:rsidR="00247BFB" w:rsidRPr="003E751B">
        <w:rPr>
          <w:rFonts w:ascii="Calibri" w:hAnsi="Calibri"/>
          <w:sz w:val="22"/>
          <w:szCs w:val="22"/>
          <w:lang w:val="en-GB"/>
        </w:rPr>
        <w:t>an ongoing “restratification of metropolitan society” and “changing physical appearance of the city”</w:t>
      </w:r>
      <w:r w:rsidR="0058124A" w:rsidRPr="003E751B">
        <w:rPr>
          <w:rFonts w:ascii="Calibri" w:hAnsi="Calibri"/>
          <w:sz w:val="22"/>
          <w:szCs w:val="22"/>
          <w:lang w:val="en-GB"/>
        </w:rPr>
        <w:t xml:space="preserve"> </w:t>
      </w:r>
      <w:r w:rsidR="00731457" w:rsidRPr="003E751B">
        <w:rPr>
          <w:rFonts w:ascii="Calibri" w:hAnsi="Calibri"/>
          <w:sz w:val="22"/>
          <w:szCs w:val="22"/>
          <w:lang w:val="en-GB"/>
        </w:rPr>
        <w:t>(</w:t>
      </w:r>
      <w:r w:rsidR="00731457" w:rsidRPr="003E751B">
        <w:rPr>
          <w:rFonts w:ascii="Calibri" w:hAnsi="Calibri"/>
          <w:i/>
          <w:sz w:val="22"/>
          <w:szCs w:val="22"/>
          <w:lang w:val="en-GB"/>
        </w:rPr>
        <w:t>Scott</w:t>
      </w:r>
      <w:r w:rsidR="00247BFB" w:rsidRPr="003E751B">
        <w:rPr>
          <w:rFonts w:ascii="Calibri" w:hAnsi="Calibri"/>
          <w:sz w:val="22"/>
          <w:szCs w:val="22"/>
          <w:lang w:val="en-GB"/>
        </w:rPr>
        <w:t xml:space="preserve"> 2008: 62</w:t>
      </w:r>
      <w:r w:rsidR="00731457" w:rsidRPr="003E751B">
        <w:rPr>
          <w:rFonts w:ascii="Calibri" w:hAnsi="Calibri"/>
          <w:sz w:val="22"/>
          <w:szCs w:val="22"/>
          <w:lang w:val="en-GB"/>
        </w:rPr>
        <w:t>)</w:t>
      </w:r>
      <w:r w:rsidR="00247BFB" w:rsidRPr="003E751B">
        <w:rPr>
          <w:rFonts w:ascii="Calibri" w:hAnsi="Calibri"/>
          <w:sz w:val="22"/>
          <w:szCs w:val="22"/>
          <w:lang w:val="en-GB"/>
        </w:rPr>
        <w:t>, which deserves our attention as one of the process</w:t>
      </w:r>
      <w:r w:rsidR="009202F2" w:rsidRPr="003E751B">
        <w:rPr>
          <w:rFonts w:ascii="Calibri" w:hAnsi="Calibri"/>
          <w:sz w:val="22"/>
          <w:szCs w:val="22"/>
          <w:lang w:val="en-GB"/>
        </w:rPr>
        <w:t>es</w:t>
      </w:r>
      <w:r w:rsidR="00247BFB" w:rsidRPr="003E751B">
        <w:rPr>
          <w:rFonts w:ascii="Calibri" w:hAnsi="Calibri"/>
          <w:sz w:val="22"/>
          <w:szCs w:val="22"/>
          <w:lang w:val="en-GB"/>
        </w:rPr>
        <w:t xml:space="preserve"> that sit within the reurbanisation family</w:t>
      </w:r>
      <w:r w:rsidR="0058124A" w:rsidRPr="003E751B">
        <w:rPr>
          <w:rFonts w:ascii="Calibri" w:hAnsi="Calibri"/>
          <w:sz w:val="22"/>
          <w:szCs w:val="22"/>
          <w:lang w:val="en-GB"/>
        </w:rPr>
        <w:t>.</w:t>
      </w:r>
      <w:r w:rsidR="00731457" w:rsidRPr="003E751B">
        <w:rPr>
          <w:rFonts w:ascii="Calibri" w:hAnsi="Calibri"/>
          <w:sz w:val="22"/>
          <w:szCs w:val="22"/>
          <w:lang w:val="en-GB"/>
        </w:rPr>
        <w:t xml:space="preserve"> </w:t>
      </w:r>
      <w:r w:rsidR="00AD2A10" w:rsidRPr="003E751B">
        <w:rPr>
          <w:rFonts w:ascii="Calibri" w:hAnsi="Calibri"/>
          <w:sz w:val="22"/>
          <w:szCs w:val="22"/>
          <w:lang w:val="en-GB"/>
        </w:rPr>
        <w:t>Geographically, there is a</w:t>
      </w:r>
      <w:r w:rsidR="00247BFB" w:rsidRPr="003E751B">
        <w:rPr>
          <w:rFonts w:ascii="Calibri" w:hAnsi="Calibri"/>
          <w:sz w:val="22"/>
          <w:szCs w:val="22"/>
          <w:lang w:val="en-GB"/>
        </w:rPr>
        <w:t xml:space="preserve"> related</w:t>
      </w:r>
      <w:r w:rsidR="00AD2A10" w:rsidRPr="003E751B">
        <w:rPr>
          <w:rFonts w:ascii="Calibri" w:hAnsi="Calibri"/>
          <w:sz w:val="22"/>
          <w:szCs w:val="22"/>
          <w:lang w:val="en-GB"/>
        </w:rPr>
        <w:t xml:space="preserve"> debate whether reurbanisation refers to the core city </w:t>
      </w:r>
      <w:r w:rsidR="00C3079F" w:rsidRPr="003E751B">
        <w:rPr>
          <w:rFonts w:ascii="Calibri" w:hAnsi="Calibri"/>
          <w:sz w:val="22"/>
          <w:szCs w:val="22"/>
          <w:lang w:val="en-GB"/>
        </w:rPr>
        <w:t xml:space="preserve">(usually the administrative city) </w:t>
      </w:r>
      <w:r w:rsidR="00AD2A10" w:rsidRPr="003E751B">
        <w:rPr>
          <w:rFonts w:ascii="Calibri" w:hAnsi="Calibri"/>
          <w:sz w:val="22"/>
          <w:szCs w:val="22"/>
          <w:lang w:val="en-GB"/>
        </w:rPr>
        <w:t xml:space="preserve">or inner urban areas. </w:t>
      </w:r>
      <w:r w:rsidR="00DA10E5" w:rsidRPr="003E751B">
        <w:rPr>
          <w:rFonts w:ascii="Calibri" w:hAnsi="Calibri"/>
          <w:sz w:val="22"/>
          <w:szCs w:val="22"/>
          <w:lang w:val="en-GB"/>
        </w:rPr>
        <w:t xml:space="preserve">The debate about reurbanisation </w:t>
      </w:r>
      <w:r w:rsidR="009C0AD7" w:rsidRPr="003E751B">
        <w:rPr>
          <w:rFonts w:ascii="Calibri" w:hAnsi="Calibri"/>
          <w:sz w:val="22"/>
          <w:szCs w:val="22"/>
          <w:lang w:val="en-GB"/>
        </w:rPr>
        <w:t xml:space="preserve">would probably not have had the same resonance if it were not for an increase in urbanity through </w:t>
      </w:r>
      <w:r w:rsidR="00247BFB" w:rsidRPr="003E751B">
        <w:rPr>
          <w:rFonts w:ascii="Calibri" w:hAnsi="Calibri"/>
          <w:sz w:val="22"/>
          <w:szCs w:val="22"/>
          <w:lang w:val="en-GB"/>
        </w:rPr>
        <w:t>the physical and demographic</w:t>
      </w:r>
      <w:r w:rsidR="009C0AD7" w:rsidRPr="003E751B">
        <w:rPr>
          <w:rFonts w:ascii="Calibri" w:hAnsi="Calibri"/>
          <w:sz w:val="22"/>
          <w:szCs w:val="22"/>
          <w:lang w:val="en-GB"/>
        </w:rPr>
        <w:t xml:space="preserve"> renaissance of the inner cities. </w:t>
      </w:r>
      <w:r w:rsidR="00DA10E5" w:rsidRPr="003E751B">
        <w:rPr>
          <w:rFonts w:ascii="Calibri" w:hAnsi="Calibri"/>
          <w:sz w:val="22"/>
          <w:szCs w:val="22"/>
          <w:lang w:val="en-GB"/>
        </w:rPr>
        <w:t>For our purpose, both</w:t>
      </w:r>
      <w:r w:rsidR="00C3079F" w:rsidRPr="003E751B">
        <w:rPr>
          <w:rFonts w:ascii="Calibri" w:hAnsi="Calibri"/>
          <w:sz w:val="22"/>
          <w:szCs w:val="22"/>
          <w:lang w:val="en-GB"/>
        </w:rPr>
        <w:t xml:space="preserve"> geographies</w:t>
      </w:r>
      <w:r w:rsidR="00DA10E5" w:rsidRPr="003E751B">
        <w:rPr>
          <w:rFonts w:ascii="Calibri" w:hAnsi="Calibri"/>
          <w:sz w:val="22"/>
          <w:szCs w:val="22"/>
          <w:lang w:val="en-GB"/>
        </w:rPr>
        <w:t xml:space="preserve"> are legitimate</w:t>
      </w:r>
      <w:r w:rsidR="00247BFB" w:rsidRPr="003E751B">
        <w:rPr>
          <w:rFonts w:ascii="Calibri" w:hAnsi="Calibri"/>
          <w:sz w:val="22"/>
          <w:szCs w:val="22"/>
          <w:lang w:val="en-GB"/>
        </w:rPr>
        <w:t xml:space="preserve"> as</w:t>
      </w:r>
      <w:r w:rsidR="00DA10E5" w:rsidRPr="003E751B">
        <w:rPr>
          <w:rFonts w:ascii="Calibri" w:hAnsi="Calibri"/>
          <w:sz w:val="22"/>
          <w:szCs w:val="22"/>
          <w:lang w:val="en-GB"/>
        </w:rPr>
        <w:t xml:space="preserve"> they focus on different processes at different levels of scale. </w:t>
      </w:r>
      <w:r w:rsidR="00C3079F" w:rsidRPr="003E751B">
        <w:rPr>
          <w:rFonts w:ascii="Calibri" w:hAnsi="Calibri"/>
          <w:sz w:val="22"/>
          <w:szCs w:val="22"/>
          <w:lang w:val="en-GB"/>
        </w:rPr>
        <w:t xml:space="preserve">We expect to find that centralisation </w:t>
      </w:r>
      <w:r w:rsidR="00FA5D0E" w:rsidRPr="003E751B">
        <w:rPr>
          <w:rFonts w:ascii="Calibri" w:hAnsi="Calibri"/>
          <w:sz w:val="22"/>
          <w:szCs w:val="22"/>
          <w:lang w:val="en-GB"/>
        </w:rPr>
        <w:t>tendencies, simply defined as higher growth rates (</w:t>
      </w:r>
      <w:r w:rsidR="00FA5D0E" w:rsidRPr="003E751B">
        <w:rPr>
          <w:rFonts w:ascii="Calibri" w:hAnsi="Calibri"/>
          <w:i/>
          <w:sz w:val="22"/>
          <w:szCs w:val="22"/>
          <w:lang w:val="en-GB"/>
        </w:rPr>
        <w:t>Parr</w:t>
      </w:r>
      <w:r w:rsidR="00FA5D0E" w:rsidRPr="003E751B">
        <w:rPr>
          <w:rFonts w:ascii="Calibri" w:hAnsi="Calibri"/>
          <w:sz w:val="22"/>
          <w:szCs w:val="22"/>
          <w:lang w:val="en-GB"/>
        </w:rPr>
        <w:t xml:space="preserve"> 2012),</w:t>
      </w:r>
      <w:r w:rsidR="00E16AA2" w:rsidRPr="003E751B">
        <w:rPr>
          <w:rFonts w:ascii="Calibri" w:hAnsi="Calibri"/>
          <w:sz w:val="22"/>
          <w:szCs w:val="22"/>
          <w:lang w:val="en-GB"/>
        </w:rPr>
        <w:t xml:space="preserve"> within a city and the city region</w:t>
      </w:r>
      <w:r w:rsidR="00C3079F" w:rsidRPr="003E751B">
        <w:rPr>
          <w:rFonts w:ascii="Calibri" w:hAnsi="Calibri"/>
          <w:sz w:val="22"/>
          <w:szCs w:val="22"/>
          <w:lang w:val="en-GB"/>
        </w:rPr>
        <w:t xml:space="preserve"> take place in parallel. </w:t>
      </w:r>
      <w:r w:rsidR="00AD2A10" w:rsidRPr="003E751B">
        <w:rPr>
          <w:rFonts w:ascii="Calibri" w:hAnsi="Calibri"/>
          <w:sz w:val="22"/>
          <w:szCs w:val="22"/>
          <w:lang w:val="en-GB"/>
        </w:rPr>
        <w:t xml:space="preserve">Finally, there remains the issue whether reurbanisation can be seen in isolation or whether it is related to wider developments in the city region. </w:t>
      </w:r>
      <w:r w:rsidR="00DA10E5" w:rsidRPr="003E751B">
        <w:rPr>
          <w:rFonts w:ascii="Calibri" w:hAnsi="Calibri"/>
          <w:sz w:val="22"/>
          <w:szCs w:val="22"/>
          <w:lang w:val="en-GB"/>
        </w:rPr>
        <w:t xml:space="preserve">For </w:t>
      </w:r>
      <w:r w:rsidR="00DA10E5" w:rsidRPr="00CD3A63">
        <w:rPr>
          <w:rFonts w:ascii="Calibri" w:hAnsi="Calibri"/>
          <w:i/>
          <w:sz w:val="22"/>
          <w:szCs w:val="22"/>
          <w:lang w:val="en-GB"/>
        </w:rPr>
        <w:t xml:space="preserve">Van den </w:t>
      </w:r>
      <w:proofErr w:type="gramStart"/>
      <w:r w:rsidR="00DA10E5" w:rsidRPr="00CD3A63">
        <w:rPr>
          <w:rFonts w:ascii="Calibri" w:hAnsi="Calibri"/>
          <w:i/>
          <w:sz w:val="22"/>
          <w:szCs w:val="22"/>
          <w:lang w:val="en-GB"/>
        </w:rPr>
        <w:t>Berg</w:t>
      </w:r>
      <w:proofErr w:type="gramEnd"/>
      <w:r w:rsidR="00DA10E5" w:rsidRPr="00CD3A63">
        <w:rPr>
          <w:rFonts w:ascii="Calibri" w:hAnsi="Calibri"/>
          <w:i/>
          <w:sz w:val="22"/>
          <w:szCs w:val="22"/>
          <w:lang w:val="en-GB"/>
        </w:rPr>
        <w:t xml:space="preserve"> et al.</w:t>
      </w:r>
      <w:r w:rsidR="00DA10E5" w:rsidRPr="003E751B">
        <w:rPr>
          <w:rFonts w:ascii="Calibri" w:hAnsi="Calibri"/>
          <w:sz w:val="22"/>
          <w:szCs w:val="22"/>
          <w:lang w:val="en-GB"/>
        </w:rPr>
        <w:t xml:space="preserve"> (1982), r</w:t>
      </w:r>
      <w:r w:rsidRPr="003E751B">
        <w:rPr>
          <w:rFonts w:ascii="Calibri" w:hAnsi="Calibri"/>
          <w:sz w:val="22"/>
          <w:szCs w:val="22"/>
          <w:lang w:val="en-GB"/>
        </w:rPr>
        <w:t xml:space="preserve">eurbanisation was </w:t>
      </w:r>
      <w:r w:rsidR="00DA10E5" w:rsidRPr="003E751B">
        <w:rPr>
          <w:rFonts w:ascii="Calibri" w:hAnsi="Calibri"/>
          <w:sz w:val="22"/>
          <w:szCs w:val="22"/>
          <w:lang w:val="en-GB"/>
        </w:rPr>
        <w:t xml:space="preserve">clearly </w:t>
      </w:r>
      <w:r w:rsidRPr="003E751B">
        <w:rPr>
          <w:rFonts w:ascii="Calibri" w:hAnsi="Calibri"/>
          <w:sz w:val="22"/>
          <w:szCs w:val="22"/>
          <w:lang w:val="en-GB"/>
        </w:rPr>
        <w:t xml:space="preserve">a process that would be detrimental to the urban ring. </w:t>
      </w:r>
      <w:r w:rsidR="00DA10E5" w:rsidRPr="003E751B">
        <w:rPr>
          <w:rFonts w:ascii="Calibri" w:hAnsi="Calibri"/>
          <w:sz w:val="22"/>
          <w:szCs w:val="22"/>
          <w:lang w:val="en-GB"/>
        </w:rPr>
        <w:t xml:space="preserve">It is exactly this last </w:t>
      </w:r>
      <w:r w:rsidR="00D4095B" w:rsidRPr="003E751B">
        <w:rPr>
          <w:rFonts w:ascii="Calibri" w:hAnsi="Calibri"/>
          <w:sz w:val="22"/>
          <w:szCs w:val="22"/>
          <w:lang w:val="en-GB"/>
        </w:rPr>
        <w:t>issue</w:t>
      </w:r>
      <w:r w:rsidR="00DA10E5" w:rsidRPr="003E751B">
        <w:rPr>
          <w:rFonts w:ascii="Calibri" w:hAnsi="Calibri"/>
          <w:sz w:val="22"/>
          <w:szCs w:val="22"/>
          <w:lang w:val="en-GB"/>
        </w:rPr>
        <w:t xml:space="preserve"> that we feel receives insufficient attention in the academic debate. </w:t>
      </w:r>
    </w:p>
    <w:p w14:paraId="3B71DC2F" w14:textId="5A5C2CCA" w:rsidR="00D026EF" w:rsidRPr="003E751B" w:rsidRDefault="00240155" w:rsidP="00D9599A">
      <w:pPr>
        <w:ind w:firstLine="284"/>
        <w:rPr>
          <w:rFonts w:ascii="Calibri" w:hAnsi="Calibri"/>
          <w:sz w:val="22"/>
          <w:szCs w:val="22"/>
          <w:lang w:val="en-GB"/>
        </w:rPr>
      </w:pPr>
      <w:r w:rsidRPr="003E751B">
        <w:rPr>
          <w:rFonts w:ascii="Calibri" w:hAnsi="Calibri"/>
          <w:sz w:val="22"/>
          <w:szCs w:val="22"/>
          <w:lang w:val="en-GB"/>
        </w:rPr>
        <w:t xml:space="preserve">The current evidence base </w:t>
      </w:r>
      <w:r w:rsidR="0031374C" w:rsidRPr="003E751B">
        <w:rPr>
          <w:rFonts w:ascii="Calibri" w:hAnsi="Calibri"/>
          <w:sz w:val="22"/>
          <w:szCs w:val="22"/>
          <w:lang w:val="en-GB"/>
        </w:rPr>
        <w:t xml:space="preserve">on the effects of reurbanisation on the </w:t>
      </w:r>
      <w:r w:rsidR="00975ADF" w:rsidRPr="003E751B">
        <w:rPr>
          <w:rFonts w:ascii="Calibri" w:hAnsi="Calibri"/>
          <w:sz w:val="22"/>
          <w:szCs w:val="22"/>
          <w:lang w:val="en-GB"/>
        </w:rPr>
        <w:t xml:space="preserve">urban </w:t>
      </w:r>
      <w:r w:rsidR="0031374C" w:rsidRPr="003E751B">
        <w:rPr>
          <w:rFonts w:ascii="Calibri" w:hAnsi="Calibri"/>
          <w:sz w:val="22"/>
          <w:szCs w:val="22"/>
          <w:lang w:val="en-GB"/>
        </w:rPr>
        <w:t xml:space="preserve">periphery </w:t>
      </w:r>
      <w:r w:rsidRPr="003E751B">
        <w:rPr>
          <w:rFonts w:ascii="Calibri" w:hAnsi="Calibri"/>
          <w:sz w:val="22"/>
          <w:szCs w:val="22"/>
          <w:lang w:val="en-GB"/>
        </w:rPr>
        <w:t>is rather thin and inconclusive. I</w:t>
      </w:r>
      <w:r w:rsidR="00F8512A" w:rsidRPr="003E751B">
        <w:rPr>
          <w:rFonts w:ascii="Calibri" w:hAnsi="Calibri"/>
          <w:sz w:val="22"/>
          <w:szCs w:val="22"/>
          <w:lang w:val="en-GB"/>
        </w:rPr>
        <w:t>n Switzerland reurbanisation had no</w:t>
      </w:r>
      <w:r w:rsidR="002E492C" w:rsidRPr="003E751B">
        <w:rPr>
          <w:rFonts w:ascii="Calibri" w:hAnsi="Calibri"/>
          <w:sz w:val="22"/>
          <w:szCs w:val="22"/>
          <w:lang w:val="en-GB"/>
        </w:rPr>
        <w:t xml:space="preserve"> overall negative effects on suburban areas, but this was partly alleviated by</w:t>
      </w:r>
      <w:r w:rsidR="00F8512A" w:rsidRPr="003E751B">
        <w:rPr>
          <w:rFonts w:ascii="Calibri" w:hAnsi="Calibri"/>
          <w:sz w:val="22"/>
          <w:szCs w:val="22"/>
          <w:lang w:val="en-GB"/>
        </w:rPr>
        <w:t xml:space="preserve"> a positive </w:t>
      </w:r>
      <w:r w:rsidR="00F151EA" w:rsidRPr="003E751B">
        <w:rPr>
          <w:rFonts w:ascii="Calibri" w:hAnsi="Calibri"/>
          <w:sz w:val="22"/>
          <w:szCs w:val="22"/>
          <w:lang w:val="en-GB"/>
        </w:rPr>
        <w:t xml:space="preserve">net </w:t>
      </w:r>
      <w:r w:rsidR="00F8512A" w:rsidRPr="003E751B">
        <w:rPr>
          <w:rFonts w:ascii="Calibri" w:hAnsi="Calibri"/>
          <w:sz w:val="22"/>
          <w:szCs w:val="22"/>
          <w:lang w:val="en-GB"/>
        </w:rPr>
        <w:t>migration</w:t>
      </w:r>
      <w:r w:rsidR="009B2213" w:rsidRPr="003E751B">
        <w:rPr>
          <w:rFonts w:ascii="Calibri" w:hAnsi="Calibri"/>
          <w:sz w:val="22"/>
          <w:szCs w:val="22"/>
          <w:lang w:val="en-GB"/>
        </w:rPr>
        <w:t xml:space="preserve"> and continued suburbanisation</w:t>
      </w:r>
      <w:r w:rsidR="00F151EA" w:rsidRPr="003E751B">
        <w:rPr>
          <w:rFonts w:ascii="Calibri" w:hAnsi="Calibri"/>
          <w:sz w:val="22"/>
          <w:szCs w:val="22"/>
          <w:lang w:val="en-GB"/>
        </w:rPr>
        <w:t xml:space="preserve"> (</w:t>
      </w:r>
      <w:r w:rsidR="00F151EA" w:rsidRPr="003E751B">
        <w:rPr>
          <w:rFonts w:ascii="Calibri" w:hAnsi="Calibri"/>
          <w:i/>
          <w:sz w:val="22"/>
          <w:szCs w:val="22"/>
          <w:lang w:val="en-GB"/>
        </w:rPr>
        <w:t>Rérat</w:t>
      </w:r>
      <w:r w:rsidR="00F151EA" w:rsidRPr="003E751B">
        <w:rPr>
          <w:rFonts w:ascii="Calibri" w:hAnsi="Calibri"/>
          <w:sz w:val="22"/>
          <w:szCs w:val="22"/>
          <w:lang w:val="en-GB"/>
        </w:rPr>
        <w:t xml:space="preserve"> 2012)</w:t>
      </w:r>
      <w:r w:rsidR="00F8512A" w:rsidRPr="003E751B">
        <w:rPr>
          <w:rFonts w:ascii="Calibri" w:hAnsi="Calibri"/>
          <w:sz w:val="22"/>
          <w:szCs w:val="22"/>
          <w:lang w:val="en-GB"/>
        </w:rPr>
        <w:t xml:space="preserve">. </w:t>
      </w:r>
      <w:r w:rsidR="00F55154" w:rsidRPr="003E751B">
        <w:rPr>
          <w:rFonts w:ascii="Calibri" w:hAnsi="Calibri"/>
          <w:sz w:val="22"/>
          <w:szCs w:val="22"/>
          <w:lang w:val="en-GB"/>
        </w:rPr>
        <w:t>A German study found that demographic shrinkage will particularly affect the housing markets in suburban areas, including single-family homes (</w:t>
      </w:r>
      <w:r w:rsidR="00F55154" w:rsidRPr="003E751B">
        <w:rPr>
          <w:rFonts w:ascii="Calibri" w:hAnsi="Calibri"/>
          <w:i/>
          <w:sz w:val="22"/>
          <w:szCs w:val="22"/>
          <w:lang w:val="en-GB"/>
        </w:rPr>
        <w:t xml:space="preserve">Berndgen-Kaiser et al. </w:t>
      </w:r>
      <w:r w:rsidR="00F55154" w:rsidRPr="003E751B">
        <w:rPr>
          <w:rFonts w:ascii="Calibri" w:hAnsi="Calibri"/>
          <w:sz w:val="22"/>
          <w:szCs w:val="22"/>
          <w:lang w:val="en-GB"/>
        </w:rPr>
        <w:t xml:space="preserve">2014). There is an emerging body of literature focussing specifically on the suburbanisation of poverty. A study by </w:t>
      </w:r>
      <w:r w:rsidR="00B8180E" w:rsidRPr="003E751B">
        <w:rPr>
          <w:rFonts w:ascii="Calibri" w:hAnsi="Calibri"/>
          <w:sz w:val="22"/>
          <w:szCs w:val="22"/>
          <w:lang w:val="en-GB"/>
        </w:rPr>
        <w:t xml:space="preserve">Kavanagh et al. (2016) </w:t>
      </w:r>
      <w:r w:rsidR="00E1131D" w:rsidRPr="003E751B">
        <w:rPr>
          <w:rFonts w:ascii="Calibri" w:hAnsi="Calibri"/>
          <w:sz w:val="22"/>
          <w:szCs w:val="22"/>
          <w:lang w:val="en-GB"/>
        </w:rPr>
        <w:t>on Scottish cities discovered decentralisation trends</w:t>
      </w:r>
      <w:r w:rsidR="007D7A2A" w:rsidRPr="003E751B">
        <w:rPr>
          <w:rFonts w:ascii="Calibri" w:hAnsi="Calibri"/>
          <w:sz w:val="22"/>
          <w:szCs w:val="22"/>
          <w:lang w:val="en-GB"/>
        </w:rPr>
        <w:t xml:space="preserve">, but only </w:t>
      </w:r>
      <w:r w:rsidR="00E1131D" w:rsidRPr="003E751B">
        <w:rPr>
          <w:rFonts w:ascii="Calibri" w:hAnsi="Calibri"/>
          <w:sz w:val="22"/>
          <w:szCs w:val="22"/>
          <w:lang w:val="en-GB"/>
        </w:rPr>
        <w:t>included data for</w:t>
      </w:r>
      <w:r w:rsidR="007D7A2A" w:rsidRPr="003E751B">
        <w:rPr>
          <w:rFonts w:ascii="Calibri" w:hAnsi="Calibri"/>
          <w:sz w:val="22"/>
          <w:szCs w:val="22"/>
          <w:lang w:val="en-GB"/>
        </w:rPr>
        <w:t xml:space="preserve"> the core cit</w:t>
      </w:r>
      <w:r w:rsidR="00E1131D" w:rsidRPr="003E751B">
        <w:rPr>
          <w:rFonts w:ascii="Calibri" w:hAnsi="Calibri"/>
          <w:sz w:val="22"/>
          <w:szCs w:val="22"/>
          <w:lang w:val="en-GB"/>
        </w:rPr>
        <w:t>y</w:t>
      </w:r>
      <w:r w:rsidR="007D7A2A" w:rsidRPr="003E751B">
        <w:rPr>
          <w:rFonts w:ascii="Calibri" w:hAnsi="Calibri"/>
          <w:sz w:val="22"/>
          <w:szCs w:val="22"/>
          <w:lang w:val="en-GB"/>
        </w:rPr>
        <w:t xml:space="preserve"> and thus </w:t>
      </w:r>
      <w:r w:rsidR="009202F2" w:rsidRPr="003E751B">
        <w:rPr>
          <w:rFonts w:ascii="Calibri" w:hAnsi="Calibri"/>
          <w:sz w:val="22"/>
          <w:szCs w:val="22"/>
          <w:lang w:val="en-GB"/>
        </w:rPr>
        <w:t xml:space="preserve">neglected </w:t>
      </w:r>
      <w:r w:rsidR="007D7A2A" w:rsidRPr="003E751B">
        <w:rPr>
          <w:rFonts w:ascii="Calibri" w:hAnsi="Calibri"/>
          <w:sz w:val="22"/>
          <w:szCs w:val="22"/>
          <w:lang w:val="en-GB"/>
        </w:rPr>
        <w:t xml:space="preserve">large parts of the urban area. </w:t>
      </w:r>
      <w:r w:rsidR="00023BE6" w:rsidRPr="003E751B">
        <w:rPr>
          <w:rFonts w:ascii="Calibri" w:hAnsi="Calibri"/>
          <w:sz w:val="22"/>
          <w:szCs w:val="22"/>
          <w:lang w:val="en-GB"/>
        </w:rPr>
        <w:t xml:space="preserve">Dutch studies </w:t>
      </w:r>
      <w:r w:rsidR="004B709B" w:rsidRPr="003E751B">
        <w:rPr>
          <w:rFonts w:ascii="Calibri" w:hAnsi="Calibri"/>
          <w:sz w:val="22"/>
          <w:szCs w:val="22"/>
          <w:lang w:val="en-GB"/>
        </w:rPr>
        <w:t>confirm changing residential patterns within urban regions and an increasing tendency towards suburbanisation of low-income and migrant households</w:t>
      </w:r>
      <w:r w:rsidR="000D3C4F" w:rsidRPr="003E751B">
        <w:rPr>
          <w:rFonts w:ascii="Calibri" w:hAnsi="Calibri"/>
          <w:sz w:val="22"/>
          <w:szCs w:val="22"/>
          <w:lang w:val="en-GB"/>
        </w:rPr>
        <w:t xml:space="preserve">, </w:t>
      </w:r>
      <w:r w:rsidR="006809B0" w:rsidRPr="003E751B">
        <w:rPr>
          <w:rFonts w:ascii="Calibri" w:hAnsi="Calibri"/>
          <w:sz w:val="22"/>
          <w:szCs w:val="22"/>
          <w:lang w:val="en-GB"/>
        </w:rPr>
        <w:t>though described as an important undercurrent rather than a dominant trend</w:t>
      </w:r>
      <w:r w:rsidR="00023BE6" w:rsidRPr="003E751B">
        <w:rPr>
          <w:rFonts w:ascii="Calibri" w:hAnsi="Calibri"/>
          <w:sz w:val="22"/>
          <w:szCs w:val="22"/>
          <w:lang w:val="en-GB"/>
        </w:rPr>
        <w:t xml:space="preserve"> (</w:t>
      </w:r>
      <w:r w:rsidR="00023BE6" w:rsidRPr="003E751B">
        <w:rPr>
          <w:rFonts w:ascii="Calibri" w:hAnsi="Calibri"/>
          <w:i/>
          <w:sz w:val="22"/>
          <w:szCs w:val="22"/>
          <w:lang w:val="en-GB"/>
        </w:rPr>
        <w:t>Hochstenbach/Musterd</w:t>
      </w:r>
      <w:r w:rsidR="00023BE6" w:rsidRPr="003E751B">
        <w:rPr>
          <w:rFonts w:ascii="Calibri" w:hAnsi="Calibri"/>
          <w:sz w:val="22"/>
          <w:szCs w:val="22"/>
          <w:lang w:val="en-GB"/>
        </w:rPr>
        <w:t xml:space="preserve"> 2017; </w:t>
      </w:r>
      <w:r w:rsidR="00023BE6" w:rsidRPr="003E751B">
        <w:rPr>
          <w:rFonts w:ascii="Calibri" w:hAnsi="Calibri"/>
          <w:i/>
          <w:sz w:val="22"/>
          <w:szCs w:val="22"/>
          <w:lang w:val="en-GB"/>
        </w:rPr>
        <w:t>Van Gent/Musterd</w:t>
      </w:r>
      <w:r w:rsidR="00023BE6" w:rsidRPr="003E751B">
        <w:rPr>
          <w:rFonts w:ascii="Calibri" w:hAnsi="Calibri"/>
          <w:sz w:val="22"/>
          <w:szCs w:val="22"/>
          <w:lang w:val="en-GB"/>
        </w:rPr>
        <w:t xml:space="preserve"> 2016). </w:t>
      </w:r>
      <w:r w:rsidR="00975ADF" w:rsidRPr="003E751B">
        <w:rPr>
          <w:rFonts w:ascii="Calibri" w:hAnsi="Calibri"/>
          <w:sz w:val="22"/>
          <w:szCs w:val="22"/>
          <w:lang w:val="en-GB"/>
        </w:rPr>
        <w:t xml:space="preserve">However, there is </w:t>
      </w:r>
      <w:r w:rsidR="00BC15F3" w:rsidRPr="00BC15F3">
        <w:rPr>
          <w:rFonts w:ascii="Calibri" w:hAnsi="Calibri"/>
          <w:sz w:val="22"/>
          <w:szCs w:val="22"/>
          <w:lang w:val="en-GB"/>
        </w:rPr>
        <w:t xml:space="preserve">emerging evidence and experience to warrant further investigation of </w:t>
      </w:r>
      <w:r w:rsidR="00975ADF" w:rsidRPr="003E751B">
        <w:rPr>
          <w:rFonts w:ascii="Calibri" w:hAnsi="Calibri"/>
          <w:sz w:val="22"/>
          <w:szCs w:val="22"/>
          <w:lang w:val="en-GB"/>
        </w:rPr>
        <w:t xml:space="preserve">what happens to the urban periphery in an era where many core cities experience reurbanisation. </w:t>
      </w:r>
      <w:r w:rsidR="00A05BD2" w:rsidRPr="003E751B">
        <w:rPr>
          <w:rFonts w:ascii="Calibri" w:hAnsi="Calibri"/>
          <w:sz w:val="22"/>
          <w:szCs w:val="22"/>
          <w:lang w:val="en-GB"/>
        </w:rPr>
        <w:t xml:space="preserve">Our concern is that </w:t>
      </w:r>
      <w:r w:rsidR="008114DA" w:rsidRPr="003E751B">
        <w:rPr>
          <w:rFonts w:ascii="Calibri" w:hAnsi="Calibri"/>
          <w:sz w:val="22"/>
          <w:szCs w:val="22"/>
          <w:lang w:val="en-GB"/>
        </w:rPr>
        <w:t xml:space="preserve">small- and medium-sized towns in less prosperous urban regions might insufficiently benefit from any overspill effects of reurbanisation and </w:t>
      </w:r>
      <w:r w:rsidR="00975ADF" w:rsidRPr="003E751B">
        <w:rPr>
          <w:rFonts w:ascii="Calibri" w:hAnsi="Calibri"/>
          <w:sz w:val="22"/>
          <w:szCs w:val="22"/>
          <w:lang w:val="en-GB"/>
        </w:rPr>
        <w:t>that traditional strategies attracting traditional suburban households, particularly young families, might not be sufficient</w:t>
      </w:r>
      <w:r w:rsidR="001B4659" w:rsidRPr="003E751B">
        <w:rPr>
          <w:rFonts w:ascii="Calibri" w:hAnsi="Calibri"/>
          <w:sz w:val="22"/>
          <w:szCs w:val="22"/>
          <w:lang w:val="en-GB"/>
        </w:rPr>
        <w:t xml:space="preserve">. </w:t>
      </w:r>
    </w:p>
    <w:p w14:paraId="0E075CDF" w14:textId="26F9EA7D" w:rsidR="00DB21F9" w:rsidRPr="003E751B" w:rsidRDefault="009202F2" w:rsidP="00D707E7">
      <w:pPr>
        <w:ind w:firstLine="284"/>
        <w:rPr>
          <w:rFonts w:ascii="Calibri" w:hAnsi="Calibri"/>
          <w:sz w:val="22"/>
          <w:szCs w:val="22"/>
          <w:lang w:val="en-GB"/>
        </w:rPr>
      </w:pPr>
      <w:r w:rsidRPr="003E751B">
        <w:rPr>
          <w:rFonts w:ascii="Calibri" w:hAnsi="Calibri"/>
          <w:sz w:val="22"/>
          <w:szCs w:val="22"/>
          <w:lang w:val="en-GB"/>
        </w:rPr>
        <w:t xml:space="preserve">So </w:t>
      </w:r>
      <w:proofErr w:type="gramStart"/>
      <w:r w:rsidRPr="003E751B">
        <w:rPr>
          <w:rFonts w:ascii="Calibri" w:hAnsi="Calibri"/>
          <w:sz w:val="22"/>
          <w:szCs w:val="22"/>
          <w:lang w:val="en-GB"/>
        </w:rPr>
        <w:t>far</w:t>
      </w:r>
      <w:proofErr w:type="gramEnd"/>
      <w:r w:rsidRPr="003E751B">
        <w:rPr>
          <w:rFonts w:ascii="Calibri" w:hAnsi="Calibri"/>
          <w:sz w:val="22"/>
          <w:szCs w:val="22"/>
          <w:lang w:val="en-GB"/>
        </w:rPr>
        <w:t xml:space="preserve"> this section has principally discussed observable trends and conceptualisations of change in city regions, but clearly spatial development does not occur in an institutional and policy vacuum. </w:t>
      </w:r>
      <w:r w:rsidR="00DB21F9" w:rsidRPr="003E751B">
        <w:rPr>
          <w:rFonts w:ascii="Calibri" w:hAnsi="Calibri"/>
          <w:sz w:val="22"/>
          <w:szCs w:val="22"/>
          <w:lang w:val="en-GB"/>
        </w:rPr>
        <w:t>Urban planning policies and strategies and given ‘planning cultures’ can influence processes such as reurbanisation. Recognising this, the following paragraphs consider the context within which change in the spatial in-between of the Manchester and Liverpool city regions takes place.</w:t>
      </w:r>
    </w:p>
    <w:p w14:paraId="434D471D" w14:textId="0BB826EC" w:rsidR="00EF0B03" w:rsidRPr="00AD6865" w:rsidRDefault="00DB21F9" w:rsidP="003E751B">
      <w:pPr>
        <w:ind w:firstLine="284"/>
        <w:rPr>
          <w:rFonts w:ascii="Calibri" w:hAnsi="Calibri"/>
          <w:sz w:val="22"/>
          <w:szCs w:val="22"/>
          <w:lang w:val="en-GB"/>
        </w:rPr>
      </w:pPr>
      <w:r w:rsidRPr="003E751B">
        <w:rPr>
          <w:rFonts w:ascii="Calibri" w:hAnsi="Calibri"/>
          <w:sz w:val="22"/>
          <w:szCs w:val="22"/>
          <w:lang w:val="en-GB"/>
        </w:rPr>
        <w:t>It is worth remarking first that</w:t>
      </w:r>
      <w:r w:rsidR="00CD3A63">
        <w:rPr>
          <w:rFonts w:ascii="Calibri" w:hAnsi="Calibri"/>
          <w:sz w:val="22"/>
          <w:szCs w:val="22"/>
          <w:lang w:val="en-GB"/>
        </w:rPr>
        <w:t xml:space="preserve"> </w:t>
      </w:r>
      <w:r w:rsidR="00DC5FF5" w:rsidRPr="003E751B">
        <w:rPr>
          <w:rFonts w:ascii="Calibri" w:hAnsi="Calibri"/>
          <w:sz w:val="22"/>
          <w:szCs w:val="22"/>
          <w:lang w:val="en-GB"/>
        </w:rPr>
        <w:t xml:space="preserve">urban </w:t>
      </w:r>
      <w:r w:rsidR="00DD79B8" w:rsidRPr="003E751B">
        <w:rPr>
          <w:rFonts w:ascii="Calibri" w:hAnsi="Calibri"/>
          <w:sz w:val="22"/>
          <w:szCs w:val="22"/>
          <w:lang w:val="en-GB"/>
        </w:rPr>
        <w:t>containment has been a cornerstone of English planning since the 1940s</w:t>
      </w:r>
      <w:r w:rsidRPr="003E751B">
        <w:rPr>
          <w:rFonts w:ascii="Calibri" w:hAnsi="Calibri"/>
          <w:sz w:val="22"/>
          <w:szCs w:val="22"/>
          <w:lang w:val="en-GB"/>
        </w:rPr>
        <w:t xml:space="preserve"> as</w:t>
      </w:r>
      <w:r w:rsidR="00DD79B8" w:rsidRPr="003E751B">
        <w:rPr>
          <w:rFonts w:ascii="Calibri" w:hAnsi="Calibri"/>
          <w:sz w:val="22"/>
          <w:szCs w:val="22"/>
          <w:lang w:val="en-GB"/>
        </w:rPr>
        <w:t xml:space="preserve"> a reaction to </w:t>
      </w:r>
      <w:r w:rsidRPr="003E751B">
        <w:rPr>
          <w:rFonts w:ascii="Calibri" w:hAnsi="Calibri"/>
          <w:sz w:val="22"/>
          <w:szCs w:val="22"/>
          <w:lang w:val="en-GB"/>
        </w:rPr>
        <w:t xml:space="preserve">an </w:t>
      </w:r>
      <w:r w:rsidR="00DD79B8" w:rsidRPr="003E751B">
        <w:rPr>
          <w:rFonts w:ascii="Calibri" w:hAnsi="Calibri"/>
          <w:sz w:val="22"/>
          <w:szCs w:val="22"/>
          <w:lang w:val="en-GB"/>
        </w:rPr>
        <w:t>interwar period marked by rapid housing development and concern at the rate of urbanisation and ‘ribbon development’</w:t>
      </w:r>
      <w:r w:rsidR="00DC5FF5" w:rsidRPr="003E751B">
        <w:rPr>
          <w:rFonts w:ascii="Calibri" w:hAnsi="Calibri"/>
          <w:sz w:val="22"/>
          <w:szCs w:val="22"/>
          <w:lang w:val="en-GB"/>
        </w:rPr>
        <w:t xml:space="preserve"> (</w:t>
      </w:r>
      <w:r w:rsidR="00203E65" w:rsidRPr="003E751B">
        <w:rPr>
          <w:rFonts w:ascii="Calibri" w:hAnsi="Calibri"/>
          <w:i/>
          <w:sz w:val="22"/>
          <w:szCs w:val="22"/>
          <w:lang w:val="en-GB"/>
        </w:rPr>
        <w:t>Williams-Ellis</w:t>
      </w:r>
      <w:r w:rsidR="00203E65" w:rsidRPr="003E751B">
        <w:rPr>
          <w:rFonts w:ascii="Calibri" w:hAnsi="Calibri"/>
          <w:sz w:val="22"/>
          <w:szCs w:val="22"/>
          <w:lang w:val="en-GB"/>
        </w:rPr>
        <w:t xml:space="preserve"> 1928</w:t>
      </w:r>
      <w:r w:rsidR="00DC5FF5" w:rsidRPr="003E751B">
        <w:rPr>
          <w:rFonts w:ascii="Calibri" w:hAnsi="Calibri"/>
          <w:sz w:val="22"/>
          <w:szCs w:val="22"/>
          <w:lang w:val="en-GB"/>
        </w:rPr>
        <w:t>)</w:t>
      </w:r>
      <w:r w:rsidR="00DD79B8" w:rsidRPr="003E751B">
        <w:rPr>
          <w:rFonts w:ascii="Calibri" w:hAnsi="Calibri"/>
          <w:sz w:val="22"/>
          <w:szCs w:val="22"/>
          <w:lang w:val="en-GB"/>
        </w:rPr>
        <w:t xml:space="preserve">. </w:t>
      </w:r>
      <w:r w:rsidR="00EF0B03" w:rsidRPr="003E751B">
        <w:rPr>
          <w:rFonts w:asciiTheme="minorHAnsi" w:hAnsiTheme="minorHAnsi"/>
          <w:sz w:val="22"/>
          <w:szCs w:val="22"/>
          <w:lang w:val="en-GB"/>
        </w:rPr>
        <w:t xml:space="preserve">In the decades </w:t>
      </w:r>
      <w:r w:rsidRPr="003E751B">
        <w:rPr>
          <w:rFonts w:asciiTheme="minorHAnsi" w:hAnsiTheme="minorHAnsi"/>
          <w:sz w:val="22"/>
          <w:szCs w:val="22"/>
          <w:lang w:val="en-GB"/>
        </w:rPr>
        <w:t>after</w:t>
      </w:r>
      <w:r w:rsidR="00EF0B03" w:rsidRPr="003E751B">
        <w:rPr>
          <w:rFonts w:asciiTheme="minorHAnsi" w:hAnsiTheme="minorHAnsi"/>
          <w:sz w:val="22"/>
          <w:szCs w:val="22"/>
          <w:lang w:val="en-GB"/>
        </w:rPr>
        <w:t xml:space="preserve"> the 1947 Town and Country Planning</w:t>
      </w:r>
      <w:r w:rsidR="00E3725D" w:rsidRPr="003E751B">
        <w:rPr>
          <w:rFonts w:asciiTheme="minorHAnsi" w:hAnsiTheme="minorHAnsi"/>
          <w:sz w:val="22"/>
          <w:szCs w:val="22"/>
          <w:lang w:val="en-GB"/>
        </w:rPr>
        <w:t xml:space="preserve"> Act</w:t>
      </w:r>
      <w:r w:rsidR="00EF0B03" w:rsidRPr="003E751B">
        <w:rPr>
          <w:rFonts w:asciiTheme="minorHAnsi" w:hAnsiTheme="minorHAnsi"/>
          <w:sz w:val="22"/>
          <w:szCs w:val="22"/>
          <w:lang w:val="en-GB"/>
        </w:rPr>
        <w:t>, a number of substantive planning goals</w:t>
      </w:r>
      <w:r w:rsidRPr="003E751B">
        <w:rPr>
          <w:rFonts w:asciiTheme="minorHAnsi" w:hAnsiTheme="minorHAnsi"/>
          <w:sz w:val="22"/>
          <w:szCs w:val="22"/>
          <w:lang w:val="en-GB"/>
        </w:rPr>
        <w:t xml:space="preserve"> were pursued</w:t>
      </w:r>
      <w:r w:rsidR="001F0BE9" w:rsidRPr="003E751B">
        <w:rPr>
          <w:rFonts w:asciiTheme="minorHAnsi" w:hAnsiTheme="minorHAnsi"/>
          <w:sz w:val="22"/>
          <w:szCs w:val="22"/>
          <w:lang w:val="en-GB"/>
        </w:rPr>
        <w:t>,</w:t>
      </w:r>
      <w:r w:rsidR="00EF0B03" w:rsidRPr="003E751B">
        <w:rPr>
          <w:rFonts w:asciiTheme="minorHAnsi" w:hAnsiTheme="minorHAnsi"/>
          <w:sz w:val="22"/>
          <w:szCs w:val="22"/>
          <w:lang w:val="en-GB"/>
        </w:rPr>
        <w:t xml:space="preserve"> including urban containment, </w:t>
      </w:r>
      <w:r w:rsidR="00EF0B03" w:rsidRPr="003E751B">
        <w:rPr>
          <w:rFonts w:asciiTheme="minorHAnsi" w:hAnsiTheme="minorHAnsi"/>
          <w:sz w:val="22"/>
          <w:szCs w:val="22"/>
          <w:lang w:val="en-GB"/>
        </w:rPr>
        <w:lastRenderedPageBreak/>
        <w:t xml:space="preserve">protection of the countryside and urban renewal. </w:t>
      </w:r>
      <w:r w:rsidR="00E3725D" w:rsidRPr="003E751B">
        <w:rPr>
          <w:rFonts w:asciiTheme="minorHAnsi" w:hAnsiTheme="minorHAnsi"/>
          <w:sz w:val="22"/>
          <w:szCs w:val="22"/>
          <w:lang w:val="en-GB"/>
        </w:rPr>
        <w:t>T</w:t>
      </w:r>
      <w:r w:rsidR="00EF0B03" w:rsidRPr="003E751B">
        <w:rPr>
          <w:rFonts w:asciiTheme="minorHAnsi" w:hAnsiTheme="minorHAnsi"/>
          <w:sz w:val="22"/>
          <w:szCs w:val="22"/>
          <w:lang w:val="en-GB"/>
        </w:rPr>
        <w:t xml:space="preserve">he state also </w:t>
      </w:r>
      <w:r w:rsidRPr="003E751B">
        <w:rPr>
          <w:rFonts w:asciiTheme="minorHAnsi" w:hAnsiTheme="minorHAnsi"/>
          <w:sz w:val="22"/>
          <w:szCs w:val="22"/>
          <w:lang w:val="en-GB"/>
        </w:rPr>
        <w:t>sought</w:t>
      </w:r>
      <w:r w:rsidR="00EF0B03" w:rsidRPr="003E751B">
        <w:rPr>
          <w:rFonts w:asciiTheme="minorHAnsi" w:hAnsiTheme="minorHAnsi"/>
          <w:sz w:val="22"/>
          <w:szCs w:val="22"/>
          <w:lang w:val="en-GB"/>
        </w:rPr>
        <w:t xml:space="preserve"> to channel and structure planned dispersal of what was termed ‘overspill’ urban population</w:t>
      </w:r>
      <w:r w:rsidRPr="003E751B">
        <w:rPr>
          <w:rFonts w:asciiTheme="minorHAnsi" w:hAnsiTheme="minorHAnsi"/>
          <w:sz w:val="22"/>
          <w:szCs w:val="22"/>
          <w:lang w:val="en-GB"/>
        </w:rPr>
        <w:t xml:space="preserve"> into</w:t>
      </w:r>
      <w:r w:rsidR="00EF0B03" w:rsidRPr="003E751B">
        <w:rPr>
          <w:rFonts w:asciiTheme="minorHAnsi" w:hAnsiTheme="minorHAnsi"/>
          <w:sz w:val="22"/>
          <w:szCs w:val="22"/>
          <w:lang w:val="en-GB"/>
        </w:rPr>
        <w:t xml:space="preserve"> ‘New Towns’. The suburban and quasi-rural imaginary promoted by much British planning doctrine (</w:t>
      </w:r>
      <w:r w:rsidR="00EF0B03" w:rsidRPr="003E751B">
        <w:rPr>
          <w:rFonts w:asciiTheme="minorHAnsi" w:hAnsiTheme="minorHAnsi"/>
          <w:i/>
          <w:sz w:val="22"/>
          <w:szCs w:val="22"/>
          <w:lang w:val="en-GB"/>
        </w:rPr>
        <w:t>Taylor</w:t>
      </w:r>
      <w:r w:rsidR="00EF0B03" w:rsidRPr="003E751B">
        <w:rPr>
          <w:rFonts w:asciiTheme="minorHAnsi" w:hAnsiTheme="minorHAnsi"/>
          <w:sz w:val="22"/>
          <w:szCs w:val="22"/>
          <w:lang w:val="en-GB"/>
        </w:rPr>
        <w:t xml:space="preserve"> 1998) and housing developers in the </w:t>
      </w:r>
      <w:r w:rsidR="00300255" w:rsidRPr="003E751B">
        <w:rPr>
          <w:rFonts w:asciiTheme="minorHAnsi" w:hAnsiTheme="minorHAnsi"/>
          <w:sz w:val="22"/>
          <w:szCs w:val="22"/>
          <w:lang w:val="en-GB"/>
        </w:rPr>
        <w:t xml:space="preserve">twentieth </w:t>
      </w:r>
      <w:r w:rsidR="008F50EA" w:rsidRPr="003E751B">
        <w:rPr>
          <w:rFonts w:asciiTheme="minorHAnsi" w:hAnsiTheme="minorHAnsi"/>
          <w:sz w:val="22"/>
          <w:szCs w:val="22"/>
          <w:lang w:val="en-GB"/>
        </w:rPr>
        <w:t>c</w:t>
      </w:r>
      <w:r w:rsidR="00EF0B03" w:rsidRPr="003E751B">
        <w:rPr>
          <w:rFonts w:asciiTheme="minorHAnsi" w:hAnsiTheme="minorHAnsi"/>
          <w:sz w:val="22"/>
          <w:szCs w:val="22"/>
          <w:lang w:val="en-GB"/>
        </w:rPr>
        <w:t xml:space="preserve">entury; the </w:t>
      </w:r>
      <w:r w:rsidR="00835B90" w:rsidRPr="003E751B">
        <w:rPr>
          <w:rFonts w:asciiTheme="minorHAnsi" w:hAnsiTheme="minorHAnsi"/>
          <w:sz w:val="22"/>
          <w:szCs w:val="22"/>
          <w:lang w:val="en-GB"/>
        </w:rPr>
        <w:t xml:space="preserve">(perceived) </w:t>
      </w:r>
      <w:r w:rsidR="00EF0B03" w:rsidRPr="003E751B">
        <w:rPr>
          <w:rFonts w:asciiTheme="minorHAnsi" w:hAnsiTheme="minorHAnsi"/>
          <w:sz w:val="22"/>
          <w:szCs w:val="22"/>
          <w:lang w:val="en-GB"/>
        </w:rPr>
        <w:t xml:space="preserve">obsolescence of many existing urban environments and their demolition; the planned rehousing of urban population beyond central city limits; and technological changes </w:t>
      </w:r>
      <w:r w:rsidR="00EF0B03" w:rsidRPr="00AD6865">
        <w:rPr>
          <w:rFonts w:ascii="Calibri" w:hAnsi="Calibri"/>
          <w:sz w:val="22"/>
          <w:szCs w:val="22"/>
          <w:lang w:val="en-GB"/>
        </w:rPr>
        <w:t xml:space="preserve">such as the rise of private transport </w:t>
      </w:r>
      <w:r w:rsidR="003E751B" w:rsidRPr="00AD6865">
        <w:rPr>
          <w:rFonts w:ascii="Calibri" w:hAnsi="Calibri"/>
          <w:sz w:val="22"/>
          <w:szCs w:val="22"/>
          <w:lang w:val="en-GB"/>
        </w:rPr>
        <w:t xml:space="preserve">also </w:t>
      </w:r>
      <w:r w:rsidR="00EF0B03" w:rsidRPr="00AD6865">
        <w:rPr>
          <w:rFonts w:ascii="Calibri" w:hAnsi="Calibri"/>
          <w:sz w:val="22"/>
          <w:szCs w:val="22"/>
          <w:lang w:val="en-GB"/>
        </w:rPr>
        <w:t xml:space="preserve">all played their </w:t>
      </w:r>
      <w:r w:rsidR="00EF0B03" w:rsidRPr="00BC15F3">
        <w:rPr>
          <w:rFonts w:ascii="Calibri" w:hAnsi="Calibri"/>
          <w:sz w:val="22"/>
          <w:szCs w:val="22"/>
          <w:lang w:val="en-GB"/>
        </w:rPr>
        <w:t>role</w:t>
      </w:r>
      <w:r w:rsidR="009E6817" w:rsidRPr="00BC15F3">
        <w:rPr>
          <w:rFonts w:ascii="Calibri" w:hAnsi="Calibri"/>
          <w:sz w:val="22"/>
          <w:szCs w:val="22"/>
          <w:lang w:val="en-GB"/>
        </w:rPr>
        <w:t xml:space="preserve"> in t</w:t>
      </w:r>
      <w:r w:rsidR="00EF0B03" w:rsidRPr="00BC15F3">
        <w:rPr>
          <w:rFonts w:ascii="Calibri" w:hAnsi="Calibri"/>
          <w:sz w:val="22"/>
          <w:szCs w:val="22"/>
          <w:lang w:val="en-GB"/>
        </w:rPr>
        <w:t xml:space="preserve">he hollowing out of core areas of cities </w:t>
      </w:r>
      <w:r w:rsidR="00EF0B03" w:rsidRPr="00AD6865">
        <w:rPr>
          <w:rFonts w:ascii="Calibri" w:hAnsi="Calibri" w:cs="AdvGulliv-R"/>
          <w:sz w:val="22"/>
          <w:szCs w:val="22"/>
          <w:lang w:val="en-GB"/>
        </w:rPr>
        <w:t>(</w:t>
      </w:r>
      <w:r w:rsidR="009E6817" w:rsidRPr="00AD6865">
        <w:rPr>
          <w:rFonts w:ascii="Calibri" w:hAnsi="Calibri" w:cs="AdvGulliv-R"/>
          <w:sz w:val="22"/>
          <w:szCs w:val="22"/>
          <w:lang w:val="en-GB"/>
        </w:rPr>
        <w:t xml:space="preserve">for an account of </w:t>
      </w:r>
      <w:r w:rsidR="003E751B" w:rsidRPr="00AD6865">
        <w:rPr>
          <w:rFonts w:ascii="Calibri" w:hAnsi="Calibri" w:cs="AdvGulliv-R"/>
          <w:sz w:val="22"/>
          <w:szCs w:val="22"/>
          <w:lang w:val="en-GB"/>
        </w:rPr>
        <w:t xml:space="preserve">this process </w:t>
      </w:r>
      <w:r w:rsidR="009E6817" w:rsidRPr="00AD6865">
        <w:rPr>
          <w:rFonts w:ascii="Calibri" w:hAnsi="Calibri" w:cs="AdvGulliv-R"/>
          <w:sz w:val="22"/>
          <w:szCs w:val="22"/>
          <w:lang w:val="en-GB"/>
        </w:rPr>
        <w:t xml:space="preserve">in Liverpool see </w:t>
      </w:r>
      <w:r w:rsidR="00EF0B03" w:rsidRPr="00AD6865">
        <w:rPr>
          <w:rFonts w:ascii="Calibri" w:hAnsi="Calibri" w:cs="AdvGulliv-R"/>
          <w:i/>
          <w:sz w:val="22"/>
          <w:szCs w:val="22"/>
          <w:lang w:val="en-GB"/>
        </w:rPr>
        <w:t xml:space="preserve">Sykes </w:t>
      </w:r>
      <w:r w:rsidR="00E95C60" w:rsidRPr="00AD6865">
        <w:rPr>
          <w:rFonts w:ascii="Calibri" w:hAnsi="Calibri" w:cs="AdvGulliv-R"/>
          <w:i/>
          <w:sz w:val="22"/>
          <w:szCs w:val="22"/>
          <w:lang w:val="en-GB"/>
        </w:rPr>
        <w:t>et al</w:t>
      </w:r>
      <w:r w:rsidR="00EF0B03" w:rsidRPr="00AD6865">
        <w:rPr>
          <w:rFonts w:ascii="Calibri" w:hAnsi="Calibri" w:cs="AdvGulliv-R"/>
          <w:i/>
          <w:sz w:val="22"/>
          <w:szCs w:val="22"/>
          <w:lang w:val="en-GB"/>
        </w:rPr>
        <w:t>.</w:t>
      </w:r>
      <w:r w:rsidR="00EF0B03" w:rsidRPr="00AD6865">
        <w:rPr>
          <w:rFonts w:ascii="Calibri" w:hAnsi="Calibri" w:cs="AdvGulliv-R"/>
          <w:sz w:val="22"/>
          <w:szCs w:val="22"/>
          <w:lang w:val="en-GB"/>
        </w:rPr>
        <w:t xml:space="preserve"> 2013). Decentralisation of population on such a massive scale, contributed to a vicious circle of urban economic and physical decline which encouraged more of those who could to leave the city.</w:t>
      </w:r>
      <w:r w:rsidR="007E49CD" w:rsidRPr="00AD6865">
        <w:rPr>
          <w:rFonts w:ascii="Calibri" w:hAnsi="Calibri" w:cs="AdvGulliv-R"/>
          <w:sz w:val="22"/>
          <w:szCs w:val="22"/>
          <w:lang w:val="en-GB"/>
        </w:rPr>
        <w:t xml:space="preserve"> </w:t>
      </w:r>
      <w:r w:rsidR="00EB42EE" w:rsidRPr="00AD6865">
        <w:rPr>
          <w:rFonts w:ascii="Calibri" w:hAnsi="Calibri" w:cs="AdvGulliv-R"/>
          <w:sz w:val="22"/>
          <w:szCs w:val="22"/>
          <w:lang w:val="en-GB"/>
        </w:rPr>
        <w:t>Meanwhile</w:t>
      </w:r>
      <w:r w:rsidR="009E6817" w:rsidRPr="00AD6865">
        <w:rPr>
          <w:rFonts w:ascii="Calibri" w:hAnsi="Calibri" w:cs="AdvGulliv-R"/>
          <w:sz w:val="22"/>
          <w:szCs w:val="22"/>
          <w:lang w:val="en-GB"/>
        </w:rPr>
        <w:t xml:space="preserve"> d</w:t>
      </w:r>
      <w:r w:rsidR="007E49CD" w:rsidRPr="00AD6865">
        <w:rPr>
          <w:rFonts w:ascii="Calibri" w:hAnsi="Calibri" w:cs="AdvGulliv-R"/>
          <w:sz w:val="22"/>
          <w:szCs w:val="22"/>
          <w:lang w:val="en-GB"/>
        </w:rPr>
        <w:t xml:space="preserve">ue to strict urban containment </w:t>
      </w:r>
      <w:r w:rsidR="007E49CD" w:rsidRPr="00AD6865">
        <w:rPr>
          <w:rFonts w:ascii="Calibri" w:hAnsi="Calibri"/>
          <w:sz w:val="22"/>
          <w:szCs w:val="22"/>
          <w:lang w:val="en-GB"/>
        </w:rPr>
        <w:t>c</w:t>
      </w:r>
      <w:r w:rsidR="00EF0B03" w:rsidRPr="00AD6865">
        <w:rPr>
          <w:rFonts w:ascii="Calibri" w:hAnsi="Calibri"/>
          <w:sz w:val="22"/>
          <w:szCs w:val="22"/>
          <w:lang w:val="en-GB"/>
        </w:rPr>
        <w:t>ommuters were having to travel further from home to work</w:t>
      </w:r>
      <w:r w:rsidR="00883E2D" w:rsidRPr="00AD6865">
        <w:rPr>
          <w:rFonts w:ascii="Calibri" w:hAnsi="Calibri"/>
          <w:sz w:val="22"/>
          <w:szCs w:val="22"/>
          <w:lang w:val="en-GB"/>
        </w:rPr>
        <w:t xml:space="preserve"> (</w:t>
      </w:r>
      <w:r w:rsidR="00883E2D" w:rsidRPr="00AD6865">
        <w:rPr>
          <w:rFonts w:ascii="Calibri" w:hAnsi="Calibri"/>
          <w:i/>
          <w:sz w:val="22"/>
          <w:szCs w:val="22"/>
          <w:lang w:val="en-GB"/>
        </w:rPr>
        <w:t>Hall</w:t>
      </w:r>
      <w:r w:rsidR="00883E2D" w:rsidRPr="00AD6865">
        <w:rPr>
          <w:rFonts w:ascii="Calibri" w:hAnsi="Calibri"/>
          <w:sz w:val="22"/>
          <w:szCs w:val="22"/>
          <w:lang w:val="en-GB"/>
        </w:rPr>
        <w:t xml:space="preserve"> 1974)</w:t>
      </w:r>
      <w:r w:rsidR="00EF0B03" w:rsidRPr="00AD6865">
        <w:rPr>
          <w:rFonts w:ascii="Calibri" w:hAnsi="Calibri"/>
          <w:sz w:val="22"/>
          <w:szCs w:val="22"/>
          <w:lang w:val="en-GB"/>
        </w:rPr>
        <w:t xml:space="preserve">. </w:t>
      </w:r>
    </w:p>
    <w:p w14:paraId="06ADFBE1" w14:textId="4DDE6A82" w:rsidR="00E3725D" w:rsidRPr="00BC15F3" w:rsidRDefault="00E3725D" w:rsidP="00E3725D">
      <w:pPr>
        <w:ind w:firstLine="284"/>
        <w:rPr>
          <w:rFonts w:ascii="Calibri" w:hAnsi="Calibri"/>
          <w:sz w:val="22"/>
          <w:szCs w:val="22"/>
          <w:lang w:val="en-GB"/>
        </w:rPr>
      </w:pPr>
      <w:r w:rsidRPr="00AD6865">
        <w:rPr>
          <w:rFonts w:ascii="Calibri" w:hAnsi="Calibri"/>
          <w:sz w:val="22"/>
          <w:szCs w:val="22"/>
          <w:lang w:val="en-GB"/>
        </w:rPr>
        <w:t xml:space="preserve">Increasingly in the 1970s and into the 1980s wider structural changes </w:t>
      </w:r>
      <w:r w:rsidR="009E6817" w:rsidRPr="00AD6865">
        <w:rPr>
          <w:rFonts w:ascii="Calibri" w:hAnsi="Calibri"/>
          <w:sz w:val="22"/>
          <w:szCs w:val="22"/>
          <w:lang w:val="en-GB"/>
        </w:rPr>
        <w:t>led to e</w:t>
      </w:r>
      <w:r w:rsidRPr="00AD6865">
        <w:rPr>
          <w:rFonts w:ascii="Calibri" w:hAnsi="Calibri"/>
          <w:sz w:val="22"/>
          <w:szCs w:val="22"/>
          <w:lang w:val="en-GB"/>
        </w:rPr>
        <w:t xml:space="preserve">conomic </w:t>
      </w:r>
      <w:r w:rsidRPr="00FC3A3F">
        <w:rPr>
          <w:rFonts w:ascii="Calibri" w:hAnsi="Calibri"/>
          <w:sz w:val="22"/>
          <w:szCs w:val="22"/>
          <w:lang w:val="en-GB"/>
        </w:rPr>
        <w:t xml:space="preserve">turbulence, mass unemployment and urban unrest in a number of major </w:t>
      </w:r>
      <w:r w:rsidRPr="00AD6865">
        <w:rPr>
          <w:rFonts w:ascii="Calibri" w:hAnsi="Calibri"/>
          <w:sz w:val="22"/>
          <w:szCs w:val="22"/>
          <w:lang w:val="en-GB"/>
        </w:rPr>
        <w:t>cities</w:t>
      </w:r>
      <w:r w:rsidR="009E6817" w:rsidRPr="00AD6865">
        <w:rPr>
          <w:rFonts w:ascii="Calibri" w:hAnsi="Calibri"/>
          <w:sz w:val="22"/>
          <w:szCs w:val="22"/>
          <w:lang w:val="en-GB"/>
        </w:rPr>
        <w:t>. In response</w:t>
      </w:r>
      <w:r w:rsidR="00BC15F3" w:rsidRPr="00AD6865">
        <w:rPr>
          <w:rFonts w:ascii="Calibri" w:hAnsi="Calibri"/>
          <w:sz w:val="22"/>
          <w:szCs w:val="22"/>
          <w:lang w:val="en-GB"/>
        </w:rPr>
        <w:t>,</w:t>
      </w:r>
      <w:r w:rsidRPr="00AD6865">
        <w:rPr>
          <w:rFonts w:ascii="Calibri" w:hAnsi="Calibri"/>
          <w:sz w:val="22"/>
          <w:szCs w:val="22"/>
          <w:lang w:val="en-GB"/>
        </w:rPr>
        <w:t xml:space="preserve"> state spatial policy</w:t>
      </w:r>
      <w:r w:rsidR="009E6817" w:rsidRPr="00AD6865">
        <w:rPr>
          <w:rFonts w:ascii="Calibri" w:hAnsi="Calibri"/>
          <w:sz w:val="22"/>
          <w:szCs w:val="22"/>
          <w:lang w:val="en-GB"/>
        </w:rPr>
        <w:t xml:space="preserve"> too</w:t>
      </w:r>
      <w:r w:rsidR="00EB42EE" w:rsidRPr="00AD6865">
        <w:rPr>
          <w:rFonts w:ascii="Calibri" w:hAnsi="Calibri"/>
          <w:sz w:val="22"/>
          <w:szCs w:val="22"/>
          <w:lang w:val="en-GB"/>
        </w:rPr>
        <w:t>k</w:t>
      </w:r>
      <w:r w:rsidR="009E6817" w:rsidRPr="00AD6865">
        <w:rPr>
          <w:rFonts w:ascii="Calibri" w:hAnsi="Calibri"/>
          <w:sz w:val="22"/>
          <w:szCs w:val="22"/>
          <w:lang w:val="en-GB"/>
        </w:rPr>
        <w:t xml:space="preserve"> on an increasingly urban focus</w:t>
      </w:r>
      <w:r w:rsidRPr="00AD6865">
        <w:rPr>
          <w:rFonts w:ascii="Calibri" w:hAnsi="Calibri"/>
          <w:sz w:val="22"/>
          <w:szCs w:val="22"/>
          <w:lang w:val="en-GB"/>
        </w:rPr>
        <w:t xml:space="preserve">. </w:t>
      </w:r>
      <w:r w:rsidR="00EB42EE" w:rsidRPr="00AD6865">
        <w:rPr>
          <w:rFonts w:ascii="Calibri" w:hAnsi="Calibri"/>
          <w:sz w:val="22"/>
          <w:szCs w:val="22"/>
          <w:lang w:val="en-GB"/>
        </w:rPr>
        <w:t xml:space="preserve">Attention to inner-cities grew under Margaret Thatcher, who famously stated something needed to </w:t>
      </w:r>
      <w:r w:rsidR="00AD6865">
        <w:rPr>
          <w:rFonts w:ascii="Calibri" w:hAnsi="Calibri"/>
          <w:sz w:val="22"/>
          <w:szCs w:val="22"/>
          <w:lang w:val="en-GB"/>
        </w:rPr>
        <w:t xml:space="preserve">be </w:t>
      </w:r>
      <w:r w:rsidR="00EB42EE" w:rsidRPr="00AD6865">
        <w:rPr>
          <w:rFonts w:ascii="Calibri" w:hAnsi="Calibri"/>
          <w:sz w:val="22"/>
          <w:szCs w:val="22"/>
          <w:lang w:val="en-GB"/>
        </w:rPr>
        <w:t>do</w:t>
      </w:r>
      <w:r w:rsidR="00AD6865">
        <w:rPr>
          <w:rFonts w:ascii="Calibri" w:hAnsi="Calibri"/>
          <w:sz w:val="22"/>
          <w:szCs w:val="22"/>
          <w:lang w:val="en-GB"/>
        </w:rPr>
        <w:t>ne</w:t>
      </w:r>
      <w:r w:rsidR="00EB42EE" w:rsidRPr="00AD6865">
        <w:rPr>
          <w:rFonts w:ascii="Calibri" w:hAnsi="Calibri"/>
          <w:sz w:val="22"/>
          <w:szCs w:val="22"/>
          <w:lang w:val="en-GB"/>
        </w:rPr>
        <w:t xml:space="preserve"> about “those inner cities” (</w:t>
      </w:r>
      <w:r w:rsidR="00EB42EE" w:rsidRPr="00AD6865">
        <w:rPr>
          <w:rFonts w:ascii="Calibri" w:hAnsi="Calibri"/>
          <w:i/>
          <w:sz w:val="22"/>
          <w:szCs w:val="22"/>
          <w:lang w:val="en-GB"/>
        </w:rPr>
        <w:t>Jacobs</w:t>
      </w:r>
      <w:r w:rsidR="00EB42EE" w:rsidRPr="00AD6865">
        <w:rPr>
          <w:rFonts w:ascii="Calibri" w:hAnsi="Calibri"/>
          <w:sz w:val="22"/>
          <w:szCs w:val="22"/>
          <w:lang w:val="en-GB"/>
        </w:rPr>
        <w:t xml:space="preserve"> 1988), but it was only</w:t>
      </w:r>
      <w:r w:rsidR="00AD6865">
        <w:rPr>
          <w:rFonts w:ascii="Calibri" w:hAnsi="Calibri"/>
          <w:sz w:val="22"/>
          <w:szCs w:val="22"/>
          <w:lang w:val="en-GB"/>
        </w:rPr>
        <w:t xml:space="preserve"> under</w:t>
      </w:r>
      <w:r w:rsidR="00EB42EE" w:rsidRPr="00AD6865">
        <w:rPr>
          <w:rFonts w:ascii="Calibri" w:hAnsi="Calibri"/>
          <w:sz w:val="22"/>
          <w:szCs w:val="22"/>
          <w:lang w:val="en-GB"/>
        </w:rPr>
        <w:t xml:space="preserve"> New Labour after 1997 that the notion and in many respects reality of an ‘urban renaissance’ gained real traction. Under the Conservatives</w:t>
      </w:r>
      <w:r w:rsidR="00BC15F3">
        <w:rPr>
          <w:rFonts w:ascii="Calibri" w:hAnsi="Calibri"/>
          <w:sz w:val="22"/>
          <w:szCs w:val="22"/>
          <w:lang w:val="en-GB"/>
        </w:rPr>
        <w:t>,</w:t>
      </w:r>
      <w:r w:rsidR="00EB42EE" w:rsidRPr="00BC15F3">
        <w:rPr>
          <w:rFonts w:ascii="Calibri" w:hAnsi="Calibri"/>
          <w:sz w:val="22"/>
          <w:szCs w:val="22"/>
          <w:lang w:val="en-GB"/>
        </w:rPr>
        <w:t xml:space="preserve"> </w:t>
      </w:r>
      <w:r w:rsidR="003E751B" w:rsidRPr="00BC15F3">
        <w:rPr>
          <w:rFonts w:ascii="Calibri" w:hAnsi="Calibri"/>
          <w:sz w:val="22"/>
          <w:szCs w:val="22"/>
          <w:lang w:val="en-GB"/>
        </w:rPr>
        <w:t>g</w:t>
      </w:r>
      <w:r w:rsidR="00853FA7" w:rsidRPr="00BC15F3">
        <w:rPr>
          <w:rFonts w:ascii="Calibri" w:hAnsi="Calibri"/>
          <w:sz w:val="22"/>
          <w:szCs w:val="22"/>
          <w:lang w:val="en-GB"/>
        </w:rPr>
        <w:t xml:space="preserve">overnment-led </w:t>
      </w:r>
      <w:r w:rsidRPr="00BC15F3">
        <w:rPr>
          <w:rFonts w:ascii="Calibri" w:hAnsi="Calibri"/>
          <w:sz w:val="22"/>
          <w:szCs w:val="22"/>
          <w:lang w:val="en-GB"/>
        </w:rPr>
        <w:t>urban regeneration policy emphasised property and ‘physically’-led project planning with arguably a lack of strategic overview at the urban scale. The</w:t>
      </w:r>
      <w:r w:rsidR="003E751B" w:rsidRPr="00BC15F3">
        <w:rPr>
          <w:rFonts w:ascii="Calibri" w:hAnsi="Calibri"/>
          <w:sz w:val="22"/>
          <w:szCs w:val="22"/>
          <w:lang w:val="en-GB"/>
        </w:rPr>
        <w:t>se</w:t>
      </w:r>
      <w:r w:rsidRPr="00BC15F3">
        <w:rPr>
          <w:rFonts w:ascii="Calibri" w:hAnsi="Calibri"/>
          <w:sz w:val="22"/>
          <w:szCs w:val="22"/>
          <w:lang w:val="en-GB"/>
        </w:rPr>
        <w:t xml:space="preserve"> governments </w:t>
      </w:r>
      <w:r w:rsidR="009E6817" w:rsidRPr="00BC15F3">
        <w:rPr>
          <w:rFonts w:ascii="Calibri" w:hAnsi="Calibri"/>
          <w:sz w:val="22"/>
          <w:szCs w:val="22"/>
          <w:lang w:val="en-GB"/>
        </w:rPr>
        <w:t xml:space="preserve">also </w:t>
      </w:r>
      <w:r w:rsidRPr="00BC15F3">
        <w:rPr>
          <w:rFonts w:ascii="Calibri" w:hAnsi="Calibri"/>
          <w:sz w:val="22"/>
          <w:szCs w:val="22"/>
          <w:lang w:val="en-GB"/>
        </w:rPr>
        <w:t>favoured liberal deregulation which contributed to continued outward dispersal of development activity away from urban cores</w:t>
      </w:r>
      <w:r w:rsidR="00EB42EE" w:rsidRPr="00BC15F3">
        <w:rPr>
          <w:rFonts w:ascii="Calibri" w:hAnsi="Calibri"/>
          <w:sz w:val="22"/>
          <w:szCs w:val="22"/>
          <w:lang w:val="en-GB"/>
        </w:rPr>
        <w:t xml:space="preserve"> sustaining the</w:t>
      </w:r>
      <w:r w:rsidRPr="00BC15F3">
        <w:rPr>
          <w:rFonts w:ascii="Calibri" w:hAnsi="Calibri"/>
          <w:sz w:val="22"/>
          <w:szCs w:val="22"/>
          <w:lang w:val="en-GB"/>
        </w:rPr>
        <w:t xml:space="preserve"> processes of decentralisation described earlier by Hall (1974)</w:t>
      </w:r>
      <w:r w:rsidR="00EB42EE" w:rsidRPr="00BC15F3">
        <w:rPr>
          <w:rFonts w:ascii="Calibri" w:hAnsi="Calibri"/>
          <w:sz w:val="22"/>
          <w:szCs w:val="22"/>
          <w:lang w:val="en-GB"/>
        </w:rPr>
        <w:t>. S</w:t>
      </w:r>
      <w:r w:rsidRPr="00BC15F3">
        <w:rPr>
          <w:rFonts w:ascii="Calibri" w:hAnsi="Calibri"/>
          <w:sz w:val="22"/>
          <w:szCs w:val="22"/>
          <w:lang w:val="en-GB"/>
        </w:rPr>
        <w:t xml:space="preserve">ome researchers </w:t>
      </w:r>
      <w:r w:rsidR="003E751B" w:rsidRPr="00BC15F3">
        <w:rPr>
          <w:rFonts w:ascii="Calibri" w:hAnsi="Calibri"/>
          <w:sz w:val="22"/>
          <w:szCs w:val="22"/>
          <w:lang w:val="en-GB"/>
        </w:rPr>
        <w:t>evoked</w:t>
      </w:r>
      <w:r w:rsidR="00EB42EE" w:rsidRPr="00BC15F3">
        <w:rPr>
          <w:rFonts w:ascii="Calibri" w:hAnsi="Calibri"/>
          <w:sz w:val="22"/>
          <w:szCs w:val="22"/>
          <w:lang w:val="en-GB"/>
        </w:rPr>
        <w:t xml:space="preserve"> </w:t>
      </w:r>
      <w:r w:rsidRPr="00BC15F3">
        <w:rPr>
          <w:rFonts w:ascii="Calibri" w:hAnsi="Calibri"/>
          <w:sz w:val="22"/>
          <w:szCs w:val="22"/>
          <w:lang w:val="en-GB"/>
        </w:rPr>
        <w:t>the notion of a counterurbanisation cascade to describe the trend of urban-rural migration (</w:t>
      </w:r>
      <w:r w:rsidRPr="00BC15F3">
        <w:rPr>
          <w:rFonts w:ascii="Calibri" w:hAnsi="Calibri"/>
          <w:i/>
          <w:sz w:val="22"/>
          <w:szCs w:val="22"/>
          <w:lang w:val="en-GB"/>
        </w:rPr>
        <w:t>Champion</w:t>
      </w:r>
      <w:r w:rsidRPr="00BC15F3">
        <w:rPr>
          <w:rFonts w:ascii="Calibri" w:hAnsi="Calibri"/>
          <w:sz w:val="22"/>
          <w:szCs w:val="22"/>
          <w:lang w:val="en-GB"/>
        </w:rPr>
        <w:t xml:space="preserve"> </w:t>
      </w:r>
      <w:r w:rsidR="0076349D" w:rsidRPr="00BC15F3">
        <w:rPr>
          <w:rFonts w:ascii="Calibri" w:hAnsi="Calibri"/>
          <w:sz w:val="22"/>
          <w:szCs w:val="22"/>
          <w:lang w:val="en-GB"/>
        </w:rPr>
        <w:t>2005</w:t>
      </w:r>
      <w:r w:rsidR="007E49CD" w:rsidRPr="00BC15F3">
        <w:rPr>
          <w:rFonts w:ascii="Calibri" w:hAnsi="Calibri"/>
          <w:sz w:val="22"/>
          <w:szCs w:val="22"/>
          <w:lang w:val="en-GB"/>
        </w:rPr>
        <w:t>;</w:t>
      </w:r>
      <w:r w:rsidRPr="00BC15F3">
        <w:rPr>
          <w:rFonts w:ascii="Calibri" w:hAnsi="Calibri"/>
          <w:sz w:val="22"/>
          <w:szCs w:val="22"/>
          <w:lang w:val="en-GB"/>
        </w:rPr>
        <w:t xml:space="preserve"> </w:t>
      </w:r>
      <w:r w:rsidRPr="00BC15F3">
        <w:rPr>
          <w:rFonts w:ascii="Calibri" w:hAnsi="Calibri"/>
          <w:i/>
          <w:sz w:val="22"/>
          <w:szCs w:val="22"/>
          <w:lang w:val="en-GB"/>
        </w:rPr>
        <w:t>Mitchell</w:t>
      </w:r>
      <w:r w:rsidRPr="00BC15F3">
        <w:rPr>
          <w:rFonts w:ascii="Calibri" w:hAnsi="Calibri"/>
          <w:sz w:val="22"/>
          <w:szCs w:val="22"/>
          <w:lang w:val="en-GB"/>
        </w:rPr>
        <w:t xml:space="preserve"> 2004)</w:t>
      </w:r>
      <w:r w:rsidR="00EB42EE" w:rsidRPr="00BC15F3">
        <w:rPr>
          <w:rFonts w:ascii="Calibri" w:hAnsi="Calibri"/>
          <w:sz w:val="22"/>
          <w:szCs w:val="22"/>
          <w:lang w:val="en-GB"/>
        </w:rPr>
        <w:t xml:space="preserve"> and i</w:t>
      </w:r>
      <w:r w:rsidRPr="00BC15F3">
        <w:rPr>
          <w:rFonts w:ascii="Calibri" w:hAnsi="Calibri"/>
          <w:sz w:val="22"/>
          <w:szCs w:val="22"/>
          <w:lang w:val="en-GB"/>
        </w:rPr>
        <w:t>t was only in the 1990s that the pace of urban decline slowed down and in some cases even show</w:t>
      </w:r>
      <w:r w:rsidR="003A788C" w:rsidRPr="00BC15F3">
        <w:rPr>
          <w:rFonts w:ascii="Calibri" w:hAnsi="Calibri"/>
          <w:sz w:val="22"/>
          <w:szCs w:val="22"/>
          <w:lang w:val="en-GB"/>
        </w:rPr>
        <w:t>ed</w:t>
      </w:r>
      <w:r w:rsidRPr="00BC15F3">
        <w:rPr>
          <w:rFonts w:ascii="Calibri" w:hAnsi="Calibri"/>
          <w:sz w:val="22"/>
          <w:szCs w:val="22"/>
          <w:lang w:val="en-GB"/>
        </w:rPr>
        <w:t xml:space="preserve"> signs of a reverse. </w:t>
      </w:r>
    </w:p>
    <w:p w14:paraId="5BA4A022" w14:textId="77777777" w:rsidR="00EF0B03" w:rsidRPr="003E751B" w:rsidRDefault="00EF0B03" w:rsidP="00EF0B03">
      <w:pPr>
        <w:ind w:firstLine="284"/>
        <w:rPr>
          <w:rFonts w:asciiTheme="minorHAnsi" w:hAnsiTheme="minorHAnsi"/>
          <w:sz w:val="22"/>
          <w:szCs w:val="22"/>
          <w:highlight w:val="yellow"/>
          <w:lang w:val="en-GB"/>
        </w:rPr>
      </w:pPr>
      <w:r w:rsidRPr="00BC15F3">
        <w:rPr>
          <w:rFonts w:ascii="Calibri" w:hAnsi="Calibri"/>
          <w:sz w:val="22"/>
          <w:szCs w:val="22"/>
          <w:lang w:val="en-GB"/>
        </w:rPr>
        <w:t xml:space="preserve">Alarmed by the sustained decline of cities the New Labour government in 1997 set up an Urban Task Force </w:t>
      </w:r>
      <w:r w:rsidR="009B25B8" w:rsidRPr="00BC15F3">
        <w:rPr>
          <w:rFonts w:ascii="Calibri" w:hAnsi="Calibri"/>
          <w:sz w:val="22"/>
          <w:szCs w:val="22"/>
          <w:lang w:val="en-GB"/>
        </w:rPr>
        <w:t xml:space="preserve">(1999) </w:t>
      </w:r>
      <w:r w:rsidRPr="00BC15F3">
        <w:rPr>
          <w:rFonts w:ascii="Calibri" w:hAnsi="Calibri"/>
          <w:sz w:val="22"/>
          <w:szCs w:val="22"/>
          <w:lang w:val="en-GB"/>
        </w:rPr>
        <w:t xml:space="preserve">whose </w:t>
      </w:r>
      <w:r w:rsidRPr="003E751B">
        <w:rPr>
          <w:rFonts w:asciiTheme="minorHAnsi" w:hAnsiTheme="minorHAnsi"/>
          <w:sz w:val="22"/>
          <w:szCs w:val="22"/>
          <w:lang w:val="en-GB"/>
        </w:rPr>
        <w:t xml:space="preserve">final report </w:t>
      </w:r>
      <w:r w:rsidRPr="003E751B">
        <w:rPr>
          <w:rFonts w:asciiTheme="minorHAnsi" w:hAnsiTheme="minorHAnsi"/>
          <w:i/>
          <w:sz w:val="22"/>
          <w:szCs w:val="22"/>
          <w:lang w:val="en-GB"/>
        </w:rPr>
        <w:t>Towards an Urban Renaissance</w:t>
      </w:r>
      <w:r w:rsidRPr="003E751B">
        <w:rPr>
          <w:rFonts w:asciiTheme="minorHAnsi" w:hAnsiTheme="minorHAnsi"/>
          <w:sz w:val="22"/>
          <w:szCs w:val="22"/>
          <w:lang w:val="en-GB"/>
        </w:rPr>
        <w:t xml:space="preserve"> paved the way for new investment in Britain’s cities</w:t>
      </w:r>
      <w:r w:rsidR="007B7796" w:rsidRPr="003E751B">
        <w:rPr>
          <w:rFonts w:asciiTheme="minorHAnsi" w:hAnsiTheme="minorHAnsi"/>
          <w:sz w:val="22"/>
          <w:szCs w:val="22"/>
          <w:lang w:val="en-GB"/>
        </w:rPr>
        <w:t xml:space="preserve"> (</w:t>
      </w:r>
      <w:r w:rsidR="007B7796" w:rsidRPr="003E751B">
        <w:rPr>
          <w:rFonts w:asciiTheme="minorHAnsi" w:hAnsiTheme="minorHAnsi"/>
          <w:i/>
          <w:sz w:val="22"/>
          <w:szCs w:val="22"/>
          <w:lang w:val="en-GB"/>
        </w:rPr>
        <w:t>Colomb</w:t>
      </w:r>
      <w:r w:rsidR="007B7796" w:rsidRPr="003E751B">
        <w:rPr>
          <w:rFonts w:asciiTheme="minorHAnsi" w:hAnsiTheme="minorHAnsi"/>
          <w:sz w:val="22"/>
          <w:szCs w:val="22"/>
          <w:lang w:val="en-GB"/>
        </w:rPr>
        <w:t xml:space="preserve"> 2007)</w:t>
      </w:r>
      <w:r w:rsidRPr="003E751B">
        <w:rPr>
          <w:rFonts w:asciiTheme="minorHAnsi" w:hAnsiTheme="minorHAnsi"/>
          <w:sz w:val="22"/>
          <w:szCs w:val="22"/>
          <w:lang w:val="en-GB"/>
        </w:rPr>
        <w:t xml:space="preserve">. This agenda was allied with investment in regenerating the big cities (especially the centres), ‘town centre first’ policies for retail development and targets to increase the amount of new housing built on ‘brownfield’ land to </w:t>
      </w:r>
      <w:r w:rsidR="0071585F" w:rsidRPr="003E751B">
        <w:rPr>
          <w:rFonts w:asciiTheme="minorHAnsi" w:hAnsiTheme="minorHAnsi"/>
          <w:sz w:val="22"/>
          <w:szCs w:val="22"/>
          <w:lang w:val="en-GB"/>
        </w:rPr>
        <w:t>push regeneration</w:t>
      </w:r>
      <w:r w:rsidR="0071585F" w:rsidRPr="003E751B" w:rsidDel="0071585F">
        <w:rPr>
          <w:rFonts w:asciiTheme="minorHAnsi" w:hAnsiTheme="minorHAnsi"/>
          <w:sz w:val="22"/>
          <w:szCs w:val="22"/>
          <w:lang w:val="en-GB"/>
        </w:rPr>
        <w:t xml:space="preserve"> </w:t>
      </w:r>
      <w:r w:rsidRPr="003E751B">
        <w:rPr>
          <w:rFonts w:asciiTheme="minorHAnsi" w:hAnsiTheme="minorHAnsi"/>
          <w:sz w:val="22"/>
          <w:szCs w:val="22"/>
          <w:lang w:val="en-GB"/>
        </w:rPr>
        <w:t xml:space="preserve">and limit sprawl </w:t>
      </w:r>
      <w:r w:rsidR="004C4070" w:rsidRPr="00D707E7">
        <w:rPr>
          <w:rFonts w:asciiTheme="minorHAnsi" w:hAnsiTheme="minorHAnsi"/>
          <w:sz w:val="22"/>
          <w:szCs w:val="22"/>
          <w:lang w:val="en-GB"/>
        </w:rPr>
        <w:fldChar w:fldCharType="begin"/>
      </w:r>
      <w:r w:rsidRPr="003E751B">
        <w:rPr>
          <w:rFonts w:asciiTheme="minorHAnsi" w:hAnsiTheme="minorHAnsi"/>
          <w:sz w:val="22"/>
          <w:szCs w:val="22"/>
          <w:lang w:val="en-GB"/>
        </w:rPr>
        <w:instrText xml:space="preserve"> ADDIN EN.CITE &lt;EndNote&gt;&lt;Cite&gt;&lt;Author&gt;Schulze Bäing&lt;/Author&gt;&lt;Year&gt;2012&lt;/Year&gt;&lt;RecNum&gt;11&lt;/RecNum&gt;&lt;DisplayText&gt;(Schulze Bäing and Wong 2012)&lt;/DisplayText&gt;&lt;record&gt;&lt;rec-number&gt;11&lt;/rec-number&gt;&lt;foreign-keys&gt;&lt;key app="EN" db-id="ftft0spwgfe5sve52agvra5bx0tprpffaz29" timestamp="1434724254"&gt;11&lt;/key&gt;&lt;/foreign-keys&gt;&lt;ref-type name="Journal Article"&gt;17&lt;/ref-type&gt;&lt;contributors&gt;&lt;authors&gt;&lt;author&gt;Schulze Bäing, Andreas&lt;/author&gt;&lt;author&gt;Wong, Cecilia&lt;/author&gt;&lt;/authors&gt;&lt;/contributors&gt;&lt;titles&gt;&lt;title&gt;Brownfield Residential Development: What Happens to the Most Deprived Neighbourhoods in England?&lt;/title&gt;&lt;secondary-title&gt;Urban Studies&lt;/secondary-title&gt;&lt;/titles&gt;&lt;periodical&gt;&lt;full-title&gt;Urban Studies&lt;/full-title&gt;&lt;/periodical&gt;&lt;pages&gt;2989-3008&lt;/pages&gt;&lt;volume&gt;49&lt;/volume&gt;&lt;number&gt;14&lt;/number&gt;&lt;dates&gt;&lt;year&gt;2012&lt;/year&gt;&lt;pub-dates&gt;&lt;date&gt;November 1, 2012&lt;/date&gt;&lt;/pub-dates&gt;&lt;/dates&gt;&lt;urls&gt;&lt;related-urls&gt;&lt;url&gt;http://usj.sagepub.com/content/49/14/2989.abstract&lt;/url&gt;&lt;/related-urls&gt;&lt;/urls&gt;&lt;electronic-resource-num&gt;10.1177/0042098012439108&lt;/electronic-resource-num&gt;&lt;/record&gt;&lt;/Cite&gt;&lt;/EndNote&gt;</w:instrText>
      </w:r>
      <w:r w:rsidR="004C4070" w:rsidRPr="00D707E7">
        <w:rPr>
          <w:rFonts w:asciiTheme="minorHAnsi" w:hAnsiTheme="minorHAnsi"/>
          <w:sz w:val="22"/>
          <w:szCs w:val="22"/>
          <w:lang w:val="en-GB"/>
        </w:rPr>
        <w:fldChar w:fldCharType="separate"/>
      </w:r>
      <w:r w:rsidRPr="003E751B">
        <w:rPr>
          <w:rFonts w:asciiTheme="minorHAnsi" w:hAnsiTheme="minorHAnsi"/>
          <w:noProof/>
          <w:sz w:val="22"/>
          <w:szCs w:val="22"/>
          <w:lang w:val="en-GB"/>
        </w:rPr>
        <w:t>(</w:t>
      </w:r>
      <w:r w:rsidRPr="003E751B">
        <w:rPr>
          <w:rFonts w:asciiTheme="minorHAnsi" w:hAnsiTheme="minorHAnsi"/>
          <w:i/>
          <w:noProof/>
          <w:sz w:val="22"/>
          <w:szCs w:val="22"/>
          <w:lang w:val="en-GB"/>
        </w:rPr>
        <w:t>Schulze Bäing</w:t>
      </w:r>
      <w:r w:rsidR="00EE0290" w:rsidRPr="003E751B">
        <w:rPr>
          <w:rFonts w:asciiTheme="minorHAnsi" w:hAnsiTheme="minorHAnsi"/>
          <w:i/>
          <w:noProof/>
          <w:sz w:val="22"/>
          <w:szCs w:val="22"/>
          <w:lang w:val="en-GB"/>
        </w:rPr>
        <w:t>/</w:t>
      </w:r>
      <w:r w:rsidRPr="003E751B">
        <w:rPr>
          <w:rFonts w:asciiTheme="minorHAnsi" w:hAnsiTheme="minorHAnsi"/>
          <w:i/>
          <w:noProof/>
          <w:sz w:val="22"/>
          <w:szCs w:val="22"/>
          <w:lang w:val="en-GB"/>
        </w:rPr>
        <w:t xml:space="preserve">Wong </w:t>
      </w:r>
      <w:r w:rsidRPr="003E751B">
        <w:rPr>
          <w:rFonts w:asciiTheme="minorHAnsi" w:hAnsiTheme="minorHAnsi"/>
          <w:noProof/>
          <w:sz w:val="22"/>
          <w:szCs w:val="22"/>
          <w:lang w:val="en-GB"/>
        </w:rPr>
        <w:t>2012)</w:t>
      </w:r>
      <w:r w:rsidR="004C4070" w:rsidRPr="00D707E7">
        <w:rPr>
          <w:rFonts w:asciiTheme="minorHAnsi" w:hAnsiTheme="minorHAnsi"/>
          <w:sz w:val="22"/>
          <w:szCs w:val="22"/>
          <w:lang w:val="en-GB"/>
        </w:rPr>
        <w:fldChar w:fldCharType="end"/>
      </w:r>
      <w:r w:rsidRPr="003E751B">
        <w:rPr>
          <w:rFonts w:asciiTheme="minorHAnsi" w:hAnsiTheme="minorHAnsi"/>
          <w:sz w:val="22"/>
          <w:szCs w:val="22"/>
          <w:lang w:val="en-GB"/>
        </w:rPr>
        <w:t>. This policy approach was seen generally as a success which has led to a ‘return of’ and ‘return to’ the city (</w:t>
      </w:r>
      <w:r w:rsidRPr="003E751B">
        <w:rPr>
          <w:rFonts w:asciiTheme="minorHAnsi" w:hAnsiTheme="minorHAnsi"/>
          <w:i/>
          <w:sz w:val="22"/>
          <w:szCs w:val="22"/>
          <w:lang w:val="en-GB"/>
        </w:rPr>
        <w:t>Rae</w:t>
      </w:r>
      <w:r w:rsidRPr="003E751B">
        <w:rPr>
          <w:rFonts w:asciiTheme="minorHAnsi" w:hAnsiTheme="minorHAnsi"/>
          <w:sz w:val="22"/>
          <w:szCs w:val="22"/>
          <w:lang w:val="en-GB"/>
        </w:rPr>
        <w:t xml:space="preserve"> 2013). In a culture which has often been characterised as having anti-urban traits (</w:t>
      </w:r>
      <w:r w:rsidRPr="003E751B">
        <w:rPr>
          <w:rFonts w:asciiTheme="minorHAnsi" w:hAnsiTheme="minorHAnsi"/>
          <w:i/>
          <w:sz w:val="22"/>
          <w:szCs w:val="22"/>
          <w:lang w:val="en-GB"/>
        </w:rPr>
        <w:t xml:space="preserve">Taylor </w:t>
      </w:r>
      <w:r w:rsidRPr="003E751B">
        <w:rPr>
          <w:rFonts w:asciiTheme="minorHAnsi" w:hAnsiTheme="minorHAnsi"/>
          <w:sz w:val="22"/>
          <w:szCs w:val="22"/>
          <w:lang w:val="en-GB"/>
        </w:rPr>
        <w:t xml:space="preserve">1998), there has been a slow shift of perceptions about cities, from </w:t>
      </w:r>
      <w:r w:rsidR="00DF5BC7" w:rsidRPr="003E751B">
        <w:rPr>
          <w:rFonts w:asciiTheme="minorHAnsi" w:hAnsiTheme="minorHAnsi"/>
          <w:sz w:val="22"/>
          <w:szCs w:val="22"/>
          <w:lang w:val="en-GB"/>
        </w:rPr>
        <w:t xml:space="preserve">them </w:t>
      </w:r>
      <w:r w:rsidRPr="003E751B">
        <w:rPr>
          <w:rFonts w:asciiTheme="minorHAnsi" w:hAnsiTheme="minorHAnsi"/>
          <w:sz w:val="22"/>
          <w:szCs w:val="22"/>
          <w:lang w:val="en-GB"/>
        </w:rPr>
        <w:t>being viewed as a source and locus of problems to a recognition of their economic, social</w:t>
      </w:r>
      <w:r w:rsidR="00553F61" w:rsidRPr="003E751B">
        <w:rPr>
          <w:rFonts w:asciiTheme="minorHAnsi" w:hAnsiTheme="minorHAnsi"/>
          <w:sz w:val="22"/>
          <w:szCs w:val="22"/>
          <w:lang w:val="en-GB"/>
        </w:rPr>
        <w:t xml:space="preserve"> and</w:t>
      </w:r>
      <w:r w:rsidRPr="003E751B">
        <w:rPr>
          <w:rFonts w:asciiTheme="minorHAnsi" w:hAnsiTheme="minorHAnsi"/>
          <w:sz w:val="22"/>
          <w:szCs w:val="22"/>
          <w:lang w:val="en-GB"/>
        </w:rPr>
        <w:t xml:space="preserve"> cultural importance</w:t>
      </w:r>
      <w:r w:rsidR="00553F61" w:rsidRPr="003E751B">
        <w:rPr>
          <w:rFonts w:asciiTheme="minorHAnsi" w:hAnsiTheme="minorHAnsi"/>
          <w:sz w:val="22"/>
          <w:szCs w:val="22"/>
          <w:lang w:val="en-GB"/>
        </w:rPr>
        <w:t xml:space="preserve">. </w:t>
      </w:r>
    </w:p>
    <w:p w14:paraId="03F34760" w14:textId="2D9FF852" w:rsidR="00EB42EE" w:rsidRPr="009B6371" w:rsidRDefault="00245065" w:rsidP="00E95C60">
      <w:pPr>
        <w:ind w:firstLine="284"/>
        <w:rPr>
          <w:rFonts w:asciiTheme="minorHAnsi" w:hAnsiTheme="minorHAnsi"/>
          <w:sz w:val="22"/>
          <w:szCs w:val="22"/>
          <w:lang w:val="en-GB"/>
        </w:rPr>
      </w:pPr>
      <w:r w:rsidRPr="003E751B">
        <w:rPr>
          <w:rFonts w:asciiTheme="minorHAnsi" w:hAnsiTheme="minorHAnsi"/>
          <w:sz w:val="22"/>
          <w:szCs w:val="22"/>
          <w:lang w:val="en-GB"/>
        </w:rPr>
        <w:t xml:space="preserve">From the mid-2000s city-regions were </w:t>
      </w:r>
      <w:r w:rsidR="009E6817" w:rsidRPr="003E751B">
        <w:rPr>
          <w:rFonts w:asciiTheme="minorHAnsi" w:hAnsiTheme="minorHAnsi"/>
          <w:sz w:val="22"/>
          <w:szCs w:val="22"/>
          <w:lang w:val="en-GB"/>
        </w:rPr>
        <w:t xml:space="preserve">increasingly </w:t>
      </w:r>
      <w:r w:rsidRPr="003E751B">
        <w:rPr>
          <w:rFonts w:asciiTheme="minorHAnsi" w:hAnsiTheme="minorHAnsi"/>
          <w:sz w:val="22"/>
          <w:szCs w:val="22"/>
          <w:lang w:val="en-GB"/>
        </w:rPr>
        <w:t>conceived as drivers of change in a more knowledge-based economy</w:t>
      </w:r>
      <w:r w:rsidR="009E6817" w:rsidRPr="003E751B">
        <w:rPr>
          <w:rFonts w:asciiTheme="minorHAnsi" w:hAnsiTheme="minorHAnsi"/>
          <w:sz w:val="22"/>
          <w:szCs w:val="22"/>
          <w:lang w:val="en-GB"/>
        </w:rPr>
        <w:t>, though</w:t>
      </w:r>
      <w:r w:rsidRPr="003E751B">
        <w:rPr>
          <w:rFonts w:asciiTheme="minorHAnsi" w:hAnsiTheme="minorHAnsi"/>
          <w:sz w:val="22"/>
          <w:szCs w:val="22"/>
          <w:lang w:val="en-GB"/>
        </w:rPr>
        <w:t xml:space="preserve"> British cities were still underperforming in comparison with those in many other European countries – an issue often linked by researchers to institutional design and </w:t>
      </w:r>
      <w:r w:rsidR="009E6817" w:rsidRPr="003E751B">
        <w:rPr>
          <w:rFonts w:asciiTheme="minorHAnsi" w:hAnsiTheme="minorHAnsi"/>
          <w:sz w:val="22"/>
          <w:szCs w:val="22"/>
          <w:lang w:val="en-GB"/>
        </w:rPr>
        <w:t xml:space="preserve">the need to </w:t>
      </w:r>
      <w:r w:rsidRPr="003E751B">
        <w:rPr>
          <w:rFonts w:asciiTheme="minorHAnsi" w:hAnsiTheme="minorHAnsi"/>
          <w:sz w:val="22"/>
          <w:szCs w:val="22"/>
          <w:lang w:val="en-GB"/>
        </w:rPr>
        <w:t>find an appropriate scale at which to conceive and deliver development strategies</w:t>
      </w:r>
      <w:r w:rsidR="003E751B" w:rsidRPr="003E751B">
        <w:rPr>
          <w:rFonts w:asciiTheme="minorHAnsi" w:hAnsiTheme="minorHAnsi"/>
          <w:sz w:val="22"/>
          <w:szCs w:val="22"/>
          <w:lang w:val="en-GB"/>
        </w:rPr>
        <w:t xml:space="preserve"> (</w:t>
      </w:r>
      <w:r w:rsidR="003E751B" w:rsidRPr="003E751B">
        <w:rPr>
          <w:rFonts w:asciiTheme="minorHAnsi" w:hAnsiTheme="minorHAnsi"/>
          <w:i/>
          <w:sz w:val="22"/>
          <w:szCs w:val="22"/>
          <w:lang w:val="en-GB"/>
        </w:rPr>
        <w:t>Parkinson</w:t>
      </w:r>
      <w:r w:rsidR="003E751B" w:rsidRPr="003E751B">
        <w:rPr>
          <w:rFonts w:asciiTheme="minorHAnsi" w:hAnsiTheme="minorHAnsi"/>
          <w:sz w:val="22"/>
          <w:szCs w:val="22"/>
          <w:lang w:val="en-GB"/>
        </w:rPr>
        <w:t xml:space="preserve"> 2016)</w:t>
      </w:r>
      <w:r w:rsidRPr="003E751B">
        <w:rPr>
          <w:rFonts w:asciiTheme="minorHAnsi" w:hAnsiTheme="minorHAnsi"/>
          <w:sz w:val="22"/>
          <w:szCs w:val="22"/>
          <w:lang w:val="en-GB"/>
        </w:rPr>
        <w:t xml:space="preserve">. This led to renewed attention on ‘functional’ urban areas and the favouring of city-regions constituted of groupings of local authorities representing a coherent area larger than the ‘local’ to </w:t>
      </w:r>
      <w:r w:rsidRPr="003E751B">
        <w:rPr>
          <w:rFonts w:asciiTheme="minorHAnsi" w:hAnsiTheme="minorHAnsi"/>
          <w:sz w:val="22"/>
          <w:szCs w:val="22"/>
          <w:lang w:val="en-GB"/>
        </w:rPr>
        <w:lastRenderedPageBreak/>
        <w:t xml:space="preserve">generate critical mass. </w:t>
      </w:r>
      <w:r w:rsidR="003E751B" w:rsidRPr="003E751B">
        <w:rPr>
          <w:rFonts w:asciiTheme="minorHAnsi" w:hAnsiTheme="minorHAnsi"/>
          <w:sz w:val="22"/>
          <w:szCs w:val="22"/>
          <w:lang w:val="en-GB"/>
        </w:rPr>
        <w:t xml:space="preserve">In the 2010s </w:t>
      </w:r>
      <w:r w:rsidRPr="003E751B">
        <w:rPr>
          <w:rFonts w:asciiTheme="minorHAnsi" w:hAnsiTheme="minorHAnsi"/>
          <w:sz w:val="22"/>
          <w:szCs w:val="22"/>
          <w:lang w:val="en-GB"/>
        </w:rPr>
        <w:t>‘Combined Authorities’ with a varying suite of powers and responsibilities for the local areas within their jurisdiction</w:t>
      </w:r>
      <w:r w:rsidR="009E6817" w:rsidRPr="003E751B">
        <w:rPr>
          <w:rFonts w:asciiTheme="minorHAnsi" w:hAnsiTheme="minorHAnsi"/>
          <w:sz w:val="22"/>
          <w:szCs w:val="22"/>
          <w:lang w:val="en-GB"/>
        </w:rPr>
        <w:t xml:space="preserve"> </w:t>
      </w:r>
      <w:r w:rsidR="003E751B" w:rsidRPr="003E751B">
        <w:rPr>
          <w:rFonts w:asciiTheme="minorHAnsi" w:hAnsiTheme="minorHAnsi"/>
          <w:sz w:val="22"/>
          <w:szCs w:val="22"/>
          <w:lang w:val="en-GB"/>
        </w:rPr>
        <w:t xml:space="preserve">have been </w:t>
      </w:r>
      <w:r w:rsidR="009E6817" w:rsidRPr="003E751B">
        <w:rPr>
          <w:rFonts w:asciiTheme="minorHAnsi" w:hAnsiTheme="minorHAnsi"/>
          <w:sz w:val="22"/>
          <w:szCs w:val="22"/>
          <w:lang w:val="en-GB"/>
        </w:rPr>
        <w:t>created with t</w:t>
      </w:r>
      <w:r w:rsidRPr="003E751B">
        <w:rPr>
          <w:rFonts w:asciiTheme="minorHAnsi" w:hAnsiTheme="minorHAnsi"/>
          <w:sz w:val="22"/>
          <w:szCs w:val="22"/>
          <w:lang w:val="en-GB"/>
        </w:rPr>
        <w:t xml:space="preserve">he first elections of Metro Mayors for these </w:t>
      </w:r>
      <w:r w:rsidR="003A788C" w:rsidRPr="003E751B">
        <w:rPr>
          <w:rFonts w:asciiTheme="minorHAnsi" w:hAnsiTheme="minorHAnsi"/>
          <w:sz w:val="22"/>
          <w:szCs w:val="22"/>
          <w:lang w:val="en-GB"/>
        </w:rPr>
        <w:t>t</w:t>
      </w:r>
      <w:r w:rsidR="009E6817" w:rsidRPr="003E751B">
        <w:rPr>
          <w:rFonts w:asciiTheme="minorHAnsi" w:hAnsiTheme="minorHAnsi"/>
          <w:sz w:val="22"/>
          <w:szCs w:val="22"/>
          <w:lang w:val="en-GB"/>
        </w:rPr>
        <w:t>aking</w:t>
      </w:r>
      <w:r w:rsidR="003A788C" w:rsidRPr="003E751B">
        <w:rPr>
          <w:rFonts w:asciiTheme="minorHAnsi" w:hAnsiTheme="minorHAnsi"/>
          <w:sz w:val="22"/>
          <w:szCs w:val="22"/>
          <w:lang w:val="en-GB"/>
        </w:rPr>
        <w:t xml:space="preserve"> </w:t>
      </w:r>
      <w:r w:rsidRPr="003E751B">
        <w:rPr>
          <w:rFonts w:asciiTheme="minorHAnsi" w:hAnsiTheme="minorHAnsi"/>
          <w:sz w:val="22"/>
          <w:szCs w:val="22"/>
          <w:lang w:val="en-GB"/>
        </w:rPr>
        <w:t>place 2017</w:t>
      </w:r>
      <w:r w:rsidR="003E751B" w:rsidRPr="003E751B">
        <w:rPr>
          <w:rFonts w:asciiTheme="minorHAnsi" w:hAnsiTheme="minorHAnsi"/>
          <w:sz w:val="22"/>
          <w:szCs w:val="22"/>
          <w:lang w:val="en-GB"/>
        </w:rPr>
        <w:t xml:space="preserve"> (</w:t>
      </w:r>
      <w:r w:rsidR="003E751B" w:rsidRPr="00B33AE8">
        <w:rPr>
          <w:rFonts w:asciiTheme="minorHAnsi" w:hAnsiTheme="minorHAnsi"/>
          <w:i/>
          <w:sz w:val="22"/>
          <w:szCs w:val="22"/>
          <w:lang w:val="en-GB"/>
        </w:rPr>
        <w:t>Sykes/Nurse 2017</w:t>
      </w:r>
      <w:r w:rsidR="003E751B" w:rsidRPr="003E751B">
        <w:rPr>
          <w:rFonts w:asciiTheme="minorHAnsi" w:hAnsiTheme="minorHAnsi"/>
          <w:sz w:val="22"/>
          <w:szCs w:val="22"/>
          <w:lang w:val="en-GB"/>
        </w:rPr>
        <w:t>)</w:t>
      </w:r>
      <w:r w:rsidRPr="003E751B">
        <w:rPr>
          <w:rFonts w:asciiTheme="minorHAnsi" w:hAnsiTheme="minorHAnsi"/>
          <w:sz w:val="22"/>
          <w:szCs w:val="22"/>
          <w:lang w:val="en-GB"/>
        </w:rPr>
        <w:t xml:space="preserve">. </w:t>
      </w:r>
      <w:r w:rsidR="00CA300A" w:rsidRPr="003E751B">
        <w:rPr>
          <w:rFonts w:asciiTheme="minorHAnsi" w:hAnsiTheme="minorHAnsi"/>
          <w:sz w:val="22"/>
          <w:szCs w:val="22"/>
          <w:lang w:val="en-GB"/>
        </w:rPr>
        <w:t xml:space="preserve">This </w:t>
      </w:r>
      <w:r w:rsidR="009B25B8" w:rsidRPr="003E751B">
        <w:rPr>
          <w:rFonts w:asciiTheme="minorHAnsi" w:hAnsiTheme="minorHAnsi"/>
          <w:sz w:val="22"/>
          <w:szCs w:val="22"/>
          <w:lang w:val="en-GB"/>
        </w:rPr>
        <w:t>shift</w:t>
      </w:r>
      <w:r w:rsidR="00CA300A" w:rsidRPr="003E751B">
        <w:rPr>
          <w:rFonts w:asciiTheme="minorHAnsi" w:hAnsiTheme="minorHAnsi"/>
          <w:sz w:val="22"/>
          <w:szCs w:val="22"/>
          <w:lang w:val="en-GB"/>
        </w:rPr>
        <w:t xml:space="preserve"> in emphasis </w:t>
      </w:r>
      <w:r w:rsidR="009261D9" w:rsidRPr="003E751B">
        <w:rPr>
          <w:rFonts w:asciiTheme="minorHAnsi" w:hAnsiTheme="minorHAnsi"/>
          <w:sz w:val="22"/>
          <w:szCs w:val="22"/>
          <w:lang w:val="en-GB"/>
        </w:rPr>
        <w:t>and further institutionalisation of city regions generates new trade-offs</w:t>
      </w:r>
      <w:r w:rsidRPr="003E751B">
        <w:rPr>
          <w:rFonts w:asciiTheme="minorHAnsi" w:hAnsiTheme="minorHAnsi"/>
          <w:sz w:val="22"/>
          <w:szCs w:val="22"/>
          <w:lang w:val="en-GB"/>
        </w:rPr>
        <w:t xml:space="preserve"> between different areas within a city region, e.g. between </w:t>
      </w:r>
      <w:r w:rsidR="00C56F98">
        <w:rPr>
          <w:rFonts w:asciiTheme="minorHAnsi" w:hAnsiTheme="minorHAnsi"/>
          <w:sz w:val="22"/>
          <w:szCs w:val="22"/>
          <w:lang w:val="en-GB"/>
        </w:rPr>
        <w:t>the core</w:t>
      </w:r>
      <w:r w:rsidR="00C56F98" w:rsidRPr="003E751B">
        <w:rPr>
          <w:rFonts w:asciiTheme="minorHAnsi" w:hAnsiTheme="minorHAnsi"/>
          <w:sz w:val="22"/>
          <w:szCs w:val="22"/>
          <w:lang w:val="en-GB"/>
        </w:rPr>
        <w:t xml:space="preserve"> </w:t>
      </w:r>
      <w:r w:rsidRPr="003E751B">
        <w:rPr>
          <w:rFonts w:asciiTheme="minorHAnsi" w:hAnsiTheme="minorHAnsi"/>
          <w:sz w:val="22"/>
          <w:szCs w:val="22"/>
          <w:lang w:val="en-GB"/>
        </w:rPr>
        <w:t>cit</w:t>
      </w:r>
      <w:r w:rsidR="00C56F98">
        <w:rPr>
          <w:rFonts w:asciiTheme="minorHAnsi" w:hAnsiTheme="minorHAnsi"/>
          <w:sz w:val="22"/>
          <w:szCs w:val="22"/>
          <w:lang w:val="en-GB"/>
        </w:rPr>
        <w:t>y</w:t>
      </w:r>
      <w:r w:rsidRPr="003E751B">
        <w:rPr>
          <w:rFonts w:asciiTheme="minorHAnsi" w:hAnsiTheme="minorHAnsi"/>
          <w:sz w:val="22"/>
          <w:szCs w:val="22"/>
          <w:lang w:val="en-GB"/>
        </w:rPr>
        <w:t xml:space="preserve"> and secondary towns, peri-urban and rural areas. </w:t>
      </w:r>
      <w:r w:rsidR="009E6817" w:rsidRPr="003E751B">
        <w:rPr>
          <w:rFonts w:asciiTheme="minorHAnsi" w:hAnsiTheme="minorHAnsi"/>
          <w:sz w:val="22"/>
          <w:szCs w:val="22"/>
          <w:lang w:val="en-GB"/>
        </w:rPr>
        <w:t>I</w:t>
      </w:r>
      <w:r w:rsidRPr="003E751B">
        <w:rPr>
          <w:rFonts w:asciiTheme="minorHAnsi" w:hAnsiTheme="minorHAnsi"/>
          <w:sz w:val="22"/>
          <w:szCs w:val="22"/>
          <w:lang w:val="en-GB"/>
        </w:rPr>
        <w:t xml:space="preserve">n Greater Manchester the city-regional mayor campaign </w:t>
      </w:r>
      <w:r w:rsidR="009E6817" w:rsidRPr="003E751B">
        <w:rPr>
          <w:rFonts w:asciiTheme="minorHAnsi" w:hAnsiTheme="minorHAnsi"/>
          <w:sz w:val="22"/>
          <w:szCs w:val="22"/>
          <w:lang w:val="en-GB"/>
        </w:rPr>
        <w:t>in</w:t>
      </w:r>
      <w:r w:rsidRPr="003E751B">
        <w:rPr>
          <w:rFonts w:asciiTheme="minorHAnsi" w:hAnsiTheme="minorHAnsi"/>
          <w:sz w:val="22"/>
          <w:szCs w:val="22"/>
          <w:lang w:val="en-GB"/>
        </w:rPr>
        <w:t xml:space="preserve"> 2017 become politicised around the issue of the emerging Greater Manchester Spatial Framework for the city region </w:t>
      </w:r>
      <w:r w:rsidR="004D3A35" w:rsidRPr="003E751B">
        <w:rPr>
          <w:rFonts w:asciiTheme="minorHAnsi" w:hAnsiTheme="minorHAnsi"/>
          <w:sz w:val="22"/>
          <w:szCs w:val="22"/>
          <w:lang w:val="en-GB"/>
        </w:rPr>
        <w:t xml:space="preserve">and its potential impacts on the city region’s Greenbelt </w:t>
      </w:r>
      <w:r w:rsidR="004C4070" w:rsidRPr="003E751B">
        <w:rPr>
          <w:rFonts w:asciiTheme="minorHAnsi" w:hAnsiTheme="minorHAnsi"/>
          <w:sz w:val="22"/>
          <w:szCs w:val="22"/>
          <w:lang w:val="en-GB"/>
        </w:rPr>
        <w:fldChar w:fldCharType="begin"/>
      </w:r>
      <w:r w:rsidRPr="003E751B">
        <w:rPr>
          <w:rFonts w:asciiTheme="minorHAnsi" w:hAnsiTheme="minorHAnsi"/>
          <w:sz w:val="22"/>
          <w:szCs w:val="22"/>
          <w:lang w:val="en-GB"/>
        </w:rPr>
        <w:instrText xml:space="preserve"> ADDIN EN.CITE &lt;EndNote&gt;&lt;Cite&gt;&lt;Author&gt;Fitzgerald&lt;/Author&gt;&lt;Year&gt;2017&lt;/Year&gt;&lt;RecNum&gt;809&lt;/RecNum&gt;&lt;DisplayText&gt;(Fitzgerald, 2017)&lt;/DisplayText&gt;&lt;record&gt;&lt;rec-number&gt;809&lt;/rec-number&gt;&lt;foreign-keys&gt;&lt;key app="EN" db-id="sf2v0zffie0st6edessvst0jrx50tz9rrwst" timestamp="1485772190"&gt;809&lt;/key&gt;&lt;/foreign-keys&gt;&lt;ref-type name="Newspaper Article"&gt;23&lt;/ref-type&gt;&lt;contributors&gt;&lt;authors&gt;&lt;author&gt;Fitzgerald, T. (2017) &lt;/author&gt;&lt;/authors&gt;&lt;/contributors&gt;&lt;titles&gt;&lt;title&gt;Greater Manchester’s mayoral candidates row over region’s housing masterplan&lt;/title&gt;&lt;secondary-title&gt;Manchester Evening News&lt;/secondary-title&gt;&lt;/titles&gt;&lt;dates&gt;&lt;year&gt;2017&lt;/year&gt;&lt;/dates&gt;&lt;pub-location&gt;Manchester&lt;/pub-location&gt;&lt;urls&gt;&lt;/urls&gt;&lt;/record&gt;&lt;/Cite&gt;&lt;/EndNote&gt;</w:instrText>
      </w:r>
      <w:r w:rsidR="004C4070" w:rsidRPr="003E751B">
        <w:rPr>
          <w:rFonts w:asciiTheme="minorHAnsi" w:hAnsiTheme="minorHAnsi"/>
          <w:sz w:val="22"/>
          <w:szCs w:val="22"/>
          <w:lang w:val="en-GB"/>
        </w:rPr>
        <w:fldChar w:fldCharType="separate"/>
      </w:r>
      <w:r w:rsidRPr="003E751B">
        <w:rPr>
          <w:rFonts w:asciiTheme="minorHAnsi" w:hAnsiTheme="minorHAnsi"/>
          <w:noProof/>
          <w:sz w:val="22"/>
          <w:szCs w:val="22"/>
          <w:lang w:val="en-GB"/>
        </w:rPr>
        <w:t>(</w:t>
      </w:r>
      <w:r w:rsidRPr="003E751B">
        <w:rPr>
          <w:rFonts w:asciiTheme="minorHAnsi" w:hAnsiTheme="minorHAnsi"/>
          <w:i/>
          <w:noProof/>
          <w:sz w:val="22"/>
          <w:szCs w:val="22"/>
          <w:lang w:val="en-GB"/>
        </w:rPr>
        <w:t>Fitzgerald</w:t>
      </w:r>
      <w:r w:rsidRPr="003E751B">
        <w:rPr>
          <w:rFonts w:asciiTheme="minorHAnsi" w:hAnsiTheme="minorHAnsi"/>
          <w:noProof/>
          <w:sz w:val="22"/>
          <w:szCs w:val="22"/>
          <w:lang w:val="en-GB"/>
        </w:rPr>
        <w:t xml:space="preserve"> 2017)</w:t>
      </w:r>
      <w:r w:rsidR="004C4070" w:rsidRPr="003E751B">
        <w:rPr>
          <w:rFonts w:asciiTheme="minorHAnsi" w:hAnsiTheme="minorHAnsi"/>
          <w:sz w:val="22"/>
          <w:szCs w:val="22"/>
          <w:lang w:val="en-GB"/>
        </w:rPr>
        <w:fldChar w:fldCharType="end"/>
      </w:r>
      <w:r w:rsidRPr="003E751B">
        <w:rPr>
          <w:rFonts w:asciiTheme="minorHAnsi" w:hAnsiTheme="minorHAnsi"/>
          <w:sz w:val="22"/>
          <w:szCs w:val="22"/>
          <w:lang w:val="en-GB"/>
        </w:rPr>
        <w:t xml:space="preserve">. </w:t>
      </w:r>
    </w:p>
    <w:p w14:paraId="5E2C88EC" w14:textId="2CD2AF15" w:rsidR="009E6817" w:rsidRPr="009B6371" w:rsidRDefault="003E751B" w:rsidP="00E95C60">
      <w:pPr>
        <w:ind w:firstLine="284"/>
        <w:rPr>
          <w:rFonts w:asciiTheme="minorHAnsi" w:hAnsiTheme="minorHAnsi"/>
          <w:sz w:val="22"/>
          <w:szCs w:val="22"/>
          <w:lang w:val="en-GB"/>
        </w:rPr>
      </w:pPr>
      <w:r w:rsidRPr="009B6371">
        <w:rPr>
          <w:rFonts w:asciiTheme="minorHAnsi" w:hAnsiTheme="minorHAnsi"/>
          <w:sz w:val="22"/>
          <w:szCs w:val="22"/>
          <w:lang w:val="en-GB"/>
        </w:rPr>
        <w:t xml:space="preserve">In England, </w:t>
      </w:r>
      <w:r w:rsidR="00EB42EE" w:rsidRPr="009B6371">
        <w:rPr>
          <w:rFonts w:asciiTheme="minorHAnsi" w:hAnsiTheme="minorHAnsi"/>
          <w:sz w:val="22"/>
          <w:szCs w:val="22"/>
          <w:lang w:val="en-GB"/>
        </w:rPr>
        <w:t xml:space="preserve">the </w:t>
      </w:r>
      <w:r w:rsidRPr="009B6371">
        <w:rPr>
          <w:rFonts w:asciiTheme="minorHAnsi" w:hAnsiTheme="minorHAnsi"/>
          <w:sz w:val="22"/>
          <w:szCs w:val="22"/>
          <w:lang w:val="en-GB"/>
        </w:rPr>
        <w:t>transition through the stages of the model p</w:t>
      </w:r>
      <w:r w:rsidR="00B33AE8">
        <w:rPr>
          <w:rFonts w:asciiTheme="minorHAnsi" w:hAnsiTheme="minorHAnsi"/>
          <w:sz w:val="22"/>
          <w:szCs w:val="22"/>
          <w:lang w:val="en-GB"/>
        </w:rPr>
        <w:t>r</w:t>
      </w:r>
      <w:r w:rsidRPr="009B6371">
        <w:rPr>
          <w:rFonts w:asciiTheme="minorHAnsi" w:hAnsiTheme="minorHAnsi"/>
          <w:sz w:val="22"/>
          <w:szCs w:val="22"/>
          <w:lang w:val="en-GB"/>
        </w:rPr>
        <w:t xml:space="preserve">oposed by </w:t>
      </w:r>
      <w:r w:rsidRPr="00B33AE8">
        <w:rPr>
          <w:rFonts w:asciiTheme="minorHAnsi" w:hAnsiTheme="minorHAnsi"/>
          <w:i/>
          <w:sz w:val="22"/>
          <w:szCs w:val="22"/>
          <w:lang w:val="en-GB"/>
        </w:rPr>
        <w:t>Van den Berg et al.</w:t>
      </w:r>
      <w:r w:rsidRPr="00B33AE8">
        <w:rPr>
          <w:rFonts w:asciiTheme="minorHAnsi" w:hAnsiTheme="minorHAnsi"/>
          <w:sz w:val="22"/>
          <w:szCs w:val="22"/>
          <w:lang w:val="en-GB"/>
        </w:rPr>
        <w:t xml:space="preserve"> </w:t>
      </w:r>
      <w:r w:rsidRPr="004D3A35">
        <w:rPr>
          <w:rFonts w:asciiTheme="minorHAnsi" w:hAnsiTheme="minorHAnsi"/>
          <w:sz w:val="22"/>
          <w:szCs w:val="22"/>
          <w:lang w:val="en-GB"/>
        </w:rPr>
        <w:t>(</w:t>
      </w:r>
      <w:r w:rsidRPr="00B33AE8">
        <w:rPr>
          <w:rFonts w:asciiTheme="minorHAnsi" w:hAnsiTheme="minorHAnsi"/>
          <w:sz w:val="22"/>
          <w:szCs w:val="22"/>
          <w:lang w:val="en-GB"/>
        </w:rPr>
        <w:t>1982</w:t>
      </w:r>
      <w:r w:rsidRPr="002F35EE">
        <w:rPr>
          <w:rFonts w:asciiTheme="minorHAnsi" w:hAnsiTheme="minorHAnsi"/>
          <w:sz w:val="22"/>
          <w:szCs w:val="22"/>
          <w:lang w:val="en-GB"/>
        </w:rPr>
        <w:t xml:space="preserve">) has </w:t>
      </w:r>
      <w:r w:rsidR="00EB42EE" w:rsidRPr="003E751B">
        <w:rPr>
          <w:rFonts w:asciiTheme="minorHAnsi" w:hAnsiTheme="minorHAnsi"/>
          <w:sz w:val="22"/>
          <w:szCs w:val="22"/>
          <w:lang w:val="en-GB"/>
        </w:rPr>
        <w:t xml:space="preserve">thus </w:t>
      </w:r>
      <w:r w:rsidRPr="00185AD2">
        <w:rPr>
          <w:rFonts w:asciiTheme="minorHAnsi" w:hAnsiTheme="minorHAnsi"/>
          <w:sz w:val="22"/>
          <w:szCs w:val="22"/>
          <w:lang w:val="en-GB"/>
        </w:rPr>
        <w:t xml:space="preserve">been </w:t>
      </w:r>
      <w:r w:rsidR="00185AD2">
        <w:rPr>
          <w:rFonts w:asciiTheme="minorHAnsi" w:hAnsiTheme="minorHAnsi"/>
          <w:sz w:val="22"/>
          <w:szCs w:val="22"/>
          <w:lang w:val="en-GB"/>
        </w:rPr>
        <w:t>partly driven by a</w:t>
      </w:r>
      <w:r w:rsidR="00EB42EE" w:rsidRPr="00185AD2">
        <w:rPr>
          <w:rFonts w:asciiTheme="minorHAnsi" w:hAnsiTheme="minorHAnsi"/>
          <w:sz w:val="22"/>
          <w:szCs w:val="22"/>
          <w:lang w:val="en-GB"/>
        </w:rPr>
        <w:t xml:space="preserve"> </w:t>
      </w:r>
      <w:r w:rsidR="00EB42EE" w:rsidRPr="004D3A35">
        <w:rPr>
          <w:rFonts w:asciiTheme="minorHAnsi" w:hAnsiTheme="minorHAnsi"/>
          <w:sz w:val="22"/>
          <w:szCs w:val="22"/>
          <w:lang w:val="en-GB"/>
        </w:rPr>
        <w:t xml:space="preserve">policy framework </w:t>
      </w:r>
      <w:r w:rsidR="00185AD2">
        <w:rPr>
          <w:rFonts w:asciiTheme="minorHAnsi" w:hAnsiTheme="minorHAnsi"/>
          <w:sz w:val="22"/>
          <w:szCs w:val="22"/>
          <w:lang w:val="en-GB"/>
        </w:rPr>
        <w:t xml:space="preserve">and planning culture </w:t>
      </w:r>
      <w:r w:rsidR="00EB42EE" w:rsidRPr="002F35EE">
        <w:rPr>
          <w:rFonts w:asciiTheme="minorHAnsi" w:hAnsiTheme="minorHAnsi"/>
          <w:sz w:val="22"/>
          <w:szCs w:val="22"/>
          <w:lang w:val="en-GB"/>
        </w:rPr>
        <w:t xml:space="preserve">which has </w:t>
      </w:r>
      <w:r w:rsidR="009B6371" w:rsidRPr="009B6371">
        <w:rPr>
          <w:rFonts w:asciiTheme="minorHAnsi" w:hAnsiTheme="minorHAnsi"/>
          <w:sz w:val="22"/>
          <w:szCs w:val="22"/>
          <w:lang w:val="en-GB"/>
        </w:rPr>
        <w:t>had</w:t>
      </w:r>
      <w:r w:rsidR="009B6371">
        <w:rPr>
          <w:rFonts w:asciiTheme="minorHAnsi" w:hAnsiTheme="minorHAnsi"/>
          <w:sz w:val="22"/>
          <w:szCs w:val="22"/>
          <w:lang w:val="en-GB"/>
        </w:rPr>
        <w:t xml:space="preserve"> </w:t>
      </w:r>
      <w:r w:rsidR="00EB42EE" w:rsidRPr="004D3A35">
        <w:rPr>
          <w:rFonts w:asciiTheme="minorHAnsi" w:hAnsiTheme="minorHAnsi"/>
          <w:sz w:val="22"/>
          <w:szCs w:val="22"/>
          <w:lang w:val="en-GB"/>
        </w:rPr>
        <w:t>both decentrali</w:t>
      </w:r>
      <w:r w:rsidRPr="004D3A35">
        <w:rPr>
          <w:rFonts w:asciiTheme="minorHAnsi" w:hAnsiTheme="minorHAnsi"/>
          <w:sz w:val="22"/>
          <w:szCs w:val="22"/>
          <w:lang w:val="en-GB"/>
        </w:rPr>
        <w:t>s</w:t>
      </w:r>
      <w:r w:rsidR="00EB42EE" w:rsidRPr="004D3A35">
        <w:rPr>
          <w:rFonts w:asciiTheme="minorHAnsi" w:hAnsiTheme="minorHAnsi"/>
          <w:sz w:val="22"/>
          <w:szCs w:val="22"/>
          <w:lang w:val="en-GB"/>
        </w:rPr>
        <w:t xml:space="preserve">ing </w:t>
      </w:r>
      <w:r w:rsidR="00185AD2" w:rsidRPr="008275E7">
        <w:rPr>
          <w:rFonts w:asciiTheme="minorHAnsi" w:hAnsiTheme="minorHAnsi"/>
          <w:sz w:val="22"/>
          <w:szCs w:val="22"/>
          <w:lang w:val="en-GB"/>
        </w:rPr>
        <w:t>effects</w:t>
      </w:r>
      <w:r w:rsidR="00185AD2" w:rsidRPr="00185AD2">
        <w:rPr>
          <w:rFonts w:asciiTheme="minorHAnsi" w:hAnsiTheme="minorHAnsi"/>
          <w:sz w:val="22"/>
          <w:szCs w:val="22"/>
          <w:lang w:val="en-GB"/>
        </w:rPr>
        <w:t xml:space="preserve"> </w:t>
      </w:r>
      <w:r w:rsidR="00185AD2">
        <w:rPr>
          <w:rFonts w:asciiTheme="minorHAnsi" w:hAnsiTheme="minorHAnsi"/>
          <w:sz w:val="22"/>
          <w:szCs w:val="22"/>
          <w:lang w:val="en-GB"/>
        </w:rPr>
        <w:t xml:space="preserve">on </w:t>
      </w:r>
      <w:r w:rsidR="00EB42EE" w:rsidRPr="002F35EE">
        <w:rPr>
          <w:rFonts w:asciiTheme="minorHAnsi" w:hAnsiTheme="minorHAnsi"/>
          <w:sz w:val="22"/>
          <w:szCs w:val="22"/>
          <w:lang w:val="en-GB"/>
        </w:rPr>
        <w:t>urbani</w:t>
      </w:r>
      <w:r w:rsidRPr="002F35EE">
        <w:rPr>
          <w:rFonts w:asciiTheme="minorHAnsi" w:hAnsiTheme="minorHAnsi"/>
          <w:sz w:val="22"/>
          <w:szCs w:val="22"/>
          <w:lang w:val="en-GB"/>
        </w:rPr>
        <w:t>s</w:t>
      </w:r>
      <w:r w:rsidR="00EB42EE" w:rsidRPr="002F35EE">
        <w:rPr>
          <w:rFonts w:asciiTheme="minorHAnsi" w:hAnsiTheme="minorHAnsi"/>
          <w:sz w:val="22"/>
          <w:szCs w:val="22"/>
          <w:lang w:val="en-GB"/>
        </w:rPr>
        <w:t xml:space="preserve">ation </w:t>
      </w:r>
      <w:r w:rsidR="00185AD2" w:rsidRPr="00185AD2">
        <w:rPr>
          <w:rFonts w:asciiTheme="minorHAnsi" w:hAnsiTheme="minorHAnsi"/>
          <w:sz w:val="22"/>
          <w:szCs w:val="22"/>
          <w:lang w:val="en-GB"/>
        </w:rPr>
        <w:t>(</w:t>
      </w:r>
      <w:r w:rsidR="00185AD2">
        <w:rPr>
          <w:rFonts w:asciiTheme="minorHAnsi" w:hAnsiTheme="minorHAnsi"/>
          <w:sz w:val="22"/>
          <w:szCs w:val="22"/>
          <w:lang w:val="en-GB"/>
        </w:rPr>
        <w:t>N</w:t>
      </w:r>
      <w:r w:rsidR="00185AD2" w:rsidRPr="00185AD2">
        <w:rPr>
          <w:rFonts w:asciiTheme="minorHAnsi" w:hAnsiTheme="minorHAnsi"/>
          <w:sz w:val="22"/>
          <w:szCs w:val="22"/>
          <w:lang w:val="en-GB"/>
        </w:rPr>
        <w:t xml:space="preserve">ew </w:t>
      </w:r>
      <w:r w:rsidR="00185AD2">
        <w:rPr>
          <w:rFonts w:asciiTheme="minorHAnsi" w:hAnsiTheme="minorHAnsi"/>
          <w:sz w:val="22"/>
          <w:szCs w:val="22"/>
          <w:lang w:val="en-GB"/>
        </w:rPr>
        <w:t>T</w:t>
      </w:r>
      <w:r w:rsidR="00EB42EE" w:rsidRPr="002F35EE">
        <w:rPr>
          <w:rFonts w:asciiTheme="minorHAnsi" w:hAnsiTheme="minorHAnsi"/>
          <w:sz w:val="22"/>
          <w:szCs w:val="22"/>
          <w:lang w:val="en-GB"/>
        </w:rPr>
        <w:t xml:space="preserve">owns and later </w:t>
      </w:r>
      <w:r w:rsidR="00185AD2">
        <w:rPr>
          <w:rFonts w:asciiTheme="minorHAnsi" w:hAnsiTheme="minorHAnsi"/>
          <w:sz w:val="22"/>
          <w:szCs w:val="22"/>
          <w:lang w:val="en-GB"/>
        </w:rPr>
        <w:t xml:space="preserve">the </w:t>
      </w:r>
      <w:r w:rsidRPr="002F35EE">
        <w:rPr>
          <w:rFonts w:asciiTheme="minorHAnsi" w:hAnsiTheme="minorHAnsi"/>
          <w:sz w:val="22"/>
          <w:szCs w:val="22"/>
          <w:lang w:val="en-GB"/>
        </w:rPr>
        <w:t>development of</w:t>
      </w:r>
      <w:r w:rsidR="00EB42EE" w:rsidRPr="002F35EE">
        <w:rPr>
          <w:rFonts w:asciiTheme="minorHAnsi" w:hAnsiTheme="minorHAnsi"/>
          <w:sz w:val="22"/>
          <w:szCs w:val="22"/>
          <w:lang w:val="en-GB"/>
        </w:rPr>
        <w:t xml:space="preserve"> mostly </w:t>
      </w:r>
      <w:r w:rsidRPr="002F35EE">
        <w:rPr>
          <w:rFonts w:asciiTheme="minorHAnsi" w:hAnsiTheme="minorHAnsi"/>
          <w:sz w:val="22"/>
          <w:szCs w:val="22"/>
          <w:lang w:val="en-GB"/>
        </w:rPr>
        <w:t xml:space="preserve">private, mostly </w:t>
      </w:r>
      <w:r w:rsidR="00EB42EE" w:rsidRPr="002F35EE">
        <w:rPr>
          <w:rFonts w:asciiTheme="minorHAnsi" w:hAnsiTheme="minorHAnsi"/>
          <w:sz w:val="22"/>
          <w:szCs w:val="22"/>
          <w:lang w:val="en-GB"/>
        </w:rPr>
        <w:t>suburban</w:t>
      </w:r>
      <w:r w:rsidR="00185AD2">
        <w:rPr>
          <w:rFonts w:asciiTheme="minorHAnsi" w:hAnsiTheme="minorHAnsi"/>
          <w:sz w:val="22"/>
          <w:szCs w:val="22"/>
          <w:lang w:val="en-GB"/>
        </w:rPr>
        <w:t>,</w:t>
      </w:r>
      <w:r w:rsidR="00EB42EE" w:rsidRPr="002F35EE">
        <w:rPr>
          <w:rFonts w:asciiTheme="minorHAnsi" w:hAnsiTheme="minorHAnsi"/>
          <w:sz w:val="22"/>
          <w:szCs w:val="22"/>
          <w:lang w:val="en-GB"/>
        </w:rPr>
        <w:t xml:space="preserve"> housebuilding) and </w:t>
      </w:r>
      <w:r w:rsidRPr="002F35EE">
        <w:rPr>
          <w:rFonts w:asciiTheme="minorHAnsi" w:hAnsiTheme="minorHAnsi"/>
          <w:sz w:val="22"/>
          <w:szCs w:val="22"/>
          <w:lang w:val="en-GB"/>
        </w:rPr>
        <w:t>certain centrali</w:t>
      </w:r>
      <w:r w:rsidRPr="00B047DB">
        <w:rPr>
          <w:rFonts w:asciiTheme="minorHAnsi" w:hAnsiTheme="minorHAnsi"/>
          <w:sz w:val="22"/>
          <w:szCs w:val="22"/>
          <w:lang w:val="en-GB"/>
        </w:rPr>
        <w:t>s</w:t>
      </w:r>
      <w:r w:rsidRPr="002F35EE">
        <w:rPr>
          <w:rFonts w:asciiTheme="minorHAnsi" w:hAnsiTheme="minorHAnsi"/>
          <w:sz w:val="22"/>
          <w:szCs w:val="22"/>
          <w:lang w:val="en-GB"/>
        </w:rPr>
        <w:t xml:space="preserve">ing/reurbanising, </w:t>
      </w:r>
      <w:r w:rsidR="00EB42EE" w:rsidRPr="002F35EE">
        <w:rPr>
          <w:rFonts w:asciiTheme="minorHAnsi" w:hAnsiTheme="minorHAnsi"/>
          <w:sz w:val="22"/>
          <w:szCs w:val="22"/>
          <w:lang w:val="en-GB"/>
        </w:rPr>
        <w:t>effects (</w:t>
      </w:r>
      <w:r w:rsidR="00185AD2">
        <w:rPr>
          <w:rFonts w:asciiTheme="minorHAnsi" w:hAnsiTheme="minorHAnsi"/>
          <w:sz w:val="22"/>
          <w:szCs w:val="22"/>
          <w:lang w:val="en-GB"/>
        </w:rPr>
        <w:t xml:space="preserve">strong </w:t>
      </w:r>
      <w:r w:rsidR="00EB42EE" w:rsidRPr="002F35EE">
        <w:rPr>
          <w:rFonts w:asciiTheme="minorHAnsi" w:hAnsiTheme="minorHAnsi"/>
          <w:sz w:val="22"/>
          <w:szCs w:val="22"/>
          <w:lang w:val="en-GB"/>
        </w:rPr>
        <w:t xml:space="preserve">urban containment, </w:t>
      </w:r>
      <w:r w:rsidR="00185AD2">
        <w:rPr>
          <w:rFonts w:asciiTheme="minorHAnsi" w:hAnsiTheme="minorHAnsi"/>
          <w:sz w:val="22"/>
          <w:szCs w:val="22"/>
          <w:lang w:val="en-GB"/>
        </w:rPr>
        <w:t xml:space="preserve">and </w:t>
      </w:r>
      <w:r w:rsidR="00EB42EE" w:rsidRPr="001433B8">
        <w:rPr>
          <w:rFonts w:asciiTheme="minorHAnsi" w:hAnsiTheme="minorHAnsi"/>
          <w:sz w:val="22"/>
          <w:szCs w:val="22"/>
          <w:lang w:val="en-GB"/>
        </w:rPr>
        <w:t xml:space="preserve">urban regeneration </w:t>
      </w:r>
      <w:r w:rsidR="00185AD2">
        <w:rPr>
          <w:rFonts w:asciiTheme="minorHAnsi" w:hAnsiTheme="minorHAnsi"/>
          <w:sz w:val="22"/>
          <w:szCs w:val="22"/>
          <w:lang w:val="en-GB"/>
        </w:rPr>
        <w:t>policy</w:t>
      </w:r>
      <w:r w:rsidR="00EB42EE" w:rsidRPr="00B047DB">
        <w:rPr>
          <w:rFonts w:asciiTheme="minorHAnsi" w:hAnsiTheme="minorHAnsi"/>
          <w:sz w:val="22"/>
          <w:szCs w:val="22"/>
          <w:lang w:val="en-GB"/>
        </w:rPr>
        <w:t>).</w:t>
      </w:r>
      <w:r w:rsidR="0028452A">
        <w:rPr>
          <w:rFonts w:asciiTheme="minorHAnsi" w:hAnsiTheme="minorHAnsi"/>
          <w:sz w:val="22"/>
          <w:szCs w:val="22"/>
          <w:lang w:val="en-GB"/>
        </w:rPr>
        <w:t xml:space="preserve"> </w:t>
      </w:r>
      <w:r w:rsidR="009B6371">
        <w:rPr>
          <w:rFonts w:asciiTheme="minorHAnsi" w:hAnsiTheme="minorHAnsi"/>
          <w:sz w:val="22"/>
          <w:szCs w:val="22"/>
          <w:lang w:val="en-GB"/>
        </w:rPr>
        <w:t>The reurbanisation tendencies which have gathered pace in the first decades of the 21</w:t>
      </w:r>
      <w:r w:rsidR="009B6371" w:rsidRPr="001433B8">
        <w:rPr>
          <w:rFonts w:asciiTheme="minorHAnsi" w:hAnsiTheme="minorHAnsi"/>
          <w:sz w:val="22"/>
          <w:szCs w:val="22"/>
          <w:vertAlign w:val="superscript"/>
          <w:lang w:val="en-GB"/>
        </w:rPr>
        <w:t>st</w:t>
      </w:r>
      <w:r w:rsidR="009B6371">
        <w:rPr>
          <w:rFonts w:asciiTheme="minorHAnsi" w:hAnsiTheme="minorHAnsi"/>
          <w:sz w:val="22"/>
          <w:szCs w:val="22"/>
          <w:lang w:val="en-GB"/>
        </w:rPr>
        <w:t xml:space="preserve"> century, and new </w:t>
      </w:r>
      <w:r w:rsidR="00245065" w:rsidRPr="009B6371">
        <w:rPr>
          <w:rFonts w:asciiTheme="minorHAnsi" w:hAnsiTheme="minorHAnsi"/>
          <w:sz w:val="22"/>
          <w:szCs w:val="22"/>
          <w:lang w:val="en-GB"/>
        </w:rPr>
        <w:t xml:space="preserve">processes of rebuilding </w:t>
      </w:r>
      <w:r w:rsidR="009B25B8" w:rsidRPr="009B6371">
        <w:rPr>
          <w:rFonts w:asciiTheme="minorHAnsi" w:hAnsiTheme="minorHAnsi"/>
          <w:sz w:val="22"/>
          <w:szCs w:val="22"/>
          <w:lang w:val="en-GB"/>
        </w:rPr>
        <w:t xml:space="preserve">institutional </w:t>
      </w:r>
      <w:r w:rsidR="00245065" w:rsidRPr="009B6371">
        <w:rPr>
          <w:rFonts w:asciiTheme="minorHAnsi" w:hAnsiTheme="minorHAnsi"/>
          <w:sz w:val="22"/>
          <w:szCs w:val="22"/>
          <w:lang w:val="en-GB"/>
        </w:rPr>
        <w:t xml:space="preserve">capacity to act at city regional scale </w:t>
      </w:r>
      <w:r w:rsidR="009B6371">
        <w:rPr>
          <w:rFonts w:asciiTheme="minorHAnsi" w:hAnsiTheme="minorHAnsi"/>
          <w:sz w:val="22"/>
          <w:szCs w:val="22"/>
          <w:lang w:val="en-GB"/>
        </w:rPr>
        <w:t xml:space="preserve">thus in many ways mark a notable departure from the previous trends and experience outlined above, but they are </w:t>
      </w:r>
      <w:r w:rsidR="00245065" w:rsidRPr="009B6371">
        <w:rPr>
          <w:rFonts w:asciiTheme="minorHAnsi" w:hAnsiTheme="minorHAnsi"/>
          <w:sz w:val="22"/>
          <w:szCs w:val="22"/>
          <w:lang w:val="en-GB"/>
        </w:rPr>
        <w:t xml:space="preserve">not unproblematic raising issues such as: </w:t>
      </w:r>
    </w:p>
    <w:p w14:paraId="713D4D63" w14:textId="77777777" w:rsidR="009E6817" w:rsidRPr="009B6371" w:rsidRDefault="009E6817" w:rsidP="001433B8">
      <w:pPr>
        <w:rPr>
          <w:rFonts w:asciiTheme="minorHAnsi" w:hAnsiTheme="minorHAnsi"/>
          <w:sz w:val="22"/>
          <w:szCs w:val="22"/>
          <w:lang w:val="en-GB"/>
        </w:rPr>
      </w:pPr>
    </w:p>
    <w:p w14:paraId="57CEB0E5" w14:textId="77777777" w:rsidR="009E6817" w:rsidRPr="00D707E7" w:rsidRDefault="00245065" w:rsidP="001433B8">
      <w:pPr>
        <w:pStyle w:val="ListParagraph"/>
        <w:numPr>
          <w:ilvl w:val="0"/>
          <w:numId w:val="17"/>
        </w:numPr>
        <w:spacing w:after="0" w:line="240" w:lineRule="auto"/>
      </w:pPr>
      <w:r w:rsidRPr="009B6371">
        <w:t xml:space="preserve">does this agenda privilege the largest cities and city regions at the expense of development beyond </w:t>
      </w:r>
      <w:proofErr w:type="gramStart"/>
      <w:r w:rsidRPr="009B6371">
        <w:t>these?;</w:t>
      </w:r>
      <w:proofErr w:type="gramEnd"/>
      <w:r w:rsidRPr="009B6371">
        <w:t xml:space="preserve"> </w:t>
      </w:r>
    </w:p>
    <w:p w14:paraId="55EFBFB8" w14:textId="7AD115C4" w:rsidR="009E6817" w:rsidRPr="00CD3A63" w:rsidRDefault="00245065" w:rsidP="001433B8">
      <w:pPr>
        <w:pStyle w:val="ListParagraph"/>
        <w:numPr>
          <w:ilvl w:val="0"/>
          <w:numId w:val="17"/>
        </w:numPr>
        <w:spacing w:after="0" w:line="240" w:lineRule="auto"/>
      </w:pPr>
      <w:r w:rsidRPr="00096554">
        <w:t xml:space="preserve">how can shared agendas </w:t>
      </w:r>
      <w:r w:rsidR="009E6817" w:rsidRPr="00CD3A63">
        <w:t xml:space="preserve">and solidarities </w:t>
      </w:r>
      <w:r w:rsidRPr="00CD3A63">
        <w:t xml:space="preserve">be established between thriving urban cores and </w:t>
      </w:r>
      <w:proofErr w:type="gramStart"/>
      <w:r w:rsidRPr="00CD3A63">
        <w:t>peripheries?;</w:t>
      </w:r>
      <w:proofErr w:type="gramEnd"/>
      <w:r w:rsidRPr="00CD3A63">
        <w:t xml:space="preserve"> </w:t>
      </w:r>
    </w:p>
    <w:p w14:paraId="093CE520" w14:textId="77777777" w:rsidR="00D707E7" w:rsidRDefault="00245065" w:rsidP="001433B8">
      <w:pPr>
        <w:pStyle w:val="ListParagraph"/>
        <w:numPr>
          <w:ilvl w:val="0"/>
          <w:numId w:val="17"/>
        </w:numPr>
        <w:spacing w:after="0" w:line="240" w:lineRule="auto"/>
      </w:pPr>
      <w:r w:rsidRPr="00CD3A63">
        <w:t xml:space="preserve">will the ‘devolution/decentralisation’ of powers by the state be accompanied by adequate </w:t>
      </w:r>
      <w:proofErr w:type="gramStart"/>
      <w:r w:rsidRPr="00CD3A63">
        <w:t>resourcing?;</w:t>
      </w:r>
      <w:proofErr w:type="gramEnd"/>
      <w:r w:rsidRPr="00CD3A63">
        <w:t xml:space="preserve"> </w:t>
      </w:r>
    </w:p>
    <w:p w14:paraId="15DE2CEF" w14:textId="002EB3A0" w:rsidR="009E6817" w:rsidRPr="00D707E7" w:rsidRDefault="00245065" w:rsidP="001433B8">
      <w:pPr>
        <w:pStyle w:val="ListParagraph"/>
        <w:numPr>
          <w:ilvl w:val="0"/>
          <w:numId w:val="17"/>
        </w:numPr>
        <w:spacing w:after="0" w:line="240" w:lineRule="auto"/>
      </w:pPr>
      <w:r w:rsidRPr="00D707E7">
        <w:t xml:space="preserve">how will political processes work and consensus be built across new, or strengthened metropolitan </w:t>
      </w:r>
      <w:proofErr w:type="gramStart"/>
      <w:r w:rsidRPr="00D707E7">
        <w:t>territories</w:t>
      </w:r>
      <w:r w:rsidR="00D707E7" w:rsidRPr="00096554">
        <w:t>?</w:t>
      </w:r>
      <w:r w:rsidR="00D707E7" w:rsidRPr="00CD3A63">
        <w:t>;</w:t>
      </w:r>
      <w:proofErr w:type="gramEnd"/>
      <w:r w:rsidR="00D707E7" w:rsidRPr="00CD3A63">
        <w:t xml:space="preserve"> will we witness </w:t>
      </w:r>
      <w:r w:rsidR="00D707E7" w:rsidRPr="001F7AAC">
        <w:t>rising political conflicts in the core–periphery relationship?</w:t>
      </w:r>
      <w:r w:rsidRPr="00D707E7">
        <w:t xml:space="preserve">; and, </w:t>
      </w:r>
    </w:p>
    <w:p w14:paraId="385637F4" w14:textId="77777777" w:rsidR="009E6817" w:rsidRPr="00096554" w:rsidRDefault="00245065" w:rsidP="001433B8">
      <w:pPr>
        <w:pStyle w:val="ListParagraph"/>
        <w:numPr>
          <w:ilvl w:val="0"/>
          <w:numId w:val="17"/>
        </w:numPr>
        <w:spacing w:after="0" w:line="240" w:lineRule="auto"/>
      </w:pPr>
      <w:r w:rsidRPr="00D707E7">
        <w:t xml:space="preserve">what happens to places on the peripheries, or which lie on the edge of or even outside the ambit of such new territorial groupings? </w:t>
      </w:r>
    </w:p>
    <w:p w14:paraId="394F5D11" w14:textId="77777777" w:rsidR="009E6817" w:rsidRPr="003E751B" w:rsidRDefault="009E6817" w:rsidP="001433B8">
      <w:pPr>
        <w:rPr>
          <w:rFonts w:asciiTheme="minorHAnsi" w:hAnsiTheme="minorHAnsi"/>
          <w:sz w:val="22"/>
          <w:szCs w:val="22"/>
          <w:lang w:val="en-GB"/>
        </w:rPr>
      </w:pPr>
    </w:p>
    <w:p w14:paraId="79AFEA6B" w14:textId="5EAD4C27" w:rsidR="00EF0B03" w:rsidRPr="003E751B" w:rsidRDefault="00245065" w:rsidP="001433B8">
      <w:pPr>
        <w:rPr>
          <w:rFonts w:asciiTheme="minorHAnsi" w:hAnsiTheme="minorHAnsi"/>
          <w:sz w:val="22"/>
          <w:szCs w:val="22"/>
          <w:lang w:val="en-GB"/>
        </w:rPr>
      </w:pPr>
      <w:r w:rsidRPr="003E751B">
        <w:rPr>
          <w:rFonts w:asciiTheme="minorHAnsi" w:hAnsiTheme="minorHAnsi"/>
          <w:sz w:val="22"/>
          <w:szCs w:val="22"/>
          <w:lang w:val="en-GB"/>
        </w:rPr>
        <w:t xml:space="preserve">It is to the consideration of one such area which lies between the city regions of Liverpool and Greater Manchester that the paper now turns. </w:t>
      </w:r>
    </w:p>
    <w:p w14:paraId="6CC0F6B1" w14:textId="77777777" w:rsidR="000F4D9C" w:rsidRPr="00185AD2" w:rsidRDefault="000F4D9C" w:rsidP="00D9599A">
      <w:pPr>
        <w:rPr>
          <w:rFonts w:ascii="Calibri" w:hAnsi="Calibri"/>
          <w:sz w:val="22"/>
          <w:szCs w:val="22"/>
          <w:lang w:val="en-GB"/>
        </w:rPr>
      </w:pPr>
    </w:p>
    <w:p w14:paraId="41C4CCD3" w14:textId="77777777" w:rsidR="007725E5" w:rsidRPr="003E751B" w:rsidRDefault="00CA0F7F" w:rsidP="00D9599A">
      <w:pPr>
        <w:keepNext/>
        <w:ind w:left="567" w:hanging="567"/>
        <w:rPr>
          <w:rFonts w:ascii="Calibri" w:hAnsi="Calibri"/>
          <w:b/>
          <w:sz w:val="22"/>
          <w:szCs w:val="22"/>
          <w:lang w:val="en-GB"/>
        </w:rPr>
      </w:pPr>
      <w:r w:rsidRPr="003E751B">
        <w:rPr>
          <w:rFonts w:ascii="Calibri" w:hAnsi="Calibri"/>
          <w:b/>
          <w:sz w:val="22"/>
          <w:szCs w:val="22"/>
          <w:lang w:val="en-GB"/>
        </w:rPr>
        <w:t>3</w:t>
      </w:r>
      <w:r w:rsidRPr="003E751B">
        <w:rPr>
          <w:rFonts w:ascii="Calibri" w:hAnsi="Calibri"/>
          <w:b/>
          <w:sz w:val="22"/>
          <w:szCs w:val="22"/>
          <w:lang w:val="en-GB"/>
        </w:rPr>
        <w:tab/>
      </w:r>
      <w:r w:rsidR="007725E5" w:rsidRPr="003E751B">
        <w:rPr>
          <w:rFonts w:ascii="Calibri" w:hAnsi="Calibri"/>
          <w:b/>
          <w:sz w:val="22"/>
          <w:szCs w:val="22"/>
          <w:lang w:val="en-GB"/>
        </w:rPr>
        <w:t>Data and Methods</w:t>
      </w:r>
    </w:p>
    <w:p w14:paraId="35F2A37A" w14:textId="1C218E35" w:rsidR="001B2F66" w:rsidRPr="003E751B" w:rsidRDefault="00854379" w:rsidP="00D9599A">
      <w:pPr>
        <w:rPr>
          <w:rFonts w:ascii="Calibri" w:hAnsi="Calibri"/>
          <w:sz w:val="22"/>
          <w:szCs w:val="22"/>
          <w:lang w:val="en-GB"/>
        </w:rPr>
      </w:pPr>
      <w:r w:rsidRPr="003E751B">
        <w:rPr>
          <w:rFonts w:ascii="Calibri" w:hAnsi="Calibri"/>
          <w:sz w:val="22"/>
          <w:szCs w:val="22"/>
          <w:lang w:val="en-GB"/>
        </w:rPr>
        <w:t xml:space="preserve">The research </w:t>
      </w:r>
      <w:r w:rsidR="001F0BE9" w:rsidRPr="003E751B">
        <w:rPr>
          <w:rFonts w:ascii="Calibri" w:hAnsi="Calibri"/>
          <w:sz w:val="22"/>
          <w:szCs w:val="22"/>
          <w:lang w:val="en-GB"/>
        </w:rPr>
        <w:t>combine</w:t>
      </w:r>
      <w:r w:rsidR="00975ADF" w:rsidRPr="003E751B">
        <w:rPr>
          <w:rFonts w:ascii="Calibri" w:hAnsi="Calibri"/>
          <w:sz w:val="22"/>
          <w:szCs w:val="22"/>
          <w:lang w:val="en-GB"/>
        </w:rPr>
        <w:t>s</w:t>
      </w:r>
      <w:r w:rsidR="001F0BE9" w:rsidRPr="003E751B">
        <w:rPr>
          <w:rFonts w:ascii="Calibri" w:hAnsi="Calibri"/>
          <w:sz w:val="22"/>
          <w:szCs w:val="22"/>
          <w:lang w:val="en-GB"/>
        </w:rPr>
        <w:t xml:space="preserve"> a quantitative approach displaying</w:t>
      </w:r>
      <w:r w:rsidR="00082B54" w:rsidRPr="003E751B">
        <w:rPr>
          <w:rFonts w:ascii="Calibri" w:hAnsi="Calibri"/>
          <w:sz w:val="22"/>
          <w:szCs w:val="22"/>
          <w:lang w:val="en-GB"/>
        </w:rPr>
        <w:t xml:space="preserve"> </w:t>
      </w:r>
      <w:r w:rsidR="001F0BE9" w:rsidRPr="003E751B">
        <w:rPr>
          <w:rFonts w:ascii="Calibri" w:hAnsi="Calibri"/>
          <w:sz w:val="22"/>
          <w:szCs w:val="22"/>
          <w:lang w:val="en-GB"/>
        </w:rPr>
        <w:t>regional spatial trends in the Mersey Belt with a qualitative approach analysin</w:t>
      </w:r>
      <w:r w:rsidR="005900AB" w:rsidRPr="003E751B">
        <w:rPr>
          <w:rFonts w:ascii="Calibri" w:hAnsi="Calibri"/>
          <w:sz w:val="22"/>
          <w:szCs w:val="22"/>
          <w:lang w:val="en-GB"/>
        </w:rPr>
        <w:t>g the policy options for</w:t>
      </w:r>
      <w:r w:rsidR="009B25B8" w:rsidRPr="003E751B">
        <w:rPr>
          <w:rFonts w:ascii="Calibri" w:hAnsi="Calibri"/>
          <w:sz w:val="22"/>
          <w:szCs w:val="22"/>
          <w:lang w:val="en-GB"/>
        </w:rPr>
        <w:t xml:space="preserve"> a specific</w:t>
      </w:r>
      <w:r w:rsidR="005900AB" w:rsidRPr="003E751B">
        <w:rPr>
          <w:rFonts w:ascii="Calibri" w:hAnsi="Calibri"/>
          <w:sz w:val="22"/>
          <w:szCs w:val="22"/>
          <w:lang w:val="en-GB"/>
        </w:rPr>
        <w:t xml:space="preserve"> local authorit</w:t>
      </w:r>
      <w:r w:rsidR="009B25B8" w:rsidRPr="003E751B">
        <w:rPr>
          <w:rFonts w:ascii="Calibri" w:hAnsi="Calibri"/>
          <w:sz w:val="22"/>
          <w:szCs w:val="22"/>
          <w:lang w:val="en-GB"/>
        </w:rPr>
        <w:t>y</w:t>
      </w:r>
      <w:r w:rsidR="005900AB" w:rsidRPr="003E751B">
        <w:rPr>
          <w:rFonts w:ascii="Calibri" w:hAnsi="Calibri"/>
          <w:sz w:val="22"/>
          <w:szCs w:val="22"/>
          <w:lang w:val="en-GB"/>
        </w:rPr>
        <w:t xml:space="preserve"> in the spatial in-between of </w:t>
      </w:r>
      <w:r w:rsidR="009B25B8" w:rsidRPr="003E751B">
        <w:rPr>
          <w:rFonts w:ascii="Calibri" w:hAnsi="Calibri"/>
          <w:sz w:val="22"/>
          <w:szCs w:val="22"/>
          <w:lang w:val="en-GB"/>
        </w:rPr>
        <w:t xml:space="preserve">an </w:t>
      </w:r>
      <w:r w:rsidR="005900AB" w:rsidRPr="003E751B">
        <w:rPr>
          <w:rFonts w:ascii="Calibri" w:hAnsi="Calibri"/>
          <w:sz w:val="22"/>
          <w:szCs w:val="22"/>
          <w:lang w:val="en-GB"/>
        </w:rPr>
        <w:t xml:space="preserve">urban region and how </w:t>
      </w:r>
      <w:r w:rsidR="009B25B8" w:rsidRPr="003E751B">
        <w:rPr>
          <w:rFonts w:ascii="Calibri" w:hAnsi="Calibri"/>
          <w:sz w:val="22"/>
          <w:szCs w:val="22"/>
          <w:lang w:val="en-GB"/>
        </w:rPr>
        <w:t>it</w:t>
      </w:r>
      <w:r w:rsidR="005900AB" w:rsidRPr="003E751B">
        <w:rPr>
          <w:rFonts w:ascii="Calibri" w:hAnsi="Calibri"/>
          <w:sz w:val="22"/>
          <w:szCs w:val="22"/>
          <w:lang w:val="en-GB"/>
        </w:rPr>
        <w:t xml:space="preserve"> </w:t>
      </w:r>
      <w:r w:rsidR="00826F4B" w:rsidRPr="003E751B">
        <w:rPr>
          <w:rFonts w:ascii="Calibri" w:hAnsi="Calibri"/>
          <w:sz w:val="22"/>
          <w:szCs w:val="22"/>
          <w:lang w:val="en-GB"/>
        </w:rPr>
        <w:t>addresses</w:t>
      </w:r>
      <w:r w:rsidR="005900AB" w:rsidRPr="003E751B">
        <w:rPr>
          <w:rFonts w:ascii="Calibri" w:hAnsi="Calibri"/>
          <w:sz w:val="22"/>
          <w:szCs w:val="22"/>
          <w:lang w:val="en-GB"/>
        </w:rPr>
        <w:t xml:space="preserve"> the</w:t>
      </w:r>
      <w:r w:rsidR="00826F4B" w:rsidRPr="003E751B">
        <w:rPr>
          <w:rFonts w:ascii="Calibri" w:hAnsi="Calibri"/>
          <w:sz w:val="22"/>
          <w:szCs w:val="22"/>
          <w:lang w:val="en-GB"/>
        </w:rPr>
        <w:t>se spatial trends in a context of an urban renaissance</w:t>
      </w:r>
      <w:r w:rsidR="005900AB" w:rsidRPr="003E751B">
        <w:rPr>
          <w:rFonts w:ascii="Calibri" w:hAnsi="Calibri"/>
          <w:sz w:val="22"/>
          <w:szCs w:val="22"/>
          <w:lang w:val="en-GB"/>
        </w:rPr>
        <w:t xml:space="preserve">. </w:t>
      </w:r>
    </w:p>
    <w:p w14:paraId="38765D95" w14:textId="77777777" w:rsidR="001B2D66" w:rsidRPr="003E751B" w:rsidRDefault="005F6634" w:rsidP="00A6627A">
      <w:pPr>
        <w:ind w:firstLine="284"/>
        <w:rPr>
          <w:rFonts w:ascii="Calibri" w:hAnsi="Calibri"/>
          <w:sz w:val="22"/>
          <w:szCs w:val="22"/>
          <w:lang w:val="en-GB"/>
        </w:rPr>
      </w:pPr>
      <w:r w:rsidRPr="003E751B">
        <w:rPr>
          <w:rFonts w:ascii="Calibri" w:hAnsi="Calibri"/>
          <w:sz w:val="22"/>
          <w:szCs w:val="22"/>
          <w:lang w:val="en-GB"/>
        </w:rPr>
        <w:t xml:space="preserve">The article looks at changes in the spatial distribution of population, jobs and </w:t>
      </w:r>
      <w:r w:rsidR="00EF3508" w:rsidRPr="003E751B">
        <w:rPr>
          <w:rFonts w:ascii="Calibri" w:hAnsi="Calibri"/>
          <w:sz w:val="22"/>
          <w:szCs w:val="22"/>
          <w:lang w:val="en-GB"/>
        </w:rPr>
        <w:t xml:space="preserve">deprivation to </w:t>
      </w:r>
      <w:r w:rsidR="001B2D66" w:rsidRPr="003E751B">
        <w:rPr>
          <w:rFonts w:ascii="Calibri" w:hAnsi="Calibri"/>
          <w:sz w:val="22"/>
          <w:szCs w:val="22"/>
          <w:lang w:val="en-GB"/>
        </w:rPr>
        <w:t xml:space="preserve">assess the implications of reurbanisation across the Manchester and Liverpool city regions in the North West of England since beginning of the Millennium. </w:t>
      </w:r>
      <w:r w:rsidR="00F443B1" w:rsidRPr="003E751B">
        <w:rPr>
          <w:rFonts w:ascii="Calibri" w:hAnsi="Calibri"/>
          <w:sz w:val="22"/>
          <w:szCs w:val="22"/>
          <w:lang w:val="en-GB"/>
        </w:rPr>
        <w:t xml:space="preserve">Measuring change is not easy as many indicators reflect only a specific moment in time, while being highly volatile and susceptible to external factors. </w:t>
      </w:r>
      <w:r w:rsidR="00C7646B" w:rsidRPr="003E751B">
        <w:rPr>
          <w:rFonts w:ascii="Calibri" w:hAnsi="Calibri"/>
          <w:sz w:val="22"/>
          <w:szCs w:val="22"/>
          <w:lang w:val="en-GB"/>
        </w:rPr>
        <w:t>Yet, starting with the early 2000</w:t>
      </w:r>
      <w:r w:rsidR="00717E9E" w:rsidRPr="003E751B">
        <w:rPr>
          <w:rFonts w:ascii="Calibri" w:hAnsi="Calibri"/>
          <w:sz w:val="22"/>
          <w:szCs w:val="22"/>
          <w:lang w:val="en-GB"/>
        </w:rPr>
        <w:t xml:space="preserve">s makes sense as most UK cities experienced </w:t>
      </w:r>
      <w:r w:rsidR="00B97A9A" w:rsidRPr="003E751B">
        <w:rPr>
          <w:rFonts w:ascii="Calibri" w:hAnsi="Calibri"/>
          <w:sz w:val="22"/>
          <w:szCs w:val="22"/>
          <w:lang w:val="en-GB"/>
        </w:rPr>
        <w:t>an all-time population low</w:t>
      </w:r>
      <w:r w:rsidR="001007B5" w:rsidRPr="003E751B">
        <w:rPr>
          <w:rFonts w:ascii="Calibri" w:hAnsi="Calibri"/>
          <w:sz w:val="22"/>
          <w:szCs w:val="22"/>
          <w:lang w:val="en-GB"/>
        </w:rPr>
        <w:t xml:space="preserve"> </w:t>
      </w:r>
      <w:r w:rsidR="00B97A9A" w:rsidRPr="003E751B">
        <w:rPr>
          <w:rFonts w:ascii="Calibri" w:hAnsi="Calibri"/>
          <w:sz w:val="22"/>
          <w:szCs w:val="22"/>
          <w:lang w:val="en-GB"/>
        </w:rPr>
        <w:t xml:space="preserve">in the 2001 </w:t>
      </w:r>
      <w:r w:rsidR="00B97A9A" w:rsidRPr="003E751B">
        <w:rPr>
          <w:rFonts w:ascii="Calibri" w:hAnsi="Calibri"/>
          <w:sz w:val="22"/>
          <w:szCs w:val="22"/>
          <w:lang w:val="en-GB"/>
        </w:rPr>
        <w:lastRenderedPageBreak/>
        <w:t>Census</w:t>
      </w:r>
      <w:r w:rsidR="00065A8B" w:rsidRPr="003E751B">
        <w:rPr>
          <w:rFonts w:ascii="Calibri" w:hAnsi="Calibri"/>
          <w:sz w:val="22"/>
          <w:szCs w:val="22"/>
          <w:lang w:val="en-GB"/>
        </w:rPr>
        <w:t xml:space="preserve"> (</w:t>
      </w:r>
      <w:r w:rsidR="00065A8B" w:rsidRPr="003E751B">
        <w:rPr>
          <w:rFonts w:ascii="Calibri" w:hAnsi="Calibri"/>
          <w:i/>
          <w:sz w:val="22"/>
          <w:szCs w:val="22"/>
          <w:lang w:val="en-GB"/>
        </w:rPr>
        <w:t xml:space="preserve">Parkinson et al. </w:t>
      </w:r>
      <w:r w:rsidR="00065A8B" w:rsidRPr="003E751B">
        <w:rPr>
          <w:rFonts w:ascii="Calibri" w:hAnsi="Calibri"/>
          <w:sz w:val="22"/>
          <w:szCs w:val="22"/>
          <w:lang w:val="en-GB"/>
        </w:rPr>
        <w:t>2006)</w:t>
      </w:r>
      <w:r w:rsidR="00717E9E" w:rsidRPr="003E751B">
        <w:rPr>
          <w:rFonts w:ascii="Calibri" w:hAnsi="Calibri"/>
          <w:sz w:val="22"/>
          <w:szCs w:val="22"/>
          <w:lang w:val="en-GB"/>
        </w:rPr>
        <w:t xml:space="preserve">. </w:t>
      </w:r>
      <w:r w:rsidR="00F443B1" w:rsidRPr="003E751B">
        <w:rPr>
          <w:rFonts w:ascii="Calibri" w:hAnsi="Calibri"/>
          <w:sz w:val="22"/>
          <w:szCs w:val="22"/>
          <w:lang w:val="en-GB"/>
        </w:rPr>
        <w:t xml:space="preserve">Due to data availability, it is not possible to choose the same time period for each indicator, unless we want to rely on relatively dated Census records of 2011. The </w:t>
      </w:r>
      <w:r w:rsidR="005133A5" w:rsidRPr="003E751B">
        <w:rPr>
          <w:rFonts w:ascii="Calibri" w:hAnsi="Calibri"/>
          <w:sz w:val="22"/>
          <w:szCs w:val="22"/>
          <w:lang w:val="en-GB"/>
        </w:rPr>
        <w:t>following</w:t>
      </w:r>
      <w:r w:rsidR="001B2D66" w:rsidRPr="003E751B">
        <w:rPr>
          <w:rFonts w:ascii="Calibri" w:hAnsi="Calibri"/>
          <w:sz w:val="22"/>
          <w:szCs w:val="22"/>
          <w:lang w:val="en-GB"/>
        </w:rPr>
        <w:t xml:space="preserve"> indicators </w:t>
      </w:r>
      <w:r w:rsidR="005133A5" w:rsidRPr="003E751B">
        <w:rPr>
          <w:rFonts w:ascii="Calibri" w:hAnsi="Calibri"/>
          <w:sz w:val="22"/>
          <w:szCs w:val="22"/>
          <w:lang w:val="en-GB"/>
        </w:rPr>
        <w:t xml:space="preserve">have been used: </w:t>
      </w:r>
    </w:p>
    <w:p w14:paraId="2FF0E3F0" w14:textId="77777777" w:rsidR="000F5AA8" w:rsidRPr="003E751B" w:rsidRDefault="00091DEF" w:rsidP="00D9599A">
      <w:pPr>
        <w:pStyle w:val="ListParagraph"/>
        <w:numPr>
          <w:ilvl w:val="0"/>
          <w:numId w:val="10"/>
        </w:numPr>
        <w:spacing w:after="0" w:line="240" w:lineRule="auto"/>
        <w:rPr>
          <w:rFonts w:ascii="Calibri" w:eastAsia="Times New Roman" w:hAnsi="Calibri" w:cs="Times New Roman"/>
        </w:rPr>
      </w:pPr>
      <w:r w:rsidRPr="003E751B">
        <w:rPr>
          <w:rFonts w:ascii="Calibri" w:hAnsi="Calibri"/>
        </w:rPr>
        <w:t xml:space="preserve">Small area </w:t>
      </w:r>
      <w:r w:rsidR="00C27E34" w:rsidRPr="003E751B">
        <w:rPr>
          <w:rFonts w:ascii="Calibri" w:hAnsi="Calibri"/>
        </w:rPr>
        <w:t>population</w:t>
      </w:r>
      <w:r w:rsidRPr="003E751B">
        <w:rPr>
          <w:rFonts w:ascii="Calibri" w:hAnsi="Calibri"/>
        </w:rPr>
        <w:t xml:space="preserve"> estimates 2002 and 2015 for Middle Layer Super Output Areas;</w:t>
      </w:r>
    </w:p>
    <w:p w14:paraId="47653A9D" w14:textId="77777777" w:rsidR="000F5AA8" w:rsidRPr="003E751B" w:rsidRDefault="000F5AA8" w:rsidP="00D9599A">
      <w:pPr>
        <w:pStyle w:val="ListParagraph"/>
        <w:numPr>
          <w:ilvl w:val="0"/>
          <w:numId w:val="10"/>
        </w:numPr>
        <w:spacing w:after="0" w:line="240" w:lineRule="auto"/>
        <w:rPr>
          <w:rFonts w:ascii="Calibri" w:hAnsi="Calibri"/>
        </w:rPr>
      </w:pPr>
      <w:r w:rsidRPr="003E751B">
        <w:rPr>
          <w:rFonts w:ascii="Calibri" w:hAnsi="Calibri"/>
        </w:rPr>
        <w:t>W</w:t>
      </w:r>
      <w:r w:rsidR="00C27E34" w:rsidRPr="003E751B">
        <w:rPr>
          <w:rFonts w:ascii="Calibri" w:hAnsi="Calibri"/>
        </w:rPr>
        <w:t>orkplace</w:t>
      </w:r>
      <w:r w:rsidRPr="003E751B">
        <w:rPr>
          <w:rFonts w:ascii="Calibri" w:hAnsi="Calibri"/>
        </w:rPr>
        <w:t xml:space="preserve"> population based on the National Statistics Socio-economic Classification (NS-S</w:t>
      </w:r>
      <w:r w:rsidR="00122064" w:rsidRPr="003E751B">
        <w:rPr>
          <w:rFonts w:ascii="Calibri" w:hAnsi="Calibri"/>
        </w:rPr>
        <w:t>E</w:t>
      </w:r>
      <w:r w:rsidRPr="003E751B">
        <w:rPr>
          <w:rFonts w:ascii="Calibri" w:hAnsi="Calibri"/>
        </w:rPr>
        <w:t>C) 2001 and 2011</w:t>
      </w:r>
      <w:r w:rsidR="00091DEF" w:rsidRPr="003E751B">
        <w:rPr>
          <w:rFonts w:ascii="Calibri" w:hAnsi="Calibri"/>
        </w:rPr>
        <w:t xml:space="preserve"> for Middle Layer Super Output Areas</w:t>
      </w:r>
      <w:r w:rsidR="006352FD" w:rsidRPr="003E751B">
        <w:rPr>
          <w:rFonts w:ascii="Calibri" w:hAnsi="Calibri"/>
        </w:rPr>
        <w:t xml:space="preserve">; </w:t>
      </w:r>
    </w:p>
    <w:p w14:paraId="11867D5E" w14:textId="77777777" w:rsidR="00C27E34" w:rsidRPr="003E751B" w:rsidRDefault="000F5AA8" w:rsidP="00D9599A">
      <w:pPr>
        <w:pStyle w:val="ListParagraph"/>
        <w:numPr>
          <w:ilvl w:val="0"/>
          <w:numId w:val="10"/>
        </w:numPr>
        <w:spacing w:after="0" w:line="240" w:lineRule="auto"/>
        <w:rPr>
          <w:rFonts w:ascii="Calibri" w:hAnsi="Calibri"/>
        </w:rPr>
      </w:pPr>
      <w:r w:rsidRPr="003E751B">
        <w:rPr>
          <w:rFonts w:ascii="Calibri" w:hAnsi="Calibri"/>
        </w:rPr>
        <w:t>Index of Multiple Deprivation 2004 and 2015</w:t>
      </w:r>
      <w:r w:rsidR="006352FD" w:rsidRPr="003E751B">
        <w:rPr>
          <w:rFonts w:ascii="Calibri" w:hAnsi="Calibri"/>
        </w:rPr>
        <w:t xml:space="preserve">. </w:t>
      </w:r>
    </w:p>
    <w:p w14:paraId="6F843AF0" w14:textId="77777777" w:rsidR="004B5D93" w:rsidRPr="003E751B" w:rsidRDefault="004B5D93" w:rsidP="00D9599A">
      <w:pPr>
        <w:ind w:firstLine="284"/>
        <w:rPr>
          <w:rFonts w:ascii="Calibri" w:hAnsi="Calibri"/>
          <w:sz w:val="22"/>
          <w:szCs w:val="22"/>
          <w:lang w:val="en-GB"/>
        </w:rPr>
      </w:pPr>
    </w:p>
    <w:p w14:paraId="3ED60771" w14:textId="7E5C725E" w:rsidR="00D662A5" w:rsidRPr="003E751B" w:rsidRDefault="0084241A" w:rsidP="00D9599A">
      <w:pPr>
        <w:ind w:firstLine="284"/>
        <w:rPr>
          <w:rFonts w:ascii="Calibri" w:hAnsi="Calibri"/>
          <w:sz w:val="22"/>
          <w:szCs w:val="22"/>
          <w:lang w:val="en-GB"/>
        </w:rPr>
      </w:pPr>
      <w:r w:rsidRPr="003E751B">
        <w:rPr>
          <w:rFonts w:ascii="Calibri" w:hAnsi="Calibri"/>
          <w:sz w:val="22"/>
          <w:szCs w:val="22"/>
          <w:lang w:val="en-GB"/>
        </w:rPr>
        <w:t xml:space="preserve">There are limitations </w:t>
      </w:r>
      <w:r w:rsidR="00E90456" w:rsidRPr="003E751B">
        <w:rPr>
          <w:rFonts w:ascii="Calibri" w:hAnsi="Calibri"/>
          <w:sz w:val="22"/>
          <w:szCs w:val="22"/>
          <w:lang w:val="en-GB"/>
        </w:rPr>
        <w:t>regarding</w:t>
      </w:r>
      <w:r w:rsidRPr="003E751B">
        <w:rPr>
          <w:rFonts w:ascii="Calibri" w:hAnsi="Calibri"/>
          <w:sz w:val="22"/>
          <w:szCs w:val="22"/>
          <w:lang w:val="en-GB"/>
        </w:rPr>
        <w:t xml:space="preserve"> data availability for spatial units and moments in time. The Census of population is only held every decade and the last one already dates from 2011. </w:t>
      </w:r>
      <w:r w:rsidR="005133A5" w:rsidRPr="003E751B">
        <w:rPr>
          <w:rFonts w:ascii="Calibri" w:hAnsi="Calibri"/>
          <w:sz w:val="22"/>
          <w:szCs w:val="22"/>
          <w:lang w:val="en-GB"/>
        </w:rPr>
        <w:t xml:space="preserve">Therefore, we have used mid-year population estimates instead of census records. In addition, </w:t>
      </w:r>
      <w:r w:rsidR="00783C8D" w:rsidRPr="003E751B">
        <w:rPr>
          <w:rFonts w:ascii="Calibri" w:hAnsi="Calibri"/>
          <w:sz w:val="22"/>
          <w:szCs w:val="22"/>
          <w:lang w:val="en-GB"/>
        </w:rPr>
        <w:t>for Manchester a significant undercount in the 2001 census has been report</w:t>
      </w:r>
      <w:r w:rsidR="00CA56F6" w:rsidRPr="003E751B">
        <w:rPr>
          <w:rFonts w:ascii="Calibri" w:hAnsi="Calibri"/>
          <w:sz w:val="22"/>
          <w:szCs w:val="22"/>
          <w:lang w:val="en-GB"/>
        </w:rPr>
        <w:t>ed</w:t>
      </w:r>
      <w:r w:rsidR="00783C8D" w:rsidRPr="003E751B">
        <w:rPr>
          <w:rFonts w:ascii="Calibri" w:hAnsi="Calibri"/>
          <w:sz w:val="22"/>
          <w:szCs w:val="22"/>
          <w:lang w:val="en-GB"/>
        </w:rPr>
        <w:t xml:space="preserve"> (</w:t>
      </w:r>
      <w:r w:rsidR="00783C8D" w:rsidRPr="003E751B">
        <w:rPr>
          <w:rFonts w:ascii="Calibri" w:hAnsi="Calibri"/>
          <w:i/>
          <w:sz w:val="22"/>
          <w:szCs w:val="22"/>
          <w:lang w:val="en-GB"/>
        </w:rPr>
        <w:t>ONS</w:t>
      </w:r>
      <w:r w:rsidR="00783C8D" w:rsidRPr="003E751B">
        <w:rPr>
          <w:rFonts w:ascii="Calibri" w:hAnsi="Calibri"/>
          <w:sz w:val="22"/>
          <w:szCs w:val="22"/>
          <w:lang w:val="en-GB"/>
        </w:rPr>
        <w:t xml:space="preserve"> 2004</w:t>
      </w:r>
      <w:r w:rsidR="00160227" w:rsidRPr="003E751B">
        <w:rPr>
          <w:rFonts w:ascii="Calibri" w:hAnsi="Calibri"/>
          <w:sz w:val="22"/>
          <w:szCs w:val="22"/>
          <w:lang w:val="en-GB"/>
        </w:rPr>
        <w:t xml:space="preserve">; </w:t>
      </w:r>
      <w:r w:rsidR="00160227" w:rsidRPr="003E751B">
        <w:rPr>
          <w:rFonts w:ascii="Calibri" w:hAnsi="Calibri"/>
          <w:i/>
          <w:sz w:val="22"/>
          <w:szCs w:val="22"/>
          <w:lang w:val="en-GB"/>
        </w:rPr>
        <w:t>Simpson</w:t>
      </w:r>
      <w:r w:rsidR="00160227" w:rsidRPr="003E751B">
        <w:rPr>
          <w:rFonts w:ascii="Calibri" w:hAnsi="Calibri"/>
          <w:sz w:val="22"/>
          <w:szCs w:val="22"/>
          <w:lang w:val="en-GB"/>
        </w:rPr>
        <w:t xml:space="preserve"> 2007</w:t>
      </w:r>
      <w:r w:rsidR="00783C8D" w:rsidRPr="003E751B">
        <w:rPr>
          <w:rFonts w:ascii="Calibri" w:hAnsi="Calibri"/>
          <w:sz w:val="22"/>
          <w:szCs w:val="22"/>
          <w:lang w:val="en-GB"/>
        </w:rPr>
        <w:t>)</w:t>
      </w:r>
      <w:r w:rsidR="00CA56F6" w:rsidRPr="003E751B">
        <w:rPr>
          <w:rFonts w:ascii="Calibri" w:hAnsi="Calibri"/>
          <w:sz w:val="22"/>
          <w:szCs w:val="22"/>
          <w:lang w:val="en-GB"/>
        </w:rPr>
        <w:t xml:space="preserve">. </w:t>
      </w:r>
      <w:r w:rsidR="00AD2952" w:rsidRPr="003E751B">
        <w:rPr>
          <w:rFonts w:ascii="Calibri" w:hAnsi="Calibri"/>
          <w:sz w:val="22"/>
          <w:szCs w:val="22"/>
          <w:lang w:val="en-GB"/>
        </w:rPr>
        <w:t xml:space="preserve">Data has been collated for super output areas, which </w:t>
      </w:r>
      <w:r w:rsidR="0068488F" w:rsidRPr="003E751B">
        <w:rPr>
          <w:rFonts w:ascii="Calibri" w:hAnsi="Calibri"/>
          <w:sz w:val="22"/>
          <w:szCs w:val="22"/>
          <w:lang w:val="en-GB"/>
        </w:rPr>
        <w:t xml:space="preserve">are comparable in population size. </w:t>
      </w:r>
      <w:r w:rsidR="00AD2952" w:rsidRPr="003E751B">
        <w:rPr>
          <w:rFonts w:ascii="Calibri" w:hAnsi="Calibri"/>
          <w:sz w:val="22"/>
          <w:szCs w:val="22"/>
          <w:lang w:val="en-GB"/>
        </w:rPr>
        <w:t>Middle layer super output areas (MSOA) have a population range of 5,000–1</w:t>
      </w:r>
      <w:r w:rsidR="006A2EBA" w:rsidRPr="003E751B">
        <w:rPr>
          <w:rFonts w:ascii="Calibri" w:hAnsi="Calibri"/>
          <w:sz w:val="22"/>
          <w:szCs w:val="22"/>
          <w:lang w:val="en-GB"/>
        </w:rPr>
        <w:t>5</w:t>
      </w:r>
      <w:r w:rsidR="00AD2952" w:rsidRPr="003E751B">
        <w:rPr>
          <w:rFonts w:ascii="Calibri" w:hAnsi="Calibri"/>
          <w:sz w:val="22"/>
          <w:szCs w:val="22"/>
          <w:lang w:val="en-GB"/>
        </w:rPr>
        <w:t>,000, which makes them sufficiently abstract as not to be distorted by small-scale change, while providing sufficient level of detail.</w:t>
      </w:r>
      <w:r w:rsidR="001B2F66" w:rsidRPr="003E751B">
        <w:rPr>
          <w:rFonts w:ascii="Calibri" w:hAnsi="Calibri"/>
          <w:sz w:val="22"/>
          <w:szCs w:val="22"/>
          <w:lang w:val="en-GB"/>
        </w:rPr>
        <w:t xml:space="preserve"> The Index of Multiple Deprivation has been specifically designed </w:t>
      </w:r>
      <w:r w:rsidR="00332CA8" w:rsidRPr="003E751B">
        <w:rPr>
          <w:rFonts w:ascii="Calibri" w:hAnsi="Calibri"/>
          <w:sz w:val="22"/>
          <w:szCs w:val="22"/>
          <w:lang w:val="en-GB"/>
        </w:rPr>
        <w:t>to measure deprivation at small-area level</w:t>
      </w:r>
      <w:r w:rsidR="0037583D" w:rsidRPr="003E751B">
        <w:rPr>
          <w:rFonts w:ascii="Calibri" w:hAnsi="Calibri"/>
          <w:sz w:val="22"/>
          <w:szCs w:val="22"/>
          <w:lang w:val="en-GB"/>
        </w:rPr>
        <w:t xml:space="preserve"> and therefore uses lower level super output areas, which have a population range of 1</w:t>
      </w:r>
      <w:r w:rsidR="00DF1B24" w:rsidRPr="003E751B">
        <w:rPr>
          <w:rFonts w:ascii="Calibri" w:hAnsi="Calibri"/>
          <w:sz w:val="22"/>
          <w:szCs w:val="22"/>
          <w:lang w:val="en-GB"/>
        </w:rPr>
        <w:t>,000</w:t>
      </w:r>
      <w:r w:rsidR="0037583D" w:rsidRPr="003E751B">
        <w:rPr>
          <w:rFonts w:ascii="Calibri" w:hAnsi="Calibri"/>
          <w:sz w:val="22"/>
          <w:szCs w:val="22"/>
          <w:lang w:val="en-GB"/>
        </w:rPr>
        <w:t>-3,000 (</w:t>
      </w:r>
      <w:r w:rsidR="0037583D" w:rsidRPr="003E751B">
        <w:rPr>
          <w:rFonts w:ascii="Calibri" w:hAnsi="Calibri"/>
          <w:i/>
          <w:sz w:val="22"/>
          <w:szCs w:val="22"/>
          <w:lang w:val="en-GB"/>
        </w:rPr>
        <w:t>Noble et al.</w:t>
      </w:r>
      <w:r w:rsidR="0037583D" w:rsidRPr="003E751B">
        <w:rPr>
          <w:rFonts w:ascii="Calibri" w:hAnsi="Calibri"/>
          <w:sz w:val="22"/>
          <w:szCs w:val="22"/>
          <w:lang w:val="en-GB"/>
        </w:rPr>
        <w:t xml:space="preserve"> 2006)</w:t>
      </w:r>
      <w:r w:rsidR="006A2EBA" w:rsidRPr="003E751B">
        <w:rPr>
          <w:rFonts w:ascii="Calibri" w:hAnsi="Calibri"/>
          <w:sz w:val="22"/>
          <w:szCs w:val="22"/>
          <w:lang w:val="en-GB"/>
        </w:rPr>
        <w:t xml:space="preserve">. </w:t>
      </w:r>
    </w:p>
    <w:p w14:paraId="33E85670" w14:textId="77777777" w:rsidR="00E94842" w:rsidRPr="003E751B" w:rsidRDefault="0068488F" w:rsidP="00E94842">
      <w:pPr>
        <w:ind w:firstLine="284"/>
        <w:rPr>
          <w:rFonts w:ascii="Calibri" w:hAnsi="Calibri"/>
          <w:sz w:val="22"/>
          <w:szCs w:val="22"/>
          <w:lang w:val="en-GB"/>
        </w:rPr>
      </w:pPr>
      <w:r w:rsidRPr="003E751B">
        <w:rPr>
          <w:rFonts w:ascii="Calibri" w:hAnsi="Calibri"/>
          <w:sz w:val="22"/>
          <w:szCs w:val="22"/>
          <w:lang w:val="en-GB"/>
        </w:rPr>
        <w:t xml:space="preserve">While stability of the census geography has been a priority, population dynamics required the modification of boundaries. Most output geographies have simply been split or merged, depending on the direction of population change. </w:t>
      </w:r>
      <w:r w:rsidR="00D662A5" w:rsidRPr="003E751B">
        <w:rPr>
          <w:rFonts w:ascii="Calibri" w:hAnsi="Calibri"/>
          <w:sz w:val="22"/>
          <w:szCs w:val="22"/>
          <w:lang w:val="en-GB"/>
        </w:rPr>
        <w:t>This poses a minor challenge to calculate changes when the geographical unit has changed</w:t>
      </w:r>
      <w:r w:rsidR="000C1145" w:rsidRPr="003E751B">
        <w:rPr>
          <w:rFonts w:ascii="Calibri" w:hAnsi="Calibri"/>
          <w:sz w:val="22"/>
          <w:szCs w:val="22"/>
          <w:lang w:val="en-GB"/>
        </w:rPr>
        <w:t xml:space="preserve"> and data reflecting the new boundaries has not been released</w:t>
      </w:r>
      <w:r w:rsidR="00D662A5" w:rsidRPr="003E751B">
        <w:rPr>
          <w:rFonts w:ascii="Calibri" w:hAnsi="Calibri"/>
          <w:sz w:val="22"/>
          <w:szCs w:val="22"/>
          <w:lang w:val="en-GB"/>
        </w:rPr>
        <w:t>. Fortunately, only a small percentage</w:t>
      </w:r>
      <w:r w:rsidR="008E6976" w:rsidRPr="003E751B">
        <w:rPr>
          <w:rFonts w:ascii="Calibri" w:hAnsi="Calibri"/>
          <w:sz w:val="22"/>
          <w:szCs w:val="22"/>
          <w:lang w:val="en-GB"/>
        </w:rPr>
        <w:t xml:space="preserve"> of areas</w:t>
      </w:r>
      <w:r w:rsidR="00D662A5" w:rsidRPr="003E751B">
        <w:rPr>
          <w:rFonts w:ascii="Calibri" w:hAnsi="Calibri"/>
          <w:sz w:val="22"/>
          <w:szCs w:val="22"/>
          <w:lang w:val="en-GB"/>
        </w:rPr>
        <w:t xml:space="preserve"> is affected by </w:t>
      </w:r>
      <w:r w:rsidR="00DA2948" w:rsidRPr="003E751B">
        <w:rPr>
          <w:rFonts w:ascii="Calibri" w:hAnsi="Calibri"/>
          <w:sz w:val="22"/>
          <w:szCs w:val="22"/>
          <w:lang w:val="en-GB"/>
        </w:rPr>
        <w:t xml:space="preserve">boundary </w:t>
      </w:r>
      <w:r w:rsidR="00D662A5" w:rsidRPr="003E751B">
        <w:rPr>
          <w:rFonts w:ascii="Calibri" w:hAnsi="Calibri"/>
          <w:sz w:val="22"/>
          <w:szCs w:val="22"/>
          <w:lang w:val="en-GB"/>
        </w:rPr>
        <w:t>changes</w:t>
      </w:r>
      <w:r w:rsidR="00B65A9E" w:rsidRPr="003E751B">
        <w:rPr>
          <w:rFonts w:ascii="Calibri" w:hAnsi="Calibri"/>
          <w:sz w:val="22"/>
          <w:szCs w:val="22"/>
          <w:lang w:val="en-GB"/>
        </w:rPr>
        <w:t>;</w:t>
      </w:r>
      <w:r w:rsidR="00AB4D05" w:rsidRPr="003E751B">
        <w:rPr>
          <w:rFonts w:ascii="Calibri" w:hAnsi="Calibri"/>
          <w:sz w:val="22"/>
          <w:szCs w:val="22"/>
          <w:lang w:val="en-GB"/>
        </w:rPr>
        <w:t xml:space="preserve"> </w:t>
      </w:r>
      <w:r w:rsidR="00213806" w:rsidRPr="003E751B">
        <w:rPr>
          <w:rFonts w:ascii="Calibri" w:hAnsi="Calibri"/>
          <w:sz w:val="22"/>
          <w:szCs w:val="22"/>
          <w:lang w:val="en-GB"/>
        </w:rPr>
        <w:t>values hav</w:t>
      </w:r>
      <w:r w:rsidR="00DB0A28" w:rsidRPr="003E751B">
        <w:rPr>
          <w:rFonts w:ascii="Calibri" w:hAnsi="Calibri"/>
          <w:sz w:val="22"/>
          <w:szCs w:val="22"/>
          <w:lang w:val="en-GB"/>
        </w:rPr>
        <w:t>e</w:t>
      </w:r>
      <w:r w:rsidR="00213806" w:rsidRPr="003E751B">
        <w:rPr>
          <w:rFonts w:ascii="Calibri" w:hAnsi="Calibri"/>
          <w:sz w:val="22"/>
          <w:szCs w:val="22"/>
          <w:lang w:val="en-GB"/>
        </w:rPr>
        <w:t xml:space="preserve"> be</w:t>
      </w:r>
      <w:r w:rsidR="00DB0A28" w:rsidRPr="003E751B">
        <w:rPr>
          <w:rFonts w:ascii="Calibri" w:hAnsi="Calibri"/>
          <w:sz w:val="22"/>
          <w:szCs w:val="22"/>
          <w:lang w:val="en-GB"/>
        </w:rPr>
        <w:t>en</w:t>
      </w:r>
      <w:r w:rsidR="00213806" w:rsidRPr="003E751B">
        <w:rPr>
          <w:rFonts w:ascii="Calibri" w:hAnsi="Calibri"/>
          <w:sz w:val="22"/>
          <w:szCs w:val="22"/>
          <w:lang w:val="en-GB"/>
        </w:rPr>
        <w:t xml:space="preserve"> manually calculated</w:t>
      </w:r>
      <w:r w:rsidR="002255B5" w:rsidRPr="003E751B">
        <w:rPr>
          <w:rFonts w:ascii="Calibri" w:hAnsi="Calibri"/>
          <w:sz w:val="22"/>
          <w:szCs w:val="22"/>
          <w:lang w:val="en-GB"/>
        </w:rPr>
        <w:t>,</w:t>
      </w:r>
      <w:r w:rsidR="00213806" w:rsidRPr="003E751B">
        <w:rPr>
          <w:rFonts w:ascii="Calibri" w:hAnsi="Calibri"/>
          <w:sz w:val="22"/>
          <w:szCs w:val="22"/>
          <w:lang w:val="en-GB"/>
        </w:rPr>
        <w:t xml:space="preserve"> reflecting the combined input values in the case of a merger or using the combined output values in the case of a</w:t>
      </w:r>
      <w:r w:rsidR="002255B5" w:rsidRPr="003E751B">
        <w:rPr>
          <w:rFonts w:ascii="Calibri" w:hAnsi="Calibri"/>
          <w:sz w:val="22"/>
          <w:szCs w:val="22"/>
          <w:lang w:val="en-GB"/>
        </w:rPr>
        <w:t xml:space="preserve"> boundary</w:t>
      </w:r>
      <w:r w:rsidR="00213806" w:rsidRPr="003E751B">
        <w:rPr>
          <w:rFonts w:ascii="Calibri" w:hAnsi="Calibri"/>
          <w:sz w:val="22"/>
          <w:szCs w:val="22"/>
          <w:lang w:val="en-GB"/>
        </w:rPr>
        <w:t xml:space="preserve"> split</w:t>
      </w:r>
      <w:r w:rsidR="002255B5" w:rsidRPr="003E751B">
        <w:rPr>
          <w:rFonts w:ascii="Calibri" w:hAnsi="Calibri"/>
          <w:sz w:val="22"/>
          <w:szCs w:val="22"/>
          <w:lang w:val="en-GB"/>
        </w:rPr>
        <w:t xml:space="preserve">. </w:t>
      </w:r>
      <w:r w:rsidR="00440702" w:rsidRPr="003E751B">
        <w:rPr>
          <w:rFonts w:ascii="Calibri" w:hAnsi="Calibri"/>
          <w:sz w:val="22"/>
          <w:szCs w:val="22"/>
          <w:lang w:val="en-GB"/>
        </w:rPr>
        <w:t xml:space="preserve">Boundary splits tend to be concentrated in the inner-city areas, while mergers occurred more often in </w:t>
      </w:r>
      <w:r w:rsidR="005E77FB" w:rsidRPr="003E751B">
        <w:rPr>
          <w:rFonts w:ascii="Calibri" w:hAnsi="Calibri"/>
          <w:sz w:val="22"/>
          <w:szCs w:val="22"/>
          <w:lang w:val="en-GB"/>
        </w:rPr>
        <w:t xml:space="preserve">the urban </w:t>
      </w:r>
      <w:r w:rsidR="00440702" w:rsidRPr="003E751B">
        <w:rPr>
          <w:rFonts w:ascii="Calibri" w:hAnsi="Calibri"/>
          <w:sz w:val="22"/>
          <w:szCs w:val="22"/>
          <w:lang w:val="en-GB"/>
        </w:rPr>
        <w:t xml:space="preserve">fringe. </w:t>
      </w:r>
    </w:p>
    <w:p w14:paraId="7348DF1A" w14:textId="77777777" w:rsidR="00E94842" w:rsidRPr="003E751B" w:rsidRDefault="007C5FD9" w:rsidP="007C5FD9">
      <w:pPr>
        <w:ind w:firstLine="284"/>
        <w:rPr>
          <w:rFonts w:ascii="Calibri" w:hAnsi="Calibri"/>
          <w:sz w:val="22"/>
          <w:szCs w:val="22"/>
          <w:lang w:val="en-GB"/>
        </w:rPr>
      </w:pPr>
      <w:r w:rsidRPr="003E751B">
        <w:rPr>
          <w:rFonts w:ascii="Calibri" w:hAnsi="Calibri"/>
          <w:sz w:val="22"/>
          <w:szCs w:val="22"/>
          <w:lang w:val="en-GB"/>
        </w:rPr>
        <w:t>The policy case study of St Helens is based on findings from</w:t>
      </w:r>
      <w:r w:rsidR="0054261A" w:rsidRPr="003E751B">
        <w:rPr>
          <w:rFonts w:ascii="Calibri" w:hAnsi="Calibri"/>
          <w:sz w:val="22"/>
          <w:szCs w:val="22"/>
          <w:lang w:val="en-GB"/>
        </w:rPr>
        <w:t xml:space="preserve"> the PURE Hubs project</w:t>
      </w:r>
      <w:r w:rsidRPr="003E751B">
        <w:rPr>
          <w:rFonts w:ascii="Calibri" w:hAnsi="Calibri"/>
          <w:sz w:val="22"/>
          <w:szCs w:val="22"/>
          <w:lang w:val="en-GB"/>
        </w:rPr>
        <w:t xml:space="preserve"> </w:t>
      </w:r>
      <w:r w:rsidR="00A80F97" w:rsidRPr="003E751B">
        <w:rPr>
          <w:rFonts w:ascii="Calibri" w:hAnsi="Calibri"/>
          <w:sz w:val="22"/>
          <w:szCs w:val="22"/>
          <w:lang w:val="en-GB"/>
        </w:rPr>
        <w:t xml:space="preserve">which involved </w:t>
      </w:r>
      <w:r w:rsidRPr="003E751B">
        <w:rPr>
          <w:rFonts w:ascii="Calibri" w:hAnsi="Calibri"/>
          <w:sz w:val="22"/>
          <w:szCs w:val="22"/>
          <w:lang w:val="en-GB"/>
        </w:rPr>
        <w:t>two student planning projects focus</w:t>
      </w:r>
      <w:r w:rsidR="00A80F97" w:rsidRPr="003E751B">
        <w:rPr>
          <w:rFonts w:ascii="Calibri" w:hAnsi="Calibri"/>
          <w:sz w:val="22"/>
          <w:szCs w:val="22"/>
          <w:lang w:val="en-GB"/>
        </w:rPr>
        <w:t>sing</w:t>
      </w:r>
      <w:r w:rsidRPr="003E751B">
        <w:rPr>
          <w:rFonts w:ascii="Calibri" w:hAnsi="Calibri"/>
          <w:sz w:val="22"/>
          <w:szCs w:val="22"/>
          <w:lang w:val="en-GB"/>
        </w:rPr>
        <w:t xml:space="preserve"> on St Helens in 2013 and 2014, a two</w:t>
      </w:r>
      <w:r w:rsidR="00DF5BC7" w:rsidRPr="003E751B">
        <w:rPr>
          <w:rFonts w:ascii="Calibri" w:hAnsi="Calibri"/>
          <w:sz w:val="22"/>
          <w:szCs w:val="22"/>
          <w:lang w:val="en-GB"/>
        </w:rPr>
        <w:t>-</w:t>
      </w:r>
      <w:r w:rsidRPr="003E751B">
        <w:rPr>
          <w:rFonts w:ascii="Calibri" w:hAnsi="Calibri"/>
          <w:sz w:val="22"/>
          <w:szCs w:val="22"/>
          <w:lang w:val="en-GB"/>
        </w:rPr>
        <w:t xml:space="preserve">day workshop with St Helens Council in 2013 and two follow-up interviews in 2014 and 2015 with the development plans manager and the countryside development officer of St Helens council to explore in more detail the current situation and future development prospects of St Helens in its wider regional context. </w:t>
      </w:r>
      <w:r w:rsidR="00E94842" w:rsidRPr="003E751B">
        <w:rPr>
          <w:rFonts w:ascii="Calibri" w:hAnsi="Calibri"/>
          <w:sz w:val="22"/>
          <w:szCs w:val="22"/>
          <w:lang w:val="en-GB"/>
        </w:rPr>
        <w:t>In addition</w:t>
      </w:r>
      <w:r w:rsidR="00B01EE0" w:rsidRPr="003E751B">
        <w:rPr>
          <w:rFonts w:ascii="Calibri" w:hAnsi="Calibri"/>
          <w:sz w:val="22"/>
          <w:szCs w:val="22"/>
          <w:lang w:val="en-GB"/>
        </w:rPr>
        <w:t>,</w:t>
      </w:r>
      <w:r w:rsidR="00E94842" w:rsidRPr="003E751B">
        <w:rPr>
          <w:rFonts w:ascii="Calibri" w:hAnsi="Calibri"/>
          <w:sz w:val="22"/>
          <w:szCs w:val="22"/>
          <w:lang w:val="en-GB"/>
        </w:rPr>
        <w:t xml:space="preserve"> </w:t>
      </w:r>
      <w:r w:rsidRPr="003E751B">
        <w:rPr>
          <w:rFonts w:ascii="Calibri" w:hAnsi="Calibri"/>
          <w:sz w:val="22"/>
          <w:szCs w:val="22"/>
          <w:lang w:val="en-GB"/>
        </w:rPr>
        <w:t xml:space="preserve">the St Helens case study </w:t>
      </w:r>
      <w:r w:rsidR="00E94842" w:rsidRPr="003E751B">
        <w:rPr>
          <w:rFonts w:ascii="Calibri" w:hAnsi="Calibri"/>
          <w:sz w:val="22"/>
          <w:szCs w:val="22"/>
          <w:lang w:val="en-GB"/>
        </w:rPr>
        <w:t xml:space="preserve">is based on the analysis of policy documents, in particular a close reading of St Helen’s </w:t>
      </w:r>
      <w:r w:rsidRPr="003E751B">
        <w:rPr>
          <w:rFonts w:ascii="Calibri" w:hAnsi="Calibri"/>
          <w:sz w:val="22"/>
          <w:szCs w:val="22"/>
          <w:lang w:val="en-GB"/>
        </w:rPr>
        <w:t>Local Plan</w:t>
      </w:r>
      <w:r w:rsidR="00E94842" w:rsidRPr="003E751B">
        <w:rPr>
          <w:rFonts w:ascii="Calibri" w:hAnsi="Calibri"/>
          <w:sz w:val="22"/>
          <w:szCs w:val="22"/>
          <w:lang w:val="en-GB"/>
        </w:rPr>
        <w:t xml:space="preserve"> document</w:t>
      </w:r>
      <w:r w:rsidRPr="003E751B">
        <w:rPr>
          <w:rFonts w:ascii="Calibri" w:hAnsi="Calibri"/>
          <w:sz w:val="22"/>
          <w:szCs w:val="22"/>
          <w:lang w:val="en-GB"/>
        </w:rPr>
        <w:t>s</w:t>
      </w:r>
      <w:r w:rsidR="00E94842" w:rsidRPr="003E751B">
        <w:rPr>
          <w:rFonts w:ascii="Calibri" w:hAnsi="Calibri"/>
          <w:sz w:val="22"/>
          <w:szCs w:val="22"/>
          <w:lang w:val="en-GB"/>
        </w:rPr>
        <w:t xml:space="preserve">. </w:t>
      </w:r>
    </w:p>
    <w:p w14:paraId="4DA3CF2C" w14:textId="77777777" w:rsidR="007A7CE3" w:rsidRPr="003E751B" w:rsidRDefault="007A7CE3" w:rsidP="00406E06">
      <w:pPr>
        <w:rPr>
          <w:rFonts w:ascii="Calibri" w:hAnsi="Calibri"/>
          <w:sz w:val="22"/>
          <w:szCs w:val="22"/>
          <w:lang w:val="en-GB"/>
        </w:rPr>
      </w:pPr>
    </w:p>
    <w:p w14:paraId="204FA606" w14:textId="77777777" w:rsidR="007A7CE3" w:rsidRPr="003E751B" w:rsidRDefault="00CA0F7F" w:rsidP="00D9599A">
      <w:pPr>
        <w:keepNext/>
        <w:ind w:left="567" w:hanging="567"/>
        <w:rPr>
          <w:rFonts w:ascii="Calibri" w:hAnsi="Calibri"/>
          <w:b/>
          <w:sz w:val="22"/>
          <w:szCs w:val="22"/>
          <w:lang w:val="en-GB"/>
        </w:rPr>
      </w:pPr>
      <w:r w:rsidRPr="003E751B">
        <w:rPr>
          <w:rFonts w:ascii="Calibri" w:hAnsi="Calibri"/>
          <w:b/>
          <w:sz w:val="22"/>
          <w:szCs w:val="22"/>
          <w:lang w:val="en-GB"/>
        </w:rPr>
        <w:t>4</w:t>
      </w:r>
      <w:r w:rsidRPr="003E751B">
        <w:rPr>
          <w:rFonts w:ascii="Calibri" w:hAnsi="Calibri"/>
          <w:b/>
          <w:sz w:val="22"/>
          <w:szCs w:val="22"/>
          <w:lang w:val="en-GB"/>
        </w:rPr>
        <w:tab/>
      </w:r>
      <w:r w:rsidR="007A7CE3" w:rsidRPr="003E751B">
        <w:rPr>
          <w:rFonts w:ascii="Calibri" w:hAnsi="Calibri"/>
          <w:b/>
          <w:sz w:val="22"/>
          <w:szCs w:val="22"/>
          <w:lang w:val="en-GB"/>
        </w:rPr>
        <w:t>Manchester, Liverpool and the Spatial In-between</w:t>
      </w:r>
    </w:p>
    <w:p w14:paraId="2AA10242" w14:textId="3C9EF5D9" w:rsidR="00463691" w:rsidRPr="003E751B" w:rsidRDefault="0091168D" w:rsidP="00D9599A">
      <w:pPr>
        <w:rPr>
          <w:rFonts w:ascii="Calibri" w:hAnsi="Calibri"/>
          <w:sz w:val="22"/>
          <w:szCs w:val="22"/>
          <w:lang w:val="en-GB"/>
        </w:rPr>
      </w:pPr>
      <w:r w:rsidRPr="003E751B">
        <w:rPr>
          <w:rFonts w:ascii="Calibri" w:hAnsi="Calibri"/>
          <w:sz w:val="22"/>
          <w:szCs w:val="22"/>
          <w:lang w:val="en-GB"/>
        </w:rPr>
        <w:t>Manchester and Liverpool are the two principal citie</w:t>
      </w:r>
      <w:r w:rsidR="00D9236D" w:rsidRPr="003E751B">
        <w:rPr>
          <w:rFonts w:ascii="Calibri" w:hAnsi="Calibri"/>
          <w:sz w:val="22"/>
          <w:szCs w:val="22"/>
          <w:lang w:val="en-GB"/>
        </w:rPr>
        <w:t>s in the North West of England</w:t>
      </w:r>
      <w:r w:rsidR="00463691" w:rsidRPr="003E751B">
        <w:rPr>
          <w:rFonts w:ascii="Calibri" w:hAnsi="Calibri"/>
          <w:sz w:val="22"/>
          <w:szCs w:val="22"/>
          <w:lang w:val="en-GB"/>
        </w:rPr>
        <w:t xml:space="preserve"> with a combined population </w:t>
      </w:r>
      <w:r w:rsidR="00440702" w:rsidRPr="003E751B">
        <w:rPr>
          <w:rFonts w:ascii="Calibri" w:hAnsi="Calibri"/>
          <w:sz w:val="22"/>
          <w:szCs w:val="22"/>
          <w:lang w:val="en-GB"/>
        </w:rPr>
        <w:t xml:space="preserve">in the conurbation </w:t>
      </w:r>
      <w:r w:rsidR="00463691" w:rsidRPr="003E751B">
        <w:rPr>
          <w:rFonts w:ascii="Calibri" w:hAnsi="Calibri"/>
          <w:sz w:val="22"/>
          <w:szCs w:val="22"/>
          <w:lang w:val="en-GB"/>
        </w:rPr>
        <w:t>of more than 5 million</w:t>
      </w:r>
      <w:r w:rsidR="00D9236D" w:rsidRPr="003E751B">
        <w:rPr>
          <w:rFonts w:ascii="Calibri" w:hAnsi="Calibri"/>
          <w:sz w:val="22"/>
          <w:szCs w:val="22"/>
          <w:lang w:val="en-GB"/>
        </w:rPr>
        <w:t xml:space="preserve">. Despite having two strong </w:t>
      </w:r>
      <w:r w:rsidR="001B4EF3" w:rsidRPr="003E751B">
        <w:rPr>
          <w:rFonts w:ascii="Calibri" w:hAnsi="Calibri"/>
          <w:sz w:val="22"/>
          <w:szCs w:val="22"/>
          <w:lang w:val="en-GB"/>
        </w:rPr>
        <w:t xml:space="preserve">urban </w:t>
      </w:r>
      <w:r w:rsidR="00D9236D" w:rsidRPr="003E751B">
        <w:rPr>
          <w:rFonts w:ascii="Calibri" w:hAnsi="Calibri"/>
          <w:sz w:val="22"/>
          <w:szCs w:val="22"/>
          <w:lang w:val="en-GB"/>
        </w:rPr>
        <w:t>centres, the Mersey Belt is characterised by a polycentric urban structure with many sub-centres, notably</w:t>
      </w:r>
      <w:r w:rsidR="00183F81" w:rsidRPr="003E751B">
        <w:rPr>
          <w:rFonts w:ascii="Calibri" w:hAnsi="Calibri"/>
          <w:sz w:val="22"/>
          <w:szCs w:val="22"/>
          <w:lang w:val="en-GB"/>
        </w:rPr>
        <w:t xml:space="preserve"> the former new town of</w:t>
      </w:r>
      <w:r w:rsidR="00D9236D" w:rsidRPr="003E751B">
        <w:rPr>
          <w:rFonts w:ascii="Calibri" w:hAnsi="Calibri"/>
          <w:sz w:val="22"/>
          <w:szCs w:val="22"/>
          <w:lang w:val="en-GB"/>
        </w:rPr>
        <w:t xml:space="preserve"> Warrington. </w:t>
      </w:r>
      <w:r w:rsidR="00B4561A" w:rsidRPr="003E751B">
        <w:rPr>
          <w:rFonts w:ascii="Calibri" w:hAnsi="Calibri"/>
          <w:sz w:val="22"/>
          <w:szCs w:val="22"/>
          <w:lang w:val="en-GB"/>
        </w:rPr>
        <w:t>Administratively the region is divided in</w:t>
      </w:r>
      <w:r w:rsidR="00463691" w:rsidRPr="003E751B">
        <w:rPr>
          <w:rFonts w:ascii="Calibri" w:hAnsi="Calibri"/>
          <w:sz w:val="22"/>
          <w:szCs w:val="22"/>
          <w:lang w:val="en-GB"/>
        </w:rPr>
        <w:t>to</w:t>
      </w:r>
      <w:r w:rsidR="00B4561A" w:rsidRPr="003E751B">
        <w:rPr>
          <w:rFonts w:ascii="Calibri" w:hAnsi="Calibri"/>
          <w:sz w:val="22"/>
          <w:szCs w:val="22"/>
          <w:lang w:val="en-GB"/>
        </w:rPr>
        <w:t xml:space="preserve"> three sub-regions since the abolition of regional structures in </w:t>
      </w:r>
      <w:r w:rsidR="00B4561A" w:rsidRPr="003E751B">
        <w:rPr>
          <w:rFonts w:ascii="Calibri" w:hAnsi="Calibri"/>
          <w:sz w:val="22"/>
          <w:szCs w:val="22"/>
          <w:lang w:val="en-GB"/>
        </w:rPr>
        <w:lastRenderedPageBreak/>
        <w:t xml:space="preserve">2010. </w:t>
      </w:r>
      <w:r w:rsidR="00BA6EA4" w:rsidRPr="003E751B">
        <w:rPr>
          <w:rFonts w:ascii="Calibri" w:hAnsi="Calibri"/>
          <w:sz w:val="22"/>
          <w:szCs w:val="22"/>
          <w:lang w:val="en-GB"/>
        </w:rPr>
        <w:t xml:space="preserve">Greater Manchester </w:t>
      </w:r>
      <w:r w:rsidR="004D79FD" w:rsidRPr="003E751B">
        <w:rPr>
          <w:rFonts w:ascii="Calibri" w:hAnsi="Calibri"/>
          <w:sz w:val="22"/>
          <w:szCs w:val="22"/>
          <w:lang w:val="en-GB"/>
        </w:rPr>
        <w:t>and</w:t>
      </w:r>
      <w:r w:rsidR="00BA6EA4" w:rsidRPr="003E751B">
        <w:rPr>
          <w:rFonts w:ascii="Calibri" w:hAnsi="Calibri"/>
          <w:sz w:val="22"/>
          <w:szCs w:val="22"/>
          <w:lang w:val="en-GB"/>
        </w:rPr>
        <w:t xml:space="preserve"> Liverpool City Region</w:t>
      </w:r>
      <w:r w:rsidR="004D79FD" w:rsidRPr="003E751B">
        <w:rPr>
          <w:rFonts w:ascii="Calibri" w:hAnsi="Calibri"/>
          <w:sz w:val="22"/>
          <w:szCs w:val="22"/>
          <w:lang w:val="en-GB"/>
        </w:rPr>
        <w:t xml:space="preserve"> both have Combined Authority status, including a metro mayor, granting them powers amongst others in the field of transport and strategic planning</w:t>
      </w:r>
      <w:r w:rsidR="00FA7669" w:rsidRPr="003E751B">
        <w:rPr>
          <w:rFonts w:ascii="Calibri" w:hAnsi="Calibri"/>
          <w:sz w:val="22"/>
          <w:szCs w:val="22"/>
          <w:lang w:val="en-GB"/>
        </w:rPr>
        <w:t xml:space="preserve"> (</w:t>
      </w:r>
      <w:r w:rsidR="00FA7669" w:rsidRPr="003E751B">
        <w:rPr>
          <w:rFonts w:ascii="Calibri" w:hAnsi="Calibri"/>
          <w:i/>
          <w:sz w:val="22"/>
          <w:szCs w:val="22"/>
          <w:lang w:val="en-GB"/>
        </w:rPr>
        <w:t>Nurse et al.</w:t>
      </w:r>
      <w:r w:rsidR="00FA7669" w:rsidRPr="003E751B">
        <w:rPr>
          <w:rFonts w:ascii="Calibri" w:hAnsi="Calibri"/>
          <w:sz w:val="22"/>
          <w:szCs w:val="22"/>
          <w:lang w:val="en-GB"/>
        </w:rPr>
        <w:t xml:space="preserve"> 2017)</w:t>
      </w:r>
      <w:r w:rsidR="00BA6EA4" w:rsidRPr="003E751B">
        <w:rPr>
          <w:rFonts w:ascii="Calibri" w:hAnsi="Calibri"/>
          <w:sz w:val="22"/>
          <w:szCs w:val="22"/>
          <w:lang w:val="en-GB"/>
        </w:rPr>
        <w:t>. Warrington, although having strong</w:t>
      </w:r>
      <w:r w:rsidR="00463691" w:rsidRPr="003E751B">
        <w:rPr>
          <w:rFonts w:ascii="Calibri" w:hAnsi="Calibri"/>
          <w:sz w:val="22"/>
          <w:szCs w:val="22"/>
          <w:lang w:val="en-GB"/>
        </w:rPr>
        <w:t xml:space="preserve"> functional</w:t>
      </w:r>
      <w:r w:rsidR="00BA6EA4" w:rsidRPr="00185AD2">
        <w:rPr>
          <w:rFonts w:ascii="Calibri" w:hAnsi="Calibri"/>
          <w:sz w:val="22"/>
          <w:szCs w:val="22"/>
          <w:lang w:val="en-GB"/>
        </w:rPr>
        <w:t xml:space="preserve"> linkages with both city regions, belongs to neither of those</w:t>
      </w:r>
      <w:r w:rsidR="00B4561A" w:rsidRPr="00185AD2">
        <w:rPr>
          <w:rFonts w:ascii="Calibri" w:hAnsi="Calibri"/>
          <w:sz w:val="22"/>
          <w:szCs w:val="22"/>
          <w:lang w:val="en-GB"/>
        </w:rPr>
        <w:t xml:space="preserve"> and forms a partnership with Cheshire</w:t>
      </w:r>
      <w:r w:rsidR="00BA6EA4" w:rsidRPr="003E751B">
        <w:rPr>
          <w:rFonts w:ascii="Calibri" w:hAnsi="Calibri"/>
          <w:sz w:val="22"/>
          <w:szCs w:val="22"/>
          <w:lang w:val="en-GB"/>
        </w:rPr>
        <w:t xml:space="preserve">. </w:t>
      </w:r>
      <w:r w:rsidR="008128ED" w:rsidRPr="003E751B">
        <w:rPr>
          <w:rFonts w:ascii="Calibri" w:hAnsi="Calibri"/>
          <w:sz w:val="22"/>
          <w:szCs w:val="22"/>
          <w:lang w:val="en-GB"/>
        </w:rPr>
        <w:t xml:space="preserve">Nevertheless it makes sense to look </w:t>
      </w:r>
      <w:r w:rsidR="00746FF8" w:rsidRPr="003E751B">
        <w:rPr>
          <w:rFonts w:ascii="Calibri" w:hAnsi="Calibri"/>
          <w:sz w:val="22"/>
          <w:szCs w:val="22"/>
          <w:lang w:val="en-GB"/>
        </w:rPr>
        <w:t xml:space="preserve">at them together </w:t>
      </w:r>
      <w:r w:rsidR="008128ED" w:rsidRPr="003E751B">
        <w:rPr>
          <w:rFonts w:ascii="Calibri" w:hAnsi="Calibri"/>
          <w:sz w:val="22"/>
          <w:szCs w:val="22"/>
          <w:lang w:val="en-GB"/>
        </w:rPr>
        <w:t>as their urban are</w:t>
      </w:r>
      <w:r w:rsidR="00130E84" w:rsidRPr="003E751B">
        <w:rPr>
          <w:rFonts w:ascii="Calibri" w:hAnsi="Calibri"/>
          <w:sz w:val="22"/>
          <w:szCs w:val="22"/>
          <w:lang w:val="en-GB"/>
        </w:rPr>
        <w:t>a</w:t>
      </w:r>
      <w:r w:rsidR="00746FF8" w:rsidRPr="003E751B">
        <w:rPr>
          <w:rFonts w:ascii="Calibri" w:hAnsi="Calibri"/>
          <w:sz w:val="22"/>
          <w:szCs w:val="22"/>
          <w:lang w:val="en-GB"/>
        </w:rPr>
        <w:t>s are</w:t>
      </w:r>
      <w:r w:rsidR="00130E84" w:rsidRPr="003E751B">
        <w:rPr>
          <w:rFonts w:ascii="Calibri" w:hAnsi="Calibri"/>
          <w:sz w:val="22"/>
          <w:szCs w:val="22"/>
          <w:lang w:val="en-GB"/>
        </w:rPr>
        <w:t xml:space="preserve"> strongly interwoven (</w:t>
      </w:r>
      <w:r w:rsidR="00130E84" w:rsidRPr="003E751B">
        <w:rPr>
          <w:rFonts w:ascii="Calibri" w:hAnsi="Calibri"/>
          <w:i/>
          <w:sz w:val="22"/>
          <w:szCs w:val="22"/>
          <w:lang w:val="en-GB"/>
        </w:rPr>
        <w:t>Green</w:t>
      </w:r>
      <w:r w:rsidR="008128ED" w:rsidRPr="003E751B">
        <w:rPr>
          <w:rFonts w:ascii="Calibri" w:hAnsi="Calibri"/>
          <w:sz w:val="22"/>
          <w:szCs w:val="22"/>
          <w:lang w:val="en-GB"/>
        </w:rPr>
        <w:t xml:space="preserve"> 200</w:t>
      </w:r>
      <w:r w:rsidR="00130E84" w:rsidRPr="003E751B">
        <w:rPr>
          <w:rFonts w:ascii="Calibri" w:hAnsi="Calibri"/>
          <w:sz w:val="22"/>
          <w:szCs w:val="22"/>
          <w:lang w:val="en-GB"/>
        </w:rPr>
        <w:t>8</w:t>
      </w:r>
      <w:r w:rsidR="008128ED" w:rsidRPr="003E751B">
        <w:rPr>
          <w:rFonts w:ascii="Calibri" w:hAnsi="Calibri"/>
          <w:sz w:val="22"/>
          <w:szCs w:val="22"/>
          <w:lang w:val="en-GB"/>
        </w:rPr>
        <w:t xml:space="preserve">) and the reframing of the Manchester and Liverpool city-regions as </w:t>
      </w:r>
      <w:r w:rsidR="00463691" w:rsidRPr="003E751B">
        <w:rPr>
          <w:rFonts w:ascii="Calibri" w:hAnsi="Calibri"/>
          <w:sz w:val="22"/>
          <w:szCs w:val="22"/>
          <w:lang w:val="en-GB"/>
        </w:rPr>
        <w:t xml:space="preserve">Atlantic Gateway </w:t>
      </w:r>
      <w:r w:rsidR="008128ED" w:rsidRPr="003E751B">
        <w:rPr>
          <w:rFonts w:ascii="Calibri" w:hAnsi="Calibri"/>
          <w:sz w:val="22"/>
          <w:szCs w:val="22"/>
          <w:lang w:val="en-GB"/>
        </w:rPr>
        <w:t xml:space="preserve">is just the latest of a series of attempts to bring the two cities together </w:t>
      </w:r>
      <w:r w:rsidR="004C4070" w:rsidRPr="003E751B">
        <w:rPr>
          <w:rFonts w:ascii="Calibri" w:hAnsi="Calibri"/>
          <w:sz w:val="22"/>
          <w:szCs w:val="22"/>
          <w:lang w:val="en-GB"/>
        </w:rPr>
        <w:fldChar w:fldCharType="begin"/>
      </w:r>
      <w:r w:rsidR="007D4860" w:rsidRPr="003E751B">
        <w:rPr>
          <w:rFonts w:ascii="Calibri" w:hAnsi="Calibri"/>
          <w:sz w:val="22"/>
          <w:szCs w:val="22"/>
          <w:lang w:val="en-GB"/>
        </w:rPr>
        <w:instrText xml:space="preserve"> ADDIN EN.CITE &lt;EndNote&gt;&lt;Cite&gt;&lt;Author&gt;Dembski&lt;/Author&gt;&lt;Year&gt;2015&lt;/Year&gt;&lt;RecNum&gt;12&lt;/RecNum&gt;&lt;DisplayText&gt;(Dembski 2015)&lt;/DisplayText&gt;&lt;record&gt;&lt;rec-n</w:instrText>
      </w:r>
      <w:r w:rsidR="007D4860" w:rsidRPr="00185AD2">
        <w:rPr>
          <w:rFonts w:ascii="Calibri" w:hAnsi="Calibri"/>
          <w:sz w:val="22"/>
          <w:szCs w:val="22"/>
          <w:lang w:val="en-GB"/>
        </w:rPr>
        <w:instrText>umber&gt;12&lt;/rec-number&gt;&lt;foreign-keys&gt;&lt;key app="EN" db-id="ftft0spwgfe5sve52agvra5bx0tprpffaz29" timestamp="1434724340"&gt;12&lt;/key&gt;&lt;/foreign-keys&gt;&lt;ref-type name="Journal Article"&gt;17&lt;/ref-type&gt;&lt;contributors&gt;&lt;authors&gt;&lt;author&gt;Dembski, Sebastian&lt;/author&gt;&lt;/authors&gt;&lt;/contributors&gt;&lt;titles&gt;&lt;title&gt;Structure and imagination of changing cities: Manchester, Liverpool and the spatial in-between&lt;/title&gt;&lt;secondary-title&gt;Urban Studies&lt;/secondary-title&gt;&lt;/titles&gt;&lt;periodical&gt;&lt;full-title&gt;Urban Studies&lt;/full-title&gt;&lt;/periodical&gt;&lt;pages</w:instrText>
      </w:r>
      <w:r w:rsidR="007D4860" w:rsidRPr="003E751B">
        <w:rPr>
          <w:rFonts w:ascii="Calibri" w:hAnsi="Calibri"/>
          <w:sz w:val="22"/>
          <w:szCs w:val="22"/>
          <w:lang w:val="en-GB"/>
        </w:rPr>
        <w:instrText>&gt;1647-1664&lt;/pages&gt;&lt;volume&gt;52&lt;/volume&gt;&lt;number&gt;9&lt;/number&gt;&lt;dates&gt;&lt;year&gt;2015&lt;/year&gt;&lt;pub-dates&gt;&lt;date&gt;July 1, 2015&lt;/date&gt;&lt;/pub-dates&gt;&lt;/dates&gt;&lt;urls&gt;&lt;related-urls&gt;&lt;url&gt;http://usj.sagepub.com/content/52/9/1647.abstract&lt;/url&gt;&lt;/related-urls&gt;&lt;/urls&gt;&lt;electronic-resource-num&gt;10.1177/0042098014539021&lt;/electronic-resource-num&gt;&lt;/record&gt;&lt;/Cite&gt;&lt;/EndNote&gt;</w:instrText>
      </w:r>
      <w:r w:rsidR="004C4070" w:rsidRPr="003E751B">
        <w:rPr>
          <w:rFonts w:ascii="Calibri" w:hAnsi="Calibri"/>
          <w:sz w:val="22"/>
          <w:szCs w:val="22"/>
          <w:lang w:val="en-GB"/>
        </w:rPr>
        <w:fldChar w:fldCharType="separate"/>
      </w:r>
      <w:r w:rsidR="007D4860" w:rsidRPr="003E751B">
        <w:rPr>
          <w:rFonts w:ascii="Calibri" w:hAnsi="Calibri"/>
          <w:noProof/>
          <w:sz w:val="22"/>
          <w:szCs w:val="22"/>
          <w:lang w:val="en-GB"/>
        </w:rPr>
        <w:t>(</w:t>
      </w:r>
      <w:r w:rsidR="007D4860" w:rsidRPr="003E751B">
        <w:rPr>
          <w:rFonts w:ascii="Calibri" w:hAnsi="Calibri"/>
          <w:i/>
          <w:noProof/>
          <w:sz w:val="22"/>
          <w:szCs w:val="22"/>
          <w:lang w:val="en-GB"/>
        </w:rPr>
        <w:t>Dembski</w:t>
      </w:r>
      <w:r w:rsidR="007D4860" w:rsidRPr="003E751B">
        <w:rPr>
          <w:rFonts w:ascii="Calibri" w:hAnsi="Calibri"/>
          <w:noProof/>
          <w:sz w:val="22"/>
          <w:szCs w:val="22"/>
          <w:lang w:val="en-GB"/>
        </w:rPr>
        <w:t xml:space="preserve"> 2015)</w:t>
      </w:r>
      <w:r w:rsidR="004C4070" w:rsidRPr="003E751B">
        <w:rPr>
          <w:rFonts w:ascii="Calibri" w:hAnsi="Calibri"/>
          <w:sz w:val="22"/>
          <w:szCs w:val="22"/>
          <w:lang w:val="en-GB"/>
        </w:rPr>
        <w:fldChar w:fldCharType="end"/>
      </w:r>
      <w:r w:rsidR="00463691" w:rsidRPr="003E751B">
        <w:rPr>
          <w:rFonts w:ascii="Calibri" w:hAnsi="Calibri"/>
          <w:sz w:val="22"/>
          <w:szCs w:val="22"/>
          <w:lang w:val="en-GB"/>
        </w:rPr>
        <w:t xml:space="preserve">. </w:t>
      </w:r>
      <w:r w:rsidR="00F46030" w:rsidRPr="003E751B">
        <w:rPr>
          <w:rFonts w:ascii="Calibri" w:hAnsi="Calibri"/>
          <w:sz w:val="22"/>
          <w:szCs w:val="22"/>
          <w:lang w:val="en-GB"/>
        </w:rPr>
        <w:t xml:space="preserve">Both </w:t>
      </w:r>
      <w:r w:rsidR="00684F37" w:rsidRPr="00185AD2">
        <w:rPr>
          <w:rFonts w:ascii="Calibri" w:hAnsi="Calibri"/>
          <w:sz w:val="22"/>
          <w:szCs w:val="22"/>
          <w:lang w:val="en-GB"/>
        </w:rPr>
        <w:t>Manchester and Liverpool have been what is generally conside</w:t>
      </w:r>
      <w:r w:rsidR="00130E84" w:rsidRPr="003E751B">
        <w:rPr>
          <w:rFonts w:ascii="Calibri" w:hAnsi="Calibri"/>
          <w:sz w:val="22"/>
          <w:szCs w:val="22"/>
          <w:lang w:val="en-GB"/>
        </w:rPr>
        <w:t>red a shrinking city (</w:t>
      </w:r>
      <w:r w:rsidR="00130E84" w:rsidRPr="003E751B">
        <w:rPr>
          <w:rFonts w:ascii="Calibri" w:hAnsi="Calibri"/>
          <w:i/>
          <w:sz w:val="22"/>
          <w:szCs w:val="22"/>
          <w:lang w:val="en-GB"/>
        </w:rPr>
        <w:t>Couch/</w:t>
      </w:r>
      <w:r w:rsidR="00684F37" w:rsidRPr="003E751B">
        <w:rPr>
          <w:rFonts w:ascii="Calibri" w:hAnsi="Calibri"/>
          <w:i/>
          <w:sz w:val="22"/>
          <w:szCs w:val="22"/>
          <w:lang w:val="en-GB"/>
        </w:rPr>
        <w:t>Cocks</w:t>
      </w:r>
      <w:r w:rsidR="00684F37" w:rsidRPr="003E751B">
        <w:rPr>
          <w:rFonts w:ascii="Calibri" w:hAnsi="Calibri"/>
          <w:sz w:val="22"/>
          <w:szCs w:val="22"/>
          <w:lang w:val="en-GB"/>
        </w:rPr>
        <w:t xml:space="preserve"> 2013; </w:t>
      </w:r>
      <w:r w:rsidR="00800028" w:rsidRPr="003E751B">
        <w:rPr>
          <w:rFonts w:ascii="Calibri" w:hAnsi="Calibri"/>
          <w:i/>
          <w:sz w:val="22"/>
          <w:szCs w:val="22"/>
          <w:lang w:val="en-GB"/>
        </w:rPr>
        <w:t>Oswalt</w:t>
      </w:r>
      <w:r w:rsidR="00800028" w:rsidRPr="003E751B">
        <w:rPr>
          <w:rFonts w:ascii="Calibri" w:hAnsi="Calibri"/>
          <w:sz w:val="22"/>
          <w:szCs w:val="22"/>
          <w:lang w:val="en-GB"/>
        </w:rPr>
        <w:t xml:space="preserve"> 200</w:t>
      </w:r>
      <w:r w:rsidR="00237271" w:rsidRPr="003E751B">
        <w:rPr>
          <w:rFonts w:ascii="Calibri" w:hAnsi="Calibri"/>
          <w:sz w:val="22"/>
          <w:szCs w:val="22"/>
          <w:lang w:val="en-GB"/>
        </w:rPr>
        <w:t>5</w:t>
      </w:r>
      <w:r w:rsidR="00684F37" w:rsidRPr="003E751B">
        <w:rPr>
          <w:rFonts w:ascii="Calibri" w:hAnsi="Calibri"/>
          <w:sz w:val="22"/>
          <w:szCs w:val="22"/>
          <w:lang w:val="en-GB"/>
        </w:rPr>
        <w:t xml:space="preserve">). </w:t>
      </w:r>
      <w:r w:rsidR="007E7F29" w:rsidRPr="003E751B">
        <w:rPr>
          <w:rFonts w:ascii="Calibri" w:hAnsi="Calibri"/>
          <w:sz w:val="22"/>
          <w:szCs w:val="22"/>
          <w:lang w:val="en-GB"/>
        </w:rPr>
        <w:t>Initially, the movements were internal from the cities into the suburbs</w:t>
      </w:r>
      <w:r w:rsidR="008D3C52" w:rsidRPr="003E751B">
        <w:rPr>
          <w:rFonts w:ascii="Calibri" w:hAnsi="Calibri"/>
          <w:sz w:val="22"/>
          <w:szCs w:val="22"/>
          <w:lang w:val="en-GB"/>
        </w:rPr>
        <w:t xml:space="preserve"> (</w:t>
      </w:r>
      <w:r w:rsidR="002E105E" w:rsidRPr="003E751B">
        <w:rPr>
          <w:rFonts w:ascii="Calibri" w:hAnsi="Calibri"/>
          <w:sz w:val="22"/>
          <w:szCs w:val="22"/>
          <w:lang w:val="en-GB"/>
        </w:rPr>
        <w:t>s</w:t>
      </w:r>
      <w:r w:rsidR="008D545D" w:rsidRPr="003E751B">
        <w:rPr>
          <w:rFonts w:ascii="Calibri" w:hAnsi="Calibri"/>
          <w:sz w:val="22"/>
          <w:szCs w:val="22"/>
          <w:lang w:val="en-GB"/>
        </w:rPr>
        <w:t>ub</w:t>
      </w:r>
      <w:r w:rsidR="008D3C52" w:rsidRPr="003E751B">
        <w:rPr>
          <w:rFonts w:ascii="Calibri" w:hAnsi="Calibri"/>
          <w:sz w:val="22"/>
          <w:szCs w:val="22"/>
          <w:lang w:val="en-GB"/>
        </w:rPr>
        <w:t>urbanisation)</w:t>
      </w:r>
      <w:r w:rsidR="007E7F29" w:rsidRPr="003E751B">
        <w:rPr>
          <w:rFonts w:ascii="Calibri" w:hAnsi="Calibri"/>
          <w:sz w:val="22"/>
          <w:szCs w:val="22"/>
          <w:lang w:val="en-GB"/>
        </w:rPr>
        <w:t xml:space="preserve">, but from the </w:t>
      </w:r>
      <w:r w:rsidR="005E5B11" w:rsidRPr="003E751B">
        <w:rPr>
          <w:rFonts w:ascii="Calibri" w:hAnsi="Calibri"/>
          <w:sz w:val="22"/>
          <w:szCs w:val="22"/>
          <w:lang w:val="en-GB"/>
        </w:rPr>
        <w:t xml:space="preserve">late 1970s </w:t>
      </w:r>
      <w:r w:rsidR="007E7F29" w:rsidRPr="003E751B">
        <w:rPr>
          <w:rFonts w:ascii="Calibri" w:hAnsi="Calibri"/>
          <w:sz w:val="22"/>
          <w:szCs w:val="22"/>
          <w:lang w:val="en-GB"/>
        </w:rPr>
        <w:t>onwards, the city regions as a whole declined</w:t>
      </w:r>
      <w:r w:rsidR="008D3C52" w:rsidRPr="003E751B">
        <w:rPr>
          <w:rFonts w:ascii="Calibri" w:hAnsi="Calibri"/>
          <w:sz w:val="22"/>
          <w:szCs w:val="22"/>
          <w:lang w:val="en-GB"/>
        </w:rPr>
        <w:t xml:space="preserve"> (</w:t>
      </w:r>
      <w:r w:rsidR="008D545D" w:rsidRPr="003E751B">
        <w:rPr>
          <w:rFonts w:ascii="Calibri" w:hAnsi="Calibri"/>
          <w:sz w:val="22"/>
          <w:szCs w:val="22"/>
          <w:lang w:val="en-GB"/>
        </w:rPr>
        <w:t>counter</w:t>
      </w:r>
      <w:r w:rsidR="008D3C52" w:rsidRPr="003E751B">
        <w:rPr>
          <w:rFonts w:ascii="Calibri" w:hAnsi="Calibri"/>
          <w:sz w:val="22"/>
          <w:szCs w:val="22"/>
          <w:lang w:val="en-GB"/>
        </w:rPr>
        <w:t>urbanisation)</w:t>
      </w:r>
      <w:r w:rsidR="003534DF" w:rsidRPr="003E751B">
        <w:rPr>
          <w:rFonts w:ascii="Calibri" w:hAnsi="Calibri"/>
          <w:sz w:val="22"/>
          <w:szCs w:val="22"/>
          <w:lang w:val="en-GB"/>
        </w:rPr>
        <w:t xml:space="preserve"> (</w:t>
      </w:r>
      <w:r w:rsidR="00BF5CF5" w:rsidRPr="003E751B">
        <w:rPr>
          <w:rFonts w:ascii="Calibri" w:hAnsi="Calibri"/>
          <w:i/>
          <w:sz w:val="22"/>
          <w:szCs w:val="22"/>
          <w:lang w:val="en-GB"/>
        </w:rPr>
        <w:t>Dorling/Atkins</w:t>
      </w:r>
      <w:r w:rsidR="00BF5CF5" w:rsidRPr="003E751B">
        <w:rPr>
          <w:rFonts w:ascii="Calibri" w:hAnsi="Calibri"/>
          <w:sz w:val="22"/>
          <w:szCs w:val="22"/>
          <w:lang w:val="en-GB"/>
        </w:rPr>
        <w:t xml:space="preserve"> 1995</w:t>
      </w:r>
      <w:r w:rsidR="003534DF" w:rsidRPr="003E751B">
        <w:rPr>
          <w:rFonts w:ascii="Calibri" w:hAnsi="Calibri"/>
          <w:sz w:val="22"/>
          <w:szCs w:val="22"/>
          <w:lang w:val="en-GB"/>
        </w:rPr>
        <w:t>)</w:t>
      </w:r>
      <w:r w:rsidR="00B309C0" w:rsidRPr="003E751B">
        <w:rPr>
          <w:rFonts w:ascii="Calibri" w:hAnsi="Calibri"/>
          <w:sz w:val="22"/>
          <w:szCs w:val="22"/>
          <w:lang w:val="en-GB"/>
        </w:rPr>
        <w:t>, mirroring the stages of urban development</w:t>
      </w:r>
      <w:r w:rsidR="003534DF" w:rsidRPr="003E751B">
        <w:rPr>
          <w:rFonts w:ascii="Calibri" w:hAnsi="Calibri"/>
          <w:sz w:val="22"/>
          <w:szCs w:val="22"/>
          <w:lang w:val="en-GB"/>
        </w:rPr>
        <w:t xml:space="preserve">. </w:t>
      </w:r>
      <w:r w:rsidR="006552ED" w:rsidRPr="003E751B">
        <w:rPr>
          <w:rFonts w:ascii="Calibri" w:hAnsi="Calibri"/>
          <w:sz w:val="22"/>
          <w:szCs w:val="22"/>
          <w:lang w:val="en-GB"/>
        </w:rPr>
        <w:t>So</w:t>
      </w:r>
      <w:r w:rsidR="002A5903" w:rsidRPr="003E751B">
        <w:rPr>
          <w:rFonts w:ascii="Calibri" w:hAnsi="Calibri"/>
          <w:sz w:val="22"/>
          <w:szCs w:val="22"/>
          <w:lang w:val="en-GB"/>
        </w:rPr>
        <w:t>,</w:t>
      </w:r>
      <w:r w:rsidR="006552ED" w:rsidRPr="003E751B">
        <w:rPr>
          <w:rFonts w:ascii="Calibri" w:hAnsi="Calibri"/>
          <w:sz w:val="22"/>
          <w:szCs w:val="22"/>
          <w:lang w:val="en-GB"/>
        </w:rPr>
        <w:t xml:space="preserve"> w</w:t>
      </w:r>
      <w:r w:rsidR="008128ED" w:rsidRPr="003E751B">
        <w:rPr>
          <w:rFonts w:ascii="Calibri" w:hAnsi="Calibri"/>
          <w:sz w:val="22"/>
          <w:szCs w:val="22"/>
          <w:lang w:val="en-GB"/>
        </w:rPr>
        <w:t xml:space="preserve">hat happened in the Northwest in the age of the urban renaissance? </w:t>
      </w:r>
    </w:p>
    <w:p w14:paraId="173B2F3B" w14:textId="0E096948" w:rsidR="003411AC" w:rsidRPr="003E751B" w:rsidRDefault="00505C77" w:rsidP="00505C77">
      <w:pPr>
        <w:ind w:firstLine="284"/>
        <w:rPr>
          <w:rFonts w:ascii="Calibri" w:hAnsi="Calibri"/>
          <w:sz w:val="22"/>
          <w:szCs w:val="22"/>
          <w:lang w:val="en-GB"/>
        </w:rPr>
      </w:pPr>
      <w:r w:rsidRPr="003E751B">
        <w:rPr>
          <w:rFonts w:ascii="Calibri" w:hAnsi="Calibri"/>
          <w:sz w:val="22"/>
          <w:szCs w:val="22"/>
          <w:lang w:val="en-GB"/>
        </w:rPr>
        <w:t xml:space="preserve">The Mersey Belt provides clear evidence of reurbanisation, with </w:t>
      </w:r>
      <w:r w:rsidR="00300F6A" w:rsidRPr="003E751B">
        <w:rPr>
          <w:rFonts w:ascii="Calibri" w:hAnsi="Calibri"/>
          <w:sz w:val="22"/>
          <w:szCs w:val="22"/>
          <w:lang w:val="en-GB"/>
        </w:rPr>
        <w:t xml:space="preserve">the strongest </w:t>
      </w:r>
      <w:r w:rsidRPr="003E751B">
        <w:rPr>
          <w:rFonts w:ascii="Calibri" w:hAnsi="Calibri"/>
          <w:sz w:val="22"/>
          <w:szCs w:val="22"/>
          <w:lang w:val="en-GB"/>
        </w:rPr>
        <w:t xml:space="preserve">population growth </w:t>
      </w:r>
      <w:r w:rsidR="00300F6A" w:rsidRPr="003E751B">
        <w:rPr>
          <w:rFonts w:ascii="Calibri" w:hAnsi="Calibri"/>
          <w:sz w:val="22"/>
          <w:szCs w:val="22"/>
          <w:lang w:val="en-GB"/>
        </w:rPr>
        <w:t>in</w:t>
      </w:r>
      <w:r w:rsidRPr="003E751B">
        <w:rPr>
          <w:rFonts w:ascii="Calibri" w:hAnsi="Calibri"/>
          <w:sz w:val="22"/>
          <w:szCs w:val="22"/>
          <w:lang w:val="en-GB"/>
        </w:rPr>
        <w:t xml:space="preserve"> the core cities and relatively stronger growth </w:t>
      </w:r>
      <w:r w:rsidR="00300F6A" w:rsidRPr="003E751B">
        <w:rPr>
          <w:rFonts w:ascii="Calibri" w:hAnsi="Calibri"/>
          <w:sz w:val="22"/>
          <w:szCs w:val="22"/>
          <w:lang w:val="en-GB"/>
        </w:rPr>
        <w:t xml:space="preserve">in the urban centres. </w:t>
      </w:r>
      <w:r w:rsidR="00DC017A" w:rsidRPr="003E751B">
        <w:rPr>
          <w:rFonts w:ascii="Calibri" w:hAnsi="Calibri"/>
          <w:sz w:val="22"/>
          <w:szCs w:val="22"/>
          <w:lang w:val="en-GB"/>
        </w:rPr>
        <w:t xml:space="preserve">Manchester has been one of the fastest growing cities in the UK (Rae, 2013). </w:t>
      </w:r>
      <w:r w:rsidR="00300F6A" w:rsidRPr="003E751B">
        <w:rPr>
          <w:rFonts w:ascii="Calibri" w:hAnsi="Calibri"/>
          <w:sz w:val="22"/>
          <w:szCs w:val="22"/>
          <w:lang w:val="en-GB"/>
        </w:rPr>
        <w:t xml:space="preserve">Both core cities </w:t>
      </w:r>
      <w:r w:rsidR="00DC017A" w:rsidRPr="003E751B">
        <w:rPr>
          <w:rFonts w:ascii="Calibri" w:hAnsi="Calibri"/>
          <w:sz w:val="22"/>
          <w:szCs w:val="22"/>
          <w:lang w:val="en-GB"/>
        </w:rPr>
        <w:t>have been clearly the drivers of population growth in their respective city regions</w:t>
      </w:r>
      <w:r w:rsidR="00300F6A" w:rsidRPr="003E751B">
        <w:rPr>
          <w:rFonts w:ascii="Calibri" w:hAnsi="Calibri"/>
          <w:sz w:val="22"/>
          <w:szCs w:val="22"/>
          <w:lang w:val="en-GB"/>
        </w:rPr>
        <w:t xml:space="preserve">, with Manchester being one of the fastest growing cities in the UK (Rae, 2013). </w:t>
      </w:r>
      <w:r w:rsidR="00F96CFC" w:rsidRPr="003E751B">
        <w:rPr>
          <w:rFonts w:ascii="Calibri" w:hAnsi="Calibri"/>
          <w:sz w:val="22"/>
          <w:szCs w:val="22"/>
          <w:lang w:val="en-GB"/>
        </w:rPr>
        <w:t>The position of Manchester as the economic powerhouse of the North is also mirrored in the much higher population growth of Greater Manchester compared to Liverpool City Region, where growth is on balance almost entirely confined to the core</w:t>
      </w:r>
      <w:r w:rsidR="003411AC" w:rsidRPr="003E751B">
        <w:rPr>
          <w:rFonts w:ascii="Calibri" w:hAnsi="Calibri"/>
          <w:sz w:val="22"/>
          <w:szCs w:val="22"/>
          <w:lang w:val="en-GB"/>
        </w:rPr>
        <w:t xml:space="preserve"> (Tab. </w:t>
      </w:r>
      <w:r w:rsidR="00AD7970">
        <w:rPr>
          <w:rFonts w:ascii="Calibri" w:hAnsi="Calibri"/>
          <w:sz w:val="22"/>
          <w:szCs w:val="22"/>
          <w:lang w:val="en-GB"/>
        </w:rPr>
        <w:t>2</w:t>
      </w:r>
      <w:r w:rsidR="003411AC" w:rsidRPr="003E751B">
        <w:rPr>
          <w:rFonts w:ascii="Calibri" w:hAnsi="Calibri"/>
          <w:sz w:val="22"/>
          <w:szCs w:val="22"/>
          <w:lang w:val="en-GB"/>
        </w:rPr>
        <w:t>)</w:t>
      </w:r>
      <w:r w:rsidR="00F96CFC" w:rsidRPr="003E751B">
        <w:rPr>
          <w:rFonts w:ascii="Calibri" w:hAnsi="Calibri"/>
          <w:sz w:val="22"/>
          <w:szCs w:val="22"/>
          <w:lang w:val="en-GB"/>
        </w:rPr>
        <w:t xml:space="preserve">. </w:t>
      </w:r>
      <w:r w:rsidR="003411AC" w:rsidRPr="003E751B">
        <w:rPr>
          <w:rFonts w:ascii="Calibri" w:hAnsi="Calibri"/>
          <w:sz w:val="22"/>
          <w:szCs w:val="22"/>
          <w:lang w:val="en-GB"/>
        </w:rPr>
        <w:t>The urban renaissance is most visible in the central areas of Liverpool and Manchester, the latter extending into parts of Salford and Trafford, which witnessed population growth close to or above 100 per cent.</w:t>
      </w:r>
      <w:r w:rsidR="000612AB" w:rsidRPr="003E751B">
        <w:rPr>
          <w:rFonts w:ascii="Calibri" w:hAnsi="Calibri"/>
          <w:sz w:val="22"/>
          <w:szCs w:val="22"/>
          <w:lang w:val="en-GB"/>
        </w:rPr>
        <w:t xml:space="preserve"> </w:t>
      </w:r>
      <w:r w:rsidR="00073B56" w:rsidRPr="003E751B">
        <w:rPr>
          <w:rFonts w:ascii="Calibri" w:hAnsi="Calibri"/>
          <w:sz w:val="22"/>
          <w:szCs w:val="22"/>
          <w:lang w:val="en-GB"/>
        </w:rPr>
        <w:t>Both city centres have been targeted by a range of regeneration schemes from the 1980s onwards (</w:t>
      </w:r>
      <w:r w:rsidR="00073B56" w:rsidRPr="003E751B">
        <w:rPr>
          <w:rFonts w:ascii="Calibri" w:hAnsi="Calibri"/>
          <w:i/>
          <w:sz w:val="22"/>
          <w:szCs w:val="22"/>
          <w:lang w:val="en-GB"/>
        </w:rPr>
        <w:t>Harding et al.</w:t>
      </w:r>
      <w:r w:rsidR="00073B56" w:rsidRPr="003E751B">
        <w:rPr>
          <w:rFonts w:ascii="Calibri" w:hAnsi="Calibri"/>
          <w:sz w:val="22"/>
          <w:szCs w:val="22"/>
          <w:lang w:val="en-GB"/>
        </w:rPr>
        <w:t xml:space="preserve"> 2010; </w:t>
      </w:r>
      <w:r w:rsidR="00073B56" w:rsidRPr="003E751B">
        <w:rPr>
          <w:rFonts w:ascii="Calibri" w:hAnsi="Calibri"/>
          <w:i/>
          <w:sz w:val="22"/>
          <w:szCs w:val="22"/>
          <w:lang w:val="en-GB"/>
        </w:rPr>
        <w:t>Sykes et al.</w:t>
      </w:r>
      <w:r w:rsidR="00073B56" w:rsidRPr="003E751B">
        <w:rPr>
          <w:rFonts w:ascii="Calibri" w:hAnsi="Calibri"/>
          <w:sz w:val="22"/>
          <w:szCs w:val="22"/>
          <w:lang w:val="en-GB"/>
        </w:rPr>
        <w:t xml:space="preserve"> 2013), finally resulting in new residential developments in the almost deserted inner urban areas. </w:t>
      </w:r>
      <w:r w:rsidR="000612AB" w:rsidRPr="003E751B">
        <w:rPr>
          <w:rFonts w:ascii="Calibri" w:hAnsi="Calibri"/>
          <w:sz w:val="22"/>
          <w:szCs w:val="22"/>
          <w:lang w:val="en-GB"/>
        </w:rPr>
        <w:t>This trend</w:t>
      </w:r>
      <w:r w:rsidR="00073B56" w:rsidRPr="00185AD2">
        <w:rPr>
          <w:rFonts w:ascii="Calibri" w:hAnsi="Calibri"/>
          <w:sz w:val="22"/>
          <w:szCs w:val="22"/>
          <w:lang w:val="en-GB"/>
        </w:rPr>
        <w:t xml:space="preserve"> towards reurbanisation</w:t>
      </w:r>
      <w:r w:rsidR="000612AB" w:rsidRPr="00185AD2">
        <w:rPr>
          <w:rFonts w:ascii="Calibri" w:hAnsi="Calibri"/>
          <w:sz w:val="22"/>
          <w:szCs w:val="22"/>
          <w:lang w:val="en-GB"/>
        </w:rPr>
        <w:t xml:space="preserve">, although on a much smaller scale, can also </w:t>
      </w:r>
      <w:r w:rsidR="00073B56" w:rsidRPr="009B6371">
        <w:rPr>
          <w:rFonts w:ascii="Calibri" w:hAnsi="Calibri"/>
          <w:sz w:val="22"/>
          <w:szCs w:val="22"/>
          <w:lang w:val="en-GB"/>
        </w:rPr>
        <w:t xml:space="preserve">be </w:t>
      </w:r>
      <w:r w:rsidR="00073B56" w:rsidRPr="003E751B">
        <w:rPr>
          <w:rFonts w:ascii="Calibri" w:hAnsi="Calibri"/>
          <w:sz w:val="22"/>
          <w:szCs w:val="22"/>
          <w:lang w:val="en-GB"/>
        </w:rPr>
        <w:t xml:space="preserve">observed in the town centres, which tend to have higher population growth than </w:t>
      </w:r>
      <w:r w:rsidR="0028392D" w:rsidRPr="003E751B">
        <w:rPr>
          <w:rFonts w:ascii="Calibri" w:hAnsi="Calibri"/>
          <w:sz w:val="22"/>
          <w:szCs w:val="22"/>
          <w:lang w:val="en-GB"/>
        </w:rPr>
        <w:t>the rest of the town</w:t>
      </w:r>
      <w:r w:rsidR="00FF5559" w:rsidRPr="003E751B">
        <w:rPr>
          <w:rFonts w:ascii="Calibri" w:hAnsi="Calibri"/>
          <w:sz w:val="22"/>
          <w:szCs w:val="22"/>
          <w:lang w:val="en-GB"/>
        </w:rPr>
        <w:t xml:space="preserve">. What we observe is a dual process of reurbanisation, with concentration at the scale of the city region and local authorities. </w:t>
      </w:r>
    </w:p>
    <w:p w14:paraId="01AD8A37" w14:textId="77777777" w:rsidR="00225CAF" w:rsidRPr="003E751B" w:rsidRDefault="00225CAF" w:rsidP="00F23525">
      <w:pPr>
        <w:rPr>
          <w:rFonts w:ascii="Calibri" w:hAnsi="Calibri"/>
          <w:sz w:val="22"/>
          <w:szCs w:val="22"/>
          <w:lang w:val="en-GB"/>
        </w:rPr>
      </w:pPr>
    </w:p>
    <w:p w14:paraId="429839DD" w14:textId="6945F37D" w:rsidR="00F23525" w:rsidRPr="003E751B" w:rsidRDefault="00F23525" w:rsidP="00B52C7B">
      <w:pPr>
        <w:spacing w:after="200"/>
        <w:ind w:left="851" w:hanging="851"/>
        <w:rPr>
          <w:rFonts w:ascii="Calibri" w:hAnsi="Calibri"/>
          <w:sz w:val="22"/>
          <w:szCs w:val="22"/>
          <w:lang w:val="en-GB"/>
        </w:rPr>
      </w:pPr>
      <w:r w:rsidRPr="003E751B">
        <w:rPr>
          <w:rFonts w:ascii="Calibri" w:hAnsi="Calibri"/>
          <w:b/>
          <w:sz w:val="22"/>
          <w:szCs w:val="22"/>
          <w:lang w:val="en-GB"/>
        </w:rPr>
        <w:t xml:space="preserve">Tab </w:t>
      </w:r>
      <w:r w:rsidR="00AD7970">
        <w:rPr>
          <w:rFonts w:ascii="Calibri" w:hAnsi="Calibri"/>
          <w:b/>
          <w:sz w:val="22"/>
          <w:szCs w:val="22"/>
          <w:lang w:val="en-GB"/>
        </w:rPr>
        <w:t>2</w:t>
      </w:r>
      <w:r w:rsidRPr="003E751B">
        <w:rPr>
          <w:rFonts w:ascii="Calibri" w:hAnsi="Calibri"/>
          <w:b/>
          <w:sz w:val="22"/>
          <w:szCs w:val="22"/>
          <w:lang w:val="en-GB"/>
        </w:rPr>
        <w:t>:</w:t>
      </w:r>
      <w:r w:rsidRPr="003E751B">
        <w:rPr>
          <w:rFonts w:ascii="Calibri" w:hAnsi="Calibri"/>
          <w:b/>
          <w:sz w:val="22"/>
          <w:szCs w:val="22"/>
          <w:lang w:val="en-GB"/>
        </w:rPr>
        <w:tab/>
      </w:r>
      <w:r w:rsidRPr="003E751B">
        <w:rPr>
          <w:rFonts w:ascii="Calibri" w:hAnsi="Calibri"/>
          <w:sz w:val="22"/>
          <w:szCs w:val="22"/>
          <w:lang w:val="en-GB"/>
        </w:rPr>
        <w:t>Population Change in different parts of the Mersey Belt, 2002–2015</w:t>
      </w:r>
    </w:p>
    <w:tbl>
      <w:tblPr>
        <w:tblStyle w:val="TableGrid"/>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41"/>
        <w:gridCol w:w="1831"/>
        <w:gridCol w:w="1832"/>
        <w:gridCol w:w="1832"/>
      </w:tblGrid>
      <w:tr w:rsidR="00F23525" w:rsidRPr="003E751B" w14:paraId="2AECEAED" w14:textId="77777777" w:rsidTr="00F23525">
        <w:tc>
          <w:tcPr>
            <w:tcW w:w="2441" w:type="dxa"/>
            <w:tcBorders>
              <w:top w:val="single" w:sz="4" w:space="0" w:color="auto"/>
              <w:bottom w:val="single" w:sz="4" w:space="0" w:color="auto"/>
            </w:tcBorders>
          </w:tcPr>
          <w:p w14:paraId="64F0AED8" w14:textId="77777777" w:rsidR="00F23525" w:rsidRPr="003E751B" w:rsidRDefault="00F23525" w:rsidP="00B52C7B">
            <w:pPr>
              <w:rPr>
                <w:rFonts w:ascii="Calibri" w:hAnsi="Calibri"/>
                <w:sz w:val="22"/>
                <w:szCs w:val="22"/>
                <w:lang w:val="en-GB"/>
              </w:rPr>
            </w:pPr>
          </w:p>
        </w:tc>
        <w:tc>
          <w:tcPr>
            <w:tcW w:w="1831" w:type="dxa"/>
            <w:tcBorders>
              <w:top w:val="single" w:sz="4" w:space="0" w:color="auto"/>
              <w:bottom w:val="single" w:sz="4" w:space="0" w:color="auto"/>
            </w:tcBorders>
          </w:tcPr>
          <w:p w14:paraId="00709354" w14:textId="77777777" w:rsidR="00F23525" w:rsidRPr="003E751B" w:rsidRDefault="00F23525" w:rsidP="00695FDA">
            <w:pPr>
              <w:jc w:val="center"/>
              <w:rPr>
                <w:rFonts w:ascii="Calibri" w:hAnsi="Calibri"/>
                <w:b/>
                <w:sz w:val="22"/>
                <w:szCs w:val="22"/>
                <w:lang w:val="en-GB"/>
              </w:rPr>
            </w:pPr>
            <w:r w:rsidRPr="003E751B">
              <w:rPr>
                <w:rFonts w:ascii="Calibri" w:hAnsi="Calibri"/>
                <w:b/>
                <w:sz w:val="22"/>
                <w:szCs w:val="22"/>
                <w:lang w:val="en-GB"/>
              </w:rPr>
              <w:t>2002</w:t>
            </w:r>
          </w:p>
        </w:tc>
        <w:tc>
          <w:tcPr>
            <w:tcW w:w="1832" w:type="dxa"/>
            <w:tcBorders>
              <w:top w:val="single" w:sz="4" w:space="0" w:color="auto"/>
              <w:bottom w:val="single" w:sz="4" w:space="0" w:color="auto"/>
            </w:tcBorders>
          </w:tcPr>
          <w:p w14:paraId="79D09E7B" w14:textId="77777777" w:rsidR="00F23525" w:rsidRPr="003E751B" w:rsidRDefault="00F23525" w:rsidP="00695FDA">
            <w:pPr>
              <w:jc w:val="center"/>
              <w:rPr>
                <w:rFonts w:ascii="Calibri" w:hAnsi="Calibri"/>
                <w:b/>
                <w:sz w:val="22"/>
                <w:szCs w:val="22"/>
                <w:lang w:val="en-GB"/>
              </w:rPr>
            </w:pPr>
            <w:r w:rsidRPr="003E751B">
              <w:rPr>
                <w:rFonts w:ascii="Calibri" w:hAnsi="Calibri"/>
                <w:b/>
                <w:sz w:val="22"/>
                <w:szCs w:val="22"/>
                <w:lang w:val="en-GB"/>
              </w:rPr>
              <w:t>2015</w:t>
            </w:r>
          </w:p>
        </w:tc>
        <w:tc>
          <w:tcPr>
            <w:tcW w:w="1832" w:type="dxa"/>
            <w:tcBorders>
              <w:top w:val="single" w:sz="4" w:space="0" w:color="auto"/>
              <w:bottom w:val="single" w:sz="4" w:space="0" w:color="auto"/>
            </w:tcBorders>
          </w:tcPr>
          <w:p w14:paraId="535CD1E4" w14:textId="77777777" w:rsidR="00F23525" w:rsidRPr="003E751B" w:rsidRDefault="00F23525" w:rsidP="00695FDA">
            <w:pPr>
              <w:jc w:val="center"/>
              <w:rPr>
                <w:rFonts w:ascii="Calibri" w:hAnsi="Calibri"/>
                <w:b/>
                <w:sz w:val="22"/>
                <w:szCs w:val="22"/>
                <w:lang w:val="en-GB"/>
              </w:rPr>
            </w:pPr>
            <w:r w:rsidRPr="003E751B">
              <w:rPr>
                <w:rFonts w:ascii="Calibri" w:hAnsi="Calibri"/>
                <w:b/>
                <w:sz w:val="22"/>
                <w:szCs w:val="22"/>
                <w:lang w:val="en-GB"/>
              </w:rPr>
              <w:t>2002–2015</w:t>
            </w:r>
          </w:p>
        </w:tc>
      </w:tr>
      <w:tr w:rsidR="00F23525" w:rsidRPr="003E751B" w14:paraId="5577BEBC" w14:textId="77777777" w:rsidTr="00F23525">
        <w:trPr>
          <w:trHeight w:val="207"/>
        </w:trPr>
        <w:tc>
          <w:tcPr>
            <w:tcW w:w="2441" w:type="dxa"/>
            <w:tcBorders>
              <w:top w:val="single" w:sz="4" w:space="0" w:color="auto"/>
            </w:tcBorders>
          </w:tcPr>
          <w:p w14:paraId="5DFD4A6E" w14:textId="77777777" w:rsidR="00F23525" w:rsidRPr="003E751B" w:rsidRDefault="00F23525" w:rsidP="00B52C7B">
            <w:pPr>
              <w:rPr>
                <w:rFonts w:ascii="Calibri" w:hAnsi="Calibri"/>
                <w:sz w:val="22"/>
                <w:szCs w:val="22"/>
                <w:lang w:val="en-GB"/>
              </w:rPr>
            </w:pPr>
            <w:r w:rsidRPr="003E751B">
              <w:rPr>
                <w:rFonts w:ascii="Calibri" w:hAnsi="Calibri"/>
                <w:sz w:val="22"/>
                <w:szCs w:val="22"/>
                <w:lang w:val="en-GB"/>
              </w:rPr>
              <w:t>Greater Manchester</w:t>
            </w:r>
          </w:p>
        </w:tc>
        <w:tc>
          <w:tcPr>
            <w:tcW w:w="1831" w:type="dxa"/>
            <w:tcBorders>
              <w:top w:val="single" w:sz="4" w:space="0" w:color="auto"/>
            </w:tcBorders>
          </w:tcPr>
          <w:p w14:paraId="591D50FA" w14:textId="77777777" w:rsidR="00F23525" w:rsidRPr="00185AD2" w:rsidRDefault="00F23525" w:rsidP="00695FDA">
            <w:pPr>
              <w:ind w:right="567"/>
              <w:jc w:val="right"/>
              <w:rPr>
                <w:rFonts w:ascii="Calibri" w:hAnsi="Calibri"/>
                <w:sz w:val="22"/>
                <w:szCs w:val="22"/>
                <w:lang w:val="en-GB"/>
              </w:rPr>
            </w:pPr>
            <w:r w:rsidRPr="00185AD2">
              <w:rPr>
                <w:rFonts w:ascii="Calibri" w:hAnsi="Calibri"/>
                <w:sz w:val="22"/>
                <w:szCs w:val="22"/>
                <w:lang w:val="en-GB"/>
              </w:rPr>
              <w:t>2,485,283</w:t>
            </w:r>
          </w:p>
        </w:tc>
        <w:tc>
          <w:tcPr>
            <w:tcW w:w="1832" w:type="dxa"/>
            <w:tcBorders>
              <w:top w:val="single" w:sz="4" w:space="0" w:color="auto"/>
            </w:tcBorders>
          </w:tcPr>
          <w:p w14:paraId="54B859B1"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2,748,280</w:t>
            </w:r>
          </w:p>
        </w:tc>
        <w:tc>
          <w:tcPr>
            <w:tcW w:w="1832" w:type="dxa"/>
            <w:tcBorders>
              <w:top w:val="single" w:sz="4" w:space="0" w:color="auto"/>
            </w:tcBorders>
          </w:tcPr>
          <w:p w14:paraId="3F55B118" w14:textId="4AF87BB8" w:rsidR="00F23525" w:rsidRPr="003E751B" w:rsidRDefault="00F23525" w:rsidP="00F90F48">
            <w:pPr>
              <w:ind w:right="567"/>
              <w:jc w:val="right"/>
              <w:rPr>
                <w:rFonts w:ascii="Calibri" w:hAnsi="Calibri"/>
                <w:sz w:val="22"/>
                <w:szCs w:val="22"/>
                <w:lang w:val="en-GB"/>
              </w:rPr>
            </w:pPr>
            <w:r w:rsidRPr="003E751B">
              <w:rPr>
                <w:rFonts w:ascii="Calibri" w:hAnsi="Calibri"/>
                <w:sz w:val="22"/>
                <w:szCs w:val="22"/>
                <w:lang w:val="en-GB"/>
              </w:rPr>
              <w:t>+</w:t>
            </w:r>
            <w:r w:rsidR="00F90F48" w:rsidRPr="003E751B">
              <w:rPr>
                <w:rFonts w:ascii="Calibri" w:hAnsi="Calibri"/>
                <w:sz w:val="22"/>
                <w:szCs w:val="22"/>
                <w:lang w:val="en-GB"/>
              </w:rPr>
              <w:t>9</w:t>
            </w:r>
            <w:r w:rsidRPr="003E751B">
              <w:rPr>
                <w:rFonts w:ascii="Calibri" w:hAnsi="Calibri"/>
                <w:sz w:val="22"/>
                <w:szCs w:val="22"/>
                <w:lang w:val="en-GB"/>
              </w:rPr>
              <w:t>.</w:t>
            </w:r>
            <w:r w:rsidR="00F90F48" w:rsidRPr="003E751B">
              <w:rPr>
                <w:rFonts w:ascii="Calibri" w:hAnsi="Calibri"/>
                <w:sz w:val="22"/>
                <w:szCs w:val="22"/>
                <w:lang w:val="en-GB"/>
              </w:rPr>
              <w:t>2</w:t>
            </w:r>
            <w:r w:rsidRPr="003E751B">
              <w:rPr>
                <w:rFonts w:ascii="Calibri" w:hAnsi="Calibri"/>
                <w:sz w:val="22"/>
                <w:szCs w:val="22"/>
                <w:lang w:val="en-GB"/>
              </w:rPr>
              <w:t>%</w:t>
            </w:r>
          </w:p>
        </w:tc>
      </w:tr>
      <w:tr w:rsidR="00F23525" w:rsidRPr="003E751B" w14:paraId="303F4435" w14:textId="77777777" w:rsidTr="00F23525">
        <w:trPr>
          <w:trHeight w:val="203"/>
        </w:trPr>
        <w:tc>
          <w:tcPr>
            <w:tcW w:w="2441" w:type="dxa"/>
          </w:tcPr>
          <w:p w14:paraId="6DDD040B" w14:textId="77777777" w:rsidR="00F23525" w:rsidRPr="003E751B" w:rsidRDefault="00F23525" w:rsidP="00B52C7B">
            <w:pPr>
              <w:pStyle w:val="ListParagraph"/>
              <w:numPr>
                <w:ilvl w:val="0"/>
                <w:numId w:val="10"/>
              </w:numPr>
              <w:spacing w:after="0"/>
              <w:rPr>
                <w:rFonts w:ascii="Calibri" w:hAnsi="Calibri"/>
                <w:i/>
              </w:rPr>
            </w:pPr>
            <w:r w:rsidRPr="003E751B">
              <w:rPr>
                <w:rFonts w:ascii="Calibri" w:hAnsi="Calibri"/>
                <w:i/>
              </w:rPr>
              <w:t>Manchester</w:t>
            </w:r>
          </w:p>
        </w:tc>
        <w:tc>
          <w:tcPr>
            <w:tcW w:w="1831" w:type="dxa"/>
          </w:tcPr>
          <w:p w14:paraId="52F0FA5A" w14:textId="0D168223" w:rsidR="00F23525" w:rsidRPr="009B6371" w:rsidRDefault="00F90F48" w:rsidP="00F90F48">
            <w:pPr>
              <w:ind w:right="567"/>
              <w:jc w:val="right"/>
              <w:rPr>
                <w:rFonts w:ascii="Calibri" w:hAnsi="Calibri"/>
                <w:sz w:val="22"/>
                <w:szCs w:val="22"/>
                <w:lang w:val="en-GB"/>
              </w:rPr>
            </w:pPr>
            <w:r w:rsidRPr="00185AD2">
              <w:rPr>
                <w:rFonts w:ascii="Calibri" w:hAnsi="Calibri"/>
                <w:sz w:val="22"/>
                <w:szCs w:val="22"/>
                <w:lang w:val="en-GB"/>
              </w:rPr>
              <w:t>428</w:t>
            </w:r>
            <w:r w:rsidR="00F23525" w:rsidRPr="00185AD2">
              <w:rPr>
                <w:rFonts w:ascii="Calibri" w:hAnsi="Calibri"/>
                <w:sz w:val="22"/>
                <w:szCs w:val="22"/>
                <w:lang w:val="en-GB"/>
              </w:rPr>
              <w:t>,</w:t>
            </w:r>
            <w:r w:rsidRPr="009B6371">
              <w:rPr>
                <w:rFonts w:ascii="Calibri" w:hAnsi="Calibri"/>
                <w:sz w:val="22"/>
                <w:szCs w:val="22"/>
                <w:lang w:val="en-GB"/>
              </w:rPr>
              <w:t>221</w:t>
            </w:r>
          </w:p>
        </w:tc>
        <w:tc>
          <w:tcPr>
            <w:tcW w:w="1832" w:type="dxa"/>
          </w:tcPr>
          <w:p w14:paraId="01C13F51" w14:textId="4D7A000F" w:rsidR="00F23525" w:rsidRPr="003E751B" w:rsidRDefault="00F90F48" w:rsidP="00F90F48">
            <w:pPr>
              <w:ind w:right="567"/>
              <w:jc w:val="right"/>
              <w:rPr>
                <w:rFonts w:ascii="Calibri" w:hAnsi="Calibri"/>
                <w:sz w:val="22"/>
                <w:szCs w:val="22"/>
                <w:lang w:val="en-GB"/>
              </w:rPr>
            </w:pPr>
            <w:r w:rsidRPr="003E751B">
              <w:rPr>
                <w:rFonts w:ascii="Calibri" w:hAnsi="Calibri"/>
                <w:sz w:val="22"/>
                <w:szCs w:val="22"/>
                <w:lang w:val="en-GB"/>
              </w:rPr>
              <w:t>530</w:t>
            </w:r>
            <w:r w:rsidR="00F23525" w:rsidRPr="003E751B">
              <w:rPr>
                <w:rFonts w:ascii="Calibri" w:hAnsi="Calibri"/>
                <w:sz w:val="22"/>
                <w:szCs w:val="22"/>
                <w:lang w:val="en-GB"/>
              </w:rPr>
              <w:t>,2</w:t>
            </w:r>
            <w:r w:rsidRPr="003E751B">
              <w:rPr>
                <w:rFonts w:ascii="Calibri" w:hAnsi="Calibri"/>
                <w:sz w:val="22"/>
                <w:szCs w:val="22"/>
                <w:lang w:val="en-GB"/>
              </w:rPr>
              <w:t>92</w:t>
            </w:r>
          </w:p>
        </w:tc>
        <w:tc>
          <w:tcPr>
            <w:tcW w:w="1832" w:type="dxa"/>
          </w:tcPr>
          <w:p w14:paraId="6DA6BA20" w14:textId="1664314D" w:rsidR="00F23525" w:rsidRPr="003E751B" w:rsidRDefault="00F23525" w:rsidP="00F90F48">
            <w:pPr>
              <w:ind w:right="567"/>
              <w:jc w:val="right"/>
              <w:rPr>
                <w:rFonts w:ascii="Calibri" w:hAnsi="Calibri"/>
                <w:sz w:val="22"/>
                <w:szCs w:val="22"/>
                <w:lang w:val="en-GB"/>
              </w:rPr>
            </w:pPr>
            <w:r w:rsidRPr="003E751B">
              <w:rPr>
                <w:rFonts w:ascii="Calibri" w:hAnsi="Calibri"/>
                <w:sz w:val="22"/>
                <w:szCs w:val="22"/>
                <w:lang w:val="en-GB"/>
              </w:rPr>
              <w:t>+</w:t>
            </w:r>
            <w:r w:rsidR="00F90F48" w:rsidRPr="003E751B">
              <w:rPr>
                <w:rFonts w:ascii="Calibri" w:hAnsi="Calibri"/>
                <w:sz w:val="22"/>
                <w:szCs w:val="22"/>
                <w:lang w:val="en-GB"/>
              </w:rPr>
              <w:t>2</w:t>
            </w:r>
            <w:r w:rsidRPr="003E751B">
              <w:rPr>
                <w:rFonts w:ascii="Calibri" w:hAnsi="Calibri"/>
                <w:sz w:val="22"/>
                <w:szCs w:val="22"/>
                <w:lang w:val="en-GB"/>
              </w:rPr>
              <w:t>3.</w:t>
            </w:r>
            <w:r w:rsidR="00F90F48" w:rsidRPr="003E751B">
              <w:rPr>
                <w:rFonts w:ascii="Calibri" w:hAnsi="Calibri"/>
                <w:sz w:val="22"/>
                <w:szCs w:val="22"/>
                <w:lang w:val="en-GB"/>
              </w:rPr>
              <w:t>8</w:t>
            </w:r>
            <w:r w:rsidRPr="003E751B">
              <w:rPr>
                <w:rFonts w:ascii="Calibri" w:hAnsi="Calibri"/>
                <w:sz w:val="22"/>
                <w:szCs w:val="22"/>
                <w:lang w:val="en-GB"/>
              </w:rPr>
              <w:t>%</w:t>
            </w:r>
          </w:p>
        </w:tc>
      </w:tr>
      <w:tr w:rsidR="00F23525" w:rsidRPr="003E751B" w14:paraId="654A668C" w14:textId="77777777" w:rsidTr="00F23525">
        <w:tc>
          <w:tcPr>
            <w:tcW w:w="2441" w:type="dxa"/>
          </w:tcPr>
          <w:p w14:paraId="062862EC" w14:textId="5BF28AA4" w:rsidR="00F23525" w:rsidRPr="00185AD2" w:rsidRDefault="00172EE0" w:rsidP="00B52C7B">
            <w:pPr>
              <w:pStyle w:val="ListParagraph"/>
              <w:numPr>
                <w:ilvl w:val="0"/>
                <w:numId w:val="10"/>
              </w:numPr>
              <w:spacing w:after="0"/>
              <w:rPr>
                <w:rFonts w:ascii="Calibri" w:hAnsi="Calibri"/>
                <w:i/>
              </w:rPr>
            </w:pPr>
            <w:r>
              <w:rPr>
                <w:rFonts w:ascii="Calibri" w:hAnsi="Calibri"/>
                <w:i/>
              </w:rPr>
              <w:t>Ring</w:t>
            </w:r>
          </w:p>
        </w:tc>
        <w:tc>
          <w:tcPr>
            <w:tcW w:w="1831" w:type="dxa"/>
          </w:tcPr>
          <w:p w14:paraId="5667BE04" w14:textId="2C0A7ED3" w:rsidR="00F23525" w:rsidRPr="003E751B" w:rsidRDefault="00F23525" w:rsidP="00F90F48">
            <w:pPr>
              <w:ind w:right="567"/>
              <w:jc w:val="right"/>
              <w:rPr>
                <w:rFonts w:ascii="Calibri" w:hAnsi="Calibri"/>
                <w:sz w:val="22"/>
                <w:szCs w:val="22"/>
                <w:lang w:val="en-GB"/>
              </w:rPr>
            </w:pPr>
            <w:r w:rsidRPr="003E751B">
              <w:rPr>
                <w:rFonts w:ascii="Calibri" w:hAnsi="Calibri"/>
                <w:sz w:val="22"/>
                <w:szCs w:val="22"/>
                <w:lang w:val="en-GB"/>
              </w:rPr>
              <w:t>2,</w:t>
            </w:r>
            <w:r w:rsidR="00F90F48" w:rsidRPr="003E751B">
              <w:rPr>
                <w:rFonts w:ascii="Calibri" w:hAnsi="Calibri"/>
                <w:sz w:val="22"/>
                <w:szCs w:val="22"/>
                <w:lang w:val="en-GB"/>
              </w:rPr>
              <w:t>094</w:t>
            </w:r>
            <w:r w:rsidRPr="003E751B">
              <w:rPr>
                <w:rFonts w:ascii="Calibri" w:hAnsi="Calibri"/>
                <w:sz w:val="22"/>
                <w:szCs w:val="22"/>
                <w:lang w:val="en-GB"/>
              </w:rPr>
              <w:t>,</w:t>
            </w:r>
            <w:r w:rsidR="00F90F48" w:rsidRPr="003E751B">
              <w:rPr>
                <w:rFonts w:ascii="Calibri" w:hAnsi="Calibri"/>
                <w:sz w:val="22"/>
                <w:szCs w:val="22"/>
                <w:lang w:val="en-GB"/>
              </w:rPr>
              <w:t>99</w:t>
            </w:r>
            <w:r w:rsidRPr="003E751B">
              <w:rPr>
                <w:rFonts w:ascii="Calibri" w:hAnsi="Calibri"/>
                <w:sz w:val="22"/>
                <w:szCs w:val="22"/>
                <w:lang w:val="en-GB"/>
              </w:rPr>
              <w:t>3</w:t>
            </w:r>
          </w:p>
        </w:tc>
        <w:tc>
          <w:tcPr>
            <w:tcW w:w="1832" w:type="dxa"/>
          </w:tcPr>
          <w:p w14:paraId="64F187D4" w14:textId="08B16E55" w:rsidR="00F23525" w:rsidRPr="003E751B" w:rsidRDefault="00F23525" w:rsidP="00F90F48">
            <w:pPr>
              <w:ind w:right="567"/>
              <w:jc w:val="right"/>
              <w:rPr>
                <w:rFonts w:ascii="Calibri" w:hAnsi="Calibri"/>
                <w:sz w:val="22"/>
                <w:szCs w:val="22"/>
                <w:lang w:val="en-GB"/>
              </w:rPr>
            </w:pPr>
            <w:r w:rsidRPr="003E751B">
              <w:rPr>
                <w:rFonts w:ascii="Calibri" w:hAnsi="Calibri"/>
                <w:sz w:val="22"/>
                <w:szCs w:val="22"/>
                <w:lang w:val="en-GB"/>
              </w:rPr>
              <w:t>2,2</w:t>
            </w:r>
            <w:r w:rsidR="00F90F48" w:rsidRPr="003E751B">
              <w:rPr>
                <w:rFonts w:ascii="Calibri" w:hAnsi="Calibri"/>
                <w:sz w:val="22"/>
                <w:szCs w:val="22"/>
                <w:lang w:val="en-GB"/>
              </w:rPr>
              <w:t>25</w:t>
            </w:r>
            <w:r w:rsidRPr="003E751B">
              <w:rPr>
                <w:rFonts w:ascii="Calibri" w:hAnsi="Calibri"/>
                <w:sz w:val="22"/>
                <w:szCs w:val="22"/>
                <w:lang w:val="en-GB"/>
              </w:rPr>
              <w:t>,</w:t>
            </w:r>
            <w:r w:rsidR="00F90F48" w:rsidRPr="003E751B">
              <w:rPr>
                <w:rFonts w:ascii="Calibri" w:hAnsi="Calibri"/>
                <w:sz w:val="22"/>
                <w:szCs w:val="22"/>
                <w:lang w:val="en-GB"/>
              </w:rPr>
              <w:t>870</w:t>
            </w:r>
          </w:p>
        </w:tc>
        <w:tc>
          <w:tcPr>
            <w:tcW w:w="1832" w:type="dxa"/>
          </w:tcPr>
          <w:p w14:paraId="20F4AAD5"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+6.2%</w:t>
            </w:r>
          </w:p>
        </w:tc>
      </w:tr>
      <w:tr w:rsidR="00F23525" w:rsidRPr="003E751B" w14:paraId="1ED4BA89" w14:textId="77777777" w:rsidTr="00F23525">
        <w:tc>
          <w:tcPr>
            <w:tcW w:w="2441" w:type="dxa"/>
          </w:tcPr>
          <w:p w14:paraId="724CF966" w14:textId="77777777" w:rsidR="00F23525" w:rsidRPr="003E751B" w:rsidRDefault="00F23525" w:rsidP="00B52C7B">
            <w:pPr>
              <w:rPr>
                <w:rFonts w:ascii="Calibri" w:hAnsi="Calibri"/>
                <w:sz w:val="22"/>
                <w:szCs w:val="22"/>
                <w:lang w:val="en-GB"/>
              </w:rPr>
            </w:pPr>
            <w:r w:rsidRPr="003E751B">
              <w:rPr>
                <w:rFonts w:ascii="Calibri" w:hAnsi="Calibri"/>
                <w:sz w:val="22"/>
                <w:szCs w:val="22"/>
                <w:lang w:val="en-GB"/>
              </w:rPr>
              <w:t>Liverpool City Region</w:t>
            </w:r>
          </w:p>
        </w:tc>
        <w:tc>
          <w:tcPr>
            <w:tcW w:w="1831" w:type="dxa"/>
          </w:tcPr>
          <w:p w14:paraId="0E08B784" w14:textId="1BAEB78E" w:rsidR="00F23525" w:rsidRPr="003E751B" w:rsidRDefault="00F23525" w:rsidP="008775DF">
            <w:pPr>
              <w:ind w:right="567"/>
              <w:jc w:val="right"/>
              <w:rPr>
                <w:rFonts w:ascii="Calibri" w:hAnsi="Calibri"/>
                <w:sz w:val="22"/>
                <w:szCs w:val="22"/>
                <w:lang w:val="en-GB"/>
              </w:rPr>
            </w:pPr>
            <w:r w:rsidRPr="00185AD2">
              <w:rPr>
                <w:rFonts w:ascii="Calibri" w:hAnsi="Calibri"/>
                <w:sz w:val="22"/>
                <w:szCs w:val="22"/>
                <w:lang w:val="en-GB"/>
              </w:rPr>
              <w:t>1,</w:t>
            </w:r>
            <w:r w:rsidR="008775DF" w:rsidRPr="00185AD2">
              <w:rPr>
                <w:rFonts w:ascii="Calibri" w:hAnsi="Calibri"/>
                <w:sz w:val="22"/>
                <w:szCs w:val="22"/>
                <w:lang w:val="en-GB"/>
              </w:rPr>
              <w:t>485</w:t>
            </w:r>
            <w:r w:rsidRPr="009B6371">
              <w:rPr>
                <w:rFonts w:ascii="Calibri" w:hAnsi="Calibri"/>
                <w:sz w:val="22"/>
                <w:szCs w:val="22"/>
                <w:lang w:val="en-GB"/>
              </w:rPr>
              <w:t>,2</w:t>
            </w:r>
            <w:r w:rsidR="008775DF" w:rsidRPr="009B6371">
              <w:rPr>
                <w:rFonts w:ascii="Calibri" w:hAnsi="Calibri"/>
                <w:sz w:val="22"/>
                <w:szCs w:val="22"/>
                <w:lang w:val="en-GB"/>
              </w:rPr>
              <w:t>89</w:t>
            </w:r>
          </w:p>
        </w:tc>
        <w:tc>
          <w:tcPr>
            <w:tcW w:w="1832" w:type="dxa"/>
          </w:tcPr>
          <w:p w14:paraId="7F75075C" w14:textId="18C480EE" w:rsidR="00F23525" w:rsidRPr="003E751B" w:rsidRDefault="00F23525" w:rsidP="008775DF">
            <w:pPr>
              <w:ind w:right="567"/>
              <w:jc w:val="right"/>
              <w:rPr>
                <w:rFonts w:ascii="Calibri" w:hAnsi="Calibri"/>
                <w:sz w:val="22"/>
                <w:szCs w:val="22"/>
                <w:lang w:val="en-GB"/>
              </w:rPr>
            </w:pPr>
            <w:r w:rsidRPr="003E751B">
              <w:rPr>
                <w:rFonts w:ascii="Calibri" w:hAnsi="Calibri"/>
                <w:sz w:val="22"/>
                <w:szCs w:val="22"/>
                <w:lang w:val="en-GB"/>
              </w:rPr>
              <w:t>1,5</w:t>
            </w:r>
            <w:r w:rsidR="008775DF" w:rsidRPr="003E751B">
              <w:rPr>
                <w:rFonts w:ascii="Calibri" w:hAnsi="Calibri"/>
                <w:sz w:val="22"/>
                <w:szCs w:val="22"/>
                <w:lang w:val="en-GB"/>
              </w:rPr>
              <w:t>24</w:t>
            </w:r>
            <w:r w:rsidRPr="003E751B">
              <w:rPr>
                <w:rFonts w:ascii="Calibri" w:hAnsi="Calibri"/>
                <w:sz w:val="22"/>
                <w:szCs w:val="22"/>
                <w:lang w:val="en-GB"/>
              </w:rPr>
              <w:t>,558</w:t>
            </w:r>
          </w:p>
        </w:tc>
        <w:tc>
          <w:tcPr>
            <w:tcW w:w="1832" w:type="dxa"/>
          </w:tcPr>
          <w:p w14:paraId="47A84E68"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+2.6%</w:t>
            </w:r>
          </w:p>
        </w:tc>
      </w:tr>
      <w:tr w:rsidR="00F23525" w:rsidRPr="003E751B" w14:paraId="7F6AFF0C" w14:textId="77777777" w:rsidTr="00F23525">
        <w:tc>
          <w:tcPr>
            <w:tcW w:w="2441" w:type="dxa"/>
          </w:tcPr>
          <w:p w14:paraId="6204C992" w14:textId="77777777" w:rsidR="00F23525" w:rsidRPr="003E751B" w:rsidRDefault="00F23525" w:rsidP="00B52C7B">
            <w:pPr>
              <w:pStyle w:val="ListParagraph"/>
              <w:numPr>
                <w:ilvl w:val="0"/>
                <w:numId w:val="10"/>
              </w:numPr>
              <w:spacing w:after="0"/>
              <w:rPr>
                <w:rFonts w:ascii="Calibri" w:hAnsi="Calibri"/>
                <w:i/>
              </w:rPr>
            </w:pPr>
            <w:r w:rsidRPr="003E751B">
              <w:rPr>
                <w:rFonts w:ascii="Calibri" w:hAnsi="Calibri"/>
                <w:i/>
              </w:rPr>
              <w:t>Liverpool</w:t>
            </w:r>
          </w:p>
        </w:tc>
        <w:tc>
          <w:tcPr>
            <w:tcW w:w="1831" w:type="dxa"/>
          </w:tcPr>
          <w:p w14:paraId="6CB5E1E5" w14:textId="4592E2BB" w:rsidR="00F23525" w:rsidRPr="00185AD2" w:rsidRDefault="008775DF" w:rsidP="008775DF">
            <w:pPr>
              <w:ind w:right="567"/>
              <w:jc w:val="right"/>
              <w:rPr>
                <w:rFonts w:ascii="Calibri" w:hAnsi="Calibri"/>
                <w:sz w:val="22"/>
                <w:szCs w:val="22"/>
                <w:lang w:val="en-GB"/>
              </w:rPr>
            </w:pPr>
            <w:r w:rsidRPr="00185AD2">
              <w:rPr>
                <w:rFonts w:ascii="Calibri" w:hAnsi="Calibri"/>
                <w:sz w:val="22"/>
                <w:szCs w:val="22"/>
                <w:lang w:val="en-GB"/>
              </w:rPr>
              <w:t>443</w:t>
            </w:r>
            <w:r w:rsidR="00F23525" w:rsidRPr="00185AD2">
              <w:rPr>
                <w:rFonts w:ascii="Calibri" w:hAnsi="Calibri"/>
                <w:sz w:val="22"/>
                <w:szCs w:val="22"/>
                <w:lang w:val="en-GB"/>
              </w:rPr>
              <w:t>,117</w:t>
            </w:r>
          </w:p>
        </w:tc>
        <w:tc>
          <w:tcPr>
            <w:tcW w:w="1832" w:type="dxa"/>
          </w:tcPr>
          <w:p w14:paraId="18A7F1B3" w14:textId="2F110995" w:rsidR="00F23525" w:rsidRPr="003E751B" w:rsidRDefault="00E46184" w:rsidP="00E46184">
            <w:pPr>
              <w:ind w:right="567"/>
              <w:jc w:val="right"/>
              <w:rPr>
                <w:rFonts w:ascii="Calibri" w:hAnsi="Calibri"/>
                <w:sz w:val="22"/>
                <w:szCs w:val="22"/>
                <w:lang w:val="en-GB"/>
              </w:rPr>
            </w:pPr>
            <w:r w:rsidRPr="003E751B">
              <w:rPr>
                <w:rFonts w:ascii="Calibri" w:hAnsi="Calibri"/>
                <w:sz w:val="22"/>
                <w:szCs w:val="22"/>
                <w:lang w:val="en-GB"/>
              </w:rPr>
              <w:t>478</w:t>
            </w:r>
            <w:r w:rsidR="00F23525" w:rsidRPr="003E751B">
              <w:rPr>
                <w:rFonts w:ascii="Calibri" w:hAnsi="Calibri"/>
                <w:sz w:val="22"/>
                <w:szCs w:val="22"/>
                <w:lang w:val="en-GB"/>
              </w:rPr>
              <w:t>,580</w:t>
            </w:r>
          </w:p>
        </w:tc>
        <w:tc>
          <w:tcPr>
            <w:tcW w:w="1832" w:type="dxa"/>
          </w:tcPr>
          <w:p w14:paraId="7DF01BE4"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+7.8%</w:t>
            </w:r>
          </w:p>
        </w:tc>
      </w:tr>
      <w:tr w:rsidR="00F23525" w:rsidRPr="003E751B" w14:paraId="5FCA8FD3" w14:textId="77777777" w:rsidTr="00F23525">
        <w:trPr>
          <w:trHeight w:val="133"/>
        </w:trPr>
        <w:tc>
          <w:tcPr>
            <w:tcW w:w="2441" w:type="dxa"/>
          </w:tcPr>
          <w:p w14:paraId="46C76E10" w14:textId="3E3961C6" w:rsidR="00F23525" w:rsidRPr="00185AD2" w:rsidRDefault="00172EE0" w:rsidP="00B52C7B">
            <w:pPr>
              <w:pStyle w:val="ListParagraph"/>
              <w:numPr>
                <w:ilvl w:val="0"/>
                <w:numId w:val="10"/>
              </w:numPr>
              <w:spacing w:after="0"/>
              <w:rPr>
                <w:rFonts w:ascii="Calibri" w:hAnsi="Calibri"/>
                <w:i/>
              </w:rPr>
            </w:pPr>
            <w:r>
              <w:rPr>
                <w:rFonts w:ascii="Calibri" w:hAnsi="Calibri"/>
                <w:i/>
              </w:rPr>
              <w:t>Ring</w:t>
            </w:r>
          </w:p>
        </w:tc>
        <w:tc>
          <w:tcPr>
            <w:tcW w:w="1831" w:type="dxa"/>
          </w:tcPr>
          <w:p w14:paraId="6BD63BA5"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1,041,505</w:t>
            </w:r>
          </w:p>
        </w:tc>
        <w:tc>
          <w:tcPr>
            <w:tcW w:w="1832" w:type="dxa"/>
          </w:tcPr>
          <w:p w14:paraId="14BB0EFF"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1,045,978</w:t>
            </w:r>
          </w:p>
        </w:tc>
        <w:tc>
          <w:tcPr>
            <w:tcW w:w="1832" w:type="dxa"/>
          </w:tcPr>
          <w:p w14:paraId="673B0F65"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+0.4%</w:t>
            </w:r>
          </w:p>
        </w:tc>
      </w:tr>
      <w:tr w:rsidR="00F23525" w:rsidRPr="003E751B" w14:paraId="7047BA96" w14:textId="77777777" w:rsidTr="00F23525">
        <w:tc>
          <w:tcPr>
            <w:tcW w:w="2441" w:type="dxa"/>
          </w:tcPr>
          <w:p w14:paraId="78FC6E56" w14:textId="77777777" w:rsidR="00F23525" w:rsidRPr="003E751B" w:rsidRDefault="00F23525" w:rsidP="00B52C7B">
            <w:pPr>
              <w:rPr>
                <w:rFonts w:ascii="Calibri" w:hAnsi="Calibri"/>
                <w:sz w:val="22"/>
                <w:szCs w:val="22"/>
                <w:lang w:val="en-GB"/>
              </w:rPr>
            </w:pPr>
            <w:r w:rsidRPr="003E751B">
              <w:rPr>
                <w:rFonts w:ascii="Calibri" w:hAnsi="Calibri"/>
                <w:sz w:val="22"/>
                <w:szCs w:val="22"/>
                <w:lang w:val="en-GB"/>
              </w:rPr>
              <w:t>Cheshire and Warrington</w:t>
            </w:r>
          </w:p>
        </w:tc>
        <w:tc>
          <w:tcPr>
            <w:tcW w:w="1831" w:type="dxa"/>
          </w:tcPr>
          <w:p w14:paraId="0721CD89" w14:textId="77777777" w:rsidR="00F23525" w:rsidRPr="00185AD2" w:rsidRDefault="00F23525" w:rsidP="00695FDA">
            <w:pPr>
              <w:ind w:right="567"/>
              <w:jc w:val="right"/>
              <w:rPr>
                <w:rFonts w:ascii="Calibri" w:hAnsi="Calibri"/>
                <w:sz w:val="22"/>
                <w:szCs w:val="22"/>
                <w:lang w:val="en-GB"/>
              </w:rPr>
            </w:pPr>
            <w:r w:rsidRPr="00185AD2">
              <w:rPr>
                <w:rFonts w:ascii="Calibri" w:hAnsi="Calibri"/>
                <w:sz w:val="22"/>
                <w:szCs w:val="22"/>
                <w:lang w:val="en-GB"/>
              </w:rPr>
              <w:t>867,620</w:t>
            </w:r>
          </w:p>
        </w:tc>
        <w:tc>
          <w:tcPr>
            <w:tcW w:w="1832" w:type="dxa"/>
          </w:tcPr>
          <w:p w14:paraId="36D6B0A6"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917,004</w:t>
            </w:r>
          </w:p>
        </w:tc>
        <w:tc>
          <w:tcPr>
            <w:tcW w:w="1832" w:type="dxa"/>
          </w:tcPr>
          <w:p w14:paraId="6543ACC4" w14:textId="77777777" w:rsidR="00F23525" w:rsidRPr="003E751B" w:rsidRDefault="00F23525" w:rsidP="00695FDA">
            <w:pPr>
              <w:ind w:right="567"/>
              <w:jc w:val="right"/>
              <w:rPr>
                <w:rFonts w:ascii="Calibri" w:hAnsi="Calibri"/>
                <w:sz w:val="22"/>
                <w:szCs w:val="22"/>
                <w:lang w:val="en-GB"/>
              </w:rPr>
            </w:pPr>
            <w:r w:rsidRPr="003E751B">
              <w:rPr>
                <w:rFonts w:ascii="Calibri" w:hAnsi="Calibri"/>
                <w:sz w:val="22"/>
                <w:szCs w:val="22"/>
                <w:lang w:val="en-GB"/>
              </w:rPr>
              <w:t>+5.7%</w:t>
            </w:r>
          </w:p>
        </w:tc>
      </w:tr>
      <w:tr w:rsidR="00F23525" w:rsidRPr="003E751B" w14:paraId="3EBBFB44" w14:textId="77777777" w:rsidTr="00A952D8">
        <w:tc>
          <w:tcPr>
            <w:tcW w:w="2441" w:type="dxa"/>
            <w:tcBorders>
              <w:bottom w:val="single" w:sz="4" w:space="0" w:color="auto"/>
            </w:tcBorders>
          </w:tcPr>
          <w:p w14:paraId="0ACDEF1A" w14:textId="77777777" w:rsidR="00F23525" w:rsidRPr="003E751B" w:rsidRDefault="00F23525" w:rsidP="00B52C7B">
            <w:pPr>
              <w:rPr>
                <w:rFonts w:ascii="Calibri" w:hAnsi="Calibri"/>
                <w:sz w:val="22"/>
                <w:szCs w:val="22"/>
                <w:lang w:val="en-GB"/>
              </w:rPr>
            </w:pPr>
            <w:r w:rsidRPr="003E751B">
              <w:rPr>
                <w:rFonts w:ascii="Calibri" w:hAnsi="Calibri"/>
                <w:sz w:val="22"/>
                <w:szCs w:val="22"/>
                <w:lang w:val="en-GB"/>
              </w:rPr>
              <w:t>Mersey Belt</w:t>
            </w:r>
          </w:p>
        </w:tc>
        <w:tc>
          <w:tcPr>
            <w:tcW w:w="1831" w:type="dxa"/>
            <w:tcBorders>
              <w:bottom w:val="single" w:sz="4" w:space="0" w:color="auto"/>
            </w:tcBorders>
          </w:tcPr>
          <w:p w14:paraId="195A6D6C" w14:textId="62BCE740" w:rsidR="00F23525" w:rsidRPr="003E751B" w:rsidRDefault="00F23525" w:rsidP="004F257B">
            <w:pPr>
              <w:ind w:right="567"/>
              <w:jc w:val="right"/>
              <w:rPr>
                <w:rFonts w:ascii="Calibri" w:hAnsi="Calibri"/>
                <w:sz w:val="22"/>
                <w:szCs w:val="22"/>
                <w:lang w:val="en-GB"/>
              </w:rPr>
            </w:pPr>
            <w:r w:rsidRPr="00185AD2">
              <w:rPr>
                <w:rFonts w:ascii="Calibri" w:hAnsi="Calibri"/>
                <w:sz w:val="22"/>
                <w:szCs w:val="22"/>
                <w:lang w:val="en-GB"/>
              </w:rPr>
              <w:t>4,</w:t>
            </w:r>
            <w:r w:rsidR="004F257B" w:rsidRPr="00185AD2">
              <w:rPr>
                <w:rFonts w:ascii="Calibri" w:hAnsi="Calibri"/>
                <w:sz w:val="22"/>
                <w:szCs w:val="22"/>
                <w:lang w:val="en-GB"/>
              </w:rPr>
              <w:t>876</w:t>
            </w:r>
            <w:r w:rsidRPr="009B6371">
              <w:rPr>
                <w:rFonts w:ascii="Calibri" w:hAnsi="Calibri"/>
                <w:sz w:val="22"/>
                <w:szCs w:val="22"/>
                <w:lang w:val="en-GB"/>
              </w:rPr>
              <w:t>,</w:t>
            </w:r>
            <w:r w:rsidR="004F257B" w:rsidRPr="009B6371">
              <w:rPr>
                <w:rFonts w:ascii="Calibri" w:hAnsi="Calibri"/>
                <w:sz w:val="22"/>
                <w:szCs w:val="22"/>
                <w:lang w:val="en-GB"/>
              </w:rPr>
              <w:t>1</w:t>
            </w:r>
            <w:r w:rsidRPr="003E751B">
              <w:rPr>
                <w:rFonts w:ascii="Calibri" w:hAnsi="Calibri"/>
                <w:sz w:val="22"/>
                <w:szCs w:val="22"/>
                <w:lang w:val="en-GB"/>
              </w:rPr>
              <w:t>2</w:t>
            </w:r>
            <w:r w:rsidR="004F257B" w:rsidRPr="003E751B">
              <w:rPr>
                <w:rFonts w:ascii="Calibri" w:hAnsi="Calibri"/>
                <w:sz w:val="22"/>
                <w:szCs w:val="22"/>
                <w:lang w:val="en-GB"/>
              </w:rPr>
              <w:t>3</w:t>
            </w:r>
          </w:p>
        </w:tc>
        <w:tc>
          <w:tcPr>
            <w:tcW w:w="1832" w:type="dxa"/>
            <w:tcBorders>
              <w:bottom w:val="single" w:sz="4" w:space="0" w:color="auto"/>
            </w:tcBorders>
          </w:tcPr>
          <w:p w14:paraId="3D248BD2" w14:textId="1E609E71" w:rsidR="00F23525" w:rsidRPr="003E751B" w:rsidRDefault="00F23525" w:rsidP="004F257B">
            <w:pPr>
              <w:ind w:right="567"/>
              <w:jc w:val="right"/>
              <w:rPr>
                <w:rFonts w:ascii="Calibri" w:hAnsi="Calibri"/>
                <w:sz w:val="22"/>
                <w:szCs w:val="22"/>
                <w:lang w:val="en-GB"/>
              </w:rPr>
            </w:pPr>
            <w:r w:rsidRPr="003E751B">
              <w:rPr>
                <w:rFonts w:ascii="Calibri" w:hAnsi="Calibri"/>
                <w:sz w:val="22"/>
                <w:szCs w:val="22"/>
                <w:lang w:val="en-GB"/>
              </w:rPr>
              <w:t>5,1</w:t>
            </w:r>
            <w:r w:rsidR="004F257B" w:rsidRPr="003E751B">
              <w:rPr>
                <w:rFonts w:ascii="Calibri" w:hAnsi="Calibri"/>
                <w:sz w:val="22"/>
                <w:szCs w:val="22"/>
                <w:lang w:val="en-GB"/>
              </w:rPr>
              <w:t>97</w:t>
            </w:r>
            <w:r w:rsidRPr="003E751B">
              <w:rPr>
                <w:rFonts w:ascii="Calibri" w:hAnsi="Calibri"/>
                <w:sz w:val="22"/>
                <w:szCs w:val="22"/>
                <w:lang w:val="en-GB"/>
              </w:rPr>
              <w:t>,</w:t>
            </w:r>
            <w:r w:rsidR="004F257B" w:rsidRPr="003E751B">
              <w:rPr>
                <w:rFonts w:ascii="Calibri" w:hAnsi="Calibri"/>
                <w:sz w:val="22"/>
                <w:szCs w:val="22"/>
                <w:lang w:val="en-GB"/>
              </w:rPr>
              <w:t>7</w:t>
            </w:r>
            <w:r w:rsidRPr="003E751B">
              <w:rPr>
                <w:rFonts w:ascii="Calibri" w:hAnsi="Calibri"/>
                <w:sz w:val="22"/>
                <w:szCs w:val="22"/>
                <w:lang w:val="en-GB"/>
              </w:rPr>
              <w:t>2</w:t>
            </w:r>
            <w:r w:rsidR="004F257B" w:rsidRPr="003E751B">
              <w:rPr>
                <w:rFonts w:ascii="Calibri" w:hAnsi="Calibri"/>
                <w:sz w:val="22"/>
                <w:szCs w:val="22"/>
                <w:lang w:val="en-GB"/>
              </w:rPr>
              <w:t>4</w:t>
            </w:r>
          </w:p>
        </w:tc>
        <w:tc>
          <w:tcPr>
            <w:tcW w:w="1832" w:type="dxa"/>
            <w:tcBorders>
              <w:bottom w:val="single" w:sz="4" w:space="0" w:color="auto"/>
            </w:tcBorders>
          </w:tcPr>
          <w:p w14:paraId="3E14CAFC" w14:textId="6DA09BA0" w:rsidR="00F23525" w:rsidRPr="003E751B" w:rsidRDefault="00F23525" w:rsidP="00AB4512">
            <w:pPr>
              <w:ind w:right="567"/>
              <w:jc w:val="right"/>
              <w:rPr>
                <w:rFonts w:ascii="Calibri" w:hAnsi="Calibri"/>
                <w:sz w:val="22"/>
                <w:szCs w:val="22"/>
                <w:lang w:val="en-GB"/>
              </w:rPr>
            </w:pPr>
            <w:r w:rsidRPr="003E751B">
              <w:rPr>
                <w:rFonts w:ascii="Calibri" w:hAnsi="Calibri"/>
                <w:sz w:val="22"/>
                <w:szCs w:val="22"/>
                <w:lang w:val="en-GB"/>
              </w:rPr>
              <w:t>+</w:t>
            </w:r>
            <w:r w:rsidR="00AB4512" w:rsidRPr="003E751B">
              <w:rPr>
                <w:rFonts w:ascii="Calibri" w:hAnsi="Calibri"/>
                <w:sz w:val="22"/>
                <w:szCs w:val="22"/>
                <w:lang w:val="en-GB"/>
              </w:rPr>
              <w:t>6</w:t>
            </w:r>
            <w:r w:rsidRPr="003E751B">
              <w:rPr>
                <w:rFonts w:ascii="Calibri" w:hAnsi="Calibri"/>
                <w:sz w:val="22"/>
                <w:szCs w:val="22"/>
                <w:lang w:val="en-GB"/>
              </w:rPr>
              <w:t>.</w:t>
            </w:r>
            <w:r w:rsidR="00AB4512" w:rsidRPr="003E751B">
              <w:rPr>
                <w:rFonts w:ascii="Calibri" w:hAnsi="Calibri"/>
                <w:sz w:val="22"/>
                <w:szCs w:val="22"/>
                <w:lang w:val="en-GB"/>
              </w:rPr>
              <w:t>6</w:t>
            </w:r>
            <w:r w:rsidRPr="003E751B">
              <w:rPr>
                <w:rFonts w:ascii="Calibri" w:hAnsi="Calibri"/>
                <w:sz w:val="22"/>
                <w:szCs w:val="22"/>
                <w:lang w:val="en-GB"/>
              </w:rPr>
              <w:t>%</w:t>
            </w:r>
          </w:p>
        </w:tc>
      </w:tr>
      <w:tr w:rsidR="00A952D8" w:rsidRPr="003E751B" w14:paraId="28EF76A2" w14:textId="77777777" w:rsidTr="00537D18">
        <w:tc>
          <w:tcPr>
            <w:tcW w:w="2441" w:type="dxa"/>
          </w:tcPr>
          <w:p w14:paraId="60CEC7BC" w14:textId="6438FE83" w:rsidR="00A952D8" w:rsidRPr="00185AD2" w:rsidRDefault="00A952D8" w:rsidP="00B52C7B">
            <w:pPr>
              <w:rPr>
                <w:rFonts w:ascii="Calibri" w:hAnsi="Calibri"/>
                <w:sz w:val="22"/>
                <w:szCs w:val="22"/>
                <w:lang w:val="en-GB"/>
              </w:rPr>
            </w:pPr>
            <w:r w:rsidRPr="003E751B">
              <w:rPr>
                <w:rFonts w:ascii="Calibri" w:hAnsi="Calibri"/>
                <w:sz w:val="22"/>
                <w:szCs w:val="22"/>
                <w:lang w:val="en-GB"/>
              </w:rPr>
              <w:t>Northwest</w:t>
            </w:r>
            <w:r w:rsidR="00537D18" w:rsidRPr="003E751B">
              <w:rPr>
                <w:rFonts w:ascii="Calibri" w:hAnsi="Calibri"/>
                <w:sz w:val="22"/>
                <w:szCs w:val="22"/>
                <w:lang w:val="en-GB"/>
              </w:rPr>
              <w:t xml:space="preserve"> Region</w:t>
            </w:r>
          </w:p>
        </w:tc>
        <w:tc>
          <w:tcPr>
            <w:tcW w:w="1831" w:type="dxa"/>
          </w:tcPr>
          <w:p w14:paraId="77D173AD" w14:textId="68334AF4" w:rsidR="00A952D8" w:rsidRPr="003E751B" w:rsidRDefault="00537D18" w:rsidP="00537D18">
            <w:pPr>
              <w:ind w:right="567"/>
              <w:jc w:val="right"/>
              <w:rPr>
                <w:rFonts w:ascii="Calibri" w:hAnsi="Calibri"/>
                <w:sz w:val="22"/>
                <w:szCs w:val="22"/>
                <w:lang w:val="en-GB"/>
              </w:rPr>
            </w:pPr>
            <w:r w:rsidRPr="003E751B">
              <w:rPr>
                <w:rFonts w:ascii="Calibri" w:hAnsi="Calibri"/>
                <w:sz w:val="22"/>
                <w:szCs w:val="22"/>
                <w:lang w:val="en-GB"/>
              </w:rPr>
              <w:t>6,784,880</w:t>
            </w:r>
          </w:p>
        </w:tc>
        <w:tc>
          <w:tcPr>
            <w:tcW w:w="1832" w:type="dxa"/>
          </w:tcPr>
          <w:p w14:paraId="394FA1C5" w14:textId="3E9B55B1" w:rsidR="00A952D8" w:rsidRPr="003E751B" w:rsidRDefault="00537D18" w:rsidP="00537D18">
            <w:pPr>
              <w:ind w:right="567"/>
              <w:jc w:val="right"/>
              <w:rPr>
                <w:rFonts w:ascii="Calibri" w:hAnsi="Calibri"/>
                <w:sz w:val="22"/>
                <w:szCs w:val="22"/>
                <w:lang w:val="en-GB"/>
              </w:rPr>
            </w:pPr>
            <w:r w:rsidRPr="003E751B">
              <w:rPr>
                <w:rFonts w:ascii="Calibri" w:hAnsi="Calibri"/>
                <w:sz w:val="22"/>
                <w:szCs w:val="22"/>
                <w:lang w:val="en-GB"/>
              </w:rPr>
              <w:t>7,173,835</w:t>
            </w:r>
          </w:p>
        </w:tc>
        <w:tc>
          <w:tcPr>
            <w:tcW w:w="1832" w:type="dxa"/>
          </w:tcPr>
          <w:p w14:paraId="3EFDC806" w14:textId="17BFCC57" w:rsidR="00A952D8" w:rsidRPr="003E751B" w:rsidRDefault="00A952D8" w:rsidP="00AB4512">
            <w:pPr>
              <w:ind w:right="567"/>
              <w:jc w:val="right"/>
              <w:rPr>
                <w:rFonts w:ascii="Calibri" w:hAnsi="Calibri"/>
                <w:sz w:val="22"/>
                <w:szCs w:val="22"/>
                <w:lang w:val="en-GB"/>
              </w:rPr>
            </w:pPr>
            <w:r w:rsidRPr="003E751B">
              <w:rPr>
                <w:rFonts w:ascii="Calibri" w:hAnsi="Calibri"/>
                <w:sz w:val="22"/>
                <w:szCs w:val="22"/>
                <w:lang w:val="en-GB"/>
              </w:rPr>
              <w:t>+5.7%</w:t>
            </w:r>
          </w:p>
        </w:tc>
      </w:tr>
      <w:tr w:rsidR="00A952D8" w:rsidRPr="003E751B" w14:paraId="25A07402" w14:textId="77777777" w:rsidTr="00F23525">
        <w:tc>
          <w:tcPr>
            <w:tcW w:w="2441" w:type="dxa"/>
            <w:tcBorders>
              <w:bottom w:val="single" w:sz="4" w:space="0" w:color="auto"/>
            </w:tcBorders>
          </w:tcPr>
          <w:p w14:paraId="6C799BF9" w14:textId="6DF6927A" w:rsidR="00A952D8" w:rsidRPr="003E751B" w:rsidRDefault="00A952D8" w:rsidP="00B52C7B">
            <w:pPr>
              <w:rPr>
                <w:rFonts w:ascii="Calibri" w:hAnsi="Calibri"/>
                <w:sz w:val="22"/>
                <w:szCs w:val="22"/>
                <w:lang w:val="en-GB"/>
              </w:rPr>
            </w:pPr>
            <w:r w:rsidRPr="003E751B">
              <w:rPr>
                <w:rFonts w:ascii="Calibri" w:hAnsi="Calibri"/>
                <w:sz w:val="22"/>
                <w:szCs w:val="22"/>
                <w:lang w:val="en-GB"/>
              </w:rPr>
              <w:t>United Kingdom</w:t>
            </w:r>
          </w:p>
        </w:tc>
        <w:tc>
          <w:tcPr>
            <w:tcW w:w="1831" w:type="dxa"/>
            <w:tcBorders>
              <w:bottom w:val="single" w:sz="4" w:space="0" w:color="auto"/>
            </w:tcBorders>
          </w:tcPr>
          <w:p w14:paraId="10618D4E" w14:textId="2C5CE231" w:rsidR="00A952D8" w:rsidRPr="00185AD2" w:rsidRDefault="00A952D8" w:rsidP="00A952D8">
            <w:pPr>
              <w:ind w:right="567"/>
              <w:jc w:val="right"/>
              <w:rPr>
                <w:rFonts w:ascii="Calibri" w:hAnsi="Calibri"/>
                <w:sz w:val="22"/>
                <w:szCs w:val="22"/>
                <w:lang w:val="en-GB"/>
              </w:rPr>
            </w:pPr>
            <w:r w:rsidRPr="00185AD2">
              <w:rPr>
                <w:rFonts w:ascii="Calibri" w:hAnsi="Calibri"/>
                <w:sz w:val="22"/>
                <w:szCs w:val="22"/>
                <w:lang w:val="en-GB"/>
              </w:rPr>
              <w:t>59,365,677</w:t>
            </w:r>
          </w:p>
        </w:tc>
        <w:tc>
          <w:tcPr>
            <w:tcW w:w="1832" w:type="dxa"/>
            <w:tcBorders>
              <w:bottom w:val="single" w:sz="4" w:space="0" w:color="auto"/>
            </w:tcBorders>
          </w:tcPr>
          <w:p w14:paraId="0976A7E8" w14:textId="4A6C1E0D" w:rsidR="00A952D8" w:rsidRPr="003E751B" w:rsidRDefault="00A952D8" w:rsidP="00A952D8">
            <w:pPr>
              <w:ind w:right="567"/>
              <w:jc w:val="right"/>
              <w:rPr>
                <w:rFonts w:ascii="Calibri" w:hAnsi="Calibri"/>
                <w:sz w:val="22"/>
                <w:szCs w:val="22"/>
                <w:lang w:val="en-GB"/>
              </w:rPr>
            </w:pPr>
            <w:r w:rsidRPr="003E751B">
              <w:rPr>
                <w:rFonts w:ascii="Calibri" w:hAnsi="Calibri"/>
                <w:sz w:val="22"/>
                <w:szCs w:val="22"/>
                <w:lang w:val="en-GB"/>
              </w:rPr>
              <w:t>65,110,034</w:t>
            </w:r>
          </w:p>
        </w:tc>
        <w:tc>
          <w:tcPr>
            <w:tcW w:w="1832" w:type="dxa"/>
            <w:tcBorders>
              <w:bottom w:val="single" w:sz="4" w:space="0" w:color="auto"/>
            </w:tcBorders>
          </w:tcPr>
          <w:p w14:paraId="28141619" w14:textId="3AE5DE8D" w:rsidR="00A952D8" w:rsidRPr="003E751B" w:rsidRDefault="00A952D8" w:rsidP="00AB4512">
            <w:pPr>
              <w:ind w:right="567"/>
              <w:jc w:val="right"/>
              <w:rPr>
                <w:rFonts w:ascii="Calibri" w:hAnsi="Calibri"/>
                <w:sz w:val="22"/>
                <w:szCs w:val="22"/>
                <w:lang w:val="en-GB"/>
              </w:rPr>
            </w:pPr>
            <w:r w:rsidRPr="003E751B">
              <w:rPr>
                <w:rFonts w:ascii="Calibri" w:hAnsi="Calibri"/>
                <w:sz w:val="22"/>
                <w:szCs w:val="22"/>
                <w:lang w:val="en-GB"/>
              </w:rPr>
              <w:t>+9.7%</w:t>
            </w:r>
          </w:p>
        </w:tc>
      </w:tr>
    </w:tbl>
    <w:p w14:paraId="4CA331C0" w14:textId="61336861" w:rsidR="00F23525" w:rsidRPr="003E751B" w:rsidRDefault="00F23525" w:rsidP="000B7A44">
      <w:pPr>
        <w:spacing w:before="200"/>
        <w:ind w:left="720" w:hanging="720"/>
        <w:rPr>
          <w:rFonts w:ascii="Calibri" w:hAnsi="Calibri"/>
          <w:sz w:val="22"/>
          <w:szCs w:val="22"/>
          <w:lang w:val="en-GB"/>
        </w:rPr>
      </w:pPr>
      <w:r w:rsidRPr="003E751B">
        <w:rPr>
          <w:rFonts w:ascii="Calibri" w:hAnsi="Calibri"/>
          <w:sz w:val="22"/>
          <w:szCs w:val="22"/>
          <w:lang w:val="en-GB"/>
        </w:rPr>
        <w:lastRenderedPageBreak/>
        <w:t>Source:</w:t>
      </w:r>
      <w:r w:rsidRPr="003E751B">
        <w:rPr>
          <w:rFonts w:ascii="Calibri" w:hAnsi="Calibri"/>
          <w:sz w:val="22"/>
          <w:szCs w:val="22"/>
          <w:lang w:val="en-GB"/>
        </w:rPr>
        <w:tab/>
        <w:t xml:space="preserve">own calculations based on </w:t>
      </w:r>
      <w:r w:rsidR="000B7A44" w:rsidRPr="003E751B">
        <w:rPr>
          <w:rFonts w:ascii="Calibri" w:hAnsi="Calibri"/>
          <w:sz w:val="22"/>
          <w:szCs w:val="22"/>
          <w:lang w:val="en-GB"/>
        </w:rPr>
        <w:t xml:space="preserve">the ONS </w:t>
      </w:r>
      <w:r w:rsidR="009E1705" w:rsidRPr="00185AD2">
        <w:rPr>
          <w:rFonts w:ascii="Calibri" w:hAnsi="Calibri"/>
          <w:sz w:val="22"/>
          <w:szCs w:val="22"/>
          <w:lang w:val="en-GB"/>
        </w:rPr>
        <w:t xml:space="preserve">mid-year </w:t>
      </w:r>
      <w:r w:rsidRPr="00185AD2">
        <w:rPr>
          <w:rFonts w:ascii="Calibri" w:hAnsi="Calibri"/>
          <w:sz w:val="22"/>
          <w:szCs w:val="22"/>
          <w:lang w:val="en-GB"/>
        </w:rPr>
        <w:t>population estimates</w:t>
      </w:r>
      <w:r w:rsidR="000B7A44" w:rsidRPr="009B6371">
        <w:rPr>
          <w:rFonts w:ascii="Calibri" w:hAnsi="Calibri"/>
          <w:sz w:val="22"/>
          <w:szCs w:val="22"/>
          <w:lang w:val="en-GB"/>
        </w:rPr>
        <w:t xml:space="preserve"> </w:t>
      </w:r>
      <w:r w:rsidR="00D85519" w:rsidRPr="009B6371">
        <w:rPr>
          <w:rFonts w:ascii="Calibri" w:hAnsi="Calibri"/>
          <w:sz w:val="22"/>
          <w:szCs w:val="22"/>
          <w:lang w:val="en-GB"/>
        </w:rPr>
        <w:t>for local authorities</w:t>
      </w:r>
      <w:r w:rsidRPr="003E751B">
        <w:rPr>
          <w:rFonts w:ascii="Calibri" w:hAnsi="Calibri"/>
          <w:sz w:val="22"/>
          <w:szCs w:val="22"/>
          <w:lang w:val="en-GB"/>
        </w:rPr>
        <w:t xml:space="preserve">. </w:t>
      </w:r>
    </w:p>
    <w:p w14:paraId="2BB8689F" w14:textId="77777777" w:rsidR="00F23525" w:rsidRPr="003E751B" w:rsidRDefault="00F23525" w:rsidP="00C90B93">
      <w:pPr>
        <w:ind w:firstLine="284"/>
        <w:rPr>
          <w:rFonts w:ascii="Calibri" w:hAnsi="Calibri"/>
          <w:sz w:val="22"/>
          <w:szCs w:val="22"/>
          <w:lang w:val="en-GB"/>
        </w:rPr>
      </w:pPr>
    </w:p>
    <w:p w14:paraId="5C925561" w14:textId="2839BB65" w:rsidR="007B4CBA" w:rsidRPr="003E751B" w:rsidRDefault="00697F64" w:rsidP="00C90B93">
      <w:pPr>
        <w:ind w:firstLine="284"/>
        <w:rPr>
          <w:rFonts w:ascii="Calibri" w:hAnsi="Calibri"/>
          <w:sz w:val="22"/>
          <w:szCs w:val="22"/>
          <w:lang w:val="en-GB"/>
        </w:rPr>
      </w:pPr>
      <w:r w:rsidRPr="003E751B">
        <w:rPr>
          <w:rFonts w:ascii="Calibri" w:hAnsi="Calibri"/>
          <w:sz w:val="22"/>
          <w:szCs w:val="22"/>
          <w:lang w:val="en-GB"/>
        </w:rPr>
        <w:t xml:space="preserve">Despite the growth of smaller town centres, there is evidence that the periphery has comparatively lost out. This is evident in the very moderate population growth in the urban periphery of Liverpool (+0.4%), but also in the </w:t>
      </w:r>
      <w:r w:rsidR="00476DC9">
        <w:rPr>
          <w:rFonts w:ascii="Calibri" w:hAnsi="Calibri"/>
          <w:sz w:val="22"/>
          <w:szCs w:val="22"/>
          <w:lang w:val="en-GB"/>
        </w:rPr>
        <w:t>much lower</w:t>
      </w:r>
      <w:r w:rsidRPr="003E751B">
        <w:rPr>
          <w:rFonts w:ascii="Calibri" w:hAnsi="Calibri"/>
          <w:sz w:val="22"/>
          <w:szCs w:val="22"/>
          <w:lang w:val="en-GB"/>
        </w:rPr>
        <w:t xml:space="preserve"> population growth of the Manchester periphery (6.2%)</w:t>
      </w:r>
      <w:r w:rsidR="002773B2">
        <w:rPr>
          <w:rFonts w:ascii="Calibri" w:hAnsi="Calibri"/>
          <w:sz w:val="22"/>
          <w:szCs w:val="22"/>
          <w:lang w:val="en-GB"/>
        </w:rPr>
        <w:t xml:space="preserve"> compared with the core</w:t>
      </w:r>
      <w:r w:rsidRPr="003E751B">
        <w:rPr>
          <w:rFonts w:ascii="Calibri" w:hAnsi="Calibri"/>
          <w:sz w:val="22"/>
          <w:szCs w:val="22"/>
          <w:lang w:val="en-GB"/>
        </w:rPr>
        <w:t xml:space="preserve">. </w:t>
      </w:r>
      <w:r w:rsidR="002773B2">
        <w:rPr>
          <w:rFonts w:ascii="Calibri" w:hAnsi="Calibri"/>
          <w:sz w:val="22"/>
          <w:szCs w:val="22"/>
          <w:lang w:val="en-GB"/>
        </w:rPr>
        <w:t>Taken into account that</w:t>
      </w:r>
      <w:r w:rsidRPr="003E751B">
        <w:rPr>
          <w:rFonts w:ascii="Calibri" w:hAnsi="Calibri"/>
          <w:sz w:val="22"/>
          <w:szCs w:val="22"/>
          <w:lang w:val="en-GB"/>
        </w:rPr>
        <w:t xml:space="preserve"> during the same period 2002–2015 the UK’s population had grown by almost 10%</w:t>
      </w:r>
      <w:r w:rsidR="0079152D">
        <w:rPr>
          <w:rFonts w:ascii="Calibri" w:hAnsi="Calibri"/>
          <w:sz w:val="22"/>
          <w:szCs w:val="22"/>
          <w:lang w:val="en-GB"/>
        </w:rPr>
        <w:t xml:space="preserve"> (5.7% in the Northwest Region)</w:t>
      </w:r>
      <w:r w:rsidRPr="003E751B">
        <w:rPr>
          <w:rFonts w:ascii="Calibri" w:hAnsi="Calibri"/>
          <w:sz w:val="22"/>
          <w:szCs w:val="22"/>
          <w:lang w:val="en-GB"/>
        </w:rPr>
        <w:t>, driven by a comparatively high fertility rate and immigration</w:t>
      </w:r>
      <w:r w:rsidR="0079152D">
        <w:rPr>
          <w:rFonts w:ascii="Calibri" w:hAnsi="Calibri"/>
          <w:sz w:val="22"/>
          <w:szCs w:val="22"/>
          <w:lang w:val="en-GB"/>
        </w:rPr>
        <w:t xml:space="preserve">, </w:t>
      </w:r>
      <w:r w:rsidRPr="003E751B">
        <w:rPr>
          <w:rFonts w:ascii="Calibri" w:hAnsi="Calibri"/>
          <w:sz w:val="22"/>
          <w:szCs w:val="22"/>
          <w:lang w:val="en-GB"/>
        </w:rPr>
        <w:t>we can see a blue- and yellow-coloured ring of ‘underperforming’ areas</w:t>
      </w:r>
      <w:r w:rsidR="0079152D" w:rsidRPr="0079152D">
        <w:rPr>
          <w:rFonts w:ascii="Calibri" w:hAnsi="Calibri"/>
          <w:sz w:val="22"/>
          <w:szCs w:val="22"/>
          <w:lang w:val="en-GB"/>
        </w:rPr>
        <w:t xml:space="preserve"> </w:t>
      </w:r>
      <w:r w:rsidR="0079152D">
        <w:rPr>
          <w:rFonts w:ascii="Calibri" w:hAnsi="Calibri"/>
          <w:sz w:val="22"/>
          <w:szCs w:val="22"/>
          <w:lang w:val="en-GB"/>
        </w:rPr>
        <w:t>a</w:t>
      </w:r>
      <w:r w:rsidR="0079152D" w:rsidRPr="003E751B">
        <w:rPr>
          <w:rFonts w:ascii="Calibri" w:hAnsi="Calibri"/>
          <w:sz w:val="22"/>
          <w:szCs w:val="22"/>
          <w:lang w:val="en-GB"/>
        </w:rPr>
        <w:t>round both core cities</w:t>
      </w:r>
      <w:r w:rsidRPr="003E751B">
        <w:rPr>
          <w:rFonts w:ascii="Calibri" w:hAnsi="Calibri"/>
          <w:sz w:val="22"/>
          <w:szCs w:val="22"/>
          <w:lang w:val="en-GB"/>
        </w:rPr>
        <w:t xml:space="preserve">. Only a few areas outside town centres show high growth rates, usually indicating large-scale house building schemes, which in the case of Warrington forms part of the legacy of the UK’s new towns policy. </w:t>
      </w:r>
      <w:r w:rsidR="007B4CBA" w:rsidRPr="003E751B">
        <w:rPr>
          <w:rFonts w:ascii="Calibri" w:hAnsi="Calibri"/>
          <w:sz w:val="22"/>
          <w:szCs w:val="22"/>
          <w:lang w:val="en-GB"/>
        </w:rPr>
        <w:t>The reason</w:t>
      </w:r>
      <w:r w:rsidR="00FD3631" w:rsidRPr="003E751B">
        <w:rPr>
          <w:rFonts w:ascii="Calibri" w:hAnsi="Calibri"/>
          <w:sz w:val="22"/>
          <w:szCs w:val="22"/>
          <w:lang w:val="en-GB"/>
        </w:rPr>
        <w:t xml:space="preserve">s for their decline are varied. </w:t>
      </w:r>
      <w:r w:rsidR="00BD6F1F" w:rsidRPr="003E751B">
        <w:rPr>
          <w:rFonts w:ascii="Calibri" w:hAnsi="Calibri"/>
          <w:sz w:val="22"/>
          <w:szCs w:val="22"/>
          <w:lang w:val="en-GB"/>
        </w:rPr>
        <w:t xml:space="preserve">In </w:t>
      </w:r>
      <w:r w:rsidR="00251CC1" w:rsidRPr="003E751B">
        <w:rPr>
          <w:rFonts w:ascii="Calibri" w:hAnsi="Calibri"/>
          <w:sz w:val="22"/>
          <w:szCs w:val="22"/>
          <w:lang w:val="en-GB"/>
        </w:rPr>
        <w:t xml:space="preserve">particular in </w:t>
      </w:r>
      <w:r w:rsidR="00BD6F1F" w:rsidRPr="003E751B">
        <w:rPr>
          <w:rFonts w:ascii="Calibri" w:hAnsi="Calibri"/>
          <w:sz w:val="22"/>
          <w:szCs w:val="22"/>
          <w:lang w:val="en-GB"/>
        </w:rPr>
        <w:t>many</w:t>
      </w:r>
      <w:r w:rsidR="00251CC1" w:rsidRPr="003E751B">
        <w:rPr>
          <w:rFonts w:ascii="Calibri" w:hAnsi="Calibri"/>
          <w:sz w:val="22"/>
          <w:szCs w:val="22"/>
          <w:lang w:val="en-GB"/>
        </w:rPr>
        <w:t xml:space="preserve"> suburban</w:t>
      </w:r>
      <w:r w:rsidR="00BD6F1F" w:rsidRPr="003E751B">
        <w:rPr>
          <w:rFonts w:ascii="Calibri" w:hAnsi="Calibri"/>
          <w:sz w:val="22"/>
          <w:szCs w:val="22"/>
          <w:lang w:val="en-GB"/>
        </w:rPr>
        <w:t xml:space="preserve"> areas this is simply the result of an ageing population</w:t>
      </w:r>
      <w:r w:rsidR="00164523" w:rsidRPr="003E751B">
        <w:rPr>
          <w:rFonts w:ascii="Calibri" w:hAnsi="Calibri"/>
          <w:sz w:val="22"/>
          <w:szCs w:val="22"/>
          <w:lang w:val="en-GB"/>
        </w:rPr>
        <w:t xml:space="preserve"> and changing household structure</w:t>
      </w:r>
      <w:r w:rsidR="00251CC1" w:rsidRPr="003E751B">
        <w:rPr>
          <w:rFonts w:ascii="Calibri" w:hAnsi="Calibri"/>
          <w:sz w:val="22"/>
          <w:szCs w:val="22"/>
          <w:lang w:val="en-GB"/>
        </w:rPr>
        <w:t xml:space="preserve">, rather than </w:t>
      </w:r>
      <w:r w:rsidR="00746FF8" w:rsidRPr="003E751B">
        <w:rPr>
          <w:rFonts w:ascii="Calibri" w:hAnsi="Calibri"/>
          <w:sz w:val="22"/>
          <w:szCs w:val="22"/>
          <w:lang w:val="en-GB"/>
        </w:rPr>
        <w:t>the</w:t>
      </w:r>
      <w:r w:rsidR="00251CC1" w:rsidRPr="003E751B">
        <w:rPr>
          <w:rFonts w:ascii="Calibri" w:hAnsi="Calibri"/>
          <w:sz w:val="22"/>
          <w:szCs w:val="22"/>
          <w:lang w:val="en-GB"/>
        </w:rPr>
        <w:t xml:space="preserve"> visible </w:t>
      </w:r>
      <w:r w:rsidR="00F23525" w:rsidRPr="003E751B">
        <w:rPr>
          <w:rFonts w:ascii="Calibri" w:hAnsi="Calibri"/>
          <w:sz w:val="22"/>
          <w:szCs w:val="22"/>
          <w:lang w:val="en-GB"/>
        </w:rPr>
        <w:t>deterioration</w:t>
      </w:r>
      <w:r w:rsidR="00251CC1" w:rsidRPr="003E751B">
        <w:rPr>
          <w:rFonts w:ascii="Calibri" w:hAnsi="Calibri"/>
          <w:sz w:val="22"/>
          <w:szCs w:val="22"/>
          <w:lang w:val="en-GB"/>
        </w:rPr>
        <w:t xml:space="preserve"> of a neighbourhood.</w:t>
      </w:r>
      <w:r w:rsidR="00FD6FDC">
        <w:rPr>
          <w:rFonts w:ascii="Calibri" w:hAnsi="Calibri"/>
          <w:sz w:val="22"/>
          <w:szCs w:val="22"/>
          <w:lang w:val="en-GB"/>
        </w:rPr>
        <w:t xml:space="preserve"> </w:t>
      </w:r>
      <w:r w:rsidR="009C300B">
        <w:rPr>
          <w:rFonts w:ascii="Calibri" w:hAnsi="Calibri"/>
          <w:sz w:val="22"/>
          <w:szCs w:val="22"/>
          <w:lang w:val="en-GB"/>
        </w:rPr>
        <w:t xml:space="preserve">Many cities still struggle with the effects of deindustrialisation, particularly in the </w:t>
      </w:r>
      <w:r w:rsidR="00FD6FDC">
        <w:rPr>
          <w:rFonts w:ascii="Calibri" w:hAnsi="Calibri"/>
          <w:sz w:val="22"/>
          <w:szCs w:val="22"/>
          <w:lang w:val="en-GB"/>
        </w:rPr>
        <w:t xml:space="preserve">northern </w:t>
      </w:r>
      <w:r w:rsidR="009C300B">
        <w:rPr>
          <w:rFonts w:ascii="Calibri" w:hAnsi="Calibri"/>
          <w:sz w:val="22"/>
          <w:szCs w:val="22"/>
          <w:lang w:val="en-GB"/>
        </w:rPr>
        <w:t xml:space="preserve">part of Greater Manchester </w:t>
      </w:r>
      <w:r w:rsidR="009C300B" w:rsidRPr="003E751B">
        <w:rPr>
          <w:rFonts w:ascii="Calibri" w:hAnsi="Calibri"/>
          <w:sz w:val="22"/>
          <w:szCs w:val="22"/>
          <w:lang w:val="en-GB"/>
        </w:rPr>
        <w:t>(</w:t>
      </w:r>
      <w:r w:rsidR="009C300B">
        <w:rPr>
          <w:rFonts w:ascii="Calibri" w:hAnsi="Calibri"/>
          <w:i/>
          <w:sz w:val="22"/>
          <w:szCs w:val="22"/>
          <w:lang w:val="en-GB"/>
        </w:rPr>
        <w:t>Harding</w:t>
      </w:r>
      <w:r w:rsidR="009C300B" w:rsidRPr="003E751B">
        <w:rPr>
          <w:rFonts w:ascii="Calibri" w:hAnsi="Calibri"/>
          <w:i/>
          <w:sz w:val="22"/>
          <w:szCs w:val="22"/>
          <w:lang w:val="en-GB"/>
        </w:rPr>
        <w:t xml:space="preserve"> et al. </w:t>
      </w:r>
      <w:r w:rsidR="009C300B">
        <w:rPr>
          <w:rFonts w:ascii="Calibri" w:hAnsi="Calibri"/>
          <w:sz w:val="22"/>
          <w:szCs w:val="22"/>
          <w:lang w:val="en-GB"/>
        </w:rPr>
        <w:t>2010</w:t>
      </w:r>
      <w:r w:rsidR="009C300B" w:rsidRPr="003E751B">
        <w:rPr>
          <w:rFonts w:ascii="Calibri" w:hAnsi="Calibri"/>
          <w:sz w:val="22"/>
          <w:szCs w:val="22"/>
          <w:lang w:val="en-GB"/>
        </w:rPr>
        <w:t>)</w:t>
      </w:r>
      <w:r w:rsidR="009C300B">
        <w:rPr>
          <w:rFonts w:ascii="Calibri" w:hAnsi="Calibri"/>
          <w:sz w:val="22"/>
          <w:szCs w:val="22"/>
          <w:lang w:val="en-GB"/>
        </w:rPr>
        <w:t>.</w:t>
      </w:r>
      <w:r w:rsidR="00FD3631" w:rsidRPr="003E751B">
        <w:rPr>
          <w:rFonts w:ascii="Calibri" w:hAnsi="Calibri"/>
          <w:sz w:val="22"/>
          <w:szCs w:val="22"/>
          <w:lang w:val="en-GB"/>
        </w:rPr>
        <w:t xml:space="preserve"> In a few case</w:t>
      </w:r>
      <w:r w:rsidR="0094458F" w:rsidRPr="003E751B">
        <w:rPr>
          <w:rFonts w:ascii="Calibri" w:hAnsi="Calibri"/>
          <w:sz w:val="22"/>
          <w:szCs w:val="22"/>
          <w:lang w:val="en-GB"/>
        </w:rPr>
        <w:t>s</w:t>
      </w:r>
      <w:r w:rsidR="003F4252" w:rsidRPr="003E751B">
        <w:rPr>
          <w:rFonts w:ascii="Calibri" w:hAnsi="Calibri"/>
          <w:sz w:val="22"/>
          <w:szCs w:val="22"/>
          <w:lang w:val="en-GB"/>
        </w:rPr>
        <w:t>,</w:t>
      </w:r>
      <w:r w:rsidR="00FD3631" w:rsidRPr="003E751B">
        <w:rPr>
          <w:rFonts w:ascii="Calibri" w:hAnsi="Calibri"/>
          <w:sz w:val="22"/>
          <w:szCs w:val="22"/>
          <w:lang w:val="en-GB"/>
        </w:rPr>
        <w:t xml:space="preserve"> rapid population decline is the result of </w:t>
      </w:r>
      <w:r w:rsidR="00967D2E" w:rsidRPr="003E751B">
        <w:rPr>
          <w:rFonts w:ascii="Calibri" w:hAnsi="Calibri"/>
          <w:sz w:val="22"/>
          <w:szCs w:val="22"/>
          <w:lang w:val="en-GB"/>
        </w:rPr>
        <w:t xml:space="preserve">clearances </w:t>
      </w:r>
      <w:r w:rsidR="00902F40" w:rsidRPr="003E751B">
        <w:rPr>
          <w:rFonts w:ascii="Calibri" w:hAnsi="Calibri"/>
          <w:sz w:val="22"/>
          <w:szCs w:val="22"/>
          <w:lang w:val="en-GB"/>
        </w:rPr>
        <w:t xml:space="preserve">through </w:t>
      </w:r>
      <w:r w:rsidR="007B4CBA" w:rsidRPr="003E751B">
        <w:rPr>
          <w:rFonts w:ascii="Calibri" w:hAnsi="Calibri"/>
          <w:sz w:val="22"/>
          <w:szCs w:val="22"/>
          <w:lang w:val="en-GB"/>
        </w:rPr>
        <w:t>urban renewal</w:t>
      </w:r>
      <w:r w:rsidR="00FD3631" w:rsidRPr="003E751B">
        <w:rPr>
          <w:rFonts w:ascii="Calibri" w:hAnsi="Calibri"/>
          <w:sz w:val="22"/>
          <w:szCs w:val="22"/>
          <w:lang w:val="en-GB"/>
        </w:rPr>
        <w:t xml:space="preserve"> programmes</w:t>
      </w:r>
      <w:r w:rsidR="0094458F" w:rsidRPr="003E751B">
        <w:rPr>
          <w:rFonts w:ascii="Calibri" w:hAnsi="Calibri"/>
          <w:sz w:val="22"/>
          <w:szCs w:val="22"/>
          <w:lang w:val="en-GB"/>
        </w:rPr>
        <w:t xml:space="preserve"> (</w:t>
      </w:r>
      <w:r w:rsidR="00553228" w:rsidRPr="003E751B">
        <w:rPr>
          <w:rFonts w:ascii="Calibri" w:hAnsi="Calibri"/>
          <w:i/>
          <w:sz w:val="22"/>
          <w:szCs w:val="22"/>
          <w:lang w:val="en-GB"/>
        </w:rPr>
        <w:t>Couch</w:t>
      </w:r>
      <w:r w:rsidR="0094458F" w:rsidRPr="003E751B">
        <w:rPr>
          <w:rFonts w:ascii="Calibri" w:hAnsi="Calibri"/>
          <w:i/>
          <w:sz w:val="22"/>
          <w:szCs w:val="22"/>
          <w:lang w:val="en-GB"/>
        </w:rPr>
        <w:t>/</w:t>
      </w:r>
      <w:r w:rsidR="00553228" w:rsidRPr="003E751B">
        <w:rPr>
          <w:rFonts w:ascii="Calibri" w:hAnsi="Calibri"/>
          <w:i/>
          <w:sz w:val="22"/>
          <w:szCs w:val="22"/>
          <w:lang w:val="en-GB"/>
        </w:rPr>
        <w:t>Cocks</w:t>
      </w:r>
      <w:r w:rsidR="00553228" w:rsidRPr="003E751B">
        <w:rPr>
          <w:rFonts w:ascii="Calibri" w:hAnsi="Calibri"/>
          <w:sz w:val="22"/>
          <w:szCs w:val="22"/>
          <w:lang w:val="en-GB"/>
        </w:rPr>
        <w:t xml:space="preserve"> </w:t>
      </w:r>
      <w:r w:rsidR="0094458F" w:rsidRPr="003E751B">
        <w:rPr>
          <w:rFonts w:ascii="Calibri" w:hAnsi="Calibri"/>
          <w:sz w:val="22"/>
          <w:szCs w:val="22"/>
          <w:lang w:val="en-GB"/>
        </w:rPr>
        <w:t>201</w:t>
      </w:r>
      <w:r w:rsidR="00FA361C" w:rsidRPr="003E751B">
        <w:rPr>
          <w:rFonts w:ascii="Calibri" w:hAnsi="Calibri"/>
          <w:sz w:val="22"/>
          <w:szCs w:val="22"/>
          <w:lang w:val="en-GB"/>
        </w:rPr>
        <w:t>3</w:t>
      </w:r>
      <w:r w:rsidR="00967D2E" w:rsidRPr="003E751B">
        <w:rPr>
          <w:rFonts w:ascii="Calibri" w:hAnsi="Calibri"/>
          <w:sz w:val="22"/>
          <w:szCs w:val="22"/>
          <w:lang w:val="en-GB"/>
        </w:rPr>
        <w:t xml:space="preserve">; </w:t>
      </w:r>
      <w:r w:rsidR="00967D2E" w:rsidRPr="003E751B">
        <w:rPr>
          <w:rFonts w:ascii="Calibri" w:hAnsi="Calibri"/>
          <w:i/>
          <w:sz w:val="22"/>
          <w:szCs w:val="22"/>
          <w:lang w:val="en-GB"/>
        </w:rPr>
        <w:t>Leather/Nevin</w:t>
      </w:r>
      <w:r w:rsidR="00F23525" w:rsidRPr="003E751B">
        <w:rPr>
          <w:rFonts w:ascii="Calibri" w:hAnsi="Calibri"/>
          <w:sz w:val="22"/>
          <w:szCs w:val="22"/>
          <w:lang w:val="en-GB"/>
        </w:rPr>
        <w:t xml:space="preserve"> 2013;</w:t>
      </w:r>
      <w:r w:rsidR="00F23525" w:rsidRPr="003E751B">
        <w:rPr>
          <w:rFonts w:ascii="Calibri" w:hAnsi="Calibri"/>
          <w:i/>
          <w:sz w:val="22"/>
          <w:szCs w:val="22"/>
          <w:lang w:val="en-GB"/>
        </w:rPr>
        <w:t xml:space="preserve"> </w:t>
      </w:r>
      <w:r w:rsidR="003D6480" w:rsidRPr="003E751B">
        <w:rPr>
          <w:rFonts w:ascii="Calibri" w:hAnsi="Calibri"/>
          <w:i/>
          <w:sz w:val="22"/>
          <w:szCs w:val="22"/>
          <w:lang w:val="en-GB"/>
        </w:rPr>
        <w:t xml:space="preserve">Sykes et al. </w:t>
      </w:r>
      <w:r w:rsidR="003D6480" w:rsidRPr="003E751B">
        <w:rPr>
          <w:rFonts w:ascii="Calibri" w:hAnsi="Calibri"/>
          <w:sz w:val="22"/>
          <w:szCs w:val="22"/>
          <w:lang w:val="en-GB"/>
        </w:rPr>
        <w:t>2013</w:t>
      </w:r>
      <w:r w:rsidR="0094458F" w:rsidRPr="003E751B">
        <w:rPr>
          <w:rFonts w:ascii="Calibri" w:hAnsi="Calibri"/>
          <w:sz w:val="22"/>
          <w:szCs w:val="22"/>
          <w:lang w:val="en-GB"/>
        </w:rPr>
        <w:t>)</w:t>
      </w:r>
      <w:r w:rsidR="007B4CBA" w:rsidRPr="003E751B">
        <w:rPr>
          <w:rFonts w:ascii="Calibri" w:hAnsi="Calibri"/>
          <w:sz w:val="22"/>
          <w:szCs w:val="22"/>
          <w:lang w:val="en-GB"/>
        </w:rPr>
        <w:t>.</w:t>
      </w:r>
      <w:r w:rsidR="00D31780" w:rsidRPr="003E751B">
        <w:rPr>
          <w:rFonts w:ascii="Calibri" w:hAnsi="Calibri"/>
          <w:sz w:val="22"/>
          <w:szCs w:val="22"/>
          <w:lang w:val="en-GB"/>
        </w:rPr>
        <w:t xml:space="preserve"> The suburban ring is far from being homogeneous and </w:t>
      </w:r>
      <w:r w:rsidR="005A58B5" w:rsidRPr="003E751B">
        <w:rPr>
          <w:rFonts w:ascii="Calibri" w:hAnsi="Calibri"/>
          <w:sz w:val="22"/>
          <w:szCs w:val="22"/>
          <w:lang w:val="en-GB"/>
        </w:rPr>
        <w:t xml:space="preserve">each colour on the map has its own story to tell. </w:t>
      </w:r>
    </w:p>
    <w:p w14:paraId="74E25E39" w14:textId="77777777" w:rsidR="00143792" w:rsidRPr="003E751B" w:rsidRDefault="00143792" w:rsidP="00143792">
      <w:pPr>
        <w:rPr>
          <w:rFonts w:ascii="Calibri" w:hAnsi="Calibri"/>
          <w:sz w:val="22"/>
          <w:szCs w:val="22"/>
          <w:lang w:val="en-GB"/>
        </w:rPr>
      </w:pPr>
    </w:p>
    <w:p w14:paraId="2B45B7CE" w14:textId="77777777" w:rsidR="0050037F" w:rsidRPr="003E751B" w:rsidRDefault="0050037F" w:rsidP="005F67FF">
      <w:pPr>
        <w:keepNext/>
        <w:spacing w:after="200"/>
        <w:ind w:left="851" w:hanging="851"/>
        <w:rPr>
          <w:rFonts w:ascii="Calibri" w:hAnsi="Calibri"/>
          <w:sz w:val="22"/>
          <w:szCs w:val="22"/>
          <w:lang w:val="en-GB"/>
        </w:rPr>
      </w:pPr>
      <w:r w:rsidRPr="003E751B">
        <w:rPr>
          <w:rFonts w:ascii="Calibri" w:hAnsi="Calibri"/>
          <w:b/>
          <w:sz w:val="22"/>
          <w:szCs w:val="22"/>
          <w:lang w:val="en-GB"/>
        </w:rPr>
        <w:t>Fig. 1:</w:t>
      </w:r>
      <w:r w:rsidRPr="003E751B">
        <w:rPr>
          <w:rFonts w:ascii="Calibri" w:hAnsi="Calibri"/>
          <w:b/>
          <w:sz w:val="22"/>
          <w:szCs w:val="22"/>
          <w:lang w:val="en-GB"/>
        </w:rPr>
        <w:tab/>
      </w:r>
      <w:r w:rsidRPr="003E751B">
        <w:rPr>
          <w:rFonts w:ascii="Calibri" w:hAnsi="Calibri"/>
          <w:sz w:val="22"/>
          <w:szCs w:val="22"/>
          <w:lang w:val="en-GB"/>
        </w:rPr>
        <w:t>Usual Resident Population, 2002–20015 (based on small area population estimates)</w:t>
      </w:r>
    </w:p>
    <w:p w14:paraId="2CA9207F" w14:textId="77777777" w:rsidR="003230C0" w:rsidRPr="003E751B" w:rsidRDefault="0050037F" w:rsidP="003230C0">
      <w:pPr>
        <w:rPr>
          <w:rFonts w:ascii="Calibri" w:hAnsi="Calibri"/>
          <w:sz w:val="22"/>
          <w:szCs w:val="22"/>
          <w:lang w:val="en-GB"/>
        </w:rPr>
      </w:pPr>
      <w:r w:rsidRPr="003E751B">
        <w:rPr>
          <w:rFonts w:ascii="Calibri" w:hAnsi="Calibri"/>
          <w:noProof/>
          <w:sz w:val="22"/>
          <w:szCs w:val="22"/>
        </w:rPr>
        <w:drawing>
          <wp:inline distT="0" distB="0" distL="0" distR="0" wp14:anchorId="6E508858" wp14:editId="228B7DB9">
            <wp:extent cx="5039360" cy="3356775"/>
            <wp:effectExtent l="25400" t="25400" r="15240" b="21590"/>
            <wp:docPr id="10" name="Picture 10" descr="1_POP2002-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POP2002-20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360" cy="3356775"/>
                    </a:xfrm>
                    <a:prstGeom prst="rect">
                      <a:avLst/>
                    </a:prstGeom>
                    <a:noFill/>
                    <a:ln w="3175">
                      <a:solidFill>
                        <a:schemeClr val="tx1"/>
                      </a:solidFill>
                    </a:ln>
                  </pic:spPr>
                </pic:pic>
              </a:graphicData>
            </a:graphic>
          </wp:inline>
        </w:drawing>
      </w:r>
    </w:p>
    <w:p w14:paraId="6F5066A0" w14:textId="77777777" w:rsidR="00143792" w:rsidRPr="00185AD2" w:rsidRDefault="00143792" w:rsidP="002C78BD">
      <w:pPr>
        <w:rPr>
          <w:rFonts w:ascii="Calibri" w:hAnsi="Calibri"/>
          <w:sz w:val="22"/>
          <w:szCs w:val="22"/>
          <w:lang w:val="en-GB"/>
        </w:rPr>
      </w:pPr>
    </w:p>
    <w:p w14:paraId="7A7DF4B1" w14:textId="77777777" w:rsidR="0050037F" w:rsidRPr="003E751B" w:rsidRDefault="0050037F" w:rsidP="005F67FF">
      <w:pPr>
        <w:keepNext/>
        <w:spacing w:after="200"/>
        <w:ind w:left="851" w:hanging="851"/>
        <w:rPr>
          <w:rFonts w:ascii="Calibri" w:hAnsi="Calibri"/>
          <w:sz w:val="22"/>
          <w:szCs w:val="22"/>
          <w:lang w:val="en-GB"/>
        </w:rPr>
      </w:pPr>
      <w:r w:rsidRPr="00185AD2">
        <w:rPr>
          <w:rFonts w:ascii="Calibri" w:hAnsi="Calibri"/>
          <w:b/>
          <w:sz w:val="22"/>
          <w:szCs w:val="22"/>
          <w:lang w:val="en-GB"/>
        </w:rPr>
        <w:lastRenderedPageBreak/>
        <w:t>Fig. 2:</w:t>
      </w:r>
      <w:r w:rsidRPr="00185AD2">
        <w:rPr>
          <w:rFonts w:ascii="Calibri" w:hAnsi="Calibri"/>
          <w:b/>
          <w:sz w:val="22"/>
          <w:szCs w:val="22"/>
          <w:lang w:val="en-GB"/>
        </w:rPr>
        <w:tab/>
      </w:r>
      <w:r w:rsidRPr="003E751B">
        <w:rPr>
          <w:rFonts w:ascii="Calibri" w:hAnsi="Calibri"/>
          <w:sz w:val="22"/>
          <w:szCs w:val="22"/>
          <w:lang w:val="en-GB"/>
        </w:rPr>
        <w:t>Workplace Population, 2001–2011</w:t>
      </w:r>
    </w:p>
    <w:p w14:paraId="4D213225" w14:textId="77777777" w:rsidR="0050037F" w:rsidRPr="003E751B" w:rsidRDefault="0050037F" w:rsidP="002C78BD">
      <w:pPr>
        <w:rPr>
          <w:rFonts w:ascii="Calibri" w:hAnsi="Calibri"/>
          <w:sz w:val="22"/>
          <w:szCs w:val="22"/>
          <w:lang w:val="en-GB"/>
        </w:rPr>
      </w:pPr>
      <w:r w:rsidRPr="003E751B">
        <w:rPr>
          <w:rFonts w:ascii="Calibri" w:hAnsi="Calibri"/>
          <w:noProof/>
          <w:sz w:val="22"/>
          <w:szCs w:val="22"/>
        </w:rPr>
        <w:drawing>
          <wp:inline distT="0" distB="0" distL="0" distR="0" wp14:anchorId="5C62EF75" wp14:editId="5A893FC2">
            <wp:extent cx="5039360" cy="3356775"/>
            <wp:effectExtent l="25400" t="25400" r="15240" b="21590"/>
            <wp:docPr id="9" name="Picture 9" descr="2_WP200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WP2001-20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360" cy="3356775"/>
                    </a:xfrm>
                    <a:prstGeom prst="rect">
                      <a:avLst/>
                    </a:prstGeom>
                    <a:noFill/>
                    <a:ln w="3175">
                      <a:solidFill>
                        <a:schemeClr val="tx1"/>
                      </a:solidFill>
                    </a:ln>
                  </pic:spPr>
                </pic:pic>
              </a:graphicData>
            </a:graphic>
          </wp:inline>
        </w:drawing>
      </w:r>
    </w:p>
    <w:p w14:paraId="0D8D9B6C" w14:textId="77777777" w:rsidR="002C78BD" w:rsidRPr="00185AD2" w:rsidRDefault="002C78BD" w:rsidP="002C78BD">
      <w:pPr>
        <w:rPr>
          <w:rFonts w:ascii="Calibri" w:hAnsi="Calibri"/>
          <w:sz w:val="22"/>
          <w:szCs w:val="22"/>
          <w:lang w:val="en-GB"/>
        </w:rPr>
      </w:pPr>
    </w:p>
    <w:p w14:paraId="0C9039E1" w14:textId="77777777" w:rsidR="0050037F" w:rsidRPr="003E751B" w:rsidRDefault="0050037F" w:rsidP="005F67FF">
      <w:pPr>
        <w:keepNext/>
        <w:spacing w:after="200"/>
        <w:ind w:left="851" w:hanging="851"/>
        <w:rPr>
          <w:rFonts w:ascii="Calibri" w:hAnsi="Calibri"/>
          <w:sz w:val="22"/>
          <w:szCs w:val="22"/>
          <w:lang w:val="en-GB"/>
        </w:rPr>
      </w:pPr>
      <w:r w:rsidRPr="003E751B">
        <w:rPr>
          <w:rFonts w:ascii="Calibri" w:hAnsi="Calibri"/>
          <w:b/>
          <w:sz w:val="22"/>
          <w:szCs w:val="22"/>
          <w:lang w:val="en-GB"/>
        </w:rPr>
        <w:t>Fig. 3:</w:t>
      </w:r>
      <w:r w:rsidRPr="003E751B">
        <w:rPr>
          <w:rFonts w:ascii="Calibri" w:hAnsi="Calibri"/>
          <w:b/>
          <w:sz w:val="22"/>
          <w:szCs w:val="22"/>
          <w:lang w:val="en-GB"/>
        </w:rPr>
        <w:tab/>
      </w:r>
      <w:r w:rsidRPr="003E751B">
        <w:rPr>
          <w:rFonts w:ascii="Calibri" w:hAnsi="Calibri"/>
          <w:sz w:val="22"/>
          <w:szCs w:val="22"/>
          <w:lang w:val="en-GB"/>
        </w:rPr>
        <w:t>Workplace population with routine and manual occupations, 2011 (in %)</w:t>
      </w:r>
    </w:p>
    <w:p w14:paraId="140936B2" w14:textId="77777777" w:rsidR="0050037F" w:rsidRPr="003E751B" w:rsidRDefault="0050037F" w:rsidP="0050037F">
      <w:pPr>
        <w:rPr>
          <w:rFonts w:ascii="Calibri" w:hAnsi="Calibri"/>
          <w:sz w:val="22"/>
          <w:szCs w:val="22"/>
          <w:lang w:val="en-GB"/>
        </w:rPr>
      </w:pPr>
      <w:r w:rsidRPr="003E751B">
        <w:rPr>
          <w:rFonts w:ascii="Calibri" w:hAnsi="Calibri"/>
          <w:noProof/>
          <w:sz w:val="22"/>
          <w:szCs w:val="22"/>
        </w:rPr>
        <w:drawing>
          <wp:inline distT="0" distB="0" distL="0" distR="0" wp14:anchorId="5E5FD0AA" wp14:editId="1CD4E5C6">
            <wp:extent cx="5039360" cy="3356775"/>
            <wp:effectExtent l="25400" t="25400" r="15240" b="21590"/>
            <wp:docPr id="3" name="Picture 3" descr="3_WP2011R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WP2011RM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360" cy="3356775"/>
                    </a:xfrm>
                    <a:prstGeom prst="rect">
                      <a:avLst/>
                    </a:prstGeom>
                    <a:noFill/>
                    <a:ln w="3175">
                      <a:solidFill>
                        <a:schemeClr val="tx1"/>
                      </a:solidFill>
                    </a:ln>
                  </pic:spPr>
                </pic:pic>
              </a:graphicData>
            </a:graphic>
          </wp:inline>
        </w:drawing>
      </w:r>
    </w:p>
    <w:p w14:paraId="408408DB" w14:textId="77777777" w:rsidR="0050037F" w:rsidRPr="00185AD2" w:rsidRDefault="0050037F" w:rsidP="002C78BD">
      <w:pPr>
        <w:rPr>
          <w:rFonts w:ascii="Calibri" w:hAnsi="Calibri"/>
          <w:sz w:val="22"/>
          <w:szCs w:val="22"/>
          <w:lang w:val="en-GB"/>
        </w:rPr>
      </w:pPr>
    </w:p>
    <w:p w14:paraId="24548A42" w14:textId="2EEEF788" w:rsidR="008F06A0" w:rsidRPr="003E751B" w:rsidRDefault="0028244E" w:rsidP="00A41BAB">
      <w:pPr>
        <w:ind w:firstLine="284"/>
        <w:rPr>
          <w:rFonts w:ascii="Calibri" w:hAnsi="Calibri"/>
          <w:sz w:val="22"/>
          <w:szCs w:val="22"/>
          <w:lang w:val="en-GB"/>
        </w:rPr>
      </w:pPr>
      <w:r w:rsidRPr="00185AD2">
        <w:rPr>
          <w:rFonts w:ascii="Calibri" w:hAnsi="Calibri"/>
          <w:sz w:val="22"/>
          <w:szCs w:val="22"/>
          <w:lang w:val="en-GB"/>
        </w:rPr>
        <w:lastRenderedPageBreak/>
        <w:t xml:space="preserve">Regarding the number of jobs, urban </w:t>
      </w:r>
      <w:r w:rsidR="00FE0589" w:rsidRPr="00185AD2">
        <w:rPr>
          <w:rFonts w:ascii="Calibri" w:hAnsi="Calibri"/>
          <w:sz w:val="22"/>
          <w:szCs w:val="22"/>
          <w:lang w:val="en-GB"/>
        </w:rPr>
        <w:t>core</w:t>
      </w:r>
      <w:r w:rsidRPr="00185AD2">
        <w:rPr>
          <w:rFonts w:ascii="Calibri" w:hAnsi="Calibri"/>
          <w:sz w:val="22"/>
          <w:szCs w:val="22"/>
          <w:lang w:val="en-GB"/>
        </w:rPr>
        <w:t>s</w:t>
      </w:r>
      <w:r w:rsidR="00EB4A29" w:rsidRPr="003E751B">
        <w:rPr>
          <w:rFonts w:ascii="Calibri" w:hAnsi="Calibri"/>
          <w:sz w:val="22"/>
          <w:szCs w:val="22"/>
          <w:lang w:val="en-GB"/>
        </w:rPr>
        <w:t xml:space="preserve"> have fared well again</w:t>
      </w:r>
      <w:r w:rsidR="00E31D59" w:rsidRPr="003E751B">
        <w:rPr>
          <w:rFonts w:ascii="Calibri" w:hAnsi="Calibri"/>
          <w:sz w:val="22"/>
          <w:szCs w:val="22"/>
          <w:lang w:val="en-GB"/>
        </w:rPr>
        <w:t xml:space="preserve">, </w:t>
      </w:r>
      <w:r w:rsidR="00B0481A" w:rsidRPr="003E751B">
        <w:rPr>
          <w:rFonts w:ascii="Calibri" w:hAnsi="Calibri"/>
          <w:sz w:val="22"/>
          <w:szCs w:val="22"/>
          <w:lang w:val="en-GB"/>
        </w:rPr>
        <w:t>but job growth is more disperse</w:t>
      </w:r>
      <w:r w:rsidR="00102BCA" w:rsidRPr="003E751B">
        <w:rPr>
          <w:rFonts w:ascii="Calibri" w:hAnsi="Calibri"/>
          <w:sz w:val="22"/>
          <w:szCs w:val="22"/>
          <w:lang w:val="en-GB"/>
        </w:rPr>
        <w:t>d</w:t>
      </w:r>
      <w:r w:rsidR="00776600" w:rsidRPr="003E751B">
        <w:rPr>
          <w:rFonts w:ascii="Calibri" w:hAnsi="Calibri"/>
          <w:sz w:val="22"/>
          <w:szCs w:val="22"/>
          <w:lang w:val="en-GB"/>
        </w:rPr>
        <w:t xml:space="preserve"> (Fig. </w:t>
      </w:r>
      <w:r w:rsidR="00A41BAB" w:rsidRPr="003E751B">
        <w:rPr>
          <w:rFonts w:ascii="Calibri" w:hAnsi="Calibri"/>
          <w:sz w:val="22"/>
          <w:szCs w:val="22"/>
          <w:lang w:val="en-GB"/>
        </w:rPr>
        <w:t>2</w:t>
      </w:r>
      <w:r w:rsidR="00776600" w:rsidRPr="003E751B">
        <w:rPr>
          <w:rFonts w:ascii="Calibri" w:hAnsi="Calibri"/>
          <w:sz w:val="22"/>
          <w:szCs w:val="22"/>
          <w:lang w:val="en-GB"/>
        </w:rPr>
        <w:t>)</w:t>
      </w:r>
      <w:r w:rsidR="00B0481A" w:rsidRPr="003E751B">
        <w:rPr>
          <w:rFonts w:ascii="Calibri" w:hAnsi="Calibri"/>
          <w:sz w:val="22"/>
          <w:szCs w:val="22"/>
          <w:lang w:val="en-GB"/>
        </w:rPr>
        <w:t xml:space="preserve">. </w:t>
      </w:r>
      <w:r w:rsidR="00EB4A29" w:rsidRPr="003E751B">
        <w:rPr>
          <w:rFonts w:ascii="Calibri" w:hAnsi="Calibri"/>
          <w:sz w:val="22"/>
          <w:szCs w:val="22"/>
          <w:lang w:val="en-GB"/>
        </w:rPr>
        <w:t>First of all, the number of jobs has generally increased between the 2001 and 2011 census</w:t>
      </w:r>
      <w:r w:rsidR="00E938C3" w:rsidRPr="003E751B">
        <w:rPr>
          <w:rFonts w:ascii="Calibri" w:hAnsi="Calibri"/>
          <w:sz w:val="22"/>
          <w:szCs w:val="22"/>
          <w:lang w:val="en-GB"/>
        </w:rPr>
        <w:t>es</w:t>
      </w:r>
      <w:r w:rsidR="00EB4A29" w:rsidRPr="003E751B">
        <w:rPr>
          <w:rFonts w:ascii="Calibri" w:hAnsi="Calibri"/>
          <w:sz w:val="22"/>
          <w:szCs w:val="22"/>
          <w:lang w:val="en-GB"/>
        </w:rPr>
        <w:t xml:space="preserve">, </w:t>
      </w:r>
      <w:r w:rsidR="009D4DCD" w:rsidRPr="003E751B">
        <w:rPr>
          <w:rFonts w:ascii="Calibri" w:hAnsi="Calibri"/>
          <w:sz w:val="22"/>
          <w:szCs w:val="22"/>
          <w:lang w:val="en-GB"/>
        </w:rPr>
        <w:t xml:space="preserve">mainly </w:t>
      </w:r>
      <w:r w:rsidR="00EB4A29" w:rsidRPr="003E751B">
        <w:rPr>
          <w:rFonts w:ascii="Calibri" w:hAnsi="Calibri"/>
          <w:sz w:val="22"/>
          <w:szCs w:val="22"/>
          <w:lang w:val="en-GB"/>
        </w:rPr>
        <w:t>d</w:t>
      </w:r>
      <w:r w:rsidR="009D4DCD" w:rsidRPr="003E751B">
        <w:rPr>
          <w:rFonts w:ascii="Calibri" w:hAnsi="Calibri"/>
          <w:sz w:val="22"/>
          <w:szCs w:val="22"/>
          <w:lang w:val="en-GB"/>
        </w:rPr>
        <w:t xml:space="preserve">riven by </w:t>
      </w:r>
      <w:r w:rsidR="00EB4A29" w:rsidRPr="003E751B">
        <w:rPr>
          <w:rFonts w:ascii="Calibri" w:hAnsi="Calibri"/>
          <w:sz w:val="22"/>
          <w:szCs w:val="22"/>
          <w:lang w:val="en-GB"/>
        </w:rPr>
        <w:t>population growth</w:t>
      </w:r>
      <w:r w:rsidR="009D4DCD" w:rsidRPr="003E751B">
        <w:rPr>
          <w:rFonts w:ascii="Calibri" w:hAnsi="Calibri"/>
          <w:sz w:val="22"/>
          <w:szCs w:val="22"/>
          <w:lang w:val="en-GB"/>
        </w:rPr>
        <w:t xml:space="preserve"> due to immigration</w:t>
      </w:r>
      <w:r w:rsidR="00EB4A29" w:rsidRPr="003E751B">
        <w:rPr>
          <w:rFonts w:ascii="Calibri" w:hAnsi="Calibri"/>
          <w:sz w:val="22"/>
          <w:szCs w:val="22"/>
          <w:lang w:val="en-GB"/>
        </w:rPr>
        <w:t xml:space="preserve"> (</w:t>
      </w:r>
      <w:r w:rsidR="009210C0" w:rsidRPr="003E751B">
        <w:rPr>
          <w:rFonts w:ascii="Calibri" w:hAnsi="Calibri"/>
          <w:i/>
          <w:sz w:val="22"/>
          <w:szCs w:val="22"/>
          <w:lang w:val="en-GB"/>
        </w:rPr>
        <w:t>Dustmann/Frattini</w:t>
      </w:r>
      <w:r w:rsidR="009210C0" w:rsidRPr="003E751B">
        <w:rPr>
          <w:rFonts w:ascii="Calibri" w:hAnsi="Calibri"/>
          <w:sz w:val="22"/>
          <w:szCs w:val="22"/>
          <w:lang w:val="en-GB"/>
        </w:rPr>
        <w:t xml:space="preserve"> 2014</w:t>
      </w:r>
      <w:r w:rsidR="00EB4A29" w:rsidRPr="003E751B">
        <w:rPr>
          <w:rFonts w:ascii="Calibri" w:hAnsi="Calibri"/>
          <w:sz w:val="22"/>
          <w:szCs w:val="22"/>
          <w:lang w:val="en-GB"/>
        </w:rPr>
        <w:t xml:space="preserve">). </w:t>
      </w:r>
      <w:r w:rsidR="00693F04" w:rsidRPr="003E751B">
        <w:rPr>
          <w:rFonts w:ascii="Calibri" w:hAnsi="Calibri"/>
          <w:sz w:val="22"/>
          <w:szCs w:val="22"/>
          <w:lang w:val="en-GB"/>
        </w:rPr>
        <w:t xml:space="preserve">Some caution is required as the </w:t>
      </w:r>
      <w:r w:rsidR="009A5EE7">
        <w:rPr>
          <w:rFonts w:ascii="Calibri" w:hAnsi="Calibri"/>
          <w:sz w:val="22"/>
          <w:szCs w:val="22"/>
          <w:lang w:val="en-GB"/>
        </w:rPr>
        <w:t>2011 C</w:t>
      </w:r>
      <w:r w:rsidR="00D567A1" w:rsidRPr="003E751B">
        <w:rPr>
          <w:rFonts w:ascii="Calibri" w:hAnsi="Calibri"/>
          <w:sz w:val="22"/>
          <w:szCs w:val="22"/>
          <w:lang w:val="en-GB"/>
        </w:rPr>
        <w:t xml:space="preserve">ensus was </w:t>
      </w:r>
      <w:r w:rsidR="009A5EE7">
        <w:rPr>
          <w:rFonts w:ascii="Calibri" w:hAnsi="Calibri"/>
          <w:sz w:val="22"/>
          <w:szCs w:val="22"/>
          <w:lang w:val="en-GB"/>
        </w:rPr>
        <w:t>still overshadowed by</w:t>
      </w:r>
      <w:r w:rsidR="00D567A1" w:rsidRPr="003E751B">
        <w:rPr>
          <w:rFonts w:ascii="Calibri" w:hAnsi="Calibri"/>
          <w:sz w:val="22"/>
          <w:szCs w:val="22"/>
          <w:lang w:val="en-GB"/>
        </w:rPr>
        <w:t xml:space="preserve"> the aftermath of the 2008 financial and economic crisis</w:t>
      </w:r>
      <w:r w:rsidR="00D450DA" w:rsidRPr="003E751B">
        <w:rPr>
          <w:rFonts w:ascii="Calibri" w:hAnsi="Calibri"/>
          <w:sz w:val="22"/>
          <w:szCs w:val="22"/>
          <w:lang w:val="en-GB"/>
        </w:rPr>
        <w:t xml:space="preserve"> and </w:t>
      </w:r>
      <w:r w:rsidR="00D35BF4" w:rsidRPr="003E751B">
        <w:rPr>
          <w:rFonts w:ascii="Calibri" w:hAnsi="Calibri"/>
          <w:sz w:val="22"/>
          <w:szCs w:val="22"/>
          <w:lang w:val="en-GB"/>
        </w:rPr>
        <w:t>the economy</w:t>
      </w:r>
      <w:r w:rsidR="00D450DA" w:rsidRPr="003E751B">
        <w:rPr>
          <w:rFonts w:ascii="Calibri" w:hAnsi="Calibri"/>
          <w:sz w:val="22"/>
          <w:szCs w:val="22"/>
          <w:lang w:val="en-GB"/>
        </w:rPr>
        <w:t xml:space="preserve"> only started to pick up again (</w:t>
      </w:r>
      <w:r w:rsidR="00093D81" w:rsidRPr="00185AD2">
        <w:rPr>
          <w:rFonts w:ascii="Calibri" w:hAnsi="Calibri"/>
          <w:i/>
          <w:sz w:val="22"/>
          <w:szCs w:val="22"/>
          <w:lang w:val="en-GB"/>
        </w:rPr>
        <w:t>McCann</w:t>
      </w:r>
      <w:r w:rsidR="00093D81" w:rsidRPr="003E751B">
        <w:rPr>
          <w:rFonts w:ascii="Calibri" w:hAnsi="Calibri"/>
          <w:sz w:val="22"/>
          <w:szCs w:val="22"/>
          <w:lang w:val="en-GB"/>
        </w:rPr>
        <w:t xml:space="preserve"> 2016</w:t>
      </w:r>
      <w:r w:rsidR="00D450DA" w:rsidRPr="003E751B">
        <w:rPr>
          <w:rFonts w:ascii="Calibri" w:hAnsi="Calibri"/>
          <w:sz w:val="22"/>
          <w:szCs w:val="22"/>
          <w:lang w:val="en-GB"/>
        </w:rPr>
        <w:t>)</w:t>
      </w:r>
      <w:r w:rsidR="00D567A1" w:rsidRPr="003E751B">
        <w:rPr>
          <w:rFonts w:ascii="Calibri" w:hAnsi="Calibri"/>
          <w:sz w:val="22"/>
          <w:szCs w:val="22"/>
          <w:lang w:val="en-GB"/>
        </w:rPr>
        <w:t xml:space="preserve">. </w:t>
      </w:r>
      <w:r w:rsidR="00D35BF4" w:rsidRPr="003E751B">
        <w:rPr>
          <w:rFonts w:ascii="Calibri" w:hAnsi="Calibri"/>
          <w:sz w:val="22"/>
          <w:szCs w:val="22"/>
          <w:lang w:val="en-GB"/>
        </w:rPr>
        <w:t>The central urban areas had already by far the highest concentration of jobs and substantially expand</w:t>
      </w:r>
      <w:r w:rsidR="00D767CB" w:rsidRPr="003E751B">
        <w:rPr>
          <w:rFonts w:ascii="Calibri" w:hAnsi="Calibri"/>
          <w:sz w:val="22"/>
          <w:szCs w:val="22"/>
          <w:lang w:val="en-GB"/>
        </w:rPr>
        <w:t>ed their employment base</w:t>
      </w:r>
      <w:r w:rsidR="00CA75E1" w:rsidRPr="003E751B">
        <w:rPr>
          <w:rFonts w:ascii="Calibri" w:hAnsi="Calibri"/>
          <w:sz w:val="22"/>
          <w:szCs w:val="22"/>
          <w:lang w:val="en-GB"/>
        </w:rPr>
        <w:t>.</w:t>
      </w:r>
      <w:r w:rsidR="00242817" w:rsidRPr="003E751B">
        <w:rPr>
          <w:rFonts w:ascii="Calibri" w:hAnsi="Calibri"/>
          <w:sz w:val="22"/>
          <w:szCs w:val="22"/>
          <w:lang w:val="en-GB"/>
        </w:rPr>
        <w:t xml:space="preserve"> </w:t>
      </w:r>
      <w:r w:rsidR="008F06A0" w:rsidRPr="003E751B">
        <w:rPr>
          <w:rFonts w:ascii="Calibri" w:hAnsi="Calibri"/>
          <w:sz w:val="22"/>
          <w:szCs w:val="22"/>
          <w:lang w:val="en-GB"/>
        </w:rPr>
        <w:t>Areas with high job losses tend to be dominated by industrial activities, including the Port of Liverpool</w:t>
      </w:r>
      <w:r w:rsidR="002B5178" w:rsidRPr="003E751B">
        <w:rPr>
          <w:rFonts w:ascii="Calibri" w:hAnsi="Calibri"/>
          <w:sz w:val="22"/>
          <w:szCs w:val="22"/>
          <w:lang w:val="en-GB"/>
        </w:rPr>
        <w:t>, and are usually located in the urban fringe. However, other areas in the urban fringe are economically very dynamic, not the least the two airports, both at the southern edge of the administrative boundaries of Manchester and Liverpool</w:t>
      </w:r>
      <w:r w:rsidR="004E36AF">
        <w:rPr>
          <w:rFonts w:ascii="Calibri" w:hAnsi="Calibri"/>
          <w:sz w:val="22"/>
          <w:szCs w:val="22"/>
          <w:lang w:val="en-GB"/>
        </w:rPr>
        <w:t xml:space="preserve"> respectively</w:t>
      </w:r>
      <w:r w:rsidR="002B5178" w:rsidRPr="003E751B">
        <w:rPr>
          <w:rFonts w:ascii="Calibri" w:hAnsi="Calibri"/>
          <w:sz w:val="22"/>
          <w:szCs w:val="22"/>
          <w:lang w:val="en-GB"/>
        </w:rPr>
        <w:t xml:space="preserve">, and some of the strategic regional sites located in out-of-town locations such as </w:t>
      </w:r>
      <w:r w:rsidR="002B7A3D" w:rsidRPr="003E751B">
        <w:rPr>
          <w:rFonts w:ascii="Calibri" w:hAnsi="Calibri"/>
          <w:sz w:val="22"/>
          <w:szCs w:val="22"/>
          <w:lang w:val="en-GB"/>
        </w:rPr>
        <w:t xml:space="preserve">the </w:t>
      </w:r>
      <w:r w:rsidR="002B5178" w:rsidRPr="003E751B">
        <w:rPr>
          <w:rFonts w:ascii="Calibri" w:hAnsi="Calibri"/>
          <w:sz w:val="22"/>
          <w:szCs w:val="22"/>
          <w:lang w:val="en-GB"/>
        </w:rPr>
        <w:t xml:space="preserve">Omega and Birchwood </w:t>
      </w:r>
      <w:r w:rsidR="002B7A3D" w:rsidRPr="003E751B">
        <w:rPr>
          <w:rFonts w:ascii="Calibri" w:hAnsi="Calibri"/>
          <w:sz w:val="22"/>
          <w:szCs w:val="22"/>
          <w:lang w:val="en-GB"/>
        </w:rPr>
        <w:t xml:space="preserve">business parks </w:t>
      </w:r>
      <w:r w:rsidR="002B5178" w:rsidRPr="003E751B">
        <w:rPr>
          <w:rFonts w:ascii="Calibri" w:hAnsi="Calibri"/>
          <w:sz w:val="22"/>
          <w:szCs w:val="22"/>
          <w:lang w:val="en-GB"/>
        </w:rPr>
        <w:t>in Warrington (</w:t>
      </w:r>
      <w:r w:rsidR="002B5178" w:rsidRPr="003E751B">
        <w:rPr>
          <w:rFonts w:ascii="Calibri" w:hAnsi="Calibri"/>
          <w:i/>
          <w:sz w:val="22"/>
          <w:szCs w:val="22"/>
          <w:lang w:val="en-GB"/>
        </w:rPr>
        <w:t>Wray</w:t>
      </w:r>
      <w:r w:rsidR="002B5178" w:rsidRPr="003E751B">
        <w:rPr>
          <w:rFonts w:ascii="Calibri" w:hAnsi="Calibri"/>
          <w:sz w:val="22"/>
          <w:szCs w:val="22"/>
          <w:lang w:val="en-GB"/>
        </w:rPr>
        <w:t xml:space="preserve"> 2011). </w:t>
      </w:r>
      <w:r w:rsidR="00032B2C">
        <w:rPr>
          <w:rFonts w:ascii="Calibri" w:hAnsi="Calibri"/>
          <w:sz w:val="22"/>
          <w:szCs w:val="22"/>
          <w:lang w:val="en-GB"/>
        </w:rPr>
        <w:t xml:space="preserve">Yet it is not just </w:t>
      </w:r>
      <w:r w:rsidR="008A406A">
        <w:rPr>
          <w:rFonts w:ascii="Calibri" w:hAnsi="Calibri"/>
          <w:sz w:val="22"/>
          <w:szCs w:val="22"/>
          <w:lang w:val="en-GB"/>
        </w:rPr>
        <w:t>absolute</w:t>
      </w:r>
      <w:r w:rsidR="00032B2C">
        <w:rPr>
          <w:rFonts w:ascii="Calibri" w:hAnsi="Calibri"/>
          <w:sz w:val="22"/>
          <w:szCs w:val="22"/>
          <w:lang w:val="en-GB"/>
        </w:rPr>
        <w:t xml:space="preserve"> number</w:t>
      </w:r>
      <w:r w:rsidR="008A406A">
        <w:rPr>
          <w:rFonts w:ascii="Calibri" w:hAnsi="Calibri"/>
          <w:sz w:val="22"/>
          <w:szCs w:val="22"/>
          <w:lang w:val="en-GB"/>
        </w:rPr>
        <w:t>s</w:t>
      </w:r>
      <w:r w:rsidR="00032B2C">
        <w:rPr>
          <w:rFonts w:ascii="Calibri" w:hAnsi="Calibri"/>
          <w:sz w:val="22"/>
          <w:szCs w:val="22"/>
          <w:lang w:val="en-GB"/>
        </w:rPr>
        <w:t>, but also</w:t>
      </w:r>
      <w:r w:rsidR="008A406A">
        <w:rPr>
          <w:rFonts w:ascii="Calibri" w:hAnsi="Calibri"/>
          <w:sz w:val="22"/>
          <w:szCs w:val="22"/>
          <w:lang w:val="en-GB"/>
        </w:rPr>
        <w:t xml:space="preserve"> the types of jobs.</w:t>
      </w:r>
      <w:r w:rsidR="00032B2C">
        <w:rPr>
          <w:rFonts w:ascii="Calibri" w:hAnsi="Calibri"/>
          <w:sz w:val="22"/>
          <w:szCs w:val="22"/>
          <w:lang w:val="en-GB"/>
        </w:rPr>
        <w:t xml:space="preserve"> </w:t>
      </w:r>
      <w:r w:rsidR="00672CB9">
        <w:rPr>
          <w:rFonts w:ascii="Calibri" w:hAnsi="Calibri"/>
          <w:sz w:val="22"/>
          <w:szCs w:val="22"/>
          <w:lang w:val="en-GB"/>
        </w:rPr>
        <w:t>T</w:t>
      </w:r>
      <w:r w:rsidR="00F37183" w:rsidRPr="003E751B">
        <w:rPr>
          <w:rFonts w:ascii="Calibri" w:hAnsi="Calibri"/>
          <w:sz w:val="22"/>
          <w:szCs w:val="22"/>
          <w:lang w:val="en-GB"/>
        </w:rPr>
        <w:t>he three-class National Statistics Socio-</w:t>
      </w:r>
      <w:r w:rsidR="00672CB9">
        <w:rPr>
          <w:rFonts w:ascii="Calibri" w:hAnsi="Calibri"/>
          <w:sz w:val="22"/>
          <w:szCs w:val="22"/>
          <w:lang w:val="en-GB"/>
        </w:rPr>
        <w:t>E</w:t>
      </w:r>
      <w:r w:rsidR="00672CB9" w:rsidRPr="003E751B">
        <w:rPr>
          <w:rFonts w:ascii="Calibri" w:hAnsi="Calibri"/>
          <w:sz w:val="22"/>
          <w:szCs w:val="22"/>
          <w:lang w:val="en-GB"/>
        </w:rPr>
        <w:t xml:space="preserve">conomic </w:t>
      </w:r>
      <w:r w:rsidR="00672CB9">
        <w:rPr>
          <w:rFonts w:ascii="Calibri" w:hAnsi="Calibri"/>
          <w:sz w:val="22"/>
          <w:szCs w:val="22"/>
          <w:lang w:val="en-GB"/>
        </w:rPr>
        <w:t>C</w:t>
      </w:r>
      <w:r w:rsidR="00F37183" w:rsidRPr="003E751B">
        <w:rPr>
          <w:rFonts w:ascii="Calibri" w:hAnsi="Calibri"/>
          <w:sz w:val="22"/>
          <w:szCs w:val="22"/>
          <w:lang w:val="en-GB"/>
        </w:rPr>
        <w:t>lassification</w:t>
      </w:r>
      <w:r w:rsidR="00A41BAB" w:rsidRPr="003E751B">
        <w:rPr>
          <w:rFonts w:ascii="Calibri" w:hAnsi="Calibri"/>
          <w:sz w:val="22"/>
          <w:szCs w:val="22"/>
          <w:lang w:val="en-GB"/>
        </w:rPr>
        <w:t xml:space="preserve"> (Fig. 3)</w:t>
      </w:r>
      <w:r w:rsidR="009E1498" w:rsidRPr="003E751B">
        <w:rPr>
          <w:rFonts w:ascii="Calibri" w:hAnsi="Calibri"/>
          <w:sz w:val="22"/>
          <w:szCs w:val="22"/>
          <w:lang w:val="en-GB"/>
        </w:rPr>
        <w:t xml:space="preserve"> provides a simplified labour market hierarchy </w:t>
      </w:r>
      <w:r w:rsidR="00A41BAB" w:rsidRPr="003E751B">
        <w:rPr>
          <w:rFonts w:ascii="Calibri" w:hAnsi="Calibri"/>
          <w:sz w:val="22"/>
          <w:szCs w:val="22"/>
          <w:lang w:val="en-GB"/>
        </w:rPr>
        <w:t xml:space="preserve">of ‘higher managerial, administrative and professional occupations’, ‘intermediate occupations’ and ‘routine and manual occupations’ </w:t>
      </w:r>
      <w:r w:rsidR="009E1498" w:rsidRPr="003E751B">
        <w:rPr>
          <w:rFonts w:ascii="Calibri" w:hAnsi="Calibri"/>
          <w:sz w:val="22"/>
          <w:szCs w:val="22"/>
          <w:lang w:val="en-GB"/>
        </w:rPr>
        <w:t>(</w:t>
      </w:r>
      <w:r w:rsidR="009E1498" w:rsidRPr="003E751B">
        <w:rPr>
          <w:rFonts w:ascii="Calibri" w:hAnsi="Calibri"/>
          <w:i/>
          <w:sz w:val="22"/>
          <w:szCs w:val="22"/>
          <w:lang w:val="en-GB"/>
        </w:rPr>
        <w:t>ONS</w:t>
      </w:r>
      <w:r w:rsidR="009E1498" w:rsidRPr="003E751B">
        <w:rPr>
          <w:rFonts w:ascii="Calibri" w:hAnsi="Calibri"/>
          <w:sz w:val="22"/>
          <w:szCs w:val="22"/>
          <w:lang w:val="en-GB"/>
        </w:rPr>
        <w:t xml:space="preserve"> 2010). </w:t>
      </w:r>
      <w:r w:rsidR="00A41BAB" w:rsidRPr="003E751B">
        <w:rPr>
          <w:rFonts w:ascii="Calibri" w:hAnsi="Calibri"/>
          <w:sz w:val="22"/>
          <w:szCs w:val="22"/>
          <w:lang w:val="en-GB"/>
        </w:rPr>
        <w:t xml:space="preserve">Focussing on the lower end of the labour market, </w:t>
      </w:r>
      <w:r w:rsidR="008E782C" w:rsidRPr="003E751B">
        <w:rPr>
          <w:rFonts w:ascii="Calibri" w:hAnsi="Calibri"/>
          <w:sz w:val="22"/>
          <w:szCs w:val="22"/>
          <w:lang w:val="en-GB"/>
        </w:rPr>
        <w:t>we</w:t>
      </w:r>
      <w:r w:rsidR="00A41BAB" w:rsidRPr="003E751B">
        <w:rPr>
          <w:rFonts w:ascii="Calibri" w:hAnsi="Calibri"/>
          <w:sz w:val="22"/>
          <w:szCs w:val="22"/>
          <w:lang w:val="en-GB"/>
        </w:rPr>
        <w:t xml:space="preserve"> unsurprisingly</w:t>
      </w:r>
      <w:r w:rsidR="008E782C" w:rsidRPr="003E751B">
        <w:rPr>
          <w:rFonts w:ascii="Calibri" w:hAnsi="Calibri"/>
          <w:sz w:val="22"/>
          <w:szCs w:val="22"/>
          <w:lang w:val="en-GB"/>
        </w:rPr>
        <w:t xml:space="preserve"> find that the city centres </w:t>
      </w:r>
      <w:r w:rsidR="00A41BAB" w:rsidRPr="003E751B">
        <w:rPr>
          <w:rFonts w:ascii="Calibri" w:hAnsi="Calibri"/>
          <w:sz w:val="22"/>
          <w:szCs w:val="22"/>
          <w:lang w:val="en-GB"/>
        </w:rPr>
        <w:t xml:space="preserve">have a relatively low share of employees in </w:t>
      </w:r>
      <w:r w:rsidR="00094108" w:rsidRPr="003E751B">
        <w:rPr>
          <w:rFonts w:ascii="Calibri" w:hAnsi="Calibri"/>
          <w:sz w:val="22"/>
          <w:szCs w:val="22"/>
          <w:lang w:val="en-GB"/>
        </w:rPr>
        <w:t xml:space="preserve">routine </w:t>
      </w:r>
      <w:r w:rsidR="00A41BAB" w:rsidRPr="003E751B">
        <w:rPr>
          <w:rFonts w:ascii="Calibri" w:hAnsi="Calibri"/>
          <w:sz w:val="22"/>
          <w:szCs w:val="22"/>
          <w:lang w:val="en-GB"/>
        </w:rPr>
        <w:t xml:space="preserve">and manual occupations. These tend to concentrate in less </w:t>
      </w:r>
      <w:r w:rsidR="00607B68" w:rsidRPr="003E751B">
        <w:rPr>
          <w:rFonts w:ascii="Calibri" w:hAnsi="Calibri"/>
          <w:sz w:val="22"/>
          <w:szCs w:val="22"/>
          <w:lang w:val="en-GB"/>
        </w:rPr>
        <w:t xml:space="preserve">central </w:t>
      </w:r>
      <w:r w:rsidR="00A41BAB" w:rsidRPr="003E751B">
        <w:rPr>
          <w:rFonts w:ascii="Calibri" w:hAnsi="Calibri"/>
          <w:sz w:val="22"/>
          <w:szCs w:val="22"/>
          <w:lang w:val="en-GB"/>
        </w:rPr>
        <w:t xml:space="preserve">areas, particularly in the </w:t>
      </w:r>
      <w:r w:rsidR="00607B68" w:rsidRPr="003E751B">
        <w:rPr>
          <w:rFonts w:ascii="Calibri" w:hAnsi="Calibri"/>
          <w:sz w:val="22"/>
          <w:szCs w:val="22"/>
          <w:lang w:val="en-GB"/>
        </w:rPr>
        <w:t xml:space="preserve">less affluent </w:t>
      </w:r>
      <w:r w:rsidR="00A41BAB" w:rsidRPr="003E751B">
        <w:rPr>
          <w:rFonts w:ascii="Calibri" w:hAnsi="Calibri"/>
          <w:sz w:val="22"/>
          <w:szCs w:val="22"/>
          <w:lang w:val="en-GB"/>
        </w:rPr>
        <w:t xml:space="preserve">northern part of the Mersey Belt. </w:t>
      </w:r>
    </w:p>
    <w:p w14:paraId="5A48D181" w14:textId="602C7A25" w:rsidR="00E4512A" w:rsidRPr="003E751B" w:rsidRDefault="00F13C9A" w:rsidP="00E4512A">
      <w:pPr>
        <w:ind w:firstLine="284"/>
        <w:rPr>
          <w:rFonts w:ascii="Calibri" w:hAnsi="Calibri"/>
          <w:sz w:val="22"/>
          <w:szCs w:val="22"/>
          <w:lang w:val="en-GB"/>
        </w:rPr>
      </w:pPr>
      <w:r w:rsidRPr="003E751B">
        <w:rPr>
          <w:rFonts w:ascii="Calibri" w:hAnsi="Calibri"/>
          <w:sz w:val="22"/>
          <w:szCs w:val="22"/>
          <w:lang w:val="en-GB"/>
        </w:rPr>
        <w:t>The Mersey Belt is home to some of England</w:t>
      </w:r>
      <w:r w:rsidR="003D3666" w:rsidRPr="003E751B">
        <w:rPr>
          <w:rFonts w:ascii="Calibri" w:hAnsi="Calibri"/>
          <w:sz w:val="22"/>
          <w:szCs w:val="22"/>
          <w:lang w:val="en-GB"/>
        </w:rPr>
        <w:t>’</w:t>
      </w:r>
      <w:r w:rsidRPr="003E751B">
        <w:rPr>
          <w:rFonts w:ascii="Calibri" w:hAnsi="Calibri"/>
          <w:sz w:val="22"/>
          <w:szCs w:val="22"/>
          <w:lang w:val="en-GB"/>
        </w:rPr>
        <w:t xml:space="preserve">s most deprived communities, with severe pockets of deprivation in the two core cities but also </w:t>
      </w:r>
      <w:r w:rsidR="003D3666" w:rsidRPr="003E751B">
        <w:rPr>
          <w:rFonts w:ascii="Calibri" w:hAnsi="Calibri"/>
          <w:sz w:val="22"/>
          <w:szCs w:val="22"/>
          <w:lang w:val="en-GB"/>
        </w:rPr>
        <w:t xml:space="preserve">in </w:t>
      </w:r>
      <w:r w:rsidRPr="003E751B">
        <w:rPr>
          <w:rFonts w:ascii="Calibri" w:hAnsi="Calibri"/>
          <w:sz w:val="22"/>
          <w:szCs w:val="22"/>
          <w:lang w:val="en-GB"/>
        </w:rPr>
        <w:t xml:space="preserve">smaller towns such as Birkenhead, Kirkby </w:t>
      </w:r>
      <w:r w:rsidR="003D3666" w:rsidRPr="003E751B">
        <w:rPr>
          <w:rFonts w:ascii="Calibri" w:hAnsi="Calibri"/>
          <w:sz w:val="22"/>
          <w:szCs w:val="22"/>
          <w:lang w:val="en-GB"/>
        </w:rPr>
        <w:t>and</w:t>
      </w:r>
      <w:r w:rsidRPr="003E751B">
        <w:rPr>
          <w:rFonts w:ascii="Calibri" w:hAnsi="Calibri"/>
          <w:sz w:val="22"/>
          <w:szCs w:val="22"/>
          <w:lang w:val="en-GB"/>
        </w:rPr>
        <w:t xml:space="preserve"> Rochdale</w:t>
      </w:r>
      <w:r w:rsidR="0065668F" w:rsidRPr="003E751B">
        <w:rPr>
          <w:rFonts w:ascii="Calibri" w:hAnsi="Calibri"/>
          <w:sz w:val="22"/>
          <w:szCs w:val="22"/>
          <w:lang w:val="en-GB"/>
        </w:rPr>
        <w:t xml:space="preserve"> (Fig. 4)</w:t>
      </w:r>
      <w:r w:rsidRPr="003E751B">
        <w:rPr>
          <w:rFonts w:ascii="Calibri" w:hAnsi="Calibri"/>
          <w:sz w:val="22"/>
          <w:szCs w:val="22"/>
          <w:lang w:val="en-GB"/>
        </w:rPr>
        <w:t xml:space="preserve">. </w:t>
      </w:r>
      <w:r w:rsidR="007F0076" w:rsidRPr="003E751B">
        <w:rPr>
          <w:rFonts w:ascii="Calibri" w:hAnsi="Calibri"/>
          <w:sz w:val="22"/>
          <w:szCs w:val="22"/>
          <w:lang w:val="en-GB"/>
        </w:rPr>
        <w:t>The Index of Multiple Deprivation (IMD) is a composite index measuring deprivation for small areas and ranks all neighbourhoods (LSOA) in England from most to least deprived. It is important to stress that</w:t>
      </w:r>
      <w:r w:rsidR="00856165">
        <w:rPr>
          <w:rFonts w:ascii="Calibri" w:hAnsi="Calibri"/>
          <w:sz w:val="22"/>
          <w:szCs w:val="22"/>
          <w:lang w:val="en-GB"/>
        </w:rPr>
        <w:t xml:space="preserve"> it</w:t>
      </w:r>
      <w:r w:rsidR="007F0076" w:rsidRPr="003E751B">
        <w:rPr>
          <w:rFonts w:ascii="Calibri" w:hAnsi="Calibri"/>
          <w:sz w:val="22"/>
          <w:szCs w:val="22"/>
          <w:lang w:val="en-GB"/>
        </w:rPr>
        <w:t xml:space="preserve"> is a measure of deprivation and is unsuitable to indicate prosperity. </w:t>
      </w:r>
      <w:r w:rsidRPr="003E751B">
        <w:rPr>
          <w:rFonts w:ascii="Calibri" w:hAnsi="Calibri"/>
          <w:sz w:val="22"/>
          <w:szCs w:val="22"/>
          <w:lang w:val="en-GB"/>
        </w:rPr>
        <w:t xml:space="preserve">Deprivation in this part of England tends to </w:t>
      </w:r>
      <w:r w:rsidR="00822B74" w:rsidRPr="003E751B">
        <w:rPr>
          <w:rFonts w:ascii="Calibri" w:hAnsi="Calibri"/>
          <w:sz w:val="22"/>
          <w:szCs w:val="22"/>
          <w:lang w:val="en-GB"/>
        </w:rPr>
        <w:t xml:space="preserve">be </w:t>
      </w:r>
      <w:r w:rsidRPr="003E751B">
        <w:rPr>
          <w:rFonts w:ascii="Calibri" w:hAnsi="Calibri"/>
          <w:sz w:val="22"/>
          <w:szCs w:val="22"/>
          <w:lang w:val="en-GB"/>
        </w:rPr>
        <w:t>concentrate</w:t>
      </w:r>
      <w:r w:rsidR="00822B74" w:rsidRPr="003E751B">
        <w:rPr>
          <w:rFonts w:ascii="Calibri" w:hAnsi="Calibri"/>
          <w:sz w:val="22"/>
          <w:szCs w:val="22"/>
          <w:lang w:val="en-GB"/>
        </w:rPr>
        <w:t>d</w:t>
      </w:r>
      <w:r w:rsidRPr="003E751B">
        <w:rPr>
          <w:rFonts w:ascii="Calibri" w:hAnsi="Calibri"/>
          <w:sz w:val="22"/>
          <w:szCs w:val="22"/>
          <w:lang w:val="en-GB"/>
        </w:rPr>
        <w:t xml:space="preserve"> in </w:t>
      </w:r>
      <w:r w:rsidR="00822B74" w:rsidRPr="003E751B">
        <w:rPr>
          <w:rFonts w:ascii="Calibri" w:hAnsi="Calibri"/>
          <w:sz w:val="22"/>
          <w:szCs w:val="22"/>
          <w:lang w:val="en-GB"/>
        </w:rPr>
        <w:t>u</w:t>
      </w:r>
      <w:r w:rsidRPr="003E751B">
        <w:rPr>
          <w:rFonts w:ascii="Calibri" w:hAnsi="Calibri"/>
          <w:sz w:val="22"/>
          <w:szCs w:val="22"/>
          <w:lang w:val="en-GB"/>
        </w:rPr>
        <w:t>rban</w:t>
      </w:r>
      <w:r w:rsidR="00A10FF5" w:rsidRPr="003E751B">
        <w:rPr>
          <w:rFonts w:ascii="Calibri" w:hAnsi="Calibri"/>
          <w:sz w:val="22"/>
          <w:szCs w:val="22"/>
          <w:lang w:val="en-GB"/>
        </w:rPr>
        <w:t xml:space="preserve"> – as opposed to rural –</w:t>
      </w:r>
      <w:r w:rsidR="00822B74" w:rsidRPr="003E751B">
        <w:rPr>
          <w:rFonts w:ascii="Calibri" w:hAnsi="Calibri"/>
          <w:sz w:val="22"/>
          <w:szCs w:val="22"/>
          <w:lang w:val="en-GB"/>
        </w:rPr>
        <w:t xml:space="preserve"> ar</w:t>
      </w:r>
      <w:r w:rsidRPr="003E751B">
        <w:rPr>
          <w:rFonts w:ascii="Calibri" w:hAnsi="Calibri"/>
          <w:sz w:val="22"/>
          <w:szCs w:val="22"/>
          <w:lang w:val="en-GB"/>
        </w:rPr>
        <w:t>e</w:t>
      </w:r>
      <w:r w:rsidR="00822B74" w:rsidRPr="003E751B">
        <w:rPr>
          <w:rFonts w:ascii="Calibri" w:hAnsi="Calibri"/>
          <w:sz w:val="22"/>
          <w:szCs w:val="22"/>
          <w:lang w:val="en-GB"/>
        </w:rPr>
        <w:t>a</w:t>
      </w:r>
      <w:r w:rsidRPr="003E751B">
        <w:rPr>
          <w:rFonts w:ascii="Calibri" w:hAnsi="Calibri"/>
          <w:sz w:val="22"/>
          <w:szCs w:val="22"/>
          <w:lang w:val="en-GB"/>
        </w:rPr>
        <w:t>s</w:t>
      </w:r>
      <w:r w:rsidR="00A10FF5" w:rsidRPr="003E751B">
        <w:rPr>
          <w:rFonts w:ascii="Calibri" w:hAnsi="Calibri"/>
          <w:sz w:val="22"/>
          <w:szCs w:val="22"/>
          <w:lang w:val="en-GB"/>
        </w:rPr>
        <w:t xml:space="preserve">. </w:t>
      </w:r>
      <w:r w:rsidR="00402511" w:rsidRPr="003E751B">
        <w:rPr>
          <w:rFonts w:ascii="Calibri" w:hAnsi="Calibri"/>
          <w:sz w:val="22"/>
          <w:szCs w:val="22"/>
          <w:lang w:val="en-GB"/>
        </w:rPr>
        <w:t xml:space="preserve">Large parts of the cities and towns in the Mersey Belt are </w:t>
      </w:r>
      <w:r w:rsidR="003F718F" w:rsidRPr="003E751B">
        <w:rPr>
          <w:rFonts w:ascii="Calibri" w:hAnsi="Calibri"/>
          <w:sz w:val="22"/>
          <w:szCs w:val="22"/>
          <w:lang w:val="en-GB"/>
        </w:rPr>
        <w:t>amongst</w:t>
      </w:r>
      <w:r w:rsidR="00402511" w:rsidRPr="003E751B">
        <w:rPr>
          <w:rFonts w:ascii="Calibri" w:hAnsi="Calibri"/>
          <w:sz w:val="22"/>
          <w:szCs w:val="22"/>
          <w:lang w:val="en-GB"/>
        </w:rPr>
        <w:t xml:space="preserve"> the 20 per cent most deprived areas in England. </w:t>
      </w:r>
      <w:r w:rsidR="00C325B9" w:rsidRPr="003E751B">
        <w:rPr>
          <w:rFonts w:ascii="Calibri" w:hAnsi="Calibri"/>
          <w:sz w:val="22"/>
          <w:szCs w:val="22"/>
          <w:lang w:val="en-GB"/>
        </w:rPr>
        <w:t>While structural deprivation is traditionally concentrated in the core cities, some of the most deprived neighbourhoods of England are also located in smaller towns in the urban fringe (e.</w:t>
      </w:r>
      <w:r w:rsidR="00C325B9" w:rsidRPr="00185AD2">
        <w:rPr>
          <w:rFonts w:ascii="Calibri" w:hAnsi="Calibri"/>
          <w:sz w:val="22"/>
          <w:szCs w:val="22"/>
          <w:lang w:val="en-GB"/>
        </w:rPr>
        <w:t>g. Rochdale)</w:t>
      </w:r>
      <w:r w:rsidR="00C325B9" w:rsidRPr="003E751B">
        <w:rPr>
          <w:rFonts w:ascii="Calibri" w:hAnsi="Calibri"/>
          <w:sz w:val="22"/>
          <w:szCs w:val="22"/>
          <w:lang w:val="en-GB"/>
        </w:rPr>
        <w:t xml:space="preserve">. </w:t>
      </w:r>
      <w:r w:rsidR="00873890" w:rsidRPr="003E751B">
        <w:rPr>
          <w:rFonts w:ascii="Calibri" w:hAnsi="Calibri"/>
          <w:sz w:val="22"/>
          <w:szCs w:val="22"/>
          <w:lang w:val="en-GB"/>
        </w:rPr>
        <w:t xml:space="preserve">While the Index of Multiple </w:t>
      </w:r>
      <w:r w:rsidR="00E46A60" w:rsidRPr="003E751B">
        <w:rPr>
          <w:rFonts w:ascii="Calibri" w:hAnsi="Calibri"/>
          <w:sz w:val="22"/>
          <w:szCs w:val="22"/>
          <w:lang w:val="en-GB"/>
        </w:rPr>
        <w:t xml:space="preserve">Deprivation </w:t>
      </w:r>
      <w:r w:rsidR="00873890" w:rsidRPr="003E751B">
        <w:rPr>
          <w:rFonts w:ascii="Calibri" w:hAnsi="Calibri"/>
          <w:sz w:val="22"/>
          <w:szCs w:val="22"/>
          <w:lang w:val="en-GB"/>
        </w:rPr>
        <w:t>is not designed to compare absolute levels of deprivation, it allows us to compare the relative position of areas between different editions</w:t>
      </w:r>
      <w:r w:rsidR="000D6B44" w:rsidRPr="003E751B">
        <w:rPr>
          <w:rFonts w:ascii="Calibri" w:hAnsi="Calibri"/>
          <w:sz w:val="22"/>
          <w:szCs w:val="22"/>
          <w:lang w:val="en-GB"/>
        </w:rPr>
        <w:t xml:space="preserve"> (</w:t>
      </w:r>
      <w:r w:rsidR="000D6B44" w:rsidRPr="003E751B">
        <w:rPr>
          <w:rFonts w:ascii="Calibri" w:hAnsi="Calibri"/>
          <w:i/>
          <w:sz w:val="22"/>
          <w:szCs w:val="22"/>
          <w:lang w:val="en-GB"/>
        </w:rPr>
        <w:t>DCLG</w:t>
      </w:r>
      <w:r w:rsidR="000D6B44" w:rsidRPr="003E751B">
        <w:rPr>
          <w:rFonts w:ascii="Calibri" w:hAnsi="Calibri"/>
          <w:sz w:val="22"/>
          <w:szCs w:val="22"/>
          <w:lang w:val="en-GB"/>
        </w:rPr>
        <w:t xml:space="preserve"> 2015)</w:t>
      </w:r>
      <w:r w:rsidR="00873890" w:rsidRPr="003E751B">
        <w:rPr>
          <w:rFonts w:ascii="Calibri" w:hAnsi="Calibri"/>
          <w:sz w:val="22"/>
          <w:szCs w:val="22"/>
          <w:lang w:val="en-GB"/>
        </w:rPr>
        <w:t xml:space="preserve">. </w:t>
      </w:r>
    </w:p>
    <w:p w14:paraId="369A1F4D" w14:textId="29810FDB" w:rsidR="00CE34F6" w:rsidRPr="003E751B" w:rsidRDefault="00266D75" w:rsidP="00E4512A">
      <w:pPr>
        <w:ind w:firstLine="284"/>
        <w:rPr>
          <w:rFonts w:ascii="Calibri" w:hAnsi="Calibri"/>
          <w:sz w:val="22"/>
          <w:szCs w:val="22"/>
          <w:lang w:val="en-GB"/>
        </w:rPr>
      </w:pPr>
      <w:r w:rsidRPr="003E751B">
        <w:rPr>
          <w:rFonts w:ascii="Calibri" w:hAnsi="Calibri"/>
          <w:sz w:val="22"/>
          <w:szCs w:val="22"/>
          <w:lang w:val="en-GB"/>
        </w:rPr>
        <w:t>Comparing deprivation between 2004 and 2015 underlines the narrative of re</w:t>
      </w:r>
      <w:r w:rsidR="003D633F" w:rsidRPr="003E751B">
        <w:rPr>
          <w:rFonts w:ascii="Calibri" w:hAnsi="Calibri"/>
          <w:sz w:val="22"/>
          <w:szCs w:val="22"/>
          <w:lang w:val="en-GB"/>
        </w:rPr>
        <w:t>-</w:t>
      </w:r>
      <w:r w:rsidRPr="003E751B">
        <w:rPr>
          <w:rFonts w:ascii="Calibri" w:hAnsi="Calibri"/>
          <w:sz w:val="22"/>
          <w:szCs w:val="22"/>
          <w:lang w:val="en-GB"/>
        </w:rPr>
        <w:t xml:space="preserve">urbanisation. The Liverpool and Manchester city regions have more areas that </w:t>
      </w:r>
      <w:r w:rsidR="00291E0D" w:rsidRPr="003E751B">
        <w:rPr>
          <w:rFonts w:ascii="Calibri" w:hAnsi="Calibri"/>
          <w:sz w:val="22"/>
          <w:szCs w:val="22"/>
          <w:lang w:val="en-GB"/>
        </w:rPr>
        <w:t xml:space="preserve">comparatively </w:t>
      </w:r>
      <w:r w:rsidR="00BB62C8" w:rsidRPr="003E751B">
        <w:rPr>
          <w:rFonts w:ascii="Calibri" w:hAnsi="Calibri"/>
          <w:sz w:val="22"/>
          <w:szCs w:val="22"/>
          <w:lang w:val="en-GB"/>
        </w:rPr>
        <w:t>improved</w:t>
      </w:r>
      <w:r w:rsidR="00291E0D" w:rsidRPr="003E751B">
        <w:rPr>
          <w:rFonts w:ascii="Calibri" w:hAnsi="Calibri"/>
          <w:sz w:val="22"/>
          <w:szCs w:val="22"/>
          <w:lang w:val="en-GB"/>
        </w:rPr>
        <w:t xml:space="preserve"> their position</w:t>
      </w:r>
      <w:r w:rsidR="00BB62C8" w:rsidRPr="003E751B">
        <w:rPr>
          <w:rFonts w:ascii="Calibri" w:hAnsi="Calibri"/>
          <w:sz w:val="22"/>
          <w:szCs w:val="22"/>
          <w:lang w:val="en-GB"/>
        </w:rPr>
        <w:t xml:space="preserve">. </w:t>
      </w:r>
      <w:r w:rsidR="00142A79" w:rsidRPr="003E751B">
        <w:rPr>
          <w:rFonts w:ascii="Calibri" w:hAnsi="Calibri"/>
          <w:sz w:val="22"/>
          <w:szCs w:val="22"/>
          <w:lang w:val="en-GB"/>
        </w:rPr>
        <w:t>While t</w:t>
      </w:r>
      <w:r w:rsidR="003D633F" w:rsidRPr="003E751B">
        <w:rPr>
          <w:rFonts w:ascii="Calibri" w:hAnsi="Calibri"/>
          <w:sz w:val="22"/>
          <w:szCs w:val="22"/>
          <w:lang w:val="en-GB"/>
        </w:rPr>
        <w:t>he city centres have never been the most deprived areas</w:t>
      </w:r>
      <w:r w:rsidR="00142A79" w:rsidRPr="003E751B">
        <w:rPr>
          <w:rFonts w:ascii="Calibri" w:hAnsi="Calibri"/>
          <w:sz w:val="22"/>
          <w:szCs w:val="22"/>
          <w:lang w:val="en-GB"/>
        </w:rPr>
        <w:t xml:space="preserve"> anyway</w:t>
      </w:r>
      <w:r w:rsidR="003D633F" w:rsidRPr="003E751B">
        <w:rPr>
          <w:rFonts w:ascii="Calibri" w:hAnsi="Calibri"/>
          <w:sz w:val="22"/>
          <w:szCs w:val="22"/>
          <w:lang w:val="en-GB"/>
        </w:rPr>
        <w:t xml:space="preserve">, </w:t>
      </w:r>
      <w:r w:rsidR="00142A79" w:rsidRPr="003E751B">
        <w:rPr>
          <w:rFonts w:ascii="Calibri" w:hAnsi="Calibri"/>
          <w:sz w:val="22"/>
          <w:szCs w:val="22"/>
          <w:lang w:val="en-GB"/>
        </w:rPr>
        <w:t>they</w:t>
      </w:r>
      <w:r w:rsidR="003D633F" w:rsidRPr="003E751B">
        <w:rPr>
          <w:rFonts w:ascii="Calibri" w:hAnsi="Calibri"/>
          <w:sz w:val="22"/>
          <w:szCs w:val="22"/>
          <w:lang w:val="en-GB"/>
        </w:rPr>
        <w:t xml:space="preserve"> have </w:t>
      </w:r>
      <w:r w:rsidR="00133A45" w:rsidRPr="003E751B">
        <w:rPr>
          <w:rFonts w:ascii="Calibri" w:hAnsi="Calibri"/>
          <w:sz w:val="22"/>
          <w:szCs w:val="22"/>
          <w:lang w:val="en-GB"/>
        </w:rPr>
        <w:t>clearly</w:t>
      </w:r>
      <w:r w:rsidR="003D633F" w:rsidRPr="003E751B">
        <w:rPr>
          <w:rFonts w:ascii="Calibri" w:hAnsi="Calibri"/>
          <w:sz w:val="22"/>
          <w:szCs w:val="22"/>
          <w:lang w:val="en-GB"/>
        </w:rPr>
        <w:t xml:space="preserve"> improved their </w:t>
      </w:r>
      <w:r w:rsidR="00133A45" w:rsidRPr="003E751B">
        <w:rPr>
          <w:rFonts w:ascii="Calibri" w:hAnsi="Calibri"/>
          <w:sz w:val="22"/>
          <w:szCs w:val="22"/>
          <w:lang w:val="en-GB"/>
        </w:rPr>
        <w:t xml:space="preserve">relative </w:t>
      </w:r>
      <w:r w:rsidR="003D633F" w:rsidRPr="003E751B">
        <w:rPr>
          <w:rFonts w:ascii="Calibri" w:hAnsi="Calibri"/>
          <w:sz w:val="22"/>
          <w:szCs w:val="22"/>
          <w:lang w:val="en-GB"/>
        </w:rPr>
        <w:t>position</w:t>
      </w:r>
      <w:r w:rsidR="00D131F9">
        <w:rPr>
          <w:rFonts w:ascii="Calibri" w:hAnsi="Calibri"/>
          <w:sz w:val="22"/>
          <w:szCs w:val="22"/>
          <w:lang w:val="en-GB"/>
        </w:rPr>
        <w:t xml:space="preserve"> through the advent of city-centre living</w:t>
      </w:r>
      <w:r w:rsidR="00CE58AC">
        <w:rPr>
          <w:rFonts w:ascii="Calibri" w:hAnsi="Calibri"/>
          <w:sz w:val="22"/>
          <w:szCs w:val="22"/>
          <w:lang w:val="en-GB"/>
        </w:rPr>
        <w:t xml:space="preserve"> and more up-market residential units</w:t>
      </w:r>
      <w:r w:rsidR="000C703F">
        <w:rPr>
          <w:rFonts w:ascii="Calibri" w:hAnsi="Calibri"/>
          <w:sz w:val="22"/>
          <w:szCs w:val="22"/>
          <w:lang w:val="en-GB"/>
        </w:rPr>
        <w:t xml:space="preserve"> (</w:t>
      </w:r>
      <w:r w:rsidR="000C703F">
        <w:rPr>
          <w:rFonts w:ascii="Calibri" w:hAnsi="Calibri"/>
          <w:i/>
          <w:sz w:val="22"/>
          <w:szCs w:val="22"/>
          <w:lang w:val="en-GB"/>
        </w:rPr>
        <w:t>All</w:t>
      </w:r>
      <w:r w:rsidR="000C703F" w:rsidRPr="003E751B">
        <w:rPr>
          <w:rFonts w:ascii="Calibri" w:hAnsi="Calibri"/>
          <w:i/>
          <w:sz w:val="22"/>
          <w:szCs w:val="22"/>
          <w:lang w:val="en-GB"/>
        </w:rPr>
        <w:t>e</w:t>
      </w:r>
      <w:r w:rsidR="000C703F">
        <w:rPr>
          <w:rFonts w:ascii="Calibri" w:hAnsi="Calibri"/>
          <w:i/>
          <w:sz w:val="22"/>
          <w:szCs w:val="22"/>
          <w:lang w:val="en-GB"/>
        </w:rPr>
        <w:t>n</w:t>
      </w:r>
      <w:r w:rsidR="000C703F" w:rsidRPr="003E751B">
        <w:rPr>
          <w:rFonts w:ascii="Calibri" w:hAnsi="Calibri"/>
          <w:sz w:val="22"/>
          <w:szCs w:val="22"/>
          <w:lang w:val="en-GB"/>
        </w:rPr>
        <w:t xml:space="preserve"> 2007</w:t>
      </w:r>
      <w:r w:rsidR="000C703F">
        <w:rPr>
          <w:rFonts w:ascii="Calibri" w:hAnsi="Calibri"/>
          <w:sz w:val="22"/>
          <w:szCs w:val="22"/>
          <w:lang w:val="en-GB"/>
        </w:rPr>
        <w:t>)</w:t>
      </w:r>
      <w:r w:rsidR="003D633F" w:rsidRPr="003E751B">
        <w:rPr>
          <w:rFonts w:ascii="Calibri" w:hAnsi="Calibri"/>
          <w:sz w:val="22"/>
          <w:szCs w:val="22"/>
          <w:lang w:val="en-GB"/>
        </w:rPr>
        <w:t xml:space="preserve">. Again, the effect of Manchester’s city centre regeneration radiates </w:t>
      </w:r>
      <w:r w:rsidR="003169C6" w:rsidRPr="003E751B">
        <w:rPr>
          <w:rFonts w:ascii="Calibri" w:hAnsi="Calibri"/>
          <w:sz w:val="22"/>
          <w:szCs w:val="22"/>
          <w:lang w:val="en-GB"/>
        </w:rPr>
        <w:t>further</w:t>
      </w:r>
      <w:r w:rsidR="003D633F" w:rsidRPr="003E751B">
        <w:rPr>
          <w:rFonts w:ascii="Calibri" w:hAnsi="Calibri"/>
          <w:sz w:val="22"/>
          <w:szCs w:val="22"/>
          <w:lang w:val="en-GB"/>
        </w:rPr>
        <w:t xml:space="preserve"> than Liverpool’s</w:t>
      </w:r>
      <w:r w:rsidR="00C325B9" w:rsidRPr="003E751B">
        <w:rPr>
          <w:rFonts w:ascii="Calibri" w:hAnsi="Calibri"/>
          <w:sz w:val="22"/>
          <w:szCs w:val="22"/>
          <w:lang w:val="en-GB"/>
        </w:rPr>
        <w:t>, reflecting the head start of urban regeneration in Manchester (</w:t>
      </w:r>
      <w:r w:rsidR="002C0F1E" w:rsidRPr="003E751B">
        <w:rPr>
          <w:rFonts w:ascii="Calibri" w:hAnsi="Calibri"/>
          <w:i/>
          <w:sz w:val="22"/>
          <w:szCs w:val="22"/>
          <w:lang w:val="en-GB"/>
        </w:rPr>
        <w:t>Harding et al.</w:t>
      </w:r>
      <w:r w:rsidR="002C0F1E" w:rsidRPr="003E751B">
        <w:rPr>
          <w:rFonts w:ascii="Calibri" w:hAnsi="Calibri"/>
          <w:sz w:val="22"/>
          <w:szCs w:val="22"/>
          <w:lang w:val="en-GB"/>
        </w:rPr>
        <w:t xml:space="preserve"> 2004</w:t>
      </w:r>
      <w:r w:rsidR="00C325B9" w:rsidRPr="003E751B">
        <w:rPr>
          <w:rFonts w:ascii="Calibri" w:hAnsi="Calibri"/>
          <w:sz w:val="22"/>
          <w:szCs w:val="22"/>
          <w:lang w:val="en-GB"/>
        </w:rPr>
        <w:t>)</w:t>
      </w:r>
      <w:r w:rsidR="003D633F" w:rsidRPr="003E751B">
        <w:rPr>
          <w:rFonts w:ascii="Calibri" w:hAnsi="Calibri"/>
          <w:sz w:val="22"/>
          <w:szCs w:val="22"/>
          <w:lang w:val="en-GB"/>
        </w:rPr>
        <w:t xml:space="preserve">. </w:t>
      </w:r>
      <w:r w:rsidR="00291E0D" w:rsidRPr="003E751B">
        <w:rPr>
          <w:rFonts w:ascii="Calibri" w:hAnsi="Calibri"/>
          <w:sz w:val="22"/>
          <w:szCs w:val="22"/>
          <w:lang w:val="en-GB"/>
        </w:rPr>
        <w:t xml:space="preserve">Nevertheless, both cities </w:t>
      </w:r>
      <w:r w:rsidR="00C325B9" w:rsidRPr="003E751B">
        <w:rPr>
          <w:rFonts w:ascii="Calibri" w:hAnsi="Calibri"/>
          <w:sz w:val="22"/>
          <w:szCs w:val="22"/>
          <w:lang w:val="en-GB"/>
        </w:rPr>
        <w:t xml:space="preserve">continue to </w:t>
      </w:r>
      <w:r w:rsidR="00291E0D" w:rsidRPr="003E751B">
        <w:rPr>
          <w:rFonts w:ascii="Calibri" w:hAnsi="Calibri"/>
          <w:sz w:val="22"/>
          <w:szCs w:val="22"/>
          <w:lang w:val="en-GB"/>
        </w:rPr>
        <w:t>have large areas with persistent deprivation, particularly to the north, which have seen only marginal improvements, if at all</w:t>
      </w:r>
      <w:r w:rsidR="00D31BFE" w:rsidRPr="003E751B">
        <w:rPr>
          <w:rFonts w:ascii="Calibri" w:hAnsi="Calibri"/>
          <w:sz w:val="22"/>
          <w:szCs w:val="22"/>
          <w:lang w:val="en-GB"/>
        </w:rPr>
        <w:t>, despite being targeted repeatedly through variou</w:t>
      </w:r>
      <w:r w:rsidR="00F443B1" w:rsidRPr="003E751B">
        <w:rPr>
          <w:rFonts w:ascii="Calibri" w:hAnsi="Calibri"/>
          <w:sz w:val="22"/>
          <w:szCs w:val="22"/>
          <w:lang w:val="en-GB"/>
        </w:rPr>
        <w:t xml:space="preserve">s area-based </w:t>
      </w:r>
      <w:r w:rsidR="00164523" w:rsidRPr="003E751B">
        <w:rPr>
          <w:rFonts w:ascii="Calibri" w:hAnsi="Calibri"/>
          <w:sz w:val="22"/>
          <w:szCs w:val="22"/>
          <w:lang w:val="en-GB"/>
        </w:rPr>
        <w:t xml:space="preserve">regeneration </w:t>
      </w:r>
      <w:r w:rsidR="00F443B1" w:rsidRPr="003E751B">
        <w:rPr>
          <w:rFonts w:ascii="Calibri" w:hAnsi="Calibri"/>
          <w:sz w:val="22"/>
          <w:szCs w:val="22"/>
          <w:lang w:val="en-GB"/>
        </w:rPr>
        <w:t>initiatives (</w:t>
      </w:r>
      <w:r w:rsidR="00F443B1" w:rsidRPr="003E751B">
        <w:rPr>
          <w:rFonts w:ascii="Calibri" w:hAnsi="Calibri"/>
          <w:i/>
          <w:sz w:val="22"/>
          <w:szCs w:val="22"/>
          <w:lang w:val="en-GB"/>
        </w:rPr>
        <w:t>Batey/</w:t>
      </w:r>
      <w:r w:rsidR="00D31BFE" w:rsidRPr="003E751B">
        <w:rPr>
          <w:rFonts w:ascii="Calibri" w:hAnsi="Calibri"/>
          <w:i/>
          <w:sz w:val="22"/>
          <w:szCs w:val="22"/>
          <w:lang w:val="en-GB"/>
        </w:rPr>
        <w:t>Br</w:t>
      </w:r>
      <w:r w:rsidR="00F443B1" w:rsidRPr="003E751B">
        <w:rPr>
          <w:rFonts w:ascii="Calibri" w:hAnsi="Calibri"/>
          <w:i/>
          <w:sz w:val="22"/>
          <w:szCs w:val="22"/>
          <w:lang w:val="en-GB"/>
        </w:rPr>
        <w:t>own</w:t>
      </w:r>
      <w:r w:rsidR="00D31BFE" w:rsidRPr="003E751B">
        <w:rPr>
          <w:rFonts w:ascii="Calibri" w:hAnsi="Calibri"/>
          <w:sz w:val="22"/>
          <w:szCs w:val="22"/>
          <w:lang w:val="en-GB"/>
        </w:rPr>
        <w:t xml:space="preserve"> 2007)</w:t>
      </w:r>
      <w:r w:rsidR="00291E0D" w:rsidRPr="003E751B">
        <w:rPr>
          <w:rFonts w:ascii="Calibri" w:hAnsi="Calibri"/>
          <w:sz w:val="22"/>
          <w:szCs w:val="22"/>
          <w:lang w:val="en-GB"/>
        </w:rPr>
        <w:t xml:space="preserve">. </w:t>
      </w:r>
      <w:r w:rsidR="004157E7" w:rsidRPr="003E751B">
        <w:rPr>
          <w:rFonts w:ascii="Calibri" w:hAnsi="Calibri"/>
          <w:sz w:val="22"/>
          <w:szCs w:val="22"/>
          <w:lang w:val="en-GB"/>
        </w:rPr>
        <w:t>Again</w:t>
      </w:r>
      <w:r w:rsidR="00E56B1B" w:rsidRPr="003E751B">
        <w:rPr>
          <w:rFonts w:ascii="Calibri" w:hAnsi="Calibri"/>
          <w:sz w:val="22"/>
          <w:szCs w:val="22"/>
          <w:lang w:val="en-GB"/>
        </w:rPr>
        <w:t>,</w:t>
      </w:r>
      <w:r w:rsidR="004157E7" w:rsidRPr="003E751B">
        <w:rPr>
          <w:rFonts w:ascii="Calibri" w:hAnsi="Calibri"/>
          <w:sz w:val="22"/>
          <w:szCs w:val="22"/>
          <w:lang w:val="en-GB"/>
        </w:rPr>
        <w:t xml:space="preserve"> we can notice a </w:t>
      </w:r>
      <w:r w:rsidR="00094108" w:rsidRPr="003E751B">
        <w:rPr>
          <w:rFonts w:ascii="Calibri" w:hAnsi="Calibri"/>
          <w:sz w:val="22"/>
          <w:szCs w:val="22"/>
          <w:lang w:val="en-GB"/>
        </w:rPr>
        <w:t xml:space="preserve">considerably </w:t>
      </w:r>
      <w:r w:rsidR="004157E7" w:rsidRPr="003E751B">
        <w:rPr>
          <w:rFonts w:ascii="Calibri" w:hAnsi="Calibri"/>
          <w:sz w:val="22"/>
          <w:szCs w:val="22"/>
          <w:lang w:val="en-GB"/>
        </w:rPr>
        <w:t>higher n</w:t>
      </w:r>
      <w:r w:rsidR="00E56B1B" w:rsidRPr="003E751B">
        <w:rPr>
          <w:rFonts w:ascii="Calibri" w:hAnsi="Calibri"/>
          <w:sz w:val="22"/>
          <w:szCs w:val="22"/>
          <w:lang w:val="en-GB"/>
        </w:rPr>
        <w:t xml:space="preserve">umber of areas that </w:t>
      </w:r>
      <w:r w:rsidR="00E56B1B" w:rsidRPr="003E751B">
        <w:rPr>
          <w:rFonts w:ascii="Calibri" w:hAnsi="Calibri"/>
          <w:sz w:val="22"/>
          <w:szCs w:val="22"/>
          <w:lang w:val="en-GB"/>
        </w:rPr>
        <w:lastRenderedPageBreak/>
        <w:t xml:space="preserve">have </w:t>
      </w:r>
      <w:r w:rsidR="00864BF5" w:rsidRPr="003E751B">
        <w:rPr>
          <w:rFonts w:ascii="Calibri" w:hAnsi="Calibri"/>
          <w:sz w:val="22"/>
          <w:szCs w:val="22"/>
          <w:lang w:val="en-GB"/>
        </w:rPr>
        <w:t xml:space="preserve">stagnated or </w:t>
      </w:r>
      <w:r w:rsidR="00E56B1B" w:rsidRPr="003E751B">
        <w:rPr>
          <w:rFonts w:ascii="Calibri" w:hAnsi="Calibri"/>
          <w:sz w:val="22"/>
          <w:szCs w:val="22"/>
          <w:lang w:val="en-GB"/>
        </w:rPr>
        <w:t xml:space="preserve">lost ground in the </w:t>
      </w:r>
      <w:r w:rsidR="00521BA3" w:rsidRPr="003E751B">
        <w:rPr>
          <w:rFonts w:ascii="Calibri" w:hAnsi="Calibri"/>
          <w:sz w:val="22"/>
          <w:szCs w:val="22"/>
          <w:lang w:val="en-GB"/>
        </w:rPr>
        <w:t xml:space="preserve">fringes of the city regions, </w:t>
      </w:r>
      <w:r w:rsidR="00864BF5" w:rsidRPr="003E751B">
        <w:rPr>
          <w:rFonts w:ascii="Calibri" w:hAnsi="Calibri"/>
          <w:sz w:val="22"/>
          <w:szCs w:val="22"/>
          <w:lang w:val="en-GB"/>
        </w:rPr>
        <w:t>particularly east of Greater Manchester (e.g.</w:t>
      </w:r>
      <w:r w:rsidR="00521BA3" w:rsidRPr="003E751B">
        <w:rPr>
          <w:rFonts w:ascii="Calibri" w:hAnsi="Calibri"/>
          <w:sz w:val="22"/>
          <w:szCs w:val="22"/>
          <w:lang w:val="en-GB"/>
        </w:rPr>
        <w:t xml:space="preserve"> Rochdale, Oldham and Stockport)</w:t>
      </w:r>
      <w:r w:rsidR="005E01C4" w:rsidRPr="003E751B">
        <w:rPr>
          <w:rFonts w:ascii="Calibri" w:hAnsi="Calibri"/>
          <w:sz w:val="22"/>
          <w:szCs w:val="22"/>
          <w:lang w:val="en-GB"/>
        </w:rPr>
        <w:t>, but also places like Ellesmere Port and St. Helens near Liverpool</w:t>
      </w:r>
      <w:r w:rsidR="00864BF5" w:rsidRPr="003E751B">
        <w:rPr>
          <w:rFonts w:ascii="Calibri" w:hAnsi="Calibri"/>
          <w:sz w:val="22"/>
          <w:szCs w:val="22"/>
          <w:lang w:val="en-GB"/>
        </w:rPr>
        <w:t xml:space="preserve">. </w:t>
      </w:r>
      <w:r w:rsidR="00BB62C8" w:rsidRPr="003E751B">
        <w:rPr>
          <w:rFonts w:ascii="Calibri" w:hAnsi="Calibri"/>
          <w:sz w:val="22"/>
          <w:szCs w:val="22"/>
          <w:lang w:val="en-GB"/>
        </w:rPr>
        <w:t xml:space="preserve">The real </w:t>
      </w:r>
      <w:r w:rsidR="00475E69" w:rsidRPr="003E751B">
        <w:rPr>
          <w:rFonts w:ascii="Calibri" w:hAnsi="Calibri"/>
          <w:sz w:val="22"/>
          <w:szCs w:val="22"/>
          <w:lang w:val="en-GB"/>
        </w:rPr>
        <w:t xml:space="preserve">‘losers’ </w:t>
      </w:r>
      <w:r w:rsidR="001743B7" w:rsidRPr="003E751B">
        <w:rPr>
          <w:rFonts w:ascii="Calibri" w:hAnsi="Calibri"/>
          <w:sz w:val="22"/>
          <w:szCs w:val="22"/>
          <w:lang w:val="en-GB"/>
        </w:rPr>
        <w:t>of the urban renaissance in the North West</w:t>
      </w:r>
      <w:r w:rsidR="005E01C4" w:rsidRPr="003E751B">
        <w:rPr>
          <w:rFonts w:ascii="Calibri" w:hAnsi="Calibri"/>
          <w:sz w:val="22"/>
          <w:szCs w:val="22"/>
          <w:lang w:val="en-GB"/>
        </w:rPr>
        <w:t>, however,</w:t>
      </w:r>
      <w:r w:rsidR="001743B7" w:rsidRPr="003E751B">
        <w:rPr>
          <w:rFonts w:ascii="Calibri" w:hAnsi="Calibri"/>
          <w:sz w:val="22"/>
          <w:szCs w:val="22"/>
          <w:lang w:val="en-GB"/>
        </w:rPr>
        <w:t xml:space="preserve"> can be found in places like Blackpool, Blackburn and Burnley</w:t>
      </w:r>
      <w:r w:rsidR="003C5EE9" w:rsidRPr="003E751B">
        <w:rPr>
          <w:rFonts w:ascii="Calibri" w:hAnsi="Calibri"/>
          <w:sz w:val="22"/>
          <w:szCs w:val="22"/>
          <w:lang w:val="en-GB"/>
        </w:rPr>
        <w:t xml:space="preserve">, which are just off the map. </w:t>
      </w:r>
      <w:r w:rsidR="000910A3" w:rsidRPr="003E751B">
        <w:rPr>
          <w:rFonts w:ascii="Calibri" w:hAnsi="Calibri"/>
          <w:sz w:val="22"/>
          <w:szCs w:val="22"/>
          <w:lang w:val="en-GB"/>
        </w:rPr>
        <w:t xml:space="preserve">While the Index of </w:t>
      </w:r>
      <w:r w:rsidR="00437446" w:rsidRPr="003E751B">
        <w:rPr>
          <w:rFonts w:ascii="Calibri" w:hAnsi="Calibri"/>
          <w:sz w:val="22"/>
          <w:szCs w:val="22"/>
          <w:lang w:val="en-GB"/>
        </w:rPr>
        <w:t>Multiple</w:t>
      </w:r>
      <w:r w:rsidR="000910A3" w:rsidRPr="003E751B">
        <w:rPr>
          <w:rFonts w:ascii="Calibri" w:hAnsi="Calibri"/>
          <w:sz w:val="22"/>
          <w:szCs w:val="22"/>
          <w:lang w:val="en-GB"/>
        </w:rPr>
        <w:t xml:space="preserve"> Deprivation provides no conclusive evidence – there is also the theoretical possibility that all neighbourhoods have improved, albeit at different degrees – suburban towns seem to face increasing challenges. </w:t>
      </w:r>
      <w:r w:rsidR="009210C0" w:rsidRPr="00CD3A63">
        <w:rPr>
          <w:rFonts w:ascii="Calibri" w:hAnsi="Calibri"/>
          <w:sz w:val="22"/>
          <w:szCs w:val="22"/>
          <w:lang w:val="en-GB"/>
        </w:rPr>
        <w:t>Having said this, despite all the reports on its buoyant economy, Manchester is currently the local authority with the highest levels of deprivation.</w:t>
      </w:r>
    </w:p>
    <w:p w14:paraId="51AF93DB" w14:textId="77777777" w:rsidR="0050037F" w:rsidRPr="00185AD2" w:rsidRDefault="0050037F" w:rsidP="0050037F">
      <w:pPr>
        <w:rPr>
          <w:rFonts w:ascii="Calibri" w:hAnsi="Calibri"/>
          <w:sz w:val="22"/>
          <w:szCs w:val="22"/>
          <w:lang w:val="en-GB"/>
        </w:rPr>
      </w:pPr>
    </w:p>
    <w:p w14:paraId="57C80BF4" w14:textId="77777777" w:rsidR="0050037F" w:rsidRPr="003E751B" w:rsidRDefault="0050037F" w:rsidP="005F67FF">
      <w:pPr>
        <w:keepNext/>
        <w:spacing w:after="200"/>
        <w:ind w:left="851" w:hanging="851"/>
        <w:rPr>
          <w:rFonts w:ascii="Calibri" w:hAnsi="Calibri"/>
          <w:sz w:val="22"/>
          <w:szCs w:val="22"/>
          <w:lang w:val="en-GB"/>
        </w:rPr>
      </w:pPr>
      <w:r w:rsidRPr="003E751B">
        <w:rPr>
          <w:rFonts w:ascii="Calibri" w:hAnsi="Calibri"/>
          <w:b/>
          <w:sz w:val="22"/>
          <w:szCs w:val="22"/>
          <w:lang w:val="en-GB"/>
        </w:rPr>
        <w:t>Fig. 4:</w:t>
      </w:r>
      <w:r w:rsidRPr="003E751B">
        <w:rPr>
          <w:rFonts w:ascii="Calibri" w:hAnsi="Calibri"/>
          <w:b/>
          <w:sz w:val="22"/>
          <w:szCs w:val="22"/>
          <w:lang w:val="en-GB"/>
        </w:rPr>
        <w:tab/>
      </w:r>
      <w:r w:rsidRPr="003E751B">
        <w:rPr>
          <w:rFonts w:ascii="Calibri" w:hAnsi="Calibri"/>
          <w:sz w:val="22"/>
          <w:szCs w:val="22"/>
          <w:lang w:val="en-GB"/>
        </w:rPr>
        <w:t>Index of Multiple Deprivation 2015</w:t>
      </w:r>
    </w:p>
    <w:p w14:paraId="307F6FDA" w14:textId="77777777" w:rsidR="0050037F" w:rsidRPr="003E751B" w:rsidRDefault="0050037F" w:rsidP="0050037F">
      <w:pPr>
        <w:rPr>
          <w:rFonts w:ascii="Calibri" w:hAnsi="Calibri"/>
          <w:sz w:val="22"/>
          <w:szCs w:val="22"/>
          <w:lang w:val="en-GB"/>
        </w:rPr>
      </w:pPr>
      <w:r w:rsidRPr="003E751B">
        <w:rPr>
          <w:rFonts w:ascii="Calibri" w:hAnsi="Calibri"/>
          <w:noProof/>
          <w:sz w:val="22"/>
          <w:szCs w:val="22"/>
        </w:rPr>
        <w:drawing>
          <wp:inline distT="0" distB="0" distL="0" distR="0" wp14:anchorId="2E7F9281" wp14:editId="6F2433D4">
            <wp:extent cx="5039360" cy="3356775"/>
            <wp:effectExtent l="25400" t="25400" r="15240" b="21590"/>
            <wp:docPr id="2" name="Picture 2" descr="4_IMD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IMD20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360" cy="3356775"/>
                    </a:xfrm>
                    <a:prstGeom prst="rect">
                      <a:avLst/>
                    </a:prstGeom>
                    <a:noFill/>
                    <a:ln w="3175">
                      <a:solidFill>
                        <a:schemeClr val="tx1"/>
                      </a:solidFill>
                    </a:ln>
                  </pic:spPr>
                </pic:pic>
              </a:graphicData>
            </a:graphic>
          </wp:inline>
        </w:drawing>
      </w:r>
    </w:p>
    <w:p w14:paraId="23F2BA5D" w14:textId="77777777" w:rsidR="00C325B9" w:rsidRPr="00185AD2" w:rsidRDefault="00C325B9" w:rsidP="00E4512A">
      <w:pPr>
        <w:ind w:firstLine="284"/>
        <w:rPr>
          <w:rFonts w:ascii="Calibri" w:hAnsi="Calibri"/>
          <w:sz w:val="22"/>
          <w:szCs w:val="22"/>
          <w:lang w:val="en-GB"/>
        </w:rPr>
      </w:pPr>
    </w:p>
    <w:p w14:paraId="31E45628" w14:textId="77777777" w:rsidR="0050037F" w:rsidRPr="003E751B" w:rsidRDefault="0050037F" w:rsidP="005F67FF">
      <w:pPr>
        <w:keepNext/>
        <w:spacing w:after="200"/>
        <w:ind w:left="851" w:hanging="851"/>
        <w:rPr>
          <w:rFonts w:ascii="Calibri" w:hAnsi="Calibri"/>
          <w:sz w:val="22"/>
          <w:szCs w:val="22"/>
          <w:lang w:val="en-GB"/>
        </w:rPr>
      </w:pPr>
      <w:r w:rsidRPr="00185AD2">
        <w:rPr>
          <w:rFonts w:ascii="Calibri" w:hAnsi="Calibri"/>
          <w:b/>
          <w:sz w:val="22"/>
          <w:szCs w:val="22"/>
          <w:lang w:val="en-GB"/>
        </w:rPr>
        <w:lastRenderedPageBreak/>
        <w:t xml:space="preserve">Fig. 5: </w:t>
      </w:r>
      <w:r w:rsidRPr="00185AD2">
        <w:rPr>
          <w:rFonts w:ascii="Calibri" w:hAnsi="Calibri"/>
          <w:b/>
          <w:sz w:val="22"/>
          <w:szCs w:val="22"/>
          <w:lang w:val="en-GB"/>
        </w:rPr>
        <w:tab/>
      </w:r>
      <w:r w:rsidRPr="003E751B">
        <w:rPr>
          <w:rFonts w:ascii="Calibri" w:hAnsi="Calibri"/>
          <w:sz w:val="22"/>
          <w:szCs w:val="22"/>
          <w:lang w:val="en-GB"/>
        </w:rPr>
        <w:t xml:space="preserve">Relative change of position of areas for the Index of Multiple Deprivation, 2004–2015. </w:t>
      </w:r>
    </w:p>
    <w:p w14:paraId="1FCA043D" w14:textId="77777777" w:rsidR="0050037F" w:rsidRPr="003E751B" w:rsidRDefault="0050037F" w:rsidP="0050037F">
      <w:pPr>
        <w:rPr>
          <w:rFonts w:ascii="Calibri" w:hAnsi="Calibri"/>
          <w:sz w:val="22"/>
          <w:szCs w:val="22"/>
          <w:lang w:val="en-GB"/>
        </w:rPr>
      </w:pPr>
      <w:r w:rsidRPr="003E751B">
        <w:rPr>
          <w:rFonts w:ascii="Calibri" w:hAnsi="Calibri"/>
          <w:noProof/>
          <w:sz w:val="22"/>
          <w:szCs w:val="22"/>
        </w:rPr>
        <w:drawing>
          <wp:inline distT="0" distB="0" distL="0" distR="0" wp14:anchorId="5AE54B78" wp14:editId="298D1363">
            <wp:extent cx="5039360" cy="3356775"/>
            <wp:effectExtent l="25400" t="25400" r="15240" b="21590"/>
            <wp:docPr id="1" name="Picture 1" descr="5_IMD2004–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IMD2004–20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360" cy="3356775"/>
                    </a:xfrm>
                    <a:prstGeom prst="rect">
                      <a:avLst/>
                    </a:prstGeom>
                    <a:noFill/>
                    <a:ln w="3175">
                      <a:solidFill>
                        <a:schemeClr val="tx1"/>
                      </a:solidFill>
                    </a:ln>
                  </pic:spPr>
                </pic:pic>
              </a:graphicData>
            </a:graphic>
          </wp:inline>
        </w:drawing>
      </w:r>
    </w:p>
    <w:p w14:paraId="24116B7C" w14:textId="77777777" w:rsidR="0050037F" w:rsidRPr="003E751B" w:rsidRDefault="0050037F" w:rsidP="0050037F">
      <w:pPr>
        <w:spacing w:before="200"/>
        <w:rPr>
          <w:rFonts w:ascii="Calibri" w:hAnsi="Calibri"/>
          <w:sz w:val="22"/>
          <w:szCs w:val="22"/>
          <w:lang w:val="en-GB"/>
        </w:rPr>
      </w:pPr>
      <w:r w:rsidRPr="00185AD2">
        <w:rPr>
          <w:rFonts w:ascii="Calibri" w:hAnsi="Calibri"/>
          <w:sz w:val="22"/>
          <w:szCs w:val="22"/>
          <w:lang w:val="en-GB"/>
        </w:rPr>
        <w:t>Note: Only showing areas</w:t>
      </w:r>
      <w:r w:rsidRPr="003E751B">
        <w:rPr>
          <w:rFonts w:ascii="Calibri" w:hAnsi="Calibri"/>
          <w:sz w:val="22"/>
          <w:szCs w:val="22"/>
          <w:lang w:val="en-GB"/>
        </w:rPr>
        <w:t xml:space="preserve"> that belonged to the 50% most deprived areas in 2004 or 2015. Where areas have been split, the change in position is based on the original </w:t>
      </w:r>
      <w:r w:rsidR="00A64EC5" w:rsidRPr="003E751B">
        <w:rPr>
          <w:rFonts w:ascii="Calibri" w:hAnsi="Calibri"/>
          <w:sz w:val="22"/>
          <w:szCs w:val="22"/>
          <w:lang w:val="en-GB"/>
        </w:rPr>
        <w:t xml:space="preserve">base </w:t>
      </w:r>
      <w:r w:rsidRPr="003E751B">
        <w:rPr>
          <w:rFonts w:ascii="Calibri" w:hAnsi="Calibri"/>
          <w:sz w:val="22"/>
          <w:szCs w:val="22"/>
          <w:lang w:val="en-GB"/>
        </w:rPr>
        <w:t xml:space="preserve">value; where areas have been merged, the change is based on the arithmetic mean of the areas that have been merged. While not completely accurate, there were few </w:t>
      </w:r>
      <w:r w:rsidR="00ED34CB" w:rsidRPr="003E751B">
        <w:rPr>
          <w:rFonts w:ascii="Calibri" w:hAnsi="Calibri"/>
          <w:sz w:val="22"/>
          <w:szCs w:val="22"/>
          <w:lang w:val="en-GB"/>
        </w:rPr>
        <w:t xml:space="preserve">merged </w:t>
      </w:r>
      <w:r w:rsidRPr="003E751B">
        <w:rPr>
          <w:rFonts w:ascii="Calibri" w:hAnsi="Calibri"/>
          <w:sz w:val="22"/>
          <w:szCs w:val="22"/>
          <w:lang w:val="en-GB"/>
        </w:rPr>
        <w:t>areas with substantially different rankings and where this was the case these belonged to the least deprived areas in England.</w:t>
      </w:r>
    </w:p>
    <w:p w14:paraId="4B5526EC" w14:textId="77777777" w:rsidR="00DD21F3" w:rsidRPr="003E751B" w:rsidRDefault="00DD21F3" w:rsidP="00D9599A">
      <w:pPr>
        <w:rPr>
          <w:rFonts w:ascii="Calibri" w:hAnsi="Calibri"/>
          <w:sz w:val="22"/>
          <w:szCs w:val="22"/>
          <w:lang w:val="en-GB"/>
        </w:rPr>
      </w:pPr>
    </w:p>
    <w:p w14:paraId="1CC31263" w14:textId="77777777" w:rsidR="005D6545" w:rsidRPr="003E751B" w:rsidRDefault="00A71811" w:rsidP="005D6545">
      <w:pPr>
        <w:ind w:firstLine="284"/>
        <w:rPr>
          <w:rFonts w:ascii="Calibri" w:hAnsi="Calibri"/>
          <w:sz w:val="22"/>
          <w:szCs w:val="22"/>
          <w:lang w:val="en-GB"/>
        </w:rPr>
      </w:pPr>
      <w:r w:rsidRPr="003E751B">
        <w:rPr>
          <w:rFonts w:ascii="Calibri" w:hAnsi="Calibri"/>
          <w:sz w:val="22"/>
          <w:szCs w:val="22"/>
          <w:lang w:val="en-GB"/>
        </w:rPr>
        <w:t xml:space="preserve">Our brief analysis of </w:t>
      </w:r>
      <w:r w:rsidR="00406C28" w:rsidRPr="003E751B">
        <w:rPr>
          <w:rFonts w:ascii="Calibri" w:hAnsi="Calibri"/>
          <w:sz w:val="22"/>
          <w:szCs w:val="22"/>
          <w:lang w:val="en-GB"/>
        </w:rPr>
        <w:t>key indicators</w:t>
      </w:r>
      <w:r w:rsidRPr="003E751B">
        <w:rPr>
          <w:rFonts w:ascii="Calibri" w:hAnsi="Calibri"/>
          <w:sz w:val="22"/>
          <w:szCs w:val="22"/>
          <w:lang w:val="en-GB"/>
        </w:rPr>
        <w:t xml:space="preserve"> </w:t>
      </w:r>
      <w:r w:rsidR="005D6545" w:rsidRPr="003E751B">
        <w:rPr>
          <w:rFonts w:ascii="Calibri" w:hAnsi="Calibri"/>
          <w:sz w:val="22"/>
          <w:szCs w:val="22"/>
          <w:lang w:val="en-GB"/>
        </w:rPr>
        <w:t xml:space="preserve">confirms the wider trend of a renaissance of the inner cities, but also points at emerging evidence that </w:t>
      </w:r>
      <w:r w:rsidR="001E4111" w:rsidRPr="003E751B">
        <w:rPr>
          <w:rFonts w:ascii="Calibri" w:hAnsi="Calibri"/>
          <w:sz w:val="22"/>
          <w:szCs w:val="22"/>
          <w:lang w:val="en-GB"/>
        </w:rPr>
        <w:t>it might come at a cost of concentrating a new ‘problem zone’ in working-class suburbs in the inner-urban fringe</w:t>
      </w:r>
      <w:r w:rsidRPr="003E751B">
        <w:rPr>
          <w:rFonts w:ascii="Calibri" w:hAnsi="Calibri"/>
          <w:sz w:val="22"/>
          <w:szCs w:val="22"/>
          <w:lang w:val="en-GB"/>
        </w:rPr>
        <w:t xml:space="preserve"> </w:t>
      </w:r>
      <w:r w:rsidR="00D069C1" w:rsidRPr="003E751B">
        <w:rPr>
          <w:rFonts w:ascii="Calibri" w:hAnsi="Calibri"/>
          <w:sz w:val="22"/>
          <w:szCs w:val="22"/>
          <w:lang w:val="en-GB"/>
        </w:rPr>
        <w:t xml:space="preserve">of </w:t>
      </w:r>
      <w:r w:rsidR="001E4111" w:rsidRPr="003E751B">
        <w:rPr>
          <w:rFonts w:ascii="Calibri" w:hAnsi="Calibri"/>
          <w:sz w:val="22"/>
          <w:szCs w:val="22"/>
          <w:lang w:val="en-GB"/>
        </w:rPr>
        <w:t>city-regions</w:t>
      </w:r>
      <w:r w:rsidRPr="003E751B">
        <w:rPr>
          <w:rFonts w:ascii="Calibri" w:hAnsi="Calibri"/>
          <w:sz w:val="22"/>
          <w:szCs w:val="22"/>
          <w:lang w:val="en-GB"/>
        </w:rPr>
        <w:t xml:space="preserve">. </w:t>
      </w:r>
      <w:r w:rsidR="001E4111" w:rsidRPr="003E751B">
        <w:rPr>
          <w:rFonts w:ascii="Calibri" w:hAnsi="Calibri"/>
          <w:sz w:val="22"/>
          <w:szCs w:val="22"/>
          <w:lang w:val="en-GB"/>
        </w:rPr>
        <w:t xml:space="preserve">It is here that we find the </w:t>
      </w:r>
      <w:r w:rsidR="005B6931" w:rsidRPr="003E751B">
        <w:rPr>
          <w:rFonts w:ascii="Calibri" w:hAnsi="Calibri"/>
          <w:sz w:val="22"/>
          <w:szCs w:val="22"/>
          <w:lang w:val="en-GB"/>
        </w:rPr>
        <w:t>unfavourable</w:t>
      </w:r>
      <w:r w:rsidR="001E4111" w:rsidRPr="003E751B">
        <w:rPr>
          <w:rFonts w:ascii="Calibri" w:hAnsi="Calibri"/>
          <w:sz w:val="22"/>
          <w:szCs w:val="22"/>
          <w:lang w:val="en-GB"/>
        </w:rPr>
        <w:t xml:space="preserve"> mix of population decline, loss of industrial employment and increasing deprivation. </w:t>
      </w:r>
      <w:r w:rsidRPr="003E751B">
        <w:rPr>
          <w:rFonts w:ascii="Calibri" w:hAnsi="Calibri"/>
          <w:sz w:val="22"/>
          <w:szCs w:val="22"/>
          <w:lang w:val="en-GB"/>
        </w:rPr>
        <w:t xml:space="preserve">With few exceptions, the small and medium towns in the spatial in-between, i.e. neither city nor countryside, seem to suffer. </w:t>
      </w:r>
      <w:r w:rsidR="00B04C2F" w:rsidRPr="003E751B">
        <w:rPr>
          <w:rFonts w:ascii="Calibri" w:hAnsi="Calibri"/>
          <w:sz w:val="22"/>
          <w:szCs w:val="22"/>
          <w:lang w:val="en-GB"/>
        </w:rPr>
        <w:t xml:space="preserve">This is not only a problem for the local authorities and neighbourhoods in question, but increasingly proves to be a national </w:t>
      </w:r>
      <w:r w:rsidR="00E94A1D" w:rsidRPr="003E751B">
        <w:rPr>
          <w:rFonts w:ascii="Calibri" w:hAnsi="Calibri"/>
          <w:sz w:val="22"/>
          <w:szCs w:val="22"/>
          <w:lang w:val="en-GB"/>
        </w:rPr>
        <w:t xml:space="preserve">problem, as the recent vote </w:t>
      </w:r>
      <w:r w:rsidR="00DB1F83" w:rsidRPr="003E751B">
        <w:rPr>
          <w:rFonts w:ascii="Calibri" w:hAnsi="Calibri"/>
          <w:sz w:val="22"/>
          <w:szCs w:val="22"/>
          <w:lang w:val="en-GB"/>
        </w:rPr>
        <w:t>to leave the European Union has demonstrated</w:t>
      </w:r>
      <w:r w:rsidR="00AE7127" w:rsidRPr="003E751B">
        <w:rPr>
          <w:rFonts w:ascii="Calibri" w:hAnsi="Calibri"/>
          <w:sz w:val="22"/>
          <w:szCs w:val="22"/>
          <w:lang w:val="en-GB"/>
        </w:rPr>
        <w:t xml:space="preserve">: the </w:t>
      </w:r>
      <w:r w:rsidR="009210C0" w:rsidRPr="003E751B">
        <w:rPr>
          <w:rFonts w:ascii="Calibri" w:hAnsi="Calibri"/>
          <w:sz w:val="22"/>
          <w:szCs w:val="22"/>
          <w:lang w:val="en-GB"/>
        </w:rPr>
        <w:t xml:space="preserve">vote </w:t>
      </w:r>
      <w:r w:rsidR="00AE7127" w:rsidRPr="003E751B">
        <w:rPr>
          <w:rFonts w:ascii="Calibri" w:hAnsi="Calibri"/>
          <w:sz w:val="22"/>
          <w:szCs w:val="22"/>
          <w:lang w:val="en-GB"/>
        </w:rPr>
        <w:t>for remain was generally stronger in the core cities</w:t>
      </w:r>
      <w:r w:rsidR="00617DA2" w:rsidRPr="003E751B">
        <w:rPr>
          <w:rFonts w:ascii="Calibri" w:hAnsi="Calibri"/>
          <w:sz w:val="22"/>
          <w:szCs w:val="22"/>
          <w:lang w:val="en-GB"/>
        </w:rPr>
        <w:t xml:space="preserve"> and the</w:t>
      </w:r>
      <w:r w:rsidR="00AE7127" w:rsidRPr="003E751B">
        <w:rPr>
          <w:rFonts w:ascii="Calibri" w:hAnsi="Calibri"/>
          <w:sz w:val="22"/>
          <w:szCs w:val="22"/>
          <w:lang w:val="en-GB"/>
        </w:rPr>
        <w:t xml:space="preserve"> </w:t>
      </w:r>
      <w:r w:rsidR="00617DA2" w:rsidRPr="003E751B">
        <w:rPr>
          <w:rFonts w:ascii="Calibri" w:hAnsi="Calibri"/>
          <w:sz w:val="22"/>
          <w:szCs w:val="22"/>
          <w:lang w:val="en-GB"/>
        </w:rPr>
        <w:t xml:space="preserve">prosperous hinterlands of London </w:t>
      </w:r>
      <w:r w:rsidR="00972696" w:rsidRPr="003E751B">
        <w:rPr>
          <w:rFonts w:ascii="Calibri" w:hAnsi="Calibri"/>
          <w:sz w:val="22"/>
          <w:szCs w:val="22"/>
          <w:lang w:val="en-GB"/>
        </w:rPr>
        <w:t xml:space="preserve">than in the suburbs </w:t>
      </w:r>
      <w:r w:rsidR="00AE7127" w:rsidRPr="003E751B">
        <w:rPr>
          <w:rFonts w:ascii="Calibri" w:hAnsi="Calibri"/>
          <w:sz w:val="22"/>
          <w:szCs w:val="22"/>
          <w:lang w:val="en-GB"/>
        </w:rPr>
        <w:t xml:space="preserve">and </w:t>
      </w:r>
      <w:r w:rsidR="00617DA2" w:rsidRPr="003E751B">
        <w:rPr>
          <w:rFonts w:ascii="Calibri" w:hAnsi="Calibri"/>
          <w:sz w:val="22"/>
          <w:szCs w:val="22"/>
          <w:lang w:val="en-GB"/>
        </w:rPr>
        <w:t>peripheral regions (</w:t>
      </w:r>
      <w:r w:rsidR="00E95C60" w:rsidRPr="003E751B">
        <w:rPr>
          <w:rFonts w:ascii="Calibri" w:hAnsi="Calibri"/>
          <w:i/>
          <w:sz w:val="22"/>
          <w:szCs w:val="22"/>
          <w:lang w:val="en-GB"/>
        </w:rPr>
        <w:t>Los et al.</w:t>
      </w:r>
      <w:r w:rsidR="00E95C60" w:rsidRPr="003E751B">
        <w:rPr>
          <w:rFonts w:ascii="Calibri" w:hAnsi="Calibri"/>
          <w:sz w:val="22"/>
          <w:szCs w:val="22"/>
          <w:lang w:val="en-GB"/>
        </w:rPr>
        <w:t xml:space="preserve"> 2017</w:t>
      </w:r>
      <w:r w:rsidR="00617DA2" w:rsidRPr="003E751B">
        <w:rPr>
          <w:rFonts w:ascii="Calibri" w:hAnsi="Calibri"/>
          <w:sz w:val="22"/>
          <w:szCs w:val="22"/>
          <w:lang w:val="en-GB"/>
        </w:rPr>
        <w:t>)</w:t>
      </w:r>
      <w:r w:rsidR="00DB1F83" w:rsidRPr="003E751B">
        <w:rPr>
          <w:rFonts w:ascii="Calibri" w:hAnsi="Calibri"/>
          <w:sz w:val="22"/>
          <w:szCs w:val="22"/>
          <w:lang w:val="en-GB"/>
        </w:rPr>
        <w:t xml:space="preserve">. </w:t>
      </w:r>
      <w:r w:rsidRPr="003E751B">
        <w:rPr>
          <w:rFonts w:ascii="Calibri" w:hAnsi="Calibri"/>
          <w:sz w:val="22"/>
          <w:szCs w:val="22"/>
          <w:lang w:val="en-GB"/>
        </w:rPr>
        <w:t>We will now look closer into one of them: the metropolitan borough of St Helens, 15</w:t>
      </w:r>
      <w:r w:rsidR="00406C28" w:rsidRPr="003E751B">
        <w:rPr>
          <w:rFonts w:ascii="Calibri" w:hAnsi="Calibri"/>
          <w:sz w:val="22"/>
          <w:szCs w:val="22"/>
          <w:lang w:val="en-GB"/>
        </w:rPr>
        <w:t xml:space="preserve"> </w:t>
      </w:r>
      <w:r w:rsidRPr="003E751B">
        <w:rPr>
          <w:rFonts w:ascii="Calibri" w:hAnsi="Calibri"/>
          <w:sz w:val="22"/>
          <w:szCs w:val="22"/>
          <w:lang w:val="en-GB"/>
        </w:rPr>
        <w:t>k</w:t>
      </w:r>
      <w:r w:rsidR="00406C28" w:rsidRPr="003E751B">
        <w:rPr>
          <w:rFonts w:ascii="Calibri" w:hAnsi="Calibri"/>
          <w:sz w:val="22"/>
          <w:szCs w:val="22"/>
          <w:lang w:val="en-GB"/>
        </w:rPr>
        <w:t>ilo</w:t>
      </w:r>
      <w:r w:rsidRPr="003E751B">
        <w:rPr>
          <w:rFonts w:ascii="Calibri" w:hAnsi="Calibri"/>
          <w:sz w:val="22"/>
          <w:szCs w:val="22"/>
          <w:lang w:val="en-GB"/>
        </w:rPr>
        <w:t>m</w:t>
      </w:r>
      <w:r w:rsidR="00406C28" w:rsidRPr="003E751B">
        <w:rPr>
          <w:rFonts w:ascii="Calibri" w:hAnsi="Calibri"/>
          <w:sz w:val="22"/>
          <w:szCs w:val="22"/>
          <w:lang w:val="en-GB"/>
        </w:rPr>
        <w:t>etres</w:t>
      </w:r>
      <w:r w:rsidRPr="003E751B">
        <w:rPr>
          <w:rFonts w:ascii="Calibri" w:hAnsi="Calibri"/>
          <w:sz w:val="22"/>
          <w:szCs w:val="22"/>
          <w:lang w:val="en-GB"/>
        </w:rPr>
        <w:t xml:space="preserve"> east of Liverpool. </w:t>
      </w:r>
    </w:p>
    <w:p w14:paraId="02A533F7" w14:textId="77777777" w:rsidR="007A7CE3" w:rsidRPr="003E751B" w:rsidRDefault="007A7CE3" w:rsidP="00D9599A">
      <w:pPr>
        <w:rPr>
          <w:rFonts w:ascii="Calibri" w:hAnsi="Calibri"/>
          <w:sz w:val="22"/>
          <w:szCs w:val="22"/>
          <w:lang w:val="en-GB"/>
        </w:rPr>
      </w:pPr>
    </w:p>
    <w:p w14:paraId="16C72F99" w14:textId="77777777" w:rsidR="007A7CE3" w:rsidRPr="003E751B" w:rsidRDefault="00CA0F7F" w:rsidP="00D9599A">
      <w:pPr>
        <w:keepNext/>
        <w:ind w:left="567" w:hanging="567"/>
        <w:rPr>
          <w:rFonts w:ascii="Calibri" w:hAnsi="Calibri"/>
          <w:b/>
          <w:sz w:val="22"/>
          <w:szCs w:val="22"/>
          <w:lang w:val="en-GB"/>
        </w:rPr>
      </w:pPr>
      <w:r w:rsidRPr="003E751B">
        <w:rPr>
          <w:rFonts w:ascii="Calibri" w:hAnsi="Calibri"/>
          <w:b/>
          <w:sz w:val="22"/>
          <w:szCs w:val="22"/>
          <w:lang w:val="en-GB"/>
        </w:rPr>
        <w:lastRenderedPageBreak/>
        <w:t>5</w:t>
      </w:r>
      <w:r w:rsidRPr="003E751B">
        <w:rPr>
          <w:rFonts w:ascii="Calibri" w:hAnsi="Calibri"/>
          <w:b/>
          <w:sz w:val="22"/>
          <w:szCs w:val="22"/>
          <w:lang w:val="en-GB"/>
        </w:rPr>
        <w:tab/>
      </w:r>
      <w:r w:rsidR="007C4958" w:rsidRPr="003E751B">
        <w:rPr>
          <w:rFonts w:ascii="Calibri" w:hAnsi="Calibri"/>
          <w:b/>
          <w:sz w:val="22"/>
          <w:szCs w:val="22"/>
          <w:lang w:val="en-GB"/>
        </w:rPr>
        <w:t>St Helens</w:t>
      </w:r>
      <w:r w:rsidR="00826A8B" w:rsidRPr="003E751B">
        <w:rPr>
          <w:rFonts w:ascii="Calibri" w:hAnsi="Calibri"/>
          <w:b/>
          <w:sz w:val="22"/>
          <w:szCs w:val="22"/>
          <w:lang w:val="en-GB"/>
        </w:rPr>
        <w:t xml:space="preserve"> </w:t>
      </w:r>
      <w:r w:rsidR="00D73F0E" w:rsidRPr="003E751B">
        <w:rPr>
          <w:rFonts w:ascii="Calibri" w:hAnsi="Calibri"/>
          <w:b/>
          <w:sz w:val="22"/>
          <w:szCs w:val="22"/>
          <w:lang w:val="en-GB"/>
        </w:rPr>
        <w:t xml:space="preserve">and the </w:t>
      </w:r>
      <w:r w:rsidR="004138ED" w:rsidRPr="003E751B">
        <w:rPr>
          <w:rFonts w:ascii="Calibri" w:hAnsi="Calibri"/>
          <w:b/>
          <w:sz w:val="22"/>
          <w:szCs w:val="22"/>
          <w:lang w:val="en-GB"/>
        </w:rPr>
        <w:t>Q</w:t>
      </w:r>
      <w:r w:rsidR="00D73F0E" w:rsidRPr="003E751B">
        <w:rPr>
          <w:rFonts w:ascii="Calibri" w:hAnsi="Calibri"/>
          <w:b/>
          <w:sz w:val="22"/>
          <w:szCs w:val="22"/>
          <w:lang w:val="en-GB"/>
        </w:rPr>
        <w:t xml:space="preserve">uest of the </w:t>
      </w:r>
      <w:r w:rsidR="004138ED" w:rsidRPr="003E751B">
        <w:rPr>
          <w:rFonts w:ascii="Calibri" w:hAnsi="Calibri"/>
          <w:b/>
          <w:sz w:val="22"/>
          <w:szCs w:val="22"/>
          <w:lang w:val="en-GB"/>
        </w:rPr>
        <w:t>S</w:t>
      </w:r>
      <w:r w:rsidR="00D73F0E" w:rsidRPr="003E751B">
        <w:rPr>
          <w:rFonts w:ascii="Calibri" w:hAnsi="Calibri"/>
          <w:b/>
          <w:sz w:val="22"/>
          <w:szCs w:val="22"/>
          <w:lang w:val="en-GB"/>
        </w:rPr>
        <w:t xml:space="preserve">patial </w:t>
      </w:r>
      <w:r w:rsidR="004138ED" w:rsidRPr="003E751B">
        <w:rPr>
          <w:rFonts w:ascii="Calibri" w:hAnsi="Calibri"/>
          <w:b/>
          <w:sz w:val="22"/>
          <w:szCs w:val="22"/>
          <w:lang w:val="en-GB"/>
        </w:rPr>
        <w:t>I</w:t>
      </w:r>
      <w:r w:rsidR="00D73F0E" w:rsidRPr="003E751B">
        <w:rPr>
          <w:rFonts w:ascii="Calibri" w:hAnsi="Calibri"/>
          <w:b/>
          <w:sz w:val="22"/>
          <w:szCs w:val="22"/>
          <w:lang w:val="en-GB"/>
        </w:rPr>
        <w:t>n-</w:t>
      </w:r>
      <w:r w:rsidR="004138ED" w:rsidRPr="003E751B">
        <w:rPr>
          <w:rFonts w:ascii="Calibri" w:hAnsi="Calibri"/>
          <w:b/>
          <w:sz w:val="22"/>
          <w:szCs w:val="22"/>
          <w:lang w:val="en-GB"/>
        </w:rPr>
        <w:t>B</w:t>
      </w:r>
      <w:r w:rsidR="00D73F0E" w:rsidRPr="003E751B">
        <w:rPr>
          <w:rFonts w:ascii="Calibri" w:hAnsi="Calibri"/>
          <w:b/>
          <w:sz w:val="22"/>
          <w:szCs w:val="22"/>
          <w:lang w:val="en-GB"/>
        </w:rPr>
        <w:t>etween</w:t>
      </w:r>
    </w:p>
    <w:p w14:paraId="4D0ACA20" w14:textId="77777777" w:rsidR="00346027" w:rsidRPr="003E751B" w:rsidRDefault="00346027" w:rsidP="00346027">
      <w:pPr>
        <w:rPr>
          <w:rFonts w:ascii="Calibri" w:hAnsi="Calibri"/>
          <w:sz w:val="22"/>
          <w:szCs w:val="22"/>
          <w:lang w:val="en-GB"/>
        </w:rPr>
      </w:pPr>
      <w:r w:rsidRPr="003E751B">
        <w:rPr>
          <w:rFonts w:ascii="Calibri" w:hAnsi="Calibri"/>
          <w:sz w:val="22"/>
          <w:szCs w:val="22"/>
          <w:lang w:val="en-GB"/>
        </w:rPr>
        <w:t>St Helens, a local authority district located in the northern part of the Mersey Belt with a population of about 175,000, represents a typical case of a town on the urban periphery of a large conurbation. The district is named after its largest town, St. Helens, but includes a number of smaller independent settlements. The borough’s area covers about 135 km</w:t>
      </w:r>
      <w:r w:rsidRPr="003E751B">
        <w:rPr>
          <w:rFonts w:ascii="Calibri" w:hAnsi="Calibri"/>
          <w:sz w:val="22"/>
          <w:szCs w:val="22"/>
          <w:vertAlign w:val="superscript"/>
          <w:lang w:val="en-GB"/>
        </w:rPr>
        <w:t>2</w:t>
      </w:r>
      <w:r w:rsidRPr="003E751B">
        <w:rPr>
          <w:rFonts w:ascii="Calibri" w:hAnsi="Calibri"/>
          <w:sz w:val="22"/>
          <w:szCs w:val="22"/>
          <w:lang w:val="en-GB"/>
        </w:rPr>
        <w:t>, of which more than half is open space, protected by greenbelt designation. St Helens’ population grew rapidly following the industrial revolution in the nineteenth and twentieth centuries (</w:t>
      </w:r>
      <w:r w:rsidRPr="003E751B">
        <w:rPr>
          <w:rFonts w:ascii="Calibri" w:hAnsi="Calibri"/>
          <w:i/>
          <w:sz w:val="22"/>
          <w:szCs w:val="22"/>
          <w:lang w:val="en-GB"/>
        </w:rPr>
        <w:t>A Vision of Britain through Time</w:t>
      </w:r>
      <w:r w:rsidRPr="003E751B">
        <w:rPr>
          <w:rFonts w:ascii="Calibri" w:hAnsi="Calibri"/>
          <w:sz w:val="22"/>
          <w:szCs w:val="22"/>
          <w:lang w:val="en-GB"/>
        </w:rPr>
        <w:t xml:space="preserve"> 2017) owing to its location in the South Lancashire Coalfield, which enabled other heavy industries to thrive, most notably glass manufacturing. The decline of major industries, in particular manufacturing and coal mining, has created long-lasting structural problems for the borough, facing high unemployment and population decline in the 1980s and 1990s. While the borough has successfully overcome the trend of population decline – since 2007 the population has grown at a modest rate – it still struggles with the aftermath of deindustrialisation. It is now facing the typical challenge of an industrial town in a major metropolitan area: how to regenerate and grow the borough with neither the major assets of a thriving city centre economy nor the attraction of the English countryside. The example of St Helens illustrates how the problems are perceived and discusses the responses of the borough to these trends. </w:t>
      </w:r>
    </w:p>
    <w:p w14:paraId="310AD07F" w14:textId="52A08659"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The key challenge for St Helens is to grow the economy and the population. While population decline was brought to a halt by 2007 (</w:t>
      </w:r>
      <w:r w:rsidRPr="00AD7970">
        <w:rPr>
          <w:rFonts w:ascii="Calibri" w:hAnsi="Calibri"/>
          <w:i/>
          <w:sz w:val="22"/>
          <w:szCs w:val="22"/>
          <w:lang w:val="en-GB"/>
        </w:rPr>
        <w:t>St Helens Council</w:t>
      </w:r>
      <w:r w:rsidRPr="003E751B">
        <w:rPr>
          <w:rFonts w:ascii="Calibri" w:hAnsi="Calibri"/>
          <w:sz w:val="22"/>
          <w:szCs w:val="22"/>
          <w:lang w:val="en-GB"/>
        </w:rPr>
        <w:t xml:space="preserve"> 2016), growth is only very modest and primarily driven by a few large suburban-style housing developments following on from the designation of the area as Mid-Mersey Growth Point in 2008, a government-funded regeneration initiative. From a city-regional perspective one could see this as reurbanisation, although considering the form and density of the new housing, one could also describe it as an example of suburbanisation within the conurbation. In England’s major cities including Liverpool and Manchester, reurbanisation mainly took the form of high-density, compact developments in the form of blocks of flats in and around the city centres, complemented by in-fill developments on previously developed land (</w:t>
      </w:r>
      <w:r w:rsidR="00AD7970">
        <w:rPr>
          <w:rFonts w:ascii="Calibri" w:hAnsi="Calibri"/>
          <w:i/>
          <w:sz w:val="22"/>
          <w:szCs w:val="22"/>
          <w:lang w:val="en-GB"/>
        </w:rPr>
        <w:t>Schulze Bäing/</w:t>
      </w:r>
      <w:r w:rsidRPr="00AD7970">
        <w:rPr>
          <w:rFonts w:ascii="Calibri" w:hAnsi="Calibri"/>
          <w:i/>
          <w:sz w:val="22"/>
          <w:szCs w:val="22"/>
          <w:lang w:val="en-GB"/>
        </w:rPr>
        <w:t>Wong</w:t>
      </w:r>
      <w:r w:rsidRPr="003E751B">
        <w:rPr>
          <w:rFonts w:ascii="Calibri" w:hAnsi="Calibri"/>
          <w:sz w:val="22"/>
          <w:szCs w:val="22"/>
          <w:lang w:val="en-GB"/>
        </w:rPr>
        <w:t xml:space="preserve"> 2012). Towns like St Helens also saw some development of flats in the centre in the early 2000s. But unlike in nearby Liverpool or Manchester these blocks of flats are fairly low priced, and being occupied by many short-term renters facing a big churn of population. In terms of demographic developments, ageing population and young people leaving is identified as a key challenge. Hence a particular concern for the borough is the cost of housing an elderly population. The loss of many manufacturing jobs also contributed to a growth of areas characterised by multiple deprivation, particularly in the neighbourhoods adjacent to the former industries. St Helens is the 36</w:t>
      </w:r>
      <w:r w:rsidRPr="003E751B">
        <w:rPr>
          <w:rFonts w:ascii="Calibri" w:hAnsi="Calibri"/>
          <w:sz w:val="22"/>
          <w:szCs w:val="22"/>
          <w:vertAlign w:val="superscript"/>
          <w:lang w:val="en-GB"/>
        </w:rPr>
        <w:t>th</w:t>
      </w:r>
      <w:r w:rsidRPr="003E751B">
        <w:rPr>
          <w:rFonts w:ascii="Calibri" w:hAnsi="Calibri"/>
          <w:sz w:val="22"/>
          <w:szCs w:val="22"/>
          <w:lang w:val="en-GB"/>
        </w:rPr>
        <w:t xml:space="preserve"> most deprived local authority district in England (total 326) and its relative position has deteriorated since previous editions of the Index (</w:t>
      </w:r>
      <w:r w:rsidRPr="003E751B">
        <w:rPr>
          <w:rFonts w:ascii="Calibri" w:hAnsi="Calibri"/>
          <w:i/>
          <w:sz w:val="22"/>
          <w:szCs w:val="22"/>
          <w:lang w:val="en-GB"/>
        </w:rPr>
        <w:t>St Helens Council</w:t>
      </w:r>
      <w:r w:rsidRPr="003E751B">
        <w:rPr>
          <w:rFonts w:ascii="Calibri" w:hAnsi="Calibri"/>
          <w:sz w:val="22"/>
          <w:szCs w:val="22"/>
          <w:lang w:val="en-GB"/>
        </w:rPr>
        <w:t xml:space="preserve"> 2016). Some areas are among the worst 1% in the country and 24% of the population live within the 10% most deprived LSOAs according to the IMD 2015 (Fig. 4). Unlike some of the deprived areas in larger cities with a high share of transient populations, the more deprived areas in St Helens are fairly stable and it is therefore going to take a long time to change the patterns of deprivation. There is a legacy of derelict land which is unsuitable for the location preferences of new </w:t>
      </w:r>
      <w:r w:rsidRPr="003E751B">
        <w:rPr>
          <w:rFonts w:ascii="Calibri" w:hAnsi="Calibri"/>
          <w:sz w:val="22"/>
          <w:szCs w:val="22"/>
          <w:lang w:val="en-GB"/>
        </w:rPr>
        <w:lastRenderedPageBreak/>
        <w:t>businesses and costly to redevelop for housing. The unemployment rate is above the regional and national average (</w:t>
      </w:r>
      <w:r w:rsidRPr="003E751B">
        <w:rPr>
          <w:rFonts w:ascii="Calibri" w:hAnsi="Calibri"/>
          <w:i/>
          <w:sz w:val="22"/>
          <w:szCs w:val="22"/>
          <w:lang w:val="en-GB"/>
        </w:rPr>
        <w:t>St Helens Council</w:t>
      </w:r>
      <w:r w:rsidRPr="003E751B">
        <w:rPr>
          <w:rFonts w:ascii="Calibri" w:hAnsi="Calibri"/>
          <w:sz w:val="22"/>
          <w:szCs w:val="22"/>
          <w:lang w:val="en-GB"/>
        </w:rPr>
        <w:t xml:space="preserve"> 2016) and St Helens is the local authority with the highest share of routine and manual occupations in the North West (2011 Census). A key challenge is to connect employment sites with deprived areas, where car ownership rates are low. </w:t>
      </w:r>
    </w:p>
    <w:p w14:paraId="06BBFF4F" w14:textId="77777777"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 xml:space="preserve">These problems are long recognised and St Helens was targeted by several regeneration initiatives from the EU under the Merseyside Objective 1 programmes and under New Labour’s drive for an urban renaissance in the 1990s and 2000s, but most of these initiatives focussed </w:t>
      </w:r>
      <w:r w:rsidRPr="003E751B">
        <w:rPr>
          <w:rFonts w:ascii="Calibri" w:hAnsi="Calibri" w:cs="ArialMT-Light"/>
          <w:sz w:val="22"/>
          <w:szCs w:val="22"/>
          <w:lang w:val="en-GB"/>
        </w:rPr>
        <w:t>on the deprived inner neighbourhoods of England’s major cities</w:t>
      </w:r>
      <w:r w:rsidRPr="003E751B">
        <w:rPr>
          <w:rFonts w:ascii="Calibri" w:hAnsi="Calibri"/>
          <w:sz w:val="22"/>
          <w:szCs w:val="22"/>
          <w:lang w:val="en-GB"/>
        </w:rPr>
        <w:t xml:space="preserve"> as part of the so-called Sustainable Communities Agenda (</w:t>
      </w:r>
      <w:r w:rsidRPr="000C703F">
        <w:rPr>
          <w:rFonts w:ascii="Calibri" w:hAnsi="Calibri"/>
          <w:i/>
          <w:sz w:val="22"/>
          <w:szCs w:val="22"/>
          <w:lang w:val="en-GB"/>
        </w:rPr>
        <w:t>ODPM</w:t>
      </w:r>
      <w:r w:rsidRPr="003E751B">
        <w:rPr>
          <w:rFonts w:ascii="Calibri" w:hAnsi="Calibri"/>
          <w:sz w:val="22"/>
          <w:szCs w:val="22"/>
          <w:lang w:val="en-GB"/>
        </w:rPr>
        <w:t xml:space="preserve"> 2003). </w:t>
      </w:r>
      <w:r w:rsidRPr="003E751B">
        <w:rPr>
          <w:rFonts w:ascii="Calibri" w:hAnsi="Calibri" w:cs="ArialMT-Light"/>
          <w:sz w:val="22"/>
          <w:szCs w:val="22"/>
          <w:lang w:val="en-GB"/>
        </w:rPr>
        <w:t xml:space="preserve">This has led to a temporary improvement in deprivation levels, both for the whole borough and in some of the most deprived neighbourhoods between 2004 and 2007 </w:t>
      </w:r>
      <w:r w:rsidRPr="00096554">
        <w:rPr>
          <w:rFonts w:ascii="Calibri" w:hAnsi="Calibri" w:cs="ArialMT-Light"/>
          <w:sz w:val="22"/>
          <w:szCs w:val="22"/>
          <w:lang w:val="en-GB"/>
        </w:rPr>
        <w:fldChar w:fldCharType="begin"/>
      </w:r>
      <w:r w:rsidRPr="003E751B">
        <w:rPr>
          <w:rFonts w:ascii="Calibri" w:hAnsi="Calibri" w:cs="ArialMT-Light"/>
          <w:sz w:val="22"/>
          <w:szCs w:val="22"/>
          <w:lang w:val="en-GB"/>
        </w:rPr>
        <w:instrText xml:space="preserve"> ADDIN EN.CITE &lt;EndNote&gt;&lt;Cite&gt;&lt;Author&gt;St Helens Council&lt;/Author&gt;&lt;Year&gt;2008&lt;/Year&gt;&lt;RecNum&gt;452&lt;/RecNum&gt;&lt;DisplayText&gt;(St Helens Council 2008)&lt;/DisplayText&gt;&lt;record&gt;&lt;rec-number&gt;452&lt;/rec-number&gt;&lt;foreign-keys&gt;&lt;key app="EN" db-id="ewwazrd59tzz0zep5p5pxvdmt0e092adt5d2" timestamp="1491730803"&gt;452&lt;/key&gt;&lt;/foreign-keys&gt;&lt;ref-type name="Government Document"&gt;46&lt;/ref-type&gt;&lt;contributors&gt;&lt;authors&gt;&lt;author&gt;St Helens Council,&lt;/author&gt;&lt;/authors&gt;&lt;/contributors&gt;&lt;titles&gt;&lt;title&gt;Sustainable Community Plan 2008-2018&lt;/title&gt;&lt;/titles&gt;&lt;dates&gt;&lt;year&gt;2008&lt;/year&gt;&lt;/dates&gt;&lt;urls&gt;&lt;related-urls&gt;&lt;url&gt;https://www.sthelens.gov.uk/media/3601/sthelens-sustainable-community-plan-2008-2018.pdf&lt;/url&gt;&lt;/related-urls&gt;&lt;/urls&gt;&lt;access-date&gt;09/04/2017&lt;/access-date&gt;&lt;/record&gt;&lt;/Cite&gt;&lt;/EndNote&gt;</w:instrText>
      </w:r>
      <w:r w:rsidRPr="00096554">
        <w:rPr>
          <w:rFonts w:ascii="Calibri" w:hAnsi="Calibri" w:cs="ArialMT-Light"/>
          <w:sz w:val="22"/>
          <w:szCs w:val="22"/>
          <w:lang w:val="en-GB"/>
        </w:rPr>
        <w:fldChar w:fldCharType="separate"/>
      </w:r>
      <w:r w:rsidRPr="003E751B">
        <w:rPr>
          <w:rFonts w:ascii="Calibri" w:hAnsi="Calibri" w:cs="ArialMT-Light"/>
          <w:noProof/>
          <w:sz w:val="22"/>
          <w:szCs w:val="22"/>
          <w:lang w:val="en-GB"/>
        </w:rPr>
        <w:t>(</w:t>
      </w:r>
      <w:r w:rsidRPr="003E751B">
        <w:rPr>
          <w:rFonts w:ascii="Calibri" w:hAnsi="Calibri" w:cs="ArialMT-Light"/>
          <w:i/>
          <w:noProof/>
          <w:sz w:val="22"/>
          <w:szCs w:val="22"/>
          <w:lang w:val="en-GB"/>
        </w:rPr>
        <w:t xml:space="preserve">St Helens Council </w:t>
      </w:r>
      <w:r w:rsidRPr="003E751B">
        <w:rPr>
          <w:rFonts w:ascii="Calibri" w:hAnsi="Calibri" w:cs="ArialMT-Light"/>
          <w:noProof/>
          <w:sz w:val="22"/>
          <w:szCs w:val="22"/>
          <w:lang w:val="en-GB"/>
        </w:rPr>
        <w:t>2008)</w:t>
      </w:r>
      <w:r w:rsidRPr="00096554">
        <w:rPr>
          <w:rFonts w:ascii="Calibri" w:hAnsi="Calibri" w:cs="ArialMT-Light"/>
          <w:sz w:val="22"/>
          <w:szCs w:val="22"/>
          <w:lang w:val="en-GB"/>
        </w:rPr>
        <w:fldChar w:fldCharType="end"/>
      </w:r>
      <w:r w:rsidRPr="003E751B">
        <w:rPr>
          <w:rFonts w:ascii="Calibri" w:hAnsi="Calibri" w:cs="ArialMT-Light"/>
          <w:sz w:val="22"/>
          <w:szCs w:val="22"/>
          <w:lang w:val="en-GB"/>
        </w:rPr>
        <w:t xml:space="preserve">. However, St Helens was not included in the multi-million pound schemes of the </w:t>
      </w:r>
      <w:r w:rsidRPr="003E751B">
        <w:rPr>
          <w:rFonts w:ascii="Calibri" w:hAnsi="Calibri"/>
          <w:sz w:val="22"/>
          <w:szCs w:val="22"/>
          <w:lang w:val="en-GB"/>
        </w:rPr>
        <w:t xml:space="preserve">Housing Market Renewal (HMR) initiative addressing failed housing markets, as it did not face the same level of challenges of poor quality housing stock and dereliction to be found in some other cities and towns of Northern England. </w:t>
      </w:r>
    </w:p>
    <w:p w14:paraId="753E2AA0" w14:textId="77777777"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 xml:space="preserve">A particular problem for St Helens results from the increasing emphasis on city regions and its central yet peripheral geographical location. This seemingly paradoxical situation stems from the fact that St Helens is located at the interface of Manchester and Liverpool. St Helens is part of the Liverpool City Region Combined Authority, while its eastern neighbour Wigan is part of the Greater Manchester Combined Authority. Before 2010, the regional spatial strategy for the North West of England provided a structure for local development, including housing designations. Since the abolition of regional institutions following a change in government in 2010, intra-regional cooperation on planning matters has been a challenge. The revocation of the Regional Strategy means that there is no regional guidance, for instance regarding housing development. This was meant to be provided as part of the he Localism Act 2011, which introduced the legal duty to cooperate in planning matters between planning authorities, but this only implies engagement in a constructive dialogue, not necessarily reaching agreement. St Helens leads the housing theme within Liverpool City Region, but the relationship with the Greater Manchester area, including neighbouring Wigan, has hardened since the start of the new city-regional combined authority for Greater Manchester. Apart from bi-annual meetings as part of the legal duty to cooperate, there is little contact. Warrington is not part of these new regional bodies. </w:t>
      </w:r>
    </w:p>
    <w:p w14:paraId="6CF62D6A" w14:textId="38868E34"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 xml:space="preserve">Many of the local policy responses are quite conventional, aiming to drive growth. The borough is currently developing a new Local Plan, which proposes the release of greenbelt land for new residential and employment development. Most neighbouring districts have undertaken their own greenbelt reviews, or are in the process of doing so, with a similar outcome. Warrington, one of the third-generation new towns to the south, is one of the key competitors for inhabitants and investments with large sites under development. New residential development is seen as the primary driver of population growth in St Helens, with a planned net completion rate of 570 dwellings per annum. The current </w:t>
      </w:r>
      <w:r w:rsidRPr="003E751B">
        <w:rPr>
          <w:rFonts w:ascii="Calibri" w:hAnsi="Calibri"/>
          <w:i/>
          <w:sz w:val="22"/>
          <w:szCs w:val="22"/>
          <w:lang w:val="en-GB"/>
        </w:rPr>
        <w:t>Core Strategy</w:t>
      </w:r>
      <w:r w:rsidRPr="003E751B">
        <w:rPr>
          <w:rFonts w:ascii="Calibri" w:hAnsi="Calibri"/>
          <w:sz w:val="22"/>
          <w:szCs w:val="22"/>
          <w:lang w:val="en-GB"/>
        </w:rPr>
        <w:t>, the key strategic local planning document,</w:t>
      </w:r>
      <w:r w:rsidR="000C703F">
        <w:rPr>
          <w:rFonts w:ascii="Calibri" w:hAnsi="Calibri"/>
          <w:sz w:val="22"/>
          <w:szCs w:val="22"/>
          <w:lang w:val="en-GB"/>
        </w:rPr>
        <w:t xml:space="preserve"> </w:t>
      </w:r>
      <w:r w:rsidRPr="003E751B">
        <w:rPr>
          <w:rFonts w:ascii="Calibri" w:hAnsi="Calibri"/>
          <w:sz w:val="22"/>
          <w:szCs w:val="22"/>
          <w:lang w:val="en-GB"/>
        </w:rPr>
        <w:t xml:space="preserve">aims to focus on locations in the core settlement area of St Helens, with particular focus on the more deprived neighbourhoods </w:t>
      </w:r>
      <w:r w:rsidRPr="00096554">
        <w:rPr>
          <w:rFonts w:ascii="Calibri" w:hAnsi="Calibri"/>
          <w:sz w:val="22"/>
          <w:szCs w:val="22"/>
          <w:lang w:val="en-GB"/>
        </w:rPr>
        <w:fldChar w:fldCharType="begin"/>
      </w:r>
      <w:r w:rsidRPr="003E751B">
        <w:rPr>
          <w:rFonts w:ascii="Calibri" w:hAnsi="Calibri"/>
          <w:sz w:val="22"/>
          <w:szCs w:val="22"/>
          <w:lang w:val="en-GB"/>
        </w:rPr>
        <w:instrText xml:space="preserve"> ADDIN EN.CITE &lt;EndNote&gt;&lt;Cite&gt;&lt;Author&gt;St Helens Council&lt;/Author&gt;&lt;Year&gt;2012&lt;/Year&gt;&lt;RecNum&gt;451&lt;/RecNum&gt;&lt;DisplayText&gt;(St Helens Council 2012)&lt;/DisplayText&gt;&lt;record&gt;&lt;rec-number&gt;451&lt;/rec-number&gt;&lt;foreign-keys&gt;&lt;key app="EN" db-id="ewwazrd59tzz0zep5p5pxvdmt0e092adt5d2" timestamp="1491729352"&gt;451&lt;/key&gt;&lt;/foreign-keys&gt;&lt;ref-type name="Government Document"&gt;46&lt;/ref-type&gt;&lt;contributors&gt;&lt;authors&gt;&lt;author&gt;St Helens Council,&lt;/author&gt;&lt;/authors&gt;&lt;/contributors&gt;&lt;titles&gt;&lt;title&gt;St Helens Local Plan Core Strategy&lt;/title&gt;&lt;/titles&gt;&lt;dates&gt;&lt;year&gt;2012&lt;/year&gt;&lt;/dates&gt;&lt;pub-location&gt;St Helens&lt;/pub-location&gt;&lt;urls&gt;&lt;related-urls&gt;&lt;url&gt;https://www.sthelens.gov.uk/planning-building-control/planning-policy/core-strategy/&lt;/url&gt;&lt;/related-urls&gt;&lt;/urls&gt;&lt;/record&gt;&lt;/Cite&gt;&lt;/EndNote&gt;</w:instrText>
      </w:r>
      <w:r w:rsidRPr="00096554">
        <w:rPr>
          <w:rFonts w:ascii="Calibri" w:hAnsi="Calibri"/>
          <w:sz w:val="22"/>
          <w:szCs w:val="22"/>
          <w:lang w:val="en-GB"/>
        </w:rPr>
        <w:fldChar w:fldCharType="separate"/>
      </w:r>
      <w:r w:rsidRPr="003E751B">
        <w:rPr>
          <w:rFonts w:ascii="Calibri" w:hAnsi="Calibri"/>
          <w:i/>
          <w:noProof/>
          <w:sz w:val="22"/>
          <w:szCs w:val="22"/>
          <w:lang w:val="en-GB"/>
        </w:rPr>
        <w:t xml:space="preserve">(St Helens Council </w:t>
      </w:r>
      <w:r w:rsidRPr="003E751B">
        <w:rPr>
          <w:rFonts w:ascii="Calibri" w:hAnsi="Calibri"/>
          <w:noProof/>
          <w:sz w:val="22"/>
          <w:szCs w:val="22"/>
          <w:lang w:val="en-GB"/>
        </w:rPr>
        <w:t>2012)</w:t>
      </w:r>
      <w:r w:rsidRPr="00096554">
        <w:rPr>
          <w:rFonts w:ascii="Calibri" w:hAnsi="Calibri"/>
          <w:sz w:val="22"/>
          <w:szCs w:val="22"/>
          <w:lang w:val="en-GB"/>
        </w:rPr>
        <w:fldChar w:fldCharType="end"/>
      </w:r>
      <w:r w:rsidRPr="003E751B">
        <w:rPr>
          <w:rFonts w:ascii="Calibri" w:hAnsi="Calibri"/>
          <w:sz w:val="22"/>
          <w:szCs w:val="22"/>
          <w:lang w:val="en-GB"/>
        </w:rPr>
        <w:t xml:space="preserve">. In terms of future housing </w:t>
      </w:r>
      <w:r w:rsidRPr="003E751B">
        <w:rPr>
          <w:rFonts w:ascii="Calibri" w:hAnsi="Calibri"/>
          <w:sz w:val="22"/>
          <w:szCs w:val="22"/>
          <w:lang w:val="en-GB"/>
        </w:rPr>
        <w:lastRenderedPageBreak/>
        <w:t>growth executive housing is seen as an option to attract more affluent residents. These types of development are likely to be in the outer parts of the borough, increasing pressure on greenbelt land. On the one hand St Helens offers an affordable alternative for those looking for suburban housing locations in the middle of the Mersey belt. On the other hand, many of those new residents may have jobs elsewhere and may prefer to use retail destinations in neighbouring towns or in suburban shopping centres. Most of the new employment sites are located near the major motorways, focussing on so-called “big shed” developments such as warehouses for logistics. While there seems to be demand for these sites, the employment effects of such developments tend to be modest and at the lower end of the labour market. Many of the brownfield sites that were relatively easy to develop have already been reused or converted, while others are regarded as unsuitable for the type of large-scale uses that are currently in demand (</w:t>
      </w:r>
      <w:r w:rsidRPr="003E751B">
        <w:rPr>
          <w:rFonts w:ascii="Calibri" w:hAnsi="Calibri"/>
          <w:i/>
          <w:sz w:val="22"/>
          <w:szCs w:val="22"/>
          <w:lang w:val="en-GB"/>
        </w:rPr>
        <w:t>St Helens Council</w:t>
      </w:r>
      <w:r w:rsidRPr="003E751B">
        <w:rPr>
          <w:rFonts w:ascii="Calibri" w:hAnsi="Calibri"/>
          <w:sz w:val="22"/>
          <w:szCs w:val="22"/>
          <w:lang w:val="en-GB"/>
        </w:rPr>
        <w:t xml:space="preserve"> 2016). The ambition remains though to continue the pre-2010 national policy to deliver locally 60% of housing on previously developed land. </w:t>
      </w:r>
    </w:p>
    <w:p w14:paraId="3B392DED" w14:textId="77777777"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One initiative which illustrates well the effort of places in the urban periphery like St Helens to define a new role within wider regional territories is the EU Interreg IVb Project PURE Hubs. This aimed to capitalise on what is distinctive about the borough’s geographic context, in particular the fact that unlike the cores urban areas of Manchester and Liverpool, large parts of urban St Helens are in close proximity to open countryside. The project aimed at enhancing the social and economic relationships between urban communities and adjacent rural areas. Within the PURE Hubs project St Helens Council worked with the University of Liverpool to transform a rural-urban fringe area of open spaces, agricultural land, woodland and former industrial sites in the South of the town, into a community supported leisure destination. This was branded as Bold Forest Park, within the wider regional Mersey Forest initiative. The aim was for the area to be attractive to locals, but also tourists given its accessibility by rail and road from Liverpool and Manchester. An Area Action Plan for the area referred to options including, developing mountain bike tracks and horse riding trails (</w:t>
      </w:r>
      <w:r w:rsidRPr="003E751B">
        <w:rPr>
          <w:rFonts w:ascii="Calibri" w:hAnsi="Calibri"/>
          <w:i/>
          <w:sz w:val="22"/>
          <w:szCs w:val="22"/>
          <w:lang w:val="en-GB"/>
        </w:rPr>
        <w:t>St Helens Council</w:t>
      </w:r>
      <w:r w:rsidRPr="003E751B">
        <w:rPr>
          <w:rFonts w:ascii="Calibri" w:hAnsi="Calibri"/>
          <w:sz w:val="22"/>
          <w:szCs w:val="22"/>
          <w:lang w:val="en-GB"/>
        </w:rPr>
        <w:t xml:space="preserve"> 2015). Large parts of the area have been converted from former industrial use into open countryside as an investment in St Helens’ natural capital, but the hope was also that developing a leisure destination would also have additional positive social, economic and health effects for the relatively deprived southern neighbourhoods of St Helens. </w:t>
      </w:r>
    </w:p>
    <w:p w14:paraId="1BA39EAA" w14:textId="77777777" w:rsidR="00346027" w:rsidRPr="003E751B" w:rsidRDefault="00346027" w:rsidP="00346027">
      <w:pPr>
        <w:ind w:firstLine="284"/>
        <w:rPr>
          <w:rFonts w:ascii="Calibri" w:hAnsi="Calibri"/>
          <w:sz w:val="22"/>
          <w:szCs w:val="22"/>
          <w:lang w:val="en-GB"/>
        </w:rPr>
      </w:pPr>
      <w:r w:rsidRPr="003E751B">
        <w:rPr>
          <w:rFonts w:ascii="Calibri" w:hAnsi="Calibri"/>
          <w:sz w:val="22"/>
          <w:szCs w:val="22"/>
          <w:lang w:val="en-GB"/>
        </w:rPr>
        <w:t>Initiatives such as the “path to employment” scheme by the environmental charity Groundwork try to encourage households with a history of multiple generation unemployment in deprived areas to get out every day and work on a regular basis, by helping to develop and maintain the park. This also responds to health, another key concern in St Helens, partly due to its past of heavy industries. Another interesting scheme in St Helens mentioned by the local planners is that a member of the borough’s planning team is a travel trainer and goes to areas working with unemployed people showing them how to use public transport, cycling and walking to link to jobs particularly in the growing Omega development south of the Borough in Warrington. In this context there are also plans for new cycle links through the area of Bold Forest Park to this area of employment in Warrington located South of St Helens.</w:t>
      </w:r>
    </w:p>
    <w:p w14:paraId="6D1EDBAC" w14:textId="2285CCAB" w:rsidR="0054127A" w:rsidRPr="003E751B" w:rsidRDefault="00346027" w:rsidP="00346027">
      <w:pPr>
        <w:ind w:firstLine="284"/>
        <w:rPr>
          <w:rFonts w:ascii="Calibri" w:hAnsi="Calibri"/>
          <w:sz w:val="22"/>
          <w:szCs w:val="22"/>
          <w:lang w:val="en-GB"/>
        </w:rPr>
      </w:pPr>
      <w:r w:rsidRPr="003E751B">
        <w:rPr>
          <w:rFonts w:ascii="Calibri" w:hAnsi="Calibri"/>
          <w:sz w:val="22"/>
          <w:szCs w:val="22"/>
          <w:lang w:val="en-GB"/>
        </w:rPr>
        <w:t xml:space="preserve">The case study of St Helens is emblematic for the challenges faced by numerous towns during the urban renaissance and an increasingly city-centric policy focus. It is a </w:t>
      </w:r>
      <w:r w:rsidRPr="003E751B">
        <w:rPr>
          <w:rFonts w:ascii="Calibri" w:hAnsi="Calibri"/>
          <w:sz w:val="22"/>
          <w:szCs w:val="22"/>
          <w:lang w:val="en-GB"/>
        </w:rPr>
        <w:lastRenderedPageBreak/>
        <w:t xml:space="preserve">balancing act between the needs of communities experiencing long-term deprivation and raising the socio-economic profile. Like many other towns, St Helens has severe pockets of multiple deprivation, which could potentially benefit from the new employment opportunities in logistics and similar sectors arising in the borough. At the same time, these developments reinforce an economic structure centred on routine and manual employment. Attracting more affluent households to the borough is clearly the intention of local planners, even if this might turn parts of the borough into dormitory settlements and not benefit the wider local economy as jobs and retail destinations for these new residents might be outside of the borough. The Bold Forest Park initiative in the south of the Borough is one attempt to broaden the appeal of St Helens, both for its existing and potential new residents, while potentially also providing the base for a new visitor economy. </w:t>
      </w:r>
    </w:p>
    <w:p w14:paraId="53DE4979" w14:textId="77777777" w:rsidR="006368FF" w:rsidRPr="003E751B" w:rsidRDefault="006368FF" w:rsidP="00E46A60">
      <w:pPr>
        <w:rPr>
          <w:rFonts w:ascii="Calibri" w:hAnsi="Calibri"/>
          <w:sz w:val="22"/>
          <w:szCs w:val="22"/>
          <w:lang w:val="en-GB"/>
        </w:rPr>
      </w:pPr>
    </w:p>
    <w:p w14:paraId="11B587B1" w14:textId="77777777" w:rsidR="00826A8B" w:rsidRPr="003E751B" w:rsidRDefault="00CA0F7F" w:rsidP="00D9599A">
      <w:pPr>
        <w:keepNext/>
        <w:ind w:left="567" w:hanging="567"/>
        <w:rPr>
          <w:rFonts w:ascii="Calibri" w:hAnsi="Calibri"/>
          <w:b/>
          <w:sz w:val="22"/>
          <w:szCs w:val="22"/>
          <w:lang w:val="en-GB"/>
        </w:rPr>
      </w:pPr>
      <w:r w:rsidRPr="003E751B">
        <w:rPr>
          <w:rFonts w:ascii="Calibri" w:hAnsi="Calibri"/>
          <w:b/>
          <w:sz w:val="22"/>
          <w:szCs w:val="22"/>
          <w:lang w:val="en-GB"/>
        </w:rPr>
        <w:t>6</w:t>
      </w:r>
      <w:r w:rsidRPr="003E751B">
        <w:rPr>
          <w:rFonts w:ascii="Calibri" w:hAnsi="Calibri"/>
          <w:b/>
          <w:sz w:val="22"/>
          <w:szCs w:val="22"/>
          <w:lang w:val="en-GB"/>
        </w:rPr>
        <w:tab/>
      </w:r>
      <w:r w:rsidR="00826A8B" w:rsidRPr="003E751B">
        <w:rPr>
          <w:rFonts w:ascii="Calibri" w:hAnsi="Calibri"/>
          <w:b/>
          <w:sz w:val="22"/>
          <w:szCs w:val="22"/>
          <w:lang w:val="en-GB"/>
        </w:rPr>
        <w:t>What Future</w:t>
      </w:r>
      <w:r w:rsidR="00376CE4" w:rsidRPr="003E751B">
        <w:rPr>
          <w:rFonts w:ascii="Calibri" w:hAnsi="Calibri"/>
          <w:b/>
          <w:sz w:val="22"/>
          <w:szCs w:val="22"/>
          <w:lang w:val="en-GB"/>
        </w:rPr>
        <w:t>s</w:t>
      </w:r>
      <w:r w:rsidR="00826A8B" w:rsidRPr="003E751B">
        <w:rPr>
          <w:rFonts w:ascii="Calibri" w:hAnsi="Calibri"/>
          <w:b/>
          <w:sz w:val="22"/>
          <w:szCs w:val="22"/>
          <w:lang w:val="en-GB"/>
        </w:rPr>
        <w:t xml:space="preserve"> for the Urban Periphery?</w:t>
      </w:r>
    </w:p>
    <w:p w14:paraId="7C2357E1" w14:textId="1CFC3787" w:rsidR="00E04375" w:rsidRPr="003E751B" w:rsidRDefault="00252D42" w:rsidP="00B66205">
      <w:pPr>
        <w:rPr>
          <w:rFonts w:ascii="Calibri" w:hAnsi="Calibri"/>
          <w:sz w:val="22"/>
          <w:szCs w:val="22"/>
          <w:lang w:val="en-GB"/>
        </w:rPr>
      </w:pPr>
      <w:r w:rsidRPr="003E751B">
        <w:rPr>
          <w:rFonts w:ascii="Calibri" w:hAnsi="Calibri"/>
          <w:sz w:val="22"/>
          <w:szCs w:val="22"/>
          <w:lang w:val="en-GB"/>
        </w:rPr>
        <w:t xml:space="preserve">This article started with an appreciation of the </w:t>
      </w:r>
      <w:r w:rsidR="00666044">
        <w:rPr>
          <w:rFonts w:ascii="Calibri" w:hAnsi="Calibri"/>
          <w:sz w:val="22"/>
          <w:szCs w:val="22"/>
          <w:lang w:val="en-GB"/>
        </w:rPr>
        <w:t xml:space="preserve">urban </w:t>
      </w:r>
      <w:r w:rsidR="00C86522" w:rsidRPr="003E751B">
        <w:rPr>
          <w:rFonts w:ascii="Calibri" w:hAnsi="Calibri"/>
          <w:sz w:val="22"/>
          <w:szCs w:val="22"/>
          <w:lang w:val="en-GB"/>
        </w:rPr>
        <w:t xml:space="preserve">renaissance </w:t>
      </w:r>
      <w:r w:rsidRPr="003E751B">
        <w:rPr>
          <w:rFonts w:ascii="Calibri" w:hAnsi="Calibri"/>
          <w:sz w:val="22"/>
          <w:szCs w:val="22"/>
          <w:lang w:val="en-GB"/>
        </w:rPr>
        <w:t xml:space="preserve">of </w:t>
      </w:r>
      <w:r w:rsidR="00666044">
        <w:rPr>
          <w:rFonts w:ascii="Calibri" w:hAnsi="Calibri"/>
          <w:sz w:val="22"/>
          <w:szCs w:val="22"/>
          <w:lang w:val="en-GB"/>
        </w:rPr>
        <w:t xml:space="preserve">second-tier </w:t>
      </w:r>
      <w:r w:rsidRPr="003E751B">
        <w:rPr>
          <w:rFonts w:ascii="Calibri" w:hAnsi="Calibri"/>
          <w:sz w:val="22"/>
          <w:szCs w:val="22"/>
          <w:lang w:val="en-GB"/>
        </w:rPr>
        <w:t>cities, in particular those in economic</w:t>
      </w:r>
      <w:r w:rsidR="00666044">
        <w:rPr>
          <w:rFonts w:ascii="Calibri" w:hAnsi="Calibri"/>
          <w:sz w:val="22"/>
          <w:szCs w:val="22"/>
          <w:lang w:val="en-GB"/>
        </w:rPr>
        <w:t>ally less prosperous</w:t>
      </w:r>
      <w:r w:rsidRPr="003E751B">
        <w:rPr>
          <w:rFonts w:ascii="Calibri" w:hAnsi="Calibri"/>
          <w:sz w:val="22"/>
          <w:szCs w:val="22"/>
          <w:lang w:val="en-GB"/>
        </w:rPr>
        <w:t xml:space="preserve"> regions</w:t>
      </w:r>
      <w:r w:rsidR="00666044">
        <w:rPr>
          <w:rFonts w:ascii="Calibri" w:hAnsi="Calibri"/>
          <w:sz w:val="22"/>
          <w:szCs w:val="22"/>
          <w:lang w:val="en-GB"/>
        </w:rPr>
        <w:t>,</w:t>
      </w:r>
      <w:r w:rsidR="00C86522" w:rsidRPr="003E751B">
        <w:rPr>
          <w:rFonts w:ascii="Calibri" w:hAnsi="Calibri"/>
          <w:sz w:val="22"/>
          <w:szCs w:val="22"/>
          <w:lang w:val="en-GB"/>
        </w:rPr>
        <w:t xml:space="preserve"> that followed </w:t>
      </w:r>
      <w:r w:rsidR="00C44B06" w:rsidRPr="003E751B">
        <w:rPr>
          <w:rFonts w:ascii="Calibri" w:hAnsi="Calibri"/>
          <w:sz w:val="22"/>
          <w:szCs w:val="22"/>
          <w:lang w:val="en-GB"/>
        </w:rPr>
        <w:t>in the shadow of world cities such as London</w:t>
      </w:r>
      <w:r w:rsidRPr="003E751B">
        <w:rPr>
          <w:rFonts w:ascii="Calibri" w:hAnsi="Calibri"/>
          <w:sz w:val="22"/>
          <w:szCs w:val="22"/>
          <w:lang w:val="en-GB"/>
        </w:rPr>
        <w:t xml:space="preserve">, and wondered how the urban renaissance unfolds on the scale of the wider urban region. </w:t>
      </w:r>
      <w:r w:rsidR="000023BE" w:rsidRPr="003E751B">
        <w:rPr>
          <w:rFonts w:ascii="Calibri" w:hAnsi="Calibri"/>
          <w:sz w:val="22"/>
          <w:szCs w:val="22"/>
          <w:lang w:val="en-GB"/>
        </w:rPr>
        <w:t xml:space="preserve">We have carried out a simple geospatial analysis using demographic, social and economic indicators to map changes </w:t>
      </w:r>
      <w:r w:rsidR="00057757" w:rsidRPr="003E751B">
        <w:rPr>
          <w:rFonts w:ascii="Calibri" w:hAnsi="Calibri"/>
          <w:sz w:val="22"/>
          <w:szCs w:val="22"/>
          <w:lang w:val="en-GB"/>
        </w:rPr>
        <w:t>in the Mersey Belt since the mille</w:t>
      </w:r>
      <w:r w:rsidR="004E4A3B" w:rsidRPr="003E751B">
        <w:rPr>
          <w:rFonts w:ascii="Calibri" w:hAnsi="Calibri"/>
          <w:sz w:val="22"/>
          <w:szCs w:val="22"/>
          <w:lang w:val="en-GB"/>
        </w:rPr>
        <w:t>n</w:t>
      </w:r>
      <w:r w:rsidR="00057757" w:rsidRPr="003E751B">
        <w:rPr>
          <w:rFonts w:ascii="Calibri" w:hAnsi="Calibri"/>
          <w:sz w:val="22"/>
          <w:szCs w:val="22"/>
          <w:lang w:val="en-GB"/>
        </w:rPr>
        <w:t>nium</w:t>
      </w:r>
      <w:r w:rsidR="000023BE" w:rsidRPr="003E751B">
        <w:rPr>
          <w:rFonts w:ascii="Calibri" w:hAnsi="Calibri"/>
          <w:sz w:val="22"/>
          <w:szCs w:val="22"/>
          <w:lang w:val="en-GB"/>
        </w:rPr>
        <w:t xml:space="preserve">, which was marked by strong urban policies focussing on the regeneration of </w:t>
      </w:r>
      <w:r w:rsidR="002D5666" w:rsidRPr="003E751B">
        <w:rPr>
          <w:rFonts w:ascii="Calibri" w:hAnsi="Calibri"/>
          <w:sz w:val="22"/>
          <w:szCs w:val="22"/>
          <w:lang w:val="en-GB"/>
        </w:rPr>
        <w:t xml:space="preserve">English </w:t>
      </w:r>
      <w:r w:rsidR="000023BE" w:rsidRPr="003E751B">
        <w:rPr>
          <w:rFonts w:ascii="Calibri" w:hAnsi="Calibri"/>
          <w:sz w:val="22"/>
          <w:szCs w:val="22"/>
          <w:lang w:val="en-GB"/>
        </w:rPr>
        <w:t>cities</w:t>
      </w:r>
      <w:r w:rsidR="00057757" w:rsidRPr="003E751B">
        <w:rPr>
          <w:rFonts w:ascii="Calibri" w:hAnsi="Calibri"/>
          <w:sz w:val="22"/>
          <w:szCs w:val="22"/>
          <w:lang w:val="en-GB"/>
        </w:rPr>
        <w:t xml:space="preserve">, and explored the consequences for </w:t>
      </w:r>
      <w:r w:rsidR="00630F5F" w:rsidRPr="003E751B">
        <w:rPr>
          <w:rFonts w:ascii="Calibri" w:hAnsi="Calibri"/>
          <w:sz w:val="22"/>
          <w:szCs w:val="22"/>
          <w:lang w:val="en-GB"/>
        </w:rPr>
        <w:t>St Helens,</w:t>
      </w:r>
      <w:r w:rsidR="00630F5F" w:rsidRPr="003E751B" w:rsidDel="00993962">
        <w:rPr>
          <w:rFonts w:ascii="Calibri" w:hAnsi="Calibri"/>
          <w:sz w:val="22"/>
          <w:szCs w:val="22"/>
          <w:lang w:val="en-GB"/>
        </w:rPr>
        <w:t xml:space="preserve"> </w:t>
      </w:r>
      <w:r w:rsidR="00993962" w:rsidRPr="003E751B">
        <w:rPr>
          <w:rFonts w:ascii="Calibri" w:hAnsi="Calibri"/>
          <w:sz w:val="22"/>
          <w:szCs w:val="22"/>
          <w:lang w:val="en-GB"/>
        </w:rPr>
        <w:t>a typical</w:t>
      </w:r>
      <w:r w:rsidR="00057757" w:rsidRPr="003E751B">
        <w:rPr>
          <w:rFonts w:ascii="Calibri" w:hAnsi="Calibri"/>
          <w:sz w:val="22"/>
          <w:szCs w:val="22"/>
          <w:lang w:val="en-GB"/>
        </w:rPr>
        <w:t xml:space="preserve"> town in the fringe of </w:t>
      </w:r>
      <w:r w:rsidR="00630F5F" w:rsidRPr="003E751B">
        <w:rPr>
          <w:rFonts w:ascii="Calibri" w:hAnsi="Calibri"/>
          <w:sz w:val="22"/>
          <w:szCs w:val="22"/>
          <w:lang w:val="en-GB"/>
        </w:rPr>
        <w:t xml:space="preserve">an </w:t>
      </w:r>
      <w:r w:rsidR="00057757" w:rsidRPr="003E751B">
        <w:rPr>
          <w:rFonts w:ascii="Calibri" w:hAnsi="Calibri"/>
          <w:sz w:val="22"/>
          <w:szCs w:val="22"/>
          <w:lang w:val="en-GB"/>
        </w:rPr>
        <w:t>urban region</w:t>
      </w:r>
      <w:r w:rsidR="000023BE" w:rsidRPr="003E751B">
        <w:rPr>
          <w:rFonts w:ascii="Calibri" w:hAnsi="Calibri"/>
          <w:sz w:val="22"/>
          <w:szCs w:val="22"/>
          <w:lang w:val="en-GB"/>
        </w:rPr>
        <w:t xml:space="preserve">. </w:t>
      </w:r>
    </w:p>
    <w:p w14:paraId="733377B4" w14:textId="562BD9F8" w:rsidR="00666044" w:rsidRDefault="00666044" w:rsidP="00AD0CCD">
      <w:pPr>
        <w:ind w:firstLine="284"/>
        <w:rPr>
          <w:rFonts w:ascii="Calibri" w:hAnsi="Calibri"/>
          <w:sz w:val="22"/>
          <w:szCs w:val="22"/>
          <w:lang w:val="en-GB"/>
        </w:rPr>
      </w:pPr>
      <w:r>
        <w:rPr>
          <w:rFonts w:ascii="Calibri" w:hAnsi="Calibri"/>
          <w:sz w:val="22"/>
          <w:szCs w:val="22"/>
          <w:lang w:val="en-GB"/>
        </w:rPr>
        <w:t>There is strong evidence of reurbanisation</w:t>
      </w:r>
      <w:r w:rsidR="00E06AF2">
        <w:rPr>
          <w:rFonts w:ascii="Calibri" w:hAnsi="Calibri"/>
          <w:sz w:val="22"/>
          <w:szCs w:val="22"/>
          <w:lang w:val="en-GB"/>
        </w:rPr>
        <w:t xml:space="preserve"> in the Mersey Belt, but not </w:t>
      </w:r>
      <w:r w:rsidR="00D042CF">
        <w:rPr>
          <w:rFonts w:ascii="Calibri" w:hAnsi="Calibri"/>
          <w:sz w:val="22"/>
          <w:szCs w:val="22"/>
          <w:lang w:val="en-GB"/>
        </w:rPr>
        <w:t xml:space="preserve">if we apply the exact definition of </w:t>
      </w:r>
      <w:r w:rsidR="00E06AF2">
        <w:rPr>
          <w:rFonts w:ascii="Calibri" w:hAnsi="Calibri"/>
          <w:sz w:val="22"/>
          <w:szCs w:val="22"/>
          <w:lang w:val="en-GB"/>
        </w:rPr>
        <w:t xml:space="preserve">spatial-cycle models such as by </w:t>
      </w:r>
      <w:r w:rsidR="00E06AF2" w:rsidRPr="00B17F4F">
        <w:rPr>
          <w:rFonts w:ascii="Calibri" w:hAnsi="Calibri"/>
          <w:i/>
          <w:sz w:val="22"/>
          <w:szCs w:val="22"/>
          <w:lang w:val="en-GB"/>
        </w:rPr>
        <w:t>Van den Berg et al.</w:t>
      </w:r>
      <w:r w:rsidR="00E06AF2">
        <w:rPr>
          <w:rFonts w:ascii="Calibri" w:hAnsi="Calibri"/>
          <w:sz w:val="22"/>
          <w:szCs w:val="22"/>
          <w:lang w:val="en-GB"/>
        </w:rPr>
        <w:t xml:space="preserve"> (1982). </w:t>
      </w:r>
      <w:r w:rsidR="00117AE2">
        <w:rPr>
          <w:rFonts w:ascii="Calibri" w:hAnsi="Calibri"/>
          <w:sz w:val="22"/>
          <w:szCs w:val="22"/>
          <w:lang w:val="en-GB"/>
        </w:rPr>
        <w:t xml:space="preserve">Both core cities experience higher growth rates than surrounding local authorities and within cities authorities the highest growth rates are usually found in the </w:t>
      </w:r>
      <w:r w:rsidR="00955C42">
        <w:rPr>
          <w:rFonts w:ascii="Calibri" w:hAnsi="Calibri"/>
          <w:sz w:val="22"/>
          <w:szCs w:val="22"/>
          <w:lang w:val="en-GB"/>
        </w:rPr>
        <w:t xml:space="preserve">centre. </w:t>
      </w:r>
      <w:r w:rsidR="00C1416C">
        <w:rPr>
          <w:rFonts w:ascii="Calibri" w:hAnsi="Calibri"/>
          <w:sz w:val="22"/>
          <w:szCs w:val="22"/>
          <w:lang w:val="en-GB"/>
        </w:rPr>
        <w:t>Notwithstanding all definitional issues of core and ring</w:t>
      </w:r>
      <w:r w:rsidR="00091BE1">
        <w:rPr>
          <w:rFonts w:ascii="Calibri" w:hAnsi="Calibri"/>
          <w:sz w:val="22"/>
          <w:szCs w:val="22"/>
          <w:lang w:val="en-GB"/>
        </w:rPr>
        <w:t xml:space="preserve"> based on relatively arbitrary municipal boundaries</w:t>
      </w:r>
      <w:r w:rsidR="00955C42">
        <w:rPr>
          <w:rFonts w:ascii="Calibri" w:hAnsi="Calibri"/>
          <w:sz w:val="22"/>
          <w:szCs w:val="22"/>
          <w:lang w:val="en-GB"/>
        </w:rPr>
        <w:t xml:space="preserve">, </w:t>
      </w:r>
      <w:r w:rsidR="000774D8">
        <w:rPr>
          <w:rFonts w:ascii="Calibri" w:hAnsi="Calibri"/>
          <w:sz w:val="22"/>
          <w:szCs w:val="22"/>
          <w:lang w:val="en-GB"/>
        </w:rPr>
        <w:t>reurbanisation manifests itself as a relati</w:t>
      </w:r>
      <w:r w:rsidR="00191E6C">
        <w:rPr>
          <w:rFonts w:ascii="Calibri" w:hAnsi="Calibri"/>
          <w:sz w:val="22"/>
          <w:szCs w:val="22"/>
          <w:lang w:val="en-GB"/>
        </w:rPr>
        <w:t>ve concentration of population in a context of growing functional urban regions in the Mersey Belt</w:t>
      </w:r>
      <w:r w:rsidR="00B40B8E">
        <w:rPr>
          <w:rFonts w:ascii="Calibri" w:hAnsi="Calibri"/>
          <w:sz w:val="22"/>
          <w:szCs w:val="22"/>
          <w:lang w:val="en-GB"/>
        </w:rPr>
        <w:t>, which would concur with the idea of urbanisation</w:t>
      </w:r>
      <w:r w:rsidR="00191E6C">
        <w:rPr>
          <w:rFonts w:ascii="Calibri" w:hAnsi="Calibri"/>
          <w:sz w:val="22"/>
          <w:szCs w:val="22"/>
          <w:lang w:val="en-GB"/>
        </w:rPr>
        <w:t xml:space="preserve">. </w:t>
      </w:r>
      <w:r w:rsidR="002372AD">
        <w:rPr>
          <w:rFonts w:ascii="Calibri" w:hAnsi="Calibri"/>
          <w:sz w:val="22"/>
          <w:szCs w:val="22"/>
          <w:lang w:val="en-GB"/>
        </w:rPr>
        <w:t>P</w:t>
      </w:r>
      <w:r w:rsidR="00B40B8E">
        <w:rPr>
          <w:rFonts w:ascii="Calibri" w:hAnsi="Calibri"/>
          <w:sz w:val="22"/>
          <w:szCs w:val="22"/>
          <w:lang w:val="en-GB"/>
        </w:rPr>
        <w:t xml:space="preserve">opulation data suggests that the reurbanisation phase was either very short or has been </w:t>
      </w:r>
      <w:r w:rsidR="00550B2F">
        <w:rPr>
          <w:rFonts w:ascii="Calibri" w:hAnsi="Calibri"/>
          <w:sz w:val="22"/>
          <w:szCs w:val="22"/>
          <w:lang w:val="en-GB"/>
        </w:rPr>
        <w:t>pass</w:t>
      </w:r>
      <w:r w:rsidR="00B40B8E">
        <w:rPr>
          <w:rFonts w:ascii="Calibri" w:hAnsi="Calibri"/>
          <w:sz w:val="22"/>
          <w:szCs w:val="22"/>
          <w:lang w:val="en-GB"/>
        </w:rPr>
        <w:t xml:space="preserve">ed </w:t>
      </w:r>
      <w:r w:rsidR="00550B2F">
        <w:rPr>
          <w:rFonts w:ascii="Calibri" w:hAnsi="Calibri"/>
          <w:sz w:val="22"/>
          <w:szCs w:val="22"/>
          <w:lang w:val="en-GB"/>
        </w:rPr>
        <w:t xml:space="preserve">over. </w:t>
      </w:r>
      <w:r w:rsidR="00B40B8E">
        <w:rPr>
          <w:rFonts w:ascii="Calibri" w:hAnsi="Calibri"/>
          <w:sz w:val="22"/>
          <w:szCs w:val="22"/>
          <w:lang w:val="en-GB"/>
        </w:rPr>
        <w:t>Reurbanisation in this sense might be simple denote that a new stage in the spatial cycle has begun</w:t>
      </w:r>
      <w:r w:rsidR="00550B2F">
        <w:rPr>
          <w:rFonts w:ascii="Calibri" w:hAnsi="Calibri"/>
          <w:sz w:val="22"/>
          <w:szCs w:val="22"/>
          <w:lang w:val="en-GB"/>
        </w:rPr>
        <w:t xml:space="preserve">, highlighting the social, cultural and economic importance of cities </w:t>
      </w:r>
      <w:r w:rsidR="00E542C0">
        <w:rPr>
          <w:rFonts w:ascii="Calibri" w:hAnsi="Calibri"/>
          <w:sz w:val="22"/>
          <w:szCs w:val="22"/>
          <w:lang w:val="en-GB"/>
        </w:rPr>
        <w:t xml:space="preserve">fuelling demographic growth. </w:t>
      </w:r>
    </w:p>
    <w:p w14:paraId="72EF56FC" w14:textId="0FCC10CD" w:rsidR="001E2C61" w:rsidRPr="003E751B" w:rsidRDefault="00E542C0" w:rsidP="00AD0CCD">
      <w:pPr>
        <w:ind w:firstLine="284"/>
        <w:rPr>
          <w:rFonts w:ascii="Calibri" w:hAnsi="Calibri"/>
          <w:sz w:val="22"/>
          <w:szCs w:val="22"/>
          <w:lang w:val="en-GB"/>
        </w:rPr>
      </w:pPr>
      <w:r>
        <w:rPr>
          <w:rFonts w:ascii="Calibri" w:hAnsi="Calibri"/>
          <w:sz w:val="22"/>
          <w:szCs w:val="22"/>
          <w:lang w:val="en-GB"/>
        </w:rPr>
        <w:t>Yet, t</w:t>
      </w:r>
      <w:r w:rsidR="001E2C61" w:rsidRPr="003E751B">
        <w:rPr>
          <w:rFonts w:ascii="Calibri" w:hAnsi="Calibri"/>
          <w:sz w:val="22"/>
          <w:szCs w:val="22"/>
          <w:lang w:val="en-GB"/>
        </w:rPr>
        <w:t xml:space="preserve">he analysis of the Manchester and Liverpool city-regions </w:t>
      </w:r>
      <w:r w:rsidR="00854542">
        <w:rPr>
          <w:rFonts w:ascii="Calibri" w:hAnsi="Calibri"/>
          <w:sz w:val="22"/>
          <w:szCs w:val="22"/>
          <w:lang w:val="en-GB"/>
        </w:rPr>
        <w:t>warns us</w:t>
      </w:r>
      <w:r w:rsidR="00854542" w:rsidRPr="003E751B">
        <w:rPr>
          <w:rFonts w:ascii="Calibri" w:hAnsi="Calibri"/>
          <w:sz w:val="22"/>
          <w:szCs w:val="22"/>
          <w:lang w:val="en-GB"/>
        </w:rPr>
        <w:t xml:space="preserve"> </w:t>
      </w:r>
      <w:r w:rsidR="001E2C61" w:rsidRPr="003E751B">
        <w:rPr>
          <w:rFonts w:ascii="Calibri" w:hAnsi="Calibri"/>
          <w:sz w:val="22"/>
          <w:szCs w:val="22"/>
          <w:lang w:val="en-GB"/>
        </w:rPr>
        <w:t>that d</w:t>
      </w:r>
      <w:r w:rsidR="00A451E6" w:rsidRPr="003E751B">
        <w:rPr>
          <w:rFonts w:ascii="Calibri" w:hAnsi="Calibri"/>
          <w:sz w:val="22"/>
          <w:szCs w:val="22"/>
          <w:lang w:val="en-GB"/>
        </w:rPr>
        <w:t>espite a general context of sustained population growth</w:t>
      </w:r>
      <w:r w:rsidR="003B2C77" w:rsidRPr="003E751B">
        <w:rPr>
          <w:rFonts w:ascii="Calibri" w:hAnsi="Calibri"/>
          <w:sz w:val="22"/>
          <w:szCs w:val="22"/>
          <w:lang w:val="en-GB"/>
        </w:rPr>
        <w:t xml:space="preserve"> in the UK and a general climate of an urban renaissance</w:t>
      </w:r>
      <w:r w:rsidR="00A451E6" w:rsidRPr="003E751B">
        <w:rPr>
          <w:rFonts w:ascii="Calibri" w:hAnsi="Calibri"/>
          <w:sz w:val="22"/>
          <w:szCs w:val="22"/>
          <w:lang w:val="en-GB"/>
        </w:rPr>
        <w:t xml:space="preserve">, urban shrinkage </w:t>
      </w:r>
      <w:r w:rsidR="0078687C" w:rsidRPr="003E751B">
        <w:rPr>
          <w:rFonts w:ascii="Calibri" w:hAnsi="Calibri"/>
          <w:sz w:val="22"/>
          <w:szCs w:val="22"/>
          <w:lang w:val="en-GB"/>
        </w:rPr>
        <w:t xml:space="preserve">and further socio-economic decline </w:t>
      </w:r>
      <w:r w:rsidR="00A451E6" w:rsidRPr="003E751B">
        <w:rPr>
          <w:rFonts w:ascii="Calibri" w:hAnsi="Calibri"/>
          <w:sz w:val="22"/>
          <w:szCs w:val="22"/>
          <w:lang w:val="en-GB"/>
        </w:rPr>
        <w:t xml:space="preserve">poses a serious risk for </w:t>
      </w:r>
      <w:r w:rsidR="0081406F">
        <w:rPr>
          <w:rFonts w:ascii="Calibri" w:hAnsi="Calibri"/>
          <w:sz w:val="22"/>
          <w:szCs w:val="22"/>
          <w:lang w:val="en-GB"/>
        </w:rPr>
        <w:t>a large number of</w:t>
      </w:r>
      <w:r w:rsidR="0081406F" w:rsidRPr="003E751B">
        <w:rPr>
          <w:rFonts w:ascii="Calibri" w:hAnsi="Calibri"/>
          <w:sz w:val="22"/>
          <w:szCs w:val="22"/>
          <w:lang w:val="en-GB"/>
        </w:rPr>
        <w:t xml:space="preserve"> </w:t>
      </w:r>
      <w:r w:rsidR="00A451E6" w:rsidRPr="003E751B">
        <w:rPr>
          <w:rFonts w:ascii="Calibri" w:hAnsi="Calibri"/>
          <w:sz w:val="22"/>
          <w:szCs w:val="22"/>
          <w:lang w:val="en-GB"/>
        </w:rPr>
        <w:t xml:space="preserve">places in the urban </w:t>
      </w:r>
      <w:r w:rsidR="001E2C61" w:rsidRPr="003E751B">
        <w:rPr>
          <w:rFonts w:ascii="Calibri" w:hAnsi="Calibri"/>
          <w:sz w:val="22"/>
          <w:szCs w:val="22"/>
          <w:lang w:val="en-GB"/>
        </w:rPr>
        <w:t>periphery</w:t>
      </w:r>
      <w:r w:rsidR="00A451E6" w:rsidRPr="003E751B">
        <w:rPr>
          <w:rFonts w:ascii="Calibri" w:hAnsi="Calibri"/>
          <w:sz w:val="22"/>
          <w:szCs w:val="22"/>
          <w:lang w:val="en-GB"/>
        </w:rPr>
        <w:t xml:space="preserve">. </w:t>
      </w:r>
      <w:r w:rsidR="00A57D3C">
        <w:rPr>
          <w:rFonts w:ascii="Calibri" w:hAnsi="Calibri"/>
          <w:sz w:val="22"/>
          <w:szCs w:val="22"/>
          <w:lang w:val="en-GB"/>
        </w:rPr>
        <w:t xml:space="preserve">This </w:t>
      </w:r>
      <w:r w:rsidR="00EF0B42">
        <w:rPr>
          <w:rFonts w:ascii="Calibri" w:hAnsi="Calibri"/>
          <w:sz w:val="22"/>
          <w:szCs w:val="22"/>
          <w:lang w:val="en-GB"/>
        </w:rPr>
        <w:t xml:space="preserve">is not to say that </w:t>
      </w:r>
      <w:r w:rsidR="002405EF">
        <w:rPr>
          <w:rFonts w:ascii="Calibri" w:hAnsi="Calibri"/>
          <w:sz w:val="22"/>
          <w:szCs w:val="22"/>
          <w:lang w:val="en-GB"/>
        </w:rPr>
        <w:t xml:space="preserve">deprivation is to disappear from cities, nor that </w:t>
      </w:r>
      <w:r w:rsidR="004E0604" w:rsidRPr="003E751B">
        <w:rPr>
          <w:rFonts w:ascii="Calibri" w:hAnsi="Calibri"/>
          <w:sz w:val="22"/>
          <w:szCs w:val="22"/>
          <w:lang w:val="en-GB"/>
        </w:rPr>
        <w:t xml:space="preserve">all places in the urban periphery are affected in the same way. </w:t>
      </w:r>
      <w:r w:rsidR="00847FB1">
        <w:rPr>
          <w:rFonts w:ascii="Calibri" w:hAnsi="Calibri"/>
          <w:sz w:val="22"/>
          <w:szCs w:val="22"/>
          <w:lang w:val="en-GB"/>
        </w:rPr>
        <w:t xml:space="preserve">Both core cities </w:t>
      </w:r>
      <w:r w:rsidR="008E5A9C">
        <w:rPr>
          <w:rFonts w:ascii="Calibri" w:hAnsi="Calibri"/>
          <w:sz w:val="22"/>
          <w:szCs w:val="22"/>
          <w:lang w:val="en-GB"/>
        </w:rPr>
        <w:t xml:space="preserve">still </w:t>
      </w:r>
      <w:r w:rsidR="00847FB1">
        <w:rPr>
          <w:rFonts w:ascii="Calibri" w:hAnsi="Calibri"/>
          <w:sz w:val="22"/>
          <w:szCs w:val="22"/>
          <w:lang w:val="en-GB"/>
        </w:rPr>
        <w:t>rank amongst the most deprived local authorities in the country</w:t>
      </w:r>
      <w:r w:rsidR="003823D5">
        <w:rPr>
          <w:rFonts w:ascii="Calibri" w:hAnsi="Calibri"/>
          <w:sz w:val="22"/>
          <w:szCs w:val="22"/>
          <w:lang w:val="en-GB"/>
        </w:rPr>
        <w:t xml:space="preserve">. </w:t>
      </w:r>
      <w:r w:rsidR="00557AB6" w:rsidRPr="003E751B">
        <w:rPr>
          <w:rFonts w:ascii="Calibri" w:hAnsi="Calibri"/>
          <w:sz w:val="22"/>
          <w:szCs w:val="22"/>
          <w:lang w:val="en-GB"/>
        </w:rPr>
        <w:t xml:space="preserve">Similarly, </w:t>
      </w:r>
      <w:r w:rsidR="004E0604" w:rsidRPr="003E751B">
        <w:rPr>
          <w:rFonts w:ascii="Calibri" w:hAnsi="Calibri"/>
          <w:sz w:val="22"/>
          <w:szCs w:val="22"/>
          <w:lang w:val="en-GB"/>
        </w:rPr>
        <w:t xml:space="preserve">the exclusiveness of </w:t>
      </w:r>
      <w:r w:rsidR="008270A4" w:rsidRPr="003E751B">
        <w:rPr>
          <w:rFonts w:ascii="Calibri" w:hAnsi="Calibri"/>
          <w:sz w:val="22"/>
          <w:szCs w:val="22"/>
          <w:lang w:val="en-GB"/>
        </w:rPr>
        <w:t xml:space="preserve">certain </w:t>
      </w:r>
      <w:r w:rsidR="004E0604" w:rsidRPr="003E751B">
        <w:rPr>
          <w:rFonts w:ascii="Calibri" w:hAnsi="Calibri"/>
          <w:sz w:val="22"/>
          <w:szCs w:val="22"/>
          <w:lang w:val="en-GB"/>
        </w:rPr>
        <w:t>rural communities in the vicinities of cities</w:t>
      </w:r>
      <w:r w:rsidR="00B46311">
        <w:rPr>
          <w:rFonts w:ascii="Calibri" w:hAnsi="Calibri"/>
          <w:sz w:val="22"/>
          <w:szCs w:val="22"/>
          <w:lang w:val="en-GB"/>
        </w:rPr>
        <w:t xml:space="preserve"> is protected by green belt</w:t>
      </w:r>
      <w:r w:rsidR="001070C9">
        <w:rPr>
          <w:rFonts w:ascii="Calibri" w:hAnsi="Calibri"/>
          <w:sz w:val="22"/>
          <w:szCs w:val="22"/>
          <w:lang w:val="en-GB"/>
        </w:rPr>
        <w:t>, keeping urban development at bay and house prices high (</w:t>
      </w:r>
      <w:r w:rsidR="001070C9" w:rsidRPr="001070C9">
        <w:rPr>
          <w:rFonts w:ascii="Calibri" w:hAnsi="Calibri"/>
          <w:i/>
          <w:sz w:val="22"/>
          <w:szCs w:val="22"/>
          <w:lang w:val="en-GB"/>
        </w:rPr>
        <w:t>Sturzaker</w:t>
      </w:r>
      <w:r w:rsidR="009352BE">
        <w:rPr>
          <w:rFonts w:ascii="Calibri" w:hAnsi="Calibri"/>
          <w:i/>
          <w:sz w:val="22"/>
          <w:szCs w:val="22"/>
          <w:lang w:val="en-GB"/>
        </w:rPr>
        <w:t>/Mell</w:t>
      </w:r>
      <w:r w:rsidR="001070C9">
        <w:rPr>
          <w:rFonts w:ascii="Calibri" w:hAnsi="Calibri"/>
          <w:sz w:val="22"/>
          <w:szCs w:val="22"/>
          <w:lang w:val="en-GB"/>
        </w:rPr>
        <w:t xml:space="preserve"> 2016)</w:t>
      </w:r>
      <w:r w:rsidR="004E0604" w:rsidRPr="003E751B">
        <w:rPr>
          <w:rFonts w:ascii="Calibri" w:hAnsi="Calibri"/>
          <w:sz w:val="22"/>
          <w:szCs w:val="22"/>
          <w:lang w:val="en-GB"/>
        </w:rPr>
        <w:t>.</w:t>
      </w:r>
      <w:r w:rsidR="004D2237" w:rsidRPr="003E751B">
        <w:rPr>
          <w:rFonts w:ascii="Calibri" w:hAnsi="Calibri"/>
          <w:sz w:val="22"/>
          <w:szCs w:val="22"/>
          <w:lang w:val="en-GB"/>
        </w:rPr>
        <w:t xml:space="preserve"> </w:t>
      </w:r>
      <w:r w:rsidR="003743F8">
        <w:rPr>
          <w:rFonts w:ascii="Calibri" w:hAnsi="Calibri"/>
          <w:sz w:val="22"/>
          <w:szCs w:val="22"/>
          <w:lang w:val="en-GB"/>
        </w:rPr>
        <w:t>Many</w:t>
      </w:r>
      <w:r w:rsidR="008270A4" w:rsidRPr="003E751B">
        <w:rPr>
          <w:rFonts w:ascii="Calibri" w:hAnsi="Calibri"/>
          <w:sz w:val="22"/>
          <w:szCs w:val="22"/>
          <w:lang w:val="en-GB"/>
        </w:rPr>
        <w:t xml:space="preserve"> dormitory and industrial towns</w:t>
      </w:r>
      <w:r w:rsidR="003743F8">
        <w:rPr>
          <w:rFonts w:ascii="Calibri" w:hAnsi="Calibri"/>
          <w:sz w:val="22"/>
          <w:szCs w:val="22"/>
          <w:lang w:val="en-GB"/>
        </w:rPr>
        <w:t>, however,</w:t>
      </w:r>
      <w:r w:rsidR="008270A4" w:rsidRPr="003E751B">
        <w:rPr>
          <w:rFonts w:ascii="Calibri" w:hAnsi="Calibri"/>
          <w:sz w:val="22"/>
          <w:szCs w:val="22"/>
          <w:lang w:val="en-GB"/>
        </w:rPr>
        <w:t xml:space="preserve"> </w:t>
      </w:r>
      <w:r w:rsidR="003743F8" w:rsidRPr="003E751B">
        <w:rPr>
          <w:rFonts w:ascii="Calibri" w:hAnsi="Calibri"/>
          <w:sz w:val="22"/>
          <w:szCs w:val="22"/>
          <w:lang w:val="en-GB"/>
        </w:rPr>
        <w:t>are struggling</w:t>
      </w:r>
      <w:r w:rsidR="003743F8">
        <w:rPr>
          <w:rFonts w:ascii="Calibri" w:hAnsi="Calibri"/>
          <w:sz w:val="22"/>
          <w:szCs w:val="22"/>
          <w:lang w:val="en-GB"/>
        </w:rPr>
        <w:t>, as they</w:t>
      </w:r>
      <w:r w:rsidR="003743F8" w:rsidRPr="003E751B">
        <w:rPr>
          <w:rFonts w:ascii="Calibri" w:hAnsi="Calibri"/>
          <w:sz w:val="22"/>
          <w:szCs w:val="22"/>
          <w:lang w:val="en-GB"/>
        </w:rPr>
        <w:t xml:space="preserve"> </w:t>
      </w:r>
      <w:r w:rsidR="008270A4" w:rsidRPr="003E751B">
        <w:rPr>
          <w:rFonts w:ascii="Calibri" w:hAnsi="Calibri"/>
          <w:sz w:val="22"/>
          <w:szCs w:val="22"/>
          <w:lang w:val="en-GB"/>
        </w:rPr>
        <w:t>lack the character and attractiveness of affluent villages and the vibrancy of big cities. Are these becoming the potential overspill locations for the ‘victims’ of the gentrification of inner cities (</w:t>
      </w:r>
      <w:r w:rsidR="008270A4" w:rsidRPr="003E751B">
        <w:rPr>
          <w:rFonts w:ascii="Calibri" w:hAnsi="Calibri"/>
          <w:i/>
          <w:sz w:val="22"/>
          <w:szCs w:val="22"/>
          <w:lang w:val="en-GB"/>
        </w:rPr>
        <w:t>Hochstenbach/Musterd</w:t>
      </w:r>
      <w:r w:rsidR="008270A4" w:rsidRPr="003E751B">
        <w:rPr>
          <w:rFonts w:ascii="Calibri" w:hAnsi="Calibri"/>
          <w:sz w:val="22"/>
          <w:szCs w:val="22"/>
          <w:lang w:val="en-GB"/>
        </w:rPr>
        <w:t xml:space="preserve"> 2017)? </w:t>
      </w:r>
      <w:r w:rsidR="00044079" w:rsidRPr="003E751B">
        <w:rPr>
          <w:rFonts w:ascii="Calibri" w:hAnsi="Calibri"/>
          <w:sz w:val="22"/>
          <w:szCs w:val="22"/>
          <w:lang w:val="en-GB"/>
        </w:rPr>
        <w:t xml:space="preserve">What we </w:t>
      </w:r>
      <w:r w:rsidR="00044079" w:rsidRPr="003E751B">
        <w:rPr>
          <w:rFonts w:ascii="Calibri" w:hAnsi="Calibri"/>
          <w:sz w:val="22"/>
          <w:szCs w:val="22"/>
          <w:lang w:val="en-GB"/>
        </w:rPr>
        <w:lastRenderedPageBreak/>
        <w:t>observe</w:t>
      </w:r>
      <w:r w:rsidR="008270A4" w:rsidRPr="003E751B">
        <w:rPr>
          <w:rFonts w:ascii="Calibri" w:hAnsi="Calibri"/>
          <w:sz w:val="22"/>
          <w:szCs w:val="22"/>
          <w:lang w:val="en-GB"/>
        </w:rPr>
        <w:t xml:space="preserve"> so far</w:t>
      </w:r>
      <w:r w:rsidR="00044079" w:rsidRPr="003E751B">
        <w:rPr>
          <w:rFonts w:ascii="Calibri" w:hAnsi="Calibri"/>
          <w:sz w:val="22"/>
          <w:szCs w:val="22"/>
          <w:lang w:val="en-GB"/>
        </w:rPr>
        <w:t xml:space="preserve"> is a process of levelling out the difference</w:t>
      </w:r>
      <w:r w:rsidR="00FC3A3F">
        <w:rPr>
          <w:rFonts w:ascii="Calibri" w:hAnsi="Calibri"/>
          <w:sz w:val="22"/>
          <w:szCs w:val="22"/>
          <w:lang w:val="en-GB"/>
        </w:rPr>
        <w:t xml:space="preserve"> between core and ring</w:t>
      </w:r>
      <w:r w:rsidR="00044079" w:rsidRPr="003E751B">
        <w:rPr>
          <w:rFonts w:ascii="Calibri" w:hAnsi="Calibri"/>
          <w:sz w:val="22"/>
          <w:szCs w:val="22"/>
          <w:lang w:val="en-GB"/>
        </w:rPr>
        <w:t xml:space="preserve">, but with very marked </w:t>
      </w:r>
      <w:r w:rsidR="00FC3A3F">
        <w:rPr>
          <w:rFonts w:ascii="Calibri" w:hAnsi="Calibri"/>
          <w:sz w:val="22"/>
          <w:szCs w:val="22"/>
          <w:lang w:val="en-GB"/>
        </w:rPr>
        <w:t>socio-spatial differentiation</w:t>
      </w:r>
      <w:r w:rsidR="00FC3A3F" w:rsidRPr="003E751B">
        <w:rPr>
          <w:rFonts w:ascii="Calibri" w:hAnsi="Calibri"/>
          <w:sz w:val="22"/>
          <w:szCs w:val="22"/>
          <w:lang w:val="en-GB"/>
        </w:rPr>
        <w:t xml:space="preserve"> </w:t>
      </w:r>
      <w:r w:rsidR="00044079" w:rsidRPr="003E751B">
        <w:rPr>
          <w:rFonts w:ascii="Calibri" w:hAnsi="Calibri"/>
          <w:sz w:val="22"/>
          <w:szCs w:val="22"/>
          <w:lang w:val="en-GB"/>
        </w:rPr>
        <w:t>within</w:t>
      </w:r>
      <w:r w:rsidR="00FC3A3F">
        <w:rPr>
          <w:rFonts w:ascii="Calibri" w:hAnsi="Calibri"/>
          <w:sz w:val="22"/>
          <w:szCs w:val="22"/>
          <w:lang w:val="en-GB"/>
        </w:rPr>
        <w:t xml:space="preserve"> both</w:t>
      </w:r>
      <w:r w:rsidR="00044079" w:rsidRPr="003E751B">
        <w:rPr>
          <w:rFonts w:ascii="Calibri" w:hAnsi="Calibri"/>
          <w:sz w:val="22"/>
          <w:szCs w:val="22"/>
          <w:lang w:val="en-GB"/>
        </w:rPr>
        <w:t xml:space="preserve"> the cities</w:t>
      </w:r>
      <w:r w:rsidR="00630F5F" w:rsidRPr="003E751B">
        <w:rPr>
          <w:rFonts w:ascii="Calibri" w:hAnsi="Calibri"/>
          <w:sz w:val="22"/>
          <w:szCs w:val="22"/>
          <w:lang w:val="en-GB"/>
        </w:rPr>
        <w:t xml:space="preserve"> and</w:t>
      </w:r>
      <w:r w:rsidR="00044079" w:rsidRPr="003E751B">
        <w:rPr>
          <w:rFonts w:ascii="Calibri" w:hAnsi="Calibri"/>
          <w:sz w:val="22"/>
          <w:szCs w:val="22"/>
          <w:lang w:val="en-GB"/>
        </w:rPr>
        <w:t xml:space="preserve"> the urban fringe. </w:t>
      </w:r>
    </w:p>
    <w:p w14:paraId="62E8F250" w14:textId="464D9FD5" w:rsidR="00A451E6" w:rsidRPr="003E751B" w:rsidRDefault="00A451E6" w:rsidP="00AD0CCD">
      <w:pPr>
        <w:ind w:firstLine="284"/>
        <w:rPr>
          <w:rFonts w:ascii="Calibri" w:hAnsi="Calibri"/>
          <w:sz w:val="22"/>
          <w:szCs w:val="22"/>
          <w:lang w:val="en-GB"/>
        </w:rPr>
      </w:pPr>
      <w:r w:rsidRPr="003E751B">
        <w:rPr>
          <w:rFonts w:ascii="Calibri" w:hAnsi="Calibri"/>
          <w:sz w:val="22"/>
          <w:szCs w:val="22"/>
          <w:lang w:val="en-GB"/>
        </w:rPr>
        <w:t xml:space="preserve">This </w:t>
      </w:r>
      <w:r w:rsidR="00944196" w:rsidRPr="003E751B">
        <w:rPr>
          <w:rFonts w:ascii="Calibri" w:hAnsi="Calibri"/>
          <w:sz w:val="22"/>
          <w:szCs w:val="22"/>
          <w:lang w:val="en-GB"/>
        </w:rPr>
        <w:t>article</w:t>
      </w:r>
      <w:r w:rsidR="008500FB">
        <w:rPr>
          <w:rFonts w:ascii="Calibri" w:hAnsi="Calibri"/>
          <w:sz w:val="22"/>
          <w:szCs w:val="22"/>
          <w:lang w:val="en-GB"/>
        </w:rPr>
        <w:t xml:space="preserve"> </w:t>
      </w:r>
      <w:r w:rsidR="00091D27" w:rsidRPr="004E4058">
        <w:rPr>
          <w:rFonts w:ascii="Calibri" w:hAnsi="Calibri"/>
          <w:sz w:val="22"/>
          <w:szCs w:val="22"/>
          <w:lang w:val="en-GB"/>
        </w:rPr>
        <w:t>highlights</w:t>
      </w:r>
      <w:r w:rsidR="008500FB" w:rsidRPr="004E4058">
        <w:rPr>
          <w:rFonts w:ascii="Calibri" w:hAnsi="Calibri"/>
          <w:sz w:val="22"/>
          <w:szCs w:val="22"/>
          <w:lang w:val="en-GB"/>
        </w:rPr>
        <w:t xml:space="preserve"> the potential </w:t>
      </w:r>
      <w:r w:rsidR="008B4D61" w:rsidRPr="004E4058">
        <w:rPr>
          <w:rFonts w:ascii="Calibri" w:hAnsi="Calibri"/>
          <w:sz w:val="22"/>
          <w:szCs w:val="22"/>
          <w:lang w:val="en-GB"/>
        </w:rPr>
        <w:t xml:space="preserve">issues arising in the urban fringe as a </w:t>
      </w:r>
      <w:r w:rsidR="00E64389" w:rsidRPr="004E4058">
        <w:rPr>
          <w:rFonts w:ascii="Calibri" w:hAnsi="Calibri"/>
          <w:sz w:val="22"/>
          <w:szCs w:val="22"/>
          <w:lang w:val="en-GB"/>
        </w:rPr>
        <w:t>downside of reurbanisation</w:t>
      </w:r>
      <w:r w:rsidR="00091D27" w:rsidRPr="004E4058">
        <w:rPr>
          <w:rFonts w:ascii="Calibri" w:hAnsi="Calibri"/>
          <w:sz w:val="22"/>
          <w:szCs w:val="22"/>
          <w:lang w:val="en-GB"/>
        </w:rPr>
        <w:t xml:space="preserve"> It</w:t>
      </w:r>
      <w:r w:rsidR="00944196" w:rsidRPr="004E4058">
        <w:rPr>
          <w:rFonts w:ascii="Calibri" w:hAnsi="Calibri"/>
          <w:sz w:val="22"/>
          <w:szCs w:val="22"/>
          <w:lang w:val="en-GB"/>
        </w:rPr>
        <w:t xml:space="preserve"> corroborates findings in other studies suggesting </w:t>
      </w:r>
      <w:r w:rsidR="00B93E36" w:rsidRPr="004E4058">
        <w:rPr>
          <w:rFonts w:ascii="Calibri" w:hAnsi="Calibri"/>
          <w:sz w:val="22"/>
          <w:szCs w:val="22"/>
          <w:lang w:val="en-GB"/>
        </w:rPr>
        <w:t>changes in the demographic composition of cities</w:t>
      </w:r>
      <w:r w:rsidR="00B93E36" w:rsidRPr="003E751B">
        <w:rPr>
          <w:rFonts w:ascii="Calibri" w:hAnsi="Calibri"/>
          <w:sz w:val="22"/>
          <w:szCs w:val="22"/>
          <w:lang w:val="en-GB"/>
        </w:rPr>
        <w:t xml:space="preserve"> and their hinterland (</w:t>
      </w:r>
      <w:r w:rsidR="001636F9" w:rsidRPr="003E751B">
        <w:rPr>
          <w:rFonts w:ascii="Calibri" w:hAnsi="Calibri"/>
          <w:sz w:val="22"/>
          <w:szCs w:val="22"/>
          <w:lang w:val="en-GB"/>
        </w:rPr>
        <w:t xml:space="preserve">e.g. </w:t>
      </w:r>
      <w:r w:rsidR="00B93E36" w:rsidRPr="003E751B">
        <w:rPr>
          <w:rFonts w:ascii="Calibri" w:hAnsi="Calibri"/>
          <w:i/>
          <w:sz w:val="22"/>
          <w:szCs w:val="22"/>
          <w:lang w:val="en-GB"/>
        </w:rPr>
        <w:t>Hochstenbach/Musterd</w:t>
      </w:r>
      <w:r w:rsidR="00B93E36" w:rsidRPr="003E751B">
        <w:rPr>
          <w:rFonts w:ascii="Calibri" w:hAnsi="Calibri"/>
          <w:sz w:val="22"/>
          <w:szCs w:val="22"/>
          <w:lang w:val="en-GB"/>
        </w:rPr>
        <w:t xml:space="preserve"> 2017; </w:t>
      </w:r>
      <w:r w:rsidR="00B93E36" w:rsidRPr="003E751B">
        <w:rPr>
          <w:rFonts w:ascii="Calibri" w:hAnsi="Calibri"/>
          <w:i/>
          <w:sz w:val="22"/>
          <w:szCs w:val="22"/>
          <w:lang w:val="en-GB"/>
        </w:rPr>
        <w:t>Van Gent/Musterd</w:t>
      </w:r>
      <w:r w:rsidR="00B93E36" w:rsidRPr="003E751B">
        <w:rPr>
          <w:rFonts w:ascii="Calibri" w:hAnsi="Calibri"/>
          <w:sz w:val="22"/>
          <w:szCs w:val="22"/>
          <w:lang w:val="en-GB"/>
        </w:rPr>
        <w:t xml:space="preserve"> 2016</w:t>
      </w:r>
      <w:r w:rsidR="00725A46" w:rsidRPr="003E751B">
        <w:rPr>
          <w:rFonts w:ascii="Calibri" w:hAnsi="Calibri"/>
          <w:sz w:val="22"/>
          <w:szCs w:val="22"/>
          <w:lang w:val="en-GB"/>
        </w:rPr>
        <w:t>).</w:t>
      </w:r>
      <w:r w:rsidR="00944196" w:rsidRPr="003E751B">
        <w:rPr>
          <w:rFonts w:ascii="Calibri" w:hAnsi="Calibri"/>
          <w:sz w:val="22"/>
          <w:szCs w:val="22"/>
          <w:lang w:val="en-GB"/>
        </w:rPr>
        <w:t xml:space="preserve"> </w:t>
      </w:r>
      <w:r w:rsidR="00C456E0" w:rsidRPr="003E751B">
        <w:rPr>
          <w:rFonts w:ascii="Calibri" w:hAnsi="Calibri"/>
          <w:sz w:val="22"/>
          <w:szCs w:val="22"/>
          <w:lang w:val="en-GB"/>
        </w:rPr>
        <w:t xml:space="preserve">It requires further and more detailed research on the effects </w:t>
      </w:r>
      <w:r w:rsidR="00091D27">
        <w:rPr>
          <w:rFonts w:ascii="Calibri" w:hAnsi="Calibri"/>
          <w:sz w:val="22"/>
          <w:szCs w:val="22"/>
          <w:lang w:val="en-GB"/>
        </w:rPr>
        <w:t xml:space="preserve">of </w:t>
      </w:r>
      <w:r w:rsidR="00C456E0" w:rsidRPr="003E751B">
        <w:rPr>
          <w:rFonts w:ascii="Calibri" w:hAnsi="Calibri"/>
          <w:sz w:val="22"/>
          <w:szCs w:val="22"/>
          <w:lang w:val="en-GB"/>
        </w:rPr>
        <w:t>reurbanisation, for instance using census flow data to investigat</w:t>
      </w:r>
      <w:r w:rsidR="00725A46" w:rsidRPr="003E751B">
        <w:rPr>
          <w:rFonts w:ascii="Calibri" w:hAnsi="Calibri"/>
          <w:sz w:val="22"/>
          <w:szCs w:val="22"/>
          <w:lang w:val="en-GB"/>
        </w:rPr>
        <w:t xml:space="preserve">e the migration patterns of population according to their </w:t>
      </w:r>
      <w:r w:rsidR="00C456E0" w:rsidRPr="003E751B">
        <w:rPr>
          <w:rFonts w:ascii="Calibri" w:hAnsi="Calibri"/>
          <w:sz w:val="22"/>
          <w:szCs w:val="22"/>
          <w:lang w:val="en-GB"/>
        </w:rPr>
        <w:t>socio-econ</w:t>
      </w:r>
      <w:r w:rsidR="00725A46" w:rsidRPr="003E751B">
        <w:rPr>
          <w:rFonts w:ascii="Calibri" w:hAnsi="Calibri"/>
          <w:sz w:val="22"/>
          <w:szCs w:val="22"/>
          <w:lang w:val="en-GB"/>
        </w:rPr>
        <w:t xml:space="preserve">omic and demographic properties. </w:t>
      </w:r>
      <w:r w:rsidR="00E667CB" w:rsidRPr="003E751B">
        <w:rPr>
          <w:rFonts w:ascii="Calibri" w:hAnsi="Calibri"/>
          <w:sz w:val="22"/>
          <w:szCs w:val="22"/>
          <w:lang w:val="en-GB"/>
        </w:rPr>
        <w:t>It a</w:t>
      </w:r>
      <w:r w:rsidR="001636F9" w:rsidRPr="003E751B">
        <w:rPr>
          <w:rFonts w:ascii="Calibri" w:hAnsi="Calibri"/>
          <w:sz w:val="22"/>
          <w:szCs w:val="22"/>
          <w:lang w:val="en-GB"/>
        </w:rPr>
        <w:t>lso</w:t>
      </w:r>
      <w:r w:rsidR="00E667CB" w:rsidRPr="003E751B">
        <w:rPr>
          <w:rFonts w:ascii="Calibri" w:hAnsi="Calibri"/>
          <w:sz w:val="22"/>
          <w:szCs w:val="22"/>
          <w:lang w:val="en-GB"/>
        </w:rPr>
        <w:t xml:space="preserve"> urges us to</w:t>
      </w:r>
      <w:r w:rsidR="001636F9" w:rsidRPr="003E751B">
        <w:rPr>
          <w:rFonts w:ascii="Calibri" w:hAnsi="Calibri"/>
          <w:sz w:val="22"/>
          <w:szCs w:val="22"/>
          <w:lang w:val="en-GB"/>
        </w:rPr>
        <w:t xml:space="preserve"> </w:t>
      </w:r>
      <w:r w:rsidR="00E667CB" w:rsidRPr="003E751B">
        <w:rPr>
          <w:rFonts w:ascii="Calibri" w:hAnsi="Calibri"/>
          <w:sz w:val="22"/>
          <w:szCs w:val="22"/>
          <w:lang w:val="en-GB"/>
        </w:rPr>
        <w:t xml:space="preserve">critically </w:t>
      </w:r>
      <w:r w:rsidR="00CF77B9" w:rsidRPr="003E751B">
        <w:rPr>
          <w:rFonts w:ascii="Calibri" w:hAnsi="Calibri"/>
          <w:sz w:val="22"/>
          <w:szCs w:val="22"/>
          <w:lang w:val="en-GB"/>
        </w:rPr>
        <w:t>examine</w:t>
      </w:r>
      <w:r w:rsidR="00E667CB" w:rsidRPr="003E751B">
        <w:rPr>
          <w:rFonts w:ascii="Calibri" w:hAnsi="Calibri"/>
          <w:sz w:val="22"/>
          <w:szCs w:val="22"/>
          <w:lang w:val="en-GB"/>
        </w:rPr>
        <w:t xml:space="preserve"> the</w:t>
      </w:r>
      <w:r w:rsidR="001636F9" w:rsidRPr="003E751B">
        <w:rPr>
          <w:rFonts w:ascii="Calibri" w:hAnsi="Calibri"/>
          <w:sz w:val="22"/>
          <w:szCs w:val="22"/>
          <w:lang w:val="en-GB"/>
        </w:rPr>
        <w:t xml:space="preserve"> policy options</w:t>
      </w:r>
      <w:r w:rsidR="00E667CB" w:rsidRPr="003E751B">
        <w:rPr>
          <w:rFonts w:ascii="Calibri" w:hAnsi="Calibri"/>
          <w:sz w:val="22"/>
          <w:szCs w:val="22"/>
          <w:lang w:val="en-GB"/>
        </w:rPr>
        <w:t xml:space="preserve"> </w:t>
      </w:r>
      <w:r w:rsidR="00527737" w:rsidRPr="003E751B">
        <w:rPr>
          <w:rFonts w:ascii="Calibri" w:hAnsi="Calibri"/>
          <w:sz w:val="22"/>
          <w:szCs w:val="22"/>
          <w:lang w:val="en-GB"/>
        </w:rPr>
        <w:t>for places in the periphery like St Helens</w:t>
      </w:r>
      <w:r w:rsidR="00E667CB" w:rsidRPr="003E751B">
        <w:rPr>
          <w:rFonts w:ascii="Calibri" w:hAnsi="Calibri"/>
          <w:sz w:val="22"/>
          <w:szCs w:val="22"/>
          <w:lang w:val="en-GB"/>
        </w:rPr>
        <w:t xml:space="preserve"> and</w:t>
      </w:r>
      <w:r w:rsidR="00527737" w:rsidRPr="003E751B">
        <w:rPr>
          <w:rFonts w:ascii="Calibri" w:hAnsi="Calibri"/>
          <w:sz w:val="22"/>
          <w:szCs w:val="22"/>
          <w:lang w:val="en-GB"/>
        </w:rPr>
        <w:t xml:space="preserve"> to investigate</w:t>
      </w:r>
      <w:r w:rsidR="00E667CB" w:rsidRPr="003E751B">
        <w:rPr>
          <w:rFonts w:ascii="Calibri" w:hAnsi="Calibri"/>
          <w:sz w:val="22"/>
          <w:szCs w:val="22"/>
          <w:lang w:val="en-GB"/>
        </w:rPr>
        <w:t xml:space="preserve"> the institutional conditions </w:t>
      </w:r>
      <w:r w:rsidR="00527737" w:rsidRPr="003E751B">
        <w:rPr>
          <w:rFonts w:ascii="Calibri" w:hAnsi="Calibri"/>
          <w:sz w:val="22"/>
          <w:szCs w:val="22"/>
          <w:lang w:val="en-GB"/>
        </w:rPr>
        <w:t>under which policies are being made.</w:t>
      </w:r>
      <w:r w:rsidR="00EA4D13" w:rsidRPr="003E751B">
        <w:rPr>
          <w:rFonts w:ascii="Calibri" w:hAnsi="Calibri"/>
          <w:sz w:val="22"/>
          <w:szCs w:val="22"/>
          <w:lang w:val="en-GB"/>
        </w:rPr>
        <w:t xml:space="preserve"> The current trend of </w:t>
      </w:r>
      <w:r w:rsidR="001636F9" w:rsidRPr="003E751B">
        <w:rPr>
          <w:rFonts w:ascii="Calibri" w:hAnsi="Calibri"/>
          <w:sz w:val="22"/>
          <w:szCs w:val="22"/>
          <w:lang w:val="en-GB"/>
        </w:rPr>
        <w:t xml:space="preserve">suburban </w:t>
      </w:r>
      <w:r w:rsidR="00E667CB" w:rsidRPr="003E751B">
        <w:rPr>
          <w:rFonts w:ascii="Calibri" w:hAnsi="Calibri"/>
          <w:sz w:val="22"/>
          <w:szCs w:val="22"/>
          <w:lang w:val="en-GB"/>
        </w:rPr>
        <w:t>hous</w:t>
      </w:r>
      <w:r w:rsidR="000D4772" w:rsidRPr="003E751B">
        <w:rPr>
          <w:rFonts w:ascii="Calibri" w:hAnsi="Calibri"/>
          <w:sz w:val="22"/>
          <w:szCs w:val="22"/>
          <w:lang w:val="en-GB"/>
        </w:rPr>
        <w:t>ing</w:t>
      </w:r>
      <w:r w:rsidR="00EA4D13" w:rsidRPr="003E751B">
        <w:rPr>
          <w:rFonts w:ascii="Calibri" w:hAnsi="Calibri"/>
          <w:sz w:val="22"/>
          <w:szCs w:val="22"/>
          <w:lang w:val="en-GB"/>
        </w:rPr>
        <w:t xml:space="preserve"> estates</w:t>
      </w:r>
      <w:r w:rsidR="000D4772" w:rsidRPr="003E751B">
        <w:rPr>
          <w:rFonts w:ascii="Calibri" w:hAnsi="Calibri"/>
          <w:sz w:val="22"/>
          <w:szCs w:val="22"/>
          <w:lang w:val="en-GB"/>
        </w:rPr>
        <w:t xml:space="preserve"> and </w:t>
      </w:r>
      <w:r w:rsidR="00EA4D13" w:rsidRPr="003E751B">
        <w:rPr>
          <w:rFonts w:ascii="Calibri" w:hAnsi="Calibri"/>
          <w:sz w:val="22"/>
          <w:szCs w:val="22"/>
          <w:lang w:val="en-GB"/>
        </w:rPr>
        <w:t>warehouse developments offering mainly routine jobs</w:t>
      </w:r>
      <w:r w:rsidR="001636F9" w:rsidRPr="003E751B">
        <w:rPr>
          <w:rFonts w:ascii="Calibri" w:hAnsi="Calibri"/>
          <w:sz w:val="22"/>
          <w:szCs w:val="22"/>
          <w:lang w:val="en-GB"/>
        </w:rPr>
        <w:t xml:space="preserve"> </w:t>
      </w:r>
      <w:r w:rsidR="00EA4D13" w:rsidRPr="003E751B">
        <w:rPr>
          <w:rFonts w:ascii="Calibri" w:hAnsi="Calibri"/>
          <w:sz w:val="22"/>
          <w:szCs w:val="22"/>
          <w:lang w:val="en-GB"/>
        </w:rPr>
        <w:t xml:space="preserve">may exacerbate the already existing </w:t>
      </w:r>
      <w:r w:rsidR="00C02BF0" w:rsidRPr="003E751B">
        <w:rPr>
          <w:rFonts w:ascii="Calibri" w:hAnsi="Calibri"/>
          <w:sz w:val="22"/>
          <w:szCs w:val="22"/>
          <w:lang w:val="en-GB"/>
        </w:rPr>
        <w:t>divide</w:t>
      </w:r>
      <w:r w:rsidR="00EA4D13" w:rsidRPr="003E751B">
        <w:rPr>
          <w:rFonts w:ascii="Calibri" w:hAnsi="Calibri"/>
          <w:sz w:val="22"/>
          <w:szCs w:val="22"/>
          <w:lang w:val="en-GB"/>
        </w:rPr>
        <w:t xml:space="preserve"> between cities and their hinterland</w:t>
      </w:r>
      <w:r w:rsidR="00630F5F" w:rsidRPr="003E751B">
        <w:rPr>
          <w:rFonts w:ascii="Calibri" w:hAnsi="Calibri"/>
          <w:sz w:val="22"/>
          <w:szCs w:val="22"/>
          <w:lang w:val="en-GB"/>
        </w:rPr>
        <w:t>,</w:t>
      </w:r>
      <w:r w:rsidR="00C02BF0" w:rsidRPr="003E751B">
        <w:rPr>
          <w:rFonts w:ascii="Calibri" w:hAnsi="Calibri"/>
          <w:sz w:val="22"/>
          <w:szCs w:val="22"/>
          <w:lang w:val="en-GB"/>
        </w:rPr>
        <w:t xml:space="preserve"> or between urban and non-urban lifestyles, potentially </w:t>
      </w:r>
      <w:r w:rsidR="004F314A" w:rsidRPr="003E751B">
        <w:rPr>
          <w:rFonts w:ascii="Calibri" w:hAnsi="Calibri"/>
          <w:sz w:val="22"/>
          <w:szCs w:val="22"/>
          <w:lang w:val="en-GB"/>
        </w:rPr>
        <w:t xml:space="preserve">giving </w:t>
      </w:r>
      <w:r w:rsidR="00C02BF0" w:rsidRPr="003E751B">
        <w:rPr>
          <w:rFonts w:ascii="Calibri" w:hAnsi="Calibri"/>
          <w:sz w:val="22"/>
          <w:szCs w:val="22"/>
          <w:lang w:val="en-GB"/>
        </w:rPr>
        <w:t>rise to new political conflicts</w:t>
      </w:r>
      <w:r w:rsidR="001636F9" w:rsidRPr="003E751B">
        <w:rPr>
          <w:rFonts w:ascii="Calibri" w:hAnsi="Calibri"/>
          <w:sz w:val="22"/>
          <w:szCs w:val="22"/>
          <w:lang w:val="en-GB"/>
        </w:rPr>
        <w:t xml:space="preserve">. </w:t>
      </w:r>
    </w:p>
    <w:p w14:paraId="78A406A2" w14:textId="77777777" w:rsidR="008F67DD" w:rsidRPr="003E751B" w:rsidRDefault="008F67DD" w:rsidP="00AD0CCD">
      <w:pPr>
        <w:rPr>
          <w:rFonts w:ascii="Calibri" w:hAnsi="Calibri"/>
          <w:sz w:val="22"/>
          <w:szCs w:val="22"/>
          <w:lang w:val="en-GB"/>
        </w:rPr>
      </w:pPr>
    </w:p>
    <w:p w14:paraId="56AB5704" w14:textId="77777777" w:rsidR="00AD0CCD" w:rsidRPr="003E751B" w:rsidRDefault="00AD0CCD" w:rsidP="00C04608">
      <w:pPr>
        <w:keepNext/>
        <w:ind w:left="567" w:hanging="567"/>
        <w:rPr>
          <w:rFonts w:ascii="Calibri" w:hAnsi="Calibri"/>
          <w:b/>
          <w:sz w:val="22"/>
          <w:szCs w:val="22"/>
          <w:lang w:val="en-GB"/>
        </w:rPr>
      </w:pPr>
      <w:r w:rsidRPr="003E751B">
        <w:rPr>
          <w:rFonts w:ascii="Calibri" w:hAnsi="Calibri"/>
          <w:b/>
          <w:sz w:val="22"/>
          <w:szCs w:val="22"/>
          <w:lang w:val="en-GB"/>
        </w:rPr>
        <w:t>Acknowledg</w:t>
      </w:r>
      <w:r w:rsidR="005D4F71" w:rsidRPr="003E751B">
        <w:rPr>
          <w:rFonts w:ascii="Calibri" w:hAnsi="Calibri"/>
          <w:b/>
          <w:sz w:val="22"/>
          <w:szCs w:val="22"/>
          <w:lang w:val="en-GB"/>
        </w:rPr>
        <w:t>e</w:t>
      </w:r>
      <w:r w:rsidRPr="003E751B">
        <w:rPr>
          <w:rFonts w:ascii="Calibri" w:hAnsi="Calibri"/>
          <w:b/>
          <w:sz w:val="22"/>
          <w:szCs w:val="22"/>
          <w:lang w:val="en-GB"/>
        </w:rPr>
        <w:t>ments</w:t>
      </w:r>
    </w:p>
    <w:p w14:paraId="0636247A" w14:textId="77777777" w:rsidR="00AD0CCD" w:rsidRPr="003E751B" w:rsidRDefault="00AD0CCD" w:rsidP="00B66205">
      <w:pPr>
        <w:rPr>
          <w:rFonts w:ascii="Calibri" w:hAnsi="Calibri"/>
          <w:sz w:val="22"/>
          <w:szCs w:val="22"/>
          <w:lang w:val="en-GB"/>
        </w:rPr>
      </w:pPr>
      <w:r w:rsidRPr="003E751B">
        <w:rPr>
          <w:rFonts w:ascii="Calibri" w:hAnsi="Calibri"/>
          <w:sz w:val="22"/>
          <w:szCs w:val="22"/>
          <w:lang w:val="en-GB"/>
        </w:rPr>
        <w:t xml:space="preserve">Earlier versions of this paper have been presented at the workshop Urban Policies, Spatial Re-balancing and City-Regions, 20 May 2015 in Manchester, UK and the Polycentric City Regions in Transformation conference, 11–13 June 2015 in Essen, Germany. </w:t>
      </w:r>
      <w:r w:rsidR="007C5FD9" w:rsidRPr="003E751B">
        <w:rPr>
          <w:rFonts w:ascii="Calibri" w:hAnsi="Calibri"/>
          <w:sz w:val="22"/>
          <w:szCs w:val="22"/>
          <w:lang w:val="en-GB"/>
        </w:rPr>
        <w:t>The case study of St Helens was part of the Interreg IV</w:t>
      </w:r>
      <w:r w:rsidR="0050037F" w:rsidRPr="003E751B">
        <w:rPr>
          <w:rFonts w:ascii="Calibri" w:hAnsi="Calibri"/>
          <w:sz w:val="22"/>
          <w:szCs w:val="22"/>
          <w:lang w:val="en-GB"/>
        </w:rPr>
        <w:t>B</w:t>
      </w:r>
      <w:r w:rsidR="007C5FD9" w:rsidRPr="003E751B">
        <w:rPr>
          <w:rFonts w:ascii="Calibri" w:hAnsi="Calibri"/>
          <w:sz w:val="22"/>
          <w:szCs w:val="22"/>
          <w:lang w:val="en-GB"/>
        </w:rPr>
        <w:t xml:space="preserve"> project PURE Hubs, running from 2012 to 2015 in which the University of Liverpool and St Helens Council were project partners.</w:t>
      </w:r>
      <w:r w:rsidR="007C5FD9" w:rsidRPr="003E751B">
        <w:rPr>
          <w:rFonts w:ascii="Calibri" w:eastAsia="Times New Roman" w:hAnsi="Calibri"/>
          <w:color w:val="1F497D"/>
          <w:sz w:val="23"/>
          <w:szCs w:val="23"/>
          <w:shd w:val="clear" w:color="auto" w:fill="FFFFFF"/>
          <w:lang w:val="en-GB"/>
        </w:rPr>
        <w:t xml:space="preserve"> </w:t>
      </w:r>
    </w:p>
    <w:p w14:paraId="6621FEA3" w14:textId="77777777" w:rsidR="00B76C77" w:rsidRPr="003E751B" w:rsidRDefault="00B76C77" w:rsidP="00D9599A">
      <w:pPr>
        <w:rPr>
          <w:rFonts w:ascii="Calibri" w:hAnsi="Calibri"/>
          <w:sz w:val="22"/>
          <w:szCs w:val="22"/>
          <w:lang w:val="en-GB"/>
        </w:rPr>
      </w:pPr>
    </w:p>
    <w:p w14:paraId="41329466" w14:textId="77777777" w:rsidR="00E04375" w:rsidRPr="003E751B" w:rsidRDefault="00E04375" w:rsidP="00D9599A">
      <w:pPr>
        <w:keepNext/>
        <w:ind w:left="567" w:hanging="567"/>
        <w:rPr>
          <w:rFonts w:ascii="Calibri" w:hAnsi="Calibri"/>
          <w:b/>
          <w:sz w:val="22"/>
          <w:szCs w:val="22"/>
          <w:lang w:val="en-GB"/>
        </w:rPr>
      </w:pPr>
      <w:r w:rsidRPr="003E751B">
        <w:rPr>
          <w:rFonts w:ascii="Calibri" w:hAnsi="Calibri"/>
          <w:b/>
          <w:sz w:val="22"/>
          <w:szCs w:val="22"/>
          <w:lang w:val="en-GB"/>
        </w:rPr>
        <w:t>References</w:t>
      </w:r>
    </w:p>
    <w:p w14:paraId="4C73D715" w14:textId="77777777" w:rsidR="00165EB6" w:rsidRPr="003E751B" w:rsidRDefault="00165EB6" w:rsidP="00165EB6">
      <w:pPr>
        <w:pStyle w:val="EndNoteBibliography"/>
        <w:spacing w:after="0"/>
        <w:ind w:left="284" w:hanging="284"/>
        <w:rPr>
          <w:lang w:val="en-GB"/>
        </w:rPr>
      </w:pPr>
      <w:r w:rsidRPr="003E751B">
        <w:rPr>
          <w:i/>
          <w:lang w:val="en-GB"/>
        </w:rPr>
        <w:t>A Vision of Britain through Time</w:t>
      </w:r>
      <w:r w:rsidRPr="003E751B">
        <w:rPr>
          <w:lang w:val="en-GB"/>
        </w:rPr>
        <w:t xml:space="preserve"> 2017. URL: </w:t>
      </w:r>
      <w:hyperlink r:id="rId13" w:history="1">
        <w:r w:rsidRPr="003E751B">
          <w:rPr>
            <w:lang w:val="en-GB"/>
          </w:rPr>
          <w:t>http://www.visionofbritain.org.uk/unit/10102753/cube/TOT_POP</w:t>
        </w:r>
      </w:hyperlink>
      <w:r w:rsidRPr="003E751B">
        <w:rPr>
          <w:lang w:val="en-GB"/>
        </w:rPr>
        <w:t>, 11.4.2017.</w:t>
      </w:r>
    </w:p>
    <w:p w14:paraId="130F2C27" w14:textId="226DE70F" w:rsidR="00526177" w:rsidRDefault="00526177" w:rsidP="00526177">
      <w:pPr>
        <w:pStyle w:val="EndNoteBibliography"/>
        <w:spacing w:after="0"/>
        <w:ind w:left="284" w:hanging="284"/>
        <w:rPr>
          <w:lang w:val="en-GB"/>
        </w:rPr>
      </w:pPr>
      <w:r w:rsidRPr="003E751B">
        <w:rPr>
          <w:i/>
          <w:lang w:val="en-GB"/>
        </w:rPr>
        <w:t>Albecker, Marie-Fleur; Fol, Sylvie</w:t>
      </w:r>
      <w:r w:rsidRPr="003E751B">
        <w:rPr>
          <w:lang w:val="en-GB"/>
        </w:rPr>
        <w:t xml:space="preserve"> 2014: The Restructuring of Declining Surburbs in the Paris Region. In: Pallagst, Karina; Martinez-Fernandez, Cristin</w:t>
      </w:r>
      <w:r w:rsidR="009371BA" w:rsidRPr="003E751B">
        <w:rPr>
          <w:lang w:val="en-GB"/>
        </w:rPr>
        <w:t>a</w:t>
      </w:r>
      <w:r w:rsidRPr="003E751B">
        <w:rPr>
          <w:lang w:val="en-GB"/>
        </w:rPr>
        <w:t>; Wiechmann, Thorsten (Eds.): Shrinking Cities: International Perspectives and Policy Implications. New York: Routledge: 78-98.</w:t>
      </w:r>
      <w:r w:rsidR="000C703F">
        <w:rPr>
          <w:lang w:val="en-GB"/>
        </w:rPr>
        <w:t xml:space="preserve"> </w:t>
      </w:r>
    </w:p>
    <w:p w14:paraId="47AB0172" w14:textId="77777777" w:rsidR="000C703F" w:rsidRPr="003E751B" w:rsidRDefault="000C703F" w:rsidP="000C703F">
      <w:pPr>
        <w:pStyle w:val="EndNoteBibliography"/>
        <w:spacing w:after="0"/>
        <w:ind w:left="284" w:hanging="284"/>
        <w:rPr>
          <w:lang w:val="en-GB"/>
        </w:rPr>
      </w:pPr>
      <w:r w:rsidRPr="000C703F">
        <w:rPr>
          <w:i/>
          <w:lang w:val="en-GB"/>
        </w:rPr>
        <w:t>Allen, Chris</w:t>
      </w:r>
      <w:r w:rsidRPr="006E2750">
        <w:rPr>
          <w:lang w:val="en-GB"/>
        </w:rPr>
        <w:t xml:space="preserve"> </w:t>
      </w:r>
      <w:r>
        <w:rPr>
          <w:lang w:val="en-GB"/>
        </w:rPr>
        <w:t xml:space="preserve">2007 </w:t>
      </w:r>
      <w:r w:rsidRPr="006E2750">
        <w:rPr>
          <w:lang w:val="en-GB"/>
        </w:rPr>
        <w:t>Of urban entrepreneurs or 24-hour party people? City-centre living in Manchester, England</w:t>
      </w:r>
      <w:r>
        <w:rPr>
          <w:lang w:val="en-GB"/>
        </w:rPr>
        <w:t>. In:</w:t>
      </w:r>
      <w:r w:rsidRPr="006E2750">
        <w:rPr>
          <w:lang w:val="en-GB"/>
        </w:rPr>
        <w:t xml:space="preserve"> Environment and Planning A 39,3: 666</w:t>
      </w:r>
      <w:r>
        <w:rPr>
          <w:lang w:val="en-GB"/>
        </w:rPr>
        <w:t>-</w:t>
      </w:r>
      <w:r w:rsidRPr="006E2750">
        <w:rPr>
          <w:lang w:val="en-GB"/>
        </w:rPr>
        <w:t xml:space="preserve">683 </w:t>
      </w:r>
      <w:r w:rsidRPr="003E751B">
        <w:rPr>
          <w:lang w:val="en-GB"/>
        </w:rPr>
        <w:t xml:space="preserve">[doi: </w:t>
      </w:r>
      <w:hyperlink r:id="rId14" w:history="1">
        <w:r w:rsidRPr="006E2750">
          <w:rPr>
            <w:lang w:val="en-GB"/>
          </w:rPr>
          <w:t>10.1068/a37302</w:t>
        </w:r>
      </w:hyperlink>
      <w:r w:rsidRPr="003E751B">
        <w:rPr>
          <w:lang w:val="en-GB"/>
        </w:rPr>
        <w:t>].</w:t>
      </w:r>
    </w:p>
    <w:p w14:paraId="481DA0BF" w14:textId="77777777" w:rsidR="00D95229" w:rsidRPr="003E751B" w:rsidRDefault="00D95229" w:rsidP="00D9599A">
      <w:pPr>
        <w:pStyle w:val="EndNoteBibliography"/>
        <w:spacing w:after="0"/>
        <w:ind w:left="284" w:hanging="284"/>
        <w:rPr>
          <w:lang w:val="en-GB"/>
        </w:rPr>
      </w:pPr>
      <w:r w:rsidRPr="003E751B">
        <w:rPr>
          <w:i/>
          <w:lang w:val="en-GB"/>
        </w:rPr>
        <w:t>Audirac, Ivonne et al.</w:t>
      </w:r>
      <w:r w:rsidRPr="003E751B">
        <w:rPr>
          <w:lang w:val="en-GB"/>
        </w:rPr>
        <w:t xml:space="preserve"> 2012: Declining suburbs in Europe and Latin America. In: International Journal of Urban and Regional Research 36,2: 226-244 [doi: </w:t>
      </w:r>
      <w:hyperlink r:id="rId15" w:history="1">
        <w:r w:rsidRPr="003E751B">
          <w:rPr>
            <w:lang w:val="en-GB"/>
          </w:rPr>
          <w:t>10.1111/j.1468-2427.2011.01093.x</w:t>
        </w:r>
      </w:hyperlink>
      <w:r w:rsidR="00EF0B03" w:rsidRPr="003E751B">
        <w:rPr>
          <w:lang w:val="en-GB"/>
        </w:rPr>
        <w:t>].</w:t>
      </w:r>
    </w:p>
    <w:p w14:paraId="33AC8B4A" w14:textId="77777777" w:rsidR="00E4512A" w:rsidRPr="003E751B" w:rsidRDefault="00E4512A" w:rsidP="00E4512A">
      <w:pPr>
        <w:pStyle w:val="EndNoteBibliography"/>
        <w:spacing w:after="0"/>
        <w:ind w:left="284" w:hanging="284"/>
        <w:rPr>
          <w:lang w:val="en-GB"/>
        </w:rPr>
      </w:pPr>
      <w:r w:rsidRPr="003E751B">
        <w:rPr>
          <w:i/>
          <w:lang w:val="en-GB"/>
        </w:rPr>
        <w:t>Batey, Peter; Brown, Peter</w:t>
      </w:r>
      <w:r w:rsidRPr="003E751B">
        <w:rPr>
          <w:lang w:val="en-GB"/>
        </w:rPr>
        <w:t xml:space="preserve"> 2007: The spatial targeting of urban policy initiatives: a geodemographic assessment tool</w:t>
      </w:r>
      <w:r w:rsidR="008D6214" w:rsidRPr="003E751B">
        <w:rPr>
          <w:lang w:val="en-GB"/>
        </w:rPr>
        <w:t>.</w:t>
      </w:r>
      <w:r w:rsidRPr="003E751B">
        <w:rPr>
          <w:lang w:val="en-GB"/>
        </w:rPr>
        <w:t xml:space="preserve"> In: Environment and Planning A </w:t>
      </w:r>
      <w:r w:rsidR="00DF61FE" w:rsidRPr="003E751B">
        <w:rPr>
          <w:lang w:val="en-GB"/>
        </w:rPr>
        <w:t>39,11:</w:t>
      </w:r>
      <w:r w:rsidRPr="003E751B">
        <w:rPr>
          <w:lang w:val="en-GB"/>
        </w:rPr>
        <w:t xml:space="preserve"> 2774-2793 [doi: </w:t>
      </w:r>
      <w:hyperlink r:id="rId16" w:history="1">
        <w:r w:rsidRPr="003E751B">
          <w:rPr>
            <w:lang w:val="en-GB"/>
          </w:rPr>
          <w:t>10.1068/a38519</w:t>
        </w:r>
      </w:hyperlink>
      <w:r w:rsidRPr="003E751B">
        <w:rPr>
          <w:lang w:val="en-GB"/>
        </w:rPr>
        <w:t>].</w:t>
      </w:r>
    </w:p>
    <w:p w14:paraId="7D686FCB" w14:textId="77777777" w:rsidR="00F43862" w:rsidRPr="003E751B" w:rsidRDefault="00F43862" w:rsidP="00F43862">
      <w:pPr>
        <w:pStyle w:val="EndNoteBibliography"/>
        <w:spacing w:after="0"/>
        <w:ind w:left="284" w:hanging="284"/>
        <w:rPr>
          <w:lang w:val="en-GB"/>
        </w:rPr>
      </w:pPr>
      <w:r w:rsidRPr="003E751B">
        <w:rPr>
          <w:i/>
          <w:lang w:val="en-GB"/>
        </w:rPr>
        <w:t>Berndgen-Kaiser, Andrea et al.</w:t>
      </w:r>
      <w:r w:rsidRPr="003E751B">
        <w:rPr>
          <w:lang w:val="en-GB"/>
        </w:rPr>
        <w:t xml:space="preserve"> 2014: Demography-driven suburban decline? At the crossroads: mature single-family housing estates in Germany. In: Journal of Urbanism: International Research on Placemaking and Urban Sustainability 7,3: 286-306 [doi: </w:t>
      </w:r>
      <w:hyperlink r:id="rId17" w:history="1">
        <w:r w:rsidRPr="003E751B">
          <w:rPr>
            <w:lang w:val="en-GB"/>
          </w:rPr>
          <w:t>10.1080/17549175.2013.879456</w:t>
        </w:r>
      </w:hyperlink>
      <w:r w:rsidRPr="003E751B">
        <w:rPr>
          <w:lang w:val="en-GB"/>
        </w:rPr>
        <w:t>].</w:t>
      </w:r>
    </w:p>
    <w:p w14:paraId="4D9D4418" w14:textId="77777777" w:rsidR="00CA476F" w:rsidRPr="003E751B" w:rsidRDefault="00CA476F" w:rsidP="00DF61FE">
      <w:pPr>
        <w:pStyle w:val="EndNoteBibliography"/>
        <w:spacing w:after="0"/>
        <w:ind w:left="284" w:hanging="284"/>
        <w:rPr>
          <w:lang w:val="en-GB"/>
        </w:rPr>
      </w:pPr>
      <w:r w:rsidRPr="003E751B">
        <w:rPr>
          <w:i/>
          <w:lang w:val="en-GB"/>
        </w:rPr>
        <w:lastRenderedPageBreak/>
        <w:t>Berry, Brian</w:t>
      </w:r>
      <w:r w:rsidR="00B351FB" w:rsidRPr="003E751B">
        <w:rPr>
          <w:i/>
          <w:lang w:val="en-GB"/>
        </w:rPr>
        <w:t xml:space="preserve"> J. L.</w:t>
      </w:r>
      <w:r w:rsidRPr="003E751B">
        <w:rPr>
          <w:lang w:val="en-GB"/>
        </w:rPr>
        <w:t xml:space="preserve"> 1980: Urbanization and Counterurbanization in the United States. In: </w:t>
      </w:r>
      <w:r w:rsidR="00DA3AF1" w:rsidRPr="003E751B">
        <w:rPr>
          <w:iCs/>
          <w:lang w:val="en-GB"/>
        </w:rPr>
        <w:t>The Annals of the American Academy of Political and Social Science</w:t>
      </w:r>
      <w:r w:rsidR="00DA3AF1" w:rsidRPr="003E751B">
        <w:rPr>
          <w:i/>
          <w:iCs/>
          <w:lang w:val="en-GB"/>
        </w:rPr>
        <w:t xml:space="preserve"> </w:t>
      </w:r>
      <w:r w:rsidR="00DA3AF1" w:rsidRPr="003E751B">
        <w:rPr>
          <w:lang w:val="en-GB"/>
        </w:rPr>
        <w:t>451: 13-20</w:t>
      </w:r>
      <w:r w:rsidR="00B351FB" w:rsidRPr="003E751B">
        <w:rPr>
          <w:lang w:val="en-GB"/>
        </w:rPr>
        <w:t>.</w:t>
      </w:r>
    </w:p>
    <w:p w14:paraId="254A224A" w14:textId="77777777" w:rsidR="00587237" w:rsidRPr="003E751B" w:rsidRDefault="00587237" w:rsidP="00DF61FE">
      <w:pPr>
        <w:pStyle w:val="EndNoteBibliography"/>
        <w:spacing w:after="0"/>
        <w:ind w:left="284" w:hanging="284"/>
        <w:rPr>
          <w:lang w:val="en-GB"/>
        </w:rPr>
      </w:pPr>
      <w:r w:rsidRPr="003E751B">
        <w:rPr>
          <w:i/>
          <w:lang w:val="en-GB"/>
        </w:rPr>
        <w:t>Blanco, Hilda et al.</w:t>
      </w:r>
      <w:r w:rsidRPr="003E751B">
        <w:rPr>
          <w:lang w:val="en-GB"/>
        </w:rPr>
        <w:t xml:space="preserve"> 2009: Shaken, shrinking, hot, impoverished and informal: emerging research agendas in planning. In: Progress in Planning 72,4: 195-250 [doi: </w:t>
      </w:r>
      <w:hyperlink r:id="rId18" w:history="1">
        <w:r w:rsidRPr="003E751B">
          <w:rPr>
            <w:lang w:val="en-GB"/>
          </w:rPr>
          <w:t>10.1016/j.progress.2009.09.001</w:t>
        </w:r>
      </w:hyperlink>
      <w:r w:rsidRPr="003E751B">
        <w:rPr>
          <w:lang w:val="en-GB"/>
        </w:rPr>
        <w:t>].</w:t>
      </w:r>
    </w:p>
    <w:p w14:paraId="5D87D262" w14:textId="77777777" w:rsidR="00044010" w:rsidRPr="003E751B" w:rsidRDefault="00044010" w:rsidP="00D9599A">
      <w:pPr>
        <w:pStyle w:val="EndNoteBibliography"/>
        <w:spacing w:after="0"/>
        <w:ind w:left="284" w:hanging="284"/>
        <w:rPr>
          <w:lang w:val="en-GB"/>
        </w:rPr>
      </w:pPr>
      <w:r w:rsidRPr="003E751B">
        <w:rPr>
          <w:bCs/>
          <w:i/>
          <w:lang w:val="en-GB"/>
        </w:rPr>
        <w:t>Brake</w:t>
      </w:r>
      <w:r w:rsidRPr="003E751B">
        <w:rPr>
          <w:i/>
          <w:lang w:val="en-GB"/>
        </w:rPr>
        <w:t>, K</w:t>
      </w:r>
      <w:r w:rsidR="00A72259" w:rsidRPr="003E751B">
        <w:rPr>
          <w:i/>
          <w:lang w:val="en-GB"/>
        </w:rPr>
        <w:t xml:space="preserve">laus; </w:t>
      </w:r>
      <w:r w:rsidRPr="003E751B">
        <w:rPr>
          <w:bCs/>
          <w:i/>
          <w:lang w:val="en-GB"/>
        </w:rPr>
        <w:t>Herfert</w:t>
      </w:r>
      <w:r w:rsidR="00A72259" w:rsidRPr="003E751B">
        <w:rPr>
          <w:bCs/>
          <w:i/>
          <w:lang w:val="en-GB"/>
        </w:rPr>
        <w:t>,</w:t>
      </w:r>
      <w:r w:rsidRPr="003E751B">
        <w:rPr>
          <w:i/>
          <w:lang w:val="en-GB"/>
        </w:rPr>
        <w:t xml:space="preserve"> </w:t>
      </w:r>
      <w:r w:rsidR="00A72259" w:rsidRPr="003E751B">
        <w:rPr>
          <w:i/>
          <w:lang w:val="en-GB"/>
        </w:rPr>
        <w:t>Günter</w:t>
      </w:r>
      <w:r w:rsidR="00A72259" w:rsidRPr="003E751B">
        <w:rPr>
          <w:lang w:val="en-GB"/>
        </w:rPr>
        <w:t xml:space="preserve"> </w:t>
      </w:r>
      <w:r w:rsidR="005B51BA" w:rsidRPr="003E751B">
        <w:rPr>
          <w:lang w:val="en-GB"/>
        </w:rPr>
        <w:t xml:space="preserve">(Eds.) </w:t>
      </w:r>
      <w:r w:rsidRPr="003E751B">
        <w:rPr>
          <w:lang w:val="en-GB"/>
        </w:rPr>
        <w:t>2012</w:t>
      </w:r>
      <w:r w:rsidR="005B51BA" w:rsidRPr="003E751B">
        <w:rPr>
          <w:lang w:val="en-GB"/>
        </w:rPr>
        <w:t>:</w:t>
      </w:r>
      <w:r w:rsidRPr="003E751B">
        <w:rPr>
          <w:lang w:val="en-GB"/>
        </w:rPr>
        <w:t xml:space="preserve"> Reurbanisierung: Materialität und Diskurs in Deutschland. </w:t>
      </w:r>
      <w:r w:rsidR="00EF0B03" w:rsidRPr="003E751B">
        <w:rPr>
          <w:lang w:val="en-GB"/>
        </w:rPr>
        <w:t>Wiesbaden: Springer VS.</w:t>
      </w:r>
    </w:p>
    <w:p w14:paraId="2411337C" w14:textId="77777777" w:rsidR="00241AC0" w:rsidRPr="003E751B" w:rsidRDefault="00241AC0" w:rsidP="00241AC0">
      <w:pPr>
        <w:pStyle w:val="EndNoteBibliography"/>
        <w:spacing w:after="0"/>
        <w:ind w:left="284" w:hanging="284"/>
        <w:rPr>
          <w:lang w:val="en-GB"/>
        </w:rPr>
      </w:pPr>
      <w:r w:rsidRPr="003E751B">
        <w:rPr>
          <w:i/>
          <w:lang w:val="en-GB"/>
        </w:rPr>
        <w:t xml:space="preserve">Buzar, Stefan; Hall, Ray; Ogden, Philip E. </w:t>
      </w:r>
      <w:r w:rsidRPr="003E751B">
        <w:rPr>
          <w:lang w:val="en-GB"/>
        </w:rPr>
        <w:t>2007: Beyond gentrification: the demographic reurbanisation of Bologna</w:t>
      </w:r>
      <w:r w:rsidR="008D6214" w:rsidRPr="003E751B">
        <w:rPr>
          <w:lang w:val="en-GB"/>
        </w:rPr>
        <w:t>. In:</w:t>
      </w:r>
      <w:r w:rsidRPr="003E751B">
        <w:rPr>
          <w:lang w:val="en-GB"/>
        </w:rPr>
        <w:t xml:space="preserve"> Environment and Planning A 39,1: 64-85 [doi: </w:t>
      </w:r>
      <w:hyperlink r:id="rId19" w:history="1">
        <w:r w:rsidRPr="003E751B">
          <w:rPr>
            <w:lang w:val="en-GB"/>
          </w:rPr>
          <w:t>10.1068/a39109</w:t>
        </w:r>
      </w:hyperlink>
      <w:r w:rsidRPr="003E751B">
        <w:rPr>
          <w:lang w:val="en-GB"/>
        </w:rPr>
        <w:t>].</w:t>
      </w:r>
    </w:p>
    <w:p w14:paraId="42F0D764" w14:textId="77777777" w:rsidR="00023BE6" w:rsidRDefault="00023BE6" w:rsidP="00023BE6">
      <w:pPr>
        <w:pStyle w:val="EndNoteBibliography"/>
        <w:spacing w:after="0"/>
        <w:ind w:left="284" w:hanging="284"/>
        <w:rPr>
          <w:lang w:val="en-GB"/>
        </w:rPr>
      </w:pPr>
      <w:r w:rsidRPr="003E751B">
        <w:rPr>
          <w:i/>
          <w:lang w:val="en-GB"/>
        </w:rPr>
        <w:t>Champion, A. G.</w:t>
      </w:r>
      <w:r w:rsidRPr="003E751B">
        <w:rPr>
          <w:lang w:val="en-GB"/>
        </w:rPr>
        <w:t xml:space="preserve"> 1989: Counterurbanization in Britain. In: The Geographical Journal 155,1: 52-59 [doi: </w:t>
      </w:r>
      <w:hyperlink r:id="rId20" w:history="1">
        <w:r w:rsidRPr="003E751B">
          <w:rPr>
            <w:lang w:val="en-GB"/>
          </w:rPr>
          <w:t>10.2307/635380</w:t>
        </w:r>
      </w:hyperlink>
      <w:r w:rsidRPr="003E751B">
        <w:rPr>
          <w:lang w:val="en-GB"/>
        </w:rPr>
        <w:t>].</w:t>
      </w:r>
    </w:p>
    <w:p w14:paraId="492F8B50" w14:textId="1256C20C" w:rsidR="00DB5E15" w:rsidRPr="00BE4AC6" w:rsidRDefault="00DB5E15" w:rsidP="00BE4AC6">
      <w:pPr>
        <w:pStyle w:val="EndNoteBibliography"/>
        <w:spacing w:after="0"/>
        <w:ind w:left="284" w:hanging="284"/>
        <w:rPr>
          <w:lang w:val="en-GB"/>
        </w:rPr>
      </w:pPr>
      <w:r>
        <w:rPr>
          <w:i/>
          <w:lang w:val="en-GB"/>
        </w:rPr>
        <w:t>Champion, A.</w:t>
      </w:r>
      <w:r>
        <w:rPr>
          <w:lang w:val="en-GB"/>
        </w:rPr>
        <w:t xml:space="preserve"> G.</w:t>
      </w:r>
      <w:r w:rsidR="00BE4AC6">
        <w:rPr>
          <w:lang w:val="en-GB"/>
        </w:rPr>
        <w:t xml:space="preserve"> 2001:</w:t>
      </w:r>
      <w:r>
        <w:rPr>
          <w:lang w:val="en-GB"/>
        </w:rPr>
        <w:t xml:space="preserve"> </w:t>
      </w:r>
      <w:r w:rsidR="00BE4AC6" w:rsidRPr="00BE4AC6">
        <w:rPr>
          <w:lang w:val="en-GB"/>
        </w:rPr>
        <w:t xml:space="preserve">A Changing Demographic Regime and Evolving Poly centric Urban Regions: Consequences for the Size, Composition and Distribution of City Populations. In: Urban Studies 38,4: 657–677 [doi: </w:t>
      </w:r>
      <w:hyperlink r:id="rId21" w:history="1">
        <w:r w:rsidR="00BE4AC6" w:rsidRPr="00BE4AC6">
          <w:rPr>
            <w:lang w:val="en-GB"/>
          </w:rPr>
          <w:t>10.1080/00420980120035277</w:t>
        </w:r>
      </w:hyperlink>
      <w:r w:rsidR="00BE4AC6" w:rsidRPr="00BE4AC6">
        <w:rPr>
          <w:lang w:val="en-GB"/>
        </w:rPr>
        <w:t>]</w:t>
      </w:r>
    </w:p>
    <w:p w14:paraId="5BF8D99A" w14:textId="64DF3F64" w:rsidR="0076349D" w:rsidRPr="003E751B" w:rsidRDefault="0076349D" w:rsidP="008D6214">
      <w:pPr>
        <w:pStyle w:val="EndNoteBibliography"/>
        <w:spacing w:after="0"/>
        <w:ind w:left="284" w:hanging="284"/>
        <w:rPr>
          <w:i/>
          <w:lang w:val="en-GB"/>
        </w:rPr>
      </w:pPr>
      <w:r w:rsidRPr="003E751B">
        <w:rPr>
          <w:i/>
          <w:lang w:val="en-GB"/>
        </w:rPr>
        <w:t xml:space="preserve">Champion, </w:t>
      </w:r>
      <w:r w:rsidR="00950CDC" w:rsidRPr="00172EE0">
        <w:rPr>
          <w:i/>
          <w:lang w:val="en-GB"/>
        </w:rPr>
        <w:t xml:space="preserve">Tony </w:t>
      </w:r>
      <w:r w:rsidR="00950CDC" w:rsidRPr="003E751B">
        <w:rPr>
          <w:lang w:val="en-GB"/>
        </w:rPr>
        <w:t>2005: The counterurbanisation cascade in England and Wales since 1991: the evidence of a new migration dataset</w:t>
      </w:r>
      <w:r w:rsidR="00383EFF" w:rsidRPr="00185AD2">
        <w:rPr>
          <w:lang w:val="en-GB"/>
        </w:rPr>
        <w:t>. In:</w:t>
      </w:r>
      <w:r w:rsidR="00950CDC" w:rsidRPr="003E751B">
        <w:rPr>
          <w:lang w:val="en-GB"/>
        </w:rPr>
        <w:t xml:space="preserve"> Belgeo 1-2</w:t>
      </w:r>
      <w:r w:rsidR="00771AD1" w:rsidRPr="003E751B">
        <w:rPr>
          <w:lang w:val="en-GB"/>
        </w:rPr>
        <w:t>(2005</w:t>
      </w:r>
      <w:r w:rsidR="00383EFF" w:rsidRPr="003E751B">
        <w:rPr>
          <w:lang w:val="en-GB"/>
        </w:rPr>
        <w:t xml:space="preserve">): </w:t>
      </w:r>
      <w:r w:rsidR="00950CDC" w:rsidRPr="003E751B">
        <w:rPr>
          <w:lang w:val="en-GB"/>
        </w:rPr>
        <w:t xml:space="preserve">85-102 [doi: </w:t>
      </w:r>
      <w:hyperlink r:id="rId22" w:history="1">
        <w:r w:rsidR="00950CDC" w:rsidRPr="003E751B">
          <w:rPr>
            <w:lang w:val="en-GB"/>
          </w:rPr>
          <w:t>10.4000/belgeo.12440</w:t>
        </w:r>
      </w:hyperlink>
      <w:r w:rsidR="00950CDC" w:rsidRPr="003E751B">
        <w:rPr>
          <w:lang w:val="en-GB"/>
        </w:rPr>
        <w:t>].</w:t>
      </w:r>
    </w:p>
    <w:p w14:paraId="74C0DE81" w14:textId="77777777" w:rsidR="008D6214" w:rsidRPr="003E751B" w:rsidRDefault="008D6214" w:rsidP="008D6214">
      <w:pPr>
        <w:pStyle w:val="EndNoteBibliography"/>
        <w:spacing w:after="0"/>
        <w:ind w:left="284" w:hanging="284"/>
        <w:rPr>
          <w:lang w:val="en-GB"/>
        </w:rPr>
      </w:pPr>
      <w:r w:rsidRPr="003E751B">
        <w:rPr>
          <w:i/>
          <w:lang w:val="en-GB"/>
        </w:rPr>
        <w:t>Cheshire, Paul</w:t>
      </w:r>
      <w:r w:rsidR="00FE763B" w:rsidRPr="003E751B">
        <w:rPr>
          <w:i/>
          <w:lang w:val="en-GB"/>
        </w:rPr>
        <w:t xml:space="preserve"> C.</w:t>
      </w:r>
      <w:r w:rsidRPr="003E751B">
        <w:rPr>
          <w:lang w:val="en-GB"/>
        </w:rPr>
        <w:t xml:space="preserve"> 2006: Resurgent </w:t>
      </w:r>
      <w:r w:rsidR="003D6480" w:rsidRPr="003E751B">
        <w:rPr>
          <w:lang w:val="en-GB"/>
        </w:rPr>
        <w:t>c</w:t>
      </w:r>
      <w:r w:rsidRPr="003E751B">
        <w:rPr>
          <w:lang w:val="en-GB"/>
        </w:rPr>
        <w:t xml:space="preserve">ities, </w:t>
      </w:r>
      <w:r w:rsidR="003D6480" w:rsidRPr="003E751B">
        <w:rPr>
          <w:lang w:val="en-GB"/>
        </w:rPr>
        <w:t>u</w:t>
      </w:r>
      <w:r w:rsidRPr="003E751B">
        <w:rPr>
          <w:lang w:val="en-GB"/>
        </w:rPr>
        <w:t xml:space="preserve">rban </w:t>
      </w:r>
      <w:r w:rsidR="003D6480" w:rsidRPr="003E751B">
        <w:rPr>
          <w:lang w:val="en-GB"/>
        </w:rPr>
        <w:t>m</w:t>
      </w:r>
      <w:r w:rsidRPr="003E751B">
        <w:rPr>
          <w:lang w:val="en-GB"/>
        </w:rPr>
        <w:t xml:space="preserve">yths and </w:t>
      </w:r>
      <w:r w:rsidR="003D6480" w:rsidRPr="003E751B">
        <w:rPr>
          <w:lang w:val="en-GB"/>
        </w:rPr>
        <w:t>p</w:t>
      </w:r>
      <w:r w:rsidRPr="003E751B">
        <w:rPr>
          <w:lang w:val="en-GB"/>
        </w:rPr>
        <w:t xml:space="preserve">olicy </w:t>
      </w:r>
      <w:r w:rsidR="003D6480" w:rsidRPr="003E751B">
        <w:rPr>
          <w:lang w:val="en-GB"/>
        </w:rPr>
        <w:t>h</w:t>
      </w:r>
      <w:r w:rsidRPr="003E751B">
        <w:rPr>
          <w:lang w:val="en-GB"/>
        </w:rPr>
        <w:t xml:space="preserve">ubris: </w:t>
      </w:r>
      <w:r w:rsidR="003D6480" w:rsidRPr="003E751B">
        <w:rPr>
          <w:lang w:val="en-GB"/>
        </w:rPr>
        <w:t>w</w:t>
      </w:r>
      <w:r w:rsidRPr="003E751B">
        <w:rPr>
          <w:lang w:val="en-GB"/>
        </w:rPr>
        <w:t xml:space="preserve">hat </w:t>
      </w:r>
      <w:r w:rsidR="003D6480" w:rsidRPr="003E751B">
        <w:rPr>
          <w:lang w:val="en-GB"/>
        </w:rPr>
        <w:t>w</w:t>
      </w:r>
      <w:r w:rsidRPr="003E751B">
        <w:rPr>
          <w:lang w:val="en-GB"/>
        </w:rPr>
        <w:t xml:space="preserve">e </w:t>
      </w:r>
      <w:r w:rsidR="003D6480" w:rsidRPr="003E751B">
        <w:rPr>
          <w:lang w:val="en-GB"/>
        </w:rPr>
        <w:t>n</w:t>
      </w:r>
      <w:r w:rsidRPr="003E751B">
        <w:rPr>
          <w:lang w:val="en-GB"/>
        </w:rPr>
        <w:t xml:space="preserve">eed to </w:t>
      </w:r>
      <w:r w:rsidR="003D6480" w:rsidRPr="003E751B">
        <w:rPr>
          <w:lang w:val="en-GB"/>
        </w:rPr>
        <w:t>k</w:t>
      </w:r>
      <w:r w:rsidRPr="003E751B">
        <w:rPr>
          <w:lang w:val="en-GB"/>
        </w:rPr>
        <w:t xml:space="preserve">now. In: Urban Studies 43,8: 1231-1246 [doi: </w:t>
      </w:r>
      <w:hyperlink r:id="rId23" w:history="1">
        <w:r w:rsidRPr="003E751B">
          <w:rPr>
            <w:lang w:val="en-GB"/>
          </w:rPr>
          <w:t>10.1080/00420980600775600</w:t>
        </w:r>
      </w:hyperlink>
      <w:r w:rsidRPr="003E751B">
        <w:rPr>
          <w:lang w:val="en-GB"/>
        </w:rPr>
        <w:t>].</w:t>
      </w:r>
    </w:p>
    <w:p w14:paraId="2624FAD8" w14:textId="77777777" w:rsidR="00505A5E" w:rsidRPr="003E751B" w:rsidRDefault="00D95229" w:rsidP="00D9599A">
      <w:pPr>
        <w:pStyle w:val="EndNoteBibliography"/>
        <w:spacing w:after="0"/>
        <w:ind w:left="284" w:hanging="284"/>
        <w:rPr>
          <w:lang w:val="en-GB"/>
        </w:rPr>
      </w:pPr>
      <w:r w:rsidRPr="003E751B">
        <w:rPr>
          <w:i/>
          <w:lang w:val="en-GB"/>
        </w:rPr>
        <w:t>Colomb, Claire</w:t>
      </w:r>
      <w:r w:rsidR="00505A5E" w:rsidRPr="003E751B">
        <w:rPr>
          <w:lang w:val="en-GB"/>
        </w:rPr>
        <w:t xml:space="preserve"> 2007</w:t>
      </w:r>
      <w:r w:rsidRPr="003E751B">
        <w:rPr>
          <w:lang w:val="en-GB"/>
        </w:rPr>
        <w:t>:</w:t>
      </w:r>
      <w:r w:rsidR="00505A5E" w:rsidRPr="003E751B">
        <w:rPr>
          <w:lang w:val="en-GB"/>
        </w:rPr>
        <w:t xml:space="preserve"> Unpacking New Labour’s ‘</w:t>
      </w:r>
      <w:r w:rsidR="000D6B44" w:rsidRPr="003E751B">
        <w:rPr>
          <w:lang w:val="en-GB"/>
        </w:rPr>
        <w:t>u</w:t>
      </w:r>
      <w:r w:rsidR="00505A5E" w:rsidRPr="003E751B">
        <w:rPr>
          <w:lang w:val="en-GB"/>
        </w:rPr>
        <w:t>rb</w:t>
      </w:r>
      <w:r w:rsidR="000D6B44" w:rsidRPr="003E751B">
        <w:rPr>
          <w:lang w:val="en-GB"/>
        </w:rPr>
        <w:t>an r</w:t>
      </w:r>
      <w:r w:rsidR="00505A5E" w:rsidRPr="003E751B">
        <w:rPr>
          <w:lang w:val="en-GB"/>
        </w:rPr>
        <w:t xml:space="preserve">enaissance’ </w:t>
      </w:r>
      <w:r w:rsidR="000D6B44" w:rsidRPr="003E751B">
        <w:rPr>
          <w:lang w:val="en-GB"/>
        </w:rPr>
        <w:t>a</w:t>
      </w:r>
      <w:r w:rsidR="00505A5E" w:rsidRPr="003E751B">
        <w:rPr>
          <w:lang w:val="en-GB"/>
        </w:rPr>
        <w:t xml:space="preserve">genda: </w:t>
      </w:r>
      <w:r w:rsidR="000D6B44" w:rsidRPr="003E751B">
        <w:rPr>
          <w:lang w:val="en-GB"/>
        </w:rPr>
        <w:t>t</w:t>
      </w:r>
      <w:r w:rsidR="00505A5E" w:rsidRPr="003E751B">
        <w:rPr>
          <w:lang w:val="en-GB"/>
        </w:rPr>
        <w:t xml:space="preserve">owards a </w:t>
      </w:r>
      <w:r w:rsidR="000D6B44" w:rsidRPr="003E751B">
        <w:rPr>
          <w:lang w:val="en-GB"/>
        </w:rPr>
        <w:t>s</w:t>
      </w:r>
      <w:r w:rsidR="00505A5E" w:rsidRPr="003E751B">
        <w:rPr>
          <w:lang w:val="en-GB"/>
        </w:rPr>
        <w:t xml:space="preserve">ocially </w:t>
      </w:r>
      <w:r w:rsidR="000D6B44" w:rsidRPr="003E751B">
        <w:rPr>
          <w:lang w:val="en-GB"/>
        </w:rPr>
        <w:t>s</w:t>
      </w:r>
      <w:r w:rsidR="00505A5E" w:rsidRPr="003E751B">
        <w:rPr>
          <w:lang w:val="en-GB"/>
        </w:rPr>
        <w:t xml:space="preserve">ustainable </w:t>
      </w:r>
      <w:r w:rsidR="000D6B44" w:rsidRPr="003E751B">
        <w:rPr>
          <w:lang w:val="en-GB"/>
        </w:rPr>
        <w:t>r</w:t>
      </w:r>
      <w:r w:rsidR="00505A5E" w:rsidRPr="003E751B">
        <w:rPr>
          <w:lang w:val="en-GB"/>
        </w:rPr>
        <w:t xml:space="preserve">eurbanization of British </w:t>
      </w:r>
      <w:r w:rsidR="000D6B44" w:rsidRPr="003E751B">
        <w:rPr>
          <w:lang w:val="en-GB"/>
        </w:rPr>
        <w:t>c</w:t>
      </w:r>
      <w:r w:rsidR="00505A5E" w:rsidRPr="003E751B">
        <w:rPr>
          <w:lang w:val="en-GB"/>
        </w:rPr>
        <w:t xml:space="preserve">ities? </w:t>
      </w:r>
      <w:r w:rsidRPr="003E751B">
        <w:rPr>
          <w:lang w:val="en-GB"/>
        </w:rPr>
        <w:t xml:space="preserve">In: </w:t>
      </w:r>
      <w:r w:rsidR="00505A5E" w:rsidRPr="003E751B">
        <w:rPr>
          <w:lang w:val="en-GB"/>
        </w:rPr>
        <w:t>Planning, Practice and Research</w:t>
      </w:r>
      <w:r w:rsidR="000D6B44" w:rsidRPr="003E751B">
        <w:rPr>
          <w:lang w:val="en-GB"/>
        </w:rPr>
        <w:t xml:space="preserve"> 22</w:t>
      </w:r>
      <w:r w:rsidRPr="003E751B">
        <w:rPr>
          <w:lang w:val="en-GB"/>
        </w:rPr>
        <w:t>,</w:t>
      </w:r>
      <w:r w:rsidR="000D6B44" w:rsidRPr="003E751B">
        <w:rPr>
          <w:lang w:val="en-GB"/>
        </w:rPr>
        <w:t>1</w:t>
      </w:r>
      <w:r w:rsidRPr="003E751B">
        <w:rPr>
          <w:lang w:val="en-GB"/>
        </w:rPr>
        <w:t>:</w:t>
      </w:r>
      <w:r w:rsidR="000D6B44" w:rsidRPr="003E751B">
        <w:rPr>
          <w:lang w:val="en-GB"/>
        </w:rPr>
        <w:t xml:space="preserve"> 1</w:t>
      </w:r>
      <w:r w:rsidRPr="003E751B">
        <w:rPr>
          <w:lang w:val="en-GB"/>
        </w:rPr>
        <w:t>-</w:t>
      </w:r>
      <w:r w:rsidR="000D6B44" w:rsidRPr="003E751B">
        <w:rPr>
          <w:lang w:val="en-GB"/>
        </w:rPr>
        <w:t>24</w:t>
      </w:r>
      <w:r w:rsidRPr="003E751B">
        <w:rPr>
          <w:lang w:val="en-GB"/>
        </w:rPr>
        <w:t xml:space="preserve"> [doi: </w:t>
      </w:r>
      <w:hyperlink r:id="rId24" w:history="1">
        <w:r w:rsidRPr="003E751B">
          <w:rPr>
            <w:lang w:val="en-GB"/>
          </w:rPr>
          <w:t>10.1080/02697450701455249</w:t>
        </w:r>
      </w:hyperlink>
      <w:r w:rsidRPr="003E751B">
        <w:rPr>
          <w:lang w:val="en-GB"/>
        </w:rPr>
        <w:t>]</w:t>
      </w:r>
      <w:r w:rsidR="000D6B44" w:rsidRPr="003E751B">
        <w:rPr>
          <w:lang w:val="en-GB"/>
        </w:rPr>
        <w:t>.</w:t>
      </w:r>
    </w:p>
    <w:p w14:paraId="73B7ED3C" w14:textId="77777777" w:rsidR="00DB54AC" w:rsidRPr="003E751B" w:rsidRDefault="00DB54AC" w:rsidP="00DB54AC">
      <w:pPr>
        <w:pStyle w:val="EndNoteBibliography"/>
        <w:spacing w:after="0"/>
        <w:ind w:left="284" w:hanging="284"/>
        <w:rPr>
          <w:lang w:val="en-GB"/>
        </w:rPr>
      </w:pPr>
      <w:r w:rsidRPr="003E751B">
        <w:rPr>
          <w:i/>
          <w:lang w:val="en-GB"/>
        </w:rPr>
        <w:t>Couch, Chris et al.</w:t>
      </w:r>
      <w:r w:rsidRPr="003E751B">
        <w:rPr>
          <w:lang w:val="en-GB"/>
        </w:rPr>
        <w:t xml:space="preserve"> 2005: Decline and sprawl: an evolving type of urban development – observed in Liverpool and Leipzig. In: European Planning Studies 13,1: 117-136 [doi: </w:t>
      </w:r>
      <w:hyperlink r:id="rId25" w:history="1">
        <w:r w:rsidRPr="003E751B">
          <w:rPr>
            <w:lang w:val="en-GB"/>
          </w:rPr>
          <w:t>10.1080/0965431042000312433</w:t>
        </w:r>
      </w:hyperlink>
      <w:r w:rsidRPr="003E751B">
        <w:rPr>
          <w:lang w:val="en-GB"/>
        </w:rPr>
        <w:t>].</w:t>
      </w:r>
    </w:p>
    <w:p w14:paraId="7214FC8C" w14:textId="77777777" w:rsidR="003D6480" w:rsidRPr="003E751B" w:rsidRDefault="003D6480" w:rsidP="003D6480">
      <w:pPr>
        <w:pStyle w:val="EndNoteBibliography"/>
        <w:spacing w:after="0"/>
        <w:ind w:left="284" w:hanging="284"/>
        <w:rPr>
          <w:lang w:val="en-GB"/>
        </w:rPr>
      </w:pPr>
      <w:r w:rsidRPr="003E751B">
        <w:rPr>
          <w:i/>
          <w:lang w:val="en-GB"/>
        </w:rPr>
        <w:t>Couch, Chris; Cocks, Matthew</w:t>
      </w:r>
      <w:r w:rsidRPr="003E751B">
        <w:rPr>
          <w:lang w:val="en-GB"/>
        </w:rPr>
        <w:t xml:space="preserve"> 2013: Housing vacancy and the shrinking city: trends and policies in the UK and the City of Liverpool. In: Housing Studies 28,3: 499-519 [doi: </w:t>
      </w:r>
      <w:hyperlink r:id="rId26" w:history="1">
        <w:r w:rsidRPr="003E751B">
          <w:rPr>
            <w:lang w:val="en-GB"/>
          </w:rPr>
          <w:t>10.1080/02673037.2013.760029</w:t>
        </w:r>
      </w:hyperlink>
      <w:r w:rsidRPr="003E751B">
        <w:rPr>
          <w:lang w:val="en-GB"/>
        </w:rPr>
        <w:t>].</w:t>
      </w:r>
    </w:p>
    <w:p w14:paraId="2A297A7A" w14:textId="77777777" w:rsidR="00FC7504" w:rsidRPr="003E751B" w:rsidRDefault="00FC7504" w:rsidP="00FC7504">
      <w:pPr>
        <w:pStyle w:val="EndNoteBibliography"/>
        <w:spacing w:after="0"/>
        <w:ind w:left="284" w:hanging="284"/>
        <w:rPr>
          <w:lang w:val="en-GB"/>
        </w:rPr>
      </w:pPr>
      <w:r w:rsidRPr="003E751B">
        <w:rPr>
          <w:i/>
          <w:lang w:val="en-GB"/>
        </w:rPr>
        <w:t>DCLG (Department for Communities and Local Government)</w:t>
      </w:r>
      <w:r w:rsidRPr="003E751B">
        <w:rPr>
          <w:lang w:val="en-GB"/>
        </w:rPr>
        <w:t xml:space="preserve"> 2015. The English Indices of Deprivation 2015: Technical report. London: DCLG.</w:t>
      </w:r>
    </w:p>
    <w:p w14:paraId="144C584A" w14:textId="77777777" w:rsidR="000F6AAA" w:rsidRPr="003E751B" w:rsidRDefault="000F6AAA" w:rsidP="00E86D42">
      <w:pPr>
        <w:pStyle w:val="EndNoteBibliography"/>
        <w:spacing w:after="0"/>
        <w:ind w:left="284" w:hanging="284"/>
        <w:rPr>
          <w:lang w:val="en-GB"/>
        </w:rPr>
      </w:pPr>
      <w:r w:rsidRPr="003E751B">
        <w:rPr>
          <w:i/>
          <w:lang w:val="en-GB"/>
        </w:rPr>
        <w:t>Dembski, Sebastian</w:t>
      </w:r>
      <w:r w:rsidRPr="003E751B">
        <w:rPr>
          <w:lang w:val="en-GB"/>
        </w:rPr>
        <w:t xml:space="preserve"> 2015: Structure and imagination of changing cities: Manchester, Liverpool and the spatial in-between. </w:t>
      </w:r>
      <w:r w:rsidR="00E86D42" w:rsidRPr="003E751B">
        <w:rPr>
          <w:lang w:val="en-GB"/>
        </w:rPr>
        <w:t xml:space="preserve">In: </w:t>
      </w:r>
      <w:r w:rsidRPr="003E751B">
        <w:rPr>
          <w:lang w:val="en-GB"/>
        </w:rPr>
        <w:t>Urban Studies 52</w:t>
      </w:r>
      <w:r w:rsidR="00E86D42" w:rsidRPr="003E751B">
        <w:rPr>
          <w:lang w:val="en-GB"/>
        </w:rPr>
        <w:t>,</w:t>
      </w:r>
      <w:r w:rsidRPr="003E751B">
        <w:rPr>
          <w:lang w:val="en-GB"/>
        </w:rPr>
        <w:t>9</w:t>
      </w:r>
      <w:r w:rsidR="00E86D42" w:rsidRPr="003E751B">
        <w:rPr>
          <w:lang w:val="en-GB"/>
        </w:rPr>
        <w:t>:</w:t>
      </w:r>
      <w:r w:rsidRPr="003E751B">
        <w:rPr>
          <w:lang w:val="en-GB"/>
        </w:rPr>
        <w:t xml:space="preserve"> 1647</w:t>
      </w:r>
      <w:r w:rsidR="00B17178" w:rsidRPr="003E751B">
        <w:rPr>
          <w:lang w:val="en-GB"/>
        </w:rPr>
        <w:t>-</w:t>
      </w:r>
      <w:r w:rsidRPr="003E751B">
        <w:rPr>
          <w:lang w:val="en-GB"/>
        </w:rPr>
        <w:t>1664 [</w:t>
      </w:r>
      <w:r w:rsidR="00E86D42" w:rsidRPr="003E751B">
        <w:rPr>
          <w:lang w:val="en-GB"/>
        </w:rPr>
        <w:t xml:space="preserve">doi: </w:t>
      </w:r>
      <w:hyperlink r:id="rId27" w:history="1">
        <w:r w:rsidR="00E86D42" w:rsidRPr="003E751B">
          <w:rPr>
            <w:lang w:val="en-GB"/>
          </w:rPr>
          <w:t>10.1177/0042098014539021</w:t>
        </w:r>
      </w:hyperlink>
      <w:r w:rsidRPr="003E751B">
        <w:rPr>
          <w:lang w:val="en-GB"/>
        </w:rPr>
        <w:t>]</w:t>
      </w:r>
      <w:r w:rsidR="00BF457E" w:rsidRPr="003E751B">
        <w:rPr>
          <w:lang w:val="en-GB"/>
        </w:rPr>
        <w:t>.</w:t>
      </w:r>
    </w:p>
    <w:p w14:paraId="4FE3CAAD" w14:textId="77777777" w:rsidR="00FC7504" w:rsidRPr="003E751B" w:rsidRDefault="00FC7504" w:rsidP="00FC7504">
      <w:pPr>
        <w:pStyle w:val="EndNoteBibliography"/>
        <w:spacing w:after="0"/>
        <w:ind w:left="284" w:hanging="284"/>
        <w:rPr>
          <w:lang w:val="en-GB"/>
        </w:rPr>
      </w:pPr>
      <w:r w:rsidRPr="003E751B">
        <w:rPr>
          <w:i/>
          <w:lang w:val="en-GB"/>
        </w:rPr>
        <w:t>Dorling, Daniel; Atkins, David</w:t>
      </w:r>
      <w:r w:rsidRPr="003E751B">
        <w:rPr>
          <w:lang w:val="en-GB"/>
        </w:rPr>
        <w:t xml:space="preserve"> 1995: Population density, change and concentration in Great Britain 1971, 1981 and 1991. Studies on Medical and Population Subjects No. 58. London: HMSO. </w:t>
      </w:r>
    </w:p>
    <w:p w14:paraId="70E326BC" w14:textId="77777777" w:rsidR="00993962" w:rsidRPr="003E751B" w:rsidRDefault="00993962" w:rsidP="00FC7504">
      <w:pPr>
        <w:pStyle w:val="EndNoteBibliography"/>
        <w:spacing w:after="0"/>
        <w:ind w:left="284" w:hanging="284"/>
        <w:rPr>
          <w:lang w:val="en-GB"/>
        </w:rPr>
      </w:pPr>
      <w:r w:rsidRPr="003E751B">
        <w:rPr>
          <w:lang w:val="en-GB"/>
        </w:rPr>
        <w:t>Dustmann, Christian; Frattini, Tommaso 2014: The Fiscal Effects of Immigration to the UK</w:t>
      </w:r>
      <w:r w:rsidR="0061328C" w:rsidRPr="003E751B">
        <w:rPr>
          <w:lang w:val="en-GB"/>
        </w:rPr>
        <w:t xml:space="preserve">. In: </w:t>
      </w:r>
      <w:r w:rsidRPr="003E751B">
        <w:rPr>
          <w:lang w:val="en-GB"/>
        </w:rPr>
        <w:t>The Economic Journal 124,580: F593–F643</w:t>
      </w:r>
      <w:r w:rsidR="003A6544" w:rsidRPr="003E751B">
        <w:rPr>
          <w:lang w:val="en-GB"/>
        </w:rPr>
        <w:t xml:space="preserve"> [doi: </w:t>
      </w:r>
      <w:hyperlink r:id="rId28" w:history="1">
        <w:r w:rsidR="003A6544" w:rsidRPr="003E751B">
          <w:rPr>
            <w:lang w:val="en-GB"/>
          </w:rPr>
          <w:t>10.1111/ecoj.12181</w:t>
        </w:r>
      </w:hyperlink>
      <w:r w:rsidR="003A6544" w:rsidRPr="003E751B">
        <w:rPr>
          <w:lang w:val="en-GB"/>
        </w:rPr>
        <w:t>].</w:t>
      </w:r>
    </w:p>
    <w:p w14:paraId="5551FCF9" w14:textId="77777777" w:rsidR="007840E6" w:rsidRPr="003E751B" w:rsidRDefault="007840E6" w:rsidP="00E6510E">
      <w:pPr>
        <w:pStyle w:val="EndNoteBibliography"/>
        <w:spacing w:after="0"/>
        <w:ind w:left="284" w:hanging="284"/>
        <w:rPr>
          <w:lang w:val="en-GB"/>
        </w:rPr>
      </w:pPr>
      <w:r w:rsidRPr="003E751B">
        <w:rPr>
          <w:i/>
          <w:lang w:val="en-GB"/>
        </w:rPr>
        <w:t>Fitzgerald, Todd</w:t>
      </w:r>
      <w:r w:rsidRPr="003E751B">
        <w:rPr>
          <w:lang w:val="en-GB"/>
        </w:rPr>
        <w:t xml:space="preserve"> 2017: Greater Manchester’s mayoral candidates row over region’s housing masterplan. In: Manchester Evening News</w:t>
      </w:r>
      <w:r w:rsidR="00E6510E" w:rsidRPr="003E751B">
        <w:rPr>
          <w:lang w:val="en-GB"/>
        </w:rPr>
        <w:t>, 12.1.2017 [</w:t>
      </w:r>
      <w:hyperlink r:id="rId29" w:history="1">
        <w:r w:rsidR="00E6510E" w:rsidRPr="003E751B">
          <w:rPr>
            <w:lang w:val="en-GB"/>
          </w:rPr>
          <w:t>http://www.manchestereveningnews.co.uk/news/greater-manchester-news/greater-manchesters-mayoral-candidates-row-12445676</w:t>
        </w:r>
      </w:hyperlink>
      <w:r w:rsidR="00E6510E" w:rsidRPr="003E751B">
        <w:rPr>
          <w:lang w:val="en-GB"/>
        </w:rPr>
        <w:t>, 12.4.2017]</w:t>
      </w:r>
    </w:p>
    <w:p w14:paraId="381A7ECC" w14:textId="57220E58" w:rsidR="000C120D" w:rsidRPr="003E751B" w:rsidRDefault="000C120D" w:rsidP="008D6600">
      <w:pPr>
        <w:pStyle w:val="EndNoteBibliography"/>
        <w:spacing w:after="0"/>
        <w:ind w:left="284" w:hanging="284"/>
        <w:rPr>
          <w:lang w:val="en-GB"/>
        </w:rPr>
      </w:pPr>
      <w:r w:rsidRPr="003E751B">
        <w:rPr>
          <w:i/>
          <w:lang w:val="en-GB"/>
        </w:rPr>
        <w:t>Fuguitt, Glenn V.</w:t>
      </w:r>
      <w:r w:rsidRPr="003E751B">
        <w:rPr>
          <w:lang w:val="en-GB"/>
        </w:rPr>
        <w:t xml:space="preserve"> 1985: The nonmetropolitan population turnaround. In: Annual Review of </w:t>
      </w:r>
      <w:r w:rsidR="008D6600" w:rsidRPr="003E751B">
        <w:rPr>
          <w:lang w:val="en-GB"/>
        </w:rPr>
        <w:t xml:space="preserve">Sociology 11: 259-280 [doi: </w:t>
      </w:r>
      <w:hyperlink r:id="rId30" w:history="1">
        <w:r w:rsidR="008D6600" w:rsidRPr="003E751B">
          <w:rPr>
            <w:lang w:val="en-GB"/>
          </w:rPr>
          <w:t>10.1146/annurev.so.11.080185.001355</w:t>
        </w:r>
      </w:hyperlink>
      <w:r w:rsidR="008D6600" w:rsidRPr="003E751B">
        <w:rPr>
          <w:lang w:val="en-GB"/>
        </w:rPr>
        <w:t>].</w:t>
      </w:r>
    </w:p>
    <w:p w14:paraId="4562ADE7" w14:textId="6B7F2BBA" w:rsidR="00BF457E" w:rsidRPr="003E751B" w:rsidRDefault="00BF457E" w:rsidP="00BF457E">
      <w:pPr>
        <w:pStyle w:val="EndNoteBibliography"/>
        <w:spacing w:after="0"/>
        <w:ind w:left="284" w:hanging="284"/>
        <w:rPr>
          <w:lang w:val="en-GB"/>
        </w:rPr>
      </w:pPr>
      <w:r w:rsidRPr="003E751B">
        <w:rPr>
          <w:lang w:val="en-GB"/>
        </w:rPr>
        <w:lastRenderedPageBreak/>
        <w:t xml:space="preserve">Gallent, Nick; Bianconi, Marco; Andersson, Johan 2006: Planning on the edge: England’s rural–urban fringe and the spatial-planning agenda. In: Environment and Planning B: Planning and Design 33,3: 457-476 [doi: </w:t>
      </w:r>
      <w:hyperlink r:id="rId31" w:history="1">
        <w:r w:rsidRPr="003E751B">
          <w:rPr>
            <w:lang w:val="en-GB"/>
          </w:rPr>
          <w:t>10.1068/b31171</w:t>
        </w:r>
      </w:hyperlink>
      <w:r w:rsidRPr="003E751B">
        <w:rPr>
          <w:lang w:val="en-GB"/>
        </w:rPr>
        <w:t>].</w:t>
      </w:r>
    </w:p>
    <w:p w14:paraId="70D176CA" w14:textId="77777777" w:rsidR="005D660B" w:rsidRPr="003E751B" w:rsidRDefault="005D660B" w:rsidP="00D9599A">
      <w:pPr>
        <w:pStyle w:val="EndNoteBibliography"/>
        <w:spacing w:after="0"/>
        <w:ind w:left="284" w:hanging="284"/>
        <w:rPr>
          <w:lang w:val="en-GB"/>
        </w:rPr>
      </w:pPr>
      <w:r w:rsidRPr="003E751B">
        <w:rPr>
          <w:i/>
          <w:lang w:val="en-GB"/>
        </w:rPr>
        <w:t>Green, Nick</w:t>
      </w:r>
      <w:r w:rsidRPr="003E751B">
        <w:rPr>
          <w:lang w:val="en-GB"/>
        </w:rPr>
        <w:t xml:space="preserve"> 2008. </w:t>
      </w:r>
      <w:r w:rsidR="00BE4B17" w:rsidRPr="003E751B">
        <w:rPr>
          <w:lang w:val="en-GB"/>
        </w:rPr>
        <w:t>City-states and the spatial in-between. In: Town and Country Planning 77,5: 224-231.</w:t>
      </w:r>
    </w:p>
    <w:p w14:paraId="2EC71473" w14:textId="3BE300E6" w:rsidR="0001159C" w:rsidRPr="003E751B" w:rsidRDefault="0001159C" w:rsidP="0001159C">
      <w:pPr>
        <w:pStyle w:val="EndNoteBibliography"/>
        <w:spacing w:after="0"/>
        <w:ind w:left="284" w:hanging="284"/>
        <w:rPr>
          <w:lang w:val="en-GB"/>
        </w:rPr>
      </w:pPr>
      <w:r w:rsidRPr="003E751B">
        <w:rPr>
          <w:i/>
          <w:lang w:val="en-GB"/>
        </w:rPr>
        <w:t>Haase, Annegret et al.</w:t>
      </w:r>
      <w:r w:rsidRPr="003E751B">
        <w:rPr>
          <w:lang w:val="en-GB"/>
        </w:rPr>
        <w:t xml:space="preserve"> 2010: Emergent spaces of reurbanisation: exploring the demographic dimension of inner-city residential change in a European setting. In: Population, Space and Place 16,5</w:t>
      </w:r>
      <w:r w:rsidR="00023375" w:rsidRPr="003E751B">
        <w:rPr>
          <w:lang w:val="en-GB"/>
        </w:rPr>
        <w:t>:</w:t>
      </w:r>
      <w:r w:rsidRPr="003E751B">
        <w:rPr>
          <w:lang w:val="en-GB"/>
        </w:rPr>
        <w:t xml:space="preserve"> 443-463 [doi: </w:t>
      </w:r>
      <w:hyperlink r:id="rId32" w:history="1">
        <w:r w:rsidRPr="003E751B">
          <w:rPr>
            <w:lang w:val="en-GB"/>
          </w:rPr>
          <w:t>10.1002/psp.603</w:t>
        </w:r>
      </w:hyperlink>
      <w:r w:rsidRPr="003E751B">
        <w:rPr>
          <w:lang w:val="en-GB"/>
        </w:rPr>
        <w:t>].</w:t>
      </w:r>
    </w:p>
    <w:p w14:paraId="26685D5D" w14:textId="77777777" w:rsidR="0071585F" w:rsidRPr="003E751B" w:rsidRDefault="0071585F" w:rsidP="00361718">
      <w:pPr>
        <w:pStyle w:val="EndNoteBibliography"/>
        <w:spacing w:after="0"/>
        <w:ind w:left="284" w:hanging="284"/>
        <w:rPr>
          <w:lang w:val="en-GB"/>
        </w:rPr>
      </w:pPr>
      <w:r w:rsidRPr="003E751B">
        <w:rPr>
          <w:i/>
          <w:lang w:val="en-GB"/>
        </w:rPr>
        <w:t>Hall, Peter</w:t>
      </w:r>
      <w:r w:rsidRPr="003E751B">
        <w:rPr>
          <w:lang w:val="en-GB"/>
        </w:rPr>
        <w:t xml:space="preserve"> 1974: The Containment of Urban England. In: The Geographical Journal 140,3: 386-408.</w:t>
      </w:r>
    </w:p>
    <w:p w14:paraId="34EFDCFA" w14:textId="77777777" w:rsidR="007A79A7" w:rsidRPr="003E751B" w:rsidRDefault="007A79A7" w:rsidP="007A79A7">
      <w:pPr>
        <w:pStyle w:val="EndNoteBibliography"/>
        <w:spacing w:after="0"/>
        <w:ind w:left="284" w:hanging="284"/>
        <w:rPr>
          <w:lang w:val="en-GB"/>
        </w:rPr>
      </w:pPr>
      <w:r w:rsidRPr="003E751B">
        <w:rPr>
          <w:i/>
          <w:lang w:val="en-GB"/>
        </w:rPr>
        <w:t>Hall, Peter</w:t>
      </w:r>
      <w:r>
        <w:rPr>
          <w:i/>
          <w:lang w:val="en-GB"/>
        </w:rPr>
        <w:t>; Pain, Kathy</w:t>
      </w:r>
      <w:r w:rsidRPr="003E751B">
        <w:rPr>
          <w:lang w:val="en-GB"/>
        </w:rPr>
        <w:t xml:space="preserve"> </w:t>
      </w:r>
      <w:r>
        <w:rPr>
          <w:lang w:val="en-GB"/>
        </w:rPr>
        <w:t>2006</w:t>
      </w:r>
      <w:r w:rsidRPr="003E751B">
        <w:rPr>
          <w:lang w:val="en-GB"/>
        </w:rPr>
        <w:t xml:space="preserve">: </w:t>
      </w:r>
      <w:r>
        <w:rPr>
          <w:lang w:val="en-GB"/>
        </w:rPr>
        <w:t>The Polycentric Metropolis: Learning from Mega-City Regions in Europe</w:t>
      </w:r>
      <w:r w:rsidRPr="003E751B">
        <w:rPr>
          <w:lang w:val="en-GB"/>
        </w:rPr>
        <w:t xml:space="preserve">. </w:t>
      </w:r>
      <w:r>
        <w:rPr>
          <w:lang w:val="en-GB"/>
        </w:rPr>
        <w:t>London</w:t>
      </w:r>
      <w:r w:rsidRPr="003E751B">
        <w:rPr>
          <w:lang w:val="en-GB"/>
        </w:rPr>
        <w:t xml:space="preserve">: </w:t>
      </w:r>
      <w:r>
        <w:rPr>
          <w:lang w:val="en-GB"/>
        </w:rPr>
        <w:t>Earthscan</w:t>
      </w:r>
      <w:r w:rsidRPr="003E751B">
        <w:rPr>
          <w:lang w:val="en-GB"/>
        </w:rPr>
        <w:t>.</w:t>
      </w:r>
    </w:p>
    <w:p w14:paraId="048F3E77" w14:textId="77777777" w:rsidR="002C0F1E" w:rsidRDefault="002C0F1E" w:rsidP="002C0F1E">
      <w:pPr>
        <w:pStyle w:val="EndNoteBibliography"/>
        <w:spacing w:after="0"/>
        <w:ind w:left="284" w:hanging="284"/>
        <w:rPr>
          <w:lang w:val="en-GB"/>
        </w:rPr>
      </w:pPr>
      <w:r w:rsidRPr="003E751B">
        <w:rPr>
          <w:i/>
          <w:lang w:val="en-GB"/>
        </w:rPr>
        <w:t>Harding, Alan et al.</w:t>
      </w:r>
      <w:r w:rsidRPr="003E751B">
        <w:rPr>
          <w:lang w:val="en-GB"/>
        </w:rPr>
        <w:t xml:space="preserve"> 2004: Re-inventing cities in a restructuring region? The rhetoric and reality of renaissance in Liverpool and Manchester. In: </w:t>
      </w:r>
      <w:r w:rsidRPr="003E751B">
        <w:rPr>
          <w:i/>
          <w:lang w:val="en-GB"/>
        </w:rPr>
        <w:t>Bo</w:t>
      </w:r>
      <w:r w:rsidR="001837FB" w:rsidRPr="003E751B">
        <w:rPr>
          <w:i/>
          <w:lang w:val="en-GB"/>
        </w:rPr>
        <w:t>d</w:t>
      </w:r>
      <w:r w:rsidRPr="003E751B">
        <w:rPr>
          <w:i/>
          <w:lang w:val="en-GB"/>
        </w:rPr>
        <w:t>dy, Martin; Parkinson, Michael</w:t>
      </w:r>
      <w:r w:rsidRPr="003E751B">
        <w:rPr>
          <w:lang w:val="en-GB"/>
        </w:rPr>
        <w:t xml:space="preserve"> (</w:t>
      </w:r>
      <w:r w:rsidR="00BC26B6" w:rsidRPr="003E751B">
        <w:rPr>
          <w:lang w:val="en-GB"/>
        </w:rPr>
        <w:t>E</w:t>
      </w:r>
      <w:r w:rsidRPr="003E751B">
        <w:rPr>
          <w:lang w:val="en-GB"/>
        </w:rPr>
        <w:t>ds.): City Matters: Competitiveness, Cohesion and Urban Governance. Bristol: Policy Press</w:t>
      </w:r>
      <w:r w:rsidR="001837FB" w:rsidRPr="003E751B">
        <w:rPr>
          <w:lang w:val="en-GB"/>
        </w:rPr>
        <w:t>: 33-50.</w:t>
      </w:r>
    </w:p>
    <w:p w14:paraId="20E51DE9" w14:textId="77777777" w:rsidR="00553228" w:rsidRDefault="00553228" w:rsidP="00553228">
      <w:pPr>
        <w:pStyle w:val="EndNoteBibliography"/>
        <w:spacing w:after="0"/>
        <w:ind w:left="284" w:hanging="284"/>
        <w:rPr>
          <w:lang w:val="en-GB"/>
        </w:rPr>
      </w:pPr>
      <w:r w:rsidRPr="003E751B">
        <w:rPr>
          <w:i/>
          <w:lang w:val="en-GB"/>
        </w:rPr>
        <w:t>Harding, Alan</w:t>
      </w:r>
      <w:r>
        <w:rPr>
          <w:i/>
          <w:lang w:val="en-GB"/>
        </w:rPr>
        <w:t>; Harloe, Michael; Rees, James</w:t>
      </w:r>
      <w:r>
        <w:rPr>
          <w:lang w:val="en-GB"/>
        </w:rPr>
        <w:t xml:space="preserve"> 2010: Manchester’s bust regime? In: International Journal of Urban and Regional Research 34,4: 981-991</w:t>
      </w:r>
      <w:r w:rsidRPr="003E751B">
        <w:rPr>
          <w:lang w:val="en-GB"/>
        </w:rPr>
        <w:t xml:space="preserve"> [doi: </w:t>
      </w:r>
      <w:hyperlink r:id="rId33" w:history="1">
        <w:r w:rsidRPr="00553228">
          <w:t>10.1111/j.1468-2427.2010.01013.x</w:t>
        </w:r>
      </w:hyperlink>
      <w:r w:rsidRPr="00B73858">
        <w:rPr>
          <w:lang w:val="en-GB"/>
        </w:rPr>
        <w:t>].</w:t>
      </w:r>
    </w:p>
    <w:p w14:paraId="065C15D4" w14:textId="6A85E34D" w:rsidR="00361718" w:rsidRPr="003E751B" w:rsidRDefault="00361718" w:rsidP="00361718">
      <w:pPr>
        <w:pStyle w:val="EndNoteBibliography"/>
        <w:spacing w:after="0"/>
        <w:ind w:left="284" w:hanging="284"/>
        <w:rPr>
          <w:lang w:val="en-GB"/>
        </w:rPr>
      </w:pPr>
      <w:r w:rsidRPr="003E751B">
        <w:rPr>
          <w:i/>
          <w:lang w:val="en-GB"/>
        </w:rPr>
        <w:t>Hochstenbac</w:t>
      </w:r>
      <w:r w:rsidR="00023BE6" w:rsidRPr="003E751B">
        <w:rPr>
          <w:i/>
          <w:lang w:val="en-GB"/>
        </w:rPr>
        <w:t>h</w:t>
      </w:r>
      <w:r w:rsidRPr="003E751B">
        <w:rPr>
          <w:i/>
          <w:lang w:val="en-GB"/>
        </w:rPr>
        <w:t>, Cody; Musterd, Sako</w:t>
      </w:r>
      <w:r w:rsidRPr="003E751B">
        <w:rPr>
          <w:lang w:val="en-GB"/>
        </w:rPr>
        <w:t xml:space="preserve"> 2017: Gentrification and the suburbanization of poverty: changing urban geographies through boom and bust periods. In: Urban Geography [doi: </w:t>
      </w:r>
      <w:hyperlink r:id="rId34" w:history="1">
        <w:r w:rsidRPr="003E751B">
          <w:rPr>
            <w:lang w:val="en-GB"/>
          </w:rPr>
          <w:t>10.1080/02723638.2016.1276718</w:t>
        </w:r>
      </w:hyperlink>
      <w:r w:rsidRPr="003E751B">
        <w:rPr>
          <w:lang w:val="en-GB"/>
        </w:rPr>
        <w:t>]</w:t>
      </w:r>
      <w:r w:rsidR="00E95C60" w:rsidRPr="003E751B">
        <w:rPr>
          <w:lang w:val="en-GB"/>
        </w:rPr>
        <w:t>.</w:t>
      </w:r>
    </w:p>
    <w:p w14:paraId="15BE1B25" w14:textId="77777777" w:rsidR="003A1B4D" w:rsidRPr="003E751B" w:rsidRDefault="003A1B4D" w:rsidP="003A1B4D">
      <w:pPr>
        <w:pStyle w:val="EndNoteBibliography"/>
        <w:spacing w:after="0"/>
        <w:ind w:left="284" w:hanging="284"/>
        <w:rPr>
          <w:lang w:val="en-GB"/>
        </w:rPr>
      </w:pPr>
      <w:r w:rsidRPr="003E751B">
        <w:rPr>
          <w:i/>
          <w:lang w:val="en-GB"/>
        </w:rPr>
        <w:t>Hoggart, Keith</w:t>
      </w:r>
      <w:r w:rsidRPr="003E751B">
        <w:rPr>
          <w:lang w:val="en-GB"/>
        </w:rPr>
        <w:t xml:space="preserve"> (Ed.) 2005: The City’s Hinterland: Dynamism and Divergence in Europe</w:t>
      </w:r>
      <w:r w:rsidR="00843598" w:rsidRPr="003E751B">
        <w:rPr>
          <w:lang w:val="en-GB"/>
        </w:rPr>
        <w:t>’</w:t>
      </w:r>
      <w:r w:rsidRPr="003E751B">
        <w:rPr>
          <w:lang w:val="en-GB"/>
        </w:rPr>
        <w:t>s Peri-Urban Territories. Aldershot</w:t>
      </w:r>
      <w:r w:rsidR="00843598" w:rsidRPr="003E751B">
        <w:rPr>
          <w:lang w:val="en-GB"/>
        </w:rPr>
        <w:t>:</w:t>
      </w:r>
      <w:r w:rsidRPr="003E751B">
        <w:rPr>
          <w:lang w:val="en-GB"/>
        </w:rPr>
        <w:t xml:space="preserve"> Ashgate.</w:t>
      </w:r>
    </w:p>
    <w:p w14:paraId="3924059A" w14:textId="77777777" w:rsidR="00EB3F93" w:rsidRPr="003E751B" w:rsidRDefault="00EB3F93" w:rsidP="007D7A2A">
      <w:pPr>
        <w:pStyle w:val="EndNoteBibliography"/>
        <w:spacing w:after="0"/>
        <w:ind w:left="284" w:hanging="284"/>
        <w:rPr>
          <w:lang w:val="en-GB"/>
        </w:rPr>
      </w:pPr>
      <w:r w:rsidRPr="003E751B">
        <w:rPr>
          <w:i/>
          <w:lang w:val="en-GB"/>
        </w:rPr>
        <w:t>Jacobs, Michael</w:t>
      </w:r>
      <w:r w:rsidRPr="003E751B">
        <w:rPr>
          <w:lang w:val="en-GB"/>
        </w:rPr>
        <w:t xml:space="preserve"> 1988: Margaret Thatcher and the inner cities. In: Economic and Political Weekly 23,38: 1942-1944.</w:t>
      </w:r>
    </w:p>
    <w:p w14:paraId="35F7B066" w14:textId="77777777" w:rsidR="007D7A2A" w:rsidRPr="003E751B" w:rsidRDefault="007D7A2A" w:rsidP="007D7A2A">
      <w:pPr>
        <w:pStyle w:val="EndNoteBibliography"/>
        <w:spacing w:after="0"/>
        <w:ind w:left="284" w:hanging="284"/>
        <w:rPr>
          <w:rFonts w:ascii="Times New Roman" w:hAnsi="Times New Roman" w:cs="Times New Roman"/>
          <w:sz w:val="24"/>
          <w:szCs w:val="24"/>
          <w:lang w:val="en-GB"/>
        </w:rPr>
      </w:pPr>
      <w:r w:rsidRPr="003E751B">
        <w:rPr>
          <w:i/>
          <w:lang w:val="en-GB"/>
        </w:rPr>
        <w:t>Kavanagh, Leo; Lee, Duncan; Pryce, Gwilym</w:t>
      </w:r>
      <w:r w:rsidRPr="003E751B">
        <w:rPr>
          <w:lang w:val="en-GB"/>
        </w:rPr>
        <w:t xml:space="preserve"> 2016: Is poverty decentralizing? Quantifying uncertainty in the decentralization of urban poverty. In: Annals of the American Association of Geographers 106,6: 1286-1298 [doi: </w:t>
      </w:r>
      <w:hyperlink r:id="rId35" w:history="1">
        <w:r w:rsidRPr="003E751B">
          <w:rPr>
            <w:lang w:val="en-GB"/>
          </w:rPr>
          <w:t>10.1080/24694452.2016.1213156</w:t>
        </w:r>
      </w:hyperlink>
      <w:r w:rsidRPr="003E751B">
        <w:rPr>
          <w:lang w:val="en-GB"/>
        </w:rPr>
        <w:t>].</w:t>
      </w:r>
    </w:p>
    <w:p w14:paraId="7A370F85" w14:textId="77777777" w:rsidR="002B55DE" w:rsidRPr="003E751B" w:rsidRDefault="002B55DE" w:rsidP="002B55DE">
      <w:pPr>
        <w:pStyle w:val="EndNoteBibliography"/>
        <w:spacing w:after="0"/>
        <w:ind w:left="284" w:hanging="284"/>
        <w:rPr>
          <w:lang w:val="en-GB"/>
        </w:rPr>
      </w:pPr>
      <w:r w:rsidRPr="003E751B">
        <w:rPr>
          <w:i/>
          <w:lang w:val="en-GB"/>
        </w:rPr>
        <w:t>Leather, Philip; Nevin, Brendan</w:t>
      </w:r>
      <w:r w:rsidRPr="003E751B">
        <w:rPr>
          <w:lang w:val="en-GB"/>
        </w:rPr>
        <w:t xml:space="preserve"> 2013: The Housing Market Renewal programme: origins, outcomes and the effectiveness of public policy interventions in a volatile market. In: Urban Studies 50,5: 856-875 [doi: </w:t>
      </w:r>
      <w:hyperlink r:id="rId36" w:history="1">
        <w:r w:rsidRPr="003E751B">
          <w:rPr>
            <w:lang w:val="en-GB"/>
          </w:rPr>
          <w:t>10.1177/0042098012449667</w:t>
        </w:r>
      </w:hyperlink>
      <w:r w:rsidRPr="003E751B">
        <w:rPr>
          <w:lang w:val="en-GB"/>
        </w:rPr>
        <w:t>].</w:t>
      </w:r>
    </w:p>
    <w:p w14:paraId="237FD6AC" w14:textId="77777777" w:rsidR="005C303D" w:rsidRPr="003E751B" w:rsidRDefault="005C303D" w:rsidP="002B55DE">
      <w:pPr>
        <w:pStyle w:val="EndNoteBibliography"/>
        <w:spacing w:after="0"/>
        <w:ind w:left="284" w:hanging="284"/>
        <w:rPr>
          <w:lang w:val="en-GB"/>
        </w:rPr>
      </w:pPr>
      <w:r w:rsidRPr="003E751B">
        <w:rPr>
          <w:i/>
          <w:lang w:val="en-GB"/>
        </w:rPr>
        <w:t>Los, Bart</w:t>
      </w:r>
      <w:r w:rsidR="00E95C60" w:rsidRPr="003E751B">
        <w:rPr>
          <w:i/>
          <w:lang w:val="en-GB"/>
        </w:rPr>
        <w:t xml:space="preserve"> et al.</w:t>
      </w:r>
      <w:r w:rsidR="00E95C60" w:rsidRPr="003E751B">
        <w:rPr>
          <w:lang w:val="en-GB"/>
        </w:rPr>
        <w:t xml:space="preserve"> 2017: The mismatch between local voting and the local economic consequences of Brexit. In: Regional Studies</w:t>
      </w:r>
      <w:r w:rsidR="00A81750" w:rsidRPr="003E751B">
        <w:rPr>
          <w:lang w:val="en-GB"/>
        </w:rPr>
        <w:t xml:space="preserve"> 51,5: 786-799</w:t>
      </w:r>
      <w:r w:rsidR="00E95C60" w:rsidRPr="003E751B">
        <w:rPr>
          <w:lang w:val="en-GB"/>
        </w:rPr>
        <w:t xml:space="preserve"> [doi: </w:t>
      </w:r>
      <w:hyperlink r:id="rId37" w:history="1">
        <w:r w:rsidR="00E95C60" w:rsidRPr="003E751B">
          <w:rPr>
            <w:lang w:val="en-GB"/>
          </w:rPr>
          <w:t>10.1080/00343404.2017.1287350</w:t>
        </w:r>
      </w:hyperlink>
      <w:r w:rsidR="00E95C60" w:rsidRPr="003E751B">
        <w:rPr>
          <w:lang w:val="en-GB"/>
        </w:rPr>
        <w:t>].</w:t>
      </w:r>
    </w:p>
    <w:p w14:paraId="76953015" w14:textId="1D6D6637" w:rsidR="00553228" w:rsidRPr="00237F9B" w:rsidRDefault="00553228" w:rsidP="00361718">
      <w:pPr>
        <w:pStyle w:val="EndNoteBibliography"/>
        <w:spacing w:after="0"/>
        <w:ind w:left="284" w:hanging="284"/>
        <w:rPr>
          <w:rFonts w:eastAsia="Times New Roman"/>
          <w:lang w:val="en-GB" w:eastAsia="zh-CN"/>
        </w:rPr>
      </w:pPr>
      <w:r>
        <w:rPr>
          <w:rFonts w:eastAsia="Times New Roman"/>
          <w:i/>
          <w:lang w:val="en-GB" w:eastAsia="zh-CN"/>
        </w:rPr>
        <w:t>McCann, Philip</w:t>
      </w:r>
      <w:r>
        <w:rPr>
          <w:rFonts w:eastAsia="Times New Roman"/>
          <w:lang w:val="en-GB" w:eastAsia="zh-CN"/>
        </w:rPr>
        <w:t xml:space="preserve"> 2016: </w:t>
      </w:r>
      <w:r w:rsidR="00237F9B">
        <w:rPr>
          <w:rFonts w:eastAsia="Times New Roman"/>
          <w:lang w:val="en-GB" w:eastAsia="zh-CN"/>
        </w:rPr>
        <w:t>The UK Regional–National Economic Problem: Geography, Globalisation and Governance. Abingdon: Routledge.</w:t>
      </w:r>
    </w:p>
    <w:p w14:paraId="1B056CF1" w14:textId="77777777" w:rsidR="009261D9" w:rsidRPr="003E751B" w:rsidRDefault="009261D9" w:rsidP="00361718">
      <w:pPr>
        <w:pStyle w:val="EndNoteBibliography"/>
        <w:spacing w:after="0"/>
        <w:ind w:left="284" w:hanging="284"/>
        <w:rPr>
          <w:rFonts w:eastAsia="Times New Roman"/>
          <w:lang w:val="en-GB" w:eastAsia="zh-CN"/>
        </w:rPr>
      </w:pPr>
      <w:r w:rsidRPr="003E751B">
        <w:rPr>
          <w:rFonts w:eastAsia="Times New Roman"/>
          <w:i/>
          <w:lang w:val="en-GB" w:eastAsia="zh-CN"/>
        </w:rPr>
        <w:t>Mitchell, Clare J. A.</w:t>
      </w:r>
      <w:r w:rsidRPr="003E751B">
        <w:rPr>
          <w:rFonts w:eastAsia="Times New Roman"/>
          <w:lang w:val="en-GB" w:eastAsia="zh-CN"/>
        </w:rPr>
        <w:t xml:space="preserve"> 2004: Making sense of counterurbanization. In: </w:t>
      </w:r>
      <w:r w:rsidRPr="003E751B">
        <w:rPr>
          <w:rFonts w:eastAsia="Times New Roman"/>
          <w:iCs/>
          <w:lang w:val="en-GB" w:eastAsia="zh-CN"/>
        </w:rPr>
        <w:t>Journal of Rural Studies</w:t>
      </w:r>
      <w:r w:rsidRPr="003E751B">
        <w:rPr>
          <w:rFonts w:eastAsia="Times New Roman"/>
          <w:lang w:val="en-GB" w:eastAsia="zh-CN"/>
        </w:rPr>
        <w:t xml:space="preserve"> </w:t>
      </w:r>
      <w:r w:rsidRPr="003E751B">
        <w:rPr>
          <w:rFonts w:eastAsia="Times New Roman"/>
          <w:iCs/>
          <w:lang w:val="en-GB" w:eastAsia="zh-CN"/>
        </w:rPr>
        <w:t>20,</w:t>
      </w:r>
      <w:r w:rsidRPr="003E751B">
        <w:rPr>
          <w:rFonts w:eastAsia="Times New Roman"/>
          <w:lang w:val="en-GB" w:eastAsia="zh-CN"/>
        </w:rPr>
        <w:t xml:space="preserve">1: 15-34 </w:t>
      </w:r>
      <w:r w:rsidRPr="003E751B">
        <w:rPr>
          <w:lang w:val="en-GB"/>
        </w:rPr>
        <w:t xml:space="preserve">[doi: </w:t>
      </w:r>
      <w:hyperlink r:id="rId38" w:history="1">
        <w:r w:rsidRPr="003E751B">
          <w:rPr>
            <w:lang w:val="en-GB"/>
          </w:rPr>
          <w:t>10.1016/S0743-0167(03)00031-7</w:t>
        </w:r>
      </w:hyperlink>
      <w:r w:rsidRPr="003E751B">
        <w:rPr>
          <w:lang w:val="en-GB"/>
        </w:rPr>
        <w:t>]</w:t>
      </w:r>
      <w:r w:rsidRPr="003E751B">
        <w:rPr>
          <w:rFonts w:eastAsia="Times New Roman"/>
          <w:lang w:val="en-GB" w:eastAsia="zh-CN"/>
        </w:rPr>
        <w:t>.</w:t>
      </w:r>
    </w:p>
    <w:p w14:paraId="03B4AC74" w14:textId="77777777" w:rsidR="00687E52" w:rsidRPr="003E751B" w:rsidRDefault="00687E52" w:rsidP="00D9599A">
      <w:pPr>
        <w:pStyle w:val="EndNoteBibliography"/>
        <w:spacing w:after="0"/>
        <w:ind w:left="284" w:hanging="284"/>
        <w:rPr>
          <w:lang w:val="en-GB"/>
        </w:rPr>
      </w:pPr>
      <w:r w:rsidRPr="003E751B">
        <w:rPr>
          <w:i/>
          <w:lang w:val="en-GB"/>
        </w:rPr>
        <w:t>Noble, Michael et al.</w:t>
      </w:r>
      <w:r w:rsidRPr="003E751B">
        <w:rPr>
          <w:lang w:val="en-GB"/>
        </w:rPr>
        <w:t xml:space="preserve"> 2006: Measuring multiple deprivation at the small-area level</w:t>
      </w:r>
      <w:r w:rsidR="006563B4" w:rsidRPr="003E751B">
        <w:rPr>
          <w:lang w:val="en-GB"/>
        </w:rPr>
        <w:t xml:space="preserve">. In: </w:t>
      </w:r>
      <w:r w:rsidRPr="003E751B">
        <w:rPr>
          <w:lang w:val="en-GB"/>
        </w:rPr>
        <w:t xml:space="preserve">Environment and Planning A 38,1: 169-185 [doi: </w:t>
      </w:r>
      <w:hyperlink r:id="rId39" w:history="1">
        <w:r w:rsidRPr="003E751B">
          <w:rPr>
            <w:lang w:val="en-GB"/>
          </w:rPr>
          <w:t>10.1068/a37168</w:t>
        </w:r>
      </w:hyperlink>
      <w:r w:rsidRPr="003E751B">
        <w:rPr>
          <w:lang w:val="en-GB"/>
        </w:rPr>
        <w:t>].</w:t>
      </w:r>
    </w:p>
    <w:p w14:paraId="3EC75D7B" w14:textId="0AB69EAD" w:rsidR="0017224B" w:rsidRPr="003E751B" w:rsidRDefault="000C0EB0" w:rsidP="00D9599A">
      <w:pPr>
        <w:pStyle w:val="EndNoteBibliography"/>
        <w:spacing w:after="0"/>
        <w:ind w:left="284" w:hanging="284"/>
        <w:rPr>
          <w:lang w:val="en-GB"/>
        </w:rPr>
      </w:pPr>
      <w:r w:rsidRPr="003E751B">
        <w:rPr>
          <w:i/>
          <w:lang w:val="en-GB"/>
        </w:rPr>
        <w:t>Nurse, Alexander</w:t>
      </w:r>
      <w:r w:rsidR="00023375" w:rsidRPr="003E751B">
        <w:rPr>
          <w:lang w:val="en-GB"/>
        </w:rPr>
        <w:t xml:space="preserve">; </w:t>
      </w:r>
      <w:r w:rsidR="00023375" w:rsidRPr="003E751B">
        <w:rPr>
          <w:i/>
          <w:lang w:val="en-GB"/>
        </w:rPr>
        <w:t>Chen</w:t>
      </w:r>
      <w:r w:rsidR="00023375" w:rsidRPr="003E751B">
        <w:rPr>
          <w:lang w:val="en-GB"/>
        </w:rPr>
        <w:t xml:space="preserve">, </w:t>
      </w:r>
      <w:r w:rsidR="00023375" w:rsidRPr="003E751B">
        <w:rPr>
          <w:i/>
          <w:lang w:val="en-GB"/>
        </w:rPr>
        <w:t>Chia-Lin</w:t>
      </w:r>
      <w:r w:rsidR="00023375" w:rsidRPr="003E751B">
        <w:rPr>
          <w:lang w:val="en-GB"/>
        </w:rPr>
        <w:t xml:space="preserve">; </w:t>
      </w:r>
      <w:r w:rsidR="00023375" w:rsidRPr="003E751B">
        <w:rPr>
          <w:i/>
          <w:lang w:val="en-GB"/>
        </w:rPr>
        <w:t>Desjardins</w:t>
      </w:r>
      <w:r w:rsidR="00023375" w:rsidRPr="003E751B">
        <w:rPr>
          <w:lang w:val="en-GB"/>
        </w:rPr>
        <w:t xml:space="preserve">, </w:t>
      </w:r>
      <w:r w:rsidR="00023375" w:rsidRPr="003E751B">
        <w:rPr>
          <w:i/>
          <w:lang w:val="en-GB"/>
        </w:rPr>
        <w:t>Xavier</w:t>
      </w:r>
      <w:r w:rsidR="00023375" w:rsidRPr="003E751B">
        <w:rPr>
          <w:lang w:val="en-GB"/>
        </w:rPr>
        <w:t xml:space="preserve"> </w:t>
      </w:r>
      <w:r w:rsidRPr="003E751B">
        <w:rPr>
          <w:lang w:val="en-GB"/>
        </w:rPr>
        <w:t xml:space="preserve">2017: The Northern Powerhouse: a comparative perspective. </w:t>
      </w:r>
      <w:r w:rsidR="00646444" w:rsidRPr="003E751B">
        <w:rPr>
          <w:lang w:val="en-GB"/>
        </w:rPr>
        <w:t xml:space="preserve">In: </w:t>
      </w:r>
      <w:r w:rsidRPr="003E751B">
        <w:rPr>
          <w:lang w:val="en-GB"/>
        </w:rPr>
        <w:t>Town Planning Review 88,4: 383-400 [doi:</w:t>
      </w:r>
      <w:hyperlink r:id="rId40" w:history="1">
        <w:r w:rsidRPr="003E751B">
          <w:rPr>
            <w:lang w:val="en-GB"/>
          </w:rPr>
          <w:t>10.3828/tpr.2017.25</w:t>
        </w:r>
      </w:hyperlink>
      <w:r w:rsidRPr="003E751B">
        <w:rPr>
          <w:lang w:val="en-GB"/>
        </w:rPr>
        <w:t>].</w:t>
      </w:r>
    </w:p>
    <w:p w14:paraId="67D67117" w14:textId="77777777" w:rsidR="00CF5331" w:rsidRPr="00B73858" w:rsidRDefault="00CF5331" w:rsidP="00CF5331">
      <w:pPr>
        <w:pStyle w:val="EndNoteBibliography"/>
        <w:spacing w:after="0"/>
        <w:ind w:left="284" w:hanging="284"/>
        <w:rPr>
          <w:lang w:val="en-GB"/>
        </w:rPr>
      </w:pPr>
      <w:r w:rsidRPr="00B73858">
        <w:rPr>
          <w:i/>
          <w:lang w:val="en-GB"/>
        </w:rPr>
        <w:lastRenderedPageBreak/>
        <w:t>ODPM (Office of the Deputy Prime Minister)</w:t>
      </w:r>
      <w:r w:rsidRPr="00B73858">
        <w:rPr>
          <w:lang w:val="en-GB"/>
        </w:rPr>
        <w:t xml:space="preserve"> 2003: Sustainable communities: building for the future. London: ODPM.</w:t>
      </w:r>
    </w:p>
    <w:p w14:paraId="454889E6" w14:textId="77777777" w:rsidR="00941D37" w:rsidRPr="003E751B" w:rsidRDefault="006563B4" w:rsidP="00D9599A">
      <w:pPr>
        <w:pStyle w:val="EndNoteBibliography"/>
        <w:spacing w:after="0"/>
        <w:ind w:left="284" w:hanging="284"/>
        <w:rPr>
          <w:lang w:val="en-GB"/>
        </w:rPr>
      </w:pPr>
      <w:r w:rsidRPr="003E751B">
        <w:rPr>
          <w:i/>
          <w:lang w:val="en-GB"/>
        </w:rPr>
        <w:t xml:space="preserve">ONS </w:t>
      </w:r>
      <w:r w:rsidR="00144251" w:rsidRPr="003E751B">
        <w:rPr>
          <w:i/>
          <w:lang w:val="en-GB"/>
        </w:rPr>
        <w:t>(</w:t>
      </w:r>
      <w:r w:rsidRPr="003E751B">
        <w:rPr>
          <w:i/>
          <w:lang w:val="en-GB"/>
        </w:rPr>
        <w:t>Office for National Statistics</w:t>
      </w:r>
      <w:r w:rsidR="00144251" w:rsidRPr="003E751B">
        <w:rPr>
          <w:i/>
          <w:lang w:val="en-GB"/>
        </w:rPr>
        <w:t>)</w:t>
      </w:r>
      <w:r w:rsidR="00144251" w:rsidRPr="003E751B">
        <w:rPr>
          <w:lang w:val="en-GB"/>
        </w:rPr>
        <w:t xml:space="preserve"> </w:t>
      </w:r>
      <w:r w:rsidR="00E4507C" w:rsidRPr="003E751B">
        <w:rPr>
          <w:lang w:val="en-GB"/>
        </w:rPr>
        <w:t>2004</w:t>
      </w:r>
      <w:r w:rsidR="00CA56F6" w:rsidRPr="003E751B">
        <w:rPr>
          <w:lang w:val="en-GB"/>
        </w:rPr>
        <w:t>:</w:t>
      </w:r>
      <w:r w:rsidR="00E4507C" w:rsidRPr="003E751B">
        <w:rPr>
          <w:lang w:val="en-GB"/>
        </w:rPr>
        <w:t xml:space="preserve"> </w:t>
      </w:r>
      <w:r w:rsidR="00941D37" w:rsidRPr="003E751B">
        <w:rPr>
          <w:lang w:val="en-GB"/>
        </w:rPr>
        <w:t xml:space="preserve">2001 Census: Local Authority </w:t>
      </w:r>
      <w:r w:rsidR="00144251" w:rsidRPr="003E751B">
        <w:rPr>
          <w:lang w:val="en-GB"/>
        </w:rPr>
        <w:t>Popula</w:t>
      </w:r>
      <w:r w:rsidR="00EB1EDC" w:rsidRPr="003E751B">
        <w:rPr>
          <w:lang w:val="en-GB"/>
        </w:rPr>
        <w:t>tion Studies: Full report. ONS</w:t>
      </w:r>
      <w:r w:rsidR="00687E52" w:rsidRPr="003E751B">
        <w:rPr>
          <w:lang w:val="en-GB"/>
        </w:rPr>
        <w:t>.</w:t>
      </w:r>
    </w:p>
    <w:p w14:paraId="0ADF1965" w14:textId="77777777" w:rsidR="009E1498" w:rsidRPr="003E751B" w:rsidRDefault="00D82B51" w:rsidP="00D9599A">
      <w:pPr>
        <w:pStyle w:val="EndNoteBibliography"/>
        <w:spacing w:after="0"/>
        <w:ind w:left="284" w:hanging="284"/>
        <w:rPr>
          <w:lang w:val="en-GB"/>
        </w:rPr>
      </w:pPr>
      <w:r w:rsidRPr="003E751B">
        <w:rPr>
          <w:i/>
          <w:lang w:val="en-GB"/>
        </w:rPr>
        <w:t>ONS (Office for National Statistics)</w:t>
      </w:r>
      <w:r w:rsidRPr="003E751B">
        <w:rPr>
          <w:lang w:val="en-GB"/>
        </w:rPr>
        <w:t xml:space="preserve"> 2010: </w:t>
      </w:r>
      <w:r w:rsidR="009E1498" w:rsidRPr="003E751B">
        <w:rPr>
          <w:lang w:val="en-GB"/>
        </w:rPr>
        <w:t>Standard Occupational Classification 2010. Volume 3: The National Statistics Socio-economic Classi</w:t>
      </w:r>
      <w:r w:rsidR="008E782C" w:rsidRPr="003E751B">
        <w:rPr>
          <w:lang w:val="en-GB"/>
        </w:rPr>
        <w:t>fi</w:t>
      </w:r>
      <w:r w:rsidR="009E1498" w:rsidRPr="003E751B">
        <w:rPr>
          <w:lang w:val="en-GB"/>
        </w:rPr>
        <w:t>cation: (Reba</w:t>
      </w:r>
      <w:r w:rsidRPr="003E751B">
        <w:rPr>
          <w:lang w:val="en-GB"/>
        </w:rPr>
        <w:t>sed on the SOC2010) User Manual. Basingstoke: Palgrave Macmillan.</w:t>
      </w:r>
    </w:p>
    <w:p w14:paraId="2BDDED31" w14:textId="77777777" w:rsidR="00237271" w:rsidRPr="003E751B" w:rsidRDefault="00237271" w:rsidP="00D9599A">
      <w:pPr>
        <w:pStyle w:val="EndNoteBibliography"/>
        <w:spacing w:after="0"/>
        <w:ind w:left="284" w:hanging="284"/>
        <w:rPr>
          <w:lang w:val="en-GB"/>
        </w:rPr>
      </w:pPr>
      <w:r w:rsidRPr="003E751B">
        <w:rPr>
          <w:i/>
          <w:lang w:val="en-GB"/>
        </w:rPr>
        <w:t xml:space="preserve">Oswalt, Philipp </w:t>
      </w:r>
      <w:r w:rsidR="00D71D8D" w:rsidRPr="003E751B">
        <w:rPr>
          <w:lang w:val="en-GB"/>
        </w:rPr>
        <w:t>(</w:t>
      </w:r>
      <w:r w:rsidR="00AC4466" w:rsidRPr="003E751B">
        <w:rPr>
          <w:lang w:val="en-GB"/>
        </w:rPr>
        <w:t>E</w:t>
      </w:r>
      <w:r w:rsidR="00D71D8D" w:rsidRPr="003E751B">
        <w:rPr>
          <w:lang w:val="en-GB"/>
        </w:rPr>
        <w:t>d.) 2005: Shrinking Cities. Volume 1: International Research</w:t>
      </w:r>
      <w:r w:rsidR="001213B0" w:rsidRPr="003E751B">
        <w:rPr>
          <w:lang w:val="en-GB"/>
        </w:rPr>
        <w:t>. Ostfildern-Ruit: Hatje Cantz.</w:t>
      </w:r>
    </w:p>
    <w:p w14:paraId="0B331BB0" w14:textId="117CD3C9" w:rsidR="00505A5E" w:rsidRPr="003E751B" w:rsidRDefault="00505A5E" w:rsidP="00D9599A">
      <w:pPr>
        <w:pStyle w:val="EndNoteBibliography"/>
        <w:spacing w:after="0"/>
        <w:ind w:left="284" w:hanging="284"/>
        <w:rPr>
          <w:lang w:val="en-GB"/>
        </w:rPr>
      </w:pPr>
      <w:r w:rsidRPr="003E751B">
        <w:rPr>
          <w:i/>
          <w:lang w:val="en-GB"/>
        </w:rPr>
        <w:t>Parkinson, M</w:t>
      </w:r>
      <w:r w:rsidR="00D95229" w:rsidRPr="003E751B">
        <w:rPr>
          <w:i/>
          <w:lang w:val="en-GB"/>
        </w:rPr>
        <w:t>ichael</w:t>
      </w:r>
      <w:r w:rsidRPr="003E751B">
        <w:rPr>
          <w:lang w:val="en-GB"/>
        </w:rPr>
        <w:t xml:space="preserve"> 2016</w:t>
      </w:r>
      <w:r w:rsidR="00D95229" w:rsidRPr="003E751B">
        <w:rPr>
          <w:lang w:val="en-GB"/>
        </w:rPr>
        <w:t>:</w:t>
      </w:r>
      <w:r w:rsidRPr="003E751B">
        <w:rPr>
          <w:lang w:val="en-GB"/>
        </w:rPr>
        <w:t xml:space="preserve"> UK city regions: policies, performance and prospects. </w:t>
      </w:r>
      <w:r w:rsidR="00D95229" w:rsidRPr="003E751B">
        <w:rPr>
          <w:lang w:val="en-GB"/>
        </w:rPr>
        <w:t xml:space="preserve">In: </w:t>
      </w:r>
      <w:r w:rsidRPr="003E751B">
        <w:rPr>
          <w:lang w:val="en-GB"/>
        </w:rPr>
        <w:t>Town Planning Review 87</w:t>
      </w:r>
      <w:r w:rsidR="00D95229" w:rsidRPr="003E751B">
        <w:rPr>
          <w:lang w:val="en-GB"/>
        </w:rPr>
        <w:t>,6:</w:t>
      </w:r>
      <w:r w:rsidRPr="003E751B">
        <w:rPr>
          <w:lang w:val="en-GB"/>
        </w:rPr>
        <w:t xml:space="preserve"> 629</w:t>
      </w:r>
      <w:r w:rsidR="00D95229" w:rsidRPr="003E751B">
        <w:rPr>
          <w:lang w:val="en-GB"/>
        </w:rPr>
        <w:t>-</w:t>
      </w:r>
      <w:r w:rsidRPr="003E751B">
        <w:rPr>
          <w:lang w:val="en-GB"/>
        </w:rPr>
        <w:t>653</w:t>
      </w:r>
      <w:r w:rsidR="00D95229" w:rsidRPr="003E751B">
        <w:rPr>
          <w:lang w:val="en-GB"/>
        </w:rPr>
        <w:t xml:space="preserve"> </w:t>
      </w:r>
      <w:r w:rsidR="005D2C74" w:rsidRPr="003E751B">
        <w:rPr>
          <w:lang w:val="en-GB"/>
        </w:rPr>
        <w:t xml:space="preserve">[doi: </w:t>
      </w:r>
      <w:hyperlink r:id="rId41" w:history="1">
        <w:r w:rsidR="00553228" w:rsidRPr="00553228">
          <w:t>10.3828/tpr.2016.42a</w:t>
        </w:r>
      </w:hyperlink>
      <w:r w:rsidR="005D2C74" w:rsidRPr="003E751B">
        <w:rPr>
          <w:lang w:val="en-GB"/>
        </w:rPr>
        <w:t>].</w:t>
      </w:r>
    </w:p>
    <w:p w14:paraId="42B9E0EA" w14:textId="77777777" w:rsidR="00065A8B" w:rsidRPr="003E751B" w:rsidRDefault="00065A8B" w:rsidP="00D9599A">
      <w:pPr>
        <w:pStyle w:val="EndNoteBibliography"/>
        <w:spacing w:after="0"/>
        <w:ind w:left="284" w:hanging="284"/>
        <w:rPr>
          <w:lang w:val="en-GB"/>
        </w:rPr>
      </w:pPr>
      <w:r w:rsidRPr="003E751B">
        <w:rPr>
          <w:i/>
          <w:lang w:val="en-GB"/>
        </w:rPr>
        <w:t>Parkinson, Michael et al.</w:t>
      </w:r>
      <w:r w:rsidRPr="003E751B">
        <w:rPr>
          <w:lang w:val="en-GB"/>
        </w:rPr>
        <w:t xml:space="preserve"> 2006: </w:t>
      </w:r>
      <w:r w:rsidR="00EB0057" w:rsidRPr="003E751B">
        <w:rPr>
          <w:lang w:val="en-GB"/>
        </w:rPr>
        <w:t>State of the English Cities: A Research Study. 2 Vols. London: ODPM.</w:t>
      </w:r>
    </w:p>
    <w:p w14:paraId="28E23083" w14:textId="086BE297" w:rsidR="00646444" w:rsidRPr="003E751B" w:rsidRDefault="00646444" w:rsidP="00646444">
      <w:pPr>
        <w:pStyle w:val="EndNoteBibliography"/>
        <w:spacing w:after="0"/>
        <w:ind w:left="284" w:hanging="284"/>
        <w:rPr>
          <w:lang w:val="en-GB"/>
        </w:rPr>
      </w:pPr>
      <w:r w:rsidRPr="003E751B">
        <w:rPr>
          <w:i/>
          <w:lang w:val="en-GB"/>
        </w:rPr>
        <w:t>Parr, John B.</w:t>
      </w:r>
      <w:r w:rsidRPr="003E751B">
        <w:rPr>
          <w:lang w:val="en-GB"/>
        </w:rPr>
        <w:t xml:space="preserve"> 2012: The Spatial-Cycle Model (SCM) revisited. In: Regional Studies 46,2: 217-228 [doi: </w:t>
      </w:r>
      <w:hyperlink r:id="rId42" w:history="1">
        <w:r w:rsidRPr="003E751B">
          <w:rPr>
            <w:lang w:val="en-GB"/>
          </w:rPr>
          <w:t>10.1080/00343404.2011.558895</w:t>
        </w:r>
      </w:hyperlink>
      <w:r w:rsidRPr="003E751B">
        <w:rPr>
          <w:lang w:val="en-GB"/>
        </w:rPr>
        <w:t>].</w:t>
      </w:r>
    </w:p>
    <w:p w14:paraId="6FF650C3" w14:textId="77777777" w:rsidR="00EF0B03" w:rsidRPr="003E751B" w:rsidRDefault="00EF0B03" w:rsidP="00D9599A">
      <w:pPr>
        <w:pStyle w:val="EndNoteBibliography"/>
        <w:spacing w:after="0"/>
        <w:ind w:left="284" w:hanging="284"/>
        <w:rPr>
          <w:lang w:val="en-GB"/>
        </w:rPr>
      </w:pPr>
      <w:r w:rsidRPr="003E751B">
        <w:rPr>
          <w:i/>
          <w:lang w:val="en-GB"/>
        </w:rPr>
        <w:t>Porter, Libby; Shaw, Kate</w:t>
      </w:r>
      <w:r w:rsidRPr="003E751B">
        <w:rPr>
          <w:lang w:val="en-GB"/>
        </w:rPr>
        <w:t xml:space="preserve"> 2009: Whose Urban Renaissance? An international comparison of urban regeneration strategies. Abingdon: Routledge.</w:t>
      </w:r>
    </w:p>
    <w:p w14:paraId="57854E49" w14:textId="77777777" w:rsidR="006563B4" w:rsidRPr="003E751B" w:rsidRDefault="006563B4" w:rsidP="00D9599A">
      <w:pPr>
        <w:pStyle w:val="EndNoteBibliography"/>
        <w:spacing w:after="0"/>
        <w:ind w:left="284" w:hanging="284"/>
        <w:rPr>
          <w:lang w:val="en-GB"/>
        </w:rPr>
      </w:pPr>
      <w:r w:rsidRPr="003E751B">
        <w:rPr>
          <w:i/>
          <w:lang w:val="en-GB"/>
        </w:rPr>
        <w:t>Rae, Alasdair</w:t>
      </w:r>
      <w:r w:rsidRPr="003E751B">
        <w:rPr>
          <w:lang w:val="en-GB"/>
        </w:rPr>
        <w:t xml:space="preserve"> 2013: English urban policy and the return to the city: a decade of growth, 2001–2011. In: Cities 32: 94-101 [doi: </w:t>
      </w:r>
      <w:hyperlink r:id="rId43" w:history="1">
        <w:r w:rsidRPr="003E751B">
          <w:rPr>
            <w:lang w:val="en-GB"/>
          </w:rPr>
          <w:t>10.1016/j.cities.2013.03.012</w:t>
        </w:r>
      </w:hyperlink>
      <w:r w:rsidRPr="003E751B">
        <w:rPr>
          <w:lang w:val="en-GB"/>
        </w:rPr>
        <w:t>].</w:t>
      </w:r>
    </w:p>
    <w:p w14:paraId="301933B1" w14:textId="77777777" w:rsidR="00F443B1" w:rsidRPr="003E751B" w:rsidRDefault="00F443B1" w:rsidP="00F443B1">
      <w:pPr>
        <w:pStyle w:val="EndNoteBibliography"/>
        <w:spacing w:after="0"/>
        <w:ind w:left="284" w:hanging="284"/>
        <w:rPr>
          <w:lang w:val="en-GB"/>
        </w:rPr>
      </w:pPr>
      <w:r w:rsidRPr="003E751B">
        <w:rPr>
          <w:i/>
          <w:lang w:val="en-GB"/>
        </w:rPr>
        <w:t>Rérat, Patrick</w:t>
      </w:r>
      <w:r w:rsidRPr="003E751B">
        <w:rPr>
          <w:lang w:val="en-GB"/>
        </w:rPr>
        <w:t xml:space="preserve"> 2012: The new demographic growth of cities: the case of reurbanisation in Switzerland. In: Urban Studies 49,5: 1107-1125 [doi: </w:t>
      </w:r>
      <w:hyperlink r:id="rId44" w:history="1">
        <w:r w:rsidRPr="003E751B">
          <w:rPr>
            <w:lang w:val="en-GB"/>
          </w:rPr>
          <w:t>10.1177/0042098011408935</w:t>
        </w:r>
      </w:hyperlink>
      <w:r w:rsidRPr="003E751B">
        <w:rPr>
          <w:lang w:val="en-GB"/>
        </w:rPr>
        <w:t>].</w:t>
      </w:r>
    </w:p>
    <w:p w14:paraId="51E0D9BA" w14:textId="77777777" w:rsidR="00714906" w:rsidRPr="003E751B" w:rsidRDefault="00714906" w:rsidP="00714906">
      <w:pPr>
        <w:pStyle w:val="EndNoteBibliography"/>
        <w:spacing w:after="0"/>
        <w:ind w:left="284" w:hanging="284"/>
        <w:rPr>
          <w:lang w:val="en-GB"/>
        </w:rPr>
      </w:pPr>
      <w:r w:rsidRPr="003E751B">
        <w:rPr>
          <w:i/>
          <w:lang w:val="en-GB"/>
        </w:rPr>
        <w:t>Rink, Dieter et al.</w:t>
      </w:r>
      <w:r w:rsidRPr="003E751B">
        <w:rPr>
          <w:lang w:val="en-GB"/>
        </w:rPr>
        <w:t xml:space="preserve"> 2012</w:t>
      </w:r>
      <w:r w:rsidR="007175E5" w:rsidRPr="003E751B">
        <w:rPr>
          <w:lang w:val="en-GB"/>
        </w:rPr>
        <w:t>:</w:t>
      </w:r>
      <w:r w:rsidRPr="003E751B">
        <w:rPr>
          <w:lang w:val="en-GB"/>
        </w:rPr>
        <w:t xml:space="preserve"> From long-term shrinkage to re-growth? A comparative study of urban development trajectories of Liverpool and Leipzig</w:t>
      </w:r>
      <w:r w:rsidR="007175E5" w:rsidRPr="003E751B">
        <w:rPr>
          <w:lang w:val="en-GB"/>
        </w:rPr>
        <w:t>.</w:t>
      </w:r>
      <w:r w:rsidRPr="003E751B">
        <w:rPr>
          <w:lang w:val="en-GB"/>
        </w:rPr>
        <w:t xml:space="preserve"> </w:t>
      </w:r>
      <w:r w:rsidR="007175E5" w:rsidRPr="003E751B">
        <w:rPr>
          <w:lang w:val="en-GB"/>
        </w:rPr>
        <w:t xml:space="preserve">In: </w:t>
      </w:r>
      <w:r w:rsidRPr="003E751B">
        <w:rPr>
          <w:lang w:val="en-GB"/>
        </w:rPr>
        <w:t>Built Environment 38</w:t>
      </w:r>
      <w:r w:rsidR="007175E5" w:rsidRPr="003E751B">
        <w:rPr>
          <w:lang w:val="en-GB"/>
        </w:rPr>
        <w:t>,2:</w:t>
      </w:r>
      <w:r w:rsidRPr="003E751B">
        <w:rPr>
          <w:lang w:val="en-GB"/>
        </w:rPr>
        <w:t xml:space="preserve"> 162–178</w:t>
      </w:r>
      <w:r w:rsidR="007175E5" w:rsidRPr="003E751B">
        <w:rPr>
          <w:lang w:val="en-GB"/>
        </w:rPr>
        <w:t>.</w:t>
      </w:r>
    </w:p>
    <w:p w14:paraId="3A0D98E6" w14:textId="77777777" w:rsidR="007B05BA" w:rsidRPr="003E751B" w:rsidRDefault="007B05BA" w:rsidP="007B05BA">
      <w:pPr>
        <w:pStyle w:val="EndNoteBibliography"/>
        <w:spacing w:after="0"/>
        <w:ind w:left="284" w:hanging="284"/>
        <w:rPr>
          <w:lang w:val="en-GB"/>
        </w:rPr>
      </w:pPr>
      <w:r w:rsidRPr="003E751B">
        <w:rPr>
          <w:i/>
          <w:lang w:val="en-GB"/>
        </w:rPr>
        <w:t>Salet, Willem et al.</w:t>
      </w:r>
      <w:r w:rsidRPr="003E751B">
        <w:rPr>
          <w:lang w:val="en-GB"/>
        </w:rPr>
        <w:t xml:space="preserve"> 2015: Planning for the new European metropolis: functions, politics, and symbols/Metropolitan regions: functional relations between the core and the periphery/Business investment decisions and spatial planning policy/Metropolitan challenges, political responsibilities/Spatial imaginaries, urban dynamics and political community/Capacity-building in the city region: creating common spaces/Which challenges for today</w:t>
      </w:r>
      <w:r w:rsidR="005B5DBD" w:rsidRPr="003E751B">
        <w:rPr>
          <w:lang w:val="en-GB"/>
        </w:rPr>
        <w:t>’</w:t>
      </w:r>
      <w:r w:rsidRPr="003E751B">
        <w:rPr>
          <w:lang w:val="en-GB"/>
        </w:rPr>
        <w:t xml:space="preserve">s European metropolitan spaces? In: Planning Theory </w:t>
      </w:r>
      <w:r w:rsidR="00427A7D" w:rsidRPr="003E751B">
        <w:rPr>
          <w:lang w:val="en-GB"/>
        </w:rPr>
        <w:t>and</w:t>
      </w:r>
      <w:r w:rsidRPr="003E751B">
        <w:rPr>
          <w:lang w:val="en-GB"/>
        </w:rPr>
        <w:t xml:space="preserve"> Practice 16,2: 251-275 [doi: </w:t>
      </w:r>
      <w:hyperlink r:id="rId45" w:history="1">
        <w:r w:rsidR="00427A7D" w:rsidRPr="003E751B">
          <w:rPr>
            <w:lang w:val="en-GB"/>
          </w:rPr>
          <w:t>10.1080/14649357.2015.1021574</w:t>
        </w:r>
      </w:hyperlink>
      <w:r w:rsidRPr="003E751B">
        <w:rPr>
          <w:lang w:val="en-GB"/>
        </w:rPr>
        <w:t>].</w:t>
      </w:r>
    </w:p>
    <w:p w14:paraId="183A0D7F" w14:textId="2DE07BE5" w:rsidR="00346027" w:rsidRPr="003E751B" w:rsidRDefault="00346027" w:rsidP="00346027">
      <w:pPr>
        <w:pStyle w:val="EndNoteBibliography"/>
        <w:spacing w:after="0"/>
        <w:ind w:left="284" w:hanging="284"/>
        <w:rPr>
          <w:i/>
          <w:lang w:val="en-GB"/>
        </w:rPr>
      </w:pPr>
      <w:r w:rsidRPr="003E751B">
        <w:rPr>
          <w:i/>
          <w:lang w:val="en-GB"/>
        </w:rPr>
        <w:t xml:space="preserve">Savini, Federico </w:t>
      </w:r>
      <w:r w:rsidRPr="003E751B">
        <w:rPr>
          <w:lang w:val="en-GB"/>
        </w:rPr>
        <w:t xml:space="preserve">2014: What happens to the urban periphery? The political tensions of postindustrial redevelopment in Milan. </w:t>
      </w:r>
      <w:r w:rsidR="00646444" w:rsidRPr="003E751B">
        <w:rPr>
          <w:lang w:val="en-GB"/>
        </w:rPr>
        <w:t xml:space="preserve">In: </w:t>
      </w:r>
      <w:r w:rsidRPr="003E751B">
        <w:rPr>
          <w:lang w:val="en-GB"/>
        </w:rPr>
        <w:t xml:space="preserve">Urban Affairs Review 50,2: 180-205 [doi: </w:t>
      </w:r>
      <w:hyperlink r:id="rId46" w:history="1">
        <w:r w:rsidRPr="003E751B">
          <w:rPr>
            <w:lang w:val="en-GB"/>
          </w:rPr>
          <w:t>10.1177/1078087413495809</w:t>
        </w:r>
      </w:hyperlink>
      <w:r w:rsidRPr="003E751B">
        <w:rPr>
          <w:lang w:val="en-GB"/>
        </w:rPr>
        <w:t>].</w:t>
      </w:r>
    </w:p>
    <w:p w14:paraId="0875CB03" w14:textId="77777777" w:rsidR="00800413" w:rsidRPr="003E751B" w:rsidRDefault="00800413" w:rsidP="00800413">
      <w:pPr>
        <w:pStyle w:val="EndNoteBibliography"/>
        <w:spacing w:after="0"/>
        <w:ind w:left="284" w:hanging="284"/>
        <w:rPr>
          <w:lang w:val="en-GB"/>
        </w:rPr>
      </w:pPr>
      <w:r w:rsidRPr="003E751B">
        <w:rPr>
          <w:i/>
          <w:lang w:val="en-GB"/>
        </w:rPr>
        <w:t>Schulze Bäing, Andreas; Wong, Cecilia</w:t>
      </w:r>
      <w:r w:rsidRPr="003E751B">
        <w:rPr>
          <w:lang w:val="en-GB"/>
        </w:rPr>
        <w:t xml:space="preserve"> 2012: Brownfield residential development: what happens to the most deprived neighbourhoods in England? In: Urban Studies 49,14: 2989-3008 [doi: </w:t>
      </w:r>
      <w:hyperlink r:id="rId47" w:history="1">
        <w:r w:rsidRPr="003E751B">
          <w:rPr>
            <w:lang w:val="en-GB"/>
          </w:rPr>
          <w:t>10.1177/0042098012439108</w:t>
        </w:r>
      </w:hyperlink>
      <w:r w:rsidRPr="003E751B">
        <w:rPr>
          <w:lang w:val="en-GB"/>
        </w:rPr>
        <w:t>].</w:t>
      </w:r>
    </w:p>
    <w:p w14:paraId="29F9E80A" w14:textId="13C14ABB" w:rsidR="001213B0" w:rsidRPr="003E751B" w:rsidRDefault="001213B0" w:rsidP="001213B0">
      <w:pPr>
        <w:pStyle w:val="EndNoteBibliography"/>
        <w:spacing w:after="0"/>
        <w:ind w:left="284" w:hanging="284"/>
        <w:rPr>
          <w:lang w:val="en-GB"/>
        </w:rPr>
      </w:pPr>
      <w:r w:rsidRPr="003E751B">
        <w:rPr>
          <w:i/>
          <w:lang w:val="en-GB"/>
        </w:rPr>
        <w:t>Scott, Allen J.</w:t>
      </w:r>
      <w:r w:rsidRPr="003E751B">
        <w:rPr>
          <w:lang w:val="en-GB"/>
        </w:rPr>
        <w:t xml:space="preserve"> 2008: Social Economy of the Metropolis: Cognitive-Cultural Capitalism and the Global Resurgence of Cities. New York: Oxford University Press.</w:t>
      </w:r>
    </w:p>
    <w:p w14:paraId="73479914" w14:textId="77777777" w:rsidR="00EF0B03" w:rsidRPr="003E751B" w:rsidRDefault="00EF0B03" w:rsidP="00EF0B03">
      <w:pPr>
        <w:pStyle w:val="EndNoteBibliography"/>
        <w:spacing w:after="0"/>
        <w:ind w:left="284" w:hanging="284"/>
        <w:rPr>
          <w:lang w:val="en-GB"/>
        </w:rPr>
      </w:pPr>
      <w:r w:rsidRPr="003E751B">
        <w:rPr>
          <w:i/>
          <w:lang w:val="en-GB"/>
        </w:rPr>
        <w:t>Shaw, D</w:t>
      </w:r>
      <w:r w:rsidR="00A817D5" w:rsidRPr="003E751B">
        <w:rPr>
          <w:i/>
          <w:lang w:val="en-GB"/>
        </w:rPr>
        <w:t>ave;</w:t>
      </w:r>
      <w:r w:rsidRPr="003E751B">
        <w:rPr>
          <w:i/>
          <w:lang w:val="en-GB"/>
        </w:rPr>
        <w:t xml:space="preserve"> Sykes, O</w:t>
      </w:r>
      <w:r w:rsidR="00A817D5" w:rsidRPr="003E751B">
        <w:rPr>
          <w:i/>
          <w:lang w:val="en-GB"/>
        </w:rPr>
        <w:t>livier</w:t>
      </w:r>
      <w:r w:rsidRPr="003E751B">
        <w:rPr>
          <w:lang w:val="en-GB"/>
        </w:rPr>
        <w:t xml:space="preserve"> 2015</w:t>
      </w:r>
      <w:r w:rsidR="00A817D5" w:rsidRPr="003E751B">
        <w:rPr>
          <w:lang w:val="en-GB"/>
        </w:rPr>
        <w:t>:</w:t>
      </w:r>
      <w:r w:rsidR="006F4BB5" w:rsidRPr="003E751B">
        <w:rPr>
          <w:lang w:val="en-GB"/>
        </w:rPr>
        <w:t xml:space="preserve"> Liverpool s</w:t>
      </w:r>
      <w:r w:rsidRPr="003E751B">
        <w:rPr>
          <w:lang w:val="en-GB"/>
        </w:rPr>
        <w:t>tory</w:t>
      </w:r>
      <w:r w:rsidR="006F4BB5" w:rsidRPr="003E751B">
        <w:rPr>
          <w:lang w:val="en-GB"/>
        </w:rPr>
        <w:t>:</w:t>
      </w:r>
      <w:r w:rsidRPr="003E751B">
        <w:rPr>
          <w:lang w:val="en-GB"/>
        </w:rPr>
        <w:t xml:space="preserve"> growth, distress, reinvention</w:t>
      </w:r>
      <w:r w:rsidR="006F4BB5" w:rsidRPr="003E751B">
        <w:rPr>
          <w:lang w:val="en-GB"/>
        </w:rPr>
        <w:t>, and place-based strategy in a northern c</w:t>
      </w:r>
      <w:r w:rsidRPr="003E751B">
        <w:rPr>
          <w:lang w:val="en-GB"/>
        </w:rPr>
        <w:t>ity</w:t>
      </w:r>
      <w:r w:rsidR="00A817D5" w:rsidRPr="003E751B">
        <w:rPr>
          <w:lang w:val="en-GB"/>
        </w:rPr>
        <w:t>.</w:t>
      </w:r>
      <w:r w:rsidRPr="003E751B">
        <w:rPr>
          <w:lang w:val="en-GB"/>
        </w:rPr>
        <w:t xml:space="preserve"> </w:t>
      </w:r>
      <w:r w:rsidR="00A817D5" w:rsidRPr="003E751B">
        <w:rPr>
          <w:lang w:val="en-GB"/>
        </w:rPr>
        <w:t>I</w:t>
      </w:r>
      <w:r w:rsidRPr="003E751B">
        <w:rPr>
          <w:lang w:val="en-GB"/>
        </w:rPr>
        <w:t>n</w:t>
      </w:r>
      <w:r w:rsidR="00A817D5" w:rsidRPr="003E751B">
        <w:rPr>
          <w:lang w:val="en-GB"/>
        </w:rPr>
        <w:t>:</w:t>
      </w:r>
      <w:r w:rsidRPr="003E751B">
        <w:rPr>
          <w:lang w:val="en-GB"/>
        </w:rPr>
        <w:t xml:space="preserve"> </w:t>
      </w:r>
      <w:r w:rsidRPr="003E751B">
        <w:rPr>
          <w:i/>
          <w:lang w:val="en-GB"/>
        </w:rPr>
        <w:t>Wagner, F</w:t>
      </w:r>
      <w:r w:rsidR="000E76E3" w:rsidRPr="003E751B">
        <w:rPr>
          <w:i/>
          <w:lang w:val="en-GB"/>
        </w:rPr>
        <w:t>ritz; Mahayni, Riad; Piller, Andreas G.</w:t>
      </w:r>
      <w:r w:rsidRPr="003E751B">
        <w:rPr>
          <w:lang w:val="en-GB"/>
        </w:rPr>
        <w:t xml:space="preserve"> (</w:t>
      </w:r>
      <w:r w:rsidR="00EC322F" w:rsidRPr="003E751B">
        <w:rPr>
          <w:lang w:val="en-GB"/>
        </w:rPr>
        <w:t>E</w:t>
      </w:r>
      <w:r w:rsidRPr="003E751B">
        <w:rPr>
          <w:lang w:val="en-GB"/>
        </w:rPr>
        <w:t>d</w:t>
      </w:r>
      <w:r w:rsidR="000E76E3" w:rsidRPr="003E751B">
        <w:rPr>
          <w:lang w:val="en-GB"/>
        </w:rPr>
        <w:t>s</w:t>
      </w:r>
      <w:r w:rsidR="006F4BB5" w:rsidRPr="003E751B">
        <w:rPr>
          <w:lang w:val="en-GB"/>
        </w:rPr>
        <w:t>.):</w:t>
      </w:r>
      <w:r w:rsidRPr="003E751B">
        <w:rPr>
          <w:lang w:val="en-GB"/>
        </w:rPr>
        <w:t xml:space="preserve"> Transforming Distressed Global Cities into</w:t>
      </w:r>
      <w:r w:rsidR="006F4BB5" w:rsidRPr="003E751B">
        <w:rPr>
          <w:lang w:val="en-GB"/>
        </w:rPr>
        <w:t xml:space="preserve"> More Healthy and Humane Places. Farnham:</w:t>
      </w:r>
      <w:r w:rsidRPr="003E751B">
        <w:rPr>
          <w:lang w:val="en-GB"/>
        </w:rPr>
        <w:t xml:space="preserve"> Ashgate</w:t>
      </w:r>
      <w:r w:rsidR="006F4BB5" w:rsidRPr="003E751B">
        <w:rPr>
          <w:lang w:val="en-GB"/>
        </w:rPr>
        <w:t>.</w:t>
      </w:r>
    </w:p>
    <w:p w14:paraId="1CC87F1E" w14:textId="77777777" w:rsidR="00A817D5" w:rsidRPr="003E751B" w:rsidRDefault="00A817D5" w:rsidP="00A817D5">
      <w:pPr>
        <w:pStyle w:val="EndNoteBibliography"/>
        <w:spacing w:after="0"/>
        <w:ind w:left="284" w:hanging="284"/>
        <w:rPr>
          <w:lang w:val="en-GB"/>
        </w:rPr>
      </w:pPr>
      <w:r w:rsidRPr="003E751B">
        <w:rPr>
          <w:i/>
          <w:lang w:val="en-GB"/>
        </w:rPr>
        <w:lastRenderedPageBreak/>
        <w:t>Siedentop, Stefan; Fina, Stefan</w:t>
      </w:r>
      <w:r w:rsidRPr="003E751B">
        <w:rPr>
          <w:lang w:val="en-GB"/>
        </w:rPr>
        <w:t xml:space="preserve"> 2012: Who sprawls most? Exploring the patterns of urban growth across 26 European </w:t>
      </w:r>
      <w:r w:rsidR="00C92BA0" w:rsidRPr="003E751B">
        <w:rPr>
          <w:lang w:val="en-GB"/>
        </w:rPr>
        <w:t>c</w:t>
      </w:r>
      <w:r w:rsidRPr="003E751B">
        <w:rPr>
          <w:lang w:val="en-GB"/>
        </w:rPr>
        <w:t xml:space="preserve">ountries. In: Environment and Planning A 44,11: 2765-2784 [doi: </w:t>
      </w:r>
      <w:hyperlink r:id="rId48" w:history="1">
        <w:r w:rsidRPr="003E751B">
          <w:rPr>
            <w:lang w:val="en-GB"/>
          </w:rPr>
          <w:t>10.1068/a4580</w:t>
        </w:r>
      </w:hyperlink>
      <w:r w:rsidRPr="003E751B">
        <w:rPr>
          <w:lang w:val="en-GB"/>
        </w:rPr>
        <w:t>].</w:t>
      </w:r>
    </w:p>
    <w:p w14:paraId="5E1793FE" w14:textId="77777777" w:rsidR="00E4507C" w:rsidRPr="003E751B" w:rsidRDefault="00E4507C" w:rsidP="00D9599A">
      <w:pPr>
        <w:pStyle w:val="EndNoteBibliography"/>
        <w:spacing w:after="0"/>
        <w:ind w:left="284" w:hanging="284"/>
        <w:rPr>
          <w:lang w:val="en-GB"/>
        </w:rPr>
      </w:pPr>
      <w:r w:rsidRPr="003E751B">
        <w:rPr>
          <w:i/>
          <w:lang w:val="en-GB"/>
        </w:rPr>
        <w:t>Simpson, Ludi</w:t>
      </w:r>
      <w:r w:rsidRPr="003E751B">
        <w:rPr>
          <w:lang w:val="en-GB"/>
        </w:rPr>
        <w:t xml:space="preserve"> 2007</w:t>
      </w:r>
      <w:r w:rsidR="00CA56F6" w:rsidRPr="003E751B">
        <w:rPr>
          <w:lang w:val="en-GB"/>
        </w:rPr>
        <w:t>:</w:t>
      </w:r>
      <w:r w:rsidRPr="003E751B">
        <w:rPr>
          <w:lang w:val="en-GB"/>
        </w:rPr>
        <w:t xml:space="preserve"> Fixing the population: from census to population estimate. In: Environment and Planning A 39,5: 1045-1057 [doi: </w:t>
      </w:r>
      <w:hyperlink r:id="rId49" w:history="1">
        <w:r w:rsidRPr="003E751B">
          <w:rPr>
            <w:lang w:val="en-GB"/>
          </w:rPr>
          <w:t>10.1068/a38141</w:t>
        </w:r>
      </w:hyperlink>
      <w:r w:rsidRPr="003E751B">
        <w:rPr>
          <w:lang w:val="en-GB"/>
        </w:rPr>
        <w:t>].</w:t>
      </w:r>
    </w:p>
    <w:p w14:paraId="045AA8EA" w14:textId="77777777" w:rsidR="00A817D5" w:rsidRPr="003E751B" w:rsidRDefault="00A817D5" w:rsidP="00D9599A">
      <w:pPr>
        <w:pStyle w:val="EndNoteBibliography"/>
        <w:spacing w:after="0"/>
        <w:ind w:left="284" w:hanging="284"/>
        <w:rPr>
          <w:lang w:val="en-GB"/>
        </w:rPr>
      </w:pPr>
      <w:r w:rsidRPr="003E751B">
        <w:rPr>
          <w:i/>
          <w:lang w:val="en-GB"/>
        </w:rPr>
        <w:t>Soja, Edward</w:t>
      </w:r>
      <w:r w:rsidRPr="003E751B">
        <w:rPr>
          <w:lang w:val="en-GB"/>
        </w:rPr>
        <w:t xml:space="preserve"> 2015: Accentuate the regional. In: International Journal of Urban and Regional Research 39,2: 372-381 [doi: </w:t>
      </w:r>
      <w:hyperlink r:id="rId50" w:history="1">
        <w:r w:rsidRPr="003E751B">
          <w:rPr>
            <w:lang w:val="en-GB"/>
          </w:rPr>
          <w:t>10.1111/1468-2427.12176</w:t>
        </w:r>
      </w:hyperlink>
      <w:r w:rsidRPr="003E751B">
        <w:rPr>
          <w:lang w:val="en-GB"/>
        </w:rPr>
        <w:t>].</w:t>
      </w:r>
    </w:p>
    <w:p w14:paraId="250EBA81" w14:textId="77777777" w:rsidR="00E25D7A" w:rsidRPr="00185AD2" w:rsidRDefault="00E25D7A" w:rsidP="00F06C2A">
      <w:pPr>
        <w:pStyle w:val="EndNoteBibliography"/>
        <w:spacing w:after="0"/>
        <w:ind w:left="284" w:hanging="284"/>
        <w:rPr>
          <w:rFonts w:cs="ArialMT-Light"/>
          <w:lang w:val="en-GB"/>
        </w:rPr>
      </w:pPr>
      <w:r w:rsidRPr="003E751B">
        <w:rPr>
          <w:rFonts w:cs="ArialMT-Light"/>
          <w:i/>
          <w:lang w:val="en-GB"/>
        </w:rPr>
        <w:t xml:space="preserve">St Helens Council </w:t>
      </w:r>
      <w:r w:rsidRPr="003E751B">
        <w:rPr>
          <w:rFonts w:cs="ArialMT-Light"/>
          <w:lang w:val="en-GB"/>
        </w:rPr>
        <w:t xml:space="preserve">2008: </w:t>
      </w:r>
      <w:r w:rsidR="00740C53" w:rsidRPr="00172EE0">
        <w:rPr>
          <w:lang w:val="en-GB"/>
        </w:rPr>
        <w:t xml:space="preserve">Sustainable Community Plan 2008-2018. </w:t>
      </w:r>
      <w:r w:rsidR="00740C53" w:rsidRPr="003E751B">
        <w:rPr>
          <w:lang w:val="en-GB"/>
        </w:rPr>
        <w:t>St Helens: St Helens Council.</w:t>
      </w:r>
    </w:p>
    <w:p w14:paraId="4115A1C2" w14:textId="77777777" w:rsidR="008F38F4" w:rsidRPr="003E751B" w:rsidRDefault="008F38F4" w:rsidP="00F06C2A">
      <w:pPr>
        <w:pStyle w:val="EndNoteBibliography"/>
        <w:spacing w:after="0"/>
        <w:ind w:left="284" w:hanging="284"/>
        <w:rPr>
          <w:lang w:val="en-GB"/>
        </w:rPr>
      </w:pPr>
      <w:r w:rsidRPr="003E751B">
        <w:rPr>
          <w:i/>
          <w:lang w:val="en-GB"/>
        </w:rPr>
        <w:t>St Helens Council</w:t>
      </w:r>
      <w:r w:rsidRPr="003E751B">
        <w:rPr>
          <w:lang w:val="en-GB"/>
        </w:rPr>
        <w:t xml:space="preserve"> 2012: St. Helens Local Plan: Core Strategy. St Helens: St Helens Council.</w:t>
      </w:r>
    </w:p>
    <w:p w14:paraId="75EB6079" w14:textId="77777777" w:rsidR="00F06C2A" w:rsidRPr="003E751B" w:rsidRDefault="00F06C2A" w:rsidP="00F06C2A">
      <w:pPr>
        <w:pStyle w:val="EndNoteBibliography"/>
        <w:spacing w:after="0"/>
        <w:ind w:left="284" w:hanging="284"/>
        <w:rPr>
          <w:lang w:val="en-GB"/>
        </w:rPr>
      </w:pPr>
      <w:r w:rsidRPr="003E751B">
        <w:rPr>
          <w:i/>
          <w:lang w:val="en-GB"/>
        </w:rPr>
        <w:t>St Helens Council</w:t>
      </w:r>
      <w:r w:rsidRPr="003E751B">
        <w:rPr>
          <w:lang w:val="en-GB"/>
        </w:rPr>
        <w:t xml:space="preserve"> 2015: Bold Forest Park Area Action Plan: Publication Draft Nov 2015. St Helens: St Helens Council.</w:t>
      </w:r>
    </w:p>
    <w:p w14:paraId="61E0E95B" w14:textId="77777777" w:rsidR="00F06C2A" w:rsidRDefault="00F06C2A" w:rsidP="00F06C2A">
      <w:pPr>
        <w:pStyle w:val="EndNoteBibliography"/>
        <w:spacing w:after="0"/>
        <w:ind w:left="284" w:hanging="284"/>
        <w:rPr>
          <w:lang w:val="en-GB"/>
        </w:rPr>
      </w:pPr>
      <w:r w:rsidRPr="003E751B">
        <w:rPr>
          <w:i/>
          <w:lang w:val="en-GB"/>
        </w:rPr>
        <w:t>St Helens Council</w:t>
      </w:r>
      <w:r w:rsidRPr="003E751B">
        <w:rPr>
          <w:lang w:val="en-GB"/>
        </w:rPr>
        <w:t xml:space="preserve"> 2016: St.Helens Local Plan 2018–2033: Preferred Options. St Helens: St Helens Council.</w:t>
      </w:r>
    </w:p>
    <w:p w14:paraId="3EBC6FE5" w14:textId="77777777" w:rsidR="009352BE" w:rsidRPr="00B73858" w:rsidRDefault="009352BE" w:rsidP="009352BE">
      <w:pPr>
        <w:pStyle w:val="EndNoteBibliography"/>
        <w:spacing w:after="0"/>
        <w:ind w:left="284" w:hanging="284"/>
        <w:rPr>
          <w:lang w:val="en-GB"/>
        </w:rPr>
      </w:pPr>
      <w:r>
        <w:rPr>
          <w:i/>
          <w:lang w:val="en-GB"/>
        </w:rPr>
        <w:t>Sturzaker, John; Mell, Ian</w:t>
      </w:r>
      <w:r>
        <w:rPr>
          <w:lang w:val="en-GB"/>
        </w:rPr>
        <w:t xml:space="preserve"> 2016: Green Belts: Past; Present; Future? Abingdon: Routledge.</w:t>
      </w:r>
    </w:p>
    <w:p w14:paraId="00662919" w14:textId="7EA2C221" w:rsidR="009352BE" w:rsidRPr="003E751B" w:rsidRDefault="009352BE" w:rsidP="00F06C2A">
      <w:pPr>
        <w:pStyle w:val="EndNoteBibliography"/>
        <w:spacing w:after="0"/>
        <w:ind w:left="284" w:hanging="284"/>
        <w:rPr>
          <w:lang w:val="en-GB"/>
        </w:rPr>
      </w:pPr>
      <w:r w:rsidRPr="009352BE">
        <w:rPr>
          <w:i/>
          <w:lang w:val="en-GB"/>
        </w:rPr>
        <w:t>Sykes, Olivier; Nurse, Alexander</w:t>
      </w:r>
      <w:r w:rsidRPr="009352BE">
        <w:rPr>
          <w:lang w:val="en-GB"/>
        </w:rPr>
        <w:t xml:space="preserve"> 2017: Cities and regional development in England: A carnival of scales and regionalisms?</w:t>
      </w:r>
      <w:r>
        <w:rPr>
          <w:lang w:val="en-GB"/>
        </w:rPr>
        <w:t xml:space="preserve"> In: Pôle Sud 46: 79-96.</w:t>
      </w:r>
    </w:p>
    <w:p w14:paraId="0C653B60" w14:textId="77777777" w:rsidR="006563B4" w:rsidRPr="003E751B" w:rsidRDefault="006563B4" w:rsidP="00CB17A7">
      <w:pPr>
        <w:pStyle w:val="EndNoteBibliography"/>
        <w:spacing w:after="0"/>
        <w:ind w:left="284" w:hanging="284"/>
        <w:rPr>
          <w:lang w:val="en-GB"/>
        </w:rPr>
      </w:pPr>
      <w:r w:rsidRPr="003E751B">
        <w:rPr>
          <w:i/>
          <w:lang w:val="en-GB"/>
        </w:rPr>
        <w:t xml:space="preserve">Sykes, Olivier et al. </w:t>
      </w:r>
      <w:r w:rsidRPr="003E751B">
        <w:rPr>
          <w:lang w:val="en-GB"/>
        </w:rPr>
        <w:t xml:space="preserve">2013: A </w:t>
      </w:r>
      <w:r w:rsidRPr="003E751B">
        <w:rPr>
          <w:i/>
          <w:lang w:val="en-GB"/>
        </w:rPr>
        <w:t>City Profile</w:t>
      </w:r>
      <w:r w:rsidRPr="003E751B">
        <w:rPr>
          <w:lang w:val="en-GB"/>
        </w:rPr>
        <w:t xml:space="preserve"> of Liverpool. In: Cities 35: 299-318 [doi: </w:t>
      </w:r>
      <w:hyperlink r:id="rId51" w:history="1">
        <w:r w:rsidRPr="003E751B">
          <w:rPr>
            <w:lang w:val="en-GB"/>
          </w:rPr>
          <w:t>10.1016/j.cities.2013.03.013</w:t>
        </w:r>
      </w:hyperlink>
      <w:r w:rsidRPr="003E751B">
        <w:rPr>
          <w:lang w:val="en-GB"/>
        </w:rPr>
        <w:t>].</w:t>
      </w:r>
    </w:p>
    <w:p w14:paraId="22A39A42" w14:textId="77777777" w:rsidR="0071585F" w:rsidRPr="003E751B" w:rsidRDefault="0071585F" w:rsidP="0071585F">
      <w:pPr>
        <w:pStyle w:val="EndNoteBibliography"/>
        <w:spacing w:after="0"/>
        <w:ind w:left="284" w:hanging="284"/>
        <w:rPr>
          <w:lang w:val="en-GB"/>
        </w:rPr>
      </w:pPr>
      <w:r w:rsidRPr="003E751B">
        <w:rPr>
          <w:i/>
          <w:lang w:val="en-GB"/>
        </w:rPr>
        <w:t>Taylor, Nigel</w:t>
      </w:r>
      <w:r w:rsidRPr="003E751B">
        <w:rPr>
          <w:lang w:val="en-GB"/>
        </w:rPr>
        <w:t xml:space="preserve"> 1998: Urban Planning Theory since 1945. London: Sage.</w:t>
      </w:r>
    </w:p>
    <w:p w14:paraId="416D27EB" w14:textId="77777777" w:rsidR="00EF0AC2" w:rsidRPr="003E751B" w:rsidRDefault="00EF0AC2" w:rsidP="00EF0AC2">
      <w:pPr>
        <w:pStyle w:val="EndNoteBibliography"/>
        <w:spacing w:after="0"/>
        <w:ind w:left="284" w:hanging="284"/>
        <w:rPr>
          <w:lang w:val="en-GB"/>
        </w:rPr>
      </w:pPr>
      <w:r w:rsidRPr="003E751B">
        <w:rPr>
          <w:i/>
          <w:lang w:val="en-GB"/>
        </w:rPr>
        <w:t>Turok, Ivan</w:t>
      </w:r>
      <w:r w:rsidRPr="003E751B">
        <w:rPr>
          <w:lang w:val="en-GB"/>
        </w:rPr>
        <w:t xml:space="preserve">; </w:t>
      </w:r>
      <w:r w:rsidRPr="003E751B">
        <w:rPr>
          <w:i/>
          <w:lang w:val="en-GB"/>
        </w:rPr>
        <w:t>Mykhnenko, Vlad</w:t>
      </w:r>
      <w:r w:rsidRPr="003E751B">
        <w:rPr>
          <w:lang w:val="en-GB"/>
        </w:rPr>
        <w:t xml:space="preserve"> 2007: The trajectories of European cities, 1960–2005. In: Cities 24,3: 165-182 [doi: </w:t>
      </w:r>
      <w:hyperlink r:id="rId52" w:history="1">
        <w:r w:rsidRPr="003E751B">
          <w:rPr>
            <w:lang w:val="en-GB"/>
          </w:rPr>
          <w:t>10.1016/j.cities.2007.01.007</w:t>
        </w:r>
      </w:hyperlink>
      <w:r w:rsidRPr="003E751B">
        <w:rPr>
          <w:lang w:val="en-GB"/>
        </w:rPr>
        <w:t>].</w:t>
      </w:r>
    </w:p>
    <w:p w14:paraId="79619B48" w14:textId="77777777" w:rsidR="00EF0B03" w:rsidRPr="003E751B" w:rsidRDefault="00D66C41" w:rsidP="00EF0B03">
      <w:pPr>
        <w:pStyle w:val="EndNoteBibliography"/>
        <w:spacing w:after="0"/>
        <w:ind w:left="284" w:hanging="284"/>
        <w:rPr>
          <w:lang w:val="en-GB"/>
        </w:rPr>
      </w:pPr>
      <w:r w:rsidRPr="003E751B">
        <w:rPr>
          <w:i/>
          <w:lang w:val="en-GB"/>
        </w:rPr>
        <w:t>Urban Task Force</w:t>
      </w:r>
      <w:r w:rsidRPr="003E751B">
        <w:rPr>
          <w:lang w:val="en-GB"/>
        </w:rPr>
        <w:t xml:space="preserve"> 1999</w:t>
      </w:r>
      <w:r w:rsidR="00D95229" w:rsidRPr="003E751B">
        <w:rPr>
          <w:lang w:val="en-GB"/>
        </w:rPr>
        <w:t>:</w:t>
      </w:r>
      <w:r w:rsidRPr="003E751B">
        <w:rPr>
          <w:lang w:val="en-GB"/>
        </w:rPr>
        <w:t xml:space="preserve"> Towards an U</w:t>
      </w:r>
      <w:r w:rsidR="00EF0B03" w:rsidRPr="003E751B">
        <w:rPr>
          <w:lang w:val="en-GB"/>
        </w:rPr>
        <w:t>rban Renaissance. London: Spon.</w:t>
      </w:r>
    </w:p>
    <w:p w14:paraId="308F1A09" w14:textId="77777777" w:rsidR="006C3380" w:rsidRPr="003E751B" w:rsidRDefault="006C3380" w:rsidP="005D2B36">
      <w:pPr>
        <w:pStyle w:val="EndNoteBibliography"/>
        <w:spacing w:after="0"/>
        <w:ind w:left="284" w:hanging="284"/>
        <w:rPr>
          <w:lang w:val="en-GB"/>
        </w:rPr>
      </w:pPr>
      <w:r w:rsidRPr="003E751B">
        <w:rPr>
          <w:i/>
          <w:lang w:val="en-GB"/>
        </w:rPr>
        <w:t>Van den Berg, Leo et al.</w:t>
      </w:r>
      <w:r w:rsidRPr="003E751B">
        <w:rPr>
          <w:lang w:val="en-GB"/>
        </w:rPr>
        <w:t xml:space="preserve"> 1982: Urban Europe: A Study of Growth and Decline. Oxford: Pergamon.</w:t>
      </w:r>
    </w:p>
    <w:p w14:paraId="7CE68EED" w14:textId="77777777" w:rsidR="00023BE6" w:rsidRPr="003E751B" w:rsidRDefault="00023BE6" w:rsidP="00023BE6">
      <w:pPr>
        <w:pStyle w:val="EndNoteBibliography"/>
        <w:spacing w:after="0"/>
        <w:ind w:left="284" w:hanging="284"/>
        <w:rPr>
          <w:lang w:val="en-GB"/>
        </w:rPr>
      </w:pPr>
      <w:r w:rsidRPr="003E751B">
        <w:rPr>
          <w:i/>
          <w:lang w:val="en-GB"/>
        </w:rPr>
        <w:t>Van Gent, Wouter; Musterd, Sako</w:t>
      </w:r>
      <w:r w:rsidRPr="003E751B">
        <w:rPr>
          <w:lang w:val="en-GB"/>
        </w:rPr>
        <w:t xml:space="preserve"> (2016) Class, migrants, and the European city: spatial impacts of structural changes in early twenty-first century Amsterdam. In: Journal of Ethnic and Migration Studies 42,6: 893-912 [doi: </w:t>
      </w:r>
      <w:hyperlink r:id="rId53" w:history="1">
        <w:r w:rsidRPr="003E751B">
          <w:rPr>
            <w:lang w:val="en-GB"/>
          </w:rPr>
          <w:t>10.1080/1369183X.2015.1126092</w:t>
        </w:r>
      </w:hyperlink>
      <w:r w:rsidRPr="003E751B">
        <w:rPr>
          <w:lang w:val="en-GB"/>
        </w:rPr>
        <w:t>].</w:t>
      </w:r>
    </w:p>
    <w:p w14:paraId="0DEC6E0A" w14:textId="1AE42330" w:rsidR="0024488B" w:rsidRPr="0024488B" w:rsidRDefault="0024488B" w:rsidP="005D2B36">
      <w:pPr>
        <w:pStyle w:val="EndNoteBibliography"/>
        <w:spacing w:after="0"/>
        <w:ind w:left="284" w:hanging="284"/>
        <w:rPr>
          <w:lang w:val="en-GB"/>
        </w:rPr>
      </w:pPr>
      <w:r>
        <w:rPr>
          <w:i/>
          <w:lang w:val="en-GB"/>
        </w:rPr>
        <w:t xml:space="preserve">Wiechmann, </w:t>
      </w:r>
      <w:r>
        <w:rPr>
          <w:i/>
        </w:rPr>
        <w:t>Thorsten</w:t>
      </w:r>
      <w:r>
        <w:rPr>
          <w:i/>
          <w:lang w:val="en-GB"/>
        </w:rPr>
        <w:t>; Pallagst</w:t>
      </w:r>
      <w:r>
        <w:rPr>
          <w:i/>
        </w:rPr>
        <w:t>, Karina M</w:t>
      </w:r>
      <w:r w:rsidRPr="00B73858">
        <w:t>. 2012:</w:t>
      </w:r>
      <w:r>
        <w:rPr>
          <w:i/>
          <w:lang w:val="en-GB"/>
        </w:rPr>
        <w:t xml:space="preserve"> </w:t>
      </w:r>
      <w:r w:rsidRPr="00B73858">
        <w:rPr>
          <w:lang w:val="en-GB"/>
        </w:rPr>
        <w:t xml:space="preserve">Urban shrinkage in Germany and the USA: A Comparison of Transformation Patterns and Local Strategies. In </w:t>
      </w:r>
      <w:r>
        <w:rPr>
          <w:lang w:val="en-GB"/>
        </w:rPr>
        <w:t>International Journal of Urban and Regional Research 36,2: 261-280</w:t>
      </w:r>
      <w:r w:rsidRPr="003E751B">
        <w:rPr>
          <w:lang w:val="en-GB"/>
        </w:rPr>
        <w:t xml:space="preserve"> [doi: </w:t>
      </w:r>
      <w:hyperlink r:id="rId54" w:history="1">
        <w:r>
          <w:rPr>
            <w:lang w:val="en-GB"/>
          </w:rPr>
          <w:t>10.1111/j.1468-2427.2011.01095.x</w:t>
        </w:r>
      </w:hyperlink>
      <w:r w:rsidRPr="00B73858">
        <w:rPr>
          <w:lang w:val="en-GB"/>
        </w:rPr>
        <w:t>].</w:t>
      </w:r>
    </w:p>
    <w:p w14:paraId="34061B20" w14:textId="77777777" w:rsidR="00203E65" w:rsidRPr="003E751B" w:rsidRDefault="00203E65" w:rsidP="005D2B36">
      <w:pPr>
        <w:pStyle w:val="EndNoteBibliography"/>
        <w:spacing w:after="0"/>
        <w:ind w:left="284" w:hanging="284"/>
        <w:rPr>
          <w:lang w:val="en-GB"/>
        </w:rPr>
      </w:pPr>
      <w:r w:rsidRPr="003E751B">
        <w:rPr>
          <w:i/>
          <w:lang w:val="en-GB"/>
        </w:rPr>
        <w:t xml:space="preserve">Williams-Ellis, Clough </w:t>
      </w:r>
      <w:r w:rsidRPr="003E751B">
        <w:rPr>
          <w:lang w:val="en-GB"/>
        </w:rPr>
        <w:t>1928: England and the Octopus. London: Geoffrey Bles.</w:t>
      </w:r>
    </w:p>
    <w:p w14:paraId="69232D1D" w14:textId="77777777" w:rsidR="005D2B36" w:rsidRPr="003E751B" w:rsidRDefault="000D6B87" w:rsidP="00D35AAC">
      <w:pPr>
        <w:pStyle w:val="EndNoteBibliography"/>
        <w:spacing w:after="0"/>
        <w:ind w:left="284" w:hanging="284"/>
        <w:rPr>
          <w:rFonts w:eastAsia="Times New Roman"/>
          <w:lang w:val="en-GB"/>
        </w:rPr>
      </w:pPr>
      <w:r w:rsidRPr="003E751B">
        <w:rPr>
          <w:i/>
          <w:lang w:val="en-GB"/>
        </w:rPr>
        <w:t>Wray, Ian</w:t>
      </w:r>
      <w:r w:rsidR="005D2B36" w:rsidRPr="003E751B">
        <w:rPr>
          <w:i/>
          <w:lang w:val="en-GB"/>
        </w:rPr>
        <w:t xml:space="preserve"> </w:t>
      </w:r>
      <w:r w:rsidR="005D2B36" w:rsidRPr="003E751B">
        <w:rPr>
          <w:lang w:val="en-GB"/>
        </w:rPr>
        <w:t xml:space="preserve">2011: In search of strategic sites: North West England, 1990–2010. In: Town Planning Review 82,3: i-ix [doi: </w:t>
      </w:r>
      <w:hyperlink r:id="rId55" w:history="1">
        <w:r w:rsidR="005D2B36" w:rsidRPr="003E751B">
          <w:rPr>
            <w:lang w:val="en-GB"/>
          </w:rPr>
          <w:t>10.3828/tpr.2011.21</w:t>
        </w:r>
      </w:hyperlink>
      <w:r w:rsidR="005D2B36" w:rsidRPr="003E751B">
        <w:rPr>
          <w:lang w:val="en-GB"/>
        </w:rPr>
        <w:t>].</w:t>
      </w:r>
    </w:p>
    <w:p w14:paraId="0586A408" w14:textId="77777777" w:rsidR="00D156CF" w:rsidRPr="003E751B" w:rsidRDefault="00D156CF" w:rsidP="00165EB6">
      <w:pPr>
        <w:pStyle w:val="EndNoteBibliography"/>
        <w:spacing w:after="0"/>
        <w:ind w:left="284" w:hanging="284"/>
        <w:rPr>
          <w:lang w:val="en-GB"/>
        </w:rPr>
      </w:pPr>
    </w:p>
    <w:p w14:paraId="194F6900" w14:textId="77777777" w:rsidR="000F6AAA" w:rsidRPr="003E751B" w:rsidRDefault="000F6AAA" w:rsidP="00D9599A">
      <w:pPr>
        <w:pStyle w:val="EndNoteBibliography"/>
        <w:spacing w:after="0"/>
        <w:ind w:left="720" w:hanging="720"/>
        <w:rPr>
          <w:lang w:val="en-GB"/>
        </w:rPr>
      </w:pPr>
    </w:p>
    <w:p w14:paraId="167BF148" w14:textId="77777777" w:rsidR="00D9599A" w:rsidRPr="003E751B" w:rsidRDefault="00D9599A" w:rsidP="00D9599A">
      <w:pPr>
        <w:rPr>
          <w:rFonts w:ascii="Calibri" w:hAnsi="Calibri"/>
          <w:sz w:val="22"/>
          <w:szCs w:val="22"/>
          <w:lang w:val="en-GB"/>
        </w:rPr>
      </w:pPr>
      <w:r w:rsidRPr="003E751B">
        <w:rPr>
          <w:rFonts w:ascii="Calibri" w:hAnsi="Calibri"/>
          <w:sz w:val="22"/>
          <w:szCs w:val="22"/>
          <w:lang w:val="en-GB"/>
        </w:rPr>
        <w:t>Dr Sebastian Dembski. Department of Geography and Planning, University of Liverpool. United Kingdom.</w:t>
      </w:r>
      <w:r w:rsidRPr="003E751B">
        <w:rPr>
          <w:rFonts w:ascii="Calibri" w:hAnsi="Calibri"/>
          <w:sz w:val="22"/>
          <w:szCs w:val="22"/>
          <w:lang w:val="en-GB"/>
        </w:rPr>
        <w:br/>
        <w:t>Email: sebastian.dembski@liverpool.ac.uk</w:t>
      </w:r>
    </w:p>
    <w:p w14:paraId="2BE40730" w14:textId="77777777" w:rsidR="00D9599A" w:rsidRPr="003E751B" w:rsidRDefault="00D9599A" w:rsidP="00D9599A">
      <w:pPr>
        <w:rPr>
          <w:rFonts w:ascii="Calibri" w:hAnsi="Calibri"/>
          <w:sz w:val="22"/>
          <w:szCs w:val="22"/>
          <w:lang w:val="en-GB"/>
        </w:rPr>
      </w:pPr>
      <w:r w:rsidRPr="003E751B">
        <w:rPr>
          <w:rFonts w:ascii="Calibri" w:hAnsi="Calibri"/>
          <w:sz w:val="22"/>
          <w:szCs w:val="22"/>
          <w:lang w:val="en-GB"/>
        </w:rPr>
        <w:t>URL: https://www.liverpool.ac.uk/environmental-sciences/staff/sebastian-dembski/</w:t>
      </w:r>
    </w:p>
    <w:p w14:paraId="65F48078" w14:textId="77777777" w:rsidR="000F6AAA" w:rsidRPr="003E751B" w:rsidRDefault="000F6AAA" w:rsidP="00D9599A">
      <w:pPr>
        <w:rPr>
          <w:rFonts w:ascii="Calibri" w:hAnsi="Calibri"/>
          <w:sz w:val="22"/>
          <w:szCs w:val="22"/>
          <w:lang w:val="en-GB"/>
        </w:rPr>
      </w:pPr>
    </w:p>
    <w:p w14:paraId="6FF17919" w14:textId="77777777" w:rsidR="00D9599A" w:rsidRPr="003E751B" w:rsidRDefault="00D9599A" w:rsidP="00D9599A">
      <w:pPr>
        <w:rPr>
          <w:rFonts w:ascii="Calibri" w:hAnsi="Calibri"/>
          <w:sz w:val="22"/>
          <w:szCs w:val="22"/>
          <w:lang w:val="en-GB"/>
        </w:rPr>
      </w:pPr>
      <w:r w:rsidRPr="003E751B">
        <w:rPr>
          <w:rFonts w:ascii="Calibri" w:hAnsi="Calibri"/>
          <w:sz w:val="22"/>
          <w:szCs w:val="22"/>
          <w:lang w:val="en-GB"/>
        </w:rPr>
        <w:t xml:space="preserve">Dr Andreas Schulze Bäing. School of Environment, Education and Development, The University of Manchester. United Kingdom. </w:t>
      </w:r>
    </w:p>
    <w:p w14:paraId="1DBF9770" w14:textId="77777777" w:rsidR="00D9599A" w:rsidRPr="003E751B" w:rsidRDefault="00D9599A" w:rsidP="00D9599A">
      <w:pPr>
        <w:rPr>
          <w:rFonts w:ascii="Calibri" w:hAnsi="Calibri"/>
          <w:sz w:val="22"/>
          <w:szCs w:val="22"/>
          <w:lang w:val="en-GB"/>
        </w:rPr>
      </w:pPr>
      <w:r w:rsidRPr="003E751B">
        <w:rPr>
          <w:rFonts w:ascii="Calibri" w:hAnsi="Calibri"/>
          <w:sz w:val="22"/>
          <w:szCs w:val="22"/>
          <w:lang w:val="en-GB"/>
        </w:rPr>
        <w:lastRenderedPageBreak/>
        <w:t>Email: andreas.schulze.baing@manchester.ac.uk</w:t>
      </w:r>
    </w:p>
    <w:p w14:paraId="5A217821" w14:textId="77777777" w:rsidR="002B55DE" w:rsidRPr="003E751B" w:rsidRDefault="00D9599A" w:rsidP="002B55DE">
      <w:pPr>
        <w:pStyle w:val="EndNoteBibliography"/>
        <w:spacing w:after="0"/>
        <w:ind w:left="720" w:hanging="720"/>
        <w:rPr>
          <w:lang w:val="en-GB"/>
        </w:rPr>
      </w:pPr>
      <w:r w:rsidRPr="003E751B">
        <w:rPr>
          <w:lang w:val="en-GB"/>
        </w:rPr>
        <w:t>URL: http://www.manchester.ac.uk/research/Andreas.Schulze.Baing/</w:t>
      </w:r>
    </w:p>
    <w:p w14:paraId="510A7F07" w14:textId="77777777" w:rsidR="002B55DE" w:rsidRPr="003E751B" w:rsidRDefault="002B55DE" w:rsidP="002B55DE">
      <w:pPr>
        <w:rPr>
          <w:rFonts w:ascii="Calibri" w:hAnsi="Calibri"/>
          <w:sz w:val="22"/>
          <w:szCs w:val="22"/>
          <w:lang w:val="en-GB"/>
        </w:rPr>
      </w:pPr>
    </w:p>
    <w:p w14:paraId="1AB7FEBF" w14:textId="77777777" w:rsidR="002B55DE" w:rsidRPr="003E751B" w:rsidRDefault="002B55DE" w:rsidP="002B55DE">
      <w:pPr>
        <w:rPr>
          <w:rFonts w:ascii="Calibri" w:hAnsi="Calibri"/>
          <w:sz w:val="22"/>
          <w:szCs w:val="22"/>
          <w:lang w:val="en-GB"/>
        </w:rPr>
      </w:pPr>
      <w:r w:rsidRPr="003E751B">
        <w:rPr>
          <w:rFonts w:ascii="Calibri" w:hAnsi="Calibri"/>
          <w:sz w:val="22"/>
          <w:szCs w:val="22"/>
          <w:lang w:val="en-GB"/>
        </w:rPr>
        <w:t>Dr Olivier Sykes. Department of Geography and Planning, University of Liverpool. United Kingdom.</w:t>
      </w:r>
      <w:r w:rsidRPr="003E751B">
        <w:rPr>
          <w:rFonts w:ascii="Calibri" w:hAnsi="Calibri"/>
          <w:sz w:val="22"/>
          <w:szCs w:val="22"/>
          <w:lang w:val="en-GB"/>
        </w:rPr>
        <w:br/>
        <w:t>Email: olivier.sykes@liverpool.ac.uk</w:t>
      </w:r>
    </w:p>
    <w:p w14:paraId="1FB498A4" w14:textId="77777777" w:rsidR="00D9599A" w:rsidRPr="003E751B" w:rsidRDefault="002B55DE" w:rsidP="00D9599A">
      <w:pPr>
        <w:rPr>
          <w:rFonts w:ascii="Calibri" w:hAnsi="Calibri"/>
          <w:sz w:val="22"/>
          <w:szCs w:val="22"/>
          <w:lang w:val="en-GB"/>
        </w:rPr>
      </w:pPr>
      <w:r w:rsidRPr="003E751B">
        <w:rPr>
          <w:rFonts w:ascii="Calibri" w:hAnsi="Calibri"/>
          <w:sz w:val="22"/>
          <w:szCs w:val="22"/>
          <w:lang w:val="en-GB"/>
        </w:rPr>
        <w:t>URL: https://www.liverpool.ac.uk/environmental-sciences/staff/olivier-sykes/</w:t>
      </w:r>
    </w:p>
    <w:sectPr w:rsidR="00D9599A" w:rsidRPr="003E751B" w:rsidSect="005F67FF">
      <w:pgSz w:w="11906" w:h="16838" w:code="9"/>
      <w:pgMar w:top="2268" w:right="1985" w:bottom="2268" w:left="1985"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7483E" w14:textId="77777777" w:rsidR="003904B5" w:rsidRDefault="003904B5" w:rsidP="00C65C5D">
      <w:r>
        <w:separator/>
      </w:r>
    </w:p>
  </w:endnote>
  <w:endnote w:type="continuationSeparator" w:id="0">
    <w:p w14:paraId="64D146A3" w14:textId="77777777" w:rsidR="003904B5" w:rsidRDefault="003904B5" w:rsidP="00C6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auto"/>
    <w:notTrueType/>
    <w:pitch w:val="default"/>
    <w:sig w:usb0="00000003" w:usb1="00000000" w:usb2="00000000" w:usb3="00000000" w:csb0="00000001" w:csb1="00000000"/>
  </w:font>
  <w:font w:name="ArialMT-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17BAF" w14:textId="77777777" w:rsidR="003904B5" w:rsidRDefault="003904B5" w:rsidP="00C65C5D">
      <w:r>
        <w:separator/>
      </w:r>
    </w:p>
  </w:footnote>
  <w:footnote w:type="continuationSeparator" w:id="0">
    <w:p w14:paraId="692BA239" w14:textId="77777777" w:rsidR="003904B5" w:rsidRDefault="003904B5" w:rsidP="00C65C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FB6471"/>
    <w:multiLevelType w:val="multilevel"/>
    <w:tmpl w:val="0204BA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80DBA"/>
    <w:multiLevelType w:val="hybridMultilevel"/>
    <w:tmpl w:val="79E82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F2470C"/>
    <w:multiLevelType w:val="multilevel"/>
    <w:tmpl w:val="B87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97716E"/>
    <w:multiLevelType w:val="multilevel"/>
    <w:tmpl w:val="A6AE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E2696"/>
    <w:multiLevelType w:val="hybridMultilevel"/>
    <w:tmpl w:val="FE22E694"/>
    <w:lvl w:ilvl="0" w:tplc="448289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95F4DDA"/>
    <w:multiLevelType w:val="hybridMultilevel"/>
    <w:tmpl w:val="BA9C9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5D48E1"/>
    <w:multiLevelType w:val="hybridMultilevel"/>
    <w:tmpl w:val="E4E48934"/>
    <w:lvl w:ilvl="0" w:tplc="A4DCF670">
      <w:start w:val="8"/>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07843"/>
    <w:multiLevelType w:val="hybridMultilevel"/>
    <w:tmpl w:val="AD24D256"/>
    <w:lvl w:ilvl="0" w:tplc="8002312C">
      <w:start w:val="8"/>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502F60"/>
    <w:multiLevelType w:val="multilevel"/>
    <w:tmpl w:val="73B0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B13477"/>
    <w:multiLevelType w:val="hybridMultilevel"/>
    <w:tmpl w:val="C876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4F1016"/>
    <w:multiLevelType w:val="hybridMultilevel"/>
    <w:tmpl w:val="E19E27D0"/>
    <w:lvl w:ilvl="0" w:tplc="3F2A81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897284"/>
    <w:multiLevelType w:val="multilevel"/>
    <w:tmpl w:val="F9F6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D52FF8"/>
    <w:multiLevelType w:val="multilevel"/>
    <w:tmpl w:val="D4BA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60693E"/>
    <w:multiLevelType w:val="hybridMultilevel"/>
    <w:tmpl w:val="1E6ED876"/>
    <w:lvl w:ilvl="0" w:tplc="63C27D08">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5B470B"/>
    <w:multiLevelType w:val="hybridMultilevel"/>
    <w:tmpl w:val="785E2FC8"/>
    <w:lvl w:ilvl="0" w:tplc="9B9AECB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524214"/>
    <w:multiLevelType w:val="hybridMultilevel"/>
    <w:tmpl w:val="C91CE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516D56"/>
    <w:multiLevelType w:val="hybridMultilevel"/>
    <w:tmpl w:val="29E6C4EE"/>
    <w:lvl w:ilvl="0" w:tplc="EA4268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9928DD"/>
    <w:multiLevelType w:val="hybridMultilevel"/>
    <w:tmpl w:val="4F5CE5E6"/>
    <w:lvl w:ilvl="0" w:tplc="57EEBF8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735C9F"/>
    <w:multiLevelType w:val="multilevel"/>
    <w:tmpl w:val="16DE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9"/>
  </w:num>
  <w:num w:numId="4">
    <w:abstractNumId w:val="9"/>
  </w:num>
  <w:num w:numId="5">
    <w:abstractNumId w:val="6"/>
  </w:num>
  <w:num w:numId="6">
    <w:abstractNumId w:val="16"/>
  </w:num>
  <w:num w:numId="7">
    <w:abstractNumId w:val="17"/>
  </w:num>
  <w:num w:numId="8">
    <w:abstractNumId w:val="11"/>
  </w:num>
  <w:num w:numId="9">
    <w:abstractNumId w:val="2"/>
  </w:num>
  <w:num w:numId="10">
    <w:abstractNumId w:val="18"/>
  </w:num>
  <w:num w:numId="11">
    <w:abstractNumId w:val="5"/>
  </w:num>
  <w:num w:numId="12">
    <w:abstractNumId w:val="12"/>
  </w:num>
  <w:num w:numId="13">
    <w:abstractNumId w:val="4"/>
  </w:num>
  <w:num w:numId="14">
    <w:abstractNumId w:val="0"/>
  </w:num>
  <w:num w:numId="15">
    <w:abstractNumId w:val="1"/>
  </w:num>
  <w:num w:numId="16">
    <w:abstractNumId w:val="10"/>
  </w:num>
  <w:num w:numId="17">
    <w:abstractNumId w:val="15"/>
  </w:num>
  <w:num w:numId="18">
    <w:abstractNumId w:val="7"/>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xford-Author 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ft0spwgfe5sve52agvra5bx0tprpffaz29&quot;&gt;StHelens&lt;record-ids&gt;&lt;item&gt;1&lt;/item&gt;&lt;item&gt;3&lt;/item&gt;&lt;item&gt;4&lt;/item&gt;&lt;item&gt;5&lt;/item&gt;&lt;item&gt;6&lt;/item&gt;&lt;item&gt;8&lt;/item&gt;&lt;item&gt;10&lt;/item&gt;&lt;item&gt;11&lt;/item&gt;&lt;item&gt;12&lt;/item&gt;&lt;item&gt;13&lt;/item&gt;&lt;item&gt;14&lt;/item&gt;&lt;item&gt;15&lt;/item&gt;&lt;item&gt;16&lt;/item&gt;&lt;item&gt;17&lt;/item&gt;&lt;item&gt;45&lt;/item&gt;&lt;item&gt;61&lt;/item&gt;&lt;item&gt;63&lt;/item&gt;&lt;item&gt;64&lt;/item&gt;&lt;/record-ids&gt;&lt;/item&gt;&lt;/Libraries&gt;"/>
  </w:docVars>
  <w:rsids>
    <w:rsidRoot w:val="00E04375"/>
    <w:rsid w:val="000002AA"/>
    <w:rsid w:val="00001759"/>
    <w:rsid w:val="000023BE"/>
    <w:rsid w:val="00003DE5"/>
    <w:rsid w:val="0001159C"/>
    <w:rsid w:val="0001318D"/>
    <w:rsid w:val="00014938"/>
    <w:rsid w:val="00014EE2"/>
    <w:rsid w:val="00015702"/>
    <w:rsid w:val="00016CA6"/>
    <w:rsid w:val="00022340"/>
    <w:rsid w:val="00022D1C"/>
    <w:rsid w:val="00023375"/>
    <w:rsid w:val="00023BE6"/>
    <w:rsid w:val="00026B25"/>
    <w:rsid w:val="00030103"/>
    <w:rsid w:val="000306EC"/>
    <w:rsid w:val="00031449"/>
    <w:rsid w:val="00032B2C"/>
    <w:rsid w:val="000331D1"/>
    <w:rsid w:val="00034EF6"/>
    <w:rsid w:val="00036F9F"/>
    <w:rsid w:val="000404D1"/>
    <w:rsid w:val="00043EF8"/>
    <w:rsid w:val="00044010"/>
    <w:rsid w:val="00044079"/>
    <w:rsid w:val="00046802"/>
    <w:rsid w:val="00047F52"/>
    <w:rsid w:val="0005306C"/>
    <w:rsid w:val="00057757"/>
    <w:rsid w:val="000612AB"/>
    <w:rsid w:val="00061C0C"/>
    <w:rsid w:val="00065A8B"/>
    <w:rsid w:val="000663AB"/>
    <w:rsid w:val="0006690D"/>
    <w:rsid w:val="00067ED2"/>
    <w:rsid w:val="00073B56"/>
    <w:rsid w:val="0007483B"/>
    <w:rsid w:val="000774D8"/>
    <w:rsid w:val="000809DF"/>
    <w:rsid w:val="000818D0"/>
    <w:rsid w:val="00082B54"/>
    <w:rsid w:val="000846C3"/>
    <w:rsid w:val="000910A3"/>
    <w:rsid w:val="00091BE1"/>
    <w:rsid w:val="00091D27"/>
    <w:rsid w:val="00091DEF"/>
    <w:rsid w:val="00093D81"/>
    <w:rsid w:val="00094108"/>
    <w:rsid w:val="00096554"/>
    <w:rsid w:val="000A2A09"/>
    <w:rsid w:val="000A40AF"/>
    <w:rsid w:val="000A5628"/>
    <w:rsid w:val="000A5C1D"/>
    <w:rsid w:val="000B174B"/>
    <w:rsid w:val="000B34B7"/>
    <w:rsid w:val="000B7A44"/>
    <w:rsid w:val="000C0EB0"/>
    <w:rsid w:val="000C1145"/>
    <w:rsid w:val="000C120D"/>
    <w:rsid w:val="000C703F"/>
    <w:rsid w:val="000C7633"/>
    <w:rsid w:val="000D3C4F"/>
    <w:rsid w:val="000D4772"/>
    <w:rsid w:val="000D54BB"/>
    <w:rsid w:val="000D6B2C"/>
    <w:rsid w:val="000D6B44"/>
    <w:rsid w:val="000D6B87"/>
    <w:rsid w:val="000E2460"/>
    <w:rsid w:val="000E6BD4"/>
    <w:rsid w:val="000E6C17"/>
    <w:rsid w:val="000E76E3"/>
    <w:rsid w:val="000F03F0"/>
    <w:rsid w:val="000F32AE"/>
    <w:rsid w:val="000F4D9C"/>
    <w:rsid w:val="000F5535"/>
    <w:rsid w:val="000F5AA8"/>
    <w:rsid w:val="000F65BC"/>
    <w:rsid w:val="000F6AAA"/>
    <w:rsid w:val="000F7F9E"/>
    <w:rsid w:val="001007B5"/>
    <w:rsid w:val="00102BCA"/>
    <w:rsid w:val="00104DBD"/>
    <w:rsid w:val="00105689"/>
    <w:rsid w:val="001070C9"/>
    <w:rsid w:val="00107771"/>
    <w:rsid w:val="00110058"/>
    <w:rsid w:val="00112D07"/>
    <w:rsid w:val="00114B95"/>
    <w:rsid w:val="00117AE2"/>
    <w:rsid w:val="001213B0"/>
    <w:rsid w:val="00122064"/>
    <w:rsid w:val="00124171"/>
    <w:rsid w:val="00124AAD"/>
    <w:rsid w:val="00130E84"/>
    <w:rsid w:val="001313B8"/>
    <w:rsid w:val="00133888"/>
    <w:rsid w:val="00133A45"/>
    <w:rsid w:val="00133AD5"/>
    <w:rsid w:val="00133FCF"/>
    <w:rsid w:val="001369EE"/>
    <w:rsid w:val="001375F5"/>
    <w:rsid w:val="00142A79"/>
    <w:rsid w:val="00143147"/>
    <w:rsid w:val="001433B8"/>
    <w:rsid w:val="00143792"/>
    <w:rsid w:val="00144251"/>
    <w:rsid w:val="00145DB1"/>
    <w:rsid w:val="001478A9"/>
    <w:rsid w:val="00147B82"/>
    <w:rsid w:val="001500A8"/>
    <w:rsid w:val="00150AD2"/>
    <w:rsid w:val="001527B3"/>
    <w:rsid w:val="00152F93"/>
    <w:rsid w:val="00154040"/>
    <w:rsid w:val="00155D01"/>
    <w:rsid w:val="001566B5"/>
    <w:rsid w:val="00160227"/>
    <w:rsid w:val="001636F9"/>
    <w:rsid w:val="00164523"/>
    <w:rsid w:val="00165EB6"/>
    <w:rsid w:val="001708AB"/>
    <w:rsid w:val="00171623"/>
    <w:rsid w:val="00171DEF"/>
    <w:rsid w:val="0017224B"/>
    <w:rsid w:val="00172EE0"/>
    <w:rsid w:val="001743B7"/>
    <w:rsid w:val="0017679E"/>
    <w:rsid w:val="001773A7"/>
    <w:rsid w:val="00177D1C"/>
    <w:rsid w:val="0018351A"/>
    <w:rsid w:val="001837FB"/>
    <w:rsid w:val="00183BC8"/>
    <w:rsid w:val="00183F81"/>
    <w:rsid w:val="0018542A"/>
    <w:rsid w:val="00185AD2"/>
    <w:rsid w:val="0018694B"/>
    <w:rsid w:val="001917FF"/>
    <w:rsid w:val="00191E6C"/>
    <w:rsid w:val="001939E5"/>
    <w:rsid w:val="00196188"/>
    <w:rsid w:val="001979B4"/>
    <w:rsid w:val="001A25A6"/>
    <w:rsid w:val="001A3DFA"/>
    <w:rsid w:val="001A5BEE"/>
    <w:rsid w:val="001A71CF"/>
    <w:rsid w:val="001A7DA7"/>
    <w:rsid w:val="001B0BA0"/>
    <w:rsid w:val="001B157B"/>
    <w:rsid w:val="001B2D66"/>
    <w:rsid w:val="001B2F66"/>
    <w:rsid w:val="001B4659"/>
    <w:rsid w:val="001B4EF3"/>
    <w:rsid w:val="001C03AD"/>
    <w:rsid w:val="001C133A"/>
    <w:rsid w:val="001C4644"/>
    <w:rsid w:val="001C4FCF"/>
    <w:rsid w:val="001C5BF3"/>
    <w:rsid w:val="001C66AE"/>
    <w:rsid w:val="001D3874"/>
    <w:rsid w:val="001E2C61"/>
    <w:rsid w:val="001E4111"/>
    <w:rsid w:val="001E4671"/>
    <w:rsid w:val="001E4A9A"/>
    <w:rsid w:val="001F0AB8"/>
    <w:rsid w:val="001F0BE9"/>
    <w:rsid w:val="001F2770"/>
    <w:rsid w:val="001F440B"/>
    <w:rsid w:val="001F501A"/>
    <w:rsid w:val="001F7844"/>
    <w:rsid w:val="001F7AAC"/>
    <w:rsid w:val="0020027A"/>
    <w:rsid w:val="00201C26"/>
    <w:rsid w:val="00203D87"/>
    <w:rsid w:val="00203E65"/>
    <w:rsid w:val="00213806"/>
    <w:rsid w:val="002166B4"/>
    <w:rsid w:val="00217DFD"/>
    <w:rsid w:val="002227EC"/>
    <w:rsid w:val="002241EB"/>
    <w:rsid w:val="002252F9"/>
    <w:rsid w:val="002255B5"/>
    <w:rsid w:val="0022580B"/>
    <w:rsid w:val="00225CAF"/>
    <w:rsid w:val="00227E6C"/>
    <w:rsid w:val="002309B4"/>
    <w:rsid w:val="00232DB6"/>
    <w:rsid w:val="00233AE8"/>
    <w:rsid w:val="0023498D"/>
    <w:rsid w:val="00237271"/>
    <w:rsid w:val="002372AD"/>
    <w:rsid w:val="00237391"/>
    <w:rsid w:val="00237F9B"/>
    <w:rsid w:val="00240155"/>
    <w:rsid w:val="002405EF"/>
    <w:rsid w:val="00241AC0"/>
    <w:rsid w:val="00242817"/>
    <w:rsid w:val="00243CD7"/>
    <w:rsid w:val="0024437A"/>
    <w:rsid w:val="0024488B"/>
    <w:rsid w:val="00245065"/>
    <w:rsid w:val="00246DF2"/>
    <w:rsid w:val="00247BFB"/>
    <w:rsid w:val="00250689"/>
    <w:rsid w:val="002512E2"/>
    <w:rsid w:val="00251CC1"/>
    <w:rsid w:val="00252D42"/>
    <w:rsid w:val="0025611D"/>
    <w:rsid w:val="0026515D"/>
    <w:rsid w:val="00265CCE"/>
    <w:rsid w:val="00266C91"/>
    <w:rsid w:val="00266D75"/>
    <w:rsid w:val="00274A25"/>
    <w:rsid w:val="002773B2"/>
    <w:rsid w:val="00280813"/>
    <w:rsid w:val="0028244E"/>
    <w:rsid w:val="0028392D"/>
    <w:rsid w:val="0028452A"/>
    <w:rsid w:val="0028492F"/>
    <w:rsid w:val="00285607"/>
    <w:rsid w:val="00291E0D"/>
    <w:rsid w:val="0029582D"/>
    <w:rsid w:val="00296BAC"/>
    <w:rsid w:val="00297D30"/>
    <w:rsid w:val="002A0EF2"/>
    <w:rsid w:val="002A22E5"/>
    <w:rsid w:val="002A5903"/>
    <w:rsid w:val="002B0384"/>
    <w:rsid w:val="002B08DB"/>
    <w:rsid w:val="002B5178"/>
    <w:rsid w:val="002B55DE"/>
    <w:rsid w:val="002B697D"/>
    <w:rsid w:val="002B7A3D"/>
    <w:rsid w:val="002C0F1E"/>
    <w:rsid w:val="002C0FC1"/>
    <w:rsid w:val="002C227D"/>
    <w:rsid w:val="002C78BD"/>
    <w:rsid w:val="002D1765"/>
    <w:rsid w:val="002D37FE"/>
    <w:rsid w:val="002D5666"/>
    <w:rsid w:val="002D5A17"/>
    <w:rsid w:val="002D668F"/>
    <w:rsid w:val="002D7A1B"/>
    <w:rsid w:val="002E0A78"/>
    <w:rsid w:val="002E105E"/>
    <w:rsid w:val="002E492C"/>
    <w:rsid w:val="002F35EE"/>
    <w:rsid w:val="002F3F8A"/>
    <w:rsid w:val="002F76FF"/>
    <w:rsid w:val="002F7C94"/>
    <w:rsid w:val="00300255"/>
    <w:rsid w:val="00300F6A"/>
    <w:rsid w:val="003128BD"/>
    <w:rsid w:val="0031374C"/>
    <w:rsid w:val="0031486A"/>
    <w:rsid w:val="00314CE2"/>
    <w:rsid w:val="003169C6"/>
    <w:rsid w:val="003217D7"/>
    <w:rsid w:val="003218A2"/>
    <w:rsid w:val="003222B6"/>
    <w:rsid w:val="00322AF6"/>
    <w:rsid w:val="003230C0"/>
    <w:rsid w:val="00323A19"/>
    <w:rsid w:val="00331C99"/>
    <w:rsid w:val="00332CA8"/>
    <w:rsid w:val="003332DC"/>
    <w:rsid w:val="0033684C"/>
    <w:rsid w:val="003411AC"/>
    <w:rsid w:val="00346027"/>
    <w:rsid w:val="00350220"/>
    <w:rsid w:val="0035062F"/>
    <w:rsid w:val="0035185F"/>
    <w:rsid w:val="003521EF"/>
    <w:rsid w:val="00352AF9"/>
    <w:rsid w:val="003534DF"/>
    <w:rsid w:val="00353D6B"/>
    <w:rsid w:val="003544C0"/>
    <w:rsid w:val="00354A9D"/>
    <w:rsid w:val="00355858"/>
    <w:rsid w:val="00355A8D"/>
    <w:rsid w:val="00361718"/>
    <w:rsid w:val="00363B26"/>
    <w:rsid w:val="00365067"/>
    <w:rsid w:val="0036538C"/>
    <w:rsid w:val="003669AA"/>
    <w:rsid w:val="0037316B"/>
    <w:rsid w:val="0037383F"/>
    <w:rsid w:val="0037436B"/>
    <w:rsid w:val="003743F8"/>
    <w:rsid w:val="003748DD"/>
    <w:rsid w:val="0037583D"/>
    <w:rsid w:val="00376CE4"/>
    <w:rsid w:val="003823D5"/>
    <w:rsid w:val="0038265D"/>
    <w:rsid w:val="003829E0"/>
    <w:rsid w:val="003831BA"/>
    <w:rsid w:val="00383EFF"/>
    <w:rsid w:val="00383F4C"/>
    <w:rsid w:val="00384197"/>
    <w:rsid w:val="00384BA9"/>
    <w:rsid w:val="003854F6"/>
    <w:rsid w:val="0038576B"/>
    <w:rsid w:val="00386CE5"/>
    <w:rsid w:val="00390359"/>
    <w:rsid w:val="003904B5"/>
    <w:rsid w:val="003A064E"/>
    <w:rsid w:val="003A166F"/>
    <w:rsid w:val="003A1B4D"/>
    <w:rsid w:val="003A4D50"/>
    <w:rsid w:val="003A54B7"/>
    <w:rsid w:val="003A60F5"/>
    <w:rsid w:val="003A6544"/>
    <w:rsid w:val="003A788C"/>
    <w:rsid w:val="003A7F31"/>
    <w:rsid w:val="003B0B4E"/>
    <w:rsid w:val="003B2349"/>
    <w:rsid w:val="003B2C3A"/>
    <w:rsid w:val="003B2C71"/>
    <w:rsid w:val="003B2C77"/>
    <w:rsid w:val="003B498A"/>
    <w:rsid w:val="003B5552"/>
    <w:rsid w:val="003B55C7"/>
    <w:rsid w:val="003C3A0A"/>
    <w:rsid w:val="003C3BF6"/>
    <w:rsid w:val="003C5EE9"/>
    <w:rsid w:val="003D1CEC"/>
    <w:rsid w:val="003D25F8"/>
    <w:rsid w:val="003D3666"/>
    <w:rsid w:val="003D633F"/>
    <w:rsid w:val="003D6480"/>
    <w:rsid w:val="003D7668"/>
    <w:rsid w:val="003E253C"/>
    <w:rsid w:val="003E4EF1"/>
    <w:rsid w:val="003E5C3F"/>
    <w:rsid w:val="003E751B"/>
    <w:rsid w:val="003F083C"/>
    <w:rsid w:val="003F3EF1"/>
    <w:rsid w:val="003F4252"/>
    <w:rsid w:val="003F6826"/>
    <w:rsid w:val="003F718F"/>
    <w:rsid w:val="00400D37"/>
    <w:rsid w:val="00401167"/>
    <w:rsid w:val="004024AF"/>
    <w:rsid w:val="00402511"/>
    <w:rsid w:val="00402EA8"/>
    <w:rsid w:val="00404085"/>
    <w:rsid w:val="004054FE"/>
    <w:rsid w:val="00406C28"/>
    <w:rsid w:val="00406E06"/>
    <w:rsid w:val="004126F7"/>
    <w:rsid w:val="004138ED"/>
    <w:rsid w:val="004157E7"/>
    <w:rsid w:val="004170A2"/>
    <w:rsid w:val="00417AE4"/>
    <w:rsid w:val="0042079F"/>
    <w:rsid w:val="00421D3B"/>
    <w:rsid w:val="00427A7D"/>
    <w:rsid w:val="00432812"/>
    <w:rsid w:val="00432DB5"/>
    <w:rsid w:val="004367F7"/>
    <w:rsid w:val="00436D2F"/>
    <w:rsid w:val="00437446"/>
    <w:rsid w:val="00437C2A"/>
    <w:rsid w:val="00440702"/>
    <w:rsid w:val="00440ABC"/>
    <w:rsid w:val="004439EC"/>
    <w:rsid w:val="00443C19"/>
    <w:rsid w:val="004452CD"/>
    <w:rsid w:val="004502CA"/>
    <w:rsid w:val="0046020E"/>
    <w:rsid w:val="00463691"/>
    <w:rsid w:val="00464033"/>
    <w:rsid w:val="004646A1"/>
    <w:rsid w:val="004677BA"/>
    <w:rsid w:val="00467AAE"/>
    <w:rsid w:val="00471358"/>
    <w:rsid w:val="004730DC"/>
    <w:rsid w:val="00473514"/>
    <w:rsid w:val="00474708"/>
    <w:rsid w:val="00474902"/>
    <w:rsid w:val="00474B3C"/>
    <w:rsid w:val="00475E69"/>
    <w:rsid w:val="00476DC9"/>
    <w:rsid w:val="004824A4"/>
    <w:rsid w:val="00484A8B"/>
    <w:rsid w:val="00485198"/>
    <w:rsid w:val="004860F9"/>
    <w:rsid w:val="00486792"/>
    <w:rsid w:val="00487A04"/>
    <w:rsid w:val="004921F0"/>
    <w:rsid w:val="00492B07"/>
    <w:rsid w:val="00492E53"/>
    <w:rsid w:val="00493146"/>
    <w:rsid w:val="00493C5C"/>
    <w:rsid w:val="00494C53"/>
    <w:rsid w:val="004A1473"/>
    <w:rsid w:val="004A26B8"/>
    <w:rsid w:val="004A2DA3"/>
    <w:rsid w:val="004A3621"/>
    <w:rsid w:val="004A5B03"/>
    <w:rsid w:val="004B1A32"/>
    <w:rsid w:val="004B5582"/>
    <w:rsid w:val="004B5D93"/>
    <w:rsid w:val="004B709B"/>
    <w:rsid w:val="004B7134"/>
    <w:rsid w:val="004C4070"/>
    <w:rsid w:val="004C5612"/>
    <w:rsid w:val="004C6CDF"/>
    <w:rsid w:val="004D00B4"/>
    <w:rsid w:val="004D2237"/>
    <w:rsid w:val="004D29E3"/>
    <w:rsid w:val="004D3A35"/>
    <w:rsid w:val="004D791C"/>
    <w:rsid w:val="004D79FD"/>
    <w:rsid w:val="004E02B3"/>
    <w:rsid w:val="004E0604"/>
    <w:rsid w:val="004E0E62"/>
    <w:rsid w:val="004E1532"/>
    <w:rsid w:val="004E36AF"/>
    <w:rsid w:val="004E4058"/>
    <w:rsid w:val="004E4A3B"/>
    <w:rsid w:val="004E569F"/>
    <w:rsid w:val="004E7AE8"/>
    <w:rsid w:val="004E7C98"/>
    <w:rsid w:val="004F257B"/>
    <w:rsid w:val="004F314A"/>
    <w:rsid w:val="004F418E"/>
    <w:rsid w:val="004F7215"/>
    <w:rsid w:val="00500159"/>
    <w:rsid w:val="0050037F"/>
    <w:rsid w:val="00501569"/>
    <w:rsid w:val="00502A31"/>
    <w:rsid w:val="00505A5E"/>
    <w:rsid w:val="00505C77"/>
    <w:rsid w:val="005110E6"/>
    <w:rsid w:val="00511A5B"/>
    <w:rsid w:val="005133A5"/>
    <w:rsid w:val="00515D2B"/>
    <w:rsid w:val="005204DA"/>
    <w:rsid w:val="00521BA3"/>
    <w:rsid w:val="0052559B"/>
    <w:rsid w:val="00526177"/>
    <w:rsid w:val="00527395"/>
    <w:rsid w:val="00527737"/>
    <w:rsid w:val="00535088"/>
    <w:rsid w:val="005353D5"/>
    <w:rsid w:val="00535D4D"/>
    <w:rsid w:val="00537D18"/>
    <w:rsid w:val="00540BA8"/>
    <w:rsid w:val="0054127A"/>
    <w:rsid w:val="005424D5"/>
    <w:rsid w:val="0054261A"/>
    <w:rsid w:val="00544678"/>
    <w:rsid w:val="00544716"/>
    <w:rsid w:val="00546AD1"/>
    <w:rsid w:val="00550B2F"/>
    <w:rsid w:val="00551555"/>
    <w:rsid w:val="00553228"/>
    <w:rsid w:val="00553F61"/>
    <w:rsid w:val="00555723"/>
    <w:rsid w:val="00557AB6"/>
    <w:rsid w:val="00557D67"/>
    <w:rsid w:val="00561EB9"/>
    <w:rsid w:val="00562DB6"/>
    <w:rsid w:val="00567660"/>
    <w:rsid w:val="00572B44"/>
    <w:rsid w:val="00576365"/>
    <w:rsid w:val="00577ACC"/>
    <w:rsid w:val="0058124A"/>
    <w:rsid w:val="00581F9A"/>
    <w:rsid w:val="0058209C"/>
    <w:rsid w:val="00582FDE"/>
    <w:rsid w:val="0058701F"/>
    <w:rsid w:val="00587237"/>
    <w:rsid w:val="005900AB"/>
    <w:rsid w:val="005923C2"/>
    <w:rsid w:val="00593840"/>
    <w:rsid w:val="00594665"/>
    <w:rsid w:val="00597C76"/>
    <w:rsid w:val="005A0FD1"/>
    <w:rsid w:val="005A2DCC"/>
    <w:rsid w:val="005A58B5"/>
    <w:rsid w:val="005A6AC1"/>
    <w:rsid w:val="005A7419"/>
    <w:rsid w:val="005B0062"/>
    <w:rsid w:val="005B35F6"/>
    <w:rsid w:val="005B37BD"/>
    <w:rsid w:val="005B462B"/>
    <w:rsid w:val="005B4A6C"/>
    <w:rsid w:val="005B51BA"/>
    <w:rsid w:val="005B5DBD"/>
    <w:rsid w:val="005B67C9"/>
    <w:rsid w:val="005B6931"/>
    <w:rsid w:val="005C303D"/>
    <w:rsid w:val="005C38E1"/>
    <w:rsid w:val="005C4D8A"/>
    <w:rsid w:val="005C6D7B"/>
    <w:rsid w:val="005C74CF"/>
    <w:rsid w:val="005D0D81"/>
    <w:rsid w:val="005D106C"/>
    <w:rsid w:val="005D19B6"/>
    <w:rsid w:val="005D2B36"/>
    <w:rsid w:val="005D2C74"/>
    <w:rsid w:val="005D36FE"/>
    <w:rsid w:val="005D3C10"/>
    <w:rsid w:val="005D4F71"/>
    <w:rsid w:val="005D6545"/>
    <w:rsid w:val="005D660B"/>
    <w:rsid w:val="005E01C4"/>
    <w:rsid w:val="005E130C"/>
    <w:rsid w:val="005E3567"/>
    <w:rsid w:val="005E5B11"/>
    <w:rsid w:val="005E77FB"/>
    <w:rsid w:val="005F0FA6"/>
    <w:rsid w:val="005F2B13"/>
    <w:rsid w:val="005F3E5C"/>
    <w:rsid w:val="005F5A00"/>
    <w:rsid w:val="005F6634"/>
    <w:rsid w:val="005F67FF"/>
    <w:rsid w:val="00600865"/>
    <w:rsid w:val="00601093"/>
    <w:rsid w:val="006023A4"/>
    <w:rsid w:val="006026A6"/>
    <w:rsid w:val="00607B68"/>
    <w:rsid w:val="00607CB6"/>
    <w:rsid w:val="0061186F"/>
    <w:rsid w:val="00612B52"/>
    <w:rsid w:val="0061328C"/>
    <w:rsid w:val="006155CC"/>
    <w:rsid w:val="00617DA2"/>
    <w:rsid w:val="0062050F"/>
    <w:rsid w:val="006279AD"/>
    <w:rsid w:val="00630F5F"/>
    <w:rsid w:val="00631E1C"/>
    <w:rsid w:val="00632E15"/>
    <w:rsid w:val="00633F4E"/>
    <w:rsid w:val="00634F18"/>
    <w:rsid w:val="006352FD"/>
    <w:rsid w:val="006368FF"/>
    <w:rsid w:val="00640BEC"/>
    <w:rsid w:val="00642B4C"/>
    <w:rsid w:val="00643D91"/>
    <w:rsid w:val="00644648"/>
    <w:rsid w:val="0064481B"/>
    <w:rsid w:val="006450FE"/>
    <w:rsid w:val="006461BB"/>
    <w:rsid w:val="00646444"/>
    <w:rsid w:val="00650672"/>
    <w:rsid w:val="00653D1C"/>
    <w:rsid w:val="006552ED"/>
    <w:rsid w:val="006563B4"/>
    <w:rsid w:val="0065668F"/>
    <w:rsid w:val="0065779B"/>
    <w:rsid w:val="00661C29"/>
    <w:rsid w:val="0066479E"/>
    <w:rsid w:val="00665316"/>
    <w:rsid w:val="00666044"/>
    <w:rsid w:val="0066639A"/>
    <w:rsid w:val="00672C71"/>
    <w:rsid w:val="00672CB9"/>
    <w:rsid w:val="006778F1"/>
    <w:rsid w:val="0068064C"/>
    <w:rsid w:val="006809B0"/>
    <w:rsid w:val="00680D58"/>
    <w:rsid w:val="00680E16"/>
    <w:rsid w:val="00682DA3"/>
    <w:rsid w:val="0068488F"/>
    <w:rsid w:val="00684F37"/>
    <w:rsid w:val="00686B22"/>
    <w:rsid w:val="00686F07"/>
    <w:rsid w:val="00687E52"/>
    <w:rsid w:val="00693F04"/>
    <w:rsid w:val="00695469"/>
    <w:rsid w:val="00695FDA"/>
    <w:rsid w:val="00697F64"/>
    <w:rsid w:val="006A0468"/>
    <w:rsid w:val="006A1821"/>
    <w:rsid w:val="006A2EBA"/>
    <w:rsid w:val="006A35BB"/>
    <w:rsid w:val="006A67F6"/>
    <w:rsid w:val="006C014A"/>
    <w:rsid w:val="006C03A6"/>
    <w:rsid w:val="006C05AC"/>
    <w:rsid w:val="006C153A"/>
    <w:rsid w:val="006C3380"/>
    <w:rsid w:val="006C43D0"/>
    <w:rsid w:val="006C4BBA"/>
    <w:rsid w:val="006C4D99"/>
    <w:rsid w:val="006C6471"/>
    <w:rsid w:val="006D10F3"/>
    <w:rsid w:val="006D2F95"/>
    <w:rsid w:val="006D3AA1"/>
    <w:rsid w:val="006E04C5"/>
    <w:rsid w:val="006E0835"/>
    <w:rsid w:val="006E2A8C"/>
    <w:rsid w:val="006E4E62"/>
    <w:rsid w:val="006E69B4"/>
    <w:rsid w:val="006F25E5"/>
    <w:rsid w:val="006F3469"/>
    <w:rsid w:val="006F4BB5"/>
    <w:rsid w:val="006F7235"/>
    <w:rsid w:val="006F75AA"/>
    <w:rsid w:val="006F7F91"/>
    <w:rsid w:val="007020A0"/>
    <w:rsid w:val="00706603"/>
    <w:rsid w:val="00706AF2"/>
    <w:rsid w:val="007071D4"/>
    <w:rsid w:val="00711F70"/>
    <w:rsid w:val="00712F9D"/>
    <w:rsid w:val="007133C0"/>
    <w:rsid w:val="007148C7"/>
    <w:rsid w:val="00714906"/>
    <w:rsid w:val="0071585F"/>
    <w:rsid w:val="007175E5"/>
    <w:rsid w:val="00717AC6"/>
    <w:rsid w:val="00717E9E"/>
    <w:rsid w:val="00722DB4"/>
    <w:rsid w:val="00723FB7"/>
    <w:rsid w:val="00725A46"/>
    <w:rsid w:val="00725F17"/>
    <w:rsid w:val="00726EC3"/>
    <w:rsid w:val="00731457"/>
    <w:rsid w:val="007335E1"/>
    <w:rsid w:val="0073458B"/>
    <w:rsid w:val="007366AB"/>
    <w:rsid w:val="00737D09"/>
    <w:rsid w:val="00740BB2"/>
    <w:rsid w:val="00740C53"/>
    <w:rsid w:val="007436B9"/>
    <w:rsid w:val="00746FF8"/>
    <w:rsid w:val="007534B0"/>
    <w:rsid w:val="00754EB4"/>
    <w:rsid w:val="00756CEE"/>
    <w:rsid w:val="00757B3B"/>
    <w:rsid w:val="00757BD7"/>
    <w:rsid w:val="0076349D"/>
    <w:rsid w:val="00764C90"/>
    <w:rsid w:val="00765E8C"/>
    <w:rsid w:val="00766378"/>
    <w:rsid w:val="00770B62"/>
    <w:rsid w:val="00771AD1"/>
    <w:rsid w:val="007725E5"/>
    <w:rsid w:val="007728E5"/>
    <w:rsid w:val="00774F06"/>
    <w:rsid w:val="00775F2B"/>
    <w:rsid w:val="007764F2"/>
    <w:rsid w:val="00776600"/>
    <w:rsid w:val="0078177C"/>
    <w:rsid w:val="0078319C"/>
    <w:rsid w:val="00783C71"/>
    <w:rsid w:val="00783C8D"/>
    <w:rsid w:val="007840E6"/>
    <w:rsid w:val="00785974"/>
    <w:rsid w:val="0078687C"/>
    <w:rsid w:val="00786AC3"/>
    <w:rsid w:val="0079152D"/>
    <w:rsid w:val="00792576"/>
    <w:rsid w:val="0079569C"/>
    <w:rsid w:val="007959F9"/>
    <w:rsid w:val="0079632B"/>
    <w:rsid w:val="007A4BBD"/>
    <w:rsid w:val="007A65D5"/>
    <w:rsid w:val="007A79A7"/>
    <w:rsid w:val="007A7CE3"/>
    <w:rsid w:val="007B05BA"/>
    <w:rsid w:val="007B1B6A"/>
    <w:rsid w:val="007B4CBA"/>
    <w:rsid w:val="007B7796"/>
    <w:rsid w:val="007C3FF7"/>
    <w:rsid w:val="007C4958"/>
    <w:rsid w:val="007C4D49"/>
    <w:rsid w:val="007C56F0"/>
    <w:rsid w:val="007C5FD9"/>
    <w:rsid w:val="007C7AD2"/>
    <w:rsid w:val="007D050D"/>
    <w:rsid w:val="007D27E5"/>
    <w:rsid w:val="007D4860"/>
    <w:rsid w:val="007D56BD"/>
    <w:rsid w:val="007D5703"/>
    <w:rsid w:val="007D6E05"/>
    <w:rsid w:val="007D7A2A"/>
    <w:rsid w:val="007E49CD"/>
    <w:rsid w:val="007E7F29"/>
    <w:rsid w:val="007F0076"/>
    <w:rsid w:val="007F1763"/>
    <w:rsid w:val="007F28F3"/>
    <w:rsid w:val="007F353D"/>
    <w:rsid w:val="007F6230"/>
    <w:rsid w:val="00800028"/>
    <w:rsid w:val="00800413"/>
    <w:rsid w:val="008024E0"/>
    <w:rsid w:val="00802B83"/>
    <w:rsid w:val="00803881"/>
    <w:rsid w:val="0080399D"/>
    <w:rsid w:val="00803EED"/>
    <w:rsid w:val="00810DAA"/>
    <w:rsid w:val="008114DA"/>
    <w:rsid w:val="00811BD3"/>
    <w:rsid w:val="008128ED"/>
    <w:rsid w:val="0081406F"/>
    <w:rsid w:val="00814943"/>
    <w:rsid w:val="00815086"/>
    <w:rsid w:val="008178B5"/>
    <w:rsid w:val="00822B74"/>
    <w:rsid w:val="00824203"/>
    <w:rsid w:val="00824EA9"/>
    <w:rsid w:val="00826A8B"/>
    <w:rsid w:val="00826F4B"/>
    <w:rsid w:val="008270A4"/>
    <w:rsid w:val="008309E8"/>
    <w:rsid w:val="0083229F"/>
    <w:rsid w:val="00835B90"/>
    <w:rsid w:val="00837699"/>
    <w:rsid w:val="00837E0B"/>
    <w:rsid w:val="00840F7C"/>
    <w:rsid w:val="00842027"/>
    <w:rsid w:val="0084241A"/>
    <w:rsid w:val="00843598"/>
    <w:rsid w:val="00846FA3"/>
    <w:rsid w:val="00847FB1"/>
    <w:rsid w:val="008500FB"/>
    <w:rsid w:val="0085278C"/>
    <w:rsid w:val="00853FA7"/>
    <w:rsid w:val="00854379"/>
    <w:rsid w:val="00854542"/>
    <w:rsid w:val="00856165"/>
    <w:rsid w:val="00857083"/>
    <w:rsid w:val="00864BF5"/>
    <w:rsid w:val="00865A11"/>
    <w:rsid w:val="008718EA"/>
    <w:rsid w:val="00873890"/>
    <w:rsid w:val="00873A4D"/>
    <w:rsid w:val="008751CB"/>
    <w:rsid w:val="008775DF"/>
    <w:rsid w:val="00877C72"/>
    <w:rsid w:val="008800D2"/>
    <w:rsid w:val="0088271A"/>
    <w:rsid w:val="0088295D"/>
    <w:rsid w:val="008839AC"/>
    <w:rsid w:val="00883E2D"/>
    <w:rsid w:val="008842B0"/>
    <w:rsid w:val="00886C1C"/>
    <w:rsid w:val="00887C9F"/>
    <w:rsid w:val="00895ABB"/>
    <w:rsid w:val="008A1B77"/>
    <w:rsid w:val="008A406A"/>
    <w:rsid w:val="008A4E4C"/>
    <w:rsid w:val="008A5D9E"/>
    <w:rsid w:val="008A73FA"/>
    <w:rsid w:val="008A782E"/>
    <w:rsid w:val="008B00F3"/>
    <w:rsid w:val="008B2672"/>
    <w:rsid w:val="008B3FE7"/>
    <w:rsid w:val="008B4D61"/>
    <w:rsid w:val="008C4DA6"/>
    <w:rsid w:val="008C72C9"/>
    <w:rsid w:val="008C752F"/>
    <w:rsid w:val="008D3C52"/>
    <w:rsid w:val="008D545D"/>
    <w:rsid w:val="008D6214"/>
    <w:rsid w:val="008D6600"/>
    <w:rsid w:val="008E51AF"/>
    <w:rsid w:val="008E5654"/>
    <w:rsid w:val="008E5A9C"/>
    <w:rsid w:val="008E6976"/>
    <w:rsid w:val="008E782C"/>
    <w:rsid w:val="008F06A0"/>
    <w:rsid w:val="008F0BA3"/>
    <w:rsid w:val="008F1D6E"/>
    <w:rsid w:val="008F38F4"/>
    <w:rsid w:val="008F480F"/>
    <w:rsid w:val="008F4D32"/>
    <w:rsid w:val="008F50EA"/>
    <w:rsid w:val="008F67DD"/>
    <w:rsid w:val="00902F40"/>
    <w:rsid w:val="00907506"/>
    <w:rsid w:val="00907616"/>
    <w:rsid w:val="0091168D"/>
    <w:rsid w:val="00912B1D"/>
    <w:rsid w:val="009144B2"/>
    <w:rsid w:val="00914DB7"/>
    <w:rsid w:val="00914F90"/>
    <w:rsid w:val="009202F2"/>
    <w:rsid w:val="00920A02"/>
    <w:rsid w:val="009210C0"/>
    <w:rsid w:val="00921193"/>
    <w:rsid w:val="009212E7"/>
    <w:rsid w:val="009261D9"/>
    <w:rsid w:val="00927B84"/>
    <w:rsid w:val="00930BE1"/>
    <w:rsid w:val="009324FB"/>
    <w:rsid w:val="009352BE"/>
    <w:rsid w:val="00935CD5"/>
    <w:rsid w:val="009369F9"/>
    <w:rsid w:val="009371BA"/>
    <w:rsid w:val="00941107"/>
    <w:rsid w:val="00941D37"/>
    <w:rsid w:val="00942267"/>
    <w:rsid w:val="00942962"/>
    <w:rsid w:val="00943607"/>
    <w:rsid w:val="00944196"/>
    <w:rsid w:val="0094458F"/>
    <w:rsid w:val="009448A8"/>
    <w:rsid w:val="00946C8B"/>
    <w:rsid w:val="00950549"/>
    <w:rsid w:val="00950CDC"/>
    <w:rsid w:val="00950DCA"/>
    <w:rsid w:val="00951494"/>
    <w:rsid w:val="00953524"/>
    <w:rsid w:val="00954D0C"/>
    <w:rsid w:val="00954FCA"/>
    <w:rsid w:val="00955C42"/>
    <w:rsid w:val="00962D18"/>
    <w:rsid w:val="00964CD6"/>
    <w:rsid w:val="009677A4"/>
    <w:rsid w:val="00967D2E"/>
    <w:rsid w:val="00970687"/>
    <w:rsid w:val="00972146"/>
    <w:rsid w:val="00972696"/>
    <w:rsid w:val="00973920"/>
    <w:rsid w:val="00975442"/>
    <w:rsid w:val="00975ADF"/>
    <w:rsid w:val="00976849"/>
    <w:rsid w:val="00984631"/>
    <w:rsid w:val="00992E60"/>
    <w:rsid w:val="00993962"/>
    <w:rsid w:val="009975F4"/>
    <w:rsid w:val="009A0477"/>
    <w:rsid w:val="009A1633"/>
    <w:rsid w:val="009A20E1"/>
    <w:rsid w:val="009A5EE7"/>
    <w:rsid w:val="009A62E2"/>
    <w:rsid w:val="009B2213"/>
    <w:rsid w:val="009B25B8"/>
    <w:rsid w:val="009B6371"/>
    <w:rsid w:val="009B6D7C"/>
    <w:rsid w:val="009B7F86"/>
    <w:rsid w:val="009C0AD7"/>
    <w:rsid w:val="009C11AC"/>
    <w:rsid w:val="009C183A"/>
    <w:rsid w:val="009C300B"/>
    <w:rsid w:val="009C3736"/>
    <w:rsid w:val="009C3840"/>
    <w:rsid w:val="009C3EA6"/>
    <w:rsid w:val="009C41FE"/>
    <w:rsid w:val="009C476D"/>
    <w:rsid w:val="009C4A58"/>
    <w:rsid w:val="009C6FFA"/>
    <w:rsid w:val="009C7C94"/>
    <w:rsid w:val="009D2CCE"/>
    <w:rsid w:val="009D3EA4"/>
    <w:rsid w:val="009D4DCD"/>
    <w:rsid w:val="009D578C"/>
    <w:rsid w:val="009D5F9D"/>
    <w:rsid w:val="009D7AB2"/>
    <w:rsid w:val="009E1498"/>
    <w:rsid w:val="009E1705"/>
    <w:rsid w:val="009E179C"/>
    <w:rsid w:val="009E1F3F"/>
    <w:rsid w:val="009E52DA"/>
    <w:rsid w:val="009E6817"/>
    <w:rsid w:val="009F1F0D"/>
    <w:rsid w:val="009F2B60"/>
    <w:rsid w:val="009F3411"/>
    <w:rsid w:val="009F3E15"/>
    <w:rsid w:val="009F6970"/>
    <w:rsid w:val="009F6CEE"/>
    <w:rsid w:val="00A04FF3"/>
    <w:rsid w:val="00A05BD2"/>
    <w:rsid w:val="00A0631B"/>
    <w:rsid w:val="00A07907"/>
    <w:rsid w:val="00A10FF5"/>
    <w:rsid w:val="00A13821"/>
    <w:rsid w:val="00A1427C"/>
    <w:rsid w:val="00A168D9"/>
    <w:rsid w:val="00A20CAA"/>
    <w:rsid w:val="00A2361F"/>
    <w:rsid w:val="00A26528"/>
    <w:rsid w:val="00A308D7"/>
    <w:rsid w:val="00A30C58"/>
    <w:rsid w:val="00A31BCA"/>
    <w:rsid w:val="00A349F1"/>
    <w:rsid w:val="00A3643F"/>
    <w:rsid w:val="00A36563"/>
    <w:rsid w:val="00A419FA"/>
    <w:rsid w:val="00A41BAB"/>
    <w:rsid w:val="00A44174"/>
    <w:rsid w:val="00A451E6"/>
    <w:rsid w:val="00A46E30"/>
    <w:rsid w:val="00A47C66"/>
    <w:rsid w:val="00A50C9E"/>
    <w:rsid w:val="00A516C6"/>
    <w:rsid w:val="00A550F8"/>
    <w:rsid w:val="00A55424"/>
    <w:rsid w:val="00A5732C"/>
    <w:rsid w:val="00A57C59"/>
    <w:rsid w:val="00A57D3C"/>
    <w:rsid w:val="00A6208E"/>
    <w:rsid w:val="00A646CC"/>
    <w:rsid w:val="00A64EC5"/>
    <w:rsid w:val="00A6627A"/>
    <w:rsid w:val="00A70E5E"/>
    <w:rsid w:val="00A71811"/>
    <w:rsid w:val="00A72259"/>
    <w:rsid w:val="00A72692"/>
    <w:rsid w:val="00A72952"/>
    <w:rsid w:val="00A77E7C"/>
    <w:rsid w:val="00A80F97"/>
    <w:rsid w:val="00A81750"/>
    <w:rsid w:val="00A817D5"/>
    <w:rsid w:val="00A8399D"/>
    <w:rsid w:val="00A839F7"/>
    <w:rsid w:val="00A85AFA"/>
    <w:rsid w:val="00A901DB"/>
    <w:rsid w:val="00A95040"/>
    <w:rsid w:val="00A952D8"/>
    <w:rsid w:val="00A95D3B"/>
    <w:rsid w:val="00A97D98"/>
    <w:rsid w:val="00AA1BB6"/>
    <w:rsid w:val="00AA5B58"/>
    <w:rsid w:val="00AA6A98"/>
    <w:rsid w:val="00AB06F9"/>
    <w:rsid w:val="00AB0E4D"/>
    <w:rsid w:val="00AB1865"/>
    <w:rsid w:val="00AB4512"/>
    <w:rsid w:val="00AB4D05"/>
    <w:rsid w:val="00AB5E4F"/>
    <w:rsid w:val="00AC0DEB"/>
    <w:rsid w:val="00AC232A"/>
    <w:rsid w:val="00AC2D64"/>
    <w:rsid w:val="00AC4466"/>
    <w:rsid w:val="00AC48D4"/>
    <w:rsid w:val="00AC6A7F"/>
    <w:rsid w:val="00AD086D"/>
    <w:rsid w:val="00AD0CCD"/>
    <w:rsid w:val="00AD0F56"/>
    <w:rsid w:val="00AD1827"/>
    <w:rsid w:val="00AD2417"/>
    <w:rsid w:val="00AD25EC"/>
    <w:rsid w:val="00AD2952"/>
    <w:rsid w:val="00AD2A10"/>
    <w:rsid w:val="00AD3D03"/>
    <w:rsid w:val="00AD4D55"/>
    <w:rsid w:val="00AD6865"/>
    <w:rsid w:val="00AD7970"/>
    <w:rsid w:val="00AE4870"/>
    <w:rsid w:val="00AE62AA"/>
    <w:rsid w:val="00AE7127"/>
    <w:rsid w:val="00AF2A39"/>
    <w:rsid w:val="00AF5568"/>
    <w:rsid w:val="00AF7856"/>
    <w:rsid w:val="00B00904"/>
    <w:rsid w:val="00B01EE0"/>
    <w:rsid w:val="00B047DB"/>
    <w:rsid w:val="00B0481A"/>
    <w:rsid w:val="00B04C2F"/>
    <w:rsid w:val="00B05168"/>
    <w:rsid w:val="00B059D8"/>
    <w:rsid w:val="00B06E53"/>
    <w:rsid w:val="00B07675"/>
    <w:rsid w:val="00B07824"/>
    <w:rsid w:val="00B1081A"/>
    <w:rsid w:val="00B1153A"/>
    <w:rsid w:val="00B115B6"/>
    <w:rsid w:val="00B161FA"/>
    <w:rsid w:val="00B17178"/>
    <w:rsid w:val="00B17F4F"/>
    <w:rsid w:val="00B234F2"/>
    <w:rsid w:val="00B23F6F"/>
    <w:rsid w:val="00B24715"/>
    <w:rsid w:val="00B26A41"/>
    <w:rsid w:val="00B309C0"/>
    <w:rsid w:val="00B30D65"/>
    <w:rsid w:val="00B3109C"/>
    <w:rsid w:val="00B32B3D"/>
    <w:rsid w:val="00B33677"/>
    <w:rsid w:val="00B33AE8"/>
    <w:rsid w:val="00B349C1"/>
    <w:rsid w:val="00B351FB"/>
    <w:rsid w:val="00B403F8"/>
    <w:rsid w:val="00B40B8E"/>
    <w:rsid w:val="00B42249"/>
    <w:rsid w:val="00B43283"/>
    <w:rsid w:val="00B4561A"/>
    <w:rsid w:val="00B46311"/>
    <w:rsid w:val="00B4678A"/>
    <w:rsid w:val="00B4733E"/>
    <w:rsid w:val="00B476E7"/>
    <w:rsid w:val="00B514BC"/>
    <w:rsid w:val="00B51648"/>
    <w:rsid w:val="00B52796"/>
    <w:rsid w:val="00B52C7B"/>
    <w:rsid w:val="00B55DEB"/>
    <w:rsid w:val="00B5646A"/>
    <w:rsid w:val="00B61D9C"/>
    <w:rsid w:val="00B6223B"/>
    <w:rsid w:val="00B63D27"/>
    <w:rsid w:val="00B65141"/>
    <w:rsid w:val="00B65A9E"/>
    <w:rsid w:val="00B66205"/>
    <w:rsid w:val="00B66883"/>
    <w:rsid w:val="00B72E1F"/>
    <w:rsid w:val="00B73CB8"/>
    <w:rsid w:val="00B74C57"/>
    <w:rsid w:val="00B7547B"/>
    <w:rsid w:val="00B76C77"/>
    <w:rsid w:val="00B8180E"/>
    <w:rsid w:val="00B83C53"/>
    <w:rsid w:val="00B85AE9"/>
    <w:rsid w:val="00B87C00"/>
    <w:rsid w:val="00B901CB"/>
    <w:rsid w:val="00B911CE"/>
    <w:rsid w:val="00B91B4C"/>
    <w:rsid w:val="00B93919"/>
    <w:rsid w:val="00B93DEF"/>
    <w:rsid w:val="00B93E36"/>
    <w:rsid w:val="00B9497C"/>
    <w:rsid w:val="00B95665"/>
    <w:rsid w:val="00B97A9A"/>
    <w:rsid w:val="00B97C0B"/>
    <w:rsid w:val="00BA38BA"/>
    <w:rsid w:val="00BA3CE7"/>
    <w:rsid w:val="00BA44E3"/>
    <w:rsid w:val="00BA6AD8"/>
    <w:rsid w:val="00BA6EA4"/>
    <w:rsid w:val="00BA7C70"/>
    <w:rsid w:val="00BB0321"/>
    <w:rsid w:val="00BB3BDE"/>
    <w:rsid w:val="00BB43CD"/>
    <w:rsid w:val="00BB4C26"/>
    <w:rsid w:val="00BB62C8"/>
    <w:rsid w:val="00BB7A8C"/>
    <w:rsid w:val="00BC0A9B"/>
    <w:rsid w:val="00BC1143"/>
    <w:rsid w:val="00BC15F3"/>
    <w:rsid w:val="00BC26B6"/>
    <w:rsid w:val="00BC3A16"/>
    <w:rsid w:val="00BD6F1F"/>
    <w:rsid w:val="00BE17BD"/>
    <w:rsid w:val="00BE3AB7"/>
    <w:rsid w:val="00BE4AC6"/>
    <w:rsid w:val="00BE4B17"/>
    <w:rsid w:val="00BE6432"/>
    <w:rsid w:val="00BF106A"/>
    <w:rsid w:val="00BF10F3"/>
    <w:rsid w:val="00BF1820"/>
    <w:rsid w:val="00BF1B91"/>
    <w:rsid w:val="00BF23A3"/>
    <w:rsid w:val="00BF2E4D"/>
    <w:rsid w:val="00BF326D"/>
    <w:rsid w:val="00BF386A"/>
    <w:rsid w:val="00BF3CAC"/>
    <w:rsid w:val="00BF414B"/>
    <w:rsid w:val="00BF457E"/>
    <w:rsid w:val="00BF596D"/>
    <w:rsid w:val="00BF5CF5"/>
    <w:rsid w:val="00BF6BE2"/>
    <w:rsid w:val="00C00073"/>
    <w:rsid w:val="00C02BF0"/>
    <w:rsid w:val="00C04608"/>
    <w:rsid w:val="00C060DA"/>
    <w:rsid w:val="00C0693A"/>
    <w:rsid w:val="00C071DF"/>
    <w:rsid w:val="00C1416C"/>
    <w:rsid w:val="00C15E25"/>
    <w:rsid w:val="00C201EE"/>
    <w:rsid w:val="00C252B1"/>
    <w:rsid w:val="00C25530"/>
    <w:rsid w:val="00C260BB"/>
    <w:rsid w:val="00C277FA"/>
    <w:rsid w:val="00C27E34"/>
    <w:rsid w:val="00C3079F"/>
    <w:rsid w:val="00C31A5A"/>
    <w:rsid w:val="00C325B9"/>
    <w:rsid w:val="00C32E8E"/>
    <w:rsid w:val="00C32FEF"/>
    <w:rsid w:val="00C34914"/>
    <w:rsid w:val="00C35668"/>
    <w:rsid w:val="00C358F3"/>
    <w:rsid w:val="00C44B06"/>
    <w:rsid w:val="00C456E0"/>
    <w:rsid w:val="00C4655A"/>
    <w:rsid w:val="00C46AFB"/>
    <w:rsid w:val="00C5010C"/>
    <w:rsid w:val="00C56F98"/>
    <w:rsid w:val="00C6141F"/>
    <w:rsid w:val="00C65C5D"/>
    <w:rsid w:val="00C663F5"/>
    <w:rsid w:val="00C70822"/>
    <w:rsid w:val="00C743EF"/>
    <w:rsid w:val="00C75531"/>
    <w:rsid w:val="00C7646B"/>
    <w:rsid w:val="00C813A4"/>
    <w:rsid w:val="00C815A4"/>
    <w:rsid w:val="00C84294"/>
    <w:rsid w:val="00C85AA6"/>
    <w:rsid w:val="00C86522"/>
    <w:rsid w:val="00C90B93"/>
    <w:rsid w:val="00C92BA0"/>
    <w:rsid w:val="00C94712"/>
    <w:rsid w:val="00CA0D8C"/>
    <w:rsid w:val="00CA0F7F"/>
    <w:rsid w:val="00CA15CD"/>
    <w:rsid w:val="00CA17B7"/>
    <w:rsid w:val="00CA300A"/>
    <w:rsid w:val="00CA476F"/>
    <w:rsid w:val="00CA56F6"/>
    <w:rsid w:val="00CA6B3C"/>
    <w:rsid w:val="00CA75E1"/>
    <w:rsid w:val="00CB17A7"/>
    <w:rsid w:val="00CB2561"/>
    <w:rsid w:val="00CB3D1C"/>
    <w:rsid w:val="00CB7DC3"/>
    <w:rsid w:val="00CC1667"/>
    <w:rsid w:val="00CC29A7"/>
    <w:rsid w:val="00CC31CC"/>
    <w:rsid w:val="00CD3A63"/>
    <w:rsid w:val="00CE34F6"/>
    <w:rsid w:val="00CE3D2F"/>
    <w:rsid w:val="00CE58AC"/>
    <w:rsid w:val="00CF1E5A"/>
    <w:rsid w:val="00CF5331"/>
    <w:rsid w:val="00CF77B9"/>
    <w:rsid w:val="00D026EF"/>
    <w:rsid w:val="00D03C88"/>
    <w:rsid w:val="00D042CF"/>
    <w:rsid w:val="00D0432D"/>
    <w:rsid w:val="00D069C1"/>
    <w:rsid w:val="00D1056F"/>
    <w:rsid w:val="00D125DF"/>
    <w:rsid w:val="00D131F9"/>
    <w:rsid w:val="00D15534"/>
    <w:rsid w:val="00D156CF"/>
    <w:rsid w:val="00D2042E"/>
    <w:rsid w:val="00D21F9A"/>
    <w:rsid w:val="00D25093"/>
    <w:rsid w:val="00D25420"/>
    <w:rsid w:val="00D268EF"/>
    <w:rsid w:val="00D27E3D"/>
    <w:rsid w:val="00D303A3"/>
    <w:rsid w:val="00D31780"/>
    <w:rsid w:val="00D31BFE"/>
    <w:rsid w:val="00D32CA6"/>
    <w:rsid w:val="00D32E71"/>
    <w:rsid w:val="00D35AAC"/>
    <w:rsid w:val="00D35BF4"/>
    <w:rsid w:val="00D36DE7"/>
    <w:rsid w:val="00D37ED8"/>
    <w:rsid w:val="00D4030D"/>
    <w:rsid w:val="00D4095B"/>
    <w:rsid w:val="00D40B8F"/>
    <w:rsid w:val="00D432CD"/>
    <w:rsid w:val="00D450DA"/>
    <w:rsid w:val="00D45C8B"/>
    <w:rsid w:val="00D50240"/>
    <w:rsid w:val="00D5065B"/>
    <w:rsid w:val="00D51226"/>
    <w:rsid w:val="00D51C66"/>
    <w:rsid w:val="00D53A91"/>
    <w:rsid w:val="00D56482"/>
    <w:rsid w:val="00D567A1"/>
    <w:rsid w:val="00D61BE0"/>
    <w:rsid w:val="00D6404B"/>
    <w:rsid w:val="00D662A5"/>
    <w:rsid w:val="00D66C41"/>
    <w:rsid w:val="00D707E7"/>
    <w:rsid w:val="00D71D8D"/>
    <w:rsid w:val="00D73F0E"/>
    <w:rsid w:val="00D767CB"/>
    <w:rsid w:val="00D76EE4"/>
    <w:rsid w:val="00D8044E"/>
    <w:rsid w:val="00D82B51"/>
    <w:rsid w:val="00D85519"/>
    <w:rsid w:val="00D8578E"/>
    <w:rsid w:val="00D86155"/>
    <w:rsid w:val="00D862F8"/>
    <w:rsid w:val="00D8630E"/>
    <w:rsid w:val="00D863FB"/>
    <w:rsid w:val="00D86AF3"/>
    <w:rsid w:val="00D8736F"/>
    <w:rsid w:val="00D87748"/>
    <w:rsid w:val="00D9236D"/>
    <w:rsid w:val="00D93C82"/>
    <w:rsid w:val="00D95229"/>
    <w:rsid w:val="00D9599A"/>
    <w:rsid w:val="00D96780"/>
    <w:rsid w:val="00DA07BF"/>
    <w:rsid w:val="00DA10E5"/>
    <w:rsid w:val="00DA1398"/>
    <w:rsid w:val="00DA15A9"/>
    <w:rsid w:val="00DA291D"/>
    <w:rsid w:val="00DA2948"/>
    <w:rsid w:val="00DA3743"/>
    <w:rsid w:val="00DA3AF1"/>
    <w:rsid w:val="00DA4601"/>
    <w:rsid w:val="00DA63C7"/>
    <w:rsid w:val="00DB0A28"/>
    <w:rsid w:val="00DB1F83"/>
    <w:rsid w:val="00DB21F9"/>
    <w:rsid w:val="00DB2235"/>
    <w:rsid w:val="00DB22D7"/>
    <w:rsid w:val="00DB54AC"/>
    <w:rsid w:val="00DB5767"/>
    <w:rsid w:val="00DB5E15"/>
    <w:rsid w:val="00DB74E4"/>
    <w:rsid w:val="00DC017A"/>
    <w:rsid w:val="00DC2DC2"/>
    <w:rsid w:val="00DC397E"/>
    <w:rsid w:val="00DC56DD"/>
    <w:rsid w:val="00DC59A6"/>
    <w:rsid w:val="00DC5F2E"/>
    <w:rsid w:val="00DC5FF5"/>
    <w:rsid w:val="00DC6871"/>
    <w:rsid w:val="00DD10AA"/>
    <w:rsid w:val="00DD21F3"/>
    <w:rsid w:val="00DD26A3"/>
    <w:rsid w:val="00DD4855"/>
    <w:rsid w:val="00DD494A"/>
    <w:rsid w:val="00DD79B8"/>
    <w:rsid w:val="00DE0900"/>
    <w:rsid w:val="00DE0E8A"/>
    <w:rsid w:val="00DE3D77"/>
    <w:rsid w:val="00DE6FD2"/>
    <w:rsid w:val="00DF1B24"/>
    <w:rsid w:val="00DF46FA"/>
    <w:rsid w:val="00DF5BC7"/>
    <w:rsid w:val="00DF61FE"/>
    <w:rsid w:val="00E02609"/>
    <w:rsid w:val="00E02F12"/>
    <w:rsid w:val="00E04375"/>
    <w:rsid w:val="00E04B21"/>
    <w:rsid w:val="00E04E92"/>
    <w:rsid w:val="00E06AF2"/>
    <w:rsid w:val="00E073DD"/>
    <w:rsid w:val="00E10449"/>
    <w:rsid w:val="00E1131D"/>
    <w:rsid w:val="00E16AA2"/>
    <w:rsid w:val="00E1736D"/>
    <w:rsid w:val="00E21C32"/>
    <w:rsid w:val="00E22F2B"/>
    <w:rsid w:val="00E240B8"/>
    <w:rsid w:val="00E2415D"/>
    <w:rsid w:val="00E24A2D"/>
    <w:rsid w:val="00E258D2"/>
    <w:rsid w:val="00E25D7A"/>
    <w:rsid w:val="00E317A6"/>
    <w:rsid w:val="00E31D59"/>
    <w:rsid w:val="00E34ECE"/>
    <w:rsid w:val="00E3725D"/>
    <w:rsid w:val="00E403E9"/>
    <w:rsid w:val="00E40C71"/>
    <w:rsid w:val="00E42199"/>
    <w:rsid w:val="00E42266"/>
    <w:rsid w:val="00E44426"/>
    <w:rsid w:val="00E44550"/>
    <w:rsid w:val="00E4507C"/>
    <w:rsid w:val="00E450D4"/>
    <w:rsid w:val="00E4512A"/>
    <w:rsid w:val="00E45CCA"/>
    <w:rsid w:val="00E46184"/>
    <w:rsid w:val="00E46A60"/>
    <w:rsid w:val="00E46AF4"/>
    <w:rsid w:val="00E51648"/>
    <w:rsid w:val="00E5309F"/>
    <w:rsid w:val="00E5391F"/>
    <w:rsid w:val="00E53EBE"/>
    <w:rsid w:val="00E542C0"/>
    <w:rsid w:val="00E5531A"/>
    <w:rsid w:val="00E56382"/>
    <w:rsid w:val="00E5681E"/>
    <w:rsid w:val="00E56B1B"/>
    <w:rsid w:val="00E5790A"/>
    <w:rsid w:val="00E62264"/>
    <w:rsid w:val="00E63684"/>
    <w:rsid w:val="00E64389"/>
    <w:rsid w:val="00E6510E"/>
    <w:rsid w:val="00E653C3"/>
    <w:rsid w:val="00E66116"/>
    <w:rsid w:val="00E6672E"/>
    <w:rsid w:val="00E667CB"/>
    <w:rsid w:val="00E67F24"/>
    <w:rsid w:val="00E713E8"/>
    <w:rsid w:val="00E734D1"/>
    <w:rsid w:val="00E73CC9"/>
    <w:rsid w:val="00E7559B"/>
    <w:rsid w:val="00E80FD4"/>
    <w:rsid w:val="00E83B50"/>
    <w:rsid w:val="00E85144"/>
    <w:rsid w:val="00E86D42"/>
    <w:rsid w:val="00E90456"/>
    <w:rsid w:val="00E910A2"/>
    <w:rsid w:val="00E928F1"/>
    <w:rsid w:val="00E938C3"/>
    <w:rsid w:val="00E93B48"/>
    <w:rsid w:val="00E94842"/>
    <w:rsid w:val="00E94A1D"/>
    <w:rsid w:val="00E95146"/>
    <w:rsid w:val="00E95C60"/>
    <w:rsid w:val="00E96F56"/>
    <w:rsid w:val="00EA0B33"/>
    <w:rsid w:val="00EA1A0A"/>
    <w:rsid w:val="00EA1EE8"/>
    <w:rsid w:val="00EA2072"/>
    <w:rsid w:val="00EA34DB"/>
    <w:rsid w:val="00EA4D13"/>
    <w:rsid w:val="00EA5B08"/>
    <w:rsid w:val="00EA61FE"/>
    <w:rsid w:val="00EB0057"/>
    <w:rsid w:val="00EB1A7A"/>
    <w:rsid w:val="00EB1EDC"/>
    <w:rsid w:val="00EB3F93"/>
    <w:rsid w:val="00EB42EE"/>
    <w:rsid w:val="00EB4A29"/>
    <w:rsid w:val="00EB5C58"/>
    <w:rsid w:val="00EC1858"/>
    <w:rsid w:val="00EC322F"/>
    <w:rsid w:val="00EC3931"/>
    <w:rsid w:val="00EC6E10"/>
    <w:rsid w:val="00EC758E"/>
    <w:rsid w:val="00ED34CB"/>
    <w:rsid w:val="00ED3779"/>
    <w:rsid w:val="00ED3C4A"/>
    <w:rsid w:val="00ED3EA2"/>
    <w:rsid w:val="00ED64FD"/>
    <w:rsid w:val="00ED687D"/>
    <w:rsid w:val="00EE0290"/>
    <w:rsid w:val="00EE08F4"/>
    <w:rsid w:val="00EE333B"/>
    <w:rsid w:val="00EE359B"/>
    <w:rsid w:val="00EE38CB"/>
    <w:rsid w:val="00EE39C6"/>
    <w:rsid w:val="00EE45F5"/>
    <w:rsid w:val="00EF0AC2"/>
    <w:rsid w:val="00EF0B03"/>
    <w:rsid w:val="00EF0B42"/>
    <w:rsid w:val="00EF15EE"/>
    <w:rsid w:val="00EF3508"/>
    <w:rsid w:val="00F06640"/>
    <w:rsid w:val="00F06C2A"/>
    <w:rsid w:val="00F135D3"/>
    <w:rsid w:val="00F13ACE"/>
    <w:rsid w:val="00F13C9A"/>
    <w:rsid w:val="00F143BA"/>
    <w:rsid w:val="00F151EA"/>
    <w:rsid w:val="00F15793"/>
    <w:rsid w:val="00F16443"/>
    <w:rsid w:val="00F1711C"/>
    <w:rsid w:val="00F178AF"/>
    <w:rsid w:val="00F21187"/>
    <w:rsid w:val="00F21981"/>
    <w:rsid w:val="00F21DBC"/>
    <w:rsid w:val="00F23525"/>
    <w:rsid w:val="00F340CC"/>
    <w:rsid w:val="00F3428F"/>
    <w:rsid w:val="00F34AB2"/>
    <w:rsid w:val="00F34BDE"/>
    <w:rsid w:val="00F356C5"/>
    <w:rsid w:val="00F37183"/>
    <w:rsid w:val="00F375C6"/>
    <w:rsid w:val="00F4087A"/>
    <w:rsid w:val="00F43862"/>
    <w:rsid w:val="00F443B1"/>
    <w:rsid w:val="00F46030"/>
    <w:rsid w:val="00F46205"/>
    <w:rsid w:val="00F52075"/>
    <w:rsid w:val="00F55154"/>
    <w:rsid w:val="00F55343"/>
    <w:rsid w:val="00F61855"/>
    <w:rsid w:val="00F62F8F"/>
    <w:rsid w:val="00F63E19"/>
    <w:rsid w:val="00F64D0C"/>
    <w:rsid w:val="00F716A9"/>
    <w:rsid w:val="00F72786"/>
    <w:rsid w:val="00F731E9"/>
    <w:rsid w:val="00F81D60"/>
    <w:rsid w:val="00F8512A"/>
    <w:rsid w:val="00F85C30"/>
    <w:rsid w:val="00F8645B"/>
    <w:rsid w:val="00F874B0"/>
    <w:rsid w:val="00F90E5B"/>
    <w:rsid w:val="00F90F48"/>
    <w:rsid w:val="00F92073"/>
    <w:rsid w:val="00F96CFC"/>
    <w:rsid w:val="00F97C55"/>
    <w:rsid w:val="00FA0C79"/>
    <w:rsid w:val="00FA301B"/>
    <w:rsid w:val="00FA32DE"/>
    <w:rsid w:val="00FA361C"/>
    <w:rsid w:val="00FA5D0E"/>
    <w:rsid w:val="00FA6F6B"/>
    <w:rsid w:val="00FA7669"/>
    <w:rsid w:val="00FB15E2"/>
    <w:rsid w:val="00FB2928"/>
    <w:rsid w:val="00FC0228"/>
    <w:rsid w:val="00FC3A3F"/>
    <w:rsid w:val="00FC3F48"/>
    <w:rsid w:val="00FC5902"/>
    <w:rsid w:val="00FC6A1D"/>
    <w:rsid w:val="00FC7504"/>
    <w:rsid w:val="00FD1F4D"/>
    <w:rsid w:val="00FD2A07"/>
    <w:rsid w:val="00FD3631"/>
    <w:rsid w:val="00FD6FDC"/>
    <w:rsid w:val="00FE0589"/>
    <w:rsid w:val="00FE0BC7"/>
    <w:rsid w:val="00FE2341"/>
    <w:rsid w:val="00FE26F3"/>
    <w:rsid w:val="00FE2C8D"/>
    <w:rsid w:val="00FE49B0"/>
    <w:rsid w:val="00FE763B"/>
    <w:rsid w:val="00FE76C1"/>
    <w:rsid w:val="00FE7741"/>
    <w:rsid w:val="00FF5559"/>
    <w:rsid w:val="00FF6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C5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4AC6"/>
    <w:pPr>
      <w:spacing w:after="0" w:line="240" w:lineRule="auto"/>
    </w:pPr>
    <w:rPr>
      <w:rFonts w:ascii="Times New Roman" w:hAnsi="Times New Roman" w:cs="Times New Roman"/>
      <w:sz w:val="24"/>
      <w:szCs w:val="24"/>
      <w:lang w:val="en-US"/>
    </w:rPr>
  </w:style>
  <w:style w:type="paragraph" w:styleId="Heading1">
    <w:name w:val="heading 1"/>
    <w:basedOn w:val="Normal"/>
    <w:link w:val="Heading1Char"/>
    <w:uiPriority w:val="9"/>
    <w:qFormat/>
    <w:rsid w:val="007D27E5"/>
    <w:pPr>
      <w:spacing w:before="100" w:beforeAutospacing="1" w:after="100" w:afterAutospacing="1"/>
      <w:outlineLvl w:val="0"/>
    </w:pPr>
    <w:rPr>
      <w:rFonts w:eastAsia="Times New Roman"/>
      <w:b/>
      <w:bCs/>
      <w:kern w:val="36"/>
      <w:sz w:val="48"/>
      <w:szCs w:val="48"/>
      <w:lang w:val="en-GB" w:eastAsia="en-GB"/>
    </w:rPr>
  </w:style>
  <w:style w:type="paragraph" w:styleId="Heading2">
    <w:name w:val="heading 2"/>
    <w:basedOn w:val="Normal"/>
    <w:next w:val="Normal"/>
    <w:link w:val="Heading2Char"/>
    <w:uiPriority w:val="9"/>
    <w:unhideWhenUsed/>
    <w:qFormat/>
    <w:rsid w:val="00044010"/>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link w:val="Heading3Char"/>
    <w:uiPriority w:val="9"/>
    <w:qFormat/>
    <w:rsid w:val="00D71D8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68D"/>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91168D"/>
    <w:rPr>
      <w:rFonts w:ascii="Tahoma" w:hAnsi="Tahoma" w:cs="Tahoma"/>
      <w:sz w:val="16"/>
      <w:szCs w:val="16"/>
    </w:rPr>
  </w:style>
  <w:style w:type="character" w:customStyle="1" w:styleId="Heading1Char">
    <w:name w:val="Heading 1 Char"/>
    <w:basedOn w:val="DefaultParagraphFont"/>
    <w:link w:val="Heading1"/>
    <w:uiPriority w:val="9"/>
    <w:rsid w:val="007D27E5"/>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7D27E5"/>
    <w:rPr>
      <w:color w:val="0000FF"/>
      <w:u w:val="single"/>
    </w:rPr>
  </w:style>
  <w:style w:type="character" w:customStyle="1" w:styleId="Heading2Char">
    <w:name w:val="Heading 2 Char"/>
    <w:basedOn w:val="DefaultParagraphFont"/>
    <w:link w:val="Heading2"/>
    <w:uiPriority w:val="9"/>
    <w:rsid w:val="0004401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44010"/>
    <w:rPr>
      <w:b/>
      <w:bCs/>
    </w:rPr>
  </w:style>
  <w:style w:type="paragraph" w:customStyle="1" w:styleId="Default">
    <w:name w:val="Default"/>
    <w:rsid w:val="0007483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7483B"/>
    <w:pPr>
      <w:spacing w:after="200" w:line="276" w:lineRule="auto"/>
      <w:ind w:left="720"/>
      <w:contextualSpacing/>
    </w:pPr>
    <w:rPr>
      <w:rFonts w:asciiTheme="minorHAnsi" w:hAnsiTheme="minorHAnsi" w:cstheme="minorBidi"/>
      <w:sz w:val="22"/>
      <w:szCs w:val="22"/>
      <w:lang w:val="en-GB"/>
    </w:rPr>
  </w:style>
  <w:style w:type="paragraph" w:styleId="FootnoteText">
    <w:name w:val="footnote text"/>
    <w:basedOn w:val="Normal"/>
    <w:link w:val="FootnoteTextChar"/>
    <w:uiPriority w:val="99"/>
    <w:unhideWhenUsed/>
    <w:rsid w:val="00C65C5D"/>
    <w:rPr>
      <w:rFonts w:ascii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C65C5D"/>
    <w:rPr>
      <w:sz w:val="20"/>
      <w:szCs w:val="20"/>
    </w:rPr>
  </w:style>
  <w:style w:type="character" w:styleId="FootnoteReference">
    <w:name w:val="footnote reference"/>
    <w:basedOn w:val="DefaultParagraphFont"/>
    <w:uiPriority w:val="99"/>
    <w:unhideWhenUsed/>
    <w:rsid w:val="00C65C5D"/>
    <w:rPr>
      <w:vertAlign w:val="superscript"/>
    </w:rPr>
  </w:style>
  <w:style w:type="character" w:styleId="HTMLCite">
    <w:name w:val="HTML Cite"/>
    <w:basedOn w:val="DefaultParagraphFont"/>
    <w:uiPriority w:val="99"/>
    <w:semiHidden/>
    <w:unhideWhenUsed/>
    <w:rsid w:val="00406C28"/>
    <w:rPr>
      <w:i/>
      <w:iCs/>
    </w:rPr>
  </w:style>
  <w:style w:type="character" w:customStyle="1" w:styleId="summary">
    <w:name w:val="summary"/>
    <w:basedOn w:val="DefaultParagraphFont"/>
    <w:rsid w:val="008024E0"/>
  </w:style>
  <w:style w:type="paragraph" w:customStyle="1" w:styleId="articledetails">
    <w:name w:val="articledetails"/>
    <w:basedOn w:val="Normal"/>
    <w:rsid w:val="004E02B3"/>
    <w:pPr>
      <w:spacing w:before="100" w:beforeAutospacing="1" w:after="100" w:afterAutospacing="1"/>
    </w:pPr>
    <w:rPr>
      <w:rFonts w:eastAsia="Times New Roman"/>
      <w:lang w:val="en-GB" w:eastAsia="en-GB"/>
    </w:rPr>
  </w:style>
  <w:style w:type="paragraph" w:customStyle="1" w:styleId="EndNoteBibliographyTitle">
    <w:name w:val="EndNote Bibliography Title"/>
    <w:basedOn w:val="Normal"/>
    <w:link w:val="EndNoteBibliographyTitleChar"/>
    <w:rsid w:val="00014938"/>
    <w:pPr>
      <w:spacing w:line="276" w:lineRule="auto"/>
      <w:jc w:val="center"/>
    </w:pPr>
    <w:rPr>
      <w:rFonts w:ascii="Calibri" w:hAnsi="Calibri" w:cstheme="minorBidi"/>
      <w:noProof/>
      <w:sz w:val="22"/>
      <w:szCs w:val="22"/>
    </w:rPr>
  </w:style>
  <w:style w:type="character" w:customStyle="1" w:styleId="EndNoteBibliographyTitleChar">
    <w:name w:val="EndNote Bibliography Title Char"/>
    <w:basedOn w:val="DefaultParagraphFont"/>
    <w:link w:val="EndNoteBibliographyTitle"/>
    <w:rsid w:val="00014938"/>
    <w:rPr>
      <w:rFonts w:ascii="Calibri" w:hAnsi="Calibri"/>
      <w:noProof/>
      <w:lang w:val="en-US"/>
    </w:rPr>
  </w:style>
  <w:style w:type="paragraph" w:customStyle="1" w:styleId="EndNoteBibliography">
    <w:name w:val="EndNote Bibliography"/>
    <w:basedOn w:val="Normal"/>
    <w:link w:val="EndNoteBibliographyChar"/>
    <w:rsid w:val="00014938"/>
    <w:pPr>
      <w:spacing w:after="200"/>
    </w:pPr>
    <w:rPr>
      <w:rFonts w:ascii="Calibri" w:hAnsi="Calibri" w:cstheme="minorBidi"/>
      <w:noProof/>
      <w:sz w:val="22"/>
      <w:szCs w:val="22"/>
    </w:rPr>
  </w:style>
  <w:style w:type="character" w:customStyle="1" w:styleId="EndNoteBibliographyChar">
    <w:name w:val="EndNote Bibliography Char"/>
    <w:basedOn w:val="DefaultParagraphFont"/>
    <w:link w:val="EndNoteBibliography"/>
    <w:rsid w:val="00014938"/>
    <w:rPr>
      <w:rFonts w:ascii="Calibri" w:hAnsi="Calibri"/>
      <w:noProof/>
      <w:lang w:val="en-US"/>
    </w:rPr>
  </w:style>
  <w:style w:type="paragraph" w:styleId="NormalWeb">
    <w:name w:val="Normal (Web)"/>
    <w:basedOn w:val="Normal"/>
    <w:uiPriority w:val="99"/>
    <w:unhideWhenUsed/>
    <w:rsid w:val="00505A5E"/>
    <w:pPr>
      <w:spacing w:before="100" w:beforeAutospacing="1" w:after="100" w:afterAutospacing="1"/>
    </w:pPr>
  </w:style>
  <w:style w:type="paragraph" w:styleId="Header">
    <w:name w:val="header"/>
    <w:basedOn w:val="Normal"/>
    <w:link w:val="HeaderChar"/>
    <w:uiPriority w:val="99"/>
    <w:unhideWhenUsed/>
    <w:rsid w:val="00594665"/>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594665"/>
  </w:style>
  <w:style w:type="paragraph" w:styleId="Footer">
    <w:name w:val="footer"/>
    <w:basedOn w:val="Normal"/>
    <w:link w:val="FooterChar"/>
    <w:uiPriority w:val="99"/>
    <w:unhideWhenUsed/>
    <w:rsid w:val="00594665"/>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594665"/>
  </w:style>
  <w:style w:type="table" w:styleId="TableGrid">
    <w:name w:val="Table Grid"/>
    <w:basedOn w:val="TableNormal"/>
    <w:uiPriority w:val="59"/>
    <w:rsid w:val="00104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DefaultParagraphFont"/>
    <w:rsid w:val="002C0FC1"/>
  </w:style>
  <w:style w:type="character" w:customStyle="1" w:styleId="Heading3Char">
    <w:name w:val="Heading 3 Char"/>
    <w:basedOn w:val="DefaultParagraphFont"/>
    <w:link w:val="Heading3"/>
    <w:uiPriority w:val="9"/>
    <w:rsid w:val="00D71D8D"/>
    <w:rPr>
      <w:rFonts w:ascii="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8D6214"/>
    <w:rPr>
      <w:color w:val="800080" w:themeColor="followedHyperlink"/>
      <w:u w:val="single"/>
    </w:rPr>
  </w:style>
  <w:style w:type="character" w:styleId="CommentReference">
    <w:name w:val="annotation reference"/>
    <w:basedOn w:val="DefaultParagraphFont"/>
    <w:uiPriority w:val="99"/>
    <w:semiHidden/>
    <w:unhideWhenUsed/>
    <w:rsid w:val="00E073DD"/>
    <w:rPr>
      <w:sz w:val="16"/>
      <w:szCs w:val="16"/>
    </w:rPr>
  </w:style>
  <w:style w:type="paragraph" w:styleId="CommentText">
    <w:name w:val="annotation text"/>
    <w:basedOn w:val="Normal"/>
    <w:link w:val="CommentTextChar"/>
    <w:uiPriority w:val="99"/>
    <w:semiHidden/>
    <w:unhideWhenUsed/>
    <w:rsid w:val="00E073DD"/>
    <w:rPr>
      <w:sz w:val="20"/>
      <w:szCs w:val="20"/>
    </w:rPr>
  </w:style>
  <w:style w:type="character" w:customStyle="1" w:styleId="CommentTextChar">
    <w:name w:val="Comment Text Char"/>
    <w:basedOn w:val="DefaultParagraphFont"/>
    <w:link w:val="CommentText"/>
    <w:uiPriority w:val="99"/>
    <w:semiHidden/>
    <w:rsid w:val="00E073DD"/>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04E92"/>
    <w:rPr>
      <w:b/>
      <w:bCs/>
    </w:rPr>
  </w:style>
  <w:style w:type="character" w:customStyle="1" w:styleId="CommentSubjectChar">
    <w:name w:val="Comment Subject Char"/>
    <w:basedOn w:val="CommentTextChar"/>
    <w:link w:val="CommentSubject"/>
    <w:uiPriority w:val="99"/>
    <w:semiHidden/>
    <w:rsid w:val="00E04E92"/>
    <w:rPr>
      <w:rFonts w:ascii="Times New Roman" w:hAnsi="Times New Roman" w:cs="Times New Roman"/>
      <w:b/>
      <w:bCs/>
      <w:sz w:val="20"/>
      <w:szCs w:val="20"/>
      <w:lang w:val="en-US"/>
    </w:rPr>
  </w:style>
  <w:style w:type="character" w:customStyle="1" w:styleId="nlmarticle-title">
    <w:name w:val="nlm_article-title"/>
    <w:basedOn w:val="DefaultParagraphFont"/>
    <w:rsid w:val="00E95C60"/>
  </w:style>
  <w:style w:type="paragraph" w:styleId="Revision">
    <w:name w:val="Revision"/>
    <w:hidden/>
    <w:uiPriority w:val="99"/>
    <w:semiHidden/>
    <w:rsid w:val="003A54B7"/>
    <w:pPr>
      <w:spacing w:after="0"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2166B4"/>
  </w:style>
  <w:style w:type="character" w:styleId="Emphasis">
    <w:name w:val="Emphasis"/>
    <w:basedOn w:val="DefaultParagraphFont"/>
    <w:uiPriority w:val="20"/>
    <w:qFormat/>
    <w:rsid w:val="002166B4"/>
    <w:rPr>
      <w:i/>
      <w:iCs/>
    </w:rPr>
  </w:style>
  <w:style w:type="character" w:customStyle="1" w:styleId="text">
    <w:name w:val="text"/>
    <w:basedOn w:val="DefaultParagraphFont"/>
    <w:rsid w:val="00950CDC"/>
  </w:style>
  <w:style w:type="character" w:customStyle="1" w:styleId="journalname">
    <w:name w:val="journalname"/>
    <w:basedOn w:val="DefaultParagraphFont"/>
    <w:rsid w:val="000C0EB0"/>
  </w:style>
  <w:style w:type="character" w:customStyle="1" w:styleId="year">
    <w:name w:val="year"/>
    <w:basedOn w:val="DefaultParagraphFont"/>
    <w:rsid w:val="000C0EB0"/>
  </w:style>
  <w:style w:type="character" w:customStyle="1" w:styleId="volume">
    <w:name w:val="volume"/>
    <w:basedOn w:val="DefaultParagraphFont"/>
    <w:rsid w:val="000C0EB0"/>
  </w:style>
  <w:style w:type="character" w:customStyle="1" w:styleId="issue">
    <w:name w:val="issue"/>
    <w:basedOn w:val="DefaultParagraphFont"/>
    <w:rsid w:val="000C0EB0"/>
  </w:style>
  <w:style w:type="character" w:customStyle="1" w:styleId="page">
    <w:name w:val="page"/>
    <w:basedOn w:val="DefaultParagraphFont"/>
    <w:rsid w:val="000C0EB0"/>
  </w:style>
  <w:style w:type="character" w:styleId="PlaceholderText">
    <w:name w:val="Placeholder Text"/>
    <w:basedOn w:val="DefaultParagraphFont"/>
    <w:uiPriority w:val="99"/>
    <w:semiHidden/>
    <w:rsid w:val="009F1F0D"/>
    <w:rPr>
      <w:color w:val="808080"/>
    </w:rPr>
  </w:style>
  <w:style w:type="character" w:customStyle="1" w:styleId="subtitle1">
    <w:name w:val="subtitle1"/>
    <w:basedOn w:val="DefaultParagraphFont"/>
    <w:rsid w:val="00935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806">
      <w:bodyDiv w:val="1"/>
      <w:marLeft w:val="0"/>
      <w:marRight w:val="0"/>
      <w:marTop w:val="0"/>
      <w:marBottom w:val="0"/>
      <w:divBdr>
        <w:top w:val="none" w:sz="0" w:space="0" w:color="auto"/>
        <w:left w:val="none" w:sz="0" w:space="0" w:color="auto"/>
        <w:bottom w:val="none" w:sz="0" w:space="0" w:color="auto"/>
        <w:right w:val="none" w:sz="0" w:space="0" w:color="auto"/>
      </w:divBdr>
      <w:divsChild>
        <w:div w:id="973287958">
          <w:marLeft w:val="0"/>
          <w:marRight w:val="0"/>
          <w:marTop w:val="0"/>
          <w:marBottom w:val="0"/>
          <w:divBdr>
            <w:top w:val="none" w:sz="0" w:space="0" w:color="auto"/>
            <w:left w:val="none" w:sz="0" w:space="0" w:color="auto"/>
            <w:bottom w:val="none" w:sz="0" w:space="0" w:color="auto"/>
            <w:right w:val="none" w:sz="0" w:space="0" w:color="auto"/>
          </w:divBdr>
          <w:divsChild>
            <w:div w:id="1475679095">
              <w:marLeft w:val="0"/>
              <w:marRight w:val="0"/>
              <w:marTop w:val="0"/>
              <w:marBottom w:val="0"/>
              <w:divBdr>
                <w:top w:val="none" w:sz="0" w:space="0" w:color="auto"/>
                <w:left w:val="none" w:sz="0" w:space="0" w:color="auto"/>
                <w:bottom w:val="none" w:sz="0" w:space="0" w:color="auto"/>
                <w:right w:val="none" w:sz="0" w:space="0" w:color="auto"/>
              </w:divBdr>
              <w:divsChild>
                <w:div w:id="14355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027">
      <w:bodyDiv w:val="1"/>
      <w:marLeft w:val="0"/>
      <w:marRight w:val="0"/>
      <w:marTop w:val="0"/>
      <w:marBottom w:val="0"/>
      <w:divBdr>
        <w:top w:val="none" w:sz="0" w:space="0" w:color="auto"/>
        <w:left w:val="none" w:sz="0" w:space="0" w:color="auto"/>
        <w:bottom w:val="none" w:sz="0" w:space="0" w:color="auto"/>
        <w:right w:val="none" w:sz="0" w:space="0" w:color="auto"/>
      </w:divBdr>
      <w:divsChild>
        <w:div w:id="688024323">
          <w:marLeft w:val="0"/>
          <w:marRight w:val="0"/>
          <w:marTop w:val="0"/>
          <w:marBottom w:val="0"/>
          <w:divBdr>
            <w:top w:val="none" w:sz="0" w:space="0" w:color="auto"/>
            <w:left w:val="none" w:sz="0" w:space="0" w:color="auto"/>
            <w:bottom w:val="none" w:sz="0" w:space="0" w:color="auto"/>
            <w:right w:val="none" w:sz="0" w:space="0" w:color="auto"/>
          </w:divBdr>
          <w:divsChild>
            <w:div w:id="460735547">
              <w:marLeft w:val="0"/>
              <w:marRight w:val="0"/>
              <w:marTop w:val="0"/>
              <w:marBottom w:val="0"/>
              <w:divBdr>
                <w:top w:val="none" w:sz="0" w:space="0" w:color="auto"/>
                <w:left w:val="none" w:sz="0" w:space="0" w:color="auto"/>
                <w:bottom w:val="none" w:sz="0" w:space="0" w:color="auto"/>
                <w:right w:val="none" w:sz="0" w:space="0" w:color="auto"/>
              </w:divBdr>
              <w:divsChild>
                <w:div w:id="20363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4681">
      <w:bodyDiv w:val="1"/>
      <w:marLeft w:val="0"/>
      <w:marRight w:val="0"/>
      <w:marTop w:val="0"/>
      <w:marBottom w:val="0"/>
      <w:divBdr>
        <w:top w:val="none" w:sz="0" w:space="0" w:color="auto"/>
        <w:left w:val="none" w:sz="0" w:space="0" w:color="auto"/>
        <w:bottom w:val="none" w:sz="0" w:space="0" w:color="auto"/>
        <w:right w:val="none" w:sz="0" w:space="0" w:color="auto"/>
      </w:divBdr>
    </w:div>
    <w:div w:id="48919696">
      <w:bodyDiv w:val="1"/>
      <w:marLeft w:val="0"/>
      <w:marRight w:val="0"/>
      <w:marTop w:val="0"/>
      <w:marBottom w:val="0"/>
      <w:divBdr>
        <w:top w:val="none" w:sz="0" w:space="0" w:color="auto"/>
        <w:left w:val="none" w:sz="0" w:space="0" w:color="auto"/>
        <w:bottom w:val="none" w:sz="0" w:space="0" w:color="auto"/>
        <w:right w:val="none" w:sz="0" w:space="0" w:color="auto"/>
      </w:divBdr>
    </w:div>
    <w:div w:id="68230462">
      <w:bodyDiv w:val="1"/>
      <w:marLeft w:val="0"/>
      <w:marRight w:val="0"/>
      <w:marTop w:val="0"/>
      <w:marBottom w:val="0"/>
      <w:divBdr>
        <w:top w:val="none" w:sz="0" w:space="0" w:color="auto"/>
        <w:left w:val="none" w:sz="0" w:space="0" w:color="auto"/>
        <w:bottom w:val="none" w:sz="0" w:space="0" w:color="auto"/>
        <w:right w:val="none" w:sz="0" w:space="0" w:color="auto"/>
      </w:divBdr>
    </w:div>
    <w:div w:id="68382927">
      <w:bodyDiv w:val="1"/>
      <w:marLeft w:val="0"/>
      <w:marRight w:val="0"/>
      <w:marTop w:val="0"/>
      <w:marBottom w:val="0"/>
      <w:divBdr>
        <w:top w:val="none" w:sz="0" w:space="0" w:color="auto"/>
        <w:left w:val="none" w:sz="0" w:space="0" w:color="auto"/>
        <w:bottom w:val="none" w:sz="0" w:space="0" w:color="auto"/>
        <w:right w:val="none" w:sz="0" w:space="0" w:color="auto"/>
      </w:divBdr>
    </w:div>
    <w:div w:id="102039664">
      <w:bodyDiv w:val="1"/>
      <w:marLeft w:val="0"/>
      <w:marRight w:val="0"/>
      <w:marTop w:val="0"/>
      <w:marBottom w:val="0"/>
      <w:divBdr>
        <w:top w:val="none" w:sz="0" w:space="0" w:color="auto"/>
        <w:left w:val="none" w:sz="0" w:space="0" w:color="auto"/>
        <w:bottom w:val="none" w:sz="0" w:space="0" w:color="auto"/>
        <w:right w:val="none" w:sz="0" w:space="0" w:color="auto"/>
      </w:divBdr>
    </w:div>
    <w:div w:id="102965888">
      <w:bodyDiv w:val="1"/>
      <w:marLeft w:val="0"/>
      <w:marRight w:val="0"/>
      <w:marTop w:val="0"/>
      <w:marBottom w:val="0"/>
      <w:divBdr>
        <w:top w:val="none" w:sz="0" w:space="0" w:color="auto"/>
        <w:left w:val="none" w:sz="0" w:space="0" w:color="auto"/>
        <w:bottom w:val="none" w:sz="0" w:space="0" w:color="auto"/>
        <w:right w:val="none" w:sz="0" w:space="0" w:color="auto"/>
      </w:divBdr>
    </w:div>
    <w:div w:id="113404600">
      <w:bodyDiv w:val="1"/>
      <w:marLeft w:val="0"/>
      <w:marRight w:val="0"/>
      <w:marTop w:val="0"/>
      <w:marBottom w:val="0"/>
      <w:divBdr>
        <w:top w:val="none" w:sz="0" w:space="0" w:color="auto"/>
        <w:left w:val="none" w:sz="0" w:space="0" w:color="auto"/>
        <w:bottom w:val="none" w:sz="0" w:space="0" w:color="auto"/>
        <w:right w:val="none" w:sz="0" w:space="0" w:color="auto"/>
      </w:divBdr>
      <w:divsChild>
        <w:div w:id="247619314">
          <w:marLeft w:val="0"/>
          <w:marRight w:val="0"/>
          <w:marTop w:val="0"/>
          <w:marBottom w:val="0"/>
          <w:divBdr>
            <w:top w:val="none" w:sz="0" w:space="0" w:color="auto"/>
            <w:left w:val="none" w:sz="0" w:space="0" w:color="auto"/>
            <w:bottom w:val="none" w:sz="0" w:space="0" w:color="auto"/>
            <w:right w:val="none" w:sz="0" w:space="0" w:color="auto"/>
          </w:divBdr>
        </w:div>
      </w:divsChild>
    </w:div>
    <w:div w:id="115024238">
      <w:bodyDiv w:val="1"/>
      <w:marLeft w:val="0"/>
      <w:marRight w:val="0"/>
      <w:marTop w:val="0"/>
      <w:marBottom w:val="0"/>
      <w:divBdr>
        <w:top w:val="none" w:sz="0" w:space="0" w:color="auto"/>
        <w:left w:val="none" w:sz="0" w:space="0" w:color="auto"/>
        <w:bottom w:val="none" w:sz="0" w:space="0" w:color="auto"/>
        <w:right w:val="none" w:sz="0" w:space="0" w:color="auto"/>
      </w:divBdr>
      <w:divsChild>
        <w:div w:id="1974023165">
          <w:marLeft w:val="0"/>
          <w:marRight w:val="0"/>
          <w:marTop w:val="0"/>
          <w:marBottom w:val="0"/>
          <w:divBdr>
            <w:top w:val="none" w:sz="0" w:space="0" w:color="auto"/>
            <w:left w:val="none" w:sz="0" w:space="0" w:color="auto"/>
            <w:bottom w:val="none" w:sz="0" w:space="0" w:color="auto"/>
            <w:right w:val="none" w:sz="0" w:space="0" w:color="auto"/>
          </w:divBdr>
          <w:divsChild>
            <w:div w:id="404644043">
              <w:marLeft w:val="0"/>
              <w:marRight w:val="0"/>
              <w:marTop w:val="0"/>
              <w:marBottom w:val="0"/>
              <w:divBdr>
                <w:top w:val="none" w:sz="0" w:space="0" w:color="auto"/>
                <w:left w:val="none" w:sz="0" w:space="0" w:color="auto"/>
                <w:bottom w:val="none" w:sz="0" w:space="0" w:color="auto"/>
                <w:right w:val="none" w:sz="0" w:space="0" w:color="auto"/>
              </w:divBdr>
              <w:divsChild>
                <w:div w:id="17932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4794">
      <w:bodyDiv w:val="1"/>
      <w:marLeft w:val="0"/>
      <w:marRight w:val="0"/>
      <w:marTop w:val="0"/>
      <w:marBottom w:val="0"/>
      <w:divBdr>
        <w:top w:val="none" w:sz="0" w:space="0" w:color="auto"/>
        <w:left w:val="none" w:sz="0" w:space="0" w:color="auto"/>
        <w:bottom w:val="none" w:sz="0" w:space="0" w:color="auto"/>
        <w:right w:val="none" w:sz="0" w:space="0" w:color="auto"/>
      </w:divBdr>
      <w:divsChild>
        <w:div w:id="851841596">
          <w:marLeft w:val="0"/>
          <w:marRight w:val="0"/>
          <w:marTop w:val="0"/>
          <w:marBottom w:val="0"/>
          <w:divBdr>
            <w:top w:val="none" w:sz="0" w:space="0" w:color="auto"/>
            <w:left w:val="none" w:sz="0" w:space="0" w:color="auto"/>
            <w:bottom w:val="none" w:sz="0" w:space="0" w:color="auto"/>
            <w:right w:val="none" w:sz="0" w:space="0" w:color="auto"/>
          </w:divBdr>
          <w:divsChild>
            <w:div w:id="994649579">
              <w:marLeft w:val="0"/>
              <w:marRight w:val="0"/>
              <w:marTop w:val="0"/>
              <w:marBottom w:val="0"/>
              <w:divBdr>
                <w:top w:val="none" w:sz="0" w:space="0" w:color="auto"/>
                <w:left w:val="none" w:sz="0" w:space="0" w:color="auto"/>
                <w:bottom w:val="none" w:sz="0" w:space="0" w:color="auto"/>
                <w:right w:val="none" w:sz="0" w:space="0" w:color="auto"/>
              </w:divBdr>
              <w:divsChild>
                <w:div w:id="4733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0402">
      <w:bodyDiv w:val="1"/>
      <w:marLeft w:val="0"/>
      <w:marRight w:val="0"/>
      <w:marTop w:val="0"/>
      <w:marBottom w:val="0"/>
      <w:divBdr>
        <w:top w:val="none" w:sz="0" w:space="0" w:color="auto"/>
        <w:left w:val="none" w:sz="0" w:space="0" w:color="auto"/>
        <w:bottom w:val="none" w:sz="0" w:space="0" w:color="auto"/>
        <w:right w:val="none" w:sz="0" w:space="0" w:color="auto"/>
      </w:divBdr>
    </w:div>
    <w:div w:id="260187627">
      <w:bodyDiv w:val="1"/>
      <w:marLeft w:val="0"/>
      <w:marRight w:val="0"/>
      <w:marTop w:val="0"/>
      <w:marBottom w:val="0"/>
      <w:divBdr>
        <w:top w:val="none" w:sz="0" w:space="0" w:color="auto"/>
        <w:left w:val="none" w:sz="0" w:space="0" w:color="auto"/>
        <w:bottom w:val="none" w:sz="0" w:space="0" w:color="auto"/>
        <w:right w:val="none" w:sz="0" w:space="0" w:color="auto"/>
      </w:divBdr>
    </w:div>
    <w:div w:id="304554183">
      <w:bodyDiv w:val="1"/>
      <w:marLeft w:val="0"/>
      <w:marRight w:val="0"/>
      <w:marTop w:val="0"/>
      <w:marBottom w:val="0"/>
      <w:divBdr>
        <w:top w:val="none" w:sz="0" w:space="0" w:color="auto"/>
        <w:left w:val="none" w:sz="0" w:space="0" w:color="auto"/>
        <w:bottom w:val="none" w:sz="0" w:space="0" w:color="auto"/>
        <w:right w:val="none" w:sz="0" w:space="0" w:color="auto"/>
      </w:divBdr>
    </w:div>
    <w:div w:id="312218130">
      <w:bodyDiv w:val="1"/>
      <w:marLeft w:val="0"/>
      <w:marRight w:val="0"/>
      <w:marTop w:val="0"/>
      <w:marBottom w:val="0"/>
      <w:divBdr>
        <w:top w:val="none" w:sz="0" w:space="0" w:color="auto"/>
        <w:left w:val="none" w:sz="0" w:space="0" w:color="auto"/>
        <w:bottom w:val="none" w:sz="0" w:space="0" w:color="auto"/>
        <w:right w:val="none" w:sz="0" w:space="0" w:color="auto"/>
      </w:divBdr>
    </w:div>
    <w:div w:id="323436094">
      <w:bodyDiv w:val="1"/>
      <w:marLeft w:val="0"/>
      <w:marRight w:val="0"/>
      <w:marTop w:val="0"/>
      <w:marBottom w:val="0"/>
      <w:divBdr>
        <w:top w:val="none" w:sz="0" w:space="0" w:color="auto"/>
        <w:left w:val="none" w:sz="0" w:space="0" w:color="auto"/>
        <w:bottom w:val="none" w:sz="0" w:space="0" w:color="auto"/>
        <w:right w:val="none" w:sz="0" w:space="0" w:color="auto"/>
      </w:divBdr>
      <w:divsChild>
        <w:div w:id="1301691707">
          <w:marLeft w:val="0"/>
          <w:marRight w:val="0"/>
          <w:marTop w:val="0"/>
          <w:marBottom w:val="0"/>
          <w:divBdr>
            <w:top w:val="none" w:sz="0" w:space="0" w:color="auto"/>
            <w:left w:val="none" w:sz="0" w:space="0" w:color="auto"/>
            <w:bottom w:val="none" w:sz="0" w:space="0" w:color="auto"/>
            <w:right w:val="none" w:sz="0" w:space="0" w:color="auto"/>
          </w:divBdr>
          <w:divsChild>
            <w:div w:id="749077803">
              <w:marLeft w:val="0"/>
              <w:marRight w:val="0"/>
              <w:marTop w:val="0"/>
              <w:marBottom w:val="0"/>
              <w:divBdr>
                <w:top w:val="none" w:sz="0" w:space="0" w:color="auto"/>
                <w:left w:val="none" w:sz="0" w:space="0" w:color="auto"/>
                <w:bottom w:val="none" w:sz="0" w:space="0" w:color="auto"/>
                <w:right w:val="none" w:sz="0" w:space="0" w:color="auto"/>
              </w:divBdr>
              <w:divsChild>
                <w:div w:id="15890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7247">
      <w:bodyDiv w:val="1"/>
      <w:marLeft w:val="0"/>
      <w:marRight w:val="0"/>
      <w:marTop w:val="0"/>
      <w:marBottom w:val="0"/>
      <w:divBdr>
        <w:top w:val="none" w:sz="0" w:space="0" w:color="auto"/>
        <w:left w:val="none" w:sz="0" w:space="0" w:color="auto"/>
        <w:bottom w:val="none" w:sz="0" w:space="0" w:color="auto"/>
        <w:right w:val="none" w:sz="0" w:space="0" w:color="auto"/>
      </w:divBdr>
    </w:div>
    <w:div w:id="353656363">
      <w:bodyDiv w:val="1"/>
      <w:marLeft w:val="0"/>
      <w:marRight w:val="0"/>
      <w:marTop w:val="0"/>
      <w:marBottom w:val="0"/>
      <w:divBdr>
        <w:top w:val="none" w:sz="0" w:space="0" w:color="auto"/>
        <w:left w:val="none" w:sz="0" w:space="0" w:color="auto"/>
        <w:bottom w:val="none" w:sz="0" w:space="0" w:color="auto"/>
        <w:right w:val="none" w:sz="0" w:space="0" w:color="auto"/>
      </w:divBdr>
      <w:divsChild>
        <w:div w:id="1454472168">
          <w:marLeft w:val="0"/>
          <w:marRight w:val="0"/>
          <w:marTop w:val="0"/>
          <w:marBottom w:val="0"/>
          <w:divBdr>
            <w:top w:val="none" w:sz="0" w:space="0" w:color="auto"/>
            <w:left w:val="none" w:sz="0" w:space="0" w:color="auto"/>
            <w:bottom w:val="none" w:sz="0" w:space="0" w:color="auto"/>
            <w:right w:val="none" w:sz="0" w:space="0" w:color="auto"/>
          </w:divBdr>
          <w:divsChild>
            <w:div w:id="158666301">
              <w:marLeft w:val="0"/>
              <w:marRight w:val="0"/>
              <w:marTop w:val="0"/>
              <w:marBottom w:val="0"/>
              <w:divBdr>
                <w:top w:val="none" w:sz="0" w:space="0" w:color="auto"/>
                <w:left w:val="none" w:sz="0" w:space="0" w:color="auto"/>
                <w:bottom w:val="none" w:sz="0" w:space="0" w:color="auto"/>
                <w:right w:val="none" w:sz="0" w:space="0" w:color="auto"/>
              </w:divBdr>
              <w:divsChild>
                <w:div w:id="14319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3120">
      <w:bodyDiv w:val="1"/>
      <w:marLeft w:val="0"/>
      <w:marRight w:val="0"/>
      <w:marTop w:val="0"/>
      <w:marBottom w:val="0"/>
      <w:divBdr>
        <w:top w:val="none" w:sz="0" w:space="0" w:color="auto"/>
        <w:left w:val="none" w:sz="0" w:space="0" w:color="auto"/>
        <w:bottom w:val="none" w:sz="0" w:space="0" w:color="auto"/>
        <w:right w:val="none" w:sz="0" w:space="0" w:color="auto"/>
      </w:divBdr>
    </w:div>
    <w:div w:id="371225197">
      <w:bodyDiv w:val="1"/>
      <w:marLeft w:val="0"/>
      <w:marRight w:val="0"/>
      <w:marTop w:val="0"/>
      <w:marBottom w:val="0"/>
      <w:divBdr>
        <w:top w:val="none" w:sz="0" w:space="0" w:color="auto"/>
        <w:left w:val="none" w:sz="0" w:space="0" w:color="auto"/>
        <w:bottom w:val="none" w:sz="0" w:space="0" w:color="auto"/>
        <w:right w:val="none" w:sz="0" w:space="0" w:color="auto"/>
      </w:divBdr>
      <w:divsChild>
        <w:div w:id="1494756936">
          <w:marLeft w:val="0"/>
          <w:marRight w:val="0"/>
          <w:marTop w:val="0"/>
          <w:marBottom w:val="0"/>
          <w:divBdr>
            <w:top w:val="none" w:sz="0" w:space="0" w:color="auto"/>
            <w:left w:val="none" w:sz="0" w:space="0" w:color="auto"/>
            <w:bottom w:val="none" w:sz="0" w:space="0" w:color="auto"/>
            <w:right w:val="none" w:sz="0" w:space="0" w:color="auto"/>
          </w:divBdr>
          <w:divsChild>
            <w:div w:id="496532224">
              <w:marLeft w:val="0"/>
              <w:marRight w:val="0"/>
              <w:marTop w:val="0"/>
              <w:marBottom w:val="0"/>
              <w:divBdr>
                <w:top w:val="none" w:sz="0" w:space="0" w:color="auto"/>
                <w:left w:val="none" w:sz="0" w:space="0" w:color="auto"/>
                <w:bottom w:val="none" w:sz="0" w:space="0" w:color="auto"/>
                <w:right w:val="none" w:sz="0" w:space="0" w:color="auto"/>
              </w:divBdr>
              <w:divsChild>
                <w:div w:id="21036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2529">
      <w:bodyDiv w:val="1"/>
      <w:marLeft w:val="0"/>
      <w:marRight w:val="0"/>
      <w:marTop w:val="0"/>
      <w:marBottom w:val="0"/>
      <w:divBdr>
        <w:top w:val="none" w:sz="0" w:space="0" w:color="auto"/>
        <w:left w:val="none" w:sz="0" w:space="0" w:color="auto"/>
        <w:bottom w:val="none" w:sz="0" w:space="0" w:color="auto"/>
        <w:right w:val="none" w:sz="0" w:space="0" w:color="auto"/>
      </w:divBdr>
      <w:divsChild>
        <w:div w:id="419133883">
          <w:marLeft w:val="0"/>
          <w:marRight w:val="0"/>
          <w:marTop w:val="0"/>
          <w:marBottom w:val="0"/>
          <w:divBdr>
            <w:top w:val="none" w:sz="0" w:space="0" w:color="auto"/>
            <w:left w:val="none" w:sz="0" w:space="0" w:color="auto"/>
            <w:bottom w:val="none" w:sz="0" w:space="0" w:color="auto"/>
            <w:right w:val="none" w:sz="0" w:space="0" w:color="auto"/>
          </w:divBdr>
          <w:divsChild>
            <w:div w:id="865141387">
              <w:marLeft w:val="0"/>
              <w:marRight w:val="0"/>
              <w:marTop w:val="0"/>
              <w:marBottom w:val="0"/>
              <w:divBdr>
                <w:top w:val="none" w:sz="0" w:space="0" w:color="auto"/>
                <w:left w:val="none" w:sz="0" w:space="0" w:color="auto"/>
                <w:bottom w:val="none" w:sz="0" w:space="0" w:color="auto"/>
                <w:right w:val="none" w:sz="0" w:space="0" w:color="auto"/>
              </w:divBdr>
              <w:divsChild>
                <w:div w:id="1228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18305">
      <w:bodyDiv w:val="1"/>
      <w:marLeft w:val="0"/>
      <w:marRight w:val="0"/>
      <w:marTop w:val="0"/>
      <w:marBottom w:val="0"/>
      <w:divBdr>
        <w:top w:val="none" w:sz="0" w:space="0" w:color="auto"/>
        <w:left w:val="none" w:sz="0" w:space="0" w:color="auto"/>
        <w:bottom w:val="none" w:sz="0" w:space="0" w:color="auto"/>
        <w:right w:val="none" w:sz="0" w:space="0" w:color="auto"/>
      </w:divBdr>
    </w:div>
    <w:div w:id="394813835">
      <w:bodyDiv w:val="1"/>
      <w:marLeft w:val="0"/>
      <w:marRight w:val="0"/>
      <w:marTop w:val="0"/>
      <w:marBottom w:val="0"/>
      <w:divBdr>
        <w:top w:val="none" w:sz="0" w:space="0" w:color="auto"/>
        <w:left w:val="none" w:sz="0" w:space="0" w:color="auto"/>
        <w:bottom w:val="none" w:sz="0" w:space="0" w:color="auto"/>
        <w:right w:val="none" w:sz="0" w:space="0" w:color="auto"/>
      </w:divBdr>
    </w:div>
    <w:div w:id="430392021">
      <w:bodyDiv w:val="1"/>
      <w:marLeft w:val="0"/>
      <w:marRight w:val="0"/>
      <w:marTop w:val="0"/>
      <w:marBottom w:val="0"/>
      <w:divBdr>
        <w:top w:val="none" w:sz="0" w:space="0" w:color="auto"/>
        <w:left w:val="none" w:sz="0" w:space="0" w:color="auto"/>
        <w:bottom w:val="none" w:sz="0" w:space="0" w:color="auto"/>
        <w:right w:val="none" w:sz="0" w:space="0" w:color="auto"/>
      </w:divBdr>
    </w:div>
    <w:div w:id="435439829">
      <w:bodyDiv w:val="1"/>
      <w:marLeft w:val="0"/>
      <w:marRight w:val="0"/>
      <w:marTop w:val="0"/>
      <w:marBottom w:val="0"/>
      <w:divBdr>
        <w:top w:val="none" w:sz="0" w:space="0" w:color="auto"/>
        <w:left w:val="none" w:sz="0" w:space="0" w:color="auto"/>
        <w:bottom w:val="none" w:sz="0" w:space="0" w:color="auto"/>
        <w:right w:val="none" w:sz="0" w:space="0" w:color="auto"/>
      </w:divBdr>
    </w:div>
    <w:div w:id="484392630">
      <w:bodyDiv w:val="1"/>
      <w:marLeft w:val="0"/>
      <w:marRight w:val="0"/>
      <w:marTop w:val="0"/>
      <w:marBottom w:val="0"/>
      <w:divBdr>
        <w:top w:val="none" w:sz="0" w:space="0" w:color="auto"/>
        <w:left w:val="none" w:sz="0" w:space="0" w:color="auto"/>
        <w:bottom w:val="none" w:sz="0" w:space="0" w:color="auto"/>
        <w:right w:val="none" w:sz="0" w:space="0" w:color="auto"/>
      </w:divBdr>
      <w:divsChild>
        <w:div w:id="2143884500">
          <w:marLeft w:val="0"/>
          <w:marRight w:val="0"/>
          <w:marTop w:val="0"/>
          <w:marBottom w:val="0"/>
          <w:divBdr>
            <w:top w:val="none" w:sz="0" w:space="0" w:color="auto"/>
            <w:left w:val="none" w:sz="0" w:space="0" w:color="auto"/>
            <w:bottom w:val="none" w:sz="0" w:space="0" w:color="auto"/>
            <w:right w:val="none" w:sz="0" w:space="0" w:color="auto"/>
          </w:divBdr>
          <w:divsChild>
            <w:div w:id="1473328755">
              <w:marLeft w:val="0"/>
              <w:marRight w:val="0"/>
              <w:marTop w:val="0"/>
              <w:marBottom w:val="0"/>
              <w:divBdr>
                <w:top w:val="none" w:sz="0" w:space="0" w:color="auto"/>
                <w:left w:val="none" w:sz="0" w:space="0" w:color="auto"/>
                <w:bottom w:val="none" w:sz="0" w:space="0" w:color="auto"/>
                <w:right w:val="none" w:sz="0" w:space="0" w:color="auto"/>
              </w:divBdr>
              <w:divsChild>
                <w:div w:id="9940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2859">
      <w:bodyDiv w:val="1"/>
      <w:marLeft w:val="0"/>
      <w:marRight w:val="0"/>
      <w:marTop w:val="0"/>
      <w:marBottom w:val="0"/>
      <w:divBdr>
        <w:top w:val="none" w:sz="0" w:space="0" w:color="auto"/>
        <w:left w:val="none" w:sz="0" w:space="0" w:color="auto"/>
        <w:bottom w:val="none" w:sz="0" w:space="0" w:color="auto"/>
        <w:right w:val="none" w:sz="0" w:space="0" w:color="auto"/>
      </w:divBdr>
    </w:div>
    <w:div w:id="513883095">
      <w:bodyDiv w:val="1"/>
      <w:marLeft w:val="0"/>
      <w:marRight w:val="0"/>
      <w:marTop w:val="0"/>
      <w:marBottom w:val="0"/>
      <w:divBdr>
        <w:top w:val="none" w:sz="0" w:space="0" w:color="auto"/>
        <w:left w:val="none" w:sz="0" w:space="0" w:color="auto"/>
        <w:bottom w:val="none" w:sz="0" w:space="0" w:color="auto"/>
        <w:right w:val="none" w:sz="0" w:space="0" w:color="auto"/>
      </w:divBdr>
    </w:div>
    <w:div w:id="585502995">
      <w:bodyDiv w:val="1"/>
      <w:marLeft w:val="0"/>
      <w:marRight w:val="0"/>
      <w:marTop w:val="0"/>
      <w:marBottom w:val="0"/>
      <w:divBdr>
        <w:top w:val="none" w:sz="0" w:space="0" w:color="auto"/>
        <w:left w:val="none" w:sz="0" w:space="0" w:color="auto"/>
        <w:bottom w:val="none" w:sz="0" w:space="0" w:color="auto"/>
        <w:right w:val="none" w:sz="0" w:space="0" w:color="auto"/>
      </w:divBdr>
      <w:divsChild>
        <w:div w:id="869493598">
          <w:marLeft w:val="0"/>
          <w:marRight w:val="0"/>
          <w:marTop w:val="0"/>
          <w:marBottom w:val="0"/>
          <w:divBdr>
            <w:top w:val="none" w:sz="0" w:space="0" w:color="auto"/>
            <w:left w:val="none" w:sz="0" w:space="0" w:color="auto"/>
            <w:bottom w:val="none" w:sz="0" w:space="0" w:color="auto"/>
            <w:right w:val="none" w:sz="0" w:space="0" w:color="auto"/>
          </w:divBdr>
          <w:divsChild>
            <w:div w:id="1576162842">
              <w:marLeft w:val="0"/>
              <w:marRight w:val="0"/>
              <w:marTop w:val="0"/>
              <w:marBottom w:val="0"/>
              <w:divBdr>
                <w:top w:val="none" w:sz="0" w:space="0" w:color="auto"/>
                <w:left w:val="none" w:sz="0" w:space="0" w:color="auto"/>
                <w:bottom w:val="none" w:sz="0" w:space="0" w:color="auto"/>
                <w:right w:val="none" w:sz="0" w:space="0" w:color="auto"/>
              </w:divBdr>
              <w:divsChild>
                <w:div w:id="149036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3565">
      <w:bodyDiv w:val="1"/>
      <w:marLeft w:val="0"/>
      <w:marRight w:val="0"/>
      <w:marTop w:val="0"/>
      <w:marBottom w:val="0"/>
      <w:divBdr>
        <w:top w:val="none" w:sz="0" w:space="0" w:color="auto"/>
        <w:left w:val="none" w:sz="0" w:space="0" w:color="auto"/>
        <w:bottom w:val="none" w:sz="0" w:space="0" w:color="auto"/>
        <w:right w:val="none" w:sz="0" w:space="0" w:color="auto"/>
      </w:divBdr>
    </w:div>
    <w:div w:id="587858344">
      <w:bodyDiv w:val="1"/>
      <w:marLeft w:val="0"/>
      <w:marRight w:val="0"/>
      <w:marTop w:val="0"/>
      <w:marBottom w:val="0"/>
      <w:divBdr>
        <w:top w:val="none" w:sz="0" w:space="0" w:color="auto"/>
        <w:left w:val="none" w:sz="0" w:space="0" w:color="auto"/>
        <w:bottom w:val="none" w:sz="0" w:space="0" w:color="auto"/>
        <w:right w:val="none" w:sz="0" w:space="0" w:color="auto"/>
      </w:divBdr>
    </w:div>
    <w:div w:id="595135912">
      <w:bodyDiv w:val="1"/>
      <w:marLeft w:val="0"/>
      <w:marRight w:val="0"/>
      <w:marTop w:val="0"/>
      <w:marBottom w:val="0"/>
      <w:divBdr>
        <w:top w:val="none" w:sz="0" w:space="0" w:color="auto"/>
        <w:left w:val="none" w:sz="0" w:space="0" w:color="auto"/>
        <w:bottom w:val="none" w:sz="0" w:space="0" w:color="auto"/>
        <w:right w:val="none" w:sz="0" w:space="0" w:color="auto"/>
      </w:divBdr>
      <w:divsChild>
        <w:div w:id="1531451548">
          <w:marLeft w:val="0"/>
          <w:marRight w:val="0"/>
          <w:marTop w:val="0"/>
          <w:marBottom w:val="0"/>
          <w:divBdr>
            <w:top w:val="none" w:sz="0" w:space="0" w:color="auto"/>
            <w:left w:val="none" w:sz="0" w:space="0" w:color="auto"/>
            <w:bottom w:val="none" w:sz="0" w:space="0" w:color="auto"/>
            <w:right w:val="none" w:sz="0" w:space="0" w:color="auto"/>
          </w:divBdr>
          <w:divsChild>
            <w:div w:id="1319723781">
              <w:marLeft w:val="0"/>
              <w:marRight w:val="0"/>
              <w:marTop w:val="0"/>
              <w:marBottom w:val="0"/>
              <w:divBdr>
                <w:top w:val="none" w:sz="0" w:space="0" w:color="auto"/>
                <w:left w:val="none" w:sz="0" w:space="0" w:color="auto"/>
                <w:bottom w:val="none" w:sz="0" w:space="0" w:color="auto"/>
                <w:right w:val="none" w:sz="0" w:space="0" w:color="auto"/>
              </w:divBdr>
              <w:divsChild>
                <w:div w:id="3367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3757">
      <w:bodyDiv w:val="1"/>
      <w:marLeft w:val="0"/>
      <w:marRight w:val="0"/>
      <w:marTop w:val="0"/>
      <w:marBottom w:val="0"/>
      <w:divBdr>
        <w:top w:val="none" w:sz="0" w:space="0" w:color="auto"/>
        <w:left w:val="none" w:sz="0" w:space="0" w:color="auto"/>
        <w:bottom w:val="none" w:sz="0" w:space="0" w:color="auto"/>
        <w:right w:val="none" w:sz="0" w:space="0" w:color="auto"/>
      </w:divBdr>
    </w:div>
    <w:div w:id="6317872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400">
          <w:marLeft w:val="0"/>
          <w:marRight w:val="0"/>
          <w:marTop w:val="0"/>
          <w:marBottom w:val="0"/>
          <w:divBdr>
            <w:top w:val="none" w:sz="0" w:space="0" w:color="auto"/>
            <w:left w:val="none" w:sz="0" w:space="0" w:color="auto"/>
            <w:bottom w:val="none" w:sz="0" w:space="0" w:color="auto"/>
            <w:right w:val="none" w:sz="0" w:space="0" w:color="auto"/>
          </w:divBdr>
          <w:divsChild>
            <w:div w:id="688022350">
              <w:marLeft w:val="0"/>
              <w:marRight w:val="0"/>
              <w:marTop w:val="0"/>
              <w:marBottom w:val="0"/>
              <w:divBdr>
                <w:top w:val="none" w:sz="0" w:space="0" w:color="auto"/>
                <w:left w:val="none" w:sz="0" w:space="0" w:color="auto"/>
                <w:bottom w:val="none" w:sz="0" w:space="0" w:color="auto"/>
                <w:right w:val="none" w:sz="0" w:space="0" w:color="auto"/>
              </w:divBdr>
              <w:divsChild>
                <w:div w:id="21252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011">
      <w:bodyDiv w:val="1"/>
      <w:marLeft w:val="0"/>
      <w:marRight w:val="0"/>
      <w:marTop w:val="0"/>
      <w:marBottom w:val="0"/>
      <w:divBdr>
        <w:top w:val="none" w:sz="0" w:space="0" w:color="auto"/>
        <w:left w:val="none" w:sz="0" w:space="0" w:color="auto"/>
        <w:bottom w:val="none" w:sz="0" w:space="0" w:color="auto"/>
        <w:right w:val="none" w:sz="0" w:space="0" w:color="auto"/>
      </w:divBdr>
      <w:divsChild>
        <w:div w:id="2006660998">
          <w:marLeft w:val="0"/>
          <w:marRight w:val="0"/>
          <w:marTop w:val="0"/>
          <w:marBottom w:val="0"/>
          <w:divBdr>
            <w:top w:val="none" w:sz="0" w:space="0" w:color="auto"/>
            <w:left w:val="none" w:sz="0" w:space="0" w:color="auto"/>
            <w:bottom w:val="none" w:sz="0" w:space="0" w:color="auto"/>
            <w:right w:val="none" w:sz="0" w:space="0" w:color="auto"/>
          </w:divBdr>
          <w:divsChild>
            <w:div w:id="592207138">
              <w:marLeft w:val="0"/>
              <w:marRight w:val="0"/>
              <w:marTop w:val="0"/>
              <w:marBottom w:val="0"/>
              <w:divBdr>
                <w:top w:val="none" w:sz="0" w:space="0" w:color="auto"/>
                <w:left w:val="none" w:sz="0" w:space="0" w:color="auto"/>
                <w:bottom w:val="none" w:sz="0" w:space="0" w:color="auto"/>
                <w:right w:val="none" w:sz="0" w:space="0" w:color="auto"/>
              </w:divBdr>
              <w:divsChild>
                <w:div w:id="46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0396">
      <w:bodyDiv w:val="1"/>
      <w:marLeft w:val="0"/>
      <w:marRight w:val="0"/>
      <w:marTop w:val="0"/>
      <w:marBottom w:val="0"/>
      <w:divBdr>
        <w:top w:val="none" w:sz="0" w:space="0" w:color="auto"/>
        <w:left w:val="none" w:sz="0" w:space="0" w:color="auto"/>
        <w:bottom w:val="none" w:sz="0" w:space="0" w:color="auto"/>
        <w:right w:val="none" w:sz="0" w:space="0" w:color="auto"/>
      </w:divBdr>
      <w:divsChild>
        <w:div w:id="359404302">
          <w:marLeft w:val="0"/>
          <w:marRight w:val="0"/>
          <w:marTop w:val="0"/>
          <w:marBottom w:val="0"/>
          <w:divBdr>
            <w:top w:val="none" w:sz="0" w:space="0" w:color="auto"/>
            <w:left w:val="none" w:sz="0" w:space="0" w:color="auto"/>
            <w:bottom w:val="none" w:sz="0" w:space="0" w:color="auto"/>
            <w:right w:val="none" w:sz="0" w:space="0" w:color="auto"/>
          </w:divBdr>
        </w:div>
        <w:div w:id="2137483032">
          <w:marLeft w:val="0"/>
          <w:marRight w:val="0"/>
          <w:marTop w:val="0"/>
          <w:marBottom w:val="0"/>
          <w:divBdr>
            <w:top w:val="none" w:sz="0" w:space="0" w:color="auto"/>
            <w:left w:val="none" w:sz="0" w:space="0" w:color="auto"/>
            <w:bottom w:val="none" w:sz="0" w:space="0" w:color="auto"/>
            <w:right w:val="none" w:sz="0" w:space="0" w:color="auto"/>
          </w:divBdr>
        </w:div>
      </w:divsChild>
    </w:div>
    <w:div w:id="658655189">
      <w:bodyDiv w:val="1"/>
      <w:marLeft w:val="0"/>
      <w:marRight w:val="0"/>
      <w:marTop w:val="0"/>
      <w:marBottom w:val="0"/>
      <w:divBdr>
        <w:top w:val="none" w:sz="0" w:space="0" w:color="auto"/>
        <w:left w:val="none" w:sz="0" w:space="0" w:color="auto"/>
        <w:bottom w:val="none" w:sz="0" w:space="0" w:color="auto"/>
        <w:right w:val="none" w:sz="0" w:space="0" w:color="auto"/>
      </w:divBdr>
      <w:divsChild>
        <w:div w:id="1525170061">
          <w:marLeft w:val="0"/>
          <w:marRight w:val="0"/>
          <w:marTop w:val="0"/>
          <w:marBottom w:val="0"/>
          <w:divBdr>
            <w:top w:val="none" w:sz="0" w:space="0" w:color="auto"/>
            <w:left w:val="none" w:sz="0" w:space="0" w:color="auto"/>
            <w:bottom w:val="none" w:sz="0" w:space="0" w:color="auto"/>
            <w:right w:val="none" w:sz="0" w:space="0" w:color="auto"/>
          </w:divBdr>
          <w:divsChild>
            <w:div w:id="1687561941">
              <w:marLeft w:val="0"/>
              <w:marRight w:val="0"/>
              <w:marTop w:val="0"/>
              <w:marBottom w:val="0"/>
              <w:divBdr>
                <w:top w:val="none" w:sz="0" w:space="0" w:color="auto"/>
                <w:left w:val="none" w:sz="0" w:space="0" w:color="auto"/>
                <w:bottom w:val="none" w:sz="0" w:space="0" w:color="auto"/>
                <w:right w:val="none" w:sz="0" w:space="0" w:color="auto"/>
              </w:divBdr>
              <w:divsChild>
                <w:div w:id="9751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3408">
      <w:bodyDiv w:val="1"/>
      <w:marLeft w:val="0"/>
      <w:marRight w:val="0"/>
      <w:marTop w:val="0"/>
      <w:marBottom w:val="0"/>
      <w:divBdr>
        <w:top w:val="none" w:sz="0" w:space="0" w:color="auto"/>
        <w:left w:val="none" w:sz="0" w:space="0" w:color="auto"/>
        <w:bottom w:val="none" w:sz="0" w:space="0" w:color="auto"/>
        <w:right w:val="none" w:sz="0" w:space="0" w:color="auto"/>
      </w:divBdr>
    </w:div>
    <w:div w:id="705251380">
      <w:bodyDiv w:val="1"/>
      <w:marLeft w:val="0"/>
      <w:marRight w:val="0"/>
      <w:marTop w:val="0"/>
      <w:marBottom w:val="0"/>
      <w:divBdr>
        <w:top w:val="none" w:sz="0" w:space="0" w:color="auto"/>
        <w:left w:val="none" w:sz="0" w:space="0" w:color="auto"/>
        <w:bottom w:val="none" w:sz="0" w:space="0" w:color="auto"/>
        <w:right w:val="none" w:sz="0" w:space="0" w:color="auto"/>
      </w:divBdr>
    </w:div>
    <w:div w:id="719593320">
      <w:bodyDiv w:val="1"/>
      <w:marLeft w:val="0"/>
      <w:marRight w:val="0"/>
      <w:marTop w:val="0"/>
      <w:marBottom w:val="0"/>
      <w:divBdr>
        <w:top w:val="none" w:sz="0" w:space="0" w:color="auto"/>
        <w:left w:val="none" w:sz="0" w:space="0" w:color="auto"/>
        <w:bottom w:val="none" w:sz="0" w:space="0" w:color="auto"/>
        <w:right w:val="none" w:sz="0" w:space="0" w:color="auto"/>
      </w:divBdr>
      <w:divsChild>
        <w:div w:id="1275137289">
          <w:marLeft w:val="0"/>
          <w:marRight w:val="0"/>
          <w:marTop w:val="0"/>
          <w:marBottom w:val="0"/>
          <w:divBdr>
            <w:top w:val="none" w:sz="0" w:space="0" w:color="auto"/>
            <w:left w:val="none" w:sz="0" w:space="0" w:color="auto"/>
            <w:bottom w:val="none" w:sz="0" w:space="0" w:color="auto"/>
            <w:right w:val="none" w:sz="0" w:space="0" w:color="auto"/>
          </w:divBdr>
          <w:divsChild>
            <w:div w:id="836384574">
              <w:marLeft w:val="0"/>
              <w:marRight w:val="0"/>
              <w:marTop w:val="0"/>
              <w:marBottom w:val="0"/>
              <w:divBdr>
                <w:top w:val="none" w:sz="0" w:space="0" w:color="auto"/>
                <w:left w:val="none" w:sz="0" w:space="0" w:color="auto"/>
                <w:bottom w:val="none" w:sz="0" w:space="0" w:color="auto"/>
                <w:right w:val="none" w:sz="0" w:space="0" w:color="auto"/>
              </w:divBdr>
              <w:divsChild>
                <w:div w:id="2976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2129">
      <w:bodyDiv w:val="1"/>
      <w:marLeft w:val="0"/>
      <w:marRight w:val="0"/>
      <w:marTop w:val="0"/>
      <w:marBottom w:val="0"/>
      <w:divBdr>
        <w:top w:val="none" w:sz="0" w:space="0" w:color="auto"/>
        <w:left w:val="none" w:sz="0" w:space="0" w:color="auto"/>
        <w:bottom w:val="none" w:sz="0" w:space="0" w:color="auto"/>
        <w:right w:val="none" w:sz="0" w:space="0" w:color="auto"/>
      </w:divBdr>
    </w:div>
    <w:div w:id="728843195">
      <w:bodyDiv w:val="1"/>
      <w:marLeft w:val="0"/>
      <w:marRight w:val="0"/>
      <w:marTop w:val="0"/>
      <w:marBottom w:val="0"/>
      <w:divBdr>
        <w:top w:val="none" w:sz="0" w:space="0" w:color="auto"/>
        <w:left w:val="none" w:sz="0" w:space="0" w:color="auto"/>
        <w:bottom w:val="none" w:sz="0" w:space="0" w:color="auto"/>
        <w:right w:val="none" w:sz="0" w:space="0" w:color="auto"/>
      </w:divBdr>
      <w:divsChild>
        <w:div w:id="1391032770">
          <w:marLeft w:val="0"/>
          <w:marRight w:val="0"/>
          <w:marTop w:val="0"/>
          <w:marBottom w:val="0"/>
          <w:divBdr>
            <w:top w:val="none" w:sz="0" w:space="0" w:color="auto"/>
            <w:left w:val="none" w:sz="0" w:space="0" w:color="auto"/>
            <w:bottom w:val="none" w:sz="0" w:space="0" w:color="auto"/>
            <w:right w:val="none" w:sz="0" w:space="0" w:color="auto"/>
          </w:divBdr>
          <w:divsChild>
            <w:div w:id="1646276553">
              <w:marLeft w:val="0"/>
              <w:marRight w:val="0"/>
              <w:marTop w:val="0"/>
              <w:marBottom w:val="0"/>
              <w:divBdr>
                <w:top w:val="none" w:sz="0" w:space="0" w:color="auto"/>
                <w:left w:val="none" w:sz="0" w:space="0" w:color="auto"/>
                <w:bottom w:val="none" w:sz="0" w:space="0" w:color="auto"/>
                <w:right w:val="none" w:sz="0" w:space="0" w:color="auto"/>
              </w:divBdr>
              <w:divsChild>
                <w:div w:id="8852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7513">
      <w:bodyDiv w:val="1"/>
      <w:marLeft w:val="0"/>
      <w:marRight w:val="0"/>
      <w:marTop w:val="0"/>
      <w:marBottom w:val="0"/>
      <w:divBdr>
        <w:top w:val="none" w:sz="0" w:space="0" w:color="auto"/>
        <w:left w:val="none" w:sz="0" w:space="0" w:color="auto"/>
        <w:bottom w:val="none" w:sz="0" w:space="0" w:color="auto"/>
        <w:right w:val="none" w:sz="0" w:space="0" w:color="auto"/>
      </w:divBdr>
      <w:divsChild>
        <w:div w:id="262154478">
          <w:marLeft w:val="0"/>
          <w:marRight w:val="0"/>
          <w:marTop w:val="0"/>
          <w:marBottom w:val="0"/>
          <w:divBdr>
            <w:top w:val="none" w:sz="0" w:space="0" w:color="auto"/>
            <w:left w:val="none" w:sz="0" w:space="0" w:color="auto"/>
            <w:bottom w:val="none" w:sz="0" w:space="0" w:color="auto"/>
            <w:right w:val="none" w:sz="0" w:space="0" w:color="auto"/>
          </w:divBdr>
        </w:div>
        <w:div w:id="1051074984">
          <w:marLeft w:val="0"/>
          <w:marRight w:val="0"/>
          <w:marTop w:val="0"/>
          <w:marBottom w:val="0"/>
          <w:divBdr>
            <w:top w:val="none" w:sz="0" w:space="0" w:color="auto"/>
            <w:left w:val="none" w:sz="0" w:space="0" w:color="auto"/>
            <w:bottom w:val="none" w:sz="0" w:space="0" w:color="auto"/>
            <w:right w:val="none" w:sz="0" w:space="0" w:color="auto"/>
          </w:divBdr>
          <w:divsChild>
            <w:div w:id="1002859833">
              <w:marLeft w:val="0"/>
              <w:marRight w:val="0"/>
              <w:marTop w:val="0"/>
              <w:marBottom w:val="0"/>
              <w:divBdr>
                <w:top w:val="none" w:sz="0" w:space="0" w:color="auto"/>
                <w:left w:val="none" w:sz="0" w:space="0" w:color="auto"/>
                <w:bottom w:val="none" w:sz="0" w:space="0" w:color="auto"/>
                <w:right w:val="none" w:sz="0" w:space="0" w:color="auto"/>
              </w:divBdr>
            </w:div>
          </w:divsChild>
        </w:div>
        <w:div w:id="1541697854">
          <w:marLeft w:val="0"/>
          <w:marRight w:val="0"/>
          <w:marTop w:val="0"/>
          <w:marBottom w:val="0"/>
          <w:divBdr>
            <w:top w:val="none" w:sz="0" w:space="0" w:color="auto"/>
            <w:left w:val="none" w:sz="0" w:space="0" w:color="auto"/>
            <w:bottom w:val="none" w:sz="0" w:space="0" w:color="auto"/>
            <w:right w:val="none" w:sz="0" w:space="0" w:color="auto"/>
          </w:divBdr>
        </w:div>
      </w:divsChild>
    </w:div>
    <w:div w:id="750977026">
      <w:bodyDiv w:val="1"/>
      <w:marLeft w:val="0"/>
      <w:marRight w:val="0"/>
      <w:marTop w:val="0"/>
      <w:marBottom w:val="0"/>
      <w:divBdr>
        <w:top w:val="none" w:sz="0" w:space="0" w:color="auto"/>
        <w:left w:val="none" w:sz="0" w:space="0" w:color="auto"/>
        <w:bottom w:val="none" w:sz="0" w:space="0" w:color="auto"/>
        <w:right w:val="none" w:sz="0" w:space="0" w:color="auto"/>
      </w:divBdr>
    </w:div>
    <w:div w:id="758523819">
      <w:bodyDiv w:val="1"/>
      <w:marLeft w:val="0"/>
      <w:marRight w:val="0"/>
      <w:marTop w:val="0"/>
      <w:marBottom w:val="0"/>
      <w:divBdr>
        <w:top w:val="none" w:sz="0" w:space="0" w:color="auto"/>
        <w:left w:val="none" w:sz="0" w:space="0" w:color="auto"/>
        <w:bottom w:val="none" w:sz="0" w:space="0" w:color="auto"/>
        <w:right w:val="none" w:sz="0" w:space="0" w:color="auto"/>
      </w:divBdr>
    </w:div>
    <w:div w:id="763186029">
      <w:bodyDiv w:val="1"/>
      <w:marLeft w:val="0"/>
      <w:marRight w:val="0"/>
      <w:marTop w:val="0"/>
      <w:marBottom w:val="0"/>
      <w:divBdr>
        <w:top w:val="none" w:sz="0" w:space="0" w:color="auto"/>
        <w:left w:val="none" w:sz="0" w:space="0" w:color="auto"/>
        <w:bottom w:val="none" w:sz="0" w:space="0" w:color="auto"/>
        <w:right w:val="none" w:sz="0" w:space="0" w:color="auto"/>
      </w:divBdr>
    </w:div>
    <w:div w:id="788204298">
      <w:bodyDiv w:val="1"/>
      <w:marLeft w:val="0"/>
      <w:marRight w:val="0"/>
      <w:marTop w:val="0"/>
      <w:marBottom w:val="0"/>
      <w:divBdr>
        <w:top w:val="none" w:sz="0" w:space="0" w:color="auto"/>
        <w:left w:val="none" w:sz="0" w:space="0" w:color="auto"/>
        <w:bottom w:val="none" w:sz="0" w:space="0" w:color="auto"/>
        <w:right w:val="none" w:sz="0" w:space="0" w:color="auto"/>
      </w:divBdr>
      <w:divsChild>
        <w:div w:id="2000839224">
          <w:marLeft w:val="0"/>
          <w:marRight w:val="0"/>
          <w:marTop w:val="0"/>
          <w:marBottom w:val="0"/>
          <w:divBdr>
            <w:top w:val="none" w:sz="0" w:space="0" w:color="auto"/>
            <w:left w:val="none" w:sz="0" w:space="0" w:color="auto"/>
            <w:bottom w:val="none" w:sz="0" w:space="0" w:color="auto"/>
            <w:right w:val="none" w:sz="0" w:space="0" w:color="auto"/>
          </w:divBdr>
          <w:divsChild>
            <w:div w:id="1767190875">
              <w:marLeft w:val="0"/>
              <w:marRight w:val="0"/>
              <w:marTop w:val="0"/>
              <w:marBottom w:val="0"/>
              <w:divBdr>
                <w:top w:val="none" w:sz="0" w:space="0" w:color="auto"/>
                <w:left w:val="none" w:sz="0" w:space="0" w:color="auto"/>
                <w:bottom w:val="none" w:sz="0" w:space="0" w:color="auto"/>
                <w:right w:val="none" w:sz="0" w:space="0" w:color="auto"/>
              </w:divBdr>
              <w:divsChild>
                <w:div w:id="475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70616">
      <w:bodyDiv w:val="1"/>
      <w:marLeft w:val="0"/>
      <w:marRight w:val="0"/>
      <w:marTop w:val="0"/>
      <w:marBottom w:val="0"/>
      <w:divBdr>
        <w:top w:val="none" w:sz="0" w:space="0" w:color="auto"/>
        <w:left w:val="none" w:sz="0" w:space="0" w:color="auto"/>
        <w:bottom w:val="none" w:sz="0" w:space="0" w:color="auto"/>
        <w:right w:val="none" w:sz="0" w:space="0" w:color="auto"/>
      </w:divBdr>
    </w:div>
    <w:div w:id="828641759">
      <w:bodyDiv w:val="1"/>
      <w:marLeft w:val="0"/>
      <w:marRight w:val="0"/>
      <w:marTop w:val="0"/>
      <w:marBottom w:val="0"/>
      <w:divBdr>
        <w:top w:val="none" w:sz="0" w:space="0" w:color="auto"/>
        <w:left w:val="none" w:sz="0" w:space="0" w:color="auto"/>
        <w:bottom w:val="none" w:sz="0" w:space="0" w:color="auto"/>
        <w:right w:val="none" w:sz="0" w:space="0" w:color="auto"/>
      </w:divBdr>
    </w:div>
    <w:div w:id="901670484">
      <w:bodyDiv w:val="1"/>
      <w:marLeft w:val="0"/>
      <w:marRight w:val="0"/>
      <w:marTop w:val="0"/>
      <w:marBottom w:val="0"/>
      <w:divBdr>
        <w:top w:val="none" w:sz="0" w:space="0" w:color="auto"/>
        <w:left w:val="none" w:sz="0" w:space="0" w:color="auto"/>
        <w:bottom w:val="none" w:sz="0" w:space="0" w:color="auto"/>
        <w:right w:val="none" w:sz="0" w:space="0" w:color="auto"/>
      </w:divBdr>
      <w:divsChild>
        <w:div w:id="1829784556">
          <w:marLeft w:val="0"/>
          <w:marRight w:val="0"/>
          <w:marTop w:val="0"/>
          <w:marBottom w:val="0"/>
          <w:divBdr>
            <w:top w:val="none" w:sz="0" w:space="0" w:color="auto"/>
            <w:left w:val="none" w:sz="0" w:space="0" w:color="auto"/>
            <w:bottom w:val="none" w:sz="0" w:space="0" w:color="auto"/>
            <w:right w:val="none" w:sz="0" w:space="0" w:color="auto"/>
          </w:divBdr>
          <w:divsChild>
            <w:div w:id="429400719">
              <w:marLeft w:val="0"/>
              <w:marRight w:val="0"/>
              <w:marTop w:val="0"/>
              <w:marBottom w:val="0"/>
              <w:divBdr>
                <w:top w:val="none" w:sz="0" w:space="0" w:color="auto"/>
                <w:left w:val="none" w:sz="0" w:space="0" w:color="auto"/>
                <w:bottom w:val="none" w:sz="0" w:space="0" w:color="auto"/>
                <w:right w:val="none" w:sz="0" w:space="0" w:color="auto"/>
              </w:divBdr>
              <w:divsChild>
                <w:div w:id="18922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9236">
      <w:bodyDiv w:val="1"/>
      <w:marLeft w:val="0"/>
      <w:marRight w:val="0"/>
      <w:marTop w:val="0"/>
      <w:marBottom w:val="0"/>
      <w:divBdr>
        <w:top w:val="none" w:sz="0" w:space="0" w:color="auto"/>
        <w:left w:val="none" w:sz="0" w:space="0" w:color="auto"/>
        <w:bottom w:val="none" w:sz="0" w:space="0" w:color="auto"/>
        <w:right w:val="none" w:sz="0" w:space="0" w:color="auto"/>
      </w:divBdr>
    </w:div>
    <w:div w:id="934747703">
      <w:bodyDiv w:val="1"/>
      <w:marLeft w:val="0"/>
      <w:marRight w:val="0"/>
      <w:marTop w:val="0"/>
      <w:marBottom w:val="0"/>
      <w:divBdr>
        <w:top w:val="none" w:sz="0" w:space="0" w:color="auto"/>
        <w:left w:val="none" w:sz="0" w:space="0" w:color="auto"/>
        <w:bottom w:val="none" w:sz="0" w:space="0" w:color="auto"/>
        <w:right w:val="none" w:sz="0" w:space="0" w:color="auto"/>
      </w:divBdr>
    </w:div>
    <w:div w:id="946305181">
      <w:bodyDiv w:val="1"/>
      <w:marLeft w:val="0"/>
      <w:marRight w:val="0"/>
      <w:marTop w:val="0"/>
      <w:marBottom w:val="0"/>
      <w:divBdr>
        <w:top w:val="none" w:sz="0" w:space="0" w:color="auto"/>
        <w:left w:val="none" w:sz="0" w:space="0" w:color="auto"/>
        <w:bottom w:val="none" w:sz="0" w:space="0" w:color="auto"/>
        <w:right w:val="none" w:sz="0" w:space="0" w:color="auto"/>
      </w:divBdr>
      <w:divsChild>
        <w:div w:id="1793740994">
          <w:marLeft w:val="0"/>
          <w:marRight w:val="0"/>
          <w:marTop w:val="0"/>
          <w:marBottom w:val="0"/>
          <w:divBdr>
            <w:top w:val="none" w:sz="0" w:space="0" w:color="auto"/>
            <w:left w:val="none" w:sz="0" w:space="0" w:color="auto"/>
            <w:bottom w:val="none" w:sz="0" w:space="0" w:color="auto"/>
            <w:right w:val="none" w:sz="0" w:space="0" w:color="auto"/>
          </w:divBdr>
          <w:divsChild>
            <w:div w:id="221908262">
              <w:marLeft w:val="0"/>
              <w:marRight w:val="0"/>
              <w:marTop w:val="0"/>
              <w:marBottom w:val="0"/>
              <w:divBdr>
                <w:top w:val="none" w:sz="0" w:space="0" w:color="auto"/>
                <w:left w:val="none" w:sz="0" w:space="0" w:color="auto"/>
                <w:bottom w:val="none" w:sz="0" w:space="0" w:color="auto"/>
                <w:right w:val="none" w:sz="0" w:space="0" w:color="auto"/>
              </w:divBdr>
              <w:divsChild>
                <w:div w:id="15332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9904">
      <w:bodyDiv w:val="1"/>
      <w:marLeft w:val="0"/>
      <w:marRight w:val="0"/>
      <w:marTop w:val="0"/>
      <w:marBottom w:val="0"/>
      <w:divBdr>
        <w:top w:val="none" w:sz="0" w:space="0" w:color="auto"/>
        <w:left w:val="none" w:sz="0" w:space="0" w:color="auto"/>
        <w:bottom w:val="none" w:sz="0" w:space="0" w:color="auto"/>
        <w:right w:val="none" w:sz="0" w:space="0" w:color="auto"/>
      </w:divBdr>
      <w:divsChild>
        <w:div w:id="2031686579">
          <w:marLeft w:val="0"/>
          <w:marRight w:val="0"/>
          <w:marTop w:val="0"/>
          <w:marBottom w:val="0"/>
          <w:divBdr>
            <w:top w:val="none" w:sz="0" w:space="0" w:color="auto"/>
            <w:left w:val="none" w:sz="0" w:space="0" w:color="auto"/>
            <w:bottom w:val="none" w:sz="0" w:space="0" w:color="auto"/>
            <w:right w:val="none" w:sz="0" w:space="0" w:color="auto"/>
          </w:divBdr>
          <w:divsChild>
            <w:div w:id="687026676">
              <w:marLeft w:val="0"/>
              <w:marRight w:val="0"/>
              <w:marTop w:val="0"/>
              <w:marBottom w:val="0"/>
              <w:divBdr>
                <w:top w:val="none" w:sz="0" w:space="0" w:color="auto"/>
                <w:left w:val="none" w:sz="0" w:space="0" w:color="auto"/>
                <w:bottom w:val="none" w:sz="0" w:space="0" w:color="auto"/>
                <w:right w:val="none" w:sz="0" w:space="0" w:color="auto"/>
              </w:divBdr>
              <w:divsChild>
                <w:div w:id="13065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6647">
      <w:bodyDiv w:val="1"/>
      <w:marLeft w:val="0"/>
      <w:marRight w:val="0"/>
      <w:marTop w:val="0"/>
      <w:marBottom w:val="0"/>
      <w:divBdr>
        <w:top w:val="none" w:sz="0" w:space="0" w:color="auto"/>
        <w:left w:val="none" w:sz="0" w:space="0" w:color="auto"/>
        <w:bottom w:val="none" w:sz="0" w:space="0" w:color="auto"/>
        <w:right w:val="none" w:sz="0" w:space="0" w:color="auto"/>
      </w:divBdr>
    </w:div>
    <w:div w:id="985428349">
      <w:bodyDiv w:val="1"/>
      <w:marLeft w:val="0"/>
      <w:marRight w:val="0"/>
      <w:marTop w:val="0"/>
      <w:marBottom w:val="0"/>
      <w:divBdr>
        <w:top w:val="none" w:sz="0" w:space="0" w:color="auto"/>
        <w:left w:val="none" w:sz="0" w:space="0" w:color="auto"/>
        <w:bottom w:val="none" w:sz="0" w:space="0" w:color="auto"/>
        <w:right w:val="none" w:sz="0" w:space="0" w:color="auto"/>
      </w:divBdr>
    </w:div>
    <w:div w:id="1004555788">
      <w:bodyDiv w:val="1"/>
      <w:marLeft w:val="0"/>
      <w:marRight w:val="0"/>
      <w:marTop w:val="0"/>
      <w:marBottom w:val="0"/>
      <w:divBdr>
        <w:top w:val="none" w:sz="0" w:space="0" w:color="auto"/>
        <w:left w:val="none" w:sz="0" w:space="0" w:color="auto"/>
        <w:bottom w:val="none" w:sz="0" w:space="0" w:color="auto"/>
        <w:right w:val="none" w:sz="0" w:space="0" w:color="auto"/>
      </w:divBdr>
    </w:div>
    <w:div w:id="1006706642">
      <w:bodyDiv w:val="1"/>
      <w:marLeft w:val="0"/>
      <w:marRight w:val="0"/>
      <w:marTop w:val="0"/>
      <w:marBottom w:val="0"/>
      <w:divBdr>
        <w:top w:val="none" w:sz="0" w:space="0" w:color="auto"/>
        <w:left w:val="none" w:sz="0" w:space="0" w:color="auto"/>
        <w:bottom w:val="none" w:sz="0" w:space="0" w:color="auto"/>
        <w:right w:val="none" w:sz="0" w:space="0" w:color="auto"/>
      </w:divBdr>
    </w:div>
    <w:div w:id="1098407439">
      <w:bodyDiv w:val="1"/>
      <w:marLeft w:val="0"/>
      <w:marRight w:val="0"/>
      <w:marTop w:val="0"/>
      <w:marBottom w:val="0"/>
      <w:divBdr>
        <w:top w:val="none" w:sz="0" w:space="0" w:color="auto"/>
        <w:left w:val="none" w:sz="0" w:space="0" w:color="auto"/>
        <w:bottom w:val="none" w:sz="0" w:space="0" w:color="auto"/>
        <w:right w:val="none" w:sz="0" w:space="0" w:color="auto"/>
      </w:divBdr>
    </w:div>
    <w:div w:id="1107577715">
      <w:bodyDiv w:val="1"/>
      <w:marLeft w:val="0"/>
      <w:marRight w:val="0"/>
      <w:marTop w:val="0"/>
      <w:marBottom w:val="0"/>
      <w:divBdr>
        <w:top w:val="none" w:sz="0" w:space="0" w:color="auto"/>
        <w:left w:val="none" w:sz="0" w:space="0" w:color="auto"/>
        <w:bottom w:val="none" w:sz="0" w:space="0" w:color="auto"/>
        <w:right w:val="none" w:sz="0" w:space="0" w:color="auto"/>
      </w:divBdr>
      <w:divsChild>
        <w:div w:id="765225973">
          <w:marLeft w:val="0"/>
          <w:marRight w:val="0"/>
          <w:marTop w:val="0"/>
          <w:marBottom w:val="0"/>
          <w:divBdr>
            <w:top w:val="none" w:sz="0" w:space="0" w:color="auto"/>
            <w:left w:val="none" w:sz="0" w:space="0" w:color="auto"/>
            <w:bottom w:val="none" w:sz="0" w:space="0" w:color="auto"/>
            <w:right w:val="none" w:sz="0" w:space="0" w:color="auto"/>
          </w:divBdr>
          <w:divsChild>
            <w:div w:id="2129930484">
              <w:marLeft w:val="0"/>
              <w:marRight w:val="0"/>
              <w:marTop w:val="0"/>
              <w:marBottom w:val="0"/>
              <w:divBdr>
                <w:top w:val="none" w:sz="0" w:space="0" w:color="auto"/>
                <w:left w:val="none" w:sz="0" w:space="0" w:color="auto"/>
                <w:bottom w:val="none" w:sz="0" w:space="0" w:color="auto"/>
                <w:right w:val="none" w:sz="0" w:space="0" w:color="auto"/>
              </w:divBdr>
              <w:divsChild>
                <w:div w:id="784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1244">
      <w:bodyDiv w:val="1"/>
      <w:marLeft w:val="0"/>
      <w:marRight w:val="0"/>
      <w:marTop w:val="0"/>
      <w:marBottom w:val="0"/>
      <w:divBdr>
        <w:top w:val="none" w:sz="0" w:space="0" w:color="auto"/>
        <w:left w:val="none" w:sz="0" w:space="0" w:color="auto"/>
        <w:bottom w:val="none" w:sz="0" w:space="0" w:color="auto"/>
        <w:right w:val="none" w:sz="0" w:space="0" w:color="auto"/>
      </w:divBdr>
    </w:div>
    <w:div w:id="1130514397">
      <w:bodyDiv w:val="1"/>
      <w:marLeft w:val="0"/>
      <w:marRight w:val="0"/>
      <w:marTop w:val="0"/>
      <w:marBottom w:val="0"/>
      <w:divBdr>
        <w:top w:val="none" w:sz="0" w:space="0" w:color="auto"/>
        <w:left w:val="none" w:sz="0" w:space="0" w:color="auto"/>
        <w:bottom w:val="none" w:sz="0" w:space="0" w:color="auto"/>
        <w:right w:val="none" w:sz="0" w:space="0" w:color="auto"/>
      </w:divBdr>
      <w:divsChild>
        <w:div w:id="301617826">
          <w:marLeft w:val="0"/>
          <w:marRight w:val="0"/>
          <w:marTop w:val="0"/>
          <w:marBottom w:val="0"/>
          <w:divBdr>
            <w:top w:val="none" w:sz="0" w:space="0" w:color="auto"/>
            <w:left w:val="none" w:sz="0" w:space="0" w:color="auto"/>
            <w:bottom w:val="none" w:sz="0" w:space="0" w:color="auto"/>
            <w:right w:val="none" w:sz="0" w:space="0" w:color="auto"/>
          </w:divBdr>
          <w:divsChild>
            <w:div w:id="560360362">
              <w:marLeft w:val="0"/>
              <w:marRight w:val="0"/>
              <w:marTop w:val="0"/>
              <w:marBottom w:val="0"/>
              <w:divBdr>
                <w:top w:val="none" w:sz="0" w:space="0" w:color="auto"/>
                <w:left w:val="none" w:sz="0" w:space="0" w:color="auto"/>
                <w:bottom w:val="none" w:sz="0" w:space="0" w:color="auto"/>
                <w:right w:val="none" w:sz="0" w:space="0" w:color="auto"/>
              </w:divBdr>
              <w:divsChild>
                <w:div w:id="1886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40155">
      <w:bodyDiv w:val="1"/>
      <w:marLeft w:val="0"/>
      <w:marRight w:val="0"/>
      <w:marTop w:val="0"/>
      <w:marBottom w:val="0"/>
      <w:divBdr>
        <w:top w:val="none" w:sz="0" w:space="0" w:color="auto"/>
        <w:left w:val="none" w:sz="0" w:space="0" w:color="auto"/>
        <w:bottom w:val="none" w:sz="0" w:space="0" w:color="auto"/>
        <w:right w:val="none" w:sz="0" w:space="0" w:color="auto"/>
      </w:divBdr>
    </w:div>
    <w:div w:id="1139344400">
      <w:bodyDiv w:val="1"/>
      <w:marLeft w:val="0"/>
      <w:marRight w:val="0"/>
      <w:marTop w:val="0"/>
      <w:marBottom w:val="0"/>
      <w:divBdr>
        <w:top w:val="none" w:sz="0" w:space="0" w:color="auto"/>
        <w:left w:val="none" w:sz="0" w:space="0" w:color="auto"/>
        <w:bottom w:val="none" w:sz="0" w:space="0" w:color="auto"/>
        <w:right w:val="none" w:sz="0" w:space="0" w:color="auto"/>
      </w:divBdr>
    </w:div>
    <w:div w:id="1142845369">
      <w:bodyDiv w:val="1"/>
      <w:marLeft w:val="0"/>
      <w:marRight w:val="0"/>
      <w:marTop w:val="0"/>
      <w:marBottom w:val="0"/>
      <w:divBdr>
        <w:top w:val="none" w:sz="0" w:space="0" w:color="auto"/>
        <w:left w:val="none" w:sz="0" w:space="0" w:color="auto"/>
        <w:bottom w:val="none" w:sz="0" w:space="0" w:color="auto"/>
        <w:right w:val="none" w:sz="0" w:space="0" w:color="auto"/>
      </w:divBdr>
    </w:div>
    <w:div w:id="1156533599">
      <w:bodyDiv w:val="1"/>
      <w:marLeft w:val="0"/>
      <w:marRight w:val="0"/>
      <w:marTop w:val="0"/>
      <w:marBottom w:val="0"/>
      <w:divBdr>
        <w:top w:val="none" w:sz="0" w:space="0" w:color="auto"/>
        <w:left w:val="none" w:sz="0" w:space="0" w:color="auto"/>
        <w:bottom w:val="none" w:sz="0" w:space="0" w:color="auto"/>
        <w:right w:val="none" w:sz="0" w:space="0" w:color="auto"/>
      </w:divBdr>
      <w:divsChild>
        <w:div w:id="1751848603">
          <w:marLeft w:val="0"/>
          <w:marRight w:val="0"/>
          <w:marTop w:val="0"/>
          <w:marBottom w:val="0"/>
          <w:divBdr>
            <w:top w:val="none" w:sz="0" w:space="0" w:color="auto"/>
            <w:left w:val="none" w:sz="0" w:space="0" w:color="auto"/>
            <w:bottom w:val="none" w:sz="0" w:space="0" w:color="auto"/>
            <w:right w:val="none" w:sz="0" w:space="0" w:color="auto"/>
          </w:divBdr>
          <w:divsChild>
            <w:div w:id="1238052356">
              <w:marLeft w:val="0"/>
              <w:marRight w:val="0"/>
              <w:marTop w:val="0"/>
              <w:marBottom w:val="0"/>
              <w:divBdr>
                <w:top w:val="none" w:sz="0" w:space="0" w:color="auto"/>
                <w:left w:val="none" w:sz="0" w:space="0" w:color="auto"/>
                <w:bottom w:val="none" w:sz="0" w:space="0" w:color="auto"/>
                <w:right w:val="none" w:sz="0" w:space="0" w:color="auto"/>
              </w:divBdr>
              <w:divsChild>
                <w:div w:id="149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98711">
      <w:bodyDiv w:val="1"/>
      <w:marLeft w:val="0"/>
      <w:marRight w:val="0"/>
      <w:marTop w:val="0"/>
      <w:marBottom w:val="0"/>
      <w:divBdr>
        <w:top w:val="none" w:sz="0" w:space="0" w:color="auto"/>
        <w:left w:val="none" w:sz="0" w:space="0" w:color="auto"/>
        <w:bottom w:val="none" w:sz="0" w:space="0" w:color="auto"/>
        <w:right w:val="none" w:sz="0" w:space="0" w:color="auto"/>
      </w:divBdr>
      <w:divsChild>
        <w:div w:id="1863855509">
          <w:marLeft w:val="0"/>
          <w:marRight w:val="0"/>
          <w:marTop w:val="0"/>
          <w:marBottom w:val="0"/>
          <w:divBdr>
            <w:top w:val="none" w:sz="0" w:space="0" w:color="auto"/>
            <w:left w:val="none" w:sz="0" w:space="0" w:color="auto"/>
            <w:bottom w:val="none" w:sz="0" w:space="0" w:color="auto"/>
            <w:right w:val="none" w:sz="0" w:space="0" w:color="auto"/>
          </w:divBdr>
        </w:div>
      </w:divsChild>
    </w:div>
    <w:div w:id="1168062123">
      <w:bodyDiv w:val="1"/>
      <w:marLeft w:val="0"/>
      <w:marRight w:val="0"/>
      <w:marTop w:val="0"/>
      <w:marBottom w:val="0"/>
      <w:divBdr>
        <w:top w:val="none" w:sz="0" w:space="0" w:color="auto"/>
        <w:left w:val="none" w:sz="0" w:space="0" w:color="auto"/>
        <w:bottom w:val="none" w:sz="0" w:space="0" w:color="auto"/>
        <w:right w:val="none" w:sz="0" w:space="0" w:color="auto"/>
      </w:divBdr>
    </w:div>
    <w:div w:id="1180504863">
      <w:bodyDiv w:val="1"/>
      <w:marLeft w:val="0"/>
      <w:marRight w:val="0"/>
      <w:marTop w:val="0"/>
      <w:marBottom w:val="0"/>
      <w:divBdr>
        <w:top w:val="none" w:sz="0" w:space="0" w:color="auto"/>
        <w:left w:val="none" w:sz="0" w:space="0" w:color="auto"/>
        <w:bottom w:val="none" w:sz="0" w:space="0" w:color="auto"/>
        <w:right w:val="none" w:sz="0" w:space="0" w:color="auto"/>
      </w:divBdr>
    </w:div>
    <w:div w:id="1204290314">
      <w:bodyDiv w:val="1"/>
      <w:marLeft w:val="0"/>
      <w:marRight w:val="0"/>
      <w:marTop w:val="0"/>
      <w:marBottom w:val="0"/>
      <w:divBdr>
        <w:top w:val="none" w:sz="0" w:space="0" w:color="auto"/>
        <w:left w:val="none" w:sz="0" w:space="0" w:color="auto"/>
        <w:bottom w:val="none" w:sz="0" w:space="0" w:color="auto"/>
        <w:right w:val="none" w:sz="0" w:space="0" w:color="auto"/>
      </w:divBdr>
    </w:div>
    <w:div w:id="1242984249">
      <w:bodyDiv w:val="1"/>
      <w:marLeft w:val="0"/>
      <w:marRight w:val="0"/>
      <w:marTop w:val="0"/>
      <w:marBottom w:val="0"/>
      <w:divBdr>
        <w:top w:val="none" w:sz="0" w:space="0" w:color="auto"/>
        <w:left w:val="none" w:sz="0" w:space="0" w:color="auto"/>
        <w:bottom w:val="none" w:sz="0" w:space="0" w:color="auto"/>
        <w:right w:val="none" w:sz="0" w:space="0" w:color="auto"/>
      </w:divBdr>
    </w:div>
    <w:div w:id="1243638896">
      <w:bodyDiv w:val="1"/>
      <w:marLeft w:val="0"/>
      <w:marRight w:val="0"/>
      <w:marTop w:val="0"/>
      <w:marBottom w:val="0"/>
      <w:divBdr>
        <w:top w:val="none" w:sz="0" w:space="0" w:color="auto"/>
        <w:left w:val="none" w:sz="0" w:space="0" w:color="auto"/>
        <w:bottom w:val="none" w:sz="0" w:space="0" w:color="auto"/>
        <w:right w:val="none" w:sz="0" w:space="0" w:color="auto"/>
      </w:divBdr>
    </w:div>
    <w:div w:id="1328095141">
      <w:bodyDiv w:val="1"/>
      <w:marLeft w:val="0"/>
      <w:marRight w:val="0"/>
      <w:marTop w:val="0"/>
      <w:marBottom w:val="0"/>
      <w:divBdr>
        <w:top w:val="none" w:sz="0" w:space="0" w:color="auto"/>
        <w:left w:val="none" w:sz="0" w:space="0" w:color="auto"/>
        <w:bottom w:val="none" w:sz="0" w:space="0" w:color="auto"/>
        <w:right w:val="none" w:sz="0" w:space="0" w:color="auto"/>
      </w:divBdr>
    </w:div>
    <w:div w:id="1328904866">
      <w:bodyDiv w:val="1"/>
      <w:marLeft w:val="0"/>
      <w:marRight w:val="0"/>
      <w:marTop w:val="0"/>
      <w:marBottom w:val="0"/>
      <w:divBdr>
        <w:top w:val="none" w:sz="0" w:space="0" w:color="auto"/>
        <w:left w:val="none" w:sz="0" w:space="0" w:color="auto"/>
        <w:bottom w:val="none" w:sz="0" w:space="0" w:color="auto"/>
        <w:right w:val="none" w:sz="0" w:space="0" w:color="auto"/>
      </w:divBdr>
    </w:div>
    <w:div w:id="1344550223">
      <w:bodyDiv w:val="1"/>
      <w:marLeft w:val="0"/>
      <w:marRight w:val="0"/>
      <w:marTop w:val="0"/>
      <w:marBottom w:val="0"/>
      <w:divBdr>
        <w:top w:val="none" w:sz="0" w:space="0" w:color="auto"/>
        <w:left w:val="none" w:sz="0" w:space="0" w:color="auto"/>
        <w:bottom w:val="none" w:sz="0" w:space="0" w:color="auto"/>
        <w:right w:val="none" w:sz="0" w:space="0" w:color="auto"/>
      </w:divBdr>
    </w:div>
    <w:div w:id="1348871416">
      <w:bodyDiv w:val="1"/>
      <w:marLeft w:val="0"/>
      <w:marRight w:val="0"/>
      <w:marTop w:val="0"/>
      <w:marBottom w:val="0"/>
      <w:divBdr>
        <w:top w:val="none" w:sz="0" w:space="0" w:color="auto"/>
        <w:left w:val="none" w:sz="0" w:space="0" w:color="auto"/>
        <w:bottom w:val="none" w:sz="0" w:space="0" w:color="auto"/>
        <w:right w:val="none" w:sz="0" w:space="0" w:color="auto"/>
      </w:divBdr>
    </w:div>
    <w:div w:id="1357393277">
      <w:bodyDiv w:val="1"/>
      <w:marLeft w:val="0"/>
      <w:marRight w:val="0"/>
      <w:marTop w:val="0"/>
      <w:marBottom w:val="0"/>
      <w:divBdr>
        <w:top w:val="none" w:sz="0" w:space="0" w:color="auto"/>
        <w:left w:val="none" w:sz="0" w:space="0" w:color="auto"/>
        <w:bottom w:val="none" w:sz="0" w:space="0" w:color="auto"/>
        <w:right w:val="none" w:sz="0" w:space="0" w:color="auto"/>
      </w:divBdr>
    </w:div>
    <w:div w:id="1378236083">
      <w:bodyDiv w:val="1"/>
      <w:marLeft w:val="0"/>
      <w:marRight w:val="0"/>
      <w:marTop w:val="0"/>
      <w:marBottom w:val="0"/>
      <w:divBdr>
        <w:top w:val="none" w:sz="0" w:space="0" w:color="auto"/>
        <w:left w:val="none" w:sz="0" w:space="0" w:color="auto"/>
        <w:bottom w:val="none" w:sz="0" w:space="0" w:color="auto"/>
        <w:right w:val="none" w:sz="0" w:space="0" w:color="auto"/>
      </w:divBdr>
    </w:div>
    <w:div w:id="1379236508">
      <w:bodyDiv w:val="1"/>
      <w:marLeft w:val="0"/>
      <w:marRight w:val="0"/>
      <w:marTop w:val="0"/>
      <w:marBottom w:val="0"/>
      <w:divBdr>
        <w:top w:val="none" w:sz="0" w:space="0" w:color="auto"/>
        <w:left w:val="none" w:sz="0" w:space="0" w:color="auto"/>
        <w:bottom w:val="none" w:sz="0" w:space="0" w:color="auto"/>
        <w:right w:val="none" w:sz="0" w:space="0" w:color="auto"/>
      </w:divBdr>
      <w:divsChild>
        <w:div w:id="793913392">
          <w:marLeft w:val="0"/>
          <w:marRight w:val="0"/>
          <w:marTop w:val="0"/>
          <w:marBottom w:val="0"/>
          <w:divBdr>
            <w:top w:val="none" w:sz="0" w:space="0" w:color="auto"/>
            <w:left w:val="none" w:sz="0" w:space="0" w:color="auto"/>
            <w:bottom w:val="none" w:sz="0" w:space="0" w:color="auto"/>
            <w:right w:val="none" w:sz="0" w:space="0" w:color="auto"/>
          </w:divBdr>
          <w:divsChild>
            <w:div w:id="1661619083">
              <w:marLeft w:val="0"/>
              <w:marRight w:val="0"/>
              <w:marTop w:val="0"/>
              <w:marBottom w:val="0"/>
              <w:divBdr>
                <w:top w:val="none" w:sz="0" w:space="0" w:color="auto"/>
                <w:left w:val="none" w:sz="0" w:space="0" w:color="auto"/>
                <w:bottom w:val="none" w:sz="0" w:space="0" w:color="auto"/>
                <w:right w:val="none" w:sz="0" w:space="0" w:color="auto"/>
              </w:divBdr>
              <w:divsChild>
                <w:div w:id="1291397572">
                  <w:marLeft w:val="0"/>
                  <w:marRight w:val="0"/>
                  <w:marTop w:val="0"/>
                  <w:marBottom w:val="0"/>
                  <w:divBdr>
                    <w:top w:val="none" w:sz="0" w:space="0" w:color="auto"/>
                    <w:left w:val="none" w:sz="0" w:space="0" w:color="auto"/>
                    <w:bottom w:val="none" w:sz="0" w:space="0" w:color="auto"/>
                    <w:right w:val="none" w:sz="0" w:space="0" w:color="auto"/>
                  </w:divBdr>
                  <w:divsChild>
                    <w:div w:id="11894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57191">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0">
          <w:marLeft w:val="0"/>
          <w:marRight w:val="0"/>
          <w:marTop w:val="0"/>
          <w:marBottom w:val="0"/>
          <w:divBdr>
            <w:top w:val="none" w:sz="0" w:space="0" w:color="auto"/>
            <w:left w:val="none" w:sz="0" w:space="0" w:color="auto"/>
            <w:bottom w:val="none" w:sz="0" w:space="0" w:color="auto"/>
            <w:right w:val="none" w:sz="0" w:space="0" w:color="auto"/>
          </w:divBdr>
          <w:divsChild>
            <w:div w:id="175341315">
              <w:marLeft w:val="0"/>
              <w:marRight w:val="0"/>
              <w:marTop w:val="0"/>
              <w:marBottom w:val="0"/>
              <w:divBdr>
                <w:top w:val="none" w:sz="0" w:space="0" w:color="auto"/>
                <w:left w:val="none" w:sz="0" w:space="0" w:color="auto"/>
                <w:bottom w:val="none" w:sz="0" w:space="0" w:color="auto"/>
                <w:right w:val="none" w:sz="0" w:space="0" w:color="auto"/>
              </w:divBdr>
              <w:divsChild>
                <w:div w:id="818957598">
                  <w:marLeft w:val="0"/>
                  <w:marRight w:val="0"/>
                  <w:marTop w:val="0"/>
                  <w:marBottom w:val="0"/>
                  <w:divBdr>
                    <w:top w:val="none" w:sz="0" w:space="0" w:color="auto"/>
                    <w:left w:val="none" w:sz="0" w:space="0" w:color="auto"/>
                    <w:bottom w:val="none" w:sz="0" w:space="0" w:color="auto"/>
                    <w:right w:val="none" w:sz="0" w:space="0" w:color="auto"/>
                  </w:divBdr>
                  <w:divsChild>
                    <w:div w:id="19820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340464">
      <w:bodyDiv w:val="1"/>
      <w:marLeft w:val="0"/>
      <w:marRight w:val="0"/>
      <w:marTop w:val="0"/>
      <w:marBottom w:val="0"/>
      <w:divBdr>
        <w:top w:val="none" w:sz="0" w:space="0" w:color="auto"/>
        <w:left w:val="none" w:sz="0" w:space="0" w:color="auto"/>
        <w:bottom w:val="none" w:sz="0" w:space="0" w:color="auto"/>
        <w:right w:val="none" w:sz="0" w:space="0" w:color="auto"/>
      </w:divBdr>
      <w:divsChild>
        <w:div w:id="357201900">
          <w:marLeft w:val="0"/>
          <w:marRight w:val="0"/>
          <w:marTop w:val="0"/>
          <w:marBottom w:val="0"/>
          <w:divBdr>
            <w:top w:val="none" w:sz="0" w:space="0" w:color="auto"/>
            <w:left w:val="none" w:sz="0" w:space="0" w:color="auto"/>
            <w:bottom w:val="none" w:sz="0" w:space="0" w:color="auto"/>
            <w:right w:val="none" w:sz="0" w:space="0" w:color="auto"/>
          </w:divBdr>
          <w:divsChild>
            <w:div w:id="2138177947">
              <w:marLeft w:val="0"/>
              <w:marRight w:val="0"/>
              <w:marTop w:val="0"/>
              <w:marBottom w:val="0"/>
              <w:divBdr>
                <w:top w:val="none" w:sz="0" w:space="0" w:color="auto"/>
                <w:left w:val="none" w:sz="0" w:space="0" w:color="auto"/>
                <w:bottom w:val="none" w:sz="0" w:space="0" w:color="auto"/>
                <w:right w:val="none" w:sz="0" w:space="0" w:color="auto"/>
              </w:divBdr>
              <w:divsChild>
                <w:div w:id="2979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55485">
      <w:bodyDiv w:val="1"/>
      <w:marLeft w:val="0"/>
      <w:marRight w:val="0"/>
      <w:marTop w:val="0"/>
      <w:marBottom w:val="0"/>
      <w:divBdr>
        <w:top w:val="none" w:sz="0" w:space="0" w:color="auto"/>
        <w:left w:val="none" w:sz="0" w:space="0" w:color="auto"/>
        <w:bottom w:val="none" w:sz="0" w:space="0" w:color="auto"/>
        <w:right w:val="none" w:sz="0" w:space="0" w:color="auto"/>
      </w:divBdr>
    </w:div>
    <w:div w:id="1404332047">
      <w:bodyDiv w:val="1"/>
      <w:marLeft w:val="0"/>
      <w:marRight w:val="0"/>
      <w:marTop w:val="0"/>
      <w:marBottom w:val="0"/>
      <w:divBdr>
        <w:top w:val="none" w:sz="0" w:space="0" w:color="auto"/>
        <w:left w:val="none" w:sz="0" w:space="0" w:color="auto"/>
        <w:bottom w:val="none" w:sz="0" w:space="0" w:color="auto"/>
        <w:right w:val="none" w:sz="0" w:space="0" w:color="auto"/>
      </w:divBdr>
    </w:div>
    <w:div w:id="1472791300">
      <w:bodyDiv w:val="1"/>
      <w:marLeft w:val="0"/>
      <w:marRight w:val="0"/>
      <w:marTop w:val="0"/>
      <w:marBottom w:val="0"/>
      <w:divBdr>
        <w:top w:val="none" w:sz="0" w:space="0" w:color="auto"/>
        <w:left w:val="none" w:sz="0" w:space="0" w:color="auto"/>
        <w:bottom w:val="none" w:sz="0" w:space="0" w:color="auto"/>
        <w:right w:val="none" w:sz="0" w:space="0" w:color="auto"/>
      </w:divBdr>
    </w:div>
    <w:div w:id="1475098191">
      <w:bodyDiv w:val="1"/>
      <w:marLeft w:val="0"/>
      <w:marRight w:val="0"/>
      <w:marTop w:val="0"/>
      <w:marBottom w:val="0"/>
      <w:divBdr>
        <w:top w:val="none" w:sz="0" w:space="0" w:color="auto"/>
        <w:left w:val="none" w:sz="0" w:space="0" w:color="auto"/>
        <w:bottom w:val="none" w:sz="0" w:space="0" w:color="auto"/>
        <w:right w:val="none" w:sz="0" w:space="0" w:color="auto"/>
      </w:divBdr>
    </w:div>
    <w:div w:id="1480077206">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2">
          <w:marLeft w:val="0"/>
          <w:marRight w:val="0"/>
          <w:marTop w:val="0"/>
          <w:marBottom w:val="0"/>
          <w:divBdr>
            <w:top w:val="none" w:sz="0" w:space="0" w:color="auto"/>
            <w:left w:val="none" w:sz="0" w:space="0" w:color="auto"/>
            <w:bottom w:val="none" w:sz="0" w:space="0" w:color="auto"/>
            <w:right w:val="none" w:sz="0" w:space="0" w:color="auto"/>
          </w:divBdr>
          <w:divsChild>
            <w:div w:id="443694289">
              <w:marLeft w:val="0"/>
              <w:marRight w:val="0"/>
              <w:marTop w:val="0"/>
              <w:marBottom w:val="0"/>
              <w:divBdr>
                <w:top w:val="none" w:sz="0" w:space="0" w:color="auto"/>
                <w:left w:val="none" w:sz="0" w:space="0" w:color="auto"/>
                <w:bottom w:val="none" w:sz="0" w:space="0" w:color="auto"/>
                <w:right w:val="none" w:sz="0" w:space="0" w:color="auto"/>
              </w:divBdr>
              <w:divsChild>
                <w:div w:id="1308170948">
                  <w:marLeft w:val="0"/>
                  <w:marRight w:val="0"/>
                  <w:marTop w:val="0"/>
                  <w:marBottom w:val="0"/>
                  <w:divBdr>
                    <w:top w:val="none" w:sz="0" w:space="0" w:color="auto"/>
                    <w:left w:val="none" w:sz="0" w:space="0" w:color="auto"/>
                    <w:bottom w:val="none" w:sz="0" w:space="0" w:color="auto"/>
                    <w:right w:val="none" w:sz="0" w:space="0" w:color="auto"/>
                  </w:divBdr>
                </w:div>
                <w:div w:id="1767113582">
                  <w:marLeft w:val="0"/>
                  <w:marRight w:val="0"/>
                  <w:marTop w:val="0"/>
                  <w:marBottom w:val="0"/>
                  <w:divBdr>
                    <w:top w:val="none" w:sz="0" w:space="0" w:color="auto"/>
                    <w:left w:val="none" w:sz="0" w:space="0" w:color="auto"/>
                    <w:bottom w:val="none" w:sz="0" w:space="0" w:color="auto"/>
                    <w:right w:val="none" w:sz="0" w:space="0" w:color="auto"/>
                  </w:divBdr>
                </w:div>
              </w:divsChild>
            </w:div>
            <w:div w:id="1044867629">
              <w:marLeft w:val="0"/>
              <w:marRight w:val="0"/>
              <w:marTop w:val="0"/>
              <w:marBottom w:val="0"/>
              <w:divBdr>
                <w:top w:val="none" w:sz="0" w:space="0" w:color="auto"/>
                <w:left w:val="none" w:sz="0" w:space="0" w:color="auto"/>
                <w:bottom w:val="none" w:sz="0" w:space="0" w:color="auto"/>
                <w:right w:val="none" w:sz="0" w:space="0" w:color="auto"/>
              </w:divBdr>
              <w:divsChild>
                <w:div w:id="8353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7059">
      <w:bodyDiv w:val="1"/>
      <w:marLeft w:val="0"/>
      <w:marRight w:val="0"/>
      <w:marTop w:val="0"/>
      <w:marBottom w:val="0"/>
      <w:divBdr>
        <w:top w:val="none" w:sz="0" w:space="0" w:color="auto"/>
        <w:left w:val="none" w:sz="0" w:space="0" w:color="auto"/>
        <w:bottom w:val="none" w:sz="0" w:space="0" w:color="auto"/>
        <w:right w:val="none" w:sz="0" w:space="0" w:color="auto"/>
      </w:divBdr>
      <w:divsChild>
        <w:div w:id="1407146009">
          <w:marLeft w:val="0"/>
          <w:marRight w:val="0"/>
          <w:marTop w:val="0"/>
          <w:marBottom w:val="0"/>
          <w:divBdr>
            <w:top w:val="none" w:sz="0" w:space="0" w:color="auto"/>
            <w:left w:val="none" w:sz="0" w:space="0" w:color="auto"/>
            <w:bottom w:val="none" w:sz="0" w:space="0" w:color="auto"/>
            <w:right w:val="none" w:sz="0" w:space="0" w:color="auto"/>
          </w:divBdr>
          <w:divsChild>
            <w:div w:id="1718317179">
              <w:marLeft w:val="0"/>
              <w:marRight w:val="0"/>
              <w:marTop w:val="0"/>
              <w:marBottom w:val="0"/>
              <w:divBdr>
                <w:top w:val="none" w:sz="0" w:space="0" w:color="auto"/>
                <w:left w:val="none" w:sz="0" w:space="0" w:color="auto"/>
                <w:bottom w:val="none" w:sz="0" w:space="0" w:color="auto"/>
                <w:right w:val="none" w:sz="0" w:space="0" w:color="auto"/>
              </w:divBdr>
              <w:divsChild>
                <w:div w:id="12152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8973">
      <w:bodyDiv w:val="1"/>
      <w:marLeft w:val="0"/>
      <w:marRight w:val="0"/>
      <w:marTop w:val="0"/>
      <w:marBottom w:val="0"/>
      <w:divBdr>
        <w:top w:val="none" w:sz="0" w:space="0" w:color="auto"/>
        <w:left w:val="none" w:sz="0" w:space="0" w:color="auto"/>
        <w:bottom w:val="none" w:sz="0" w:space="0" w:color="auto"/>
        <w:right w:val="none" w:sz="0" w:space="0" w:color="auto"/>
      </w:divBdr>
    </w:div>
    <w:div w:id="1491672780">
      <w:bodyDiv w:val="1"/>
      <w:marLeft w:val="0"/>
      <w:marRight w:val="0"/>
      <w:marTop w:val="0"/>
      <w:marBottom w:val="0"/>
      <w:divBdr>
        <w:top w:val="none" w:sz="0" w:space="0" w:color="auto"/>
        <w:left w:val="none" w:sz="0" w:space="0" w:color="auto"/>
        <w:bottom w:val="none" w:sz="0" w:space="0" w:color="auto"/>
        <w:right w:val="none" w:sz="0" w:space="0" w:color="auto"/>
      </w:divBdr>
    </w:div>
    <w:div w:id="1540052396">
      <w:bodyDiv w:val="1"/>
      <w:marLeft w:val="0"/>
      <w:marRight w:val="0"/>
      <w:marTop w:val="0"/>
      <w:marBottom w:val="0"/>
      <w:divBdr>
        <w:top w:val="none" w:sz="0" w:space="0" w:color="auto"/>
        <w:left w:val="none" w:sz="0" w:space="0" w:color="auto"/>
        <w:bottom w:val="none" w:sz="0" w:space="0" w:color="auto"/>
        <w:right w:val="none" w:sz="0" w:space="0" w:color="auto"/>
      </w:divBdr>
      <w:divsChild>
        <w:div w:id="86274641">
          <w:marLeft w:val="0"/>
          <w:marRight w:val="0"/>
          <w:marTop w:val="0"/>
          <w:marBottom w:val="0"/>
          <w:divBdr>
            <w:top w:val="none" w:sz="0" w:space="0" w:color="auto"/>
            <w:left w:val="none" w:sz="0" w:space="0" w:color="auto"/>
            <w:bottom w:val="none" w:sz="0" w:space="0" w:color="auto"/>
            <w:right w:val="none" w:sz="0" w:space="0" w:color="auto"/>
          </w:divBdr>
        </w:div>
        <w:div w:id="947539222">
          <w:marLeft w:val="0"/>
          <w:marRight w:val="0"/>
          <w:marTop w:val="0"/>
          <w:marBottom w:val="0"/>
          <w:divBdr>
            <w:top w:val="none" w:sz="0" w:space="0" w:color="auto"/>
            <w:left w:val="none" w:sz="0" w:space="0" w:color="auto"/>
            <w:bottom w:val="none" w:sz="0" w:space="0" w:color="auto"/>
            <w:right w:val="none" w:sz="0" w:space="0" w:color="auto"/>
          </w:divBdr>
        </w:div>
      </w:divsChild>
    </w:div>
    <w:div w:id="1550065574">
      <w:bodyDiv w:val="1"/>
      <w:marLeft w:val="0"/>
      <w:marRight w:val="0"/>
      <w:marTop w:val="0"/>
      <w:marBottom w:val="0"/>
      <w:divBdr>
        <w:top w:val="none" w:sz="0" w:space="0" w:color="auto"/>
        <w:left w:val="none" w:sz="0" w:space="0" w:color="auto"/>
        <w:bottom w:val="none" w:sz="0" w:space="0" w:color="auto"/>
        <w:right w:val="none" w:sz="0" w:space="0" w:color="auto"/>
      </w:divBdr>
    </w:div>
    <w:div w:id="1570995775">
      <w:bodyDiv w:val="1"/>
      <w:marLeft w:val="0"/>
      <w:marRight w:val="0"/>
      <w:marTop w:val="0"/>
      <w:marBottom w:val="0"/>
      <w:divBdr>
        <w:top w:val="none" w:sz="0" w:space="0" w:color="auto"/>
        <w:left w:val="none" w:sz="0" w:space="0" w:color="auto"/>
        <w:bottom w:val="none" w:sz="0" w:space="0" w:color="auto"/>
        <w:right w:val="none" w:sz="0" w:space="0" w:color="auto"/>
      </w:divBdr>
    </w:div>
    <w:div w:id="1574974778">
      <w:bodyDiv w:val="1"/>
      <w:marLeft w:val="0"/>
      <w:marRight w:val="0"/>
      <w:marTop w:val="0"/>
      <w:marBottom w:val="0"/>
      <w:divBdr>
        <w:top w:val="none" w:sz="0" w:space="0" w:color="auto"/>
        <w:left w:val="none" w:sz="0" w:space="0" w:color="auto"/>
        <w:bottom w:val="none" w:sz="0" w:space="0" w:color="auto"/>
        <w:right w:val="none" w:sz="0" w:space="0" w:color="auto"/>
      </w:divBdr>
    </w:div>
    <w:div w:id="1617062168">
      <w:bodyDiv w:val="1"/>
      <w:marLeft w:val="0"/>
      <w:marRight w:val="0"/>
      <w:marTop w:val="0"/>
      <w:marBottom w:val="0"/>
      <w:divBdr>
        <w:top w:val="none" w:sz="0" w:space="0" w:color="auto"/>
        <w:left w:val="none" w:sz="0" w:space="0" w:color="auto"/>
        <w:bottom w:val="none" w:sz="0" w:space="0" w:color="auto"/>
        <w:right w:val="none" w:sz="0" w:space="0" w:color="auto"/>
      </w:divBdr>
    </w:div>
    <w:div w:id="1618171735">
      <w:bodyDiv w:val="1"/>
      <w:marLeft w:val="0"/>
      <w:marRight w:val="0"/>
      <w:marTop w:val="0"/>
      <w:marBottom w:val="0"/>
      <w:divBdr>
        <w:top w:val="none" w:sz="0" w:space="0" w:color="auto"/>
        <w:left w:val="none" w:sz="0" w:space="0" w:color="auto"/>
        <w:bottom w:val="none" w:sz="0" w:space="0" w:color="auto"/>
        <w:right w:val="none" w:sz="0" w:space="0" w:color="auto"/>
      </w:divBdr>
    </w:div>
    <w:div w:id="1628928324">
      <w:bodyDiv w:val="1"/>
      <w:marLeft w:val="0"/>
      <w:marRight w:val="0"/>
      <w:marTop w:val="0"/>
      <w:marBottom w:val="0"/>
      <w:divBdr>
        <w:top w:val="none" w:sz="0" w:space="0" w:color="auto"/>
        <w:left w:val="none" w:sz="0" w:space="0" w:color="auto"/>
        <w:bottom w:val="none" w:sz="0" w:space="0" w:color="auto"/>
        <w:right w:val="none" w:sz="0" w:space="0" w:color="auto"/>
      </w:divBdr>
      <w:divsChild>
        <w:div w:id="171920996">
          <w:marLeft w:val="0"/>
          <w:marRight w:val="0"/>
          <w:marTop w:val="0"/>
          <w:marBottom w:val="0"/>
          <w:divBdr>
            <w:top w:val="none" w:sz="0" w:space="0" w:color="auto"/>
            <w:left w:val="none" w:sz="0" w:space="0" w:color="auto"/>
            <w:bottom w:val="none" w:sz="0" w:space="0" w:color="auto"/>
            <w:right w:val="none" w:sz="0" w:space="0" w:color="auto"/>
          </w:divBdr>
          <w:divsChild>
            <w:div w:id="425616498">
              <w:marLeft w:val="0"/>
              <w:marRight w:val="0"/>
              <w:marTop w:val="0"/>
              <w:marBottom w:val="0"/>
              <w:divBdr>
                <w:top w:val="none" w:sz="0" w:space="0" w:color="auto"/>
                <w:left w:val="none" w:sz="0" w:space="0" w:color="auto"/>
                <w:bottom w:val="none" w:sz="0" w:space="0" w:color="auto"/>
                <w:right w:val="none" w:sz="0" w:space="0" w:color="auto"/>
              </w:divBdr>
              <w:divsChild>
                <w:div w:id="10095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5380">
      <w:bodyDiv w:val="1"/>
      <w:marLeft w:val="0"/>
      <w:marRight w:val="0"/>
      <w:marTop w:val="0"/>
      <w:marBottom w:val="0"/>
      <w:divBdr>
        <w:top w:val="none" w:sz="0" w:space="0" w:color="auto"/>
        <w:left w:val="none" w:sz="0" w:space="0" w:color="auto"/>
        <w:bottom w:val="none" w:sz="0" w:space="0" w:color="auto"/>
        <w:right w:val="none" w:sz="0" w:space="0" w:color="auto"/>
      </w:divBdr>
      <w:divsChild>
        <w:div w:id="111948199">
          <w:marLeft w:val="0"/>
          <w:marRight w:val="0"/>
          <w:marTop w:val="0"/>
          <w:marBottom w:val="0"/>
          <w:divBdr>
            <w:top w:val="none" w:sz="0" w:space="0" w:color="auto"/>
            <w:left w:val="none" w:sz="0" w:space="0" w:color="auto"/>
            <w:bottom w:val="none" w:sz="0" w:space="0" w:color="auto"/>
            <w:right w:val="none" w:sz="0" w:space="0" w:color="auto"/>
          </w:divBdr>
          <w:divsChild>
            <w:div w:id="1009479548">
              <w:marLeft w:val="0"/>
              <w:marRight w:val="0"/>
              <w:marTop w:val="0"/>
              <w:marBottom w:val="0"/>
              <w:divBdr>
                <w:top w:val="none" w:sz="0" w:space="0" w:color="auto"/>
                <w:left w:val="none" w:sz="0" w:space="0" w:color="auto"/>
                <w:bottom w:val="none" w:sz="0" w:space="0" w:color="auto"/>
                <w:right w:val="none" w:sz="0" w:space="0" w:color="auto"/>
              </w:divBdr>
              <w:divsChild>
                <w:div w:id="134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2335">
      <w:bodyDiv w:val="1"/>
      <w:marLeft w:val="0"/>
      <w:marRight w:val="0"/>
      <w:marTop w:val="0"/>
      <w:marBottom w:val="0"/>
      <w:divBdr>
        <w:top w:val="none" w:sz="0" w:space="0" w:color="auto"/>
        <w:left w:val="none" w:sz="0" w:space="0" w:color="auto"/>
        <w:bottom w:val="none" w:sz="0" w:space="0" w:color="auto"/>
        <w:right w:val="none" w:sz="0" w:space="0" w:color="auto"/>
      </w:divBdr>
    </w:div>
    <w:div w:id="1677993637">
      <w:bodyDiv w:val="1"/>
      <w:marLeft w:val="0"/>
      <w:marRight w:val="0"/>
      <w:marTop w:val="0"/>
      <w:marBottom w:val="0"/>
      <w:divBdr>
        <w:top w:val="none" w:sz="0" w:space="0" w:color="auto"/>
        <w:left w:val="none" w:sz="0" w:space="0" w:color="auto"/>
        <w:bottom w:val="none" w:sz="0" w:space="0" w:color="auto"/>
        <w:right w:val="none" w:sz="0" w:space="0" w:color="auto"/>
      </w:divBdr>
    </w:div>
    <w:div w:id="1692336362">
      <w:bodyDiv w:val="1"/>
      <w:marLeft w:val="0"/>
      <w:marRight w:val="0"/>
      <w:marTop w:val="0"/>
      <w:marBottom w:val="0"/>
      <w:divBdr>
        <w:top w:val="none" w:sz="0" w:space="0" w:color="auto"/>
        <w:left w:val="none" w:sz="0" w:space="0" w:color="auto"/>
        <w:bottom w:val="none" w:sz="0" w:space="0" w:color="auto"/>
        <w:right w:val="none" w:sz="0" w:space="0" w:color="auto"/>
      </w:divBdr>
      <w:divsChild>
        <w:div w:id="344094394">
          <w:marLeft w:val="0"/>
          <w:marRight w:val="0"/>
          <w:marTop w:val="0"/>
          <w:marBottom w:val="0"/>
          <w:divBdr>
            <w:top w:val="none" w:sz="0" w:space="0" w:color="auto"/>
            <w:left w:val="none" w:sz="0" w:space="0" w:color="auto"/>
            <w:bottom w:val="none" w:sz="0" w:space="0" w:color="auto"/>
            <w:right w:val="none" w:sz="0" w:space="0" w:color="auto"/>
          </w:divBdr>
          <w:divsChild>
            <w:div w:id="915628366">
              <w:marLeft w:val="0"/>
              <w:marRight w:val="0"/>
              <w:marTop w:val="0"/>
              <w:marBottom w:val="0"/>
              <w:divBdr>
                <w:top w:val="none" w:sz="0" w:space="0" w:color="auto"/>
                <w:left w:val="none" w:sz="0" w:space="0" w:color="auto"/>
                <w:bottom w:val="none" w:sz="0" w:space="0" w:color="auto"/>
                <w:right w:val="none" w:sz="0" w:space="0" w:color="auto"/>
              </w:divBdr>
              <w:divsChild>
                <w:div w:id="864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3691">
      <w:bodyDiv w:val="1"/>
      <w:marLeft w:val="0"/>
      <w:marRight w:val="0"/>
      <w:marTop w:val="0"/>
      <w:marBottom w:val="0"/>
      <w:divBdr>
        <w:top w:val="none" w:sz="0" w:space="0" w:color="auto"/>
        <w:left w:val="none" w:sz="0" w:space="0" w:color="auto"/>
        <w:bottom w:val="none" w:sz="0" w:space="0" w:color="auto"/>
        <w:right w:val="none" w:sz="0" w:space="0" w:color="auto"/>
      </w:divBdr>
    </w:div>
    <w:div w:id="1746877353">
      <w:bodyDiv w:val="1"/>
      <w:marLeft w:val="0"/>
      <w:marRight w:val="0"/>
      <w:marTop w:val="0"/>
      <w:marBottom w:val="0"/>
      <w:divBdr>
        <w:top w:val="none" w:sz="0" w:space="0" w:color="auto"/>
        <w:left w:val="none" w:sz="0" w:space="0" w:color="auto"/>
        <w:bottom w:val="none" w:sz="0" w:space="0" w:color="auto"/>
        <w:right w:val="none" w:sz="0" w:space="0" w:color="auto"/>
      </w:divBdr>
    </w:div>
    <w:div w:id="1754160662">
      <w:bodyDiv w:val="1"/>
      <w:marLeft w:val="0"/>
      <w:marRight w:val="0"/>
      <w:marTop w:val="0"/>
      <w:marBottom w:val="0"/>
      <w:divBdr>
        <w:top w:val="none" w:sz="0" w:space="0" w:color="auto"/>
        <w:left w:val="none" w:sz="0" w:space="0" w:color="auto"/>
        <w:bottom w:val="none" w:sz="0" w:space="0" w:color="auto"/>
        <w:right w:val="none" w:sz="0" w:space="0" w:color="auto"/>
      </w:divBdr>
    </w:div>
    <w:div w:id="1760785202">
      <w:bodyDiv w:val="1"/>
      <w:marLeft w:val="0"/>
      <w:marRight w:val="0"/>
      <w:marTop w:val="0"/>
      <w:marBottom w:val="0"/>
      <w:divBdr>
        <w:top w:val="none" w:sz="0" w:space="0" w:color="auto"/>
        <w:left w:val="none" w:sz="0" w:space="0" w:color="auto"/>
        <w:bottom w:val="none" w:sz="0" w:space="0" w:color="auto"/>
        <w:right w:val="none" w:sz="0" w:space="0" w:color="auto"/>
      </w:divBdr>
    </w:div>
    <w:div w:id="1806898084">
      <w:bodyDiv w:val="1"/>
      <w:marLeft w:val="0"/>
      <w:marRight w:val="0"/>
      <w:marTop w:val="0"/>
      <w:marBottom w:val="0"/>
      <w:divBdr>
        <w:top w:val="none" w:sz="0" w:space="0" w:color="auto"/>
        <w:left w:val="none" w:sz="0" w:space="0" w:color="auto"/>
        <w:bottom w:val="none" w:sz="0" w:space="0" w:color="auto"/>
        <w:right w:val="none" w:sz="0" w:space="0" w:color="auto"/>
      </w:divBdr>
      <w:divsChild>
        <w:div w:id="1627344938">
          <w:marLeft w:val="0"/>
          <w:marRight w:val="0"/>
          <w:marTop w:val="0"/>
          <w:marBottom w:val="0"/>
          <w:divBdr>
            <w:top w:val="none" w:sz="0" w:space="0" w:color="auto"/>
            <w:left w:val="none" w:sz="0" w:space="0" w:color="auto"/>
            <w:bottom w:val="none" w:sz="0" w:space="0" w:color="auto"/>
            <w:right w:val="none" w:sz="0" w:space="0" w:color="auto"/>
          </w:divBdr>
          <w:divsChild>
            <w:div w:id="1097138936">
              <w:marLeft w:val="0"/>
              <w:marRight w:val="0"/>
              <w:marTop w:val="0"/>
              <w:marBottom w:val="0"/>
              <w:divBdr>
                <w:top w:val="none" w:sz="0" w:space="0" w:color="auto"/>
                <w:left w:val="none" w:sz="0" w:space="0" w:color="auto"/>
                <w:bottom w:val="none" w:sz="0" w:space="0" w:color="auto"/>
                <w:right w:val="none" w:sz="0" w:space="0" w:color="auto"/>
              </w:divBdr>
              <w:divsChild>
                <w:div w:id="20062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7738">
      <w:bodyDiv w:val="1"/>
      <w:marLeft w:val="0"/>
      <w:marRight w:val="0"/>
      <w:marTop w:val="0"/>
      <w:marBottom w:val="0"/>
      <w:divBdr>
        <w:top w:val="none" w:sz="0" w:space="0" w:color="auto"/>
        <w:left w:val="none" w:sz="0" w:space="0" w:color="auto"/>
        <w:bottom w:val="none" w:sz="0" w:space="0" w:color="auto"/>
        <w:right w:val="none" w:sz="0" w:space="0" w:color="auto"/>
      </w:divBdr>
    </w:div>
    <w:div w:id="1850872434">
      <w:bodyDiv w:val="1"/>
      <w:marLeft w:val="0"/>
      <w:marRight w:val="0"/>
      <w:marTop w:val="0"/>
      <w:marBottom w:val="0"/>
      <w:divBdr>
        <w:top w:val="none" w:sz="0" w:space="0" w:color="auto"/>
        <w:left w:val="none" w:sz="0" w:space="0" w:color="auto"/>
        <w:bottom w:val="none" w:sz="0" w:space="0" w:color="auto"/>
        <w:right w:val="none" w:sz="0" w:space="0" w:color="auto"/>
      </w:divBdr>
      <w:divsChild>
        <w:div w:id="196044560">
          <w:marLeft w:val="0"/>
          <w:marRight w:val="0"/>
          <w:marTop w:val="0"/>
          <w:marBottom w:val="0"/>
          <w:divBdr>
            <w:top w:val="none" w:sz="0" w:space="0" w:color="auto"/>
            <w:left w:val="none" w:sz="0" w:space="0" w:color="auto"/>
            <w:bottom w:val="none" w:sz="0" w:space="0" w:color="auto"/>
            <w:right w:val="none" w:sz="0" w:space="0" w:color="auto"/>
          </w:divBdr>
          <w:divsChild>
            <w:div w:id="256982537">
              <w:marLeft w:val="0"/>
              <w:marRight w:val="0"/>
              <w:marTop w:val="0"/>
              <w:marBottom w:val="0"/>
              <w:divBdr>
                <w:top w:val="none" w:sz="0" w:space="0" w:color="auto"/>
                <w:left w:val="none" w:sz="0" w:space="0" w:color="auto"/>
                <w:bottom w:val="none" w:sz="0" w:space="0" w:color="auto"/>
                <w:right w:val="none" w:sz="0" w:space="0" w:color="auto"/>
              </w:divBdr>
              <w:divsChild>
                <w:div w:id="520246485">
                  <w:marLeft w:val="0"/>
                  <w:marRight w:val="0"/>
                  <w:marTop w:val="0"/>
                  <w:marBottom w:val="0"/>
                  <w:divBdr>
                    <w:top w:val="none" w:sz="0" w:space="0" w:color="auto"/>
                    <w:left w:val="none" w:sz="0" w:space="0" w:color="auto"/>
                    <w:bottom w:val="none" w:sz="0" w:space="0" w:color="auto"/>
                    <w:right w:val="none" w:sz="0" w:space="0" w:color="auto"/>
                  </w:divBdr>
                  <w:divsChild>
                    <w:div w:id="9586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30410">
      <w:bodyDiv w:val="1"/>
      <w:marLeft w:val="0"/>
      <w:marRight w:val="0"/>
      <w:marTop w:val="0"/>
      <w:marBottom w:val="0"/>
      <w:divBdr>
        <w:top w:val="none" w:sz="0" w:space="0" w:color="auto"/>
        <w:left w:val="none" w:sz="0" w:space="0" w:color="auto"/>
        <w:bottom w:val="none" w:sz="0" w:space="0" w:color="auto"/>
        <w:right w:val="none" w:sz="0" w:space="0" w:color="auto"/>
      </w:divBdr>
    </w:div>
    <w:div w:id="1876960248">
      <w:bodyDiv w:val="1"/>
      <w:marLeft w:val="0"/>
      <w:marRight w:val="0"/>
      <w:marTop w:val="0"/>
      <w:marBottom w:val="0"/>
      <w:divBdr>
        <w:top w:val="none" w:sz="0" w:space="0" w:color="auto"/>
        <w:left w:val="none" w:sz="0" w:space="0" w:color="auto"/>
        <w:bottom w:val="none" w:sz="0" w:space="0" w:color="auto"/>
        <w:right w:val="none" w:sz="0" w:space="0" w:color="auto"/>
      </w:divBdr>
    </w:div>
    <w:div w:id="1895658387">
      <w:bodyDiv w:val="1"/>
      <w:marLeft w:val="0"/>
      <w:marRight w:val="0"/>
      <w:marTop w:val="0"/>
      <w:marBottom w:val="0"/>
      <w:divBdr>
        <w:top w:val="none" w:sz="0" w:space="0" w:color="auto"/>
        <w:left w:val="none" w:sz="0" w:space="0" w:color="auto"/>
        <w:bottom w:val="none" w:sz="0" w:space="0" w:color="auto"/>
        <w:right w:val="none" w:sz="0" w:space="0" w:color="auto"/>
      </w:divBdr>
      <w:divsChild>
        <w:div w:id="7948319">
          <w:marLeft w:val="0"/>
          <w:marRight w:val="0"/>
          <w:marTop w:val="0"/>
          <w:marBottom w:val="0"/>
          <w:divBdr>
            <w:top w:val="none" w:sz="0" w:space="0" w:color="auto"/>
            <w:left w:val="none" w:sz="0" w:space="0" w:color="auto"/>
            <w:bottom w:val="none" w:sz="0" w:space="0" w:color="auto"/>
            <w:right w:val="none" w:sz="0" w:space="0" w:color="auto"/>
          </w:divBdr>
          <w:divsChild>
            <w:div w:id="881819319">
              <w:marLeft w:val="0"/>
              <w:marRight w:val="0"/>
              <w:marTop w:val="0"/>
              <w:marBottom w:val="0"/>
              <w:divBdr>
                <w:top w:val="none" w:sz="0" w:space="0" w:color="auto"/>
                <w:left w:val="none" w:sz="0" w:space="0" w:color="auto"/>
                <w:bottom w:val="none" w:sz="0" w:space="0" w:color="auto"/>
                <w:right w:val="none" w:sz="0" w:space="0" w:color="auto"/>
              </w:divBdr>
              <w:divsChild>
                <w:div w:id="1463378792">
                  <w:marLeft w:val="0"/>
                  <w:marRight w:val="0"/>
                  <w:marTop w:val="0"/>
                  <w:marBottom w:val="0"/>
                  <w:divBdr>
                    <w:top w:val="none" w:sz="0" w:space="0" w:color="auto"/>
                    <w:left w:val="none" w:sz="0" w:space="0" w:color="auto"/>
                    <w:bottom w:val="none" w:sz="0" w:space="0" w:color="auto"/>
                    <w:right w:val="none" w:sz="0" w:space="0" w:color="auto"/>
                  </w:divBdr>
                </w:div>
              </w:divsChild>
            </w:div>
            <w:div w:id="2034377527">
              <w:marLeft w:val="0"/>
              <w:marRight w:val="0"/>
              <w:marTop w:val="0"/>
              <w:marBottom w:val="0"/>
              <w:divBdr>
                <w:top w:val="none" w:sz="0" w:space="0" w:color="auto"/>
                <w:left w:val="none" w:sz="0" w:space="0" w:color="auto"/>
                <w:bottom w:val="none" w:sz="0" w:space="0" w:color="auto"/>
                <w:right w:val="none" w:sz="0" w:space="0" w:color="auto"/>
              </w:divBdr>
              <w:divsChild>
                <w:div w:id="13960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2175">
          <w:marLeft w:val="0"/>
          <w:marRight w:val="0"/>
          <w:marTop w:val="0"/>
          <w:marBottom w:val="0"/>
          <w:divBdr>
            <w:top w:val="none" w:sz="0" w:space="0" w:color="auto"/>
            <w:left w:val="none" w:sz="0" w:space="0" w:color="auto"/>
            <w:bottom w:val="none" w:sz="0" w:space="0" w:color="auto"/>
            <w:right w:val="none" w:sz="0" w:space="0" w:color="auto"/>
          </w:divBdr>
          <w:divsChild>
            <w:div w:id="350375006">
              <w:marLeft w:val="0"/>
              <w:marRight w:val="0"/>
              <w:marTop w:val="0"/>
              <w:marBottom w:val="0"/>
              <w:divBdr>
                <w:top w:val="none" w:sz="0" w:space="0" w:color="auto"/>
                <w:left w:val="none" w:sz="0" w:space="0" w:color="auto"/>
                <w:bottom w:val="none" w:sz="0" w:space="0" w:color="auto"/>
                <w:right w:val="none" w:sz="0" w:space="0" w:color="auto"/>
              </w:divBdr>
              <w:divsChild>
                <w:div w:id="1754088757">
                  <w:marLeft w:val="0"/>
                  <w:marRight w:val="0"/>
                  <w:marTop w:val="0"/>
                  <w:marBottom w:val="0"/>
                  <w:divBdr>
                    <w:top w:val="none" w:sz="0" w:space="0" w:color="auto"/>
                    <w:left w:val="none" w:sz="0" w:space="0" w:color="auto"/>
                    <w:bottom w:val="none" w:sz="0" w:space="0" w:color="auto"/>
                    <w:right w:val="none" w:sz="0" w:space="0" w:color="auto"/>
                  </w:divBdr>
                </w:div>
              </w:divsChild>
            </w:div>
            <w:div w:id="1699350818">
              <w:marLeft w:val="0"/>
              <w:marRight w:val="0"/>
              <w:marTop w:val="0"/>
              <w:marBottom w:val="0"/>
              <w:divBdr>
                <w:top w:val="none" w:sz="0" w:space="0" w:color="auto"/>
                <w:left w:val="none" w:sz="0" w:space="0" w:color="auto"/>
                <w:bottom w:val="none" w:sz="0" w:space="0" w:color="auto"/>
                <w:right w:val="none" w:sz="0" w:space="0" w:color="auto"/>
              </w:divBdr>
              <w:divsChild>
                <w:div w:id="19122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3796">
      <w:bodyDiv w:val="1"/>
      <w:marLeft w:val="0"/>
      <w:marRight w:val="0"/>
      <w:marTop w:val="0"/>
      <w:marBottom w:val="0"/>
      <w:divBdr>
        <w:top w:val="none" w:sz="0" w:space="0" w:color="auto"/>
        <w:left w:val="none" w:sz="0" w:space="0" w:color="auto"/>
        <w:bottom w:val="none" w:sz="0" w:space="0" w:color="auto"/>
        <w:right w:val="none" w:sz="0" w:space="0" w:color="auto"/>
      </w:divBdr>
    </w:div>
    <w:div w:id="1916696665">
      <w:bodyDiv w:val="1"/>
      <w:marLeft w:val="0"/>
      <w:marRight w:val="0"/>
      <w:marTop w:val="0"/>
      <w:marBottom w:val="0"/>
      <w:divBdr>
        <w:top w:val="none" w:sz="0" w:space="0" w:color="auto"/>
        <w:left w:val="none" w:sz="0" w:space="0" w:color="auto"/>
        <w:bottom w:val="none" w:sz="0" w:space="0" w:color="auto"/>
        <w:right w:val="none" w:sz="0" w:space="0" w:color="auto"/>
      </w:divBdr>
    </w:div>
    <w:div w:id="1934362201">
      <w:bodyDiv w:val="1"/>
      <w:marLeft w:val="0"/>
      <w:marRight w:val="0"/>
      <w:marTop w:val="0"/>
      <w:marBottom w:val="0"/>
      <w:divBdr>
        <w:top w:val="none" w:sz="0" w:space="0" w:color="auto"/>
        <w:left w:val="none" w:sz="0" w:space="0" w:color="auto"/>
        <w:bottom w:val="none" w:sz="0" w:space="0" w:color="auto"/>
        <w:right w:val="none" w:sz="0" w:space="0" w:color="auto"/>
      </w:divBdr>
      <w:divsChild>
        <w:div w:id="509295309">
          <w:marLeft w:val="0"/>
          <w:marRight w:val="0"/>
          <w:marTop w:val="0"/>
          <w:marBottom w:val="0"/>
          <w:divBdr>
            <w:top w:val="none" w:sz="0" w:space="0" w:color="auto"/>
            <w:left w:val="none" w:sz="0" w:space="0" w:color="auto"/>
            <w:bottom w:val="none" w:sz="0" w:space="0" w:color="auto"/>
            <w:right w:val="none" w:sz="0" w:space="0" w:color="auto"/>
          </w:divBdr>
          <w:divsChild>
            <w:div w:id="1581208055">
              <w:marLeft w:val="0"/>
              <w:marRight w:val="0"/>
              <w:marTop w:val="0"/>
              <w:marBottom w:val="0"/>
              <w:divBdr>
                <w:top w:val="none" w:sz="0" w:space="0" w:color="auto"/>
                <w:left w:val="none" w:sz="0" w:space="0" w:color="auto"/>
                <w:bottom w:val="none" w:sz="0" w:space="0" w:color="auto"/>
                <w:right w:val="none" w:sz="0" w:space="0" w:color="auto"/>
              </w:divBdr>
              <w:divsChild>
                <w:div w:id="2114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6536">
      <w:bodyDiv w:val="1"/>
      <w:marLeft w:val="0"/>
      <w:marRight w:val="0"/>
      <w:marTop w:val="0"/>
      <w:marBottom w:val="0"/>
      <w:divBdr>
        <w:top w:val="none" w:sz="0" w:space="0" w:color="auto"/>
        <w:left w:val="none" w:sz="0" w:space="0" w:color="auto"/>
        <w:bottom w:val="none" w:sz="0" w:space="0" w:color="auto"/>
        <w:right w:val="none" w:sz="0" w:space="0" w:color="auto"/>
      </w:divBdr>
    </w:div>
    <w:div w:id="1989743474">
      <w:bodyDiv w:val="1"/>
      <w:marLeft w:val="0"/>
      <w:marRight w:val="0"/>
      <w:marTop w:val="0"/>
      <w:marBottom w:val="0"/>
      <w:divBdr>
        <w:top w:val="none" w:sz="0" w:space="0" w:color="auto"/>
        <w:left w:val="none" w:sz="0" w:space="0" w:color="auto"/>
        <w:bottom w:val="none" w:sz="0" w:space="0" w:color="auto"/>
        <w:right w:val="none" w:sz="0" w:space="0" w:color="auto"/>
      </w:divBdr>
    </w:div>
    <w:div w:id="1996763406">
      <w:bodyDiv w:val="1"/>
      <w:marLeft w:val="0"/>
      <w:marRight w:val="0"/>
      <w:marTop w:val="0"/>
      <w:marBottom w:val="0"/>
      <w:divBdr>
        <w:top w:val="none" w:sz="0" w:space="0" w:color="auto"/>
        <w:left w:val="none" w:sz="0" w:space="0" w:color="auto"/>
        <w:bottom w:val="none" w:sz="0" w:space="0" w:color="auto"/>
        <w:right w:val="none" w:sz="0" w:space="0" w:color="auto"/>
      </w:divBdr>
      <w:divsChild>
        <w:div w:id="1893034551">
          <w:marLeft w:val="0"/>
          <w:marRight w:val="0"/>
          <w:marTop w:val="0"/>
          <w:marBottom w:val="0"/>
          <w:divBdr>
            <w:top w:val="none" w:sz="0" w:space="0" w:color="auto"/>
            <w:left w:val="none" w:sz="0" w:space="0" w:color="auto"/>
            <w:bottom w:val="none" w:sz="0" w:space="0" w:color="auto"/>
            <w:right w:val="none" w:sz="0" w:space="0" w:color="auto"/>
          </w:divBdr>
          <w:divsChild>
            <w:div w:id="669989638">
              <w:marLeft w:val="0"/>
              <w:marRight w:val="0"/>
              <w:marTop w:val="0"/>
              <w:marBottom w:val="0"/>
              <w:divBdr>
                <w:top w:val="none" w:sz="0" w:space="0" w:color="auto"/>
                <w:left w:val="none" w:sz="0" w:space="0" w:color="auto"/>
                <w:bottom w:val="none" w:sz="0" w:space="0" w:color="auto"/>
                <w:right w:val="none" w:sz="0" w:space="0" w:color="auto"/>
              </w:divBdr>
              <w:divsChild>
                <w:div w:id="19711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42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506">
          <w:marLeft w:val="0"/>
          <w:marRight w:val="0"/>
          <w:marTop w:val="0"/>
          <w:marBottom w:val="0"/>
          <w:divBdr>
            <w:top w:val="none" w:sz="0" w:space="0" w:color="auto"/>
            <w:left w:val="none" w:sz="0" w:space="0" w:color="auto"/>
            <w:bottom w:val="none" w:sz="0" w:space="0" w:color="auto"/>
            <w:right w:val="none" w:sz="0" w:space="0" w:color="auto"/>
          </w:divBdr>
          <w:divsChild>
            <w:div w:id="1830487243">
              <w:marLeft w:val="0"/>
              <w:marRight w:val="0"/>
              <w:marTop w:val="0"/>
              <w:marBottom w:val="0"/>
              <w:divBdr>
                <w:top w:val="none" w:sz="0" w:space="0" w:color="auto"/>
                <w:left w:val="none" w:sz="0" w:space="0" w:color="auto"/>
                <w:bottom w:val="none" w:sz="0" w:space="0" w:color="auto"/>
                <w:right w:val="none" w:sz="0" w:space="0" w:color="auto"/>
              </w:divBdr>
              <w:divsChild>
                <w:div w:id="1997488242">
                  <w:marLeft w:val="0"/>
                  <w:marRight w:val="0"/>
                  <w:marTop w:val="0"/>
                  <w:marBottom w:val="0"/>
                  <w:divBdr>
                    <w:top w:val="none" w:sz="0" w:space="0" w:color="auto"/>
                    <w:left w:val="none" w:sz="0" w:space="0" w:color="auto"/>
                    <w:bottom w:val="none" w:sz="0" w:space="0" w:color="auto"/>
                    <w:right w:val="none" w:sz="0" w:space="0" w:color="auto"/>
                  </w:divBdr>
                  <w:divsChild>
                    <w:div w:id="18162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799223">
      <w:bodyDiv w:val="1"/>
      <w:marLeft w:val="0"/>
      <w:marRight w:val="0"/>
      <w:marTop w:val="0"/>
      <w:marBottom w:val="0"/>
      <w:divBdr>
        <w:top w:val="none" w:sz="0" w:space="0" w:color="auto"/>
        <w:left w:val="none" w:sz="0" w:space="0" w:color="auto"/>
        <w:bottom w:val="none" w:sz="0" w:space="0" w:color="auto"/>
        <w:right w:val="none" w:sz="0" w:space="0" w:color="auto"/>
      </w:divBdr>
    </w:div>
    <w:div w:id="2054697137">
      <w:bodyDiv w:val="1"/>
      <w:marLeft w:val="0"/>
      <w:marRight w:val="0"/>
      <w:marTop w:val="0"/>
      <w:marBottom w:val="0"/>
      <w:divBdr>
        <w:top w:val="none" w:sz="0" w:space="0" w:color="auto"/>
        <w:left w:val="none" w:sz="0" w:space="0" w:color="auto"/>
        <w:bottom w:val="none" w:sz="0" w:space="0" w:color="auto"/>
        <w:right w:val="none" w:sz="0" w:space="0" w:color="auto"/>
      </w:divBdr>
      <w:divsChild>
        <w:div w:id="2092660787">
          <w:marLeft w:val="0"/>
          <w:marRight w:val="0"/>
          <w:marTop w:val="0"/>
          <w:marBottom w:val="0"/>
          <w:divBdr>
            <w:top w:val="none" w:sz="0" w:space="0" w:color="auto"/>
            <w:left w:val="none" w:sz="0" w:space="0" w:color="auto"/>
            <w:bottom w:val="none" w:sz="0" w:space="0" w:color="auto"/>
            <w:right w:val="none" w:sz="0" w:space="0" w:color="auto"/>
          </w:divBdr>
          <w:divsChild>
            <w:div w:id="1879781529">
              <w:marLeft w:val="0"/>
              <w:marRight w:val="0"/>
              <w:marTop w:val="0"/>
              <w:marBottom w:val="0"/>
              <w:divBdr>
                <w:top w:val="none" w:sz="0" w:space="0" w:color="auto"/>
                <w:left w:val="none" w:sz="0" w:space="0" w:color="auto"/>
                <w:bottom w:val="none" w:sz="0" w:space="0" w:color="auto"/>
                <w:right w:val="none" w:sz="0" w:space="0" w:color="auto"/>
              </w:divBdr>
              <w:divsChild>
                <w:div w:id="8001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50">
      <w:bodyDiv w:val="1"/>
      <w:marLeft w:val="0"/>
      <w:marRight w:val="0"/>
      <w:marTop w:val="0"/>
      <w:marBottom w:val="0"/>
      <w:divBdr>
        <w:top w:val="none" w:sz="0" w:space="0" w:color="auto"/>
        <w:left w:val="none" w:sz="0" w:space="0" w:color="auto"/>
        <w:bottom w:val="none" w:sz="0" w:space="0" w:color="auto"/>
        <w:right w:val="none" w:sz="0" w:space="0" w:color="auto"/>
      </w:divBdr>
    </w:div>
    <w:div w:id="2111511016">
      <w:bodyDiv w:val="1"/>
      <w:marLeft w:val="0"/>
      <w:marRight w:val="0"/>
      <w:marTop w:val="0"/>
      <w:marBottom w:val="0"/>
      <w:divBdr>
        <w:top w:val="none" w:sz="0" w:space="0" w:color="auto"/>
        <w:left w:val="none" w:sz="0" w:space="0" w:color="auto"/>
        <w:bottom w:val="none" w:sz="0" w:space="0" w:color="auto"/>
        <w:right w:val="none" w:sz="0" w:space="0" w:color="auto"/>
      </w:divBdr>
    </w:div>
    <w:div w:id="2143107362">
      <w:bodyDiv w:val="1"/>
      <w:marLeft w:val="0"/>
      <w:marRight w:val="0"/>
      <w:marTop w:val="0"/>
      <w:marBottom w:val="0"/>
      <w:divBdr>
        <w:top w:val="none" w:sz="0" w:space="0" w:color="auto"/>
        <w:left w:val="none" w:sz="0" w:space="0" w:color="auto"/>
        <w:bottom w:val="none" w:sz="0" w:space="0" w:color="auto"/>
        <w:right w:val="none" w:sz="0" w:space="0" w:color="auto"/>
      </w:divBdr>
      <w:divsChild>
        <w:div w:id="1017853025">
          <w:marLeft w:val="0"/>
          <w:marRight w:val="0"/>
          <w:marTop w:val="0"/>
          <w:marBottom w:val="0"/>
          <w:divBdr>
            <w:top w:val="none" w:sz="0" w:space="0" w:color="auto"/>
            <w:left w:val="none" w:sz="0" w:space="0" w:color="auto"/>
            <w:bottom w:val="none" w:sz="0" w:space="0" w:color="auto"/>
            <w:right w:val="none" w:sz="0" w:space="0" w:color="auto"/>
          </w:divBdr>
          <w:divsChild>
            <w:div w:id="1936555432">
              <w:marLeft w:val="0"/>
              <w:marRight w:val="0"/>
              <w:marTop w:val="0"/>
              <w:marBottom w:val="0"/>
              <w:divBdr>
                <w:top w:val="none" w:sz="0" w:space="0" w:color="auto"/>
                <w:left w:val="none" w:sz="0" w:space="0" w:color="auto"/>
                <w:bottom w:val="none" w:sz="0" w:space="0" w:color="auto"/>
                <w:right w:val="none" w:sz="0" w:space="0" w:color="auto"/>
              </w:divBdr>
              <w:divsChild>
                <w:div w:id="107925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visionofbritain.org.uk/unit/10102753/cube/TOT_POP" TargetMode="External"/><Relationship Id="rId14" Type="http://schemas.openxmlformats.org/officeDocument/2006/relationships/hyperlink" Target="https://doi.org/10.1068%2Fa37302" TargetMode="External"/><Relationship Id="rId15" Type="http://schemas.openxmlformats.org/officeDocument/2006/relationships/hyperlink" Target="http://dx.doi.org/10.1111/j.1468-2427.2011.01093.x" TargetMode="External"/><Relationship Id="rId16" Type="http://schemas.openxmlformats.org/officeDocument/2006/relationships/hyperlink" Target="http://dx.doi.org/10.1068/a38519" TargetMode="External"/><Relationship Id="rId17" Type="http://schemas.openxmlformats.org/officeDocument/2006/relationships/hyperlink" Target="http://dx.doi.org/10.1080/17549175.2013.879456" TargetMode="External"/><Relationship Id="rId18" Type="http://schemas.openxmlformats.org/officeDocument/2006/relationships/hyperlink" Target="http://dx.doi.org/10.1016/j.progress.2009.09.001" TargetMode="External"/><Relationship Id="rId19" Type="http://schemas.openxmlformats.org/officeDocument/2006/relationships/hyperlink" Target="http://dx.doi.org/10.1068/a39109" TargetMode="External"/><Relationship Id="rId50" Type="http://schemas.openxmlformats.org/officeDocument/2006/relationships/hyperlink" Target="https://doi.org/10.1111/1468-2427.12176" TargetMode="External"/><Relationship Id="rId51" Type="http://schemas.openxmlformats.org/officeDocument/2006/relationships/hyperlink" Target="http://dx.doi.org/10.1016/j.cities.2013.03.013" TargetMode="External"/><Relationship Id="rId52" Type="http://schemas.openxmlformats.org/officeDocument/2006/relationships/hyperlink" Target="https://doi.org/10.1016/j.cities.2007.01.007" TargetMode="External"/><Relationship Id="rId53" Type="http://schemas.openxmlformats.org/officeDocument/2006/relationships/hyperlink" Target="http://dx.doi.org/10.1080/1369183X.2015.1126092" TargetMode="External"/><Relationship Id="rId54" Type="http://schemas.openxmlformats.org/officeDocument/2006/relationships/hyperlink" Target="http://dx.doi.org/10.1111/j.1468-2427.2011.01095.x" TargetMode="External"/><Relationship Id="rId55" Type="http://schemas.openxmlformats.org/officeDocument/2006/relationships/hyperlink" Target="http://dx.doi.org/10.3828/tpr.2011.21"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s://doi.org/10.3828/tpr.2017.25" TargetMode="External"/><Relationship Id="rId41" Type="http://schemas.openxmlformats.org/officeDocument/2006/relationships/hyperlink" Target="https://doi.org/10.3828/tpr.2016.42a" TargetMode="External"/><Relationship Id="rId42" Type="http://schemas.openxmlformats.org/officeDocument/2006/relationships/hyperlink" Target="http://dx.doi.org/10.1080/00343404.2011.558895" TargetMode="External"/><Relationship Id="rId43" Type="http://schemas.openxmlformats.org/officeDocument/2006/relationships/hyperlink" Target="http://dx.doi.org/10.1016/j.cities.2013.03.012" TargetMode="External"/><Relationship Id="rId44" Type="http://schemas.openxmlformats.org/officeDocument/2006/relationships/hyperlink" Target="http://dx.doi.org/10.1177/0042098011408935" TargetMode="External"/><Relationship Id="rId45" Type="http://schemas.openxmlformats.org/officeDocument/2006/relationships/hyperlink" Target="http://dx.doi.org/10.1080/14649357.2015.1021574" TargetMode="External"/><Relationship Id="rId46" Type="http://schemas.openxmlformats.org/officeDocument/2006/relationships/hyperlink" Target="http://dx.doi.org/10.1177%2F1078087413495809" TargetMode="External"/><Relationship Id="rId47" Type="http://schemas.openxmlformats.org/officeDocument/2006/relationships/hyperlink" Target="http://dx.doi.org/10.1177/0042098012439108" TargetMode="External"/><Relationship Id="rId48" Type="http://schemas.openxmlformats.org/officeDocument/2006/relationships/hyperlink" Target="https://doi.org/10.1068/a4580" TargetMode="External"/><Relationship Id="rId49" Type="http://schemas.openxmlformats.org/officeDocument/2006/relationships/hyperlink" Target="https://doi.org/10.1068/a3814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s://doi.org/10.1146/annurev.so.11.080185.001355" TargetMode="External"/><Relationship Id="rId31" Type="http://schemas.openxmlformats.org/officeDocument/2006/relationships/hyperlink" Target="http://dx.doi.org/10.1068/b31171" TargetMode="External"/><Relationship Id="rId32" Type="http://schemas.openxmlformats.org/officeDocument/2006/relationships/hyperlink" Target="https://doi.org/10.1002/psp.603" TargetMode="External"/><Relationship Id="rId33" Type="http://schemas.openxmlformats.org/officeDocument/2006/relationships/hyperlink" Target="http://dx.doi.org/10.1111/j.1468-2427.2010.01013.x" TargetMode="External"/><Relationship Id="rId34" Type="http://schemas.openxmlformats.org/officeDocument/2006/relationships/hyperlink" Target="http://dx.doi.org/10.1080/02723638.2016.1276718" TargetMode="External"/><Relationship Id="rId35" Type="http://schemas.openxmlformats.org/officeDocument/2006/relationships/hyperlink" Target="https://doi.org/10.1080/24694452.2016.1213156" TargetMode="External"/><Relationship Id="rId36" Type="http://schemas.openxmlformats.org/officeDocument/2006/relationships/hyperlink" Target="https://doi.org/10.1177/0042098012449667" TargetMode="External"/><Relationship Id="rId37" Type="http://schemas.openxmlformats.org/officeDocument/2006/relationships/hyperlink" Target="http://dx.doi.org/10.1080/00343404.2017.1287350" TargetMode="External"/><Relationship Id="rId38" Type="http://schemas.openxmlformats.org/officeDocument/2006/relationships/hyperlink" Target="http://doi.org/10.1016/S0743-0167(03)00031-7" TargetMode="External"/><Relationship Id="rId39" Type="http://schemas.openxmlformats.org/officeDocument/2006/relationships/hyperlink" Target="https://doi.org/10.1068/a37168" TargetMode="External"/><Relationship Id="rId20" Type="http://schemas.openxmlformats.org/officeDocument/2006/relationships/hyperlink" Target="http://dx.doi.org/10.2307/635380" TargetMode="External"/><Relationship Id="rId21" Type="http://schemas.openxmlformats.org/officeDocument/2006/relationships/hyperlink" Target="https://doi.org/10.1080%2F00420980120035277" TargetMode="External"/><Relationship Id="rId22" Type="http://schemas.openxmlformats.org/officeDocument/2006/relationships/hyperlink" Target="http://dx.doi.org/10.4000/belgeo.12440" TargetMode="External"/><Relationship Id="rId23" Type="http://schemas.openxmlformats.org/officeDocument/2006/relationships/hyperlink" Target="https://doi.org/10.1080/00420980600775600" TargetMode="External"/><Relationship Id="rId24" Type="http://schemas.openxmlformats.org/officeDocument/2006/relationships/hyperlink" Target="http://dx.doi.org/10.1080/02697450701455249" TargetMode="External"/><Relationship Id="rId25" Type="http://schemas.openxmlformats.org/officeDocument/2006/relationships/hyperlink" Target="http://dx.doi.org/10.1080/0965431042000312433" TargetMode="External"/><Relationship Id="rId26" Type="http://schemas.openxmlformats.org/officeDocument/2006/relationships/hyperlink" Target="http://dx.doi.org/10.1080/02673037.2013.760029" TargetMode="External"/><Relationship Id="rId27" Type="http://schemas.openxmlformats.org/officeDocument/2006/relationships/hyperlink" Target="http://dx.doi.org/10.1177/0042098014539021" TargetMode="External"/><Relationship Id="rId28" Type="http://schemas.openxmlformats.org/officeDocument/2006/relationships/hyperlink" Target="http://dx.doi.org/10.1111/ecoj.12181" TargetMode="External"/><Relationship Id="rId29" Type="http://schemas.openxmlformats.org/officeDocument/2006/relationships/hyperlink" Target="http://www.manchestereveningnews.co.uk/news/greater-manchester-news/greater-manchesters-mayoral-candidates-row-12445676"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7C1D7-0070-BE48-BCDE-C350C4CA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11012</Words>
  <Characters>62439</Characters>
  <Application>Microsoft Macintosh Word</Application>
  <DocSecurity>0</DocSecurity>
  <Lines>1095</Lines>
  <Paragraphs>317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Dembski, Sebastian</dc:creator>
  <cp:keywords/>
  <dc:description/>
  <cp:lastModifiedBy>Dembski, Sebastian</cp:lastModifiedBy>
  <cp:revision>3</cp:revision>
  <cp:lastPrinted>2017-04-13T14:37:00Z</cp:lastPrinted>
  <dcterms:created xsi:type="dcterms:W3CDTF">2017-10-02T09:26:00Z</dcterms:created>
  <dcterms:modified xsi:type="dcterms:W3CDTF">2017-10-02T10:00:00Z</dcterms:modified>
</cp:coreProperties>
</file>