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7822"/>
      </w:tblGrid>
      <w:tr w:rsidR="00D87A0B" w:rsidRPr="00D87A0B" w:rsidTr="00D87A0B">
        <w:trPr>
          <w:gridAfter w:val="1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A0B" w:rsidRPr="00D87A0B" w:rsidRDefault="00D87A0B" w:rsidP="00D87A0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7"/>
                <w:szCs w:val="27"/>
                <w:lang w:eastAsia="en-GB"/>
              </w:rPr>
            </w:pPr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Abstract Submission</w:t>
            </w:r>
          </w:p>
        </w:tc>
      </w:tr>
      <w:tr w:rsidR="00D87A0B" w:rsidRPr="00D87A0B" w:rsidTr="00D87A0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A0B" w:rsidRPr="00D87A0B" w:rsidRDefault="00D87A0B" w:rsidP="00D87A0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7"/>
                <w:szCs w:val="27"/>
                <w:lang w:eastAsia="en-GB"/>
              </w:rPr>
            </w:pPr>
            <w:r w:rsidRPr="00D87A0B">
              <w:rPr>
                <w:rFonts w:ascii="Arial" w:eastAsia="Times New Roman" w:hAnsi="Arial" w:cs="Arial"/>
                <w:color w:val="212121"/>
                <w:sz w:val="18"/>
                <w:szCs w:val="18"/>
                <w:lang w:eastAsia="en-GB"/>
              </w:rPr>
              <w:t>Topic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A0B" w:rsidRPr="00D87A0B" w:rsidRDefault="00D87A0B" w:rsidP="00D87A0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7"/>
                <w:szCs w:val="27"/>
                <w:lang w:eastAsia="en-GB"/>
              </w:rPr>
            </w:pPr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09. Infectious Diseases and Immunology</w:t>
            </w:r>
          </w:p>
        </w:tc>
      </w:tr>
      <w:tr w:rsidR="00D87A0B" w:rsidRPr="00D87A0B" w:rsidTr="00D87A0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A0B" w:rsidRPr="00D87A0B" w:rsidRDefault="00D87A0B" w:rsidP="00D87A0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7"/>
                <w:szCs w:val="27"/>
                <w:lang w:eastAsia="en-GB"/>
              </w:rPr>
            </w:pPr>
            <w:r w:rsidRPr="00D87A0B">
              <w:rPr>
                <w:rFonts w:ascii="Arial" w:eastAsia="Times New Roman" w:hAnsi="Arial" w:cs="Arial"/>
                <w:color w:val="212121"/>
                <w:sz w:val="18"/>
                <w:szCs w:val="18"/>
                <w:lang w:eastAsia="en-GB"/>
              </w:rPr>
              <w:t>Presentation preference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A0B" w:rsidRPr="00D87A0B" w:rsidRDefault="00D87A0B" w:rsidP="00D87A0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7"/>
                <w:szCs w:val="27"/>
                <w:lang w:eastAsia="en-GB"/>
              </w:rPr>
            </w:pPr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e-Poster Presentation</w:t>
            </w:r>
          </w:p>
        </w:tc>
      </w:tr>
      <w:tr w:rsidR="00D87A0B" w:rsidRPr="00D87A0B" w:rsidTr="00D87A0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A0B" w:rsidRPr="00D87A0B" w:rsidRDefault="00D87A0B" w:rsidP="00D87A0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7"/>
                <w:szCs w:val="27"/>
                <w:lang w:eastAsia="en-GB"/>
              </w:rPr>
            </w:pPr>
            <w:proofErr w:type="spellStart"/>
            <w:r w:rsidRPr="00D87A0B">
              <w:rPr>
                <w:rFonts w:ascii="Arial" w:eastAsia="Times New Roman" w:hAnsi="Arial" w:cs="Arial"/>
                <w:color w:val="212121"/>
                <w:sz w:val="18"/>
                <w:szCs w:val="18"/>
                <w:lang w:eastAsia="en-GB"/>
              </w:rPr>
              <w:t>Abstact</w:t>
            </w:r>
            <w:proofErr w:type="spellEnd"/>
            <w:r w:rsidRPr="00D87A0B">
              <w:rPr>
                <w:rFonts w:ascii="Arial" w:eastAsia="Times New Roman" w:hAnsi="Arial" w:cs="Arial"/>
                <w:color w:val="212121"/>
                <w:sz w:val="18"/>
                <w:szCs w:val="18"/>
                <w:lang w:eastAsia="en-GB"/>
              </w:rPr>
              <w:t xml:space="preserve"> number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A0B" w:rsidRPr="00D87A0B" w:rsidRDefault="00D87A0B" w:rsidP="00D87A0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7"/>
                <w:szCs w:val="27"/>
                <w:lang w:eastAsia="en-GB"/>
              </w:rPr>
            </w:pPr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EAPS-0584</w:t>
            </w:r>
          </w:p>
        </w:tc>
      </w:tr>
      <w:tr w:rsidR="00D87A0B" w:rsidRPr="00D87A0B" w:rsidTr="00D87A0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A0B" w:rsidRPr="00D87A0B" w:rsidRDefault="00D87A0B" w:rsidP="00D87A0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7"/>
                <w:szCs w:val="27"/>
                <w:lang w:eastAsia="en-GB"/>
              </w:rPr>
            </w:pPr>
            <w:r w:rsidRPr="00D87A0B">
              <w:rPr>
                <w:rFonts w:ascii="Arial" w:eastAsia="Times New Roman" w:hAnsi="Arial" w:cs="Arial"/>
                <w:color w:val="212121"/>
                <w:sz w:val="18"/>
                <w:szCs w:val="18"/>
                <w:lang w:eastAsia="en-GB"/>
              </w:rPr>
              <w:t>Abstract title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A0B" w:rsidRPr="00D87A0B" w:rsidRDefault="00D87A0B" w:rsidP="00D87A0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7"/>
                <w:szCs w:val="27"/>
                <w:lang w:eastAsia="en-GB"/>
              </w:rPr>
            </w:pPr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NON-INFECTIVE INFLUENCES ON A CONTINUOUS PREDICTOR OF INFECTION (</w:t>
            </w:r>
            <w:proofErr w:type="spellStart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HeRO</w:t>
            </w:r>
            <w:proofErr w:type="spellEnd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 SCORE)</w:t>
            </w:r>
          </w:p>
        </w:tc>
      </w:tr>
      <w:tr w:rsidR="00D87A0B" w:rsidRPr="00D87A0B" w:rsidTr="00D87A0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A0B" w:rsidRPr="00D87A0B" w:rsidRDefault="00D87A0B" w:rsidP="00D87A0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7"/>
                <w:szCs w:val="27"/>
                <w:lang w:eastAsia="en-GB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A0B" w:rsidRPr="00D87A0B" w:rsidRDefault="00D87A0B" w:rsidP="00D87A0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7"/>
                <w:szCs w:val="27"/>
                <w:lang w:eastAsia="en-GB"/>
              </w:rPr>
            </w:pPr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Background and aims</w:t>
            </w:r>
          </w:p>
          <w:p w:rsidR="00D87A0B" w:rsidRPr="00D87A0B" w:rsidRDefault="00D87A0B" w:rsidP="00D87A0B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12121"/>
                <w:sz w:val="27"/>
                <w:szCs w:val="27"/>
                <w:lang w:eastAsia="en-GB"/>
              </w:rPr>
            </w:pPr>
            <w:proofErr w:type="spellStart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HeRO</w:t>
            </w:r>
            <w:proofErr w:type="spellEnd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 score (a measure of heart rate variability and autonomic influences on heart rate) has been demonstrated to reduce mortality from neonatal sepsis. We operationalise the </w:t>
            </w:r>
            <w:proofErr w:type="spellStart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HeRO</w:t>
            </w:r>
            <w:proofErr w:type="spellEnd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 score by conducting infection screens when the </w:t>
            </w:r>
            <w:proofErr w:type="spellStart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HeRO</w:t>
            </w:r>
            <w:proofErr w:type="spellEnd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 </w:t>
            </w:r>
            <w:proofErr w:type="gramStart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score</w:t>
            </w:r>
            <w:proofErr w:type="gramEnd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 changes by a fixed threshold from baseline. However, </w:t>
            </w:r>
            <w:proofErr w:type="spellStart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HeRO</w:t>
            </w:r>
            <w:proofErr w:type="spellEnd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 “spikes” do not always correlate with the onset of sepsis and infants are treated unnecessary with antibiotics. We hypothesised that non-infective processes affect the </w:t>
            </w:r>
            <w:proofErr w:type="spellStart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HeRO</w:t>
            </w:r>
            <w:proofErr w:type="spellEnd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 score and predict </w:t>
            </w:r>
            <w:proofErr w:type="spellStart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HeRO</w:t>
            </w:r>
            <w:proofErr w:type="spellEnd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 “spikes”. </w:t>
            </w:r>
          </w:p>
          <w:p w:rsidR="00D87A0B" w:rsidRPr="00D87A0B" w:rsidRDefault="00D87A0B" w:rsidP="00D87A0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7"/>
                <w:szCs w:val="27"/>
                <w:lang w:eastAsia="en-GB"/>
              </w:rPr>
            </w:pPr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Methods</w:t>
            </w:r>
          </w:p>
          <w:p w:rsidR="00D87A0B" w:rsidRPr="00D87A0B" w:rsidRDefault="00D87A0B" w:rsidP="00D87A0B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12121"/>
                <w:sz w:val="27"/>
                <w:szCs w:val="27"/>
                <w:lang w:eastAsia="en-GB"/>
              </w:rPr>
            </w:pPr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Prospective, observational data for each patient were plotted in chronological order to identify </w:t>
            </w:r>
            <w:proofErr w:type="spellStart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HeRO</w:t>
            </w:r>
            <w:proofErr w:type="spellEnd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 spikes (Figure 1) and used to study the predictive value of changes of PDA echocardiographic biomarkers and biomarkers of cerebral function (cerebral oxygenation index and </w:t>
            </w:r>
            <w:proofErr w:type="spellStart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aEEG</w:t>
            </w:r>
            <w:proofErr w:type="spellEnd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) to </w:t>
            </w:r>
            <w:proofErr w:type="spellStart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HeRO</w:t>
            </w:r>
            <w:proofErr w:type="spellEnd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 spikes. Data from one time point during day 3 after birth were used to correlate non-infective biomarkers with raw </w:t>
            </w:r>
            <w:proofErr w:type="spellStart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HeRO</w:t>
            </w:r>
            <w:proofErr w:type="spellEnd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 score irrespective of the presence of infection.</w:t>
            </w:r>
          </w:p>
          <w:p w:rsidR="00D87A0B" w:rsidRPr="00D87A0B" w:rsidRDefault="00D87A0B" w:rsidP="00D87A0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7"/>
                <w:szCs w:val="27"/>
                <w:lang w:eastAsia="en-GB"/>
              </w:rPr>
            </w:pPr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Results</w:t>
            </w:r>
          </w:p>
          <w:p w:rsidR="00D87A0B" w:rsidRPr="00D87A0B" w:rsidRDefault="00D87A0B" w:rsidP="00D87A0B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12121"/>
                <w:sz w:val="27"/>
                <w:szCs w:val="27"/>
                <w:lang w:eastAsia="en-GB"/>
              </w:rPr>
            </w:pPr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br/>
            </w:r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br/>
              <w:t xml:space="preserve">34 premature neonates [male 20, median BW 0.96 kg (IQR 0.39), GA   26.9 weeks (IQR 2.1)] were included. Non-infective markers had some predictive value for “spikes” (Table 1) and were correlated with </w:t>
            </w:r>
            <w:proofErr w:type="spellStart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HeRO</w:t>
            </w:r>
            <w:proofErr w:type="spellEnd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 score (expressed as variable, R</w:t>
            </w:r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vertAlign w:val="superscript"/>
                <w:lang w:eastAsia="en-GB"/>
              </w:rPr>
              <w:t>2</w:t>
            </w:r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, P-value): PDA severity score, 0.141, 0.038; PDA diameter, 0.134, 0.039; </w:t>
            </w:r>
            <w:proofErr w:type="spellStart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aEEG</w:t>
            </w:r>
            <w:proofErr w:type="spellEnd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 score, 0.150, 0.031; Lactate, 0.548,&lt;0.001; Left ventricular flow, 0.175, 0.017; Left atrium/Aortic ratio, 0.193, 0.012.</w:t>
            </w:r>
          </w:p>
          <w:p w:rsidR="00D87A0B" w:rsidRPr="00D87A0B" w:rsidRDefault="00D87A0B" w:rsidP="00D87A0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7"/>
                <w:szCs w:val="27"/>
                <w:lang w:eastAsia="en-GB"/>
              </w:rPr>
            </w:pPr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Conclusions</w:t>
            </w:r>
          </w:p>
          <w:p w:rsidR="00D87A0B" w:rsidRPr="00D87A0B" w:rsidRDefault="00D87A0B" w:rsidP="00D87A0B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212121"/>
                <w:sz w:val="27"/>
                <w:szCs w:val="27"/>
                <w:lang w:eastAsia="en-GB"/>
              </w:rPr>
            </w:pPr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A number of non-infective biomarkers are associated with the </w:t>
            </w:r>
            <w:proofErr w:type="spellStart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HeRO</w:t>
            </w:r>
            <w:proofErr w:type="spellEnd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 score. We speculate that the imperfect relationship between </w:t>
            </w:r>
            <w:proofErr w:type="spellStart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HeRO</w:t>
            </w:r>
            <w:proofErr w:type="spellEnd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 xml:space="preserve"> score and infections is partially due to alterations in the autonomic nervous system related to PDA, and brain activity as measured by </w:t>
            </w:r>
            <w:proofErr w:type="spellStart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aEEG</w:t>
            </w:r>
            <w:proofErr w:type="spellEnd"/>
            <w:r w:rsidRPr="00D87A0B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en-GB"/>
              </w:rPr>
              <w:t>.</w:t>
            </w:r>
          </w:p>
        </w:tc>
      </w:tr>
    </w:tbl>
    <w:p w:rsidR="00FC02F3" w:rsidRDefault="00D87A0B"/>
    <w:sectPr w:rsidR="00FC0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0B"/>
    <w:rsid w:val="00411CB8"/>
    <w:rsid w:val="0065446F"/>
    <w:rsid w:val="00D8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801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30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8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92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Rodgers, Ben</dc:creator>
  <cp:lastModifiedBy>Rodgers, Ben</cp:lastModifiedBy>
  <cp:revision>1</cp:revision>
  <dcterms:created xsi:type="dcterms:W3CDTF">2017-11-06T15:57:00Z</dcterms:created>
  <dcterms:modified xsi:type="dcterms:W3CDTF">2017-11-06T15:57:00Z</dcterms:modified>
</cp:coreProperties>
</file>