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2BCBFA" w14:textId="77777777" w:rsidR="00D85DF5" w:rsidRDefault="00D85DF5" w:rsidP="00163FB4">
      <w:pPr>
        <w:jc w:val="right"/>
        <w:rPr>
          <w:b/>
        </w:rPr>
      </w:pPr>
      <w:bookmarkStart w:id="0" w:name="_GoBack"/>
      <w:bookmarkEnd w:id="0"/>
    </w:p>
    <w:p w14:paraId="69D09417" w14:textId="2085C120" w:rsidR="0065560C" w:rsidRDefault="00163FB4" w:rsidP="00163FB4">
      <w:pPr>
        <w:jc w:val="right"/>
        <w:rPr>
          <w:b/>
        </w:rPr>
      </w:pPr>
      <w:r>
        <w:rPr>
          <w:b/>
        </w:rPr>
        <w:t>Christopher Eyre</w:t>
      </w:r>
    </w:p>
    <w:p w14:paraId="01CE2F72" w14:textId="01CDA83F" w:rsidR="0037021F" w:rsidRDefault="0037021F" w:rsidP="00502122">
      <w:pPr>
        <w:rPr>
          <w:b/>
        </w:rPr>
      </w:pPr>
      <w:r w:rsidRPr="0037021F">
        <w:rPr>
          <w:b/>
        </w:rPr>
        <w:t>Calculated Frightfulness</w:t>
      </w:r>
      <w:r w:rsidR="00CE1790">
        <w:rPr>
          <w:b/>
        </w:rPr>
        <w:t xml:space="preserve"> and the Display of Violence</w:t>
      </w:r>
    </w:p>
    <w:p w14:paraId="5DFEC9E8" w14:textId="77777777" w:rsidR="0037021F" w:rsidRDefault="0037021F" w:rsidP="00502122"/>
    <w:p w14:paraId="09680E43" w14:textId="6F62D155" w:rsidR="000F55DB" w:rsidRDefault="00A10AA6" w:rsidP="00502122">
      <w:r>
        <w:t>Modern readings of Egyptian royal (self-)presentation – both depictions and text – tend to focus on ideological and higher level symbolic issues over low-level practical behaviour</w:t>
      </w:r>
      <w:r w:rsidR="00DA6736">
        <w:t>.</w:t>
      </w:r>
      <w:r w:rsidR="00864FA1">
        <w:rPr>
          <w:rStyle w:val="FootnoteReference"/>
        </w:rPr>
        <w:footnoteReference w:id="1"/>
      </w:r>
      <w:r>
        <w:t xml:space="preserve">  An</w:t>
      </w:r>
      <w:r w:rsidR="00272D51">
        <w:t xml:space="preserve"> address </w:t>
      </w:r>
      <w:r>
        <w:t xml:space="preserve">to </w:t>
      </w:r>
      <w:r w:rsidR="00507172">
        <w:t>the reality</w:t>
      </w:r>
      <w:r w:rsidR="00272D51">
        <w:t xml:space="preserve"> behind </w:t>
      </w:r>
      <w:r w:rsidR="001A1D5E">
        <w:t xml:space="preserve">both ancient and </w:t>
      </w:r>
      <w:r w:rsidR="00272D51">
        <w:t xml:space="preserve">modern idealisation </w:t>
      </w:r>
      <w:r>
        <w:t>and abstraction asks for a different and more literal reading of the material, for which consideration of the actual violence inherent in (political) hierarchy and social order</w:t>
      </w:r>
      <w:r w:rsidR="00272D51">
        <w:t xml:space="preserve"> </w:t>
      </w:r>
      <w:r>
        <w:t>provides one useful thread of argument</w:t>
      </w:r>
      <w:r w:rsidR="00272D51">
        <w:t xml:space="preserve">. </w:t>
      </w:r>
      <w:r w:rsidR="00FE3DA6">
        <w:t>Yoyotte, in his classic enquiry into human sacrifice in Egypt,</w:t>
      </w:r>
      <w:r w:rsidR="00FE3DA6">
        <w:rPr>
          <w:rStyle w:val="FootnoteReference"/>
        </w:rPr>
        <w:footnoteReference w:id="2"/>
      </w:r>
      <w:r w:rsidR="00FE3DA6">
        <w:t xml:space="preserve"> makes the point very clearly</w:t>
      </w:r>
      <w:r w:rsidR="008468E7">
        <w:t>:</w:t>
      </w:r>
      <w:r w:rsidR="00FE3DA6">
        <w:t xml:space="preserve"> that we should not be hypnotised</w:t>
      </w:r>
      <w:r w:rsidR="008468E7">
        <w:t xml:space="preserve"> </w:t>
      </w:r>
      <w:r w:rsidR="00FE3DA6">
        <w:t xml:space="preserve">by </w:t>
      </w:r>
      <w:r w:rsidR="008468E7">
        <w:t>a</w:t>
      </w:r>
      <w:r w:rsidR="00FE3DA6">
        <w:t xml:space="preserve"> </w:t>
      </w:r>
      <w:r w:rsidR="002150FD">
        <w:t xml:space="preserve">modernising </w:t>
      </w:r>
      <w:r w:rsidR="00FE3DA6">
        <w:t xml:space="preserve">vision of </w:t>
      </w:r>
      <w:r w:rsidR="002150FD">
        <w:t xml:space="preserve">civilised </w:t>
      </w:r>
      <w:r w:rsidR="00507172">
        <w:t xml:space="preserve">ancient </w:t>
      </w:r>
      <w:r w:rsidR="00FE3DA6">
        <w:t>Egyptians.</w:t>
      </w:r>
      <w:r w:rsidR="002150FD">
        <w:t xml:space="preserve"> It is unlikely that the nice ancient Egyptians subscribed to the curious view of the post-colonial West, that one invades foreign countries for their own good, and that armies should do their best not to kill anybody: that the purpose of empire is to civilise.</w:t>
      </w:r>
    </w:p>
    <w:p w14:paraId="217C73F8" w14:textId="3D2EE303" w:rsidR="00992DA9" w:rsidRDefault="00FE3DA6" w:rsidP="00456BB9">
      <w:r>
        <w:tab/>
        <w:t>There has always been an implicit contr</w:t>
      </w:r>
      <w:r w:rsidR="00DC28B1">
        <w:t xml:space="preserve">ast </w:t>
      </w:r>
      <w:r w:rsidR="00D36104">
        <w:t>with</w:t>
      </w:r>
      <w:r w:rsidR="00DC28B1">
        <w:t xml:space="preserve"> </w:t>
      </w:r>
      <w:r w:rsidR="00AD4192">
        <w:t>neo-</w:t>
      </w:r>
      <w:r w:rsidR="00DC28B1">
        <w:t>Assyrian royal self-</w:t>
      </w:r>
      <w:r>
        <w:t>presentation</w:t>
      </w:r>
      <w:r w:rsidR="00D36104">
        <w:t>,</w:t>
      </w:r>
      <w:r>
        <w:t xml:space="preserve"> as frightful by calculation:</w:t>
      </w:r>
      <w:r w:rsidR="00D7299B">
        <w:rPr>
          <w:rStyle w:val="FootnoteReference"/>
        </w:rPr>
        <w:footnoteReference w:id="3"/>
      </w:r>
      <w:r>
        <w:t xml:space="preserve"> the display and narration of mass cruelty to rebels</w:t>
      </w:r>
      <w:r w:rsidR="000F55DB">
        <w:t>, particularly</w:t>
      </w:r>
      <w:r>
        <w:t xml:space="preserve"> as a feature of the decoration of the royal palace. At </w:t>
      </w:r>
      <w:r w:rsidR="00380798">
        <w:t xml:space="preserve">its simplest, the underlying </w:t>
      </w:r>
      <w:r>
        <w:t xml:space="preserve">theme </w:t>
      </w:r>
      <w:r w:rsidR="00380798">
        <w:t xml:space="preserve">is </w:t>
      </w:r>
      <w:r w:rsidR="00455441">
        <w:t>that he who submits</w:t>
      </w:r>
      <w:r>
        <w:t xml:space="preserve"> to Assyrian domination will be </w:t>
      </w:r>
      <w:r w:rsidR="00173158">
        <w:t>spared</w:t>
      </w:r>
      <w:r>
        <w:t xml:space="preserve">, but that </w:t>
      </w:r>
      <w:r w:rsidR="00455441">
        <w:t xml:space="preserve">resistance or </w:t>
      </w:r>
      <w:r>
        <w:t>rebellion will be tr</w:t>
      </w:r>
      <w:r w:rsidR="00BA1D1B">
        <w:t xml:space="preserve">eated ferociously, </w:t>
      </w:r>
      <w:r w:rsidR="00517A80">
        <w:t>through</w:t>
      </w:r>
      <w:r w:rsidR="00BA1D1B">
        <w:t xml:space="preserve"> </w:t>
      </w:r>
      <w:r w:rsidR="008468E7">
        <w:t xml:space="preserve">the public display of </w:t>
      </w:r>
      <w:r>
        <w:t>calculate</w:t>
      </w:r>
      <w:r w:rsidR="00BA1D1B">
        <w:t>d</w:t>
      </w:r>
      <w:r>
        <w:t xml:space="preserve"> frightfulness </w:t>
      </w:r>
      <w:r w:rsidR="00BA1D1B">
        <w:t xml:space="preserve">– </w:t>
      </w:r>
      <w:r w:rsidR="008468E7">
        <w:t xml:space="preserve">decapitation, </w:t>
      </w:r>
      <w:r w:rsidR="00BA1D1B">
        <w:t>impaling, flaying, mutilation – and its detailed rep</w:t>
      </w:r>
      <w:r w:rsidR="008468E7">
        <w:t>roduc</w:t>
      </w:r>
      <w:r w:rsidR="00BA1D1B">
        <w:t>tion in relief and royal narrative.</w:t>
      </w:r>
      <w:r w:rsidR="00662EBB">
        <w:t xml:space="preserve"> </w:t>
      </w:r>
      <w:r w:rsidR="008468E7">
        <w:t>The underlying theme is a universal cliché: that a city which rebels or resists can expect to be sacked, the males killed and women and children enslaved. The deliberate savagery has both strategic and ideological purpose, but it also represents the extreme assertion of power.</w:t>
      </w:r>
      <w:r w:rsidR="008468E7">
        <w:rPr>
          <w:rStyle w:val="FootnoteReference"/>
        </w:rPr>
        <w:footnoteReference w:id="4"/>
      </w:r>
      <w:r w:rsidR="008468E7">
        <w:t xml:space="preserve"> In </w:t>
      </w:r>
      <w:r w:rsidR="008468E7">
        <w:lastRenderedPageBreak/>
        <w:t xml:space="preserve">practice one can doubt that the nationality of a marauding army made a lot of difference when an ancient town was sacked. </w:t>
      </w:r>
      <w:r w:rsidR="00DA6736">
        <w:t>The focus on this sort of detail – including impact on civilian populations – belongs to an approach, self-characterised as the writing a ‘new military history’, which has not been broadly used in Egyptology,</w:t>
      </w:r>
      <w:r w:rsidR="00DA6736">
        <w:rPr>
          <w:rStyle w:val="FootnoteReference"/>
        </w:rPr>
        <w:footnoteReference w:id="5"/>
      </w:r>
      <w:r w:rsidR="00DA6736">
        <w:t xml:space="preserve"> partly because of the nature of the Egyptian record. So, for instance, the</w:t>
      </w:r>
      <w:r w:rsidR="00662EBB">
        <w:t xml:space="preserve"> balance</w:t>
      </w:r>
      <w:r w:rsidR="00173158">
        <w:t xml:space="preserve"> in warfare </w:t>
      </w:r>
      <w:r w:rsidR="00662EBB">
        <w:t>between ethics and expediency</w:t>
      </w:r>
      <w:r w:rsidR="008468E7">
        <w:t xml:space="preserve"> </w:t>
      </w:r>
      <w:r w:rsidR="00662EBB">
        <w:t>is not discussed explicitly in Egyptian sources</w:t>
      </w:r>
      <w:r w:rsidR="008468E7">
        <w:t>,</w:t>
      </w:r>
      <w:r w:rsidR="00184C41">
        <w:rPr>
          <w:rStyle w:val="FootnoteReference"/>
        </w:rPr>
        <w:footnoteReference w:id="6"/>
      </w:r>
      <w:r w:rsidR="00BA1D1B">
        <w:t xml:space="preserve"> </w:t>
      </w:r>
      <w:r w:rsidR="00DA6736">
        <w:t xml:space="preserve">nor the impact on the conquered, </w:t>
      </w:r>
      <w:r w:rsidR="008468E7">
        <w:t>but a</w:t>
      </w:r>
      <w:r w:rsidR="00173158">
        <w:t>nybody who opposed the Egyptian king</w:t>
      </w:r>
      <w:r w:rsidR="00455441">
        <w:t>, in any way, was</w:t>
      </w:r>
      <w:r w:rsidR="00456BB9">
        <w:t xml:space="preserve"> by definition </w:t>
      </w:r>
      <w:r w:rsidR="00456BB9" w:rsidRPr="007918E3">
        <w:rPr>
          <w:rFonts w:ascii="Trlit_CG Times" w:hAnsi="Trlit_CG Times"/>
        </w:rPr>
        <w:t>sbi</w:t>
      </w:r>
      <w:r w:rsidR="00455441">
        <w:t xml:space="preserve">, </w:t>
      </w:r>
      <w:r w:rsidR="00456BB9">
        <w:t>and c</w:t>
      </w:r>
      <w:r w:rsidR="00173158">
        <w:t>ould</w:t>
      </w:r>
      <w:r w:rsidR="00456BB9">
        <w:t xml:space="preserve"> expect extreme violence. </w:t>
      </w:r>
    </w:p>
    <w:p w14:paraId="70C113D0" w14:textId="77777777" w:rsidR="00CB776C" w:rsidRDefault="00BA1D1B" w:rsidP="00423677">
      <w:pPr>
        <w:ind w:firstLine="709"/>
      </w:pPr>
      <w:r>
        <w:t xml:space="preserve">Egyptian royal narrative, and particularly relief, </w:t>
      </w:r>
      <w:r w:rsidR="00456BB9">
        <w:t xml:space="preserve">has always seemed </w:t>
      </w:r>
      <w:r w:rsidR="00A10AA6">
        <w:t>more restrained</w:t>
      </w:r>
      <w:r w:rsidR="00456BB9">
        <w:t xml:space="preserve"> in what is displayed</w:t>
      </w:r>
      <w:r w:rsidR="00A10AA6">
        <w:t xml:space="preserve">. Egyptian presentation of the king slaughtering enemies seems visually </w:t>
      </w:r>
      <w:r w:rsidR="00517A80">
        <w:t xml:space="preserve">ordered </w:t>
      </w:r>
      <w:r w:rsidR="00E83E30">
        <w:t xml:space="preserve">and </w:t>
      </w:r>
      <w:r w:rsidR="00A10AA6">
        <w:t>s</w:t>
      </w:r>
      <w:r w:rsidR="00517A80">
        <w:t>ter</w:t>
      </w:r>
      <w:r w:rsidR="00644AC8">
        <w:t>eo</w:t>
      </w:r>
      <w:r w:rsidR="00517A80">
        <w:t>typ</w:t>
      </w:r>
      <w:r w:rsidR="000F55DB">
        <w:t>ed</w:t>
      </w:r>
      <w:r w:rsidR="00CB776C">
        <w:t>. V</w:t>
      </w:r>
      <w:r w:rsidR="00E83E30">
        <w:t>iolence is depicted as</w:t>
      </w:r>
      <w:r w:rsidR="00BE5FDB">
        <w:t xml:space="preserve"> marginal, limited in individua</w:t>
      </w:r>
      <w:r w:rsidR="00E83E30">
        <w:t>tion, and so not appearing quite real, in contrast to comparable</w:t>
      </w:r>
      <w:r w:rsidR="000F55DB">
        <w:t xml:space="preserve"> Assyrian material:</w:t>
      </w:r>
      <w:r w:rsidR="00A10AA6">
        <w:t xml:space="preserve"> the </w:t>
      </w:r>
      <w:r w:rsidR="003204F5">
        <w:t xml:space="preserve">Egyptian </w:t>
      </w:r>
      <w:r w:rsidR="00A10AA6">
        <w:t xml:space="preserve">king standing on </w:t>
      </w:r>
      <w:r w:rsidR="00456BB9">
        <w:t>prisoners</w:t>
      </w:r>
      <w:r w:rsidR="00BE5FDB">
        <w:t xml:space="preserve"> which </w:t>
      </w:r>
      <w:r w:rsidR="00456BB9">
        <w:t xml:space="preserve">decorating </w:t>
      </w:r>
      <w:r w:rsidR="00BE5FDB">
        <w:t xml:space="preserve">the floor of his </w:t>
      </w:r>
      <w:r w:rsidR="00A10AA6">
        <w:t xml:space="preserve">throne-base or </w:t>
      </w:r>
      <w:r w:rsidR="00456BB9">
        <w:t xml:space="preserve">the soles of </w:t>
      </w:r>
      <w:r w:rsidR="00E83E30">
        <w:t>his</w:t>
      </w:r>
      <w:r w:rsidR="00A10AA6">
        <w:t xml:space="preserve"> sandals. </w:t>
      </w:r>
    </w:p>
    <w:p w14:paraId="4D17F940" w14:textId="4962897E" w:rsidR="00423677" w:rsidRDefault="00CB776C" w:rsidP="00423677">
      <w:pPr>
        <w:ind w:firstLine="720"/>
      </w:pPr>
      <w:r>
        <w:t>Even the motif of the Egyptian king standing on prisoners is stylised and ordered – picturing world control – as they make a floor for his throne, dias, or the soles of his sandals, or even in the picture of Ramesses III standing on an ordered platform of prisoners to shoot arrows at the chaotic and disordered enemy fleet.</w:t>
      </w:r>
      <w:r>
        <w:rPr>
          <w:rStyle w:val="FootnoteReference"/>
        </w:rPr>
        <w:footnoteReference w:id="7"/>
      </w:r>
      <w:r>
        <w:t xml:space="preserve"> </w:t>
      </w:r>
      <w:r w:rsidR="007918E3">
        <w:t>Trampling ov</w:t>
      </w:r>
      <w:r w:rsidR="00517A80">
        <w:t xml:space="preserve">er </w:t>
      </w:r>
      <w:r>
        <w:t xml:space="preserve">disordered heaps of </w:t>
      </w:r>
      <w:r w:rsidR="00517A80">
        <w:t>distorted corpses become</w:t>
      </w:r>
      <w:r w:rsidR="007918E3">
        <w:t xml:space="preserve">s a cliché </w:t>
      </w:r>
      <w:r>
        <w:t>for the chaos of the battle-field</w:t>
      </w:r>
      <w:r w:rsidR="00517A80" w:rsidRPr="00456BB9">
        <w:t>,</w:t>
      </w:r>
      <w:r w:rsidR="007918E3" w:rsidRPr="00456BB9">
        <w:t xml:space="preserve"> </w:t>
      </w:r>
      <w:r w:rsidR="00517A80" w:rsidRPr="00456BB9">
        <w:t xml:space="preserve">but </w:t>
      </w:r>
      <w:r w:rsidR="007918E3" w:rsidRPr="00456BB9">
        <w:t>standing on live prisoners seems a stylistic representation</w:t>
      </w:r>
      <w:r>
        <w:t xml:space="preserve">. This </w:t>
      </w:r>
      <w:r w:rsidR="00F21885" w:rsidRPr="00456BB9">
        <w:t>stylisation is</w:t>
      </w:r>
      <w:r w:rsidR="00456BB9" w:rsidRPr="00456BB9">
        <w:t xml:space="preserve">, however, </w:t>
      </w:r>
      <w:r w:rsidR="00F21885" w:rsidRPr="00456BB9">
        <w:t>rooted in the plagiaristic use of battle reliefs</w:t>
      </w:r>
      <w:r w:rsidR="003204F5">
        <w:t>, from one reign to another,</w:t>
      </w:r>
      <w:r w:rsidR="00F21885" w:rsidRPr="00456BB9">
        <w:t xml:space="preserve"> as ideological – and fictional – presentations of the role of the king</w:t>
      </w:r>
      <w:r w:rsidR="00456BB9" w:rsidRPr="00456BB9">
        <w:t>.</w:t>
      </w:r>
      <w:r w:rsidR="006E0CF6">
        <w:t xml:space="preserve"> </w:t>
      </w:r>
      <w:r>
        <w:t>E</w:t>
      </w:r>
      <w:r w:rsidR="00F21885" w:rsidRPr="00456BB9">
        <w:t xml:space="preserve">ven where incidental detail </w:t>
      </w:r>
      <w:r w:rsidR="00456BB9" w:rsidRPr="00456BB9">
        <w:t xml:space="preserve">in the relief </w:t>
      </w:r>
      <w:r w:rsidR="00F21885" w:rsidRPr="00456BB9">
        <w:t>seems to preserve specific events,</w:t>
      </w:r>
      <w:r w:rsidR="00423677">
        <w:t xml:space="preserve"> </w:t>
      </w:r>
      <w:r>
        <w:t xml:space="preserve">these can themselves be plagiarised </w:t>
      </w:r>
      <w:r w:rsidR="00F21885" w:rsidRPr="00456BB9">
        <w:t xml:space="preserve">historical </w:t>
      </w:r>
      <w:r w:rsidR="003204F5">
        <w:t>events</w:t>
      </w:r>
      <w:r>
        <w:t xml:space="preserve">, serving to assert </w:t>
      </w:r>
      <w:r w:rsidR="00F21885" w:rsidRPr="00456BB9">
        <w:t xml:space="preserve">performance of a </w:t>
      </w:r>
      <w:r w:rsidR="00F21885" w:rsidRPr="00456BB9">
        <w:lastRenderedPageBreak/>
        <w:t>role.</w:t>
      </w:r>
      <w:r w:rsidR="00F21885" w:rsidRPr="00456BB9">
        <w:rPr>
          <w:rStyle w:val="FootnoteReference"/>
        </w:rPr>
        <w:footnoteReference w:id="8"/>
      </w:r>
      <w:r w:rsidR="00456BB9">
        <w:t xml:space="preserve"> It is never simple to distinguish between the symbolic depiction of violence</w:t>
      </w:r>
      <w:r>
        <w:t>,</w:t>
      </w:r>
      <w:r w:rsidR="00456BB9">
        <w:t xml:space="preserve"> a</w:t>
      </w:r>
      <w:r>
        <w:t>s</w:t>
      </w:r>
      <w:r w:rsidR="00456BB9">
        <w:t xml:space="preserve"> something </w:t>
      </w:r>
      <w:r>
        <w:t>characterising</w:t>
      </w:r>
      <w:r w:rsidR="00456BB9">
        <w:t xml:space="preserve"> a broader reality, and the incidental and specific example of violence</w:t>
      </w:r>
      <w:r w:rsidR="00411CEC">
        <w:t xml:space="preserve">. </w:t>
      </w:r>
    </w:p>
    <w:p w14:paraId="54FECF89" w14:textId="77777777" w:rsidR="00423677" w:rsidRDefault="00423677" w:rsidP="00502122"/>
    <w:p w14:paraId="4E6C8CE4" w14:textId="2D8DBF0D" w:rsidR="00423677" w:rsidRPr="00423677" w:rsidRDefault="00423677" w:rsidP="00502122">
      <w:pPr>
        <w:rPr>
          <w:b/>
        </w:rPr>
      </w:pPr>
      <w:r w:rsidRPr="00423677">
        <w:rPr>
          <w:b/>
        </w:rPr>
        <w:t>Punitive expeditions and slave-raiding</w:t>
      </w:r>
    </w:p>
    <w:p w14:paraId="24546D19" w14:textId="725F3A07" w:rsidR="00C2443E" w:rsidRDefault="00BD79F6" w:rsidP="00502122">
      <w:r>
        <w:t>O</w:t>
      </w:r>
      <w:r w:rsidR="00C2443E">
        <w:t>ne should take at face val</w:t>
      </w:r>
      <w:r w:rsidR="00423677">
        <w:t xml:space="preserve">ue what the Egyptian texts say. </w:t>
      </w:r>
      <w:r w:rsidR="00C2443E">
        <w:t xml:space="preserve">For instance, the </w:t>
      </w:r>
      <w:r w:rsidR="00140FB8">
        <w:t>Elephantine Inscription dated to the first ye</w:t>
      </w:r>
      <w:r w:rsidR="00140FB8" w:rsidRPr="00423677">
        <w:t xml:space="preserve">ar </w:t>
      </w:r>
      <w:r w:rsidR="00C2443E" w:rsidRPr="00423677">
        <w:t>of T</w:t>
      </w:r>
      <w:r w:rsidR="00C2443E" w:rsidRPr="00813E93">
        <w:t xml:space="preserve">uthmosis </w:t>
      </w:r>
      <w:r w:rsidR="00C2443E">
        <w:t>II</w:t>
      </w:r>
      <w:r w:rsidR="00423677">
        <w:t>:</w:t>
      </w:r>
      <w:r w:rsidR="00C2443E">
        <w:rPr>
          <w:rStyle w:val="FootnoteReference"/>
        </w:rPr>
        <w:footnoteReference w:id="9"/>
      </w:r>
      <w:r w:rsidR="00C2443E">
        <w:t xml:space="preserve"> </w:t>
      </w:r>
    </w:p>
    <w:p w14:paraId="6B6235A4" w14:textId="77777777" w:rsidR="00423677" w:rsidRDefault="00423677" w:rsidP="00502122"/>
    <w:p w14:paraId="55EA1A3E" w14:textId="77777777" w:rsidR="00C2443E" w:rsidRPr="001B66FD" w:rsidRDefault="00C2443E" w:rsidP="00423677">
      <w:pPr>
        <w:rPr>
          <w:rFonts w:ascii="Trlit_CG Times" w:hAnsi="Trlit_CG Times"/>
        </w:rPr>
      </w:pPr>
      <w:r w:rsidRPr="001B66FD">
        <w:rPr>
          <w:rFonts w:ascii="Trlit_CG Times" w:hAnsi="Trlit_CG Times"/>
        </w:rPr>
        <w:t>st Hm=f m aH=f bAw=f sxm snd=f xt tA</w:t>
      </w:r>
    </w:p>
    <w:p w14:paraId="10FDA547" w14:textId="2C397FF3" w:rsidR="00C2443E" w:rsidRPr="001B66FD" w:rsidRDefault="00C2443E" w:rsidP="00423677">
      <w:r w:rsidRPr="001B66FD">
        <w:t>Now His Majesty is in his palace, (while) his divine intervention and the power of f</w:t>
      </w:r>
      <w:r w:rsidR="003B69E3" w:rsidRPr="001B66FD">
        <w:t>ear of him are through the land;</w:t>
      </w:r>
      <w:r w:rsidRPr="001B66FD">
        <w:t xml:space="preserve"> </w:t>
      </w:r>
    </w:p>
    <w:p w14:paraId="6DBA45B8" w14:textId="77777777" w:rsidR="00C2443E" w:rsidRPr="001B66FD" w:rsidRDefault="00C2443E" w:rsidP="00423677">
      <w:pPr>
        <w:rPr>
          <w:rFonts w:ascii="Trlit_CG Times" w:hAnsi="Trlit_CG Times"/>
        </w:rPr>
      </w:pPr>
      <w:r w:rsidRPr="001B66FD">
        <w:rPr>
          <w:rFonts w:ascii="Trlit_CG Times" w:hAnsi="Trlit_CG Times"/>
        </w:rPr>
        <w:t xml:space="preserve">SfSt=f m </w:t>
      </w:r>
      <w:r w:rsidR="00910B02" w:rsidRPr="001B66FD">
        <w:rPr>
          <w:rFonts w:ascii="Trlit_CG Times" w:hAnsi="Trlit_CG Times"/>
        </w:rPr>
        <w:t xml:space="preserve">idbw </w:t>
      </w:r>
      <w:r w:rsidRPr="001B66FD">
        <w:rPr>
          <w:rFonts w:ascii="Trlit_CG Times" w:hAnsi="Trlit_CG Times"/>
        </w:rPr>
        <w:t>HAw-nbw psSty Hr st-Hr=f</w:t>
      </w:r>
    </w:p>
    <w:p w14:paraId="1E119523" w14:textId="3667590F" w:rsidR="00910B02" w:rsidRPr="001B66FD" w:rsidRDefault="00C2443E" w:rsidP="00423677">
      <w:r w:rsidRPr="001B66FD">
        <w:t xml:space="preserve">dread </w:t>
      </w:r>
      <w:r w:rsidR="00813E93" w:rsidRPr="001B66FD">
        <w:t xml:space="preserve">of him </w:t>
      </w:r>
      <w:r w:rsidRPr="001B66FD">
        <w:t xml:space="preserve">is in the </w:t>
      </w:r>
      <w:r w:rsidR="00910B02" w:rsidRPr="001B66FD">
        <w:t xml:space="preserve">banks of the </w:t>
      </w:r>
      <w:r w:rsidRPr="001B66FD">
        <w:t>islands, and the two-di</w:t>
      </w:r>
      <w:r w:rsidR="003B69E3" w:rsidRPr="001B66FD">
        <w:t>visions are under his authority;</w:t>
      </w:r>
    </w:p>
    <w:p w14:paraId="23932BC5" w14:textId="77777777" w:rsidR="00910B02" w:rsidRPr="001B66FD" w:rsidRDefault="00910B02" w:rsidP="00423677">
      <w:pPr>
        <w:rPr>
          <w:rFonts w:ascii="Trlit_CG Times" w:hAnsi="Trlit_CG Times"/>
        </w:rPr>
      </w:pPr>
      <w:r w:rsidRPr="001B66FD">
        <w:rPr>
          <w:rFonts w:ascii="Trlit_CG Times" w:hAnsi="Trlit_CG Times"/>
        </w:rPr>
        <w:t xml:space="preserve">pDt </w:t>
      </w:r>
      <w:r w:rsidRPr="001B66FD">
        <w:t>9</w:t>
      </w:r>
      <w:r w:rsidRPr="001B66FD">
        <w:rPr>
          <w:rFonts w:ascii="Trlit_CG Times" w:hAnsi="Trlit_CG Times"/>
        </w:rPr>
        <w:t xml:space="preserve"> dmD Xr tbty=f</w:t>
      </w:r>
    </w:p>
    <w:p w14:paraId="6002E60D" w14:textId="0198514F" w:rsidR="00C2443E" w:rsidRPr="001B66FD" w:rsidRDefault="00950AF4" w:rsidP="00423677">
      <w:r>
        <w:t>t</w:t>
      </w:r>
      <w:r w:rsidR="00C2443E" w:rsidRPr="001B66FD">
        <w:t>he 9 bows are collected under his fee</w:t>
      </w:r>
      <w:r w:rsidR="003B69E3" w:rsidRPr="001B66FD">
        <w:t>t.</w:t>
      </w:r>
    </w:p>
    <w:p w14:paraId="5E809062" w14:textId="77777777" w:rsidR="00423677" w:rsidRDefault="00423677" w:rsidP="00502122"/>
    <w:p w14:paraId="6A40777B" w14:textId="77777777" w:rsidR="00C2443E" w:rsidRDefault="006F0F50" w:rsidP="00502122">
      <w:r w:rsidRPr="001B66FD">
        <w:t>The world paid tribute to him. But Nubia rebelled:</w:t>
      </w:r>
    </w:p>
    <w:p w14:paraId="606DB268" w14:textId="77777777" w:rsidR="00423677" w:rsidRPr="001B66FD" w:rsidRDefault="00423677" w:rsidP="00502122"/>
    <w:p w14:paraId="4634A611" w14:textId="77777777" w:rsidR="006F0F50" w:rsidRPr="001B66FD" w:rsidRDefault="006F0F50" w:rsidP="00423677">
      <w:pPr>
        <w:rPr>
          <w:rFonts w:ascii="Trlit_CG Times" w:hAnsi="Trlit_CG Times"/>
        </w:rPr>
      </w:pPr>
      <w:r w:rsidRPr="001B66FD">
        <w:rPr>
          <w:rFonts w:ascii="Trlit_CG Times" w:hAnsi="Trlit_CG Times"/>
        </w:rPr>
        <w:t>iw.tw r rdit wDA ib n Hm=f r ntt kS X</w:t>
      </w:r>
      <w:r w:rsidR="00910B02" w:rsidRPr="001B66FD">
        <w:rPr>
          <w:rFonts w:ascii="Trlit_CG Times" w:hAnsi="Trlit_CG Times"/>
        </w:rPr>
        <w:t>s</w:t>
      </w:r>
      <w:r w:rsidRPr="001B66FD">
        <w:rPr>
          <w:rFonts w:ascii="Trlit_CG Times" w:hAnsi="Trlit_CG Times"/>
        </w:rPr>
        <w:t>it wAi.ti r bSt</w:t>
      </w:r>
    </w:p>
    <w:p w14:paraId="6CD3A1BB" w14:textId="272A8900" w:rsidR="006F0F50" w:rsidRPr="001B66FD" w:rsidRDefault="006F0F50" w:rsidP="00423677">
      <w:r w:rsidRPr="001B66FD">
        <w:t>On</w:t>
      </w:r>
      <w:r w:rsidR="007B5BE5">
        <w:t>e</w:t>
      </w:r>
      <w:r w:rsidRPr="001B66FD">
        <w:t xml:space="preserve"> came to inform His Majesty that “Vile Kush has taken to rebellion.</w:t>
      </w:r>
    </w:p>
    <w:p w14:paraId="0DF06EAF" w14:textId="77777777" w:rsidR="006F0F50" w:rsidRPr="001B66FD" w:rsidRDefault="006F0F50" w:rsidP="00423677">
      <w:pPr>
        <w:rPr>
          <w:rFonts w:ascii="Trlit_CG Times" w:hAnsi="Trlit_CG Times"/>
        </w:rPr>
      </w:pPr>
      <w:r w:rsidRPr="001B66FD">
        <w:rPr>
          <w:rFonts w:ascii="Trlit_CG Times" w:hAnsi="Trlit_CG Times"/>
        </w:rPr>
        <w:t xml:space="preserve">wnw m nDt nt nb-tAwy xmt nkAit </w:t>
      </w:r>
    </w:p>
    <w:p w14:paraId="5BD2EAD7" w14:textId="77777777" w:rsidR="006F0F50" w:rsidRPr="001B66FD" w:rsidRDefault="006F0F50" w:rsidP="00423677">
      <w:r w:rsidRPr="001B66FD">
        <w:t xml:space="preserve">Those who had been clients of the Lord of the Two Lands have </w:t>
      </w:r>
      <w:r w:rsidR="006758E7" w:rsidRPr="001B66FD">
        <w:t xml:space="preserve">planned a conspiracy, </w:t>
      </w:r>
    </w:p>
    <w:p w14:paraId="45882DF2" w14:textId="044FE24E" w:rsidR="006F0F50" w:rsidRPr="001B66FD" w:rsidRDefault="003B69E3" w:rsidP="00423677">
      <w:pPr>
        <w:rPr>
          <w:rFonts w:ascii="Trlit_CG Times" w:hAnsi="Trlit_CG Times"/>
        </w:rPr>
      </w:pPr>
      <w:r w:rsidRPr="001B66FD">
        <w:rPr>
          <w:rFonts w:ascii="Trlit_CG Times" w:hAnsi="Trlit_CG Times"/>
        </w:rPr>
        <w:t>s</w:t>
      </w:r>
      <w:r w:rsidR="006758E7" w:rsidRPr="001B66FD">
        <w:rPr>
          <w:rFonts w:ascii="Trlit_CG Times" w:hAnsi="Trlit_CG Times"/>
        </w:rPr>
        <w:t xml:space="preserve">bit(yw) </w:t>
      </w:r>
      <w:r w:rsidR="006F0F50" w:rsidRPr="001B66FD">
        <w:rPr>
          <w:rFonts w:ascii="Trlit_CG Times" w:hAnsi="Trlit_CG Times"/>
        </w:rPr>
        <w:t xml:space="preserve">wAi r Hwtf rmTt kmt </w:t>
      </w:r>
    </w:p>
    <w:p w14:paraId="14576FB6" w14:textId="27AC4463" w:rsidR="006F0F50" w:rsidRPr="001B66FD" w:rsidRDefault="001B66FD" w:rsidP="00423677">
      <w:r w:rsidRPr="001B66FD">
        <w:t>(</w:t>
      </w:r>
      <w:r w:rsidR="003B69E3" w:rsidRPr="001B66FD">
        <w:t>a</w:t>
      </w:r>
      <w:r w:rsidR="00813E93" w:rsidRPr="001B66FD">
        <w:t>nd</w:t>
      </w:r>
      <w:r w:rsidRPr="001B66FD">
        <w:t>)</w:t>
      </w:r>
      <w:r w:rsidR="006758E7" w:rsidRPr="001B66FD">
        <w:t xml:space="preserve"> the </w:t>
      </w:r>
      <w:r w:rsidR="003B69E3" w:rsidRPr="001B66FD">
        <w:t>opponents</w:t>
      </w:r>
      <w:r w:rsidR="00813E93" w:rsidRPr="001B66FD">
        <w:t xml:space="preserve"> </w:t>
      </w:r>
      <w:r w:rsidR="006F0F50" w:rsidRPr="001B66FD">
        <w:t xml:space="preserve">taken to plundering the </w:t>
      </w:r>
      <w:r w:rsidR="00813E93" w:rsidRPr="001B66FD">
        <w:t>people of Egypt</w:t>
      </w:r>
      <w:r w:rsidR="006F0F50" w:rsidRPr="001B66FD">
        <w:t>,</w:t>
      </w:r>
      <w:r w:rsidR="00813E93" w:rsidRPr="001B66FD">
        <w:rPr>
          <w:rStyle w:val="FootnoteReference"/>
        </w:rPr>
        <w:footnoteReference w:id="10"/>
      </w:r>
      <w:r w:rsidR="006F0F50" w:rsidRPr="001B66FD">
        <w:t xml:space="preserve"> </w:t>
      </w:r>
    </w:p>
    <w:p w14:paraId="796567F0" w14:textId="77777777" w:rsidR="006F0F50" w:rsidRPr="001B66FD" w:rsidRDefault="006F0F50" w:rsidP="00423677">
      <w:pPr>
        <w:rPr>
          <w:rFonts w:ascii="Trlit_CG Times" w:hAnsi="Trlit_CG Times"/>
        </w:rPr>
      </w:pPr>
      <w:r w:rsidRPr="001B66FD">
        <w:rPr>
          <w:rFonts w:ascii="Trlit_CG Times" w:hAnsi="Trlit_CG Times"/>
        </w:rPr>
        <w:t>r hnp mnmnt Hr-sA nn mnnw qdn it=k m nxt=f nsw-bity aAxpr-kA-ra anx Dt</w:t>
      </w:r>
    </w:p>
    <w:p w14:paraId="425165B0" w14:textId="77777777" w:rsidR="006F0F50" w:rsidRPr="001B66FD" w:rsidRDefault="006F0F50" w:rsidP="00423677">
      <w:r w:rsidRPr="001B66FD">
        <w:t>to driving off the herds behind these forts which your father built by his might, King of Upper and Lower Egypt</w:t>
      </w:r>
      <w:r w:rsidRPr="007B5BE5">
        <w:t xml:space="preserve"> Aa-kheper-ka-Re, </w:t>
      </w:r>
      <w:r w:rsidRPr="001B66FD">
        <w:t>living for ever,</w:t>
      </w:r>
    </w:p>
    <w:p w14:paraId="47B6E262" w14:textId="2061CABE" w:rsidR="006F0F50" w:rsidRPr="001B66FD" w:rsidRDefault="006F0F50" w:rsidP="00423677">
      <w:pPr>
        <w:rPr>
          <w:rFonts w:ascii="Trlit_CG Times" w:hAnsi="Trlit_CG Times"/>
        </w:rPr>
      </w:pPr>
      <w:r w:rsidRPr="001B66FD">
        <w:rPr>
          <w:rFonts w:ascii="Trlit_CG Times" w:hAnsi="Trlit_CG Times"/>
        </w:rPr>
        <w:t xml:space="preserve">r xsf xAswt bStt iwny </w:t>
      </w:r>
      <w:r w:rsidR="001B66FD" w:rsidRPr="001B66FD">
        <w:rPr>
          <w:rFonts w:ascii="Trlit_CG Times" w:hAnsi="Trlit_CG Times"/>
        </w:rPr>
        <w:t>s</w:t>
      </w:r>
      <w:r w:rsidRPr="001B66FD">
        <w:rPr>
          <w:rFonts w:ascii="Trlit_CG Times" w:hAnsi="Trlit_CG Times"/>
        </w:rPr>
        <w:t>ty nw xnt-Hn-nfr.</w:t>
      </w:r>
    </w:p>
    <w:p w14:paraId="4E17B473" w14:textId="77777777" w:rsidR="006F0F50" w:rsidRPr="001B66FD" w:rsidRDefault="00380798" w:rsidP="00423677">
      <w:r w:rsidRPr="001B66FD">
        <w:t xml:space="preserve">to </w:t>
      </w:r>
      <w:r w:rsidR="006F0F50" w:rsidRPr="001B66FD">
        <w:t>control the rebellious lands of the tribesmen of Nubia of Khente-hen-nefer.</w:t>
      </w:r>
    </w:p>
    <w:p w14:paraId="333702A8" w14:textId="77777777" w:rsidR="00423677" w:rsidRDefault="00423677" w:rsidP="00502122"/>
    <w:p w14:paraId="7E727A5D" w14:textId="77777777" w:rsidR="006F0F50" w:rsidRDefault="006F0F50" w:rsidP="00502122">
      <w:r>
        <w:t>The king was not happy:</w:t>
      </w:r>
    </w:p>
    <w:p w14:paraId="31B0CA11" w14:textId="77777777" w:rsidR="00423677" w:rsidRDefault="00423677" w:rsidP="00423677"/>
    <w:p w14:paraId="08CD32C8" w14:textId="77777777" w:rsidR="006F0F50" w:rsidRPr="00AA6E65" w:rsidRDefault="006F0F50" w:rsidP="00423677">
      <w:pPr>
        <w:rPr>
          <w:rFonts w:ascii="Trlit_CG Times" w:hAnsi="Trlit_CG Times"/>
        </w:rPr>
      </w:pPr>
      <w:r w:rsidRPr="00AA6E65">
        <w:rPr>
          <w:rFonts w:ascii="Trlit_CG Times" w:hAnsi="Trlit_CG Times"/>
        </w:rPr>
        <w:t xml:space="preserve">xa(r).in Hm=f r=s mi </w:t>
      </w:r>
      <w:r w:rsidR="006758E7" w:rsidRPr="00AA6E65">
        <w:rPr>
          <w:rFonts w:ascii="Trlit_CG Times" w:hAnsi="Trlit_CG Times"/>
        </w:rPr>
        <w:t>Abi</w:t>
      </w:r>
      <w:r w:rsidRPr="00AA6E65">
        <w:rPr>
          <w:rFonts w:ascii="Trlit_CG Times" w:hAnsi="Trlit_CG Times"/>
        </w:rPr>
        <w:t xml:space="preserve"> m-xt sDm=f st</w:t>
      </w:r>
    </w:p>
    <w:p w14:paraId="4321D2D6" w14:textId="77777777" w:rsidR="006F0F50" w:rsidRPr="00AA6E65" w:rsidRDefault="006F0F50" w:rsidP="00423677">
      <w:r w:rsidRPr="00AA6E65">
        <w:t>Then His Majesty raged like a panther after he heard it.</w:t>
      </w:r>
    </w:p>
    <w:p w14:paraId="03A22DB8" w14:textId="77777777" w:rsidR="006F0F50" w:rsidRPr="00AA6E65" w:rsidRDefault="006F0F50" w:rsidP="00423677">
      <w:pPr>
        <w:rPr>
          <w:rFonts w:ascii="Trlit_CG Times" w:hAnsi="Trlit_CG Times"/>
        </w:rPr>
      </w:pPr>
      <w:r w:rsidRPr="00AA6E65">
        <w:rPr>
          <w:rFonts w:ascii="Trlit_CG Times" w:hAnsi="Trlit_CG Times"/>
        </w:rPr>
        <w:t>Dd.in Hm=f anx=i mri (w)i</w:t>
      </w:r>
      <w:r w:rsidRPr="00BD79F6">
        <w:rPr>
          <w:rFonts w:ascii="Trlit_CG Times" w:hAnsi="Trlit_CG Times"/>
        </w:rPr>
        <w:t xml:space="preserve"> Ra </w:t>
      </w:r>
      <w:r w:rsidRPr="00AA6E65">
        <w:rPr>
          <w:rFonts w:ascii="Trlit_CG Times" w:hAnsi="Trlit_CG Times"/>
        </w:rPr>
        <w:t>Hsi (wi) it=i nb nTrw imn nb nswt tAwy</w:t>
      </w:r>
    </w:p>
    <w:p w14:paraId="7FC09460" w14:textId="77777777" w:rsidR="006F0F50" w:rsidRPr="00AA6E65" w:rsidRDefault="006F0F50" w:rsidP="00423677">
      <w:r w:rsidRPr="00AA6E65">
        <w:t xml:space="preserve">Then His Majesty said. “(As) I live, and Re loves me, and my father Amon, Lord of the Thrones of the Two Lands favours me, </w:t>
      </w:r>
    </w:p>
    <w:p w14:paraId="1A093158" w14:textId="2B0DCF74" w:rsidR="006F0F50" w:rsidRPr="006669FD" w:rsidRDefault="006F0F50" w:rsidP="00423677">
      <w:pPr>
        <w:rPr>
          <w:rFonts w:ascii="Trlit_CG Times" w:hAnsi="Trlit_CG Times"/>
        </w:rPr>
      </w:pPr>
      <w:r w:rsidRPr="00AA6E65">
        <w:rPr>
          <w:rFonts w:ascii="Trlit_CG Times" w:hAnsi="Trlit_CG Times"/>
        </w:rPr>
        <w:t>n&lt;n&gt;(?) di=i A anx m TAy=</w:t>
      </w:r>
      <w:r w:rsidRPr="006669FD">
        <w:rPr>
          <w:rFonts w:ascii="Trlit_CG Times" w:hAnsi="Trlit_CG Times"/>
        </w:rPr>
        <w:t>sn wA</w:t>
      </w:r>
      <w:r w:rsidR="0072483A" w:rsidRPr="006669FD">
        <w:rPr>
          <w:rFonts w:ascii="Trlit_CG Times" w:hAnsi="Trlit_CG Times"/>
        </w:rPr>
        <w:t>H</w:t>
      </w:r>
      <w:r w:rsidR="006669FD" w:rsidRPr="006669FD">
        <w:rPr>
          <w:rFonts w:ascii="Trlit_CG Times" w:hAnsi="Trlit_CG Times"/>
        </w:rPr>
        <w:t>=i A mwt</w:t>
      </w:r>
      <w:r w:rsidR="006669FD">
        <w:rPr>
          <w:rFonts w:ascii="Trlit_CG Times" w:hAnsi="Trlit_CG Times"/>
        </w:rPr>
        <w:t>(?</w:t>
      </w:r>
      <w:r w:rsidR="006669FD" w:rsidRPr="006669FD">
        <w:rPr>
          <w:rFonts w:ascii="Trlit_CG Times" w:hAnsi="Trlit_CG Times"/>
        </w:rPr>
        <w:t>)</w:t>
      </w:r>
      <w:r w:rsidR="006669FD">
        <w:rPr>
          <w:rFonts w:ascii="Trlit_CG Times" w:hAnsi="Trlit_CG Times"/>
        </w:rPr>
        <w:t xml:space="preserve"> </w:t>
      </w:r>
      <w:r w:rsidRPr="006669FD">
        <w:rPr>
          <w:rFonts w:ascii="Trlit_CG Times" w:hAnsi="Trlit_CG Times"/>
        </w:rPr>
        <w:t>im=sn</w:t>
      </w:r>
    </w:p>
    <w:p w14:paraId="6DB6CA38" w14:textId="4BDC6670" w:rsidR="006F0F50" w:rsidRPr="00AA6E65" w:rsidRDefault="006F0F50" w:rsidP="00423677">
      <w:pPr>
        <w:rPr>
          <w:rFonts w:asciiTheme="minorHAnsi" w:hAnsiTheme="minorHAnsi"/>
        </w:rPr>
      </w:pPr>
      <w:r w:rsidRPr="00AA6E65">
        <w:rPr>
          <w:rFonts w:asciiTheme="minorHAnsi" w:hAnsiTheme="minorHAnsi"/>
        </w:rPr>
        <w:t xml:space="preserve">I shall not allow to live </w:t>
      </w:r>
      <w:r w:rsidR="00380798" w:rsidRPr="00AA6E65">
        <w:rPr>
          <w:rFonts w:asciiTheme="minorHAnsi" w:hAnsiTheme="minorHAnsi"/>
        </w:rPr>
        <w:t xml:space="preserve">(any) among their males; I </w:t>
      </w:r>
      <w:r w:rsidR="006669FD">
        <w:rPr>
          <w:rFonts w:asciiTheme="minorHAnsi" w:hAnsiTheme="minorHAnsi"/>
        </w:rPr>
        <w:t xml:space="preserve">shall </w:t>
      </w:r>
      <w:r w:rsidR="00380798" w:rsidRPr="00AA6E65">
        <w:rPr>
          <w:rFonts w:asciiTheme="minorHAnsi" w:hAnsiTheme="minorHAnsi"/>
        </w:rPr>
        <w:t xml:space="preserve">put </w:t>
      </w:r>
      <w:r w:rsidR="006669FD">
        <w:rPr>
          <w:rFonts w:asciiTheme="minorHAnsi" w:hAnsiTheme="minorHAnsi"/>
        </w:rPr>
        <w:t>death</w:t>
      </w:r>
      <w:r w:rsidRPr="00AA6E65">
        <w:rPr>
          <w:rFonts w:asciiTheme="minorHAnsi" w:hAnsiTheme="minorHAnsi"/>
        </w:rPr>
        <w:t xml:space="preserve"> among them!”</w:t>
      </w:r>
    </w:p>
    <w:p w14:paraId="1878AA9A" w14:textId="77777777" w:rsidR="006F0F50" w:rsidRPr="00AA6E65" w:rsidRDefault="0072483A" w:rsidP="00423677">
      <w:pPr>
        <w:rPr>
          <w:rFonts w:ascii="Trlit_CG Times" w:hAnsi="Trlit_CG Times"/>
        </w:rPr>
      </w:pPr>
      <w:r w:rsidRPr="00AA6E65">
        <w:rPr>
          <w:rFonts w:ascii="Trlit_CG Times" w:hAnsi="Trlit_CG Times"/>
        </w:rPr>
        <w:lastRenderedPageBreak/>
        <w:t>aHa.n ssbi.n Hm=f mSa aSA</w:t>
      </w:r>
    </w:p>
    <w:p w14:paraId="68358AEB" w14:textId="00A61204" w:rsidR="006F0F50" w:rsidRPr="00AA6E65" w:rsidRDefault="006F0F50" w:rsidP="00423677">
      <w:pPr>
        <w:rPr>
          <w:rFonts w:asciiTheme="minorHAnsi" w:hAnsiTheme="minorHAnsi"/>
        </w:rPr>
      </w:pPr>
      <w:r w:rsidRPr="00AA6E65">
        <w:rPr>
          <w:rFonts w:asciiTheme="minorHAnsi" w:hAnsiTheme="minorHAnsi"/>
        </w:rPr>
        <w:t>Then</w:t>
      </w:r>
      <w:r w:rsidR="00423677">
        <w:rPr>
          <w:rFonts w:asciiTheme="minorHAnsi" w:hAnsiTheme="minorHAnsi"/>
        </w:rPr>
        <w:t xml:space="preserve"> His Majesty sent a large army.</w:t>
      </w:r>
    </w:p>
    <w:p w14:paraId="31275269" w14:textId="77777777" w:rsidR="00423677" w:rsidRDefault="00423677" w:rsidP="00502122"/>
    <w:p w14:paraId="691F4351" w14:textId="7C4A7CAE" w:rsidR="006F0F50" w:rsidRDefault="00423677" w:rsidP="00502122">
      <w:r>
        <w:t>The result:</w:t>
      </w:r>
    </w:p>
    <w:p w14:paraId="73040541" w14:textId="77777777" w:rsidR="00423677" w:rsidRDefault="00423677" w:rsidP="00502122"/>
    <w:p w14:paraId="6F66747B" w14:textId="77777777" w:rsidR="00380798" w:rsidRPr="00AA6E65" w:rsidRDefault="00380798" w:rsidP="00423677">
      <w:pPr>
        <w:rPr>
          <w:rFonts w:ascii="Trlit_CG Times" w:hAnsi="Trlit_CG Times"/>
        </w:rPr>
      </w:pPr>
      <w:r w:rsidRPr="00AA6E65">
        <w:rPr>
          <w:rFonts w:ascii="Trlit_CG Times" w:hAnsi="Trlit_CG Times"/>
        </w:rPr>
        <w:t>aHa.n m</w:t>
      </w:r>
      <w:r w:rsidR="0072483A" w:rsidRPr="00AA6E65">
        <w:rPr>
          <w:rFonts w:ascii="Trlit_CG Times" w:hAnsi="Trlit_CG Times"/>
        </w:rPr>
        <w:t>Sa</w:t>
      </w:r>
      <w:r w:rsidRPr="00AA6E65">
        <w:rPr>
          <w:rFonts w:ascii="Trlit_CG Times" w:hAnsi="Trlit_CG Times"/>
        </w:rPr>
        <w:t xml:space="preserve"> pn n Hm=f spr r kS Xsit bAw Hm=f </w:t>
      </w:r>
      <w:r w:rsidR="00967162" w:rsidRPr="00AA6E65">
        <w:rPr>
          <w:rFonts w:ascii="Trlit_CG Times" w:hAnsi="Trlit_CG Times"/>
        </w:rPr>
        <w:t>sSm.n=f st nx.n Sat=f nmtt</w:t>
      </w:r>
      <w:r w:rsidRPr="00AA6E65">
        <w:rPr>
          <w:rFonts w:ascii="Trlit_CG Times" w:hAnsi="Trlit_CG Times"/>
        </w:rPr>
        <w:t>=sn</w:t>
      </w:r>
    </w:p>
    <w:p w14:paraId="488F8EC4" w14:textId="6520A3A7" w:rsidR="00380798" w:rsidRPr="00AA6E65" w:rsidRDefault="00380798" w:rsidP="00423677">
      <w:r w:rsidRPr="00AA6E65">
        <w:t xml:space="preserve">Then this army of His Majesty reached </w:t>
      </w:r>
      <w:r w:rsidR="0072483A" w:rsidRPr="00AA6E65">
        <w:t xml:space="preserve">vile </w:t>
      </w:r>
      <w:r w:rsidRPr="00AA6E65">
        <w:t>Kush; the divine-</w:t>
      </w:r>
      <w:r w:rsidR="0072483A" w:rsidRPr="00AA6E65">
        <w:t>intervention</w:t>
      </w:r>
      <w:r w:rsidRPr="00AA6E65">
        <w:t xml:space="preserve"> of His Majesty, it guided them; his slaughtering</w:t>
      </w:r>
      <w:r w:rsidR="00967162" w:rsidRPr="00AA6E65">
        <w:t xml:space="preserve"> (or ‘terror of him’) </w:t>
      </w:r>
      <w:r w:rsidRPr="00AA6E65">
        <w:t>protected their steps</w:t>
      </w:r>
      <w:r w:rsidR="00967162" w:rsidRPr="00AA6E65">
        <w:t>.</w:t>
      </w:r>
    </w:p>
    <w:p w14:paraId="4664C740" w14:textId="77777777" w:rsidR="00380798" w:rsidRPr="00AA6E65" w:rsidRDefault="00380798" w:rsidP="00423677">
      <w:pPr>
        <w:rPr>
          <w:rFonts w:ascii="Trlit_CG Times" w:hAnsi="Trlit_CG Times"/>
        </w:rPr>
      </w:pPr>
      <w:r w:rsidRPr="00AA6E65">
        <w:rPr>
          <w:rFonts w:ascii="Trlit_CG Times" w:hAnsi="Trlit_CG Times"/>
        </w:rPr>
        <w:t xml:space="preserve">wn.in mSa pn n Hm=f Hr (s)xrt nn xAstyw </w:t>
      </w:r>
    </w:p>
    <w:p w14:paraId="233CB81F" w14:textId="77777777" w:rsidR="00380798" w:rsidRPr="00AA6E65" w:rsidRDefault="00380798" w:rsidP="00423677">
      <w:pPr>
        <w:rPr>
          <w:rFonts w:asciiTheme="minorHAnsi" w:hAnsiTheme="minorHAnsi"/>
        </w:rPr>
      </w:pPr>
      <w:r w:rsidRPr="00AA6E65">
        <w:rPr>
          <w:rFonts w:asciiTheme="minorHAnsi" w:hAnsiTheme="minorHAnsi"/>
        </w:rPr>
        <w:t xml:space="preserve">Then this army of His Majesty </w:t>
      </w:r>
      <w:r w:rsidR="00967162" w:rsidRPr="00AA6E65">
        <w:rPr>
          <w:rFonts w:asciiTheme="minorHAnsi" w:hAnsiTheme="minorHAnsi"/>
        </w:rPr>
        <w:t>were felling</w:t>
      </w:r>
      <w:r w:rsidRPr="00AA6E65">
        <w:rPr>
          <w:rFonts w:asciiTheme="minorHAnsi" w:hAnsiTheme="minorHAnsi"/>
        </w:rPr>
        <w:t xml:space="preserve"> these desert-people;</w:t>
      </w:r>
    </w:p>
    <w:p w14:paraId="6B7036E1" w14:textId="77777777" w:rsidR="00380798" w:rsidRPr="00AA6E65" w:rsidRDefault="0072483A" w:rsidP="00423677">
      <w:pPr>
        <w:rPr>
          <w:rFonts w:ascii="Trlit_CG Times" w:hAnsi="Trlit_CG Times"/>
        </w:rPr>
      </w:pPr>
      <w:r w:rsidRPr="00AA6E65">
        <w:rPr>
          <w:rFonts w:ascii="Trlit_CG Times" w:hAnsi="Trlit_CG Times"/>
        </w:rPr>
        <w:t>n di=sn A anx m TA</w:t>
      </w:r>
      <w:r w:rsidR="00380798" w:rsidRPr="00AA6E65">
        <w:rPr>
          <w:rFonts w:ascii="Trlit_CG Times" w:hAnsi="Trlit_CG Times"/>
        </w:rPr>
        <w:t>y=sn mi wDt.n nbt Hm=f</w:t>
      </w:r>
    </w:p>
    <w:p w14:paraId="4AF649BA" w14:textId="385A67FE" w:rsidR="00380798" w:rsidRPr="00AA6E65" w:rsidRDefault="00950AF4" w:rsidP="00423677">
      <w:pPr>
        <w:rPr>
          <w:rFonts w:asciiTheme="minorHAnsi" w:hAnsiTheme="minorHAnsi"/>
        </w:rPr>
      </w:pPr>
      <w:r>
        <w:rPr>
          <w:rFonts w:asciiTheme="minorHAnsi" w:hAnsiTheme="minorHAnsi"/>
        </w:rPr>
        <w:t>t</w:t>
      </w:r>
      <w:r w:rsidR="00380798" w:rsidRPr="00AA6E65">
        <w:rPr>
          <w:rFonts w:asciiTheme="minorHAnsi" w:hAnsiTheme="minorHAnsi"/>
        </w:rPr>
        <w:t>hey did indeed not allow (any) to live from their males, entirely as His Majesty had commanded,</w:t>
      </w:r>
    </w:p>
    <w:p w14:paraId="6577454D" w14:textId="77777777" w:rsidR="00380798" w:rsidRPr="00AA6E65" w:rsidRDefault="00380798" w:rsidP="00423677">
      <w:pPr>
        <w:rPr>
          <w:rFonts w:ascii="Trlit_CG Times" w:hAnsi="Trlit_CG Times"/>
        </w:rPr>
      </w:pPr>
      <w:r w:rsidRPr="00AA6E65">
        <w:rPr>
          <w:rFonts w:ascii="Trlit_CG Times" w:hAnsi="Trlit_CG Times"/>
        </w:rPr>
        <w:t xml:space="preserve">wpw-Hr wa m nn msw nw wr n kS Xsit    </w:t>
      </w:r>
    </w:p>
    <w:p w14:paraId="2BAA87EC" w14:textId="30331A35" w:rsidR="00380798" w:rsidRPr="00AA6E65" w:rsidRDefault="00380798" w:rsidP="00423677">
      <w:pPr>
        <w:rPr>
          <w:rFonts w:asciiTheme="minorHAnsi" w:hAnsiTheme="minorHAnsi"/>
        </w:rPr>
      </w:pPr>
      <w:r w:rsidRPr="00AA6E65">
        <w:rPr>
          <w:rFonts w:asciiTheme="minorHAnsi" w:hAnsiTheme="minorHAnsi"/>
        </w:rPr>
        <w:t>apart from one from these children of the chief of vile Kush</w:t>
      </w:r>
      <w:r w:rsidR="00AA6E65" w:rsidRPr="00AA6E65">
        <w:rPr>
          <w:rFonts w:asciiTheme="minorHAnsi" w:hAnsiTheme="minorHAnsi"/>
        </w:rPr>
        <w:t>,</w:t>
      </w:r>
    </w:p>
    <w:p w14:paraId="482D2042" w14:textId="77777777" w:rsidR="00380798" w:rsidRPr="00AA6E65" w:rsidRDefault="00380798" w:rsidP="00423677">
      <w:pPr>
        <w:rPr>
          <w:rFonts w:ascii="Trlit_CG Times" w:hAnsi="Trlit_CG Times"/>
        </w:rPr>
      </w:pPr>
      <w:r w:rsidRPr="00AA6E65">
        <w:rPr>
          <w:rFonts w:ascii="Trlit_CG Times" w:hAnsi="Trlit_CG Times"/>
        </w:rPr>
        <w:t>inw m sqr-anx Hna Xrw=sn r bw Xr Hm=f</w:t>
      </w:r>
    </w:p>
    <w:p w14:paraId="063B4E4F" w14:textId="6F2C0154" w:rsidR="00380798" w:rsidRPr="00AA6E65" w:rsidRDefault="00380798" w:rsidP="00423677">
      <w:pPr>
        <w:rPr>
          <w:rFonts w:asciiTheme="minorHAnsi" w:hAnsiTheme="minorHAnsi"/>
          <w:szCs w:val="24"/>
        </w:rPr>
      </w:pPr>
      <w:r w:rsidRPr="00AA6E65">
        <w:rPr>
          <w:rFonts w:asciiTheme="minorHAnsi" w:hAnsiTheme="minorHAnsi"/>
        </w:rPr>
        <w:t xml:space="preserve">brought as prisoner of war, with  their </w:t>
      </w:r>
      <w:r w:rsidRPr="00AA6E65">
        <w:rPr>
          <w:rFonts w:asciiTheme="minorHAnsi" w:hAnsiTheme="minorHAnsi"/>
          <w:szCs w:val="24"/>
          <w:vertAlign w:val="superscript"/>
        </w:rPr>
        <w:t>(sic)</w:t>
      </w:r>
      <w:r w:rsidRPr="00AA6E65">
        <w:rPr>
          <w:rFonts w:asciiTheme="minorHAnsi" w:hAnsiTheme="minorHAnsi"/>
          <w:szCs w:val="24"/>
        </w:rPr>
        <w:t xml:space="preserve"> dependents</w:t>
      </w:r>
      <w:r w:rsidR="00BD79F6">
        <w:rPr>
          <w:rFonts w:asciiTheme="minorHAnsi" w:hAnsiTheme="minorHAnsi"/>
          <w:szCs w:val="24"/>
        </w:rPr>
        <w:t>,</w:t>
      </w:r>
      <w:r w:rsidRPr="00AA6E65">
        <w:rPr>
          <w:rFonts w:asciiTheme="minorHAnsi" w:hAnsiTheme="minorHAnsi"/>
          <w:szCs w:val="24"/>
        </w:rPr>
        <w:t xml:space="preserve"> to where His Majesty was,</w:t>
      </w:r>
    </w:p>
    <w:p w14:paraId="2C37E75F" w14:textId="77777777" w:rsidR="00380798" w:rsidRPr="00AA6E65" w:rsidRDefault="00380798" w:rsidP="00423677">
      <w:pPr>
        <w:rPr>
          <w:rFonts w:ascii="Trlit_CG Times" w:hAnsi="Trlit_CG Times"/>
        </w:rPr>
      </w:pPr>
      <w:r w:rsidRPr="00AA6E65">
        <w:rPr>
          <w:rFonts w:ascii="Trlit_CG Times" w:hAnsi="Trlit_CG Times"/>
        </w:rPr>
        <w:t xml:space="preserve">diw Xr rdwy n nTr nfr sT Hm=f Hr TnTAt </w:t>
      </w:r>
    </w:p>
    <w:p w14:paraId="77B3E39A" w14:textId="6D210C9B" w:rsidR="00380798" w:rsidRPr="00AA6E65" w:rsidRDefault="00380798" w:rsidP="00423677">
      <w:pPr>
        <w:rPr>
          <w:rFonts w:asciiTheme="minorHAnsi" w:hAnsiTheme="minorHAnsi"/>
        </w:rPr>
      </w:pPr>
      <w:r w:rsidRPr="00AA6E65">
        <w:rPr>
          <w:rFonts w:asciiTheme="minorHAnsi" w:hAnsiTheme="minorHAnsi"/>
        </w:rPr>
        <w:t xml:space="preserve">put under the feet of the Good God, while His Majesty was on his dais, </w:t>
      </w:r>
    </w:p>
    <w:p w14:paraId="4B2F7EB6" w14:textId="77777777" w:rsidR="00380798" w:rsidRPr="00AA6E65" w:rsidRDefault="00380798" w:rsidP="00423677">
      <w:pPr>
        <w:rPr>
          <w:rFonts w:ascii="Trlit_CG Times" w:hAnsi="Trlit_CG Times"/>
          <w:szCs w:val="24"/>
        </w:rPr>
      </w:pPr>
      <w:r w:rsidRPr="00AA6E65">
        <w:rPr>
          <w:rFonts w:ascii="Trlit_CG Times" w:hAnsi="Trlit_CG Times"/>
          <w:szCs w:val="24"/>
        </w:rPr>
        <w:t>xft sTA sqrw-anx ini.n mSa pn n Hm=f</w:t>
      </w:r>
    </w:p>
    <w:p w14:paraId="781CD804" w14:textId="77777777" w:rsidR="00380798" w:rsidRPr="00AA6E65" w:rsidRDefault="00380798" w:rsidP="00423677">
      <w:pPr>
        <w:rPr>
          <w:rFonts w:asciiTheme="minorHAnsi" w:hAnsiTheme="minorHAnsi"/>
        </w:rPr>
      </w:pPr>
      <w:r w:rsidRPr="00AA6E65">
        <w:rPr>
          <w:rFonts w:asciiTheme="minorHAnsi" w:hAnsiTheme="minorHAnsi"/>
        </w:rPr>
        <w:t>when the prisoners which this army of His Majesty had brought were dragged (forward).</w:t>
      </w:r>
      <w:r w:rsidR="00644AC8" w:rsidRPr="00AA6E65">
        <w:rPr>
          <w:rFonts w:asciiTheme="minorHAnsi" w:hAnsiTheme="minorHAnsi"/>
        </w:rPr>
        <w:t xml:space="preserve"> </w:t>
      </w:r>
    </w:p>
    <w:p w14:paraId="059811BC" w14:textId="77777777" w:rsidR="00967162" w:rsidRPr="00AA6E65" w:rsidRDefault="00967162" w:rsidP="00423677">
      <w:pPr>
        <w:rPr>
          <w:rFonts w:ascii="Trlit_CG Times" w:hAnsi="Trlit_CG Times"/>
        </w:rPr>
      </w:pPr>
      <w:r w:rsidRPr="00AA6E65">
        <w:rPr>
          <w:rFonts w:ascii="Trlit_CG Times" w:hAnsi="Trlit_CG Times"/>
        </w:rPr>
        <w:t>iriw xAst tn m nDt nt Hm=f mi sp=s imi-HAt</w:t>
      </w:r>
    </w:p>
    <w:p w14:paraId="35ED0B93" w14:textId="7C31E001" w:rsidR="00380798" w:rsidRPr="00AA6E65" w:rsidRDefault="00380798" w:rsidP="00423677">
      <w:pPr>
        <w:rPr>
          <w:rFonts w:asciiTheme="minorHAnsi" w:hAnsiTheme="minorHAnsi"/>
        </w:rPr>
      </w:pPr>
      <w:r w:rsidRPr="00AA6E65">
        <w:rPr>
          <w:rFonts w:asciiTheme="minorHAnsi" w:hAnsiTheme="minorHAnsi"/>
        </w:rPr>
        <w:t xml:space="preserve">This land </w:t>
      </w:r>
      <w:r w:rsidR="00BD04E4" w:rsidRPr="00AA6E65">
        <w:rPr>
          <w:rFonts w:asciiTheme="minorHAnsi" w:hAnsiTheme="minorHAnsi"/>
        </w:rPr>
        <w:t>had been</w:t>
      </w:r>
      <w:r w:rsidRPr="00AA6E65">
        <w:rPr>
          <w:rFonts w:asciiTheme="minorHAnsi" w:hAnsiTheme="minorHAnsi"/>
        </w:rPr>
        <w:t xml:space="preserve"> made </w:t>
      </w:r>
      <w:r w:rsidR="00967162" w:rsidRPr="00AA6E65">
        <w:rPr>
          <w:rFonts w:asciiTheme="minorHAnsi" w:hAnsiTheme="minorHAnsi"/>
        </w:rPr>
        <w:t>(or ‘</w:t>
      </w:r>
      <w:r w:rsidR="00BD04E4" w:rsidRPr="00AA6E65">
        <w:rPr>
          <w:rFonts w:asciiTheme="minorHAnsi" w:hAnsiTheme="minorHAnsi"/>
        </w:rPr>
        <w:t xml:space="preserve">was acting as’) </w:t>
      </w:r>
      <w:r w:rsidRPr="00AA6E65">
        <w:rPr>
          <w:rFonts w:asciiTheme="minorHAnsi" w:hAnsiTheme="minorHAnsi"/>
        </w:rPr>
        <w:t>client of H</w:t>
      </w:r>
      <w:r w:rsidR="00AA6E65" w:rsidRPr="00AA6E65">
        <w:rPr>
          <w:rFonts w:asciiTheme="minorHAnsi" w:hAnsiTheme="minorHAnsi"/>
        </w:rPr>
        <w:t>is Majesty like its former time.</w:t>
      </w:r>
    </w:p>
    <w:p w14:paraId="61E1DBAB" w14:textId="77777777" w:rsidR="00380798" w:rsidRPr="00AA6E65" w:rsidRDefault="00380798" w:rsidP="00423677">
      <w:pPr>
        <w:rPr>
          <w:rFonts w:ascii="Trlit_CG Times" w:hAnsi="Trlit_CG Times"/>
        </w:rPr>
      </w:pPr>
      <w:r w:rsidRPr="00AA6E65">
        <w:rPr>
          <w:rFonts w:ascii="Trlit_CG Times" w:hAnsi="Trlit_CG Times"/>
        </w:rPr>
        <w:t>rxty Hr hy hnw mnfyt Hr rS di=sn iAw n nb tAwy</w:t>
      </w:r>
    </w:p>
    <w:p w14:paraId="30B52416" w14:textId="2CA998FD" w:rsidR="00380798" w:rsidRPr="00AA6E65" w:rsidRDefault="00AA6E65" w:rsidP="00423677">
      <w:pPr>
        <w:rPr>
          <w:rFonts w:asciiTheme="minorHAnsi" w:hAnsiTheme="minorHAnsi"/>
        </w:rPr>
      </w:pPr>
      <w:r w:rsidRPr="00AA6E65">
        <w:rPr>
          <w:rFonts w:asciiTheme="minorHAnsi" w:hAnsiTheme="minorHAnsi"/>
        </w:rPr>
        <w:t>T</w:t>
      </w:r>
      <w:r w:rsidR="00380798" w:rsidRPr="00AA6E65">
        <w:rPr>
          <w:rFonts w:asciiTheme="minorHAnsi" w:hAnsiTheme="minorHAnsi"/>
        </w:rPr>
        <w:t xml:space="preserve">he </w:t>
      </w:r>
      <w:r w:rsidRPr="00AA6E65">
        <w:rPr>
          <w:rFonts w:asciiTheme="minorHAnsi" w:hAnsiTheme="minorHAnsi"/>
        </w:rPr>
        <w:t xml:space="preserve">(Egyptian) </w:t>
      </w:r>
      <w:r w:rsidR="00380798" w:rsidRPr="00AA6E65">
        <w:rPr>
          <w:rFonts w:asciiTheme="minorHAnsi" w:hAnsiTheme="minorHAnsi"/>
        </w:rPr>
        <w:t>populace were joyfully praising, and the troops rejoicing, as they gave praise to the Lord of the Two Lands;</w:t>
      </w:r>
    </w:p>
    <w:p w14:paraId="30362839" w14:textId="77777777" w:rsidR="00380798" w:rsidRPr="00AA6E65" w:rsidRDefault="00380798" w:rsidP="00423677">
      <w:pPr>
        <w:rPr>
          <w:rFonts w:ascii="Trlit_CG Times" w:hAnsi="Trlit_CG Times"/>
        </w:rPr>
      </w:pPr>
      <w:r w:rsidRPr="00AA6E65">
        <w:rPr>
          <w:rFonts w:ascii="Trlit_CG Times" w:hAnsi="Trlit_CG Times"/>
        </w:rPr>
        <w:t>swAS=sn nTr pn mnx m spw nw nTr=f</w:t>
      </w:r>
    </w:p>
    <w:p w14:paraId="28B1F072" w14:textId="015EF981" w:rsidR="00380798" w:rsidRPr="00AA6E65" w:rsidRDefault="00380798" w:rsidP="00423677">
      <w:pPr>
        <w:rPr>
          <w:rFonts w:asciiTheme="minorHAnsi" w:hAnsiTheme="minorHAnsi"/>
        </w:rPr>
      </w:pPr>
      <w:r w:rsidRPr="00AA6E65">
        <w:rPr>
          <w:rFonts w:asciiTheme="minorHAnsi" w:hAnsiTheme="minorHAnsi"/>
        </w:rPr>
        <w:t xml:space="preserve">as they exalted this beneficial god </w:t>
      </w:r>
      <w:r w:rsidR="00BD04E4" w:rsidRPr="00AA6E65">
        <w:rPr>
          <w:rFonts w:asciiTheme="minorHAnsi" w:hAnsiTheme="minorHAnsi"/>
        </w:rPr>
        <w:t xml:space="preserve">with the </w:t>
      </w:r>
      <w:r w:rsidRPr="00AA6E65">
        <w:rPr>
          <w:rFonts w:asciiTheme="minorHAnsi" w:hAnsiTheme="minorHAnsi"/>
        </w:rPr>
        <w:t>examples of his god-ness</w:t>
      </w:r>
      <w:r w:rsidR="00AA6E65" w:rsidRPr="00AA6E65">
        <w:rPr>
          <w:rFonts w:asciiTheme="minorHAnsi" w:hAnsiTheme="minorHAnsi"/>
        </w:rPr>
        <w:t>.</w:t>
      </w:r>
    </w:p>
    <w:p w14:paraId="4D6201CE" w14:textId="77777777" w:rsidR="00BA1D1B" w:rsidRPr="00AA6E65" w:rsidRDefault="00BA1D1B" w:rsidP="00502122"/>
    <w:p w14:paraId="3BB859C0" w14:textId="5E55F42D" w:rsidR="00D27E6B" w:rsidRDefault="00DC21BC" w:rsidP="00502122">
      <w:r>
        <w:t>F</w:t>
      </w:r>
      <w:r w:rsidR="006F0F50">
        <w:t xml:space="preserve">oreign war has two core purposes: </w:t>
      </w:r>
      <w:r>
        <w:t xml:space="preserve">profit, or </w:t>
      </w:r>
      <w:r w:rsidR="006F0F50">
        <w:t xml:space="preserve">the removal of nuisance. </w:t>
      </w:r>
      <w:r w:rsidR="00AA6E65">
        <w:t>The</w:t>
      </w:r>
      <w:r w:rsidR="006F0F50">
        <w:t xml:space="preserve"> treatment of prisoners </w:t>
      </w:r>
      <w:r w:rsidR="00285242">
        <w:t>will depend largely on the balance of advantage in that respect</w:t>
      </w:r>
      <w:r w:rsidR="00950AF4">
        <w:t>.</w:t>
      </w:r>
      <w:r w:rsidR="00644AC8">
        <w:rPr>
          <w:rStyle w:val="FootnoteReference"/>
        </w:rPr>
        <w:footnoteReference w:id="11"/>
      </w:r>
      <w:r w:rsidR="00285242">
        <w:t xml:space="preserve"> </w:t>
      </w:r>
      <w:r w:rsidR="00950AF4">
        <w:t>A</w:t>
      </w:r>
      <w:r w:rsidR="00B5556F">
        <w:t xml:space="preserve"> punitive expedition</w:t>
      </w:r>
      <w:r w:rsidR="00950AF4">
        <w:t xml:space="preserve"> involves</w:t>
      </w:r>
      <w:r w:rsidR="00B5556F">
        <w:t xml:space="preserve"> killing and destroying as widely as possible</w:t>
      </w:r>
      <w:r w:rsidR="00950AF4">
        <w:t>,</w:t>
      </w:r>
      <w:r w:rsidR="00B5556F">
        <w:t xml:space="preserve"> </w:t>
      </w:r>
      <w:r w:rsidR="00285242">
        <w:t>‘to make a desert and call it peace’</w:t>
      </w:r>
      <w:r w:rsidR="00950AF4">
        <w:t>.</w:t>
      </w:r>
      <w:r w:rsidR="00285242">
        <w:rPr>
          <w:rStyle w:val="FootnoteReference"/>
        </w:rPr>
        <w:footnoteReference w:id="12"/>
      </w:r>
      <w:r w:rsidR="00285242">
        <w:t xml:space="preserve"> </w:t>
      </w:r>
      <w:r>
        <w:t xml:space="preserve">The ancient Egyptian regime was not able effectively to manage an extensive imperial regime abroad, nor was large-scale chattel-slavery a feature of the Egyptian economy. </w:t>
      </w:r>
      <w:r w:rsidR="009A1EE5">
        <w:t xml:space="preserve">The establishment of </w:t>
      </w:r>
      <w:r>
        <w:t>a</w:t>
      </w:r>
      <w:r w:rsidR="009A1EE5">
        <w:t xml:space="preserve"> level of military occupation</w:t>
      </w:r>
      <w:r>
        <w:t xml:space="preserve"> – </w:t>
      </w:r>
      <w:r w:rsidR="007B5BE5">
        <w:t xml:space="preserve">like the Nubian </w:t>
      </w:r>
      <w:r>
        <w:t>forts –</w:t>
      </w:r>
      <w:r w:rsidR="00455761">
        <w:t xml:space="preserve"> implies sufficient </w:t>
      </w:r>
      <w:r w:rsidR="00285242">
        <w:t>control</w:t>
      </w:r>
      <w:r w:rsidR="00B5556F">
        <w:t xml:space="preserve"> </w:t>
      </w:r>
      <w:r w:rsidR="00AA6E65">
        <w:t xml:space="preserve">to </w:t>
      </w:r>
      <w:r w:rsidR="00B5556F">
        <w:t>exploit local resources</w:t>
      </w:r>
      <w:r w:rsidR="00285242">
        <w:t>.</w:t>
      </w:r>
      <w:r w:rsidR="00FD7B31">
        <w:t xml:space="preserve"> In practice,</w:t>
      </w:r>
      <w:r w:rsidR="00455761">
        <w:t xml:space="preserve"> however,</w:t>
      </w:r>
      <w:r w:rsidR="00FD7B31">
        <w:t xml:space="preserve"> the normal alternatives for the victor were mass killing </w:t>
      </w:r>
      <w:r>
        <w:t>and</w:t>
      </w:r>
      <w:r w:rsidR="007B5BE5">
        <w:t xml:space="preserve"> plunder</w:t>
      </w:r>
      <w:r>
        <w:t xml:space="preserve">, </w:t>
      </w:r>
      <w:r w:rsidR="007B5BE5">
        <w:t xml:space="preserve">taking </w:t>
      </w:r>
      <w:r w:rsidR="00FD7B31">
        <w:t>whatever of the population could be physically controlled</w:t>
      </w:r>
      <w:r w:rsidR="00455761">
        <w:t>,</w:t>
      </w:r>
      <w:r w:rsidR="00FD7B31">
        <w:t xml:space="preserve"> for resettlement</w:t>
      </w:r>
      <w:r>
        <w:t xml:space="preserve">: a </w:t>
      </w:r>
      <w:r>
        <w:lastRenderedPageBreak/>
        <w:t>sort of slave-raiding for economic development</w:t>
      </w:r>
      <w:r w:rsidR="00FD7B31">
        <w:t>.</w:t>
      </w:r>
      <w:r w:rsidR="00FD7B31">
        <w:rPr>
          <w:rStyle w:val="FootnoteReference"/>
        </w:rPr>
        <w:footnoteReference w:id="13"/>
      </w:r>
      <w:r w:rsidR="00FD7B31">
        <w:t xml:space="preserve"> </w:t>
      </w:r>
      <w:r w:rsidR="00AA6E65">
        <w:t xml:space="preserve">The core method </w:t>
      </w:r>
      <w:r w:rsidR="00762CEC">
        <w:t xml:space="preserve">of dealing with foreigners </w:t>
      </w:r>
      <w:r w:rsidR="00AA6E65">
        <w:t>is</w:t>
      </w:r>
      <w:r w:rsidR="00834EA1">
        <w:t xml:space="preserve"> then</w:t>
      </w:r>
      <w:r w:rsidR="00AA6E65">
        <w:t xml:space="preserve">, in all cases, presented as raw violence: </w:t>
      </w:r>
      <w:r w:rsidR="00AA6E65" w:rsidRPr="00AA6E65">
        <w:rPr>
          <w:rFonts w:ascii="Trlit_CG Times" w:hAnsi="Trlit_CG Times"/>
        </w:rPr>
        <w:t>nxt</w:t>
      </w:r>
      <w:r w:rsidR="00AA6E65">
        <w:t xml:space="preserve">. </w:t>
      </w:r>
      <w:r w:rsidR="00285242">
        <w:t>The close reading of specifi</w:t>
      </w:r>
      <w:r w:rsidR="00B5556F">
        <w:t>c Egyptian text</w:t>
      </w:r>
      <w:r w:rsidR="00AA6E65">
        <w:t>s</w:t>
      </w:r>
      <w:r w:rsidR="00285242">
        <w:t xml:space="preserve"> provide</w:t>
      </w:r>
      <w:r w:rsidR="00B5556F">
        <w:t>s</w:t>
      </w:r>
      <w:r w:rsidR="00285242">
        <w:t xml:space="preserve"> some insight into </w:t>
      </w:r>
      <w:r w:rsidR="00B5556F">
        <w:t>contemporary</w:t>
      </w:r>
      <w:r w:rsidR="00502122">
        <w:t xml:space="preserve"> </w:t>
      </w:r>
      <w:r w:rsidR="00285242">
        <w:t>behaviour and purpose. For instance, the Gebel Barkal stela of Tuthmosis III</w:t>
      </w:r>
      <w:r w:rsidR="00336D95">
        <w:t>, describing a campaign against Naharin</w:t>
      </w:r>
      <w:r w:rsidR="00FF225E">
        <w:t xml:space="preserve"> and its ruler</w:t>
      </w:r>
      <w:r w:rsidR="00285242">
        <w:t>:</w:t>
      </w:r>
      <w:r w:rsidR="00336D95">
        <w:rPr>
          <w:rStyle w:val="FootnoteReference"/>
        </w:rPr>
        <w:footnoteReference w:id="14"/>
      </w:r>
    </w:p>
    <w:p w14:paraId="6B9390B4" w14:textId="77777777" w:rsidR="00423677" w:rsidRDefault="00423677" w:rsidP="00502122"/>
    <w:p w14:paraId="2A57E9F3" w14:textId="77777777" w:rsidR="00285242" w:rsidRPr="00FF225E" w:rsidRDefault="00D243C8" w:rsidP="00423677">
      <w:pPr>
        <w:rPr>
          <w:rFonts w:ascii="Trlit_CG Times" w:hAnsi="Trlit_CG Times"/>
        </w:rPr>
      </w:pPr>
      <w:r>
        <w:rPr>
          <w:rFonts w:ascii="Trlit_CG Times" w:hAnsi="Trlit_CG Times"/>
        </w:rPr>
        <w:t>xbA</w:t>
      </w:r>
      <w:r w:rsidR="00FF225E" w:rsidRPr="00FF225E">
        <w:rPr>
          <w:rFonts w:ascii="Trlit_CG Times" w:hAnsi="Trlit_CG Times"/>
        </w:rPr>
        <w:t>.n=i niwt=f wHyt=f</w:t>
      </w:r>
    </w:p>
    <w:p w14:paraId="09B6E8E5" w14:textId="77777777" w:rsidR="00FF225E" w:rsidRDefault="00FF225E" w:rsidP="00423677">
      <w:r>
        <w:t xml:space="preserve">I hacked-up </w:t>
      </w:r>
      <w:r w:rsidR="00D27E6B">
        <w:t>its</w:t>
      </w:r>
      <w:r>
        <w:t xml:space="preserve"> towns and </w:t>
      </w:r>
      <w:r w:rsidR="00D27E6B">
        <w:t>its</w:t>
      </w:r>
      <w:r>
        <w:t xml:space="preserve"> clans</w:t>
      </w:r>
      <w:r w:rsidR="00D27E6B">
        <w:t>.</w:t>
      </w:r>
    </w:p>
    <w:p w14:paraId="491155F5" w14:textId="77777777" w:rsidR="00FF225E" w:rsidRPr="00FF225E" w:rsidRDefault="00FF225E" w:rsidP="00423677">
      <w:pPr>
        <w:rPr>
          <w:rFonts w:ascii="Trlit_CG Times" w:hAnsi="Trlit_CG Times"/>
        </w:rPr>
      </w:pPr>
      <w:r w:rsidRPr="00FF225E">
        <w:rPr>
          <w:rFonts w:ascii="Trlit_CG Times" w:hAnsi="Trlit_CG Times"/>
        </w:rPr>
        <w:t>di.n=</w:t>
      </w:r>
      <w:r>
        <w:rPr>
          <w:rFonts w:ascii="Trlit_CG Times" w:hAnsi="Trlit_CG Times"/>
        </w:rPr>
        <w:t>i</w:t>
      </w:r>
      <w:r w:rsidRPr="00FF225E">
        <w:rPr>
          <w:rFonts w:ascii="Trlit_CG Times" w:hAnsi="Trlit_CG Times"/>
        </w:rPr>
        <w:t xml:space="preserve"> xt im =sn</w:t>
      </w:r>
    </w:p>
    <w:p w14:paraId="391B7DC2" w14:textId="33968A4D" w:rsidR="00FF225E" w:rsidRDefault="00FF225E" w:rsidP="00423677">
      <w:r>
        <w:t>I set fire to them</w:t>
      </w:r>
      <w:r w:rsidR="00AA6E65">
        <w:t>.</w:t>
      </w:r>
    </w:p>
    <w:p w14:paraId="6EB44893" w14:textId="77777777" w:rsidR="00FF225E" w:rsidRPr="00FF225E" w:rsidRDefault="00FF225E" w:rsidP="00423677">
      <w:pPr>
        <w:rPr>
          <w:rFonts w:ascii="Trlit_CG Times" w:hAnsi="Trlit_CG Times"/>
        </w:rPr>
      </w:pPr>
      <w:r w:rsidRPr="00FF225E">
        <w:rPr>
          <w:rFonts w:ascii="Trlit_CG Times" w:hAnsi="Trlit_CG Times"/>
        </w:rPr>
        <w:t>iri.n st Hm=i m iAt nn xpr grg st</w:t>
      </w:r>
    </w:p>
    <w:p w14:paraId="15512C16" w14:textId="77777777" w:rsidR="00FF225E" w:rsidRDefault="00FF225E" w:rsidP="00423677">
      <w:r>
        <w:t xml:space="preserve">My Majesty made them as mounds, whose </w:t>
      </w:r>
      <w:r w:rsidR="00BA2A9F">
        <w:t>(re-)</w:t>
      </w:r>
      <w:r>
        <w:t>settlement will not happen</w:t>
      </w:r>
      <w:r w:rsidR="00D27E6B">
        <w:t>.</w:t>
      </w:r>
    </w:p>
    <w:p w14:paraId="6615050F" w14:textId="77777777" w:rsidR="00FF225E" w:rsidRPr="00FF225E" w:rsidRDefault="00FF225E" w:rsidP="00423677">
      <w:pPr>
        <w:rPr>
          <w:rFonts w:ascii="Trlit_CG Times" w:hAnsi="Trlit_CG Times"/>
        </w:rPr>
      </w:pPr>
      <w:r w:rsidRPr="00FF225E">
        <w:rPr>
          <w:rFonts w:ascii="Trlit_CG Times" w:hAnsi="Trlit_CG Times"/>
        </w:rPr>
        <w:t>HAq.n=</w:t>
      </w:r>
      <w:r>
        <w:rPr>
          <w:rFonts w:ascii="Trlit_CG Times" w:hAnsi="Trlit_CG Times"/>
        </w:rPr>
        <w:t>i</w:t>
      </w:r>
      <w:r w:rsidRPr="00FF225E">
        <w:rPr>
          <w:rFonts w:ascii="Trlit_CG Times" w:hAnsi="Trlit_CG Times"/>
        </w:rPr>
        <w:t xml:space="preserve"> rmTt=sn nbt </w:t>
      </w:r>
    </w:p>
    <w:p w14:paraId="4F6FEBB6" w14:textId="77777777" w:rsidR="00FF225E" w:rsidRDefault="00FF225E" w:rsidP="00423677">
      <w:r>
        <w:t>I carried away all their people</w:t>
      </w:r>
      <w:r w:rsidR="00D27E6B">
        <w:t>,</w:t>
      </w:r>
    </w:p>
    <w:p w14:paraId="13B2881A" w14:textId="77777777" w:rsidR="00FF225E" w:rsidRPr="00FF225E" w:rsidRDefault="00FF225E" w:rsidP="00423677">
      <w:pPr>
        <w:rPr>
          <w:rFonts w:ascii="Trlit_CG Times" w:hAnsi="Trlit_CG Times"/>
        </w:rPr>
      </w:pPr>
      <w:r w:rsidRPr="00FF225E">
        <w:rPr>
          <w:rFonts w:ascii="Trlit_CG Times" w:hAnsi="Trlit_CG Times"/>
        </w:rPr>
        <w:t>iny m sqr-anx</w:t>
      </w:r>
    </w:p>
    <w:p w14:paraId="431BFEE6" w14:textId="77777777" w:rsidR="00FF225E" w:rsidRDefault="00D27E6B" w:rsidP="00423677">
      <w:r>
        <w:t>b</w:t>
      </w:r>
      <w:r w:rsidR="00FF225E">
        <w:t>rought as prisoners of war</w:t>
      </w:r>
    </w:p>
    <w:p w14:paraId="240E92E6" w14:textId="77777777" w:rsidR="00FF225E" w:rsidRPr="00D27E6B" w:rsidRDefault="00FF225E" w:rsidP="00423677">
      <w:pPr>
        <w:rPr>
          <w:rFonts w:ascii="Trlit_CG Times" w:hAnsi="Trlit_CG Times"/>
        </w:rPr>
      </w:pPr>
      <w:r w:rsidRPr="00D27E6B">
        <w:rPr>
          <w:rFonts w:ascii="Trlit_CG Times" w:hAnsi="Trlit_CG Times"/>
        </w:rPr>
        <w:t>mnmnt iry nn Drw xt=sn m mitt</w:t>
      </w:r>
    </w:p>
    <w:p w14:paraId="5E26571F" w14:textId="77777777" w:rsidR="00FF225E" w:rsidRDefault="00FF225E" w:rsidP="00423677">
      <w:r>
        <w:t xml:space="preserve">and their herds without end, their </w:t>
      </w:r>
      <w:r w:rsidR="00BA2A9F">
        <w:t>(moveable-)</w:t>
      </w:r>
      <w:r>
        <w:t>property as well.</w:t>
      </w:r>
    </w:p>
    <w:p w14:paraId="7FE92ABB" w14:textId="77777777" w:rsidR="00FF225E" w:rsidRPr="00D27E6B" w:rsidRDefault="00FF225E" w:rsidP="00423677">
      <w:pPr>
        <w:rPr>
          <w:rFonts w:ascii="Trlit_CG Times" w:hAnsi="Trlit_CG Times"/>
        </w:rPr>
      </w:pPr>
      <w:r w:rsidRPr="00D27E6B">
        <w:rPr>
          <w:rFonts w:ascii="Trlit_CG Times" w:hAnsi="Trlit_CG Times"/>
        </w:rPr>
        <w:t>nHm.n=i anxtt r=s</w:t>
      </w:r>
    </w:p>
    <w:p w14:paraId="2F194C68" w14:textId="2E04CBC5" w:rsidR="00FF225E" w:rsidRDefault="00FF225E" w:rsidP="00423677">
      <w:r>
        <w:t xml:space="preserve">I seized what </w:t>
      </w:r>
      <w:r w:rsidR="00AA6E65">
        <w:t>one lives on.</w:t>
      </w:r>
    </w:p>
    <w:p w14:paraId="78951103" w14:textId="77777777" w:rsidR="00D27E6B" w:rsidRPr="00D27E6B" w:rsidRDefault="00D27E6B" w:rsidP="00423677">
      <w:pPr>
        <w:rPr>
          <w:rFonts w:ascii="Trlit_CG Times" w:hAnsi="Trlit_CG Times"/>
        </w:rPr>
      </w:pPr>
      <w:r w:rsidRPr="00D27E6B">
        <w:rPr>
          <w:rFonts w:ascii="Trlit_CG Times" w:hAnsi="Trlit_CG Times"/>
        </w:rPr>
        <w:t>wHA.n=i it=sn</w:t>
      </w:r>
    </w:p>
    <w:p w14:paraId="09BA9B20" w14:textId="77777777" w:rsidR="00C74C16" w:rsidRDefault="00D27E6B" w:rsidP="00423677">
      <w:r>
        <w:t>I cut their grain.</w:t>
      </w:r>
    </w:p>
    <w:p w14:paraId="56DDD7FD" w14:textId="77777777" w:rsidR="00D27E6B" w:rsidRPr="00D27E6B" w:rsidRDefault="00D27E6B" w:rsidP="00423677">
      <w:pPr>
        <w:rPr>
          <w:rFonts w:ascii="Trlit_CG Times" w:hAnsi="Trlit_CG Times"/>
        </w:rPr>
      </w:pPr>
      <w:r w:rsidRPr="00D27E6B">
        <w:rPr>
          <w:rFonts w:ascii="Trlit_CG Times" w:hAnsi="Trlit_CG Times"/>
        </w:rPr>
        <w:t>Sa.n=i mnw=sn nb xt=sn nb bnr</w:t>
      </w:r>
    </w:p>
    <w:p w14:paraId="17B3FC0D" w14:textId="77777777" w:rsidR="00D27E6B" w:rsidRDefault="00D27E6B" w:rsidP="00423677">
      <w:r>
        <w:t>I cut down all their woods, all their fruit trees.</w:t>
      </w:r>
    </w:p>
    <w:p w14:paraId="6ED92ADA" w14:textId="77777777" w:rsidR="00D27E6B" w:rsidRPr="00D27E6B" w:rsidRDefault="00D27E6B" w:rsidP="00423677">
      <w:pPr>
        <w:rPr>
          <w:rFonts w:ascii="Trlit_CG Times" w:hAnsi="Trlit_CG Times"/>
          <w:szCs w:val="24"/>
          <w:vertAlign w:val="superscript"/>
        </w:rPr>
      </w:pPr>
      <w:r w:rsidRPr="00D27E6B">
        <w:rPr>
          <w:rFonts w:ascii="Trlit_CG Times" w:hAnsi="Trlit_CG Times"/>
        </w:rPr>
        <w:t>ww=sn wn=sn n dnf</w:t>
      </w:r>
      <w:r w:rsidRPr="001C79DF">
        <w:rPr>
          <w:szCs w:val="24"/>
          <w:vertAlign w:val="superscript"/>
        </w:rPr>
        <w:t>(SIC)</w:t>
      </w:r>
    </w:p>
    <w:p w14:paraId="1C4DECE0" w14:textId="090A1588" w:rsidR="00D27E6B" w:rsidRPr="001C79DF" w:rsidRDefault="00D27E6B" w:rsidP="00423677">
      <w:r>
        <w:t>Their districts we</w:t>
      </w:r>
      <w:r w:rsidRPr="001C79DF">
        <w:t>re for the knife</w:t>
      </w:r>
      <w:r w:rsidR="001C79DF" w:rsidRPr="001C79DF">
        <w:t>(</w:t>
      </w:r>
      <w:r w:rsidRPr="001C79DF">
        <w:t>?</w:t>
      </w:r>
      <w:r w:rsidR="001C79DF" w:rsidRPr="001C79DF">
        <w:t>)</w:t>
      </w:r>
      <w:r w:rsidR="00AA6E65">
        <w:t>.</w:t>
      </w:r>
    </w:p>
    <w:p w14:paraId="748514A1" w14:textId="77777777" w:rsidR="00FF225E" w:rsidRPr="00D27E6B" w:rsidRDefault="00D27E6B" w:rsidP="00423677">
      <w:pPr>
        <w:rPr>
          <w:rFonts w:ascii="Trlit_CG Times" w:hAnsi="Trlit_CG Times"/>
        </w:rPr>
      </w:pPr>
      <w:r w:rsidRPr="00D27E6B">
        <w:rPr>
          <w:rFonts w:ascii="Trlit_CG Times" w:hAnsi="Trlit_CG Times"/>
        </w:rPr>
        <w:t>Sksk.n sw Hm=f</w:t>
      </w:r>
    </w:p>
    <w:p w14:paraId="30755ABA" w14:textId="77777777" w:rsidR="00D27E6B" w:rsidRDefault="00D27E6B" w:rsidP="00423677">
      <w:r>
        <w:t>My Majesty destroyed it,</w:t>
      </w:r>
    </w:p>
    <w:p w14:paraId="21265D53" w14:textId="77777777" w:rsidR="00D27E6B" w:rsidRPr="00D27E6B" w:rsidRDefault="00D27E6B" w:rsidP="00423677">
      <w:pPr>
        <w:rPr>
          <w:rFonts w:ascii="Trlit_CG Times" w:hAnsi="Trlit_CG Times"/>
        </w:rPr>
      </w:pPr>
      <w:r w:rsidRPr="00D27E6B">
        <w:rPr>
          <w:rFonts w:ascii="Trlit_CG Times" w:hAnsi="Trlit_CG Times"/>
        </w:rPr>
        <w:t xml:space="preserve">sw xpr m </w:t>
      </w:r>
      <w:r w:rsidR="00873DAF">
        <w:rPr>
          <w:rFonts w:ascii="Menlo Regular" w:hAnsi="Menlo Regular" w:cs="Menlo Regular"/>
        </w:rPr>
        <w:t>☒☒☒☒</w:t>
      </w:r>
      <w:r w:rsidRPr="00D27E6B">
        <w:rPr>
          <w:rFonts w:ascii="Trlit_CG Times" w:hAnsi="Trlit_CG Times"/>
        </w:rPr>
        <w:t xml:space="preserve"> tkAH nty nn wn Snw Hr=f</w:t>
      </w:r>
    </w:p>
    <w:p w14:paraId="07577689" w14:textId="66530AAE" w:rsidR="00BA2A9F" w:rsidRDefault="00D27E6B" w:rsidP="00423677">
      <w:r>
        <w:t xml:space="preserve">it having become like a burnt place (?), without </w:t>
      </w:r>
      <w:r w:rsidR="001C79DF">
        <w:t>trees</w:t>
      </w:r>
      <w:r>
        <w:t xml:space="preserve"> on it.</w:t>
      </w:r>
      <w:r w:rsidR="00285242">
        <w:tab/>
      </w:r>
      <w:r w:rsidR="00285242">
        <w:tab/>
      </w:r>
    </w:p>
    <w:p w14:paraId="00DB208E" w14:textId="77777777" w:rsidR="00423677" w:rsidRDefault="00423677" w:rsidP="00F91B72"/>
    <w:p w14:paraId="3628B876" w14:textId="5F29D01E" w:rsidR="007F5B00" w:rsidRDefault="00F43BE7" w:rsidP="00F91B72">
      <w:r>
        <w:t>The</w:t>
      </w:r>
      <w:r w:rsidR="00D27E6B">
        <w:t xml:space="preserve"> text can be read as formulaic, </w:t>
      </w:r>
      <w:r w:rsidR="00A35A1D">
        <w:t xml:space="preserve">repeating themes </w:t>
      </w:r>
      <w:r>
        <w:t xml:space="preserve">first projected in </w:t>
      </w:r>
      <w:r w:rsidR="00406307">
        <w:t>the depiction of towns being hacked down on the Early Dynastic Battlefield palette,</w:t>
      </w:r>
      <w:r w:rsidR="007B5BE5">
        <w:rPr>
          <w:rStyle w:val="FootnoteReference"/>
        </w:rPr>
        <w:footnoteReference w:id="15"/>
      </w:r>
      <w:r w:rsidR="00406307">
        <w:t xml:space="preserve"> th</w:t>
      </w:r>
      <w:r w:rsidR="00A35A1D">
        <w:t>r</w:t>
      </w:r>
      <w:r w:rsidR="00406307">
        <w:t xml:space="preserve">ough </w:t>
      </w:r>
      <w:r w:rsidR="008E3F9F">
        <w:t>the 6</w:t>
      </w:r>
      <w:r w:rsidR="008E3F9F" w:rsidRPr="008E3F9F">
        <w:rPr>
          <w:vertAlign w:val="superscript"/>
        </w:rPr>
        <w:t>th</w:t>
      </w:r>
      <w:r w:rsidR="008E3F9F">
        <w:t xml:space="preserve"> Dynasty claims of </w:t>
      </w:r>
      <w:r w:rsidR="008942C8">
        <w:t>Weni to have hacked up (</w:t>
      </w:r>
      <w:r w:rsidR="008942C8" w:rsidRPr="008E3F9F">
        <w:rPr>
          <w:rFonts w:ascii="Trlit_CG Times" w:hAnsi="Trlit_CG Times"/>
        </w:rPr>
        <w:t>bA</w:t>
      </w:r>
      <w:r w:rsidR="008942C8">
        <w:t>) and devastated the land of the Sand-dwellers</w:t>
      </w:r>
      <w:r w:rsidR="00A35A1D">
        <w:t>,</w:t>
      </w:r>
      <w:r w:rsidR="008942C8">
        <w:rPr>
          <w:rStyle w:val="FootnoteReference"/>
        </w:rPr>
        <w:footnoteReference w:id="16"/>
      </w:r>
      <w:r w:rsidR="008942C8">
        <w:t xml:space="preserve"> and </w:t>
      </w:r>
      <w:r w:rsidR="008E3F9F">
        <w:t xml:space="preserve">Pepinakhte to have hacked up </w:t>
      </w:r>
      <w:r w:rsidR="008E3F9F">
        <w:lastRenderedPageBreak/>
        <w:t>(</w:t>
      </w:r>
      <w:r w:rsidR="008E3F9F" w:rsidRPr="008E3F9F">
        <w:rPr>
          <w:rFonts w:ascii="Trlit_CG Times" w:hAnsi="Trlit_CG Times"/>
        </w:rPr>
        <w:t>bA</w:t>
      </w:r>
      <w:r w:rsidR="002F7A89">
        <w:t xml:space="preserve">) </w:t>
      </w:r>
      <w:r w:rsidR="008942C8">
        <w:t>lower Nubia</w:t>
      </w:r>
      <w:r w:rsidR="00A35A1D">
        <w:t>.</w:t>
      </w:r>
      <w:r w:rsidR="008E3F9F">
        <w:rPr>
          <w:rStyle w:val="FootnoteReference"/>
        </w:rPr>
        <w:footnoteReference w:id="17"/>
      </w:r>
      <w:r w:rsidR="008E3F9F">
        <w:t xml:space="preserve"> </w:t>
      </w:r>
      <w:r w:rsidR="00163D08" w:rsidRPr="0097787A">
        <w:t xml:space="preserve">The themes </w:t>
      </w:r>
      <w:r w:rsidR="00A35A1D">
        <w:t xml:space="preserve">of massacre, plunder of people and animals, the burning of settlements, and the destruction of </w:t>
      </w:r>
      <w:r w:rsidR="00A35A1D" w:rsidRPr="0097787A">
        <w:t xml:space="preserve">crops and trees </w:t>
      </w:r>
      <w:r w:rsidR="00163D08" w:rsidRPr="0097787A">
        <w:t>are regular, at all periods</w:t>
      </w:r>
      <w:r w:rsidR="00F91B72" w:rsidRPr="0097787A">
        <w:t xml:space="preserve">. </w:t>
      </w:r>
      <w:r w:rsidR="00A35A1D">
        <w:t>An</w:t>
      </w:r>
      <w:r w:rsidR="00F91B72" w:rsidRPr="0097787A">
        <w:t xml:space="preserve"> inscription of the vizier Antefiker/Gem,</w:t>
      </w:r>
      <w:r w:rsidR="00F91B72" w:rsidRPr="0097787A">
        <w:rPr>
          <w:rStyle w:val="FootnoteReference"/>
        </w:rPr>
        <w:footnoteReference w:id="18"/>
      </w:r>
      <w:r w:rsidR="00F91B72" w:rsidRPr="0097787A">
        <w:t xml:space="preserve"> probably from </w:t>
      </w:r>
      <w:r w:rsidR="00163D08" w:rsidRPr="0097787A">
        <w:t>year 29 of A</w:t>
      </w:r>
      <w:r w:rsidR="007F5B00" w:rsidRPr="0097787A">
        <w:t xml:space="preserve">menemhet </w:t>
      </w:r>
      <w:r w:rsidR="00163D08" w:rsidRPr="0097787A">
        <w:t>I</w:t>
      </w:r>
      <w:r w:rsidR="001029A1" w:rsidRPr="0097787A">
        <w:t xml:space="preserve">, </w:t>
      </w:r>
      <w:r w:rsidR="007F5B00" w:rsidRPr="0097787A">
        <w:t>claims:</w:t>
      </w:r>
    </w:p>
    <w:p w14:paraId="717C88A0" w14:textId="77777777" w:rsidR="00423677" w:rsidRPr="0097787A" w:rsidRDefault="00423677" w:rsidP="00F91B72"/>
    <w:p w14:paraId="5339667A" w14:textId="77777777" w:rsidR="007F5B00" w:rsidRPr="0097787A" w:rsidRDefault="007F5B00" w:rsidP="00423677">
      <w:pPr>
        <w:rPr>
          <w:rFonts w:ascii="Trlit_CG Times" w:hAnsi="Trlit_CG Times"/>
        </w:rPr>
      </w:pPr>
      <w:r w:rsidRPr="0097787A">
        <w:rPr>
          <w:rFonts w:ascii="Trlit_CG Times" w:hAnsi="Trlit_CG Times"/>
        </w:rPr>
        <w:t>wn.t(w) Hr qd xnrt pn aHa.n smA</w:t>
      </w:r>
      <w:r w:rsidR="0097787A" w:rsidRPr="0097787A">
        <w:rPr>
          <w:rFonts w:ascii="Trlit_CG Times" w:hAnsi="Trlit_CG Times"/>
        </w:rPr>
        <w:t xml:space="preserve"> </w:t>
      </w:r>
      <w:r w:rsidRPr="0097787A">
        <w:rPr>
          <w:rFonts w:ascii="Trlit_CG Times" w:hAnsi="Trlit_CG Times"/>
        </w:rPr>
        <w:t xml:space="preserve">nHsw spt nbt m wAwAt aHa.n=i xnti.kw m nxt Hr smA nHs Hr idb=f xd.n(=i) Hr fdt it Hr swA spw nhwt=s dy xt m pr=sn mi irt r sbi Hr nsw </w:t>
      </w:r>
    </w:p>
    <w:p w14:paraId="5C1D2777" w14:textId="77777777" w:rsidR="0097787A" w:rsidRDefault="007F5B00" w:rsidP="00423677">
      <w:r w:rsidRPr="0097787A">
        <w:t>This stronghold was being built. Then</w:t>
      </w:r>
      <w:r w:rsidR="0097787A" w:rsidRPr="0097787A">
        <w:t xml:space="preserve"> the Nubians – all the rest in Wawat – were slaughtered. Then I sailed upstream in might, slaughtering the Nubian on his bank, and (I) sailed downstream</w:t>
      </w:r>
      <w:r w:rsidR="0097787A">
        <w:t>,</w:t>
      </w:r>
      <w:r w:rsidR="0097787A" w:rsidRPr="0097787A">
        <w:t xml:space="preserve"> pulling up the grain and cutting the rest of their trees, and fire was set to their houses, </w:t>
      </w:r>
      <w:r w:rsidR="00163D08" w:rsidRPr="0097787A">
        <w:t xml:space="preserve">as is done against one who </w:t>
      </w:r>
      <w:r w:rsidR="00163D08" w:rsidRPr="0097787A">
        <w:rPr>
          <w:rFonts w:ascii="Trlit_CG Times" w:hAnsi="Trlit_CG Times"/>
        </w:rPr>
        <w:t>sbi</w:t>
      </w:r>
      <w:r w:rsidR="0097787A" w:rsidRPr="0097787A">
        <w:t xml:space="preserve"> against the king</w:t>
      </w:r>
      <w:r w:rsidR="0018413A" w:rsidRPr="0097787A">
        <w:t>.</w:t>
      </w:r>
    </w:p>
    <w:p w14:paraId="4E1B370F" w14:textId="77777777" w:rsidR="00423677" w:rsidRPr="0097787A" w:rsidRDefault="00423677" w:rsidP="00423677"/>
    <w:p w14:paraId="657FF591" w14:textId="70E5348B" w:rsidR="0097787A" w:rsidRDefault="0018413A" w:rsidP="00F91B72">
      <w:r>
        <w:t>A difficult p</w:t>
      </w:r>
      <w:r w:rsidR="00A35A1D">
        <w:t>assage in the Tod i</w:t>
      </w:r>
      <w:r>
        <w:t>nscription of Sesostris I emphasises the capture of all rebels</w:t>
      </w:r>
      <w:r w:rsidR="00163D08">
        <w:t>,</w:t>
      </w:r>
      <w:r>
        <w:t xml:space="preserve"> </w:t>
      </w:r>
      <w:r w:rsidR="003E1589">
        <w:t>burning and decapitation</w:t>
      </w:r>
      <w:r w:rsidR="00DD6755">
        <w:t>, and</w:t>
      </w:r>
      <w:r w:rsidR="003E1589">
        <w:t>:</w:t>
      </w:r>
      <w:r w:rsidR="0097787A" w:rsidRPr="0097787A">
        <w:rPr>
          <w:rStyle w:val="FootnoteReference"/>
        </w:rPr>
        <w:t xml:space="preserve"> </w:t>
      </w:r>
      <w:r w:rsidR="0097787A">
        <w:rPr>
          <w:rStyle w:val="FootnoteReference"/>
        </w:rPr>
        <w:footnoteReference w:id="19"/>
      </w:r>
    </w:p>
    <w:p w14:paraId="051C15A4" w14:textId="77777777" w:rsidR="00423677" w:rsidRDefault="00423677" w:rsidP="00F91B72"/>
    <w:p w14:paraId="78FCA6BF" w14:textId="253CC59A" w:rsidR="0097787A" w:rsidRPr="00DD6755" w:rsidRDefault="00DD6755" w:rsidP="00423677">
      <w:r w:rsidRPr="00DD6755">
        <w:rPr>
          <w:rFonts w:ascii="Trlit_CG Times" w:hAnsi="Trlit_CG Times"/>
        </w:rPr>
        <w:t>nmt</w:t>
      </w:r>
      <w:r w:rsidR="0018413A" w:rsidRPr="00DD6755">
        <w:rPr>
          <w:rFonts w:ascii="Trlit_CG Times" w:hAnsi="Trlit_CG Times"/>
        </w:rPr>
        <w:t xml:space="preserve"> m msw xryw</w:t>
      </w:r>
      <w:r>
        <w:rPr>
          <w:rFonts w:ascii="Trlit_CG Times" w:hAnsi="Trlit_CG Times"/>
        </w:rPr>
        <w:t xml:space="preserve"> imnyt m a</w:t>
      </w:r>
      <w:r w:rsidR="003E1589" w:rsidRPr="00DD6755">
        <w:rPr>
          <w:rFonts w:ascii="Trlit_CG Times" w:hAnsi="Trlit_CG Times"/>
        </w:rPr>
        <w:t>Amw(?)</w:t>
      </w:r>
      <w:r w:rsidR="003E1589" w:rsidRPr="00DD6755">
        <w:t xml:space="preserve">, </w:t>
      </w:r>
    </w:p>
    <w:p w14:paraId="0F95DCE2" w14:textId="7E7209E5" w:rsidR="00F91B72" w:rsidRPr="00DD6755" w:rsidRDefault="00DD6755" w:rsidP="00423677">
      <w:r w:rsidRPr="00DD6755">
        <w:t>butchery with (the) children of the enemies, the slaughtered-animals consisting of Asiatics.</w:t>
      </w:r>
      <w:r w:rsidR="00F91B72" w:rsidRPr="00DD6755">
        <w:tab/>
      </w:r>
    </w:p>
    <w:p w14:paraId="62BDC9D4" w14:textId="77777777" w:rsidR="00423677" w:rsidRDefault="00423677" w:rsidP="00F91B72"/>
    <w:p w14:paraId="0347885F" w14:textId="77777777" w:rsidR="00F91B72" w:rsidRDefault="003E1589" w:rsidP="00F91B72">
      <w:r w:rsidRPr="00DD6755">
        <w:t xml:space="preserve">The Semna </w:t>
      </w:r>
      <w:r w:rsidR="00F91B72" w:rsidRPr="00DD6755">
        <w:t>Stela</w:t>
      </w:r>
      <w:r w:rsidRPr="00DD6755">
        <w:t xml:space="preserve"> of Sesostris</w:t>
      </w:r>
      <w:r w:rsidRPr="0097787A">
        <w:t xml:space="preserve"> III </w:t>
      </w:r>
      <w:r w:rsidR="0097787A" w:rsidRPr="0097787A">
        <w:t>includes the repeated theme of the pursuit of fugitives to the hills:</w:t>
      </w:r>
      <w:r w:rsidR="00F91B72" w:rsidRPr="0097787A">
        <w:rPr>
          <w:rStyle w:val="FootnoteReference"/>
        </w:rPr>
        <w:footnoteReference w:id="20"/>
      </w:r>
    </w:p>
    <w:p w14:paraId="25F4A641" w14:textId="77777777" w:rsidR="00423677" w:rsidRPr="0097787A" w:rsidRDefault="00423677" w:rsidP="00F91B72"/>
    <w:p w14:paraId="6A4755D0" w14:textId="77777777" w:rsidR="0097787A" w:rsidRPr="0097787A" w:rsidRDefault="0097787A" w:rsidP="0097787A">
      <w:pPr>
        <w:ind w:left="227"/>
        <w:rPr>
          <w:rFonts w:ascii="Trlit_CG Times" w:hAnsi="Trlit_CG Times"/>
        </w:rPr>
      </w:pPr>
      <w:r w:rsidRPr="0097787A">
        <w:rPr>
          <w:rFonts w:ascii="Trlit_CG Times" w:hAnsi="Trlit_CG Times"/>
        </w:rPr>
        <w:t>HAq.n=i Hmwt=sn ini.n=</w:t>
      </w:r>
      <w:r>
        <w:rPr>
          <w:rFonts w:ascii="Trlit_CG Times" w:hAnsi="Trlit_CG Times"/>
        </w:rPr>
        <w:t>i</w:t>
      </w:r>
      <w:r w:rsidRPr="0097787A">
        <w:rPr>
          <w:rFonts w:ascii="Trlit_CG Times" w:hAnsi="Trlit_CG Times"/>
        </w:rPr>
        <w:t xml:space="preserve"> Xrw=sn pr r Xnmwt=sn Hwi kAw=sn wHA it=sn rdi xt im</w:t>
      </w:r>
    </w:p>
    <w:p w14:paraId="4DB3FA56" w14:textId="77777777" w:rsidR="0097787A" w:rsidRDefault="0097787A" w:rsidP="0097787A">
      <w:pPr>
        <w:ind w:left="227"/>
      </w:pPr>
      <w:r w:rsidRPr="0097787A">
        <w:t>I plundered their women and I brought (away) their families who had gone out to their wells; their cattle were driven off, their grain cut, and fire set there.</w:t>
      </w:r>
    </w:p>
    <w:p w14:paraId="359AD618" w14:textId="77777777" w:rsidR="00423677" w:rsidRPr="0097787A" w:rsidRDefault="00423677" w:rsidP="0097787A">
      <w:pPr>
        <w:ind w:left="227"/>
      </w:pPr>
    </w:p>
    <w:p w14:paraId="0C9783B2" w14:textId="538BFDC2" w:rsidR="0097787A" w:rsidRDefault="003E1589" w:rsidP="0097787A">
      <w:pPr>
        <w:rPr>
          <w:lang w:val="cs-CZ"/>
        </w:rPr>
      </w:pPr>
      <w:r w:rsidRPr="008758D2">
        <w:rPr>
          <w:lang w:val="cs-CZ"/>
        </w:rPr>
        <w:t xml:space="preserve">The </w:t>
      </w:r>
      <w:r w:rsidR="00163D08" w:rsidRPr="008758D2">
        <w:rPr>
          <w:lang w:val="cs-CZ"/>
        </w:rPr>
        <w:t xml:space="preserve">Semna Stela of Amenhotep III </w:t>
      </w:r>
      <w:r w:rsidR="00543E5E" w:rsidRPr="008758D2">
        <w:rPr>
          <w:lang w:val="cs-CZ"/>
        </w:rPr>
        <w:t>specifically times the campaign</w:t>
      </w:r>
      <w:r w:rsidR="00F111D8">
        <w:rPr>
          <w:lang w:val="cs-CZ"/>
        </w:rPr>
        <w:t>,</w:t>
      </w:r>
      <w:r w:rsidR="00543E5E" w:rsidRPr="008758D2">
        <w:rPr>
          <w:lang w:val="cs-CZ"/>
        </w:rPr>
        <w:t xml:space="preserve"> led by the Viceroy of Nubia</w:t>
      </w:r>
      <w:r w:rsidR="00F111D8">
        <w:rPr>
          <w:lang w:val="cs-CZ"/>
        </w:rPr>
        <w:t>,</w:t>
      </w:r>
      <w:r w:rsidR="00543E5E" w:rsidRPr="008758D2">
        <w:rPr>
          <w:lang w:val="cs-CZ"/>
        </w:rPr>
        <w:t xml:space="preserve"> to the enemy </w:t>
      </w:r>
      <w:r w:rsidR="00163D08" w:rsidRPr="008758D2">
        <w:rPr>
          <w:lang w:val="cs-CZ"/>
        </w:rPr>
        <w:t>harvest</w:t>
      </w:r>
      <w:r w:rsidR="00543E5E" w:rsidRPr="008758D2">
        <w:rPr>
          <w:lang w:val="cs-CZ"/>
        </w:rPr>
        <w:t>. The list of captives</w:t>
      </w:r>
      <w:r w:rsidR="0097787A">
        <w:rPr>
          <w:lang w:val="cs-CZ"/>
        </w:rPr>
        <w:t xml:space="preserve"> (</w:t>
      </w:r>
      <w:r w:rsidR="0097787A" w:rsidRPr="0097787A">
        <w:rPr>
          <w:rFonts w:ascii="Trlit_CG Times" w:hAnsi="Trlit_CG Times"/>
          <w:lang w:val="cs-CZ"/>
        </w:rPr>
        <w:t>HAq</w:t>
      </w:r>
      <w:r w:rsidR="0097787A">
        <w:rPr>
          <w:lang w:val="cs-CZ"/>
        </w:rPr>
        <w:t>)</w:t>
      </w:r>
      <w:r w:rsidR="00543E5E" w:rsidRPr="008758D2">
        <w:rPr>
          <w:lang w:val="cs-CZ"/>
        </w:rPr>
        <w:t xml:space="preserve"> – men, women and children –</w:t>
      </w:r>
      <w:r w:rsidR="008758D2" w:rsidRPr="008758D2">
        <w:rPr>
          <w:lang w:val="cs-CZ"/>
        </w:rPr>
        <w:t xml:space="preserve"> ends with</w:t>
      </w:r>
      <w:r w:rsidR="008758D2">
        <w:rPr>
          <w:lang w:val="cs-CZ"/>
        </w:rPr>
        <w:t>:</w:t>
      </w:r>
      <w:r w:rsidR="0097787A">
        <w:rPr>
          <w:rStyle w:val="FootnoteReference"/>
          <w:lang w:val="cs-CZ"/>
        </w:rPr>
        <w:footnoteReference w:id="21"/>
      </w:r>
    </w:p>
    <w:p w14:paraId="10141F54" w14:textId="77777777" w:rsidR="00423677" w:rsidRDefault="00423677" w:rsidP="00423677">
      <w:pPr>
        <w:rPr>
          <w:rFonts w:ascii="Times New Roman" w:hAnsi="Times New Roman"/>
          <w:lang w:val="cs-CZ"/>
        </w:rPr>
      </w:pPr>
    </w:p>
    <w:p w14:paraId="2BA3FDF6" w14:textId="77777777" w:rsidR="008758D2" w:rsidRPr="008758D2" w:rsidRDefault="008758D2" w:rsidP="00423677">
      <w:pPr>
        <w:rPr>
          <w:rFonts w:ascii="Trlit_CG Times" w:hAnsi="Trlit_CG Times"/>
          <w:lang w:val="cs-CZ"/>
        </w:rPr>
      </w:pPr>
      <w:r w:rsidRPr="008758D2">
        <w:rPr>
          <w:rFonts w:ascii="Trlit_CG Times" w:hAnsi="Trlit_CG Times"/>
          <w:lang w:val="cs-CZ"/>
        </w:rPr>
        <w:t xml:space="preserve">dmD tp anx </w:t>
      </w:r>
      <w:r w:rsidRPr="008758D2">
        <w:rPr>
          <w:lang w:val="cs-CZ"/>
        </w:rPr>
        <w:t>740</w:t>
      </w:r>
      <w:r w:rsidRPr="008758D2">
        <w:rPr>
          <w:rFonts w:ascii="Trlit_CG Times" w:hAnsi="Trlit_CG Times"/>
          <w:lang w:val="cs-CZ"/>
        </w:rPr>
        <w:t xml:space="preserve"> Drt iry </w:t>
      </w:r>
      <w:r w:rsidRPr="008758D2">
        <w:rPr>
          <w:lang w:val="cs-CZ"/>
        </w:rPr>
        <w:t>312</w:t>
      </w:r>
      <w:r w:rsidRPr="008758D2">
        <w:rPr>
          <w:rFonts w:ascii="Trlit_CG Times" w:hAnsi="Trlit_CG Times"/>
          <w:lang w:val="cs-CZ"/>
        </w:rPr>
        <w:t xml:space="preserve"> smA tp anx m </w:t>
      </w:r>
      <w:r w:rsidRPr="008758D2">
        <w:rPr>
          <w:lang w:val="cs-CZ"/>
        </w:rPr>
        <w:t>1052</w:t>
      </w:r>
    </w:p>
    <w:p w14:paraId="4D5285FB" w14:textId="77777777" w:rsidR="00543E5E" w:rsidRDefault="008758D2" w:rsidP="00423677">
      <w:r>
        <w:t>T</w:t>
      </w:r>
      <w:r w:rsidR="00543E5E" w:rsidRPr="008758D2">
        <w:t xml:space="preserve">otal: </w:t>
      </w:r>
      <w:r w:rsidRPr="008758D2">
        <w:t>head, living, 740. Hands thereof, 312. Slaughter</w:t>
      </w:r>
      <w:r w:rsidR="0097787A">
        <w:t xml:space="preserve">ed(?) and </w:t>
      </w:r>
      <w:r w:rsidRPr="008758D2">
        <w:t>head</w:t>
      </w:r>
      <w:r w:rsidR="0097787A">
        <w:t xml:space="preserve"> (of)</w:t>
      </w:r>
      <w:r w:rsidRPr="008758D2">
        <w:t xml:space="preserve"> living, as 1</w:t>
      </w:r>
      <w:r w:rsidR="0097787A">
        <w:t>0</w:t>
      </w:r>
      <w:r w:rsidRPr="008758D2">
        <w:t>52</w:t>
      </w:r>
      <w:r>
        <w:t>.</w:t>
      </w:r>
    </w:p>
    <w:p w14:paraId="6F028D5D" w14:textId="77777777" w:rsidR="00423677" w:rsidRDefault="00423677" w:rsidP="00423677"/>
    <w:p w14:paraId="15117FAE" w14:textId="1265DCFB" w:rsidR="00DD6755" w:rsidRDefault="003E1589" w:rsidP="00502122">
      <w:r>
        <w:t>As a contrast, the Stela of Piye</w:t>
      </w:r>
      <w:r w:rsidR="00DD6755">
        <w:t xml:space="preserve"> asserts</w:t>
      </w:r>
      <w:r>
        <w:t>:</w:t>
      </w:r>
      <w:r w:rsidR="00DD6755" w:rsidRPr="00DD6755">
        <w:rPr>
          <w:rStyle w:val="FootnoteReference"/>
        </w:rPr>
        <w:t xml:space="preserve"> </w:t>
      </w:r>
      <w:r w:rsidR="00DD6755">
        <w:rPr>
          <w:rStyle w:val="FootnoteReference"/>
        </w:rPr>
        <w:footnoteReference w:id="22"/>
      </w:r>
    </w:p>
    <w:p w14:paraId="4232A2E3" w14:textId="77777777" w:rsidR="00423677" w:rsidRDefault="00423677" w:rsidP="00502122"/>
    <w:p w14:paraId="1E8F00E4" w14:textId="038AAECB" w:rsidR="00DD6755" w:rsidRDefault="003E1589" w:rsidP="00423677">
      <w:r w:rsidRPr="007C60CD">
        <w:rPr>
          <w:rFonts w:ascii="Trlit_CG Times" w:hAnsi="Trlit_CG Times"/>
        </w:rPr>
        <w:t>n smA.tw</w:t>
      </w:r>
      <w:r w:rsidR="002409A1">
        <w:rPr>
          <w:rFonts w:ascii="Trlit_CG Times" w:hAnsi="Trlit_CG Times"/>
        </w:rPr>
        <w:t xml:space="preserve"> </w:t>
      </w:r>
      <w:r w:rsidRPr="007C60CD">
        <w:rPr>
          <w:rFonts w:ascii="Trlit_CG Times" w:hAnsi="Trlit_CG Times"/>
        </w:rPr>
        <w:t>wa nb im wpw sbiw waA Hr nTr</w:t>
      </w:r>
      <w:r w:rsidR="00202BED" w:rsidRPr="00202BED">
        <w:rPr>
          <w:rFonts w:ascii="Trlit_CG Times" w:hAnsi="Trlit_CG Times"/>
        </w:rPr>
        <w:t xml:space="preserve"> iri.t(w) nmt m XAk-ibw</w:t>
      </w:r>
    </w:p>
    <w:p w14:paraId="2B9FC531" w14:textId="77777777" w:rsidR="00423677" w:rsidRDefault="00F111D8" w:rsidP="00423677">
      <w:r>
        <w:t>N</w:t>
      </w:r>
      <w:r w:rsidR="003E1589">
        <w:t>o one was exte</w:t>
      </w:r>
      <w:r w:rsidR="00DD6755">
        <w:t>rminated there except the opponents</w:t>
      </w:r>
      <w:r w:rsidR="003E1589">
        <w:t xml:space="preserve"> who had blasphemed against god</w:t>
      </w:r>
      <w:r w:rsidR="00202BED">
        <w:t>; butchery was done with the disaffect</w:t>
      </w:r>
      <w:r w:rsidR="00DD6755">
        <w:t>e</w:t>
      </w:r>
      <w:r w:rsidR="00202BED">
        <w:t>d</w:t>
      </w:r>
      <w:r w:rsidR="00423677">
        <w:t>.</w:t>
      </w:r>
    </w:p>
    <w:p w14:paraId="5CF17A88" w14:textId="2B5CC3C4" w:rsidR="00DD6755" w:rsidRDefault="003E1589" w:rsidP="00DD6755">
      <w:pPr>
        <w:ind w:left="227"/>
      </w:pPr>
      <w:r>
        <w:t xml:space="preserve"> </w:t>
      </w:r>
    </w:p>
    <w:p w14:paraId="3C92D085" w14:textId="317158EE" w:rsidR="00F111D8" w:rsidRDefault="007F4F0F" w:rsidP="00502122">
      <w:r>
        <w:t>Piye i</w:t>
      </w:r>
      <w:r w:rsidR="00DD6755">
        <w:t xml:space="preserve">s </w:t>
      </w:r>
      <w:r>
        <w:t xml:space="preserve">asserting an absence of violence </w:t>
      </w:r>
      <w:r w:rsidR="00DD6755">
        <w:t>in</w:t>
      </w:r>
      <w:r w:rsidR="003E1589">
        <w:t xml:space="preserve"> areas he overran: the actions of </w:t>
      </w:r>
      <w:r w:rsidR="00850C6D">
        <w:t xml:space="preserve">the </w:t>
      </w:r>
      <w:r w:rsidR="003E1589">
        <w:t xml:space="preserve">conqueror and not </w:t>
      </w:r>
      <w:r w:rsidR="00850C6D">
        <w:t xml:space="preserve">a punitive expedition. </w:t>
      </w:r>
    </w:p>
    <w:p w14:paraId="26E0B65F" w14:textId="77777777" w:rsidR="00590846" w:rsidRDefault="00590846" w:rsidP="00502122"/>
    <w:p w14:paraId="15C1134F" w14:textId="7ADE3FA5" w:rsidR="00590846" w:rsidRPr="00590846" w:rsidRDefault="00590846" w:rsidP="00502122">
      <w:pPr>
        <w:rPr>
          <w:b/>
        </w:rPr>
      </w:pPr>
      <w:r>
        <w:rPr>
          <w:b/>
        </w:rPr>
        <w:t>The theatre</w:t>
      </w:r>
      <w:r w:rsidRPr="00590846">
        <w:rPr>
          <w:b/>
        </w:rPr>
        <w:t xml:space="preserve"> of power: mutilation and impalement</w:t>
      </w:r>
    </w:p>
    <w:p w14:paraId="087AD9B1" w14:textId="6806AFC1" w:rsidR="00757207" w:rsidRDefault="00F111D8" w:rsidP="00502122">
      <w:r>
        <w:t>The underlying theme</w:t>
      </w:r>
      <w:r w:rsidR="00406307">
        <w:t xml:space="preserve"> of </w:t>
      </w:r>
      <w:r>
        <w:t xml:space="preserve">the </w:t>
      </w:r>
      <w:r w:rsidR="00406307">
        <w:t>devastation and depopulation of neighbours who pose a threat, combined in effect with slave raiding on a large scale to populate Egypt, are normal, comprehensible</w:t>
      </w:r>
      <w:r>
        <w:t>,</w:t>
      </w:r>
      <w:r w:rsidR="00406307">
        <w:t xml:space="preserve"> and better documented than Egyptian attempts to impose effective political occupations.</w:t>
      </w:r>
      <w:r w:rsidR="00B94318">
        <w:t xml:space="preserve"> In reality it is not the vocabulary of the Egyptian accounts, or the underlying actions, which are different, but levels of detail.</w:t>
      </w:r>
      <w:r w:rsidR="00B94318">
        <w:rPr>
          <w:rStyle w:val="FootnoteReference"/>
        </w:rPr>
        <w:footnoteReference w:id="23"/>
      </w:r>
      <w:r w:rsidR="00B94318">
        <w:rPr>
          <w:color w:val="FF0000"/>
        </w:rPr>
        <w:t xml:space="preserve"> </w:t>
      </w:r>
      <w:r>
        <w:t xml:space="preserve">What </w:t>
      </w:r>
      <w:r w:rsidR="007F4F0F">
        <w:t xml:space="preserve">is </w:t>
      </w:r>
      <w:r>
        <w:t>uncommon</w:t>
      </w:r>
      <w:r w:rsidR="00406307">
        <w:t xml:space="preserve"> in the Egyptian material is </w:t>
      </w:r>
      <w:r w:rsidR="007F4F0F">
        <w:t xml:space="preserve">the individuated </w:t>
      </w:r>
      <w:r w:rsidR="00757207">
        <w:t xml:space="preserve">description of </w:t>
      </w:r>
      <w:r w:rsidR="007F4F0F">
        <w:t>specific</w:t>
      </w:r>
      <w:r>
        <w:t xml:space="preserve"> acts of </w:t>
      </w:r>
      <w:r w:rsidR="004569F7">
        <w:t>violence</w:t>
      </w:r>
      <w:r w:rsidR="00757207">
        <w:t xml:space="preserve">. The most striking </w:t>
      </w:r>
      <w:r w:rsidR="00BD73A6">
        <w:t>example comes in the Amada stela</w:t>
      </w:r>
      <w:r w:rsidR="00757207">
        <w:t xml:space="preserve"> of Merenptah, picking up much the same themes as the Elephantine text of Tuthmosis II:</w:t>
      </w:r>
      <w:r w:rsidR="00757207">
        <w:rPr>
          <w:rStyle w:val="FootnoteReference"/>
        </w:rPr>
        <w:footnoteReference w:id="24"/>
      </w:r>
    </w:p>
    <w:p w14:paraId="4EA28294" w14:textId="77777777" w:rsidR="00423677" w:rsidRPr="00B94318" w:rsidRDefault="00423677" w:rsidP="00423677">
      <w:pPr>
        <w:rPr>
          <w:color w:val="FF0000"/>
        </w:rPr>
      </w:pPr>
    </w:p>
    <w:p w14:paraId="6BFE22DB" w14:textId="4A10D10A" w:rsidR="00757207" w:rsidRPr="004E17DB" w:rsidRDefault="00757207" w:rsidP="00423677">
      <w:pPr>
        <w:rPr>
          <w:rFonts w:ascii="Trlit_CG Times" w:hAnsi="Trlit_CG Times"/>
        </w:rPr>
      </w:pPr>
      <w:r w:rsidRPr="004E17DB">
        <w:rPr>
          <w:rFonts w:ascii="Trlit_CG Times" w:hAnsi="Trlit_CG Times"/>
        </w:rPr>
        <w:t xml:space="preserve">xpr.n rnpt </w:t>
      </w:r>
      <w:r w:rsidRPr="00757207">
        <w:rPr>
          <w:rFonts w:ascii="Palatino Linotype" w:hAnsi="Palatino Linotype"/>
        </w:rPr>
        <w:t>4</w:t>
      </w:r>
      <w:r w:rsidRPr="004E17DB">
        <w:rPr>
          <w:rFonts w:ascii="Trlit_CG Times" w:hAnsi="Trlit_CG Times"/>
        </w:rPr>
        <w:t xml:space="preserve"> Abd </w:t>
      </w:r>
      <w:r w:rsidRPr="00757207">
        <w:rPr>
          <w:rFonts w:ascii="Palatino Linotype" w:hAnsi="Palatino Linotype"/>
        </w:rPr>
        <w:t>2</w:t>
      </w:r>
      <w:r w:rsidRPr="004E17DB">
        <w:rPr>
          <w:rFonts w:ascii="Trlit_CG Times" w:hAnsi="Trlit_CG Times"/>
        </w:rPr>
        <w:t xml:space="preserve"> Smw sw </w:t>
      </w:r>
      <w:r w:rsidRPr="00757207">
        <w:rPr>
          <w:rFonts w:ascii="Palatino Linotype" w:hAnsi="Palatino Linotype"/>
        </w:rPr>
        <w:t>1</w:t>
      </w:r>
      <w:r w:rsidRPr="004E17DB">
        <w:rPr>
          <w:rFonts w:ascii="Trlit_CG Times" w:hAnsi="Trlit_CG Times"/>
        </w:rPr>
        <w:t xml:space="preserve"> </w:t>
      </w:r>
      <w:r w:rsidR="00047E5E">
        <w:rPr>
          <w:rFonts w:ascii="Trlit_CG Times" w:hAnsi="Trlit_CG Times"/>
        </w:rPr>
        <w:t>xft</w:t>
      </w:r>
      <w:r w:rsidRPr="004E17DB">
        <w:rPr>
          <w:rFonts w:ascii="Trlit_CG Times" w:hAnsi="Trlit_CG Times"/>
        </w:rPr>
        <w:t xml:space="preserve">(?) </w:t>
      </w:r>
      <w:r w:rsidR="00047E5E">
        <w:rPr>
          <w:rFonts w:ascii="Trlit_CG Times" w:hAnsi="Trlit_CG Times"/>
        </w:rPr>
        <w:t>ii(?)</w:t>
      </w:r>
      <w:r w:rsidRPr="004E17DB">
        <w:rPr>
          <w:rFonts w:ascii="Trlit_CG Times" w:hAnsi="Trlit_CG Times"/>
        </w:rPr>
        <w:t>.n pA mSa qni n Hm=f sxr pA wr Xsi n rbw n sp wAH=st rmT nb n rbw</w:t>
      </w:r>
      <w:r>
        <w:t xml:space="preserve"> </w:t>
      </w:r>
      <w:r w:rsidRPr="004E17DB">
        <w:rPr>
          <w:rFonts w:ascii="Trlit_CG Times" w:hAnsi="Trlit_CG Times"/>
        </w:rPr>
        <w:t>[.….] nb m tA=sn [….] m Hfnw Dbaw nA spy diw Hr-tp-xt Hr rsy Mn-nfr</w:t>
      </w:r>
    </w:p>
    <w:p w14:paraId="0F8C174F" w14:textId="77777777" w:rsidR="00C74C16" w:rsidRDefault="00757207" w:rsidP="00423677">
      <w:r>
        <w:t>(It) happened (in) Ye</w:t>
      </w:r>
      <w:r w:rsidR="00047E5E">
        <w:t xml:space="preserve">ar 4, month 2 of Harvest, day 1, when(?) </w:t>
      </w:r>
      <w:r>
        <w:t>the</w:t>
      </w:r>
      <w:r w:rsidRPr="00047E5E">
        <w:t xml:space="preserve"> active </w:t>
      </w:r>
      <w:r>
        <w:t xml:space="preserve">army of His Majesty </w:t>
      </w:r>
      <w:r w:rsidR="00047E5E">
        <w:t>returned(?) (from) felling the vile chief of Libu, t</w:t>
      </w:r>
      <w:r>
        <w:t>hey did not leave any people of Libu, […..] any .. in their land […] in hundreds and tens of thousands; the rest were put on stak</w:t>
      </w:r>
      <w:r w:rsidR="00A10C1A">
        <w:t>es to the south of Memphis;</w:t>
      </w:r>
    </w:p>
    <w:p w14:paraId="0C66ECF9" w14:textId="01BBDA4B" w:rsidR="00757207" w:rsidRPr="00757207" w:rsidRDefault="00A643FC" w:rsidP="00423677">
      <w:pPr>
        <w:rPr>
          <w:rFonts w:ascii="Trlit_CG Times" w:hAnsi="Trlit_CG Times"/>
        </w:rPr>
      </w:pPr>
      <w:r w:rsidRPr="00A643FC">
        <w:rPr>
          <w:rFonts w:ascii="Trlit_CG Times" w:hAnsi="Trlit_CG Times"/>
        </w:rPr>
        <w:t>x</w:t>
      </w:r>
      <w:r w:rsidR="00757207" w:rsidRPr="00A643FC">
        <w:rPr>
          <w:rFonts w:ascii="Trlit_CG Times" w:hAnsi="Trlit_CG Times"/>
        </w:rPr>
        <w:t>f</w:t>
      </w:r>
      <w:r w:rsidR="00C149AF" w:rsidRPr="00A643FC">
        <w:rPr>
          <w:rFonts w:ascii="Trlit_CG Times" w:hAnsi="Trlit_CG Times"/>
        </w:rPr>
        <w:t>.</w:t>
      </w:r>
      <w:r w:rsidR="00757207" w:rsidRPr="00A643FC">
        <w:rPr>
          <w:rFonts w:ascii="Trlit_CG Times" w:hAnsi="Trlit_CG Times"/>
        </w:rPr>
        <w:t>t</w:t>
      </w:r>
      <w:r w:rsidR="00C149AF" w:rsidRPr="00A643FC">
        <w:rPr>
          <w:rFonts w:ascii="Trlit_CG Times" w:hAnsi="Trlit_CG Times"/>
        </w:rPr>
        <w:t>(w)</w:t>
      </w:r>
      <w:r w:rsidR="00757207" w:rsidRPr="00A643FC">
        <w:rPr>
          <w:rFonts w:ascii="Trlit_CG Times" w:hAnsi="Trlit_CG Times"/>
        </w:rPr>
        <w:t xml:space="preserve"> xt</w:t>
      </w:r>
      <w:r w:rsidR="00757207" w:rsidRPr="00757207">
        <w:rPr>
          <w:rFonts w:ascii="Trlit_CG Times" w:hAnsi="Trlit_CG Times"/>
        </w:rPr>
        <w:t xml:space="preserve"> nb ini r kmt </w:t>
      </w:r>
      <w:r w:rsidR="00A10C1A" w:rsidRPr="00121CAA">
        <w:rPr>
          <w:rFonts w:ascii="Trlit_CG Times" w:hAnsi="Trlit_CG Times"/>
        </w:rPr>
        <w:t>SA-</w:t>
      </w:r>
      <w:r w:rsidR="00121CAA" w:rsidRPr="00121CAA">
        <w:rPr>
          <w:rFonts w:ascii="Trlit_CG Times" w:hAnsi="Trlit_CG Times"/>
        </w:rPr>
        <w:t>r-</w:t>
      </w:r>
      <w:r w:rsidR="00757207" w:rsidRPr="00121CAA">
        <w:rPr>
          <w:rFonts w:ascii="Trlit_CG Times" w:hAnsi="Trlit_CG Times"/>
        </w:rPr>
        <w:t>mA</w:t>
      </w:r>
      <w:r w:rsidR="00757207" w:rsidRPr="00757207">
        <w:rPr>
          <w:rFonts w:ascii="Trlit_CG Times" w:hAnsi="Trlit_CG Times"/>
          <w:color w:val="FF0000"/>
        </w:rPr>
        <w:t xml:space="preserve"> </w:t>
      </w:r>
      <w:r w:rsidR="00757207" w:rsidRPr="00757207">
        <w:rPr>
          <w:rFonts w:ascii="Trlit_CG Times" w:hAnsi="Trlit_CG Times"/>
        </w:rPr>
        <w:t xml:space="preserve">wrw r-Dr nA n tAw psx n bAw Hm=f hmhmt=f m ib=sn </w:t>
      </w:r>
      <w:r w:rsidR="009D1400">
        <w:rPr>
          <w:rFonts w:ascii="Trlit_CG Times" w:hAnsi="Trlit_CG Times"/>
        </w:rPr>
        <w:t>[</w:t>
      </w:r>
      <w:r w:rsidR="00757207" w:rsidRPr="009D1400">
        <w:rPr>
          <w:rFonts w:ascii="Trlit_CG Times" w:hAnsi="Trlit_CG Times"/>
        </w:rPr>
        <w:t>..</w:t>
      </w:r>
      <w:r w:rsidR="009D1400">
        <w:rPr>
          <w:rFonts w:ascii="Trlit_CG Times" w:hAnsi="Trlit_CG Times"/>
        </w:rPr>
        <w:t>].</w:t>
      </w:r>
      <w:r w:rsidR="00757207" w:rsidRPr="009D1400">
        <w:rPr>
          <w:rFonts w:ascii="Trlit_CG Times" w:hAnsi="Trlit_CG Times"/>
        </w:rPr>
        <w:t xml:space="preserve">n=f st i.iri=n r tnw </w:t>
      </w:r>
      <w:r w:rsidR="009D1400" w:rsidRPr="009D1400">
        <w:rPr>
          <w:rFonts w:ascii="Trlit_CG Times" w:hAnsi="Trlit_CG Times"/>
        </w:rPr>
        <w:t>pA mAi Hs Hr h</w:t>
      </w:r>
      <w:r w:rsidR="00757207" w:rsidRPr="009D1400">
        <w:rPr>
          <w:rFonts w:ascii="Trlit_CG Times" w:hAnsi="Trlit_CG Times"/>
        </w:rPr>
        <w:t>b=f pA hAhA n r=f n WAwAy xf st m sp n(n) iwaw</w:t>
      </w:r>
      <w:r w:rsidR="00757207" w:rsidRPr="00757207">
        <w:rPr>
          <w:rFonts w:ascii="Trlit_CG Times" w:hAnsi="Trlit_CG Times"/>
        </w:rPr>
        <w:t xml:space="preserve"> tA=st</w:t>
      </w:r>
      <w:r w:rsidR="009D1400" w:rsidRPr="009D1400">
        <w:rPr>
          <w:rFonts w:ascii="Trlit_CG Times" w:hAnsi="Trlit_CG Times"/>
        </w:rPr>
        <w:t xml:space="preserve"> </w:t>
      </w:r>
      <w:r w:rsidR="009D1400" w:rsidRPr="00B97CDE">
        <w:rPr>
          <w:rFonts w:ascii="Trlit_CG Times" w:hAnsi="Trlit_CG Times"/>
        </w:rPr>
        <w:t>ini r kmt ma..(?)</w:t>
      </w:r>
    </w:p>
    <w:p w14:paraId="639DB391" w14:textId="279BDC5D" w:rsidR="00757207" w:rsidRDefault="00A10C1A" w:rsidP="00423677">
      <w:r w:rsidRPr="00A643FC">
        <w:t xml:space="preserve">Everything was plundered, and </w:t>
      </w:r>
      <w:r w:rsidR="00757207">
        <w:t>brought to Egypt</w:t>
      </w:r>
      <w:r w:rsidR="00121CAA">
        <w:t>; th</w:t>
      </w:r>
      <w:r w:rsidR="00121CAA" w:rsidRPr="00121CAA">
        <w:t>e</w:t>
      </w:r>
      <w:r w:rsidRPr="00121CAA">
        <w:t xml:space="preserve"> chiefs in their entirety </w:t>
      </w:r>
      <w:r w:rsidR="00121CAA" w:rsidRPr="00121CAA">
        <w:t>did obeisance</w:t>
      </w:r>
      <w:r w:rsidR="008F039E">
        <w:t>;</w:t>
      </w:r>
      <w:r w:rsidRPr="00121CAA">
        <w:t xml:space="preserve"> </w:t>
      </w:r>
      <w:r w:rsidR="00121CAA" w:rsidRPr="00121CAA">
        <w:t xml:space="preserve">the lands </w:t>
      </w:r>
      <w:r w:rsidR="008F039E">
        <w:t>were scattered at the</w:t>
      </w:r>
      <w:r w:rsidR="00121CAA" w:rsidRPr="00121CAA">
        <w:t xml:space="preserve"> at</w:t>
      </w:r>
      <w:r w:rsidR="00B25B4F" w:rsidRPr="00121CAA">
        <w:t xml:space="preserve"> divine-in</w:t>
      </w:r>
      <w:r w:rsidR="00B25B4F">
        <w:t>tervention</w:t>
      </w:r>
      <w:r w:rsidR="00757207">
        <w:t xml:space="preserve"> of His Majesty</w:t>
      </w:r>
      <w:r w:rsidR="00121CAA">
        <w:t>,</w:t>
      </w:r>
      <w:r w:rsidR="00757207">
        <w:t xml:space="preserve"> his </w:t>
      </w:r>
      <w:r>
        <w:t>war-cry in their hearts</w:t>
      </w:r>
      <w:r w:rsidR="00121CAA">
        <w:t xml:space="preserve">. He has [..] them. “Where </w:t>
      </w:r>
      <w:r w:rsidR="009D1400">
        <w:t xml:space="preserve">can we go? The </w:t>
      </w:r>
      <w:r w:rsidR="00757207">
        <w:lastRenderedPageBreak/>
        <w:t>fierce lion</w:t>
      </w:r>
      <w:r w:rsidR="009D1400">
        <w:t xml:space="preserve"> is prowling(?);</w:t>
      </w:r>
      <w:r w:rsidR="009D1400">
        <w:rPr>
          <w:color w:val="FF0000"/>
        </w:rPr>
        <w:t xml:space="preserve"> </w:t>
      </w:r>
      <w:r w:rsidR="00757207">
        <w:t>the</w:t>
      </w:r>
      <w:r w:rsidR="00757207" w:rsidRPr="009D1400">
        <w:t xml:space="preserve"> flame of </w:t>
      </w:r>
      <w:r w:rsidR="00757207">
        <w:t xml:space="preserve">his mouth </w:t>
      </w:r>
      <w:r w:rsidR="009D1400">
        <w:t xml:space="preserve">is </w:t>
      </w:r>
      <w:r w:rsidR="00757207">
        <w:t xml:space="preserve">against the land of Wawat, </w:t>
      </w:r>
      <w:r w:rsidR="009D1400">
        <w:t>They are destr</w:t>
      </w:r>
      <w:r w:rsidR="009D1400" w:rsidRPr="009D1400">
        <w:t>oyed</w:t>
      </w:r>
      <w:r w:rsidR="00757207" w:rsidRPr="009D1400">
        <w:t xml:space="preserve"> at one go. T</w:t>
      </w:r>
      <w:r w:rsidR="00757207">
        <w:t xml:space="preserve">here </w:t>
      </w:r>
      <w:r w:rsidR="009D1400">
        <w:t>is</w:t>
      </w:r>
      <w:r w:rsidR="00757207">
        <w:t xml:space="preserve"> no heir (to) their land</w:t>
      </w:r>
      <w:r w:rsidR="009D1400">
        <w:t xml:space="preserve">, being brought to Egypt ..(?) </w:t>
      </w:r>
      <w:r w:rsidR="00757207">
        <w:t>.</w:t>
      </w:r>
    </w:p>
    <w:p w14:paraId="33FEBAD6" w14:textId="3402D010" w:rsidR="00757207" w:rsidRDefault="00757207" w:rsidP="00423677">
      <w:r w:rsidRPr="00B97CDE">
        <w:rPr>
          <w:rFonts w:ascii="Trlit_CG Times" w:hAnsi="Trlit_CG Times"/>
        </w:rPr>
        <w:t xml:space="preserve">xAa ht r nAy=sn aAy m bAH iry=st tA spy Sad </w:t>
      </w:r>
      <w:r w:rsidR="00B25B4F">
        <w:rPr>
          <w:rFonts w:ascii="Trlit_CG Times" w:hAnsi="Trlit_CG Times"/>
        </w:rPr>
        <w:t>D</w:t>
      </w:r>
      <w:r w:rsidRPr="00B97CDE">
        <w:rPr>
          <w:rFonts w:ascii="Trlit_CG Times" w:hAnsi="Trlit_CG Times"/>
        </w:rPr>
        <w:t>rt=w Hr nAy=sn btA ktxw nH</w:t>
      </w:r>
      <w:r w:rsidRPr="00A32645">
        <w:rPr>
          <w:rFonts w:ascii="Trlit_CG Times" w:hAnsi="Trlit_CG Times"/>
        </w:rPr>
        <w:t>m anxwy r(?) irwy iT</w:t>
      </w:r>
      <w:r w:rsidR="00B25B4F">
        <w:rPr>
          <w:rFonts w:ascii="Trlit_CG Times" w:hAnsi="Trlit_CG Times"/>
        </w:rPr>
        <w:t>A</w:t>
      </w:r>
      <w:r w:rsidRPr="00B97CDE">
        <w:rPr>
          <w:rFonts w:ascii="Trlit_CG Times" w:hAnsi="Trlit_CG Times"/>
        </w:rPr>
        <w:t xml:space="preserve"> r kS st irw m aHaw m nAy=st niwt</w:t>
      </w:r>
      <w:r>
        <w:t xml:space="preserve">  </w:t>
      </w:r>
      <w:r w:rsidRPr="00B97CDE">
        <w:rPr>
          <w:rFonts w:ascii="Trlit_CG Times" w:hAnsi="Trlit_CG Times"/>
        </w:rPr>
        <w:t xml:space="preserve">n sp wHm kS bSd r nHH </w:t>
      </w:r>
    </w:p>
    <w:p w14:paraId="515E1E0F" w14:textId="216198DB" w:rsidR="00992DA9" w:rsidRDefault="009D1400" w:rsidP="00423677">
      <w:r>
        <w:t xml:space="preserve">Their great have been </w:t>
      </w:r>
      <w:r w:rsidR="00757207">
        <w:t>set</w:t>
      </w:r>
      <w:r w:rsidR="00757207" w:rsidRPr="00A32645">
        <w:t xml:space="preserve"> </w:t>
      </w:r>
      <w:r w:rsidRPr="00A32645">
        <w:t xml:space="preserve">fire </w:t>
      </w:r>
      <w:r w:rsidR="00757207" w:rsidRPr="00A32645">
        <w:t>to in front of t</w:t>
      </w:r>
      <w:r w:rsidRPr="00A32645">
        <w:t>heir subordinates</w:t>
      </w:r>
      <w:r w:rsidR="00757207" w:rsidRPr="00A32645">
        <w:t xml:space="preserve">; the rest </w:t>
      </w:r>
      <w:r w:rsidR="00757207">
        <w:t xml:space="preserve">had their hands cut off over their crime, </w:t>
      </w:r>
      <w:r w:rsidR="00A32645">
        <w:t>(or)</w:t>
      </w:r>
      <w:r w:rsidR="00757207">
        <w:t xml:space="preserve"> others their ea</w:t>
      </w:r>
      <w:r w:rsidR="00757207" w:rsidRPr="00A32645">
        <w:t>rs and eye</w:t>
      </w:r>
      <w:r w:rsidR="00757207">
        <w:t>s taken away, (and) being taken to Kush they were made in heaps in their towns. Kush did not rebel again for ever</w:t>
      </w:r>
      <w:r w:rsidR="00A32645">
        <w:t>.</w:t>
      </w:r>
    </w:p>
    <w:p w14:paraId="5C9F8915" w14:textId="77777777" w:rsidR="00423677" w:rsidRDefault="00423677" w:rsidP="00502122"/>
    <w:p w14:paraId="4C0201D0" w14:textId="377F06D0" w:rsidR="0037021F" w:rsidRDefault="008F039E" w:rsidP="00502122">
      <w:r>
        <w:t xml:space="preserve">The mistreatment, massacre and display are localised to the site of the battle, </w:t>
      </w:r>
      <w:r w:rsidR="009F367B">
        <w:t>but also</w:t>
      </w:r>
      <w:r>
        <w:t xml:space="preserve"> transferred to the capital for the different audience. </w:t>
      </w:r>
      <w:r w:rsidR="009F367B">
        <w:t>A</w:t>
      </w:r>
      <w:r w:rsidR="009D2185">
        <w:t xml:space="preserve"> </w:t>
      </w:r>
      <w:r w:rsidR="00BD73A6">
        <w:t>display</w:t>
      </w:r>
      <w:r w:rsidR="009D2185">
        <w:t xml:space="preserve"> of the massacred </w:t>
      </w:r>
      <w:r w:rsidR="00BD73A6">
        <w:t>on a forest of stakes s</w:t>
      </w:r>
      <w:r w:rsidR="00C74053">
        <w:t>outh of Memphis</w:t>
      </w:r>
      <w:r w:rsidR="009D2185">
        <w:t xml:space="preserve"> </w:t>
      </w:r>
      <w:r w:rsidR="00C74053">
        <w:t xml:space="preserve">is </w:t>
      </w:r>
      <w:r w:rsidR="008B2271">
        <w:t xml:space="preserve">probably already </w:t>
      </w:r>
      <w:r w:rsidR="004569F7">
        <w:t>attested</w:t>
      </w:r>
      <w:r w:rsidR="008B2271">
        <w:t xml:space="preserve"> </w:t>
      </w:r>
      <w:r w:rsidR="009F367B">
        <w:t>from the reign of Akhenaten, when an inscription</w:t>
      </w:r>
      <w:r w:rsidR="008B2271">
        <w:t xml:space="preserve"> from Buhen</w:t>
      </w:r>
      <w:r w:rsidR="009F367B">
        <w:t xml:space="preserve"> </w:t>
      </w:r>
      <w:r w:rsidR="009D2185">
        <w:t>distinguishes</w:t>
      </w:r>
      <w:r w:rsidR="009F367B">
        <w:t xml:space="preserve"> </w:t>
      </w:r>
      <w:r w:rsidR="008B2271">
        <w:t xml:space="preserve">numbers </w:t>
      </w:r>
      <w:r w:rsidR="009F367B">
        <w:t>of defeated Nubians as</w:t>
      </w:r>
      <w:r w:rsidR="008B2271">
        <w:t xml:space="preserve"> </w:t>
      </w:r>
      <w:r w:rsidR="009F367B">
        <w:t>‘</w:t>
      </w:r>
      <w:r w:rsidR="008B2271">
        <w:t>those living</w:t>
      </w:r>
      <w:r w:rsidR="009F367B">
        <w:t>’</w:t>
      </w:r>
      <w:r w:rsidR="008B2271">
        <w:t xml:space="preserve"> (</w:t>
      </w:r>
      <w:r w:rsidR="008B2271" w:rsidRPr="008B2271">
        <w:rPr>
          <w:rFonts w:ascii="Trlit_CG Times" w:hAnsi="Trlit_CG Times"/>
        </w:rPr>
        <w:t>tp anx</w:t>
      </w:r>
      <w:r w:rsidR="008B2271">
        <w:t>) and ‘those on (a) stick’ (</w:t>
      </w:r>
      <w:r w:rsidR="008B2271" w:rsidRPr="008B2271">
        <w:rPr>
          <w:rFonts w:ascii="Trlit_CG Times" w:hAnsi="Trlit_CG Times"/>
        </w:rPr>
        <w:t>nty Hr xt</w:t>
      </w:r>
      <w:r w:rsidR="008B2271">
        <w:t>).</w:t>
      </w:r>
      <w:r w:rsidR="008B2271">
        <w:rPr>
          <w:rStyle w:val="FootnoteReference"/>
        </w:rPr>
        <w:footnoteReference w:id="25"/>
      </w:r>
      <w:r w:rsidR="008B2271">
        <w:t xml:space="preserve"> </w:t>
      </w:r>
      <w:r w:rsidR="009D2185">
        <w:t xml:space="preserve">The theme is </w:t>
      </w:r>
      <w:r w:rsidR="00C74053">
        <w:t>repeated in the</w:t>
      </w:r>
      <w:r w:rsidR="00BD101F">
        <w:t xml:space="preserve"> later </w:t>
      </w:r>
      <w:r w:rsidR="00C74053">
        <w:t xml:space="preserve">execution of </w:t>
      </w:r>
      <w:r w:rsidR="00CD3C7D">
        <w:t>rebels at the coronation of Ptolemy V at Memphis:</w:t>
      </w:r>
      <w:r w:rsidR="00CD3C7D">
        <w:rPr>
          <w:rStyle w:val="FootnoteReference"/>
        </w:rPr>
        <w:footnoteReference w:id="26"/>
      </w:r>
    </w:p>
    <w:p w14:paraId="07ADEC26" w14:textId="77777777" w:rsidR="00590846" w:rsidRDefault="00590846" w:rsidP="00502122"/>
    <w:p w14:paraId="040C59F0" w14:textId="77777777" w:rsidR="00406307" w:rsidRPr="00CD3C7D" w:rsidRDefault="00CD3C7D" w:rsidP="00590846">
      <w:pPr>
        <w:rPr>
          <w:rFonts w:ascii="Trlit_CG Times" w:hAnsi="Trlit_CG Times"/>
        </w:rPr>
      </w:pPr>
      <w:r>
        <w:rPr>
          <w:rFonts w:ascii="Trlit_CG Times" w:hAnsi="Trlit_CG Times"/>
        </w:rPr>
        <w:t>t</w:t>
      </w:r>
      <w:r w:rsidRPr="00CD3C7D">
        <w:rPr>
          <w:rFonts w:ascii="Trlit_CG Times" w:hAnsi="Trlit_CG Times"/>
        </w:rPr>
        <w:t>j=f smA=w st (n) pA xt</w:t>
      </w:r>
      <w:r w:rsidR="00525545">
        <w:rPr>
          <w:rFonts w:ascii="Trlit_CG Times" w:hAnsi="Trlit_CG Times"/>
        </w:rPr>
        <w:t xml:space="preserve"> </w:t>
      </w:r>
    </w:p>
    <w:p w14:paraId="68E309B4" w14:textId="77777777" w:rsidR="00CD3C7D" w:rsidRDefault="009F7882" w:rsidP="00590846">
      <w:r>
        <w:t>He had them slaughtered</w:t>
      </w:r>
      <w:r w:rsidR="003A63DD">
        <w:t xml:space="preserve"> (on)</w:t>
      </w:r>
      <w:r w:rsidR="00CD3C7D">
        <w:t xml:space="preserve"> the stake</w:t>
      </w:r>
      <w:r w:rsidR="00525545">
        <w:t xml:space="preserve"> (Demotic)</w:t>
      </w:r>
      <w:r w:rsidR="00CD3C7D">
        <w:t>.</w:t>
      </w:r>
    </w:p>
    <w:p w14:paraId="68F81D19" w14:textId="77777777" w:rsidR="00525545" w:rsidRPr="00525545" w:rsidRDefault="003A63DD" w:rsidP="00590846">
      <w:pPr>
        <w:rPr>
          <w:rFonts w:ascii="Trlit_CG Times" w:hAnsi="Trlit_CG Times"/>
        </w:rPr>
      </w:pPr>
      <w:r>
        <w:rPr>
          <w:rFonts w:ascii="Trlit_CG Times" w:hAnsi="Trlit_CG Times"/>
        </w:rPr>
        <w:t>smA m rdit tp-</w:t>
      </w:r>
      <w:r w:rsidR="00525545" w:rsidRPr="00525545">
        <w:rPr>
          <w:rFonts w:ascii="Trlit_CG Times" w:hAnsi="Trlit_CG Times"/>
        </w:rPr>
        <w:t>xt</w:t>
      </w:r>
    </w:p>
    <w:p w14:paraId="118138B4" w14:textId="77777777" w:rsidR="00D23F5B" w:rsidRDefault="00A36EF8" w:rsidP="00590846">
      <w:r>
        <w:t>slaughtered by putting on a</w:t>
      </w:r>
      <w:r w:rsidR="00525545">
        <w:t xml:space="preserve"> stake (Hieroglyphic).</w:t>
      </w:r>
    </w:p>
    <w:p w14:paraId="36491225" w14:textId="77777777" w:rsidR="00590846" w:rsidRDefault="00590846" w:rsidP="00A10C1A">
      <w:pPr>
        <w:ind w:left="227"/>
      </w:pPr>
    </w:p>
    <w:p w14:paraId="25690518" w14:textId="5F5DCD8E" w:rsidR="00EA1AB5" w:rsidRDefault="00F43BE7" w:rsidP="00BD101F">
      <w:r>
        <w:t>The impalement of criminals is referred to directly in</w:t>
      </w:r>
      <w:r w:rsidR="00F46085">
        <w:t xml:space="preserve"> </w:t>
      </w:r>
      <w:r>
        <w:t xml:space="preserve">the </w:t>
      </w:r>
      <w:r w:rsidR="00F46085">
        <w:t>Ramesside Period</w:t>
      </w:r>
      <w:r w:rsidR="009D2185">
        <w:t xml:space="preserve">: </w:t>
      </w:r>
      <w:r>
        <w:t xml:space="preserve"> </w:t>
      </w:r>
    </w:p>
    <w:p w14:paraId="48F529EF" w14:textId="1D92E050" w:rsidR="0057782D" w:rsidRDefault="001A728F" w:rsidP="00502122">
      <w:r>
        <w:t>twice in the Nauri Decree of Sety I as a penalty for malfeasance related to the temple property and income:</w:t>
      </w:r>
      <w:r>
        <w:rPr>
          <w:rStyle w:val="FootnoteReference"/>
        </w:rPr>
        <w:footnoteReference w:id="27"/>
      </w:r>
      <w:r w:rsidR="0057782D">
        <w:t xml:space="preserve"> </w:t>
      </w:r>
    </w:p>
    <w:p w14:paraId="19BFD990" w14:textId="77777777" w:rsidR="00590846" w:rsidRDefault="00590846" w:rsidP="00590846"/>
    <w:p w14:paraId="005682DB" w14:textId="77777777" w:rsidR="001A728F" w:rsidRPr="001A728F" w:rsidRDefault="001A728F" w:rsidP="00590846">
      <w:pPr>
        <w:rPr>
          <w:rFonts w:ascii="Trlit_CG Times" w:hAnsi="Trlit_CG Times"/>
        </w:rPr>
      </w:pPr>
      <w:r w:rsidRPr="001A728F">
        <w:rPr>
          <w:rFonts w:ascii="Trlit_CG Times" w:hAnsi="Trlit_CG Times"/>
        </w:rPr>
        <w:t>iri.tw hp r=f m sxr=f diw Hr tp xt Hna m(?)TA Hmt=f Xrdw=f xt=f nb r tA Hwt</w:t>
      </w:r>
    </w:p>
    <w:p w14:paraId="11E6B48C" w14:textId="6663DEDC" w:rsidR="009742D2" w:rsidRDefault="009D2185" w:rsidP="00590846">
      <w:r>
        <w:t>T</w:t>
      </w:r>
      <w:r w:rsidR="001A728F">
        <w:t xml:space="preserve">he law shall be done to him, </w:t>
      </w:r>
      <w:r w:rsidR="006F6D0B">
        <w:t>by</w:t>
      </w:r>
      <w:r w:rsidR="001A728F">
        <w:t xml:space="preserve"> felling him, being put on a stake, together with taking his wife and his children and all his property to the Temple.</w:t>
      </w:r>
    </w:p>
    <w:p w14:paraId="700A2913" w14:textId="77777777" w:rsidR="00590846" w:rsidRDefault="00590846" w:rsidP="00590846"/>
    <w:p w14:paraId="5AA9200C" w14:textId="43AFA4AC" w:rsidR="009742D2" w:rsidRDefault="009F367B" w:rsidP="00502122">
      <w:r>
        <w:t>Similarly,</w:t>
      </w:r>
      <w:r w:rsidR="009742D2">
        <w:t xml:space="preserve"> in a protection decree of Sety I from Hermopolis:</w:t>
      </w:r>
      <w:r w:rsidR="009742D2">
        <w:rPr>
          <w:rStyle w:val="FootnoteReference"/>
        </w:rPr>
        <w:footnoteReference w:id="28"/>
      </w:r>
    </w:p>
    <w:p w14:paraId="47447113" w14:textId="77777777" w:rsidR="00590846" w:rsidRDefault="00590846" w:rsidP="00502122"/>
    <w:p w14:paraId="253F559E" w14:textId="77777777" w:rsidR="009742D2" w:rsidRPr="009742D2" w:rsidRDefault="009742D2" w:rsidP="00590846">
      <w:pPr>
        <w:rPr>
          <w:rFonts w:ascii="Trlit_CG Times" w:hAnsi="Trlit_CG Times"/>
        </w:rPr>
      </w:pPr>
      <w:r w:rsidRPr="009742D2">
        <w:rPr>
          <w:rFonts w:ascii="Trlit_CG Times" w:hAnsi="Trlit_CG Times"/>
        </w:rPr>
        <w:t xml:space="preserve">Xr </w:t>
      </w:r>
      <w:r>
        <w:rPr>
          <w:rFonts w:ascii="Trlit_CG Times" w:hAnsi="Trlit_CG Times"/>
        </w:rPr>
        <w:t>ir Hm</w:t>
      </w:r>
      <w:r w:rsidRPr="009742D2">
        <w:rPr>
          <w:rFonts w:ascii="Trlit_CG Times" w:hAnsi="Trlit_CG Times"/>
        </w:rPr>
        <w:t>-nTr nb wab nb n Hwt-nTr n niwt nty iw=f r Sd xt nb rmT nb iri.tw hp r=f m sxr=f diw Hr tp xt r-gs tA Hwt nty iw=f r iTit xt nb rmT nb im=s</w:t>
      </w:r>
    </w:p>
    <w:p w14:paraId="09C4519D" w14:textId="77777777" w:rsidR="009742D2" w:rsidRDefault="009742D2" w:rsidP="00590846">
      <w:r>
        <w:t xml:space="preserve">And as for any priest, any </w:t>
      </w:r>
      <w:r w:rsidRPr="009F367B">
        <w:rPr>
          <w:i/>
        </w:rPr>
        <w:t>wab</w:t>
      </w:r>
      <w:r>
        <w:t>-priest of the temple of a</w:t>
      </w:r>
      <w:r w:rsidR="0022645C">
        <w:t>(?)</w:t>
      </w:r>
      <w:r>
        <w:t xml:space="preserve"> town, who will exact any property or any person, the law shall be done to him, </w:t>
      </w:r>
      <w:r w:rsidR="006F6D0B">
        <w:t>by</w:t>
      </w:r>
      <w:r>
        <w:t xml:space="preserve"> felling him, </w:t>
      </w:r>
      <w:r>
        <w:lastRenderedPageBreak/>
        <w:t xml:space="preserve">being put on a stake beside the temple from which he will take any property or any person.  </w:t>
      </w:r>
    </w:p>
    <w:p w14:paraId="3A1B226B" w14:textId="77777777" w:rsidR="00590846" w:rsidRDefault="00590846" w:rsidP="00BD101F"/>
    <w:p w14:paraId="4B7BA4E3" w14:textId="77777777" w:rsidR="00BD101F" w:rsidRDefault="00BD101F" w:rsidP="00BD101F">
      <w:r>
        <w:t>A summary of the fates of the thieves in Papyrus Mayer A begins with:</w:t>
      </w:r>
      <w:r>
        <w:rPr>
          <w:rStyle w:val="FootnoteReference"/>
        </w:rPr>
        <w:footnoteReference w:id="29"/>
      </w:r>
    </w:p>
    <w:p w14:paraId="3E043DAF" w14:textId="77777777" w:rsidR="00590846" w:rsidRDefault="00590846" w:rsidP="00590846">
      <w:pPr>
        <w:rPr>
          <w:rFonts w:ascii="Trlit_CG Times" w:hAnsi="Trlit_CG Times"/>
        </w:rPr>
      </w:pPr>
    </w:p>
    <w:p w14:paraId="617182C9" w14:textId="77777777" w:rsidR="00BD101F" w:rsidRDefault="00BD101F" w:rsidP="00590846">
      <w:r>
        <w:rPr>
          <w:rFonts w:ascii="Trlit_CG Times" w:hAnsi="Trlit_CG Times"/>
        </w:rPr>
        <w:t>nA n iTAw i.dy Hr tp xt Xr-HA</w:t>
      </w:r>
      <w:r w:rsidRPr="00EA1AB5">
        <w:rPr>
          <w:rFonts w:ascii="Trlit_CG Times" w:hAnsi="Trlit_CG Times"/>
        </w:rPr>
        <w:t xml:space="preserve">t </w:t>
      </w:r>
      <w:r>
        <w:rPr>
          <w:rFonts w:ascii="Trlit_CG Times" w:hAnsi="Trlit_CG Times"/>
        </w:rPr>
        <w:t xml:space="preserve">s </w:t>
      </w:r>
      <w:r>
        <w:t xml:space="preserve">7 </w:t>
      </w:r>
    </w:p>
    <w:p w14:paraId="5AB34F8E" w14:textId="77777777" w:rsidR="00BD101F" w:rsidRDefault="00BD101F" w:rsidP="00590846">
      <w:r>
        <w:t>The thieves who were put on a stake previously, 7 men.</w:t>
      </w:r>
    </w:p>
    <w:p w14:paraId="0AC33749" w14:textId="77777777" w:rsidR="00590846" w:rsidRDefault="00590846" w:rsidP="00502122"/>
    <w:p w14:paraId="2BFFE210" w14:textId="77777777" w:rsidR="003A63DD" w:rsidRDefault="008B27F8" w:rsidP="00502122">
      <w:r>
        <w:t xml:space="preserve">Such </w:t>
      </w:r>
      <w:r w:rsidR="00621D15">
        <w:t>impalement</w:t>
      </w:r>
      <w:r w:rsidR="00F237DE">
        <w:t xml:space="preserve"> </w:t>
      </w:r>
      <w:r w:rsidR="00621D15">
        <w:t>is a repeated theme in the oath</w:t>
      </w:r>
      <w:r w:rsidR="003A63DD">
        <w:t xml:space="preserve"> formulae</w:t>
      </w:r>
      <w:r w:rsidR="00BD101F">
        <w:t xml:space="preserve"> of the Tomb Robbery papyri</w:t>
      </w:r>
      <w:r w:rsidR="003A63DD">
        <w:t>, as those interrogated swear to the truth of their testimony:</w:t>
      </w:r>
      <w:r w:rsidR="003A63DD">
        <w:rPr>
          <w:rStyle w:val="FootnoteReference"/>
        </w:rPr>
        <w:footnoteReference w:id="30"/>
      </w:r>
    </w:p>
    <w:p w14:paraId="7E2C9806" w14:textId="77777777" w:rsidR="00590846" w:rsidRDefault="00590846" w:rsidP="00502122"/>
    <w:p w14:paraId="129053BC" w14:textId="77777777" w:rsidR="003A63DD" w:rsidRPr="008B27F8" w:rsidRDefault="003A63DD" w:rsidP="00590846">
      <w:pPr>
        <w:rPr>
          <w:rFonts w:ascii="Trlit_CG Times" w:hAnsi="Trlit_CG Times"/>
        </w:rPr>
      </w:pPr>
      <w:r>
        <w:rPr>
          <w:rFonts w:ascii="Trlit_CG Times" w:hAnsi="Trlit_CG Times"/>
        </w:rPr>
        <w:t>d</w:t>
      </w:r>
      <w:r w:rsidRPr="003A63DD">
        <w:rPr>
          <w:rFonts w:ascii="Trlit_CG Times" w:hAnsi="Trlit_CG Times"/>
        </w:rPr>
        <w:t>i.tw n=f anx n nb a.w.s. r-Dd mtw=</w:t>
      </w:r>
      <w:r w:rsidR="006F6D0B">
        <w:rPr>
          <w:rFonts w:ascii="Trlit_CG Times" w:hAnsi="Trlit_CG Times"/>
        </w:rPr>
        <w:t>i</w:t>
      </w:r>
      <w:r w:rsidRPr="003A63DD">
        <w:rPr>
          <w:rFonts w:ascii="Trlit_CG Times" w:hAnsi="Trlit_CG Times"/>
        </w:rPr>
        <w:t xml:space="preserve"> Dd aDA iw=f</w:t>
      </w:r>
      <w:r w:rsidRPr="008B27F8">
        <w:rPr>
          <w:rFonts w:ascii="Trlit_CG Times" w:hAnsi="Trlit_CG Times"/>
        </w:rPr>
        <w:t xml:space="preserve"> xSb di.tw</w:t>
      </w:r>
      <w:r w:rsidR="008B27F8" w:rsidRPr="008B27F8">
        <w:rPr>
          <w:rFonts w:ascii="Trlit_CG Times" w:hAnsi="Trlit_CG Times"/>
        </w:rPr>
        <w:t>(=i)</w:t>
      </w:r>
      <w:r w:rsidR="006F6D0B" w:rsidRPr="008B27F8">
        <w:rPr>
          <w:rFonts w:ascii="Trlit_CG Times" w:hAnsi="Trlit_CG Times"/>
        </w:rPr>
        <w:t xml:space="preserve"> </w:t>
      </w:r>
      <w:r w:rsidRPr="008B27F8">
        <w:rPr>
          <w:rFonts w:ascii="Trlit_CG Times" w:hAnsi="Trlit_CG Times"/>
        </w:rPr>
        <w:t>tp xt</w:t>
      </w:r>
    </w:p>
    <w:p w14:paraId="45E9178E" w14:textId="77777777" w:rsidR="003A63DD" w:rsidRDefault="003A63DD" w:rsidP="00590846">
      <w:r>
        <w:t>He was administered a oath of the Lord, l.p.h., saying, “and I shall lie,</w:t>
      </w:r>
      <w:r w:rsidR="009742D2">
        <w:t xml:space="preserve"> he is mutilated, </w:t>
      </w:r>
      <w:r w:rsidR="008B27F8">
        <w:t>(and I) shall be</w:t>
      </w:r>
      <w:r w:rsidR="009742D2">
        <w:t xml:space="preserve"> put on a</w:t>
      </w:r>
      <w:r>
        <w:t xml:space="preserve"> stake.”</w:t>
      </w:r>
    </w:p>
    <w:p w14:paraId="0FD11A57" w14:textId="77777777" w:rsidR="00590846" w:rsidRDefault="00F237DE" w:rsidP="00590846">
      <w:r>
        <w:t xml:space="preserve"> </w:t>
      </w:r>
    </w:p>
    <w:p w14:paraId="1A398EA3" w14:textId="63EC2E54" w:rsidR="00EA1AB5" w:rsidRDefault="00F64349" w:rsidP="00590846">
      <w:r>
        <w:t>Or with more detail:</w:t>
      </w:r>
      <w:r>
        <w:rPr>
          <w:rStyle w:val="FootnoteReference"/>
        </w:rPr>
        <w:footnoteReference w:id="31"/>
      </w:r>
    </w:p>
    <w:p w14:paraId="5397A04C" w14:textId="77777777" w:rsidR="00590846" w:rsidRDefault="00590846" w:rsidP="00590846"/>
    <w:p w14:paraId="2D21B3D8" w14:textId="77777777" w:rsidR="00EA1AB5" w:rsidRPr="00B43D73" w:rsidRDefault="00A36EF8" w:rsidP="00590846">
      <w:pPr>
        <w:rPr>
          <w:rFonts w:ascii="Trlit_CG Times" w:hAnsi="Trlit_CG Times"/>
        </w:rPr>
      </w:pPr>
      <w:r w:rsidRPr="00B43D73">
        <w:rPr>
          <w:rFonts w:ascii="Trlit_CG Times" w:hAnsi="Trlit_CG Times"/>
        </w:rPr>
        <w:t>iry=f anx n nb a.w.s. r qnqn=f &lt;…&gt; fnd=f</w:t>
      </w:r>
      <w:r w:rsidR="00BC4B1B">
        <w:rPr>
          <w:rStyle w:val="FootnoteReference"/>
        </w:rPr>
        <w:footnoteReference w:id="32"/>
      </w:r>
      <w:r w:rsidRPr="00B43D73">
        <w:rPr>
          <w:rFonts w:ascii="Trlit_CG Times" w:hAnsi="Trlit_CG Times"/>
        </w:rPr>
        <w:t xml:space="preserve"> msDry=f di&lt;.tw&gt;=i</w:t>
      </w:r>
      <w:r w:rsidRPr="0059509A">
        <w:rPr>
          <w:rFonts w:ascii="Palatino Linotype" w:hAnsi="Palatino Linotype"/>
          <w:szCs w:val="24"/>
          <w:vertAlign w:val="superscript"/>
        </w:rPr>
        <w:t>(sic)</w:t>
      </w:r>
      <w:r w:rsidR="008B27F8">
        <w:rPr>
          <w:rFonts w:ascii="Trlit_CG Times" w:hAnsi="Trlit_CG Times"/>
        </w:rPr>
        <w:t xml:space="preserve"> </w:t>
      </w:r>
      <w:r w:rsidRPr="00B43D73">
        <w:rPr>
          <w:rFonts w:ascii="Trlit_CG Times" w:hAnsi="Trlit_CG Times"/>
        </w:rPr>
        <w:t>Hr tp xt</w:t>
      </w:r>
    </w:p>
    <w:p w14:paraId="00FD3AE4" w14:textId="77777777" w:rsidR="00A36EF8" w:rsidRDefault="00A36EF8" w:rsidP="00590846">
      <w:r>
        <w:t>He took an oath</w:t>
      </w:r>
      <w:r w:rsidRPr="008B27F8">
        <w:t xml:space="preserve"> of t</w:t>
      </w:r>
      <w:r>
        <w:t xml:space="preserve">he Lord, l.p.h, to flog him, &lt;to mutilate&gt; his nose and his ears, (and) I will be put on a </w:t>
      </w:r>
      <w:r w:rsidR="00B43D73">
        <w:t>stake.</w:t>
      </w:r>
    </w:p>
    <w:p w14:paraId="76BA4B97" w14:textId="77777777" w:rsidR="00590846" w:rsidRDefault="00590846" w:rsidP="00590846"/>
    <w:p w14:paraId="0DC8F301" w14:textId="6F4A98B0" w:rsidR="00BD101F" w:rsidRDefault="00BD101F" w:rsidP="00590846">
      <w:r>
        <w:t xml:space="preserve">This includes the case of a woman Isis, interrogated about property her husband </w:t>
      </w:r>
      <w:r w:rsidR="009F367B">
        <w:t>stole, who is required to swear</w:t>
      </w:r>
      <w:r>
        <w:t>:</w:t>
      </w:r>
      <w:r w:rsidR="007205FD">
        <w:rPr>
          <w:rStyle w:val="FootnoteReference"/>
        </w:rPr>
        <w:footnoteReference w:id="33"/>
      </w:r>
    </w:p>
    <w:p w14:paraId="63F2E274" w14:textId="77777777" w:rsidR="00590846" w:rsidRDefault="00590846" w:rsidP="00590846"/>
    <w:p w14:paraId="711F2D5A" w14:textId="77777777" w:rsidR="00BD101F" w:rsidRPr="007205FD" w:rsidRDefault="007205FD" w:rsidP="00590846">
      <w:pPr>
        <w:rPr>
          <w:rFonts w:ascii="Trlit_CG Times" w:hAnsi="Trlit_CG Times"/>
        </w:rPr>
      </w:pPr>
      <w:r>
        <w:rPr>
          <w:rFonts w:ascii="Trlit_CG Times" w:hAnsi="Trlit_CG Times"/>
        </w:rPr>
        <w:t>m</w:t>
      </w:r>
      <w:r w:rsidR="00BD101F" w:rsidRPr="007205FD">
        <w:rPr>
          <w:rFonts w:ascii="Trlit_CG Times" w:hAnsi="Trlit_CG Times"/>
        </w:rPr>
        <w:t>tw=s Dd aDA iw[=s] xSb dd.tw tp-xr</w:t>
      </w:r>
    </w:p>
    <w:p w14:paraId="541BBFAE" w14:textId="77777777" w:rsidR="00BD101F" w:rsidRDefault="007205FD" w:rsidP="00590846">
      <w:r>
        <w:t>“a</w:t>
      </w:r>
      <w:r w:rsidR="00BD101F">
        <w:t>nd she shall lie, she is mutilated and put on the stake.</w:t>
      </w:r>
      <w:r>
        <w:t>”</w:t>
      </w:r>
    </w:p>
    <w:p w14:paraId="77E66D0E" w14:textId="77777777" w:rsidR="00590846" w:rsidRDefault="00590846" w:rsidP="00590846"/>
    <w:p w14:paraId="479560AF" w14:textId="443346FD" w:rsidR="00EA1AB5" w:rsidRDefault="001F7F29" w:rsidP="00590846">
      <w:r>
        <w:t>S</w:t>
      </w:r>
      <w:r w:rsidR="00621D15">
        <w:t>lightly earlier</w:t>
      </w:r>
      <w:r>
        <w:t>,</w:t>
      </w:r>
      <w:r w:rsidR="00621D15">
        <w:t xml:space="preserve"> in relation to the inspection of a tomb in Year 21 of Ramesses III</w:t>
      </w:r>
      <w:r>
        <w:t>, the oath is taken</w:t>
      </w:r>
      <w:r w:rsidR="0059509A">
        <w:t>:</w:t>
      </w:r>
      <w:r w:rsidR="0059509A">
        <w:rPr>
          <w:rStyle w:val="FootnoteReference"/>
        </w:rPr>
        <w:footnoteReference w:id="34"/>
      </w:r>
    </w:p>
    <w:p w14:paraId="5DF2A806" w14:textId="77777777" w:rsidR="00590846" w:rsidRDefault="00590846" w:rsidP="00590846"/>
    <w:p w14:paraId="48AAF7AF" w14:textId="77777777" w:rsidR="0059509A" w:rsidRPr="00BC4B1B" w:rsidRDefault="0059509A" w:rsidP="00590846">
      <w:pPr>
        <w:rPr>
          <w:rFonts w:ascii="Trlit_CG Times" w:hAnsi="Trlit_CG Times"/>
        </w:rPr>
      </w:pPr>
      <w:r w:rsidRPr="00BC4B1B">
        <w:rPr>
          <w:rFonts w:ascii="Trlit_CG Times" w:hAnsi="Trlit_CG Times"/>
        </w:rPr>
        <w:t>[…</w:t>
      </w:r>
      <w:r w:rsidR="00BC4B1B">
        <w:rPr>
          <w:rFonts w:ascii="Trlit_CG Times" w:hAnsi="Trlit_CG Times"/>
        </w:rPr>
        <w:t>] wAH pA hq</w:t>
      </w:r>
      <w:r w:rsidRPr="00BC4B1B">
        <w:rPr>
          <w:rFonts w:ascii="Trlit_CG Times" w:hAnsi="Trlit_CG Times"/>
        </w:rPr>
        <w:t xml:space="preserve">A a.w.s [pA nty bin pA]y=f bAw r mwt </w:t>
      </w:r>
    </w:p>
    <w:p w14:paraId="61ECD3CE" w14:textId="77777777" w:rsidR="0059509A" w:rsidRDefault="003174D5" w:rsidP="00590846">
      <w:r>
        <w:t>“</w:t>
      </w:r>
      <w:r w:rsidR="0059509A">
        <w:t xml:space="preserve">[…] </w:t>
      </w:r>
      <w:r>
        <w:t>(and) b</w:t>
      </w:r>
      <w:r w:rsidR="0059509A">
        <w:t>y the Ruler, l.p.h., [the one who]se divine intervention is [worse] than death,</w:t>
      </w:r>
    </w:p>
    <w:p w14:paraId="558680DE" w14:textId="77777777" w:rsidR="00621D15" w:rsidRPr="00346840" w:rsidRDefault="00621D15" w:rsidP="00590846">
      <w:pPr>
        <w:rPr>
          <w:rFonts w:ascii="Trlit_CG Times" w:hAnsi="Trlit_CG Times"/>
        </w:rPr>
      </w:pPr>
      <w:r w:rsidRPr="00346840">
        <w:rPr>
          <w:rFonts w:ascii="Trlit_CG Times" w:hAnsi="Trlit_CG Times"/>
        </w:rPr>
        <w:t>mtw=</w:t>
      </w:r>
      <w:r>
        <w:rPr>
          <w:rFonts w:ascii="Trlit_CG Times" w:hAnsi="Trlit_CG Times"/>
        </w:rPr>
        <w:t>i</w:t>
      </w:r>
      <w:r w:rsidRPr="00346840">
        <w:rPr>
          <w:rFonts w:ascii="Trlit_CG Times" w:hAnsi="Trlit_CG Times"/>
        </w:rPr>
        <w:t xml:space="preserve"> [wn tA aHa an] iw=f xSb Sri=f msDr=f diw Hr dpx m pAy dm rn n pr-aA a.w.s. im iw=f Hr wHm Dd=f an</w:t>
      </w:r>
    </w:p>
    <w:p w14:paraId="240AA83B" w14:textId="77777777" w:rsidR="00621D15" w:rsidRDefault="00621D15" w:rsidP="00590846">
      <w:r>
        <w:t xml:space="preserve">and I shall [open the tomb again], he </w:t>
      </w:r>
      <w:r w:rsidRPr="00FD15D7">
        <w:t>is mutilated –</w:t>
      </w:r>
      <w:r>
        <w:t xml:space="preserve"> his nose and his</w:t>
      </w:r>
      <w:r w:rsidR="003174D5">
        <w:t xml:space="preserve"> ears – and put on the stake, by</w:t>
      </w:r>
      <w:r w:rsidRPr="003174D5">
        <w:t xml:space="preserve"> this p</w:t>
      </w:r>
      <w:r>
        <w:t>ronouncing</w:t>
      </w:r>
      <w:r>
        <w:rPr>
          <w:rStyle w:val="FootnoteReference"/>
        </w:rPr>
        <w:footnoteReference w:id="35"/>
      </w:r>
      <w:r>
        <w:t xml:space="preserve"> the name of Pharaoh, l.p.h</w:t>
      </w:r>
      <w:r w:rsidRPr="00FD15D7">
        <w:t>., over (it),</w:t>
      </w:r>
      <w:r w:rsidR="003174D5">
        <w:t>”</w:t>
      </w:r>
      <w:r w:rsidRPr="00346840">
        <w:rPr>
          <w:color w:val="FF0000"/>
        </w:rPr>
        <w:t xml:space="preserve"> </w:t>
      </w:r>
      <w:r w:rsidRPr="00FD15D7">
        <w:t>and he repeated his statement again.</w:t>
      </w:r>
    </w:p>
    <w:p w14:paraId="4124C46C" w14:textId="77777777" w:rsidR="00590846" w:rsidRPr="00FD15D7" w:rsidRDefault="00590846" w:rsidP="00590846"/>
    <w:p w14:paraId="47E4A245" w14:textId="4B7F8CBB" w:rsidR="00702D2B" w:rsidRDefault="00621D15" w:rsidP="00590846">
      <w:r>
        <w:t xml:space="preserve">The emphasis </w:t>
      </w:r>
      <w:r w:rsidR="008A4254">
        <w:t>of the oath</w:t>
      </w:r>
      <w:r w:rsidR="006F6D0B">
        <w:t xml:space="preserve"> </w:t>
      </w:r>
      <w:r>
        <w:t xml:space="preserve">lies on blasphemy against god and </w:t>
      </w:r>
      <w:r w:rsidR="008A4254">
        <w:t>the king</w:t>
      </w:r>
      <w:r>
        <w:t xml:space="preserve"> as the contex</w:t>
      </w:r>
      <w:r w:rsidR="006F6D0B">
        <w:t xml:space="preserve">t for the physical retribution: the legal oath as an invocation of divine or royal intervention, </w:t>
      </w:r>
      <w:r w:rsidR="00CF27AE">
        <w:t>turning what was a</w:t>
      </w:r>
      <w:r w:rsidR="006F6D0B">
        <w:t xml:space="preserve"> personal or civil case</w:t>
      </w:r>
      <w:r w:rsidR="00CF27AE">
        <w:t xml:space="preserve"> for mediation into, potentially, a direct attack on the king</w:t>
      </w:r>
      <w:r w:rsidR="006F6D0B">
        <w:t>.</w:t>
      </w:r>
    </w:p>
    <w:p w14:paraId="29320BCE" w14:textId="3AAEE145" w:rsidR="00845F2F" w:rsidRDefault="00621D15" w:rsidP="00590846">
      <w:pPr>
        <w:ind w:firstLine="720"/>
      </w:pPr>
      <w:r>
        <w:t>The purpose of impalement is display, whether or not it is the actual method of execution:</w:t>
      </w:r>
      <w:r w:rsidR="00AB0B53">
        <w:rPr>
          <w:rStyle w:val="FootnoteReference"/>
        </w:rPr>
        <w:footnoteReference w:id="36"/>
      </w:r>
      <w:r>
        <w:t xml:space="preserve"> to be seen </w:t>
      </w:r>
      <w:r w:rsidR="000254AF">
        <w:t xml:space="preserve">both </w:t>
      </w:r>
      <w:r>
        <w:t>as warning</w:t>
      </w:r>
      <w:r w:rsidR="000254AF">
        <w:t xml:space="preserve"> and demonstration of power</w:t>
      </w:r>
      <w:r>
        <w:t xml:space="preserve">. </w:t>
      </w:r>
      <w:r w:rsidR="00845F2F">
        <w:t>The implication of the oat</w:t>
      </w:r>
      <w:r w:rsidR="00BC4B1B">
        <w:t xml:space="preserve">h formulae is that </w:t>
      </w:r>
      <w:r w:rsidR="00DC6E43">
        <w:t xml:space="preserve">impaling </w:t>
      </w:r>
      <w:r w:rsidR="00BC4B1B">
        <w:t xml:space="preserve">would be preceded by torture and mutilation. </w:t>
      </w:r>
      <w:r w:rsidR="00845F2F">
        <w:t>The lesser version of the oath</w:t>
      </w:r>
      <w:r w:rsidR="004A1334">
        <w:t xml:space="preserve">, characteristic of </w:t>
      </w:r>
      <w:r w:rsidR="000254AF">
        <w:t>the late Ramesside documents fro</w:t>
      </w:r>
      <w:r w:rsidR="004A1334">
        <w:t>m Thebes,</w:t>
      </w:r>
      <w:r w:rsidR="00845F2F">
        <w:t xml:space="preserve"> refers </w:t>
      </w:r>
      <w:r w:rsidR="009F367B">
        <w:t xml:space="preserve">simply </w:t>
      </w:r>
      <w:r w:rsidR="00845F2F">
        <w:t xml:space="preserve">to mutilation and </w:t>
      </w:r>
      <w:r w:rsidR="004A1334">
        <w:t>dispatch</w:t>
      </w:r>
      <w:r w:rsidR="00845F2F">
        <w:t xml:space="preserve"> to Kush:</w:t>
      </w:r>
      <w:r w:rsidR="004F59EB">
        <w:rPr>
          <w:rStyle w:val="FootnoteReference"/>
        </w:rPr>
        <w:footnoteReference w:id="37"/>
      </w:r>
    </w:p>
    <w:p w14:paraId="712269DF" w14:textId="77777777" w:rsidR="00590846" w:rsidRPr="00702D2B" w:rsidRDefault="00590846" w:rsidP="00590846">
      <w:pPr>
        <w:ind w:firstLine="720"/>
        <w:rPr>
          <w:b/>
          <w:color w:val="FF0000"/>
        </w:rPr>
      </w:pPr>
    </w:p>
    <w:p w14:paraId="7FFBB666" w14:textId="28948171" w:rsidR="004E160A" w:rsidRPr="004F59EB" w:rsidRDefault="004F59EB" w:rsidP="00590846">
      <w:pPr>
        <w:rPr>
          <w:rFonts w:ascii="Trlit_CG Times" w:hAnsi="Trlit_CG Times"/>
          <w:color w:val="000000" w:themeColor="text1"/>
        </w:rPr>
      </w:pPr>
      <w:r w:rsidRPr="004F59EB">
        <w:rPr>
          <w:rFonts w:ascii="Trlit_CG Times" w:hAnsi="Trlit_CG Times"/>
          <w:color w:val="000000" w:themeColor="text1"/>
        </w:rPr>
        <w:t>r-Dd mtw=f Dd aDA iw=f xSb dd.tw (r) kS</w:t>
      </w:r>
    </w:p>
    <w:p w14:paraId="417874A4" w14:textId="09804C0A" w:rsidR="004F614D" w:rsidRPr="004F59EB" w:rsidRDefault="004F59EB" w:rsidP="00590846">
      <w:pPr>
        <w:rPr>
          <w:color w:val="000000" w:themeColor="text1"/>
        </w:rPr>
      </w:pPr>
      <w:r w:rsidRPr="004F59EB">
        <w:rPr>
          <w:color w:val="000000" w:themeColor="text1"/>
        </w:rPr>
        <w:t>saying, “and he shall lie, (then) he shall be mutilated and sent to Kush.”</w:t>
      </w:r>
    </w:p>
    <w:p w14:paraId="00CE445A" w14:textId="77777777" w:rsidR="00590846" w:rsidRDefault="00590846" w:rsidP="00590846"/>
    <w:p w14:paraId="451F867A" w14:textId="77777777" w:rsidR="004A1334" w:rsidRDefault="004A1334" w:rsidP="00590846">
      <w:r>
        <w:t xml:space="preserve">The </w:t>
      </w:r>
      <w:r w:rsidR="004F614D">
        <w:t xml:space="preserve">physical </w:t>
      </w:r>
      <w:r>
        <w:t xml:space="preserve">penalties </w:t>
      </w:r>
      <w:r w:rsidR="006F6D0B">
        <w:t>of flogging and mutilation</w:t>
      </w:r>
      <w:r w:rsidR="004F614D">
        <w:t xml:space="preserve"> </w:t>
      </w:r>
      <w:r>
        <w:t xml:space="preserve">decreed by Nauri Decree </w:t>
      </w:r>
      <w:r w:rsidR="004F614D">
        <w:t xml:space="preserve">are </w:t>
      </w:r>
      <w:r>
        <w:t xml:space="preserve">parallel </w:t>
      </w:r>
      <w:r w:rsidR="00941FAC">
        <w:t xml:space="preserve">to </w:t>
      </w:r>
      <w:r>
        <w:t>those of the oaths:</w:t>
      </w:r>
      <w:r>
        <w:rPr>
          <w:rStyle w:val="FootnoteReference"/>
        </w:rPr>
        <w:footnoteReference w:id="38"/>
      </w:r>
      <w:r>
        <w:t xml:space="preserve"> </w:t>
      </w:r>
    </w:p>
    <w:p w14:paraId="0420E201" w14:textId="77777777" w:rsidR="00590846" w:rsidRDefault="00590846" w:rsidP="00590846"/>
    <w:p w14:paraId="6576DA6C" w14:textId="77777777" w:rsidR="004A1334" w:rsidRDefault="004A1334" w:rsidP="00590846">
      <w:r w:rsidRPr="004A1334">
        <w:rPr>
          <w:rFonts w:ascii="Trlit_CG Times" w:hAnsi="Trlit_CG Times"/>
        </w:rPr>
        <w:t>iri.tw hp r=f m Hwt=f m sx</w:t>
      </w:r>
      <w:r>
        <w:t xml:space="preserve"> 200 </w:t>
      </w:r>
      <w:r w:rsidRPr="004A1334">
        <w:rPr>
          <w:rFonts w:ascii="Trlit_CG Times" w:hAnsi="Trlit_CG Times"/>
        </w:rPr>
        <w:t>wbn sd</w:t>
      </w:r>
      <w:r>
        <w:t xml:space="preserve"> 5</w:t>
      </w:r>
    </w:p>
    <w:p w14:paraId="1BA654DA" w14:textId="661DFD02" w:rsidR="00845F2F" w:rsidRDefault="008A4254" w:rsidP="00590846">
      <w:r>
        <w:t>T</w:t>
      </w:r>
      <w:r w:rsidR="004A1334">
        <w:t>he law shall be done to him by beating him with 200 strokes and 5 open wounds</w:t>
      </w:r>
    </w:p>
    <w:p w14:paraId="7C8AE168" w14:textId="77777777" w:rsidR="00590846" w:rsidRDefault="00590846" w:rsidP="00590846"/>
    <w:p w14:paraId="5711ED16" w14:textId="77777777" w:rsidR="004A1334" w:rsidRDefault="004A1334" w:rsidP="00590846">
      <w:r>
        <w:t>Or:</w:t>
      </w:r>
      <w:r>
        <w:rPr>
          <w:rStyle w:val="FootnoteReference"/>
        </w:rPr>
        <w:footnoteReference w:id="39"/>
      </w:r>
    </w:p>
    <w:p w14:paraId="76F63C16" w14:textId="77777777" w:rsidR="00590846" w:rsidRDefault="00590846" w:rsidP="00590846"/>
    <w:p w14:paraId="65C1402E" w14:textId="77777777" w:rsidR="004A1334" w:rsidRPr="00397B29" w:rsidRDefault="004F614D" w:rsidP="00590846">
      <w:pPr>
        <w:rPr>
          <w:rFonts w:ascii="Trlit_CG Times" w:hAnsi="Trlit_CG Times"/>
        </w:rPr>
      </w:pPr>
      <w:r w:rsidRPr="00397B29">
        <w:rPr>
          <w:rFonts w:ascii="Trlit_CG Times" w:hAnsi="Trlit_CG Times"/>
        </w:rPr>
        <w:t>iri.tw hp r=f m xSb(?) fnd(?)=f</w:t>
      </w:r>
      <w:r w:rsidRPr="00B860FE">
        <w:rPr>
          <w:rStyle w:val="FootnoteReference"/>
        </w:rPr>
        <w:footnoteReference w:id="40"/>
      </w:r>
      <w:r w:rsidRPr="00397B29">
        <w:rPr>
          <w:rFonts w:ascii="Trlit_CG Times" w:hAnsi="Trlit_CG Times"/>
        </w:rPr>
        <w:t xml:space="preserve"> msdry=f diw r aHwty m tA Hwt</w:t>
      </w:r>
    </w:p>
    <w:p w14:paraId="41C800B9" w14:textId="7AF57066" w:rsidR="004F614D" w:rsidRDefault="008A4254" w:rsidP="00590846">
      <w:r>
        <w:t>T</w:t>
      </w:r>
      <w:r w:rsidR="00397B29">
        <w:t>he law shall be done to him by mutilating his nose and his ears, he being put to be a peasant in the Temple</w:t>
      </w:r>
      <w:r w:rsidR="00D265EA">
        <w:t>.</w:t>
      </w:r>
    </w:p>
    <w:p w14:paraId="5F6C08C2" w14:textId="77777777" w:rsidR="00590846" w:rsidRDefault="00590846" w:rsidP="00590846"/>
    <w:p w14:paraId="30D09525" w14:textId="5549910A" w:rsidR="005F664F" w:rsidRDefault="00B860FE" w:rsidP="00590846">
      <w:r>
        <w:t>P</w:t>
      </w:r>
      <w:r w:rsidR="00845F2F">
        <w:t>ublic mutilation</w:t>
      </w:r>
      <w:r w:rsidR="00397B29">
        <w:t xml:space="preserve"> </w:t>
      </w:r>
      <w:r w:rsidR="00607BD7">
        <w:t>display</w:t>
      </w:r>
      <w:r w:rsidR="00223611">
        <w:t>s</w:t>
      </w:r>
      <w:r w:rsidR="00607BD7">
        <w:t xml:space="preserve"> </w:t>
      </w:r>
      <w:r w:rsidR="00223611">
        <w:t>punishment</w:t>
      </w:r>
      <w:r w:rsidR="00202025">
        <w:t xml:space="preserve"> while</w:t>
      </w:r>
      <w:r w:rsidR="00397B29">
        <w:t xml:space="preserve"> heavy financial penalties provide restoration. </w:t>
      </w:r>
      <w:r w:rsidR="000254AF">
        <w:t>The public display of extreme violence and cruelty</w:t>
      </w:r>
      <w:r w:rsidR="00223611">
        <w:t xml:space="preserve"> is general in pre-modern law</w:t>
      </w:r>
      <w:r>
        <w:t>,</w:t>
      </w:r>
      <w:r w:rsidR="000254AF">
        <w:t xml:space="preserve"> </w:t>
      </w:r>
      <w:r w:rsidR="00CF27AE">
        <w:t>providing</w:t>
      </w:r>
      <w:r w:rsidR="000254AF">
        <w:t xml:space="preserve"> the primary </w:t>
      </w:r>
      <w:r w:rsidR="005B3C8F">
        <w:t xml:space="preserve">(physical) </w:t>
      </w:r>
      <w:r w:rsidR="000254AF">
        <w:t>assertion of (royal) power and so authority.</w:t>
      </w:r>
      <w:r w:rsidR="000254AF">
        <w:rPr>
          <w:rStyle w:val="FootnoteReference"/>
        </w:rPr>
        <w:footnoteReference w:id="41"/>
      </w:r>
      <w:r w:rsidR="000254AF">
        <w:t xml:space="preserve"> </w:t>
      </w:r>
      <w:r w:rsidR="00202025">
        <w:t xml:space="preserve">Specific reference to </w:t>
      </w:r>
      <w:r w:rsidR="00607BD7">
        <w:t>actual</w:t>
      </w:r>
      <w:r w:rsidR="00202025">
        <w:t xml:space="preserve"> mutilations are rare</w:t>
      </w:r>
      <w:r w:rsidR="00607BD7">
        <w:t xml:space="preserve"> in Egyptian sources</w:t>
      </w:r>
      <w:r w:rsidR="000254AF">
        <w:t xml:space="preserve"> – the relevant types of legal documentary text are too rare – but isolated examples </w:t>
      </w:r>
      <w:r w:rsidR="00223611">
        <w:t>exist</w:t>
      </w:r>
      <w:r w:rsidR="000254AF">
        <w:t>. One passage in the records about the Harem Conspiracy against Ramesses III inclues a list of</w:t>
      </w:r>
      <w:r w:rsidR="00B67737">
        <w:t>:</w:t>
      </w:r>
      <w:r w:rsidR="00B67737">
        <w:rPr>
          <w:rStyle w:val="FootnoteReference"/>
        </w:rPr>
        <w:footnoteReference w:id="42"/>
      </w:r>
    </w:p>
    <w:p w14:paraId="7E8613EF" w14:textId="77777777" w:rsidR="00590846" w:rsidRDefault="00590846" w:rsidP="00590846"/>
    <w:p w14:paraId="4CF68169" w14:textId="4FA82493" w:rsidR="005F664F" w:rsidRPr="00A77A44" w:rsidRDefault="00A77A44" w:rsidP="00590846">
      <w:pPr>
        <w:rPr>
          <w:rFonts w:ascii="Trlit_CG Times" w:hAnsi="Trlit_CG Times"/>
        </w:rPr>
      </w:pPr>
      <w:r>
        <w:rPr>
          <w:rFonts w:ascii="Trlit_CG Times" w:hAnsi="Trlit_CG Times"/>
        </w:rPr>
        <w:t>rmT iry n=w sbAyt m sA fnd=w msDr=w Hr pA xAa i.iri=w nA mtr nfr Dd n=w</w:t>
      </w:r>
      <w:r w:rsidR="00B67737">
        <w:rPr>
          <w:rFonts w:ascii="Trlit_CG Times" w:hAnsi="Trlit_CG Times"/>
        </w:rPr>
        <w:t xml:space="preserve"> …. iw pAy=w btA iTA=w</w:t>
      </w:r>
    </w:p>
    <w:p w14:paraId="5C5E4083" w14:textId="21F6136E" w:rsidR="005F664F" w:rsidRDefault="00B67737" w:rsidP="00590846">
      <w:r>
        <w:t>Persons to whom punishment was done, by cutting off their noses and ears, because they had abandoned the good instructions given them …. And their sin took them</w:t>
      </w:r>
      <w:r w:rsidR="00B91AF9">
        <w:t>.</w:t>
      </w:r>
    </w:p>
    <w:p w14:paraId="78B7A837" w14:textId="77777777" w:rsidR="00590846" w:rsidRDefault="00590846" w:rsidP="00590846"/>
    <w:p w14:paraId="5FAE7FA7" w14:textId="0E40D682" w:rsidR="00D633E8" w:rsidRDefault="003A3537" w:rsidP="00590846">
      <w:pPr>
        <w:rPr>
          <w:color w:val="000000" w:themeColor="text1"/>
        </w:rPr>
      </w:pPr>
      <w:r w:rsidRPr="002D37C4">
        <w:rPr>
          <w:color w:val="000000" w:themeColor="text1"/>
        </w:rPr>
        <w:t>References to the punishment of Ramesside tomb robbers is similarly clear:</w:t>
      </w:r>
      <w:r w:rsidRPr="002D37C4">
        <w:rPr>
          <w:rStyle w:val="FootnoteReference"/>
          <w:color w:val="000000" w:themeColor="text1"/>
        </w:rPr>
        <w:footnoteReference w:id="43"/>
      </w:r>
      <w:r w:rsidRPr="002D37C4">
        <w:rPr>
          <w:color w:val="000000" w:themeColor="text1"/>
        </w:rPr>
        <w:t xml:space="preserve"> </w:t>
      </w:r>
    </w:p>
    <w:p w14:paraId="38BD4895" w14:textId="77777777" w:rsidR="00590846" w:rsidRPr="002D37C4" w:rsidRDefault="00590846" w:rsidP="00590846">
      <w:pPr>
        <w:rPr>
          <w:color w:val="000000" w:themeColor="text1"/>
        </w:rPr>
      </w:pPr>
    </w:p>
    <w:p w14:paraId="3FE3ED9D" w14:textId="0DDD0302" w:rsidR="003A3537" w:rsidRPr="002D37C4" w:rsidRDefault="0065580A" w:rsidP="00590846">
      <w:pPr>
        <w:rPr>
          <w:rFonts w:ascii="Trlit_CG Times" w:hAnsi="Trlit_CG Times"/>
          <w:color w:val="000000" w:themeColor="text1"/>
        </w:rPr>
      </w:pPr>
      <w:r w:rsidRPr="002D37C4">
        <w:rPr>
          <w:rFonts w:ascii="Trlit_CG Times" w:hAnsi="Trlit_CG Times"/>
          <w:color w:val="000000" w:themeColor="text1"/>
        </w:rPr>
        <w:t>iw=</w:t>
      </w:r>
      <w:r w:rsidR="003A3537" w:rsidRPr="002D37C4">
        <w:rPr>
          <w:rFonts w:ascii="Trlit_CG Times" w:hAnsi="Trlit_CG Times"/>
          <w:color w:val="000000" w:themeColor="text1"/>
        </w:rPr>
        <w:t>i</w:t>
      </w:r>
      <w:r w:rsidRPr="002D37C4">
        <w:rPr>
          <w:rFonts w:ascii="Trlit_CG Times" w:hAnsi="Trlit_CG Times"/>
          <w:color w:val="000000" w:themeColor="text1"/>
        </w:rPr>
        <w:t xml:space="preserve"> Dd n=f iw=w</w:t>
      </w:r>
      <w:r w:rsidR="003A3537" w:rsidRPr="002D37C4">
        <w:rPr>
          <w:rFonts w:ascii="Trlit_CG Times" w:hAnsi="Trlit_CG Times"/>
          <w:color w:val="000000" w:themeColor="text1"/>
        </w:rPr>
        <w:t xml:space="preserve"> (r)</w:t>
      </w:r>
      <w:r w:rsidRPr="002D37C4">
        <w:rPr>
          <w:rFonts w:ascii="Trlit_CG Times" w:hAnsi="Trlit_CG Times"/>
          <w:color w:val="000000" w:themeColor="text1"/>
        </w:rPr>
        <w:t xml:space="preserve"> </w:t>
      </w:r>
      <w:r w:rsidR="003A3537" w:rsidRPr="002D37C4">
        <w:rPr>
          <w:rFonts w:ascii="Trlit_CG Times" w:hAnsi="Trlit_CG Times"/>
          <w:color w:val="000000" w:themeColor="text1"/>
        </w:rPr>
        <w:t xml:space="preserve">Xdb(?)=k Hr pAy TAw i.iri=k [m] pA xr </w:t>
      </w:r>
    </w:p>
    <w:p w14:paraId="244F3731" w14:textId="74560F2E" w:rsidR="003A3537" w:rsidRDefault="00D633E8" w:rsidP="00590846">
      <w:pPr>
        <w:rPr>
          <w:color w:val="000000" w:themeColor="text1"/>
        </w:rPr>
      </w:pPr>
      <w:r w:rsidRPr="002D37C4">
        <w:rPr>
          <w:color w:val="000000" w:themeColor="text1"/>
        </w:rPr>
        <w:t xml:space="preserve">I said to him, “You will be put to death </w:t>
      </w:r>
      <w:r w:rsidR="003A3537" w:rsidRPr="002D37C4">
        <w:rPr>
          <w:color w:val="000000" w:themeColor="text1"/>
        </w:rPr>
        <w:t>over this theft you carried out in the tomb.”</w:t>
      </w:r>
    </w:p>
    <w:p w14:paraId="509646AF" w14:textId="77777777" w:rsidR="00590846" w:rsidRPr="002D37C4" w:rsidRDefault="00590846" w:rsidP="00590846">
      <w:pPr>
        <w:rPr>
          <w:color w:val="000000" w:themeColor="text1"/>
        </w:rPr>
      </w:pPr>
    </w:p>
    <w:p w14:paraId="228DFAD1" w14:textId="7AA10D21" w:rsidR="003A3537" w:rsidRDefault="003A3537" w:rsidP="00590846">
      <w:pPr>
        <w:rPr>
          <w:color w:val="000000" w:themeColor="text1"/>
        </w:rPr>
      </w:pPr>
      <w:r w:rsidRPr="002D37C4">
        <w:rPr>
          <w:color w:val="000000" w:themeColor="text1"/>
        </w:rPr>
        <w:t xml:space="preserve">Or an officer of the army, who denies all </w:t>
      </w:r>
      <w:r w:rsidR="00607BD7">
        <w:rPr>
          <w:color w:val="000000" w:themeColor="text1"/>
        </w:rPr>
        <w:t>complicity in the thieving of his subordinates</w:t>
      </w:r>
      <w:r w:rsidRPr="002D37C4">
        <w:rPr>
          <w:color w:val="000000" w:themeColor="text1"/>
        </w:rPr>
        <w:t>:</w:t>
      </w:r>
      <w:r w:rsidRPr="002D37C4">
        <w:rPr>
          <w:rStyle w:val="FootnoteReference"/>
          <w:color w:val="000000" w:themeColor="text1"/>
        </w:rPr>
        <w:footnoteReference w:id="44"/>
      </w:r>
      <w:r w:rsidRPr="002D37C4">
        <w:rPr>
          <w:color w:val="000000" w:themeColor="text1"/>
        </w:rPr>
        <w:t xml:space="preserve"> </w:t>
      </w:r>
    </w:p>
    <w:p w14:paraId="30227726" w14:textId="77777777" w:rsidR="00590846" w:rsidRPr="002D37C4" w:rsidRDefault="00590846" w:rsidP="00590846">
      <w:pPr>
        <w:rPr>
          <w:color w:val="000000" w:themeColor="text1"/>
        </w:rPr>
      </w:pPr>
    </w:p>
    <w:p w14:paraId="18F6E054" w14:textId="64A12BB0" w:rsidR="003A3537" w:rsidRPr="002D37C4" w:rsidRDefault="003A3537" w:rsidP="00590846">
      <w:pPr>
        <w:rPr>
          <w:color w:val="000000" w:themeColor="text1"/>
        </w:rPr>
      </w:pPr>
      <w:r w:rsidRPr="002D37C4">
        <w:rPr>
          <w:rFonts w:ascii="Trlit_CG Times" w:hAnsi="Trlit_CG Times"/>
          <w:color w:val="000000" w:themeColor="text1"/>
        </w:rPr>
        <w:t>inn iw.tw (r) Hdb=(i) Hr rmT</w:t>
      </w:r>
      <w:r w:rsidR="00DB3457">
        <w:rPr>
          <w:rFonts w:ascii="Trlit_CG Times" w:hAnsi="Trlit_CG Times"/>
          <w:color w:val="000000" w:themeColor="text1"/>
        </w:rPr>
        <w:t xml:space="preserve"> </w:t>
      </w:r>
      <w:r w:rsidRPr="002D37C4">
        <w:rPr>
          <w:rFonts w:ascii="Trlit_CG Times" w:hAnsi="Trlit_CG Times"/>
          <w:color w:val="000000" w:themeColor="text1"/>
        </w:rPr>
        <w:t>ntf tAy=i TAw</w:t>
      </w:r>
      <w:r w:rsidR="00DB3457">
        <w:rPr>
          <w:rFonts w:ascii="Trlit_CG Times" w:hAnsi="Trlit_CG Times"/>
          <w:color w:val="000000" w:themeColor="text1"/>
        </w:rPr>
        <w:t>t</w:t>
      </w:r>
    </w:p>
    <w:p w14:paraId="799699E4" w14:textId="7973A581" w:rsidR="003A3537" w:rsidRDefault="00DB3457" w:rsidP="00590846">
      <w:pPr>
        <w:rPr>
          <w:color w:val="000000" w:themeColor="text1"/>
        </w:rPr>
      </w:pPr>
      <w:r>
        <w:rPr>
          <w:color w:val="000000" w:themeColor="text1"/>
        </w:rPr>
        <w:t>If they will kill me over (my</w:t>
      </w:r>
      <w:r w:rsidR="003A3537" w:rsidRPr="002D37C4">
        <w:rPr>
          <w:color w:val="000000" w:themeColor="text1"/>
        </w:rPr>
        <w:t>) people, that is my th</w:t>
      </w:r>
      <w:r>
        <w:rPr>
          <w:color w:val="000000" w:themeColor="text1"/>
        </w:rPr>
        <w:t>ieving</w:t>
      </w:r>
      <w:r w:rsidR="003A3537" w:rsidRPr="002D37C4">
        <w:rPr>
          <w:color w:val="000000" w:themeColor="text1"/>
        </w:rPr>
        <w:t xml:space="preserve">! </w:t>
      </w:r>
    </w:p>
    <w:p w14:paraId="3541C2E6" w14:textId="77777777" w:rsidR="00590846" w:rsidRPr="002D37C4" w:rsidRDefault="00590846" w:rsidP="00590846">
      <w:pPr>
        <w:rPr>
          <w:color w:val="000000" w:themeColor="text1"/>
        </w:rPr>
      </w:pPr>
    </w:p>
    <w:p w14:paraId="6484CDD9" w14:textId="77777777" w:rsidR="00BF4851" w:rsidRDefault="00BF4851" w:rsidP="00590846">
      <w:pPr>
        <w:rPr>
          <w:color w:val="000000" w:themeColor="text1"/>
        </w:rPr>
      </w:pPr>
      <w:r w:rsidRPr="002D37C4">
        <w:rPr>
          <w:color w:val="000000" w:themeColor="text1"/>
        </w:rPr>
        <w:t>Or another victim of interrogation, asserting:</w:t>
      </w:r>
      <w:r w:rsidRPr="002D37C4">
        <w:rPr>
          <w:rStyle w:val="FootnoteReference"/>
          <w:color w:val="000000" w:themeColor="text1"/>
        </w:rPr>
        <w:footnoteReference w:id="45"/>
      </w:r>
    </w:p>
    <w:p w14:paraId="36DEC015" w14:textId="77777777" w:rsidR="00590846" w:rsidRPr="002D37C4" w:rsidRDefault="00590846" w:rsidP="00590846">
      <w:pPr>
        <w:rPr>
          <w:color w:val="000000" w:themeColor="text1"/>
        </w:rPr>
      </w:pPr>
    </w:p>
    <w:p w14:paraId="70EBD598" w14:textId="5DD9FE75" w:rsidR="00BF4851" w:rsidRPr="004F59EB" w:rsidRDefault="00BF4851" w:rsidP="00590846">
      <w:pPr>
        <w:rPr>
          <w:rFonts w:ascii="Trlit_CG Times" w:hAnsi="Trlit_CG Times"/>
          <w:color w:val="000000" w:themeColor="text1"/>
        </w:rPr>
      </w:pPr>
      <w:r w:rsidRPr="004F59EB">
        <w:rPr>
          <w:rFonts w:ascii="Trlit_CG Times" w:hAnsi="Trlit_CG Times"/>
          <w:color w:val="000000" w:themeColor="text1"/>
        </w:rPr>
        <w:t>ptr(=i) tA sbAyt i.iri n nA iTAw r hAw TAty xai-mwAst yA ix pAy-i Sm r wxA pA mwt iw=</w:t>
      </w:r>
      <w:r w:rsidR="002D37C4" w:rsidRPr="004F59EB">
        <w:rPr>
          <w:rFonts w:ascii="Trlit_CG Times" w:hAnsi="Trlit_CG Times"/>
          <w:color w:val="000000" w:themeColor="text1"/>
        </w:rPr>
        <w:t>i</w:t>
      </w:r>
      <w:r w:rsidRPr="004F59EB">
        <w:rPr>
          <w:rFonts w:ascii="Trlit_CG Times" w:hAnsi="Trlit_CG Times"/>
          <w:color w:val="000000" w:themeColor="text1"/>
        </w:rPr>
        <w:t xml:space="preserve"> rx sw</w:t>
      </w:r>
    </w:p>
    <w:p w14:paraId="04DE8DF1" w14:textId="24F8A52A" w:rsidR="00D633E8" w:rsidRDefault="00BF4851" w:rsidP="00590846">
      <w:pPr>
        <w:rPr>
          <w:color w:val="000000" w:themeColor="text1"/>
        </w:rPr>
      </w:pPr>
      <w:r w:rsidRPr="002D37C4">
        <w:rPr>
          <w:color w:val="000000" w:themeColor="text1"/>
        </w:rPr>
        <w:t xml:space="preserve">I saw the punishment done to the thieves in the time of the vizier Khaemwaset. What would I be going to seek </w:t>
      </w:r>
      <w:r w:rsidR="002D37C4" w:rsidRPr="002D37C4">
        <w:rPr>
          <w:color w:val="000000" w:themeColor="text1"/>
        </w:rPr>
        <w:t>the (same) death, when I know (what) it is!</w:t>
      </w:r>
    </w:p>
    <w:p w14:paraId="1A7BA6E5" w14:textId="77777777" w:rsidR="00590846" w:rsidRPr="002D37C4" w:rsidRDefault="00590846" w:rsidP="00590846">
      <w:pPr>
        <w:rPr>
          <w:color w:val="000000" w:themeColor="text1"/>
        </w:rPr>
      </w:pPr>
    </w:p>
    <w:p w14:paraId="3DC2C8F7" w14:textId="68F1534B" w:rsidR="000254AF" w:rsidRDefault="000254AF" w:rsidP="00590846">
      <w:r>
        <w:t xml:space="preserve">A set of </w:t>
      </w:r>
      <w:r w:rsidR="00D633E8">
        <w:t>accusations of malfeasance agai</w:t>
      </w:r>
      <w:r>
        <w:t xml:space="preserve">nst a </w:t>
      </w:r>
      <w:r w:rsidRPr="00607BD7">
        <w:rPr>
          <w:i/>
        </w:rPr>
        <w:t>wab</w:t>
      </w:r>
      <w:r>
        <w:t>-priest at Elephantine includes:</w:t>
      </w:r>
      <w:r>
        <w:rPr>
          <w:rStyle w:val="FootnoteReference"/>
        </w:rPr>
        <w:footnoteReference w:id="46"/>
      </w:r>
      <w:r>
        <w:t xml:space="preserve"> </w:t>
      </w:r>
    </w:p>
    <w:p w14:paraId="14BE5AB0" w14:textId="77777777" w:rsidR="00590846" w:rsidRPr="000254AF" w:rsidRDefault="00590846" w:rsidP="00590846"/>
    <w:p w14:paraId="23C8387F" w14:textId="7B711F18" w:rsidR="005F664F" w:rsidRDefault="005F664F" w:rsidP="00590846">
      <w:r w:rsidRPr="00BE26BC">
        <w:rPr>
          <w:rFonts w:ascii="Trlit_CG Times" w:hAnsi="Trlit_CG Times"/>
        </w:rPr>
        <w:t>sxA r pA Sad i.iri pAy wab msDr n sxA.tw-m-nfr sA bAk-stt m-xmt pr-aA a.w.s.</w:t>
      </w:r>
    </w:p>
    <w:p w14:paraId="532C28BE" w14:textId="77777777" w:rsidR="005F664F" w:rsidRDefault="005F664F" w:rsidP="00590846">
      <w:r>
        <w:t xml:space="preserve">Memorandum concerning the cutting-off this </w:t>
      </w:r>
      <w:r w:rsidRPr="00BE26BC">
        <w:rPr>
          <w:i/>
        </w:rPr>
        <w:t>wab</w:t>
      </w:r>
      <w:r>
        <w:t xml:space="preserve">-priest did of the ear of Sekhatuemnefer son of Bak-Satet without Pharaoh (knowing). </w:t>
      </w:r>
    </w:p>
    <w:p w14:paraId="65A9CDF4" w14:textId="77777777" w:rsidR="00590846" w:rsidRDefault="00590846" w:rsidP="00590846"/>
    <w:p w14:paraId="6023DB3C" w14:textId="2927455B" w:rsidR="005F664F" w:rsidRDefault="000254AF" w:rsidP="00590846">
      <w:pPr>
        <w:rPr>
          <w:color w:val="FF0000"/>
        </w:rPr>
      </w:pPr>
      <w:r>
        <w:t>The early New Kin</w:t>
      </w:r>
      <w:r w:rsidRPr="00754FFE">
        <w:t xml:space="preserve">gdom </w:t>
      </w:r>
      <w:r w:rsidRPr="00754FFE">
        <w:rPr>
          <w:i/>
        </w:rPr>
        <w:t>Duties of the Vizier</w:t>
      </w:r>
      <w:r w:rsidRPr="00754FFE">
        <w:t xml:space="preserve"> </w:t>
      </w:r>
      <w:r w:rsidR="00B91AF9" w:rsidRPr="00754FFE">
        <w:t>refe</w:t>
      </w:r>
      <w:r w:rsidR="00B91AF9">
        <w:t xml:space="preserve">rs </w:t>
      </w:r>
      <w:r w:rsidR="00B91AF9" w:rsidRPr="00B91AF9">
        <w:t>to</w:t>
      </w:r>
      <w:r w:rsidR="00754FFE">
        <w:t xml:space="preserve"> the vizier punishing a functionary who abuses one of his envoys on official mission by</w:t>
      </w:r>
      <w:r w:rsidR="00754FFE" w:rsidRPr="00B91AF9">
        <w:t xml:space="preserve"> </w:t>
      </w:r>
      <w:r w:rsidR="00754FFE" w:rsidRPr="00FB735A">
        <w:rPr>
          <w:rFonts w:ascii="Trlit_CG Times" w:hAnsi="Trlit_CG Times"/>
        </w:rPr>
        <w:t>swA at</w:t>
      </w:r>
      <w:r w:rsidR="00754FFE">
        <w:t xml:space="preserve"> ‘cutting off (a) limb’.</w:t>
      </w:r>
      <w:r w:rsidR="00B91AF9">
        <w:rPr>
          <w:rStyle w:val="FootnoteReference"/>
        </w:rPr>
        <w:footnoteReference w:id="47"/>
      </w:r>
      <w:r w:rsidR="00754FFE">
        <w:t xml:space="preserve"> His (and vicariously, royal) authority is not to be trifled with.</w:t>
      </w:r>
    </w:p>
    <w:p w14:paraId="5A9E814F" w14:textId="299AF223" w:rsidR="005F664F" w:rsidRPr="00754FFE" w:rsidRDefault="002A073A" w:rsidP="005F664F">
      <w:pPr>
        <w:rPr>
          <w:b/>
          <w:i/>
        </w:rPr>
      </w:pPr>
      <w:r w:rsidRPr="002A073A">
        <w:t xml:space="preserve">In other cases </w:t>
      </w:r>
      <w:r>
        <w:t>the threat of removal of a limb seems to put a sinner on a par with a sacrificial animal, and the reality of the action is less c</w:t>
      </w:r>
      <w:r w:rsidRPr="00754FFE">
        <w:t>lear.</w:t>
      </w:r>
      <w:r w:rsidRPr="00754FFE">
        <w:rPr>
          <w:rStyle w:val="FootnoteReference"/>
        </w:rPr>
        <w:footnoteReference w:id="48"/>
      </w:r>
    </w:p>
    <w:p w14:paraId="20EC549A" w14:textId="49713ACA" w:rsidR="00590846" w:rsidRPr="00AE4C0F" w:rsidRDefault="00397B29" w:rsidP="00AE4C0F">
      <w:pPr>
        <w:ind w:firstLine="720"/>
      </w:pPr>
      <w:r>
        <w:t xml:space="preserve">In practice </w:t>
      </w:r>
      <w:r w:rsidR="002A073A">
        <w:t>such</w:t>
      </w:r>
      <w:r>
        <w:t xml:space="preserve"> penalties are declared at a level that would necessarily prove disabling</w:t>
      </w:r>
      <w:r w:rsidR="00754FFE">
        <w:t xml:space="preserve">, </w:t>
      </w:r>
      <w:r w:rsidR="002A073A">
        <w:t>and</w:t>
      </w:r>
      <w:r>
        <w:t xml:space="preserve"> fatal in a significant number</w:t>
      </w:r>
      <w:r w:rsidR="00E51E46">
        <w:t xml:space="preserve"> of cases</w:t>
      </w:r>
      <w:r w:rsidR="002A073A">
        <w:t xml:space="preserve">. Their purpose is </w:t>
      </w:r>
      <w:r w:rsidR="00CF27AE">
        <w:t xml:space="preserve">the </w:t>
      </w:r>
      <w:r w:rsidR="00DD083F">
        <w:t>ass</w:t>
      </w:r>
      <w:r w:rsidR="00CF27AE">
        <w:t xml:space="preserve">ertion of </w:t>
      </w:r>
      <w:r w:rsidR="00DD083F">
        <w:t xml:space="preserve">hierarchical (royal) </w:t>
      </w:r>
      <w:r w:rsidR="00CF27AE">
        <w:t>power</w:t>
      </w:r>
      <w:r w:rsidR="00DD083F">
        <w:t xml:space="preserve">, exercised by </w:t>
      </w:r>
      <w:r w:rsidR="002A073A">
        <w:t>display of cruelty</w:t>
      </w:r>
      <w:r w:rsidR="00DD083F">
        <w:t xml:space="preserve"> on the body of the victim</w:t>
      </w:r>
      <w:r w:rsidR="002A073A">
        <w:t>, and not the</w:t>
      </w:r>
      <w:r w:rsidR="00754FFE">
        <w:t xml:space="preserve"> idealising morality, </w:t>
      </w:r>
      <w:r w:rsidR="002A073A">
        <w:t>which Diodorus attributes to removing the nose of an adulterous wife.</w:t>
      </w:r>
      <w:r w:rsidR="002A073A">
        <w:rPr>
          <w:rStyle w:val="FootnoteReference"/>
        </w:rPr>
        <w:footnoteReference w:id="49"/>
      </w:r>
      <w:r w:rsidR="00AE4C0F">
        <w:t xml:space="preserve"> </w:t>
      </w:r>
      <w:r w:rsidR="00E51E46">
        <w:t>Ind</w:t>
      </w:r>
      <w:r>
        <w:t xml:space="preserve">eed, the </w:t>
      </w:r>
      <w:r w:rsidR="00DD083F">
        <w:t>Amad</w:t>
      </w:r>
      <w:r w:rsidR="00845F2F">
        <w:t xml:space="preserve">a stela </w:t>
      </w:r>
      <w:r w:rsidR="00D732D6">
        <w:t>of</w:t>
      </w:r>
      <w:r w:rsidR="00293567">
        <w:t xml:space="preserve"> </w:t>
      </w:r>
      <w:r w:rsidR="00845F2F">
        <w:t xml:space="preserve">Merenptah seems to </w:t>
      </w:r>
      <w:r>
        <w:t>present</w:t>
      </w:r>
      <w:r w:rsidR="00845F2F">
        <w:t xml:space="preserve"> the severance of hands, eyes and ears as in effect </w:t>
      </w:r>
      <w:r>
        <w:t xml:space="preserve">modes of </w:t>
      </w:r>
      <w:r w:rsidR="00845F2F">
        <w:t>execution, with the</w:t>
      </w:r>
      <w:r w:rsidR="00DD083F">
        <w:t xml:space="preserve"> </w:t>
      </w:r>
      <w:r w:rsidR="00845F2F">
        <w:t>mutilated bodies heaped up as warning.</w:t>
      </w:r>
    </w:p>
    <w:p w14:paraId="17E9374B" w14:textId="77777777" w:rsidR="00590846" w:rsidRDefault="00590846" w:rsidP="00502122"/>
    <w:p w14:paraId="68FAFEE7" w14:textId="0011C8C7" w:rsidR="00590846" w:rsidRPr="00590846" w:rsidRDefault="00590846" w:rsidP="00502122">
      <w:pPr>
        <w:rPr>
          <w:b/>
        </w:rPr>
      </w:pPr>
      <w:r w:rsidRPr="00590846">
        <w:rPr>
          <w:b/>
        </w:rPr>
        <w:t>Slaughter by the king</w:t>
      </w:r>
    </w:p>
    <w:p w14:paraId="661A968F" w14:textId="257660ED" w:rsidR="00397B29" w:rsidRDefault="00E51E46" w:rsidP="00590846">
      <w:r>
        <w:t>Violence – the public murder of captives</w:t>
      </w:r>
      <w:r w:rsidR="00202025">
        <w:t xml:space="preserve"> as a sort of theatre</w:t>
      </w:r>
      <w:r w:rsidR="00B26E3C">
        <w:t xml:space="preserve"> –</w:t>
      </w:r>
      <w:r>
        <w:t xml:space="preserve"> is descri</w:t>
      </w:r>
      <w:r w:rsidRPr="00850671">
        <w:t xml:space="preserve">bed incidentally in New Kingdom </w:t>
      </w:r>
      <w:r w:rsidR="00B26E3C">
        <w:t>examples</w:t>
      </w:r>
      <w:r w:rsidRPr="00850671">
        <w:t xml:space="preserve">. The account given by Amenhotep II of </w:t>
      </w:r>
      <w:r w:rsidR="00DD083F">
        <w:t>his execution of 7 princes of Ti</w:t>
      </w:r>
      <w:r w:rsidRPr="00850671">
        <w:t>khs</w:t>
      </w:r>
      <w:r w:rsidR="00AA7CC9" w:rsidRPr="00850671">
        <w:t>y, and their display as corpses:</w:t>
      </w:r>
      <w:r w:rsidRPr="00850671">
        <w:rPr>
          <w:rStyle w:val="FootnoteReference"/>
        </w:rPr>
        <w:footnoteReference w:id="50"/>
      </w:r>
      <w:r w:rsidRPr="00850671">
        <w:t xml:space="preserve"> </w:t>
      </w:r>
    </w:p>
    <w:p w14:paraId="45501A23" w14:textId="77777777" w:rsidR="00590846" w:rsidRPr="00E51E46" w:rsidRDefault="00590846" w:rsidP="00590846">
      <w:pPr>
        <w:rPr>
          <w:color w:val="FF0000"/>
        </w:rPr>
      </w:pPr>
    </w:p>
    <w:p w14:paraId="250ED719" w14:textId="77777777" w:rsidR="00AA7CC9" w:rsidRPr="00DF7FB7" w:rsidRDefault="00202025" w:rsidP="00590846">
      <w:pPr>
        <w:pStyle w:val="FootnoteText"/>
        <w:rPr>
          <w:rFonts w:ascii="Trlit_CG Times" w:hAnsi="Trlit_CG Times"/>
        </w:rPr>
      </w:pPr>
      <w:r>
        <w:rPr>
          <w:rFonts w:ascii="Trlit_CG Times" w:hAnsi="Trlit_CG Times"/>
        </w:rPr>
        <w:t>ii.n</w:t>
      </w:r>
      <w:r w:rsidR="00AA7CC9" w:rsidRPr="00DF7FB7">
        <w:rPr>
          <w:rFonts w:ascii="Trlit_CG Times" w:hAnsi="Trlit_CG Times"/>
        </w:rPr>
        <w:t xml:space="preserve"> Hm=f m Awt-ib n it=f Imn</w:t>
      </w:r>
    </w:p>
    <w:p w14:paraId="455EAA2E" w14:textId="77777777" w:rsidR="00DF7FB7" w:rsidRDefault="00DF7FB7" w:rsidP="00590846">
      <w:pPr>
        <w:pStyle w:val="FootnoteText"/>
      </w:pPr>
      <w:r>
        <w:t>His Majesty returned in joy to his father Amon,</w:t>
      </w:r>
    </w:p>
    <w:p w14:paraId="5BB38738" w14:textId="0BAF3D27" w:rsidR="00AA7CC9" w:rsidRPr="00DF7FB7" w:rsidRDefault="00AA7CC9" w:rsidP="00590846">
      <w:pPr>
        <w:pStyle w:val="FootnoteText"/>
        <w:rPr>
          <w:rFonts w:ascii="Trlit_CG Times" w:hAnsi="Trlit_CG Times"/>
        </w:rPr>
      </w:pPr>
      <w:r w:rsidRPr="00DF7FB7">
        <w:rPr>
          <w:rFonts w:ascii="Trlit_CG Times" w:hAnsi="Trlit_CG Times"/>
        </w:rPr>
        <w:t>smA.n=</w:t>
      </w:r>
      <w:r w:rsidRPr="00143131">
        <w:rPr>
          <w:rFonts w:ascii="Trlit_CG Times" w:hAnsi="Trlit_CG Times"/>
        </w:rPr>
        <w:t>f p</w:t>
      </w:r>
      <w:r w:rsidR="00202025" w:rsidRPr="00143131">
        <w:rPr>
          <w:rFonts w:ascii="Trlit_CG Times" w:hAnsi="Trlit_CG Times"/>
        </w:rPr>
        <w:t>A</w:t>
      </w:r>
      <w:r w:rsidRPr="00143131">
        <w:rPr>
          <w:rFonts w:ascii="Trlit_CG Times" w:hAnsi="Trlit_CG Times"/>
        </w:rPr>
        <w:t xml:space="preserve"> </w:t>
      </w:r>
      <w:r w:rsidRPr="00DF7FB7">
        <w:rPr>
          <w:rFonts w:ascii="Trlit_CG Times" w:hAnsi="Trlit_CG Times"/>
        </w:rPr>
        <w:t xml:space="preserve">wr </w:t>
      </w:r>
      <w:r w:rsidRPr="00850671">
        <w:t>7</w:t>
      </w:r>
      <w:r w:rsidRPr="00DF7FB7">
        <w:rPr>
          <w:rFonts w:ascii="Trlit_CG Times" w:hAnsi="Trlit_CG Times"/>
        </w:rPr>
        <w:t xml:space="preserve"> m</w:t>
      </w:r>
      <w:r w:rsidRPr="00143131">
        <w:rPr>
          <w:rFonts w:ascii="Trlit_CG Times" w:hAnsi="Trlit_CG Times"/>
        </w:rPr>
        <w:t xml:space="preserve"> H</w:t>
      </w:r>
      <w:r w:rsidR="00143131" w:rsidRPr="00143131">
        <w:rPr>
          <w:rFonts w:ascii="Trlit_CG Times" w:hAnsi="Trlit_CG Times"/>
        </w:rPr>
        <w:t>D</w:t>
      </w:r>
      <w:r w:rsidRPr="00143131">
        <w:rPr>
          <w:rFonts w:ascii="Trlit_CG Times" w:hAnsi="Trlit_CG Times"/>
        </w:rPr>
        <w:t>=f Ds=</w:t>
      </w:r>
      <w:r w:rsidRPr="00DF7FB7">
        <w:rPr>
          <w:rFonts w:ascii="Trlit_CG Times" w:hAnsi="Trlit_CG Times"/>
        </w:rPr>
        <w:t>f wnw m w n tixsy</w:t>
      </w:r>
    </w:p>
    <w:p w14:paraId="11574763" w14:textId="77777777" w:rsidR="00DF7FB7" w:rsidRDefault="00DF7FB7" w:rsidP="00590846">
      <w:pPr>
        <w:pStyle w:val="FootnoteText"/>
      </w:pPr>
      <w:r>
        <w:t>when he had slaughtered the 7 chiefs with his own mace, (those) who had been in the district of Tikhsy,</w:t>
      </w:r>
    </w:p>
    <w:p w14:paraId="5C5A64D9" w14:textId="77777777" w:rsidR="00AA7CC9" w:rsidRPr="00DF7FB7" w:rsidRDefault="00850671" w:rsidP="00590846">
      <w:pPr>
        <w:pStyle w:val="FootnoteText"/>
        <w:rPr>
          <w:rFonts w:ascii="Trlit_CG Times" w:hAnsi="Trlit_CG Times"/>
        </w:rPr>
      </w:pPr>
      <w:r>
        <w:rPr>
          <w:rFonts w:ascii="Trlit_CG Times" w:hAnsi="Trlit_CG Times"/>
        </w:rPr>
        <w:t>diw m sxd m HA</w:t>
      </w:r>
      <w:r w:rsidR="00AA7CC9" w:rsidRPr="00DF7FB7">
        <w:rPr>
          <w:rFonts w:ascii="Trlit_CG Times" w:hAnsi="Trlit_CG Times"/>
        </w:rPr>
        <w:t>t bik n Hm=f</w:t>
      </w:r>
    </w:p>
    <w:p w14:paraId="12DBC867" w14:textId="77777777" w:rsidR="002E5E34" w:rsidRDefault="00DF7FB7" w:rsidP="00590846">
      <w:pPr>
        <w:pStyle w:val="FootnoteText"/>
      </w:pPr>
      <w:r>
        <w:t>they being put upside down at the prow of the barque of His Majesty,</w:t>
      </w:r>
    </w:p>
    <w:p w14:paraId="14A3DCA8" w14:textId="77777777" w:rsidR="00AA7CC9" w:rsidRPr="00DF7FB7" w:rsidRDefault="00202025" w:rsidP="00590846">
      <w:pPr>
        <w:pStyle w:val="FootnoteText"/>
        <w:rPr>
          <w:rFonts w:ascii="Trlit_CG Times" w:hAnsi="Trlit_CG Times"/>
        </w:rPr>
      </w:pPr>
      <w:r>
        <w:rPr>
          <w:rFonts w:ascii="Trlit_CG Times" w:hAnsi="Trlit_CG Times"/>
        </w:rPr>
        <w:t>nty rn=f m-Dd aA-xprw-ra-</w:t>
      </w:r>
      <w:r w:rsidR="00AA7CC9" w:rsidRPr="00DF7FB7">
        <w:rPr>
          <w:rFonts w:ascii="Trlit_CG Times" w:hAnsi="Trlit_CG Times"/>
        </w:rPr>
        <w:t>smn-tAwy</w:t>
      </w:r>
    </w:p>
    <w:p w14:paraId="6D54C636" w14:textId="77777777" w:rsidR="00DF7FB7" w:rsidRDefault="00DF7FB7" w:rsidP="00590846">
      <w:pPr>
        <w:pStyle w:val="FootnoteText"/>
      </w:pPr>
      <w:r>
        <w:t xml:space="preserve">the name of which </w:t>
      </w:r>
      <w:r w:rsidRPr="00B26E3C">
        <w:t>is Aa-kheperu-Re-preserves-th</w:t>
      </w:r>
      <w:r>
        <w:t>e-Two-Lands.</w:t>
      </w:r>
    </w:p>
    <w:p w14:paraId="6844F3C2" w14:textId="77777777" w:rsidR="00DF7FB7" w:rsidRPr="00DF7FB7" w:rsidRDefault="00DF7FB7" w:rsidP="00590846">
      <w:pPr>
        <w:pStyle w:val="FootnoteText"/>
        <w:rPr>
          <w:rFonts w:ascii="Trlit_CG Times" w:hAnsi="Trlit_CG Times"/>
        </w:rPr>
      </w:pPr>
      <w:r w:rsidRPr="00DF7FB7">
        <w:rPr>
          <w:rFonts w:ascii="Trlit_CG Times" w:hAnsi="Trlit_CG Times"/>
        </w:rPr>
        <w:t xml:space="preserve">wn.in.tw Hr axt pA s </w:t>
      </w:r>
      <w:r w:rsidRPr="00DF7FB7">
        <w:t>6</w:t>
      </w:r>
      <w:r w:rsidRPr="00DF7FB7">
        <w:rPr>
          <w:rFonts w:ascii="Trlit_CG Times" w:hAnsi="Trlit_CG Times"/>
        </w:rPr>
        <w:t xml:space="preserve"> m nn n </w:t>
      </w:r>
      <w:r w:rsidR="00202025">
        <w:rPr>
          <w:rFonts w:ascii="Trlit_CG Times" w:hAnsi="Trlit_CG Times"/>
        </w:rPr>
        <w:t>x</w:t>
      </w:r>
      <w:r w:rsidRPr="00DF7FB7">
        <w:rPr>
          <w:rFonts w:ascii="Trlit_CG Times" w:hAnsi="Trlit_CG Times"/>
        </w:rPr>
        <w:t>rw m xft-Hr sbty n WAst nA n Drt r mitt</w:t>
      </w:r>
    </w:p>
    <w:p w14:paraId="38485A47" w14:textId="77777777" w:rsidR="002E5E34" w:rsidRDefault="00DF7FB7" w:rsidP="00590846">
      <w:pPr>
        <w:pStyle w:val="FootnoteText"/>
      </w:pPr>
      <w:r>
        <w:t>Then the 6 from these fallen-one</w:t>
      </w:r>
      <w:r w:rsidRPr="00143131">
        <w:t xml:space="preserve">s were hung in </w:t>
      </w:r>
      <w:r>
        <w:t>front of th</w:t>
      </w:r>
      <w:r w:rsidRPr="00143131">
        <w:t>e fortification o</w:t>
      </w:r>
      <w:r>
        <w:t>f Thebes, and the hands as well</w:t>
      </w:r>
      <w:r w:rsidR="00202025">
        <w:t>.</w:t>
      </w:r>
    </w:p>
    <w:p w14:paraId="4ABC38D9" w14:textId="77777777" w:rsidR="00DF7FB7" w:rsidRPr="00DF7FB7" w:rsidRDefault="00DF7FB7" w:rsidP="00590846">
      <w:pPr>
        <w:pStyle w:val="FootnoteText"/>
        <w:rPr>
          <w:rFonts w:ascii="Trlit_CG Times" w:hAnsi="Trlit_CG Times"/>
        </w:rPr>
      </w:pPr>
      <w:r w:rsidRPr="00DF7FB7">
        <w:rPr>
          <w:rFonts w:ascii="Trlit_CG Times" w:hAnsi="Trlit_CG Times"/>
        </w:rPr>
        <w:t>aHa.n sxnt  pA ky xrw r tA sty</w:t>
      </w:r>
    </w:p>
    <w:p w14:paraId="31DDBB9E" w14:textId="77777777" w:rsidR="00DF7FB7" w:rsidRDefault="00DF7FB7" w:rsidP="00590846">
      <w:pPr>
        <w:pStyle w:val="FootnoteText"/>
      </w:pPr>
      <w:r>
        <w:t>Then the other fallen-one was sent south to Ta-Sety</w:t>
      </w:r>
      <w:r w:rsidR="00202025">
        <w:t>,</w:t>
      </w:r>
    </w:p>
    <w:p w14:paraId="22736D9F" w14:textId="77777777" w:rsidR="00DF7FB7" w:rsidRPr="00DF7FB7" w:rsidRDefault="00DF7FB7" w:rsidP="00590846">
      <w:pPr>
        <w:pStyle w:val="FootnoteText"/>
        <w:rPr>
          <w:rFonts w:ascii="Trlit_CG Times" w:hAnsi="Trlit_CG Times"/>
        </w:rPr>
      </w:pPr>
      <w:r w:rsidRPr="00DF7FB7">
        <w:rPr>
          <w:rFonts w:ascii="Trlit_CG Times" w:hAnsi="Trlit_CG Times"/>
        </w:rPr>
        <w:t>axw n pA sbty n npt</w:t>
      </w:r>
    </w:p>
    <w:p w14:paraId="414142B4" w14:textId="2F4CB84C" w:rsidR="00DF7FB7" w:rsidRDefault="00AE4C0F" w:rsidP="00590846">
      <w:pPr>
        <w:pStyle w:val="FootnoteText"/>
      </w:pPr>
      <w:r>
        <w:t>and</w:t>
      </w:r>
      <w:r w:rsidR="00DF7FB7">
        <w:t xml:space="preserve"> hung on th</w:t>
      </w:r>
      <w:r w:rsidR="00DF7FB7" w:rsidRPr="00143131">
        <w:t xml:space="preserve">e fortification of </w:t>
      </w:r>
      <w:r w:rsidR="00DF7FB7">
        <w:t>Napata</w:t>
      </w:r>
    </w:p>
    <w:p w14:paraId="7FA8DA57" w14:textId="77777777" w:rsidR="00DF7FB7" w:rsidRPr="00DF7FB7" w:rsidRDefault="00DF7FB7" w:rsidP="00590846">
      <w:pPr>
        <w:pStyle w:val="FootnoteText"/>
        <w:rPr>
          <w:rFonts w:ascii="Trlit_CG Times" w:hAnsi="Trlit_CG Times"/>
        </w:rPr>
      </w:pPr>
      <w:r w:rsidRPr="00DF7FB7">
        <w:rPr>
          <w:rFonts w:ascii="Trlit_CG Times" w:hAnsi="Trlit_CG Times"/>
        </w:rPr>
        <w:t>r rdit mA.tw nxtw Hm=f r nHH Hna Dt m tAw nb nw tA nHsy</w:t>
      </w:r>
    </w:p>
    <w:p w14:paraId="0BCD2B7A" w14:textId="01CCB193" w:rsidR="00DF7FB7" w:rsidRDefault="00F440A2" w:rsidP="00590846">
      <w:pPr>
        <w:pStyle w:val="FootnoteText"/>
      </w:pPr>
      <w:r>
        <w:lastRenderedPageBreak/>
        <w:t>to cause that the might</w:t>
      </w:r>
      <w:r w:rsidR="00DF7FB7">
        <w:t xml:space="preserve"> of His Majesty be seen for ever and ever in all the lands of the Land of Nubia.</w:t>
      </w:r>
    </w:p>
    <w:p w14:paraId="2D079220" w14:textId="77777777" w:rsidR="00590846" w:rsidRDefault="00590846" w:rsidP="00590846">
      <w:pPr>
        <w:pStyle w:val="FootnoteText"/>
      </w:pPr>
    </w:p>
    <w:p w14:paraId="5909A223" w14:textId="6671DEFD" w:rsidR="0086043C" w:rsidRDefault="0086043C" w:rsidP="00590846">
      <w:r>
        <w:t xml:space="preserve">The same theme is presented </w:t>
      </w:r>
      <w:r w:rsidR="00202025">
        <w:t>by</w:t>
      </w:r>
      <w:r>
        <w:t xml:space="preserve"> Ahmose son of Abana, </w:t>
      </w:r>
      <w:r w:rsidR="00202025">
        <w:t xml:space="preserve">describing the return </w:t>
      </w:r>
      <w:r>
        <w:t xml:space="preserve">from </w:t>
      </w:r>
      <w:r w:rsidR="00202025">
        <w:t xml:space="preserve">a </w:t>
      </w:r>
      <w:r>
        <w:t>Syrian campaign</w:t>
      </w:r>
      <w:r w:rsidR="00AE4C0F">
        <w:t xml:space="preserve"> of Tuthmosis I</w:t>
      </w:r>
      <w:r>
        <w:t>:</w:t>
      </w:r>
      <w:r>
        <w:rPr>
          <w:rStyle w:val="FootnoteReference"/>
        </w:rPr>
        <w:footnoteReference w:id="51"/>
      </w:r>
    </w:p>
    <w:p w14:paraId="167D9BD6" w14:textId="77777777" w:rsidR="00590846" w:rsidRDefault="00590846" w:rsidP="00590846"/>
    <w:p w14:paraId="619E091B" w14:textId="77777777" w:rsidR="0086043C" w:rsidRPr="00B916F5" w:rsidRDefault="0086043C" w:rsidP="00590846">
      <w:pPr>
        <w:rPr>
          <w:rFonts w:ascii="Trlit_CG Times" w:hAnsi="Trlit_CG Times"/>
        </w:rPr>
      </w:pPr>
      <w:r w:rsidRPr="00B916F5">
        <w:rPr>
          <w:rFonts w:ascii="Trlit_CG Times" w:hAnsi="Trlit_CG Times"/>
        </w:rPr>
        <w:t>nait m xd in Hm=f xAswt nbt m Ammt=f</w:t>
      </w:r>
    </w:p>
    <w:p w14:paraId="06D03C56" w14:textId="77777777" w:rsidR="0086043C" w:rsidRDefault="0086043C" w:rsidP="00590846">
      <w:r>
        <w:t>Travelling south by His Majesty,</w:t>
      </w:r>
      <w:r w:rsidR="00202025">
        <w:t xml:space="preserve"> </w:t>
      </w:r>
      <w:r>
        <w:t>all lands in his grasp,</w:t>
      </w:r>
    </w:p>
    <w:p w14:paraId="7DA75574" w14:textId="77777777" w:rsidR="0086043C" w:rsidRPr="00B916F5" w:rsidRDefault="00202025" w:rsidP="00590846">
      <w:pPr>
        <w:rPr>
          <w:rFonts w:ascii="Trlit_CG Times" w:hAnsi="Trlit_CG Times"/>
        </w:rPr>
      </w:pPr>
      <w:r>
        <w:rPr>
          <w:rFonts w:ascii="Trlit_CG Times" w:hAnsi="Trlit_CG Times"/>
        </w:rPr>
        <w:t>iwnty-sty pf Xsi m sxd m HA</w:t>
      </w:r>
      <w:r w:rsidR="0086043C" w:rsidRPr="00B916F5">
        <w:rPr>
          <w:rFonts w:ascii="Trlit_CG Times" w:hAnsi="Trlit_CG Times"/>
        </w:rPr>
        <w:t>t bik n Hm=f</w:t>
      </w:r>
    </w:p>
    <w:p w14:paraId="17863569" w14:textId="39846DCC" w:rsidR="0086043C" w:rsidRDefault="00202025" w:rsidP="00590846">
      <w:r>
        <w:t>t</w:t>
      </w:r>
      <w:r w:rsidR="0086043C">
        <w:t xml:space="preserve">hat vile Asiatic Bedouin upside down </w:t>
      </w:r>
      <w:r w:rsidR="00941FAC">
        <w:t>in</w:t>
      </w:r>
      <w:r w:rsidR="0086043C">
        <w:t xml:space="preserve"> the prow of the bark of His Majesty</w:t>
      </w:r>
      <w:r w:rsidR="00AE4C0F">
        <w:t>.</w:t>
      </w:r>
    </w:p>
    <w:p w14:paraId="12BBB0C6" w14:textId="77777777" w:rsidR="0086043C" w:rsidRPr="00B916F5" w:rsidRDefault="0086043C" w:rsidP="00590846">
      <w:pPr>
        <w:rPr>
          <w:rFonts w:ascii="Trlit_CG Times" w:hAnsi="Trlit_CG Times"/>
        </w:rPr>
      </w:pPr>
      <w:r w:rsidRPr="00B916F5">
        <w:rPr>
          <w:rFonts w:ascii="Trlit_CG Times" w:hAnsi="Trlit_CG Times"/>
        </w:rPr>
        <w:t>diw r tA m ipt-swt</w:t>
      </w:r>
    </w:p>
    <w:p w14:paraId="2E08CBE7" w14:textId="7A867949" w:rsidR="005B55F3" w:rsidRDefault="0086043C" w:rsidP="00590846">
      <w:r w:rsidRPr="005B55F3">
        <w:t>Land was reached at Karnak.</w:t>
      </w:r>
    </w:p>
    <w:p w14:paraId="6BD01BC9" w14:textId="77777777" w:rsidR="00590846" w:rsidRPr="005B55F3" w:rsidRDefault="00590846" w:rsidP="00590846"/>
    <w:p w14:paraId="22831B2F" w14:textId="40790593" w:rsidR="005B55F3" w:rsidRDefault="005B55F3" w:rsidP="00590846">
      <w:r w:rsidRPr="005B55F3">
        <w:t>In contrast, a block from Karnak, probably of the reign of Tutankhamun, displays a live captive, caged and hanging from the royal boat,</w:t>
      </w:r>
      <w:r w:rsidR="006E0CF6">
        <w:t xml:space="preserve"> </w:t>
      </w:r>
      <w:r w:rsidRPr="005B55F3">
        <w:t>probably from mast rather than prow.</w:t>
      </w:r>
      <w:r w:rsidRPr="005B55F3">
        <w:rPr>
          <w:rStyle w:val="FootnoteReference"/>
        </w:rPr>
        <w:footnoteReference w:id="52"/>
      </w:r>
      <w:r w:rsidR="006E0CF6">
        <w:t xml:space="preserve"> The humiliation </w:t>
      </w:r>
      <w:r w:rsidR="003E1A4C">
        <w:t xml:space="preserve">and mistreatment </w:t>
      </w:r>
      <w:r w:rsidR="006E0CF6">
        <w:t xml:space="preserve">of foreign prisoners, brought before the king for display in Egypt is not described in the same incidental detail </w:t>
      </w:r>
      <w:r w:rsidR="000D5F68">
        <w:t>as examples where Esarhaddon and Assubanipal had conquered kings fitted with leashes through their faces,</w:t>
      </w:r>
      <w:r w:rsidR="006367CD">
        <w:rPr>
          <w:rStyle w:val="FootnoteReference"/>
        </w:rPr>
        <w:footnoteReference w:id="53"/>
      </w:r>
      <w:r w:rsidR="000D5F68">
        <w:t xml:space="preserve"> and kept for display in d</w:t>
      </w:r>
      <w:r w:rsidR="0076400A">
        <w:t>og-kennels at gates in Nineveh</w:t>
      </w:r>
      <w:r w:rsidR="000D5F68">
        <w:t>,</w:t>
      </w:r>
      <w:r w:rsidR="0076400A">
        <w:rPr>
          <w:rStyle w:val="FootnoteReference"/>
        </w:rPr>
        <w:footnoteReference w:id="54"/>
      </w:r>
      <w:r w:rsidR="000D5F68">
        <w:t xml:space="preserve"> but the underlying motif is the same.</w:t>
      </w:r>
    </w:p>
    <w:p w14:paraId="1A742851" w14:textId="2D92E569" w:rsidR="00753A2D" w:rsidRDefault="00C9640E" w:rsidP="00590846">
      <w:r>
        <w:rPr>
          <w:color w:val="FF0000"/>
        </w:rPr>
        <w:tab/>
      </w:r>
      <w:r w:rsidR="005B55F3">
        <w:t xml:space="preserve">Mistreatment of prisoners is </w:t>
      </w:r>
      <w:r w:rsidR="0076400A">
        <w:t>normal</w:t>
      </w:r>
      <w:r w:rsidR="005B55F3">
        <w:t xml:space="preserve">, and </w:t>
      </w:r>
      <w:r w:rsidR="0076400A">
        <w:t xml:space="preserve">a </w:t>
      </w:r>
      <w:r w:rsidR="00850671">
        <w:t xml:space="preserve">repeated </w:t>
      </w:r>
      <w:r w:rsidR="005B55F3">
        <w:t xml:space="preserve">theme. </w:t>
      </w:r>
      <w:r w:rsidR="00E504A8">
        <w:t xml:space="preserve">The prisoner (of war) is </w:t>
      </w:r>
      <w:r w:rsidR="00E504A8" w:rsidRPr="00E504A8">
        <w:rPr>
          <w:rFonts w:ascii="Trlit_CG Times" w:hAnsi="Trlit_CG Times"/>
        </w:rPr>
        <w:t>sqr-anx</w:t>
      </w:r>
      <w:r w:rsidR="0076400A">
        <w:t>, ‘struck (but) alive’:</w:t>
      </w:r>
      <w:r w:rsidR="00E504A8">
        <w:t xml:space="preserve"> </w:t>
      </w:r>
      <w:r w:rsidR="007309EF">
        <w:t xml:space="preserve">typically </w:t>
      </w:r>
      <w:r w:rsidR="00E504A8">
        <w:t>shown bound, in ways that are not merely restraint, but physically damaging</w:t>
      </w:r>
      <w:r w:rsidR="0076400A">
        <w:t>.</w:t>
      </w:r>
      <w:r w:rsidR="00E504A8">
        <w:rPr>
          <w:rStyle w:val="FootnoteReference"/>
        </w:rPr>
        <w:footnoteReference w:id="55"/>
      </w:r>
      <w:r w:rsidR="0076400A">
        <w:t xml:space="preserve"> T</w:t>
      </w:r>
      <w:r w:rsidR="00E504A8">
        <w:t xml:space="preserve">he hieroglyphic determinative </w:t>
      </w:r>
      <w:r w:rsidR="0076400A">
        <w:t xml:space="preserve">depicting a prosioner </w:t>
      </w:r>
      <w:r w:rsidR="00E504A8">
        <w:t xml:space="preserve">shows </w:t>
      </w:r>
      <w:r w:rsidR="0076400A">
        <w:t xml:space="preserve">his </w:t>
      </w:r>
      <w:r w:rsidR="00E504A8">
        <w:t xml:space="preserve">arms bound tightly behind, </w:t>
      </w:r>
      <w:r w:rsidR="0076400A">
        <w:t>where</w:t>
      </w:r>
      <w:r w:rsidR="00E504A8">
        <w:t xml:space="preserve"> pictures show a </w:t>
      </w:r>
      <w:r w:rsidR="0076400A">
        <w:t xml:space="preserve">greater </w:t>
      </w:r>
      <w:r w:rsidR="00E504A8">
        <w:t>range of painful positions, including arms twisted behind the head, and sometimes using of wooden yokes to handcuff.</w:t>
      </w:r>
      <w:r w:rsidR="0076400A">
        <w:rPr>
          <w:rStyle w:val="FootnoteReference"/>
        </w:rPr>
        <w:footnoteReference w:id="56"/>
      </w:r>
      <w:r w:rsidR="00E504A8">
        <w:t xml:space="preserve"> </w:t>
      </w:r>
      <w:r w:rsidR="00753A2D">
        <w:t xml:space="preserve">The balance between the execution of prisoners, </w:t>
      </w:r>
      <w:r w:rsidR="00F65DB3">
        <w:t xml:space="preserve">their </w:t>
      </w:r>
      <w:r w:rsidR="00753A2D">
        <w:t xml:space="preserve">death from mistreatment, and resettlement of survivors cannot be clear. The branding of captives </w:t>
      </w:r>
      <w:r w:rsidR="00F65DB3">
        <w:t xml:space="preserve">with the royal name </w:t>
      </w:r>
      <w:r w:rsidR="00753A2D">
        <w:t>is referred to in the Great Harris Papyrus of Ramesses III, for those settled as immigrant populations, and such branding is depicted in one scene of his from Medinet Habu.</w:t>
      </w:r>
      <w:r w:rsidR="00753A2D">
        <w:rPr>
          <w:rStyle w:val="FootnoteReference"/>
        </w:rPr>
        <w:footnoteReference w:id="57"/>
      </w:r>
      <w:r w:rsidR="00753A2D">
        <w:t xml:space="preserve"> W</w:t>
      </w:r>
      <w:r w:rsidR="00E504A8">
        <w:t xml:space="preserve">omen and </w:t>
      </w:r>
      <w:r w:rsidR="00E504A8">
        <w:lastRenderedPageBreak/>
        <w:t>children as captives are not shown under restraint,</w:t>
      </w:r>
      <w:r w:rsidR="00753A2D">
        <w:t xml:space="preserve"> </w:t>
      </w:r>
      <w:r w:rsidR="00B840EA">
        <w:t xml:space="preserve">but </w:t>
      </w:r>
      <w:r w:rsidR="00753A2D">
        <w:t>driven like cattle,</w:t>
      </w:r>
      <w:r w:rsidR="00E504A8">
        <w:t xml:space="preserve"> and their chance of survival of tran</w:t>
      </w:r>
      <w:r w:rsidR="00753A2D">
        <w:t xml:space="preserve">sportation </w:t>
      </w:r>
      <w:r w:rsidR="00B840EA">
        <w:t xml:space="preserve">was </w:t>
      </w:r>
      <w:r w:rsidR="00753A2D">
        <w:t>significantly higher.</w:t>
      </w:r>
    </w:p>
    <w:p w14:paraId="5AC5707E" w14:textId="7777BD8A" w:rsidR="00850671" w:rsidRDefault="00753A2D" w:rsidP="00590846">
      <w:r>
        <w:tab/>
        <w:t>Depictions of prisoners are, then</w:t>
      </w:r>
      <w:r w:rsidR="00B840EA">
        <w:t>,</w:t>
      </w:r>
      <w:r>
        <w:t xml:space="preserve"> displays of physical mistreatment that emphasise the exercise of raw power and </w:t>
      </w:r>
      <w:r w:rsidR="00F65DB3">
        <w:t xml:space="preserve">physical </w:t>
      </w:r>
      <w:r>
        <w:t xml:space="preserve">humiliation. For instance, </w:t>
      </w:r>
      <w:r w:rsidR="00201332">
        <w:t>Amenhotep II</w:t>
      </w:r>
      <w:r w:rsidR="00850671">
        <w:t xml:space="preserve"> displayed </w:t>
      </w:r>
      <w:r w:rsidR="00983581">
        <w:t xml:space="preserve">a prisoner </w:t>
      </w:r>
      <w:r w:rsidR="00850671">
        <w:t>on his chariot:</w:t>
      </w:r>
      <w:r w:rsidR="00850671">
        <w:rPr>
          <w:rStyle w:val="FootnoteReference"/>
        </w:rPr>
        <w:footnoteReference w:id="58"/>
      </w:r>
    </w:p>
    <w:p w14:paraId="058C829B" w14:textId="77777777" w:rsidR="00590846" w:rsidRPr="00753A2D" w:rsidRDefault="00590846" w:rsidP="00590846"/>
    <w:p w14:paraId="6379871C" w14:textId="77777777" w:rsidR="00850671" w:rsidRPr="00850671" w:rsidRDefault="00850671" w:rsidP="00590846">
      <w:pPr>
        <w:rPr>
          <w:rFonts w:ascii="Trlit_CG Times" w:hAnsi="Trlit_CG Times"/>
        </w:rPr>
      </w:pPr>
      <w:r w:rsidRPr="00850671">
        <w:rPr>
          <w:rFonts w:ascii="Trlit_CG Times" w:hAnsi="Trlit_CG Times"/>
        </w:rPr>
        <w:t>gmi.n=f wpwty n pA wr n nhrn Xr Sat sinw r xx=f</w:t>
      </w:r>
    </w:p>
    <w:p w14:paraId="4841283F" w14:textId="29F8AAB9" w:rsidR="00850671" w:rsidRDefault="00AE4C0F" w:rsidP="00590846">
      <w:r>
        <w:t>H</w:t>
      </w:r>
      <w:r w:rsidR="00850671">
        <w:t>e found a messenger of the pr</w:t>
      </w:r>
      <w:r w:rsidR="00D904B3">
        <w:t>ince of Naharin, carrying his d</w:t>
      </w:r>
      <w:r w:rsidR="00850671">
        <w:t>ispatch, sealed (??) at his throat</w:t>
      </w:r>
    </w:p>
    <w:p w14:paraId="06B1C205" w14:textId="77777777" w:rsidR="00850671" w:rsidRPr="00850671" w:rsidRDefault="00850671" w:rsidP="00590846">
      <w:pPr>
        <w:rPr>
          <w:rFonts w:ascii="Trlit_CG Times" w:hAnsi="Trlit_CG Times"/>
        </w:rPr>
      </w:pPr>
      <w:r w:rsidRPr="00850671">
        <w:rPr>
          <w:rFonts w:ascii="Trlit_CG Times" w:hAnsi="Trlit_CG Times"/>
        </w:rPr>
        <w:t>ini.n=f sw m sqr-anx Hr nDrw n wrrt=f</w:t>
      </w:r>
    </w:p>
    <w:p w14:paraId="6C6CF814" w14:textId="77777777" w:rsidR="00226A64" w:rsidRDefault="00850671" w:rsidP="00590846">
      <w:r>
        <w:t xml:space="preserve">and he brought him as prisoner-of-was, on the </w:t>
      </w:r>
      <w:r w:rsidRPr="00850671">
        <w:rPr>
          <w:rFonts w:ascii="Trlit_CG Times" w:hAnsi="Trlit_CG Times"/>
        </w:rPr>
        <w:t>nDrw</w:t>
      </w:r>
      <w:r>
        <w:t xml:space="preserve"> of his chariot.</w:t>
      </w:r>
    </w:p>
    <w:p w14:paraId="7A7B28AE" w14:textId="77777777" w:rsidR="00590846" w:rsidRDefault="00590846" w:rsidP="00590846"/>
    <w:p w14:paraId="2B76154C" w14:textId="43BA374D" w:rsidR="004037D9" w:rsidRDefault="004037D9" w:rsidP="00590846">
      <w:r>
        <w:t xml:space="preserve">The </w:t>
      </w:r>
      <w:r w:rsidR="00AE4C0F">
        <w:t xml:space="preserve">purpose of </w:t>
      </w:r>
      <w:r>
        <w:t>display is clear:</w:t>
      </w:r>
      <w:r>
        <w:rPr>
          <w:rStyle w:val="FootnoteReference"/>
        </w:rPr>
        <w:footnoteReference w:id="59"/>
      </w:r>
    </w:p>
    <w:p w14:paraId="61D49A23" w14:textId="77777777" w:rsidR="00590846" w:rsidRDefault="00590846" w:rsidP="00590846"/>
    <w:p w14:paraId="6C1BCC2A" w14:textId="77777777" w:rsidR="004037D9" w:rsidRPr="004037D9" w:rsidRDefault="004037D9" w:rsidP="00590846">
      <w:pPr>
        <w:rPr>
          <w:rFonts w:ascii="Trlit_CG Times" w:hAnsi="Trlit_CG Times"/>
        </w:rPr>
      </w:pPr>
      <w:r w:rsidRPr="004037D9">
        <w:rPr>
          <w:rFonts w:ascii="Trlit_CG Times" w:hAnsi="Trlit_CG Times"/>
        </w:rPr>
        <w:t xml:space="preserve">ini.n=f mryn anx </w:t>
      </w:r>
      <w:r w:rsidRPr="004037D9">
        <w:t>16</w:t>
      </w:r>
      <w:r w:rsidRPr="004037D9">
        <w:rPr>
          <w:rFonts w:ascii="Trlit_CG Times" w:hAnsi="Trlit_CG Times"/>
        </w:rPr>
        <w:t xml:space="preserve"> Hr Drwy n wrrt=f </w:t>
      </w:r>
    </w:p>
    <w:p w14:paraId="01745302" w14:textId="77777777" w:rsidR="004037D9" w:rsidRDefault="004037D9" w:rsidP="00590846">
      <w:r>
        <w:t xml:space="preserve">He brought 16 </w:t>
      </w:r>
      <w:r w:rsidRPr="004037D9">
        <w:rPr>
          <w:i/>
        </w:rPr>
        <w:t>maryannu</w:t>
      </w:r>
      <w:r>
        <w:t xml:space="preserve"> at the rear of his chariot</w:t>
      </w:r>
    </w:p>
    <w:p w14:paraId="66A12EFE" w14:textId="77777777" w:rsidR="004037D9" w:rsidRPr="004037D9" w:rsidRDefault="004037D9" w:rsidP="00590846">
      <w:pPr>
        <w:rPr>
          <w:rFonts w:ascii="Trlit_CG Times" w:hAnsi="Trlit_CG Times"/>
        </w:rPr>
      </w:pPr>
      <w:r w:rsidRPr="004037D9">
        <w:rPr>
          <w:rFonts w:ascii="Trlit_CG Times" w:hAnsi="Trlit_CG Times"/>
        </w:rPr>
        <w:t xml:space="preserve">Drt </w:t>
      </w:r>
      <w:r w:rsidRPr="004037D9">
        <w:t>20</w:t>
      </w:r>
      <w:r w:rsidRPr="004037D9">
        <w:rPr>
          <w:rFonts w:ascii="Trlit_CG Times" w:hAnsi="Trlit_CG Times"/>
        </w:rPr>
        <w:t xml:space="preserve"> r dhnt n ssmt=f</w:t>
      </w:r>
    </w:p>
    <w:p w14:paraId="5094BA1D" w14:textId="59E8525F" w:rsidR="004037D9" w:rsidRDefault="004037D9" w:rsidP="00590846">
      <w:r>
        <w:t>(and) 20 hands at the heads(?) of his horses</w:t>
      </w:r>
      <w:r w:rsidR="00AE4C0F">
        <w:t>.</w:t>
      </w:r>
    </w:p>
    <w:p w14:paraId="342A2587" w14:textId="77777777" w:rsidR="00590846" w:rsidRDefault="00590846" w:rsidP="00590846"/>
    <w:p w14:paraId="74B4C8CB" w14:textId="77777777" w:rsidR="005B7FEA" w:rsidRDefault="004037D9" w:rsidP="00590846">
      <w:r>
        <w:t>He</w:t>
      </w:r>
      <w:r w:rsidR="00226E77">
        <w:t xml:space="preserve"> deals with a large number of prisoners personally</w:t>
      </w:r>
      <w:r w:rsidR="005B7FEA">
        <w:t>:</w:t>
      </w:r>
      <w:r w:rsidR="005B7FEA">
        <w:rPr>
          <w:rStyle w:val="FootnoteReference"/>
        </w:rPr>
        <w:footnoteReference w:id="60"/>
      </w:r>
    </w:p>
    <w:p w14:paraId="568800EA" w14:textId="77777777" w:rsidR="00850671" w:rsidRPr="005B7FEA" w:rsidRDefault="005B7FEA" w:rsidP="00590846">
      <w:pPr>
        <w:rPr>
          <w:rFonts w:ascii="Trlit_CG Times" w:hAnsi="Trlit_CG Times"/>
        </w:rPr>
      </w:pPr>
      <w:r w:rsidRPr="005B7FEA">
        <w:rPr>
          <w:rFonts w:ascii="Trlit_CG Times" w:hAnsi="Trlit_CG Times"/>
        </w:rPr>
        <w:t>m-xt mA.n Hm=f pA HAq aSA wrt</w:t>
      </w:r>
    </w:p>
    <w:p w14:paraId="3A9803E0" w14:textId="4B4F4923" w:rsidR="005B7FEA" w:rsidRDefault="00AE4C0F" w:rsidP="00590846">
      <w:r>
        <w:t>a</w:t>
      </w:r>
      <w:r w:rsidR="005B7FEA">
        <w:t>fter His Majesty saw the very numerous plunder</w:t>
      </w:r>
      <w:r>
        <w:t>,</w:t>
      </w:r>
    </w:p>
    <w:p w14:paraId="74D96D4E" w14:textId="77777777" w:rsidR="005B7FEA" w:rsidRPr="005B7FEA" w:rsidRDefault="005B7FEA" w:rsidP="00590846">
      <w:pPr>
        <w:rPr>
          <w:rFonts w:ascii="Trlit_CG Times" w:hAnsi="Trlit_CG Times"/>
        </w:rPr>
      </w:pPr>
      <w:r w:rsidRPr="005B7FEA">
        <w:rPr>
          <w:rFonts w:ascii="Trlit_CG Times" w:hAnsi="Trlit_CG Times"/>
        </w:rPr>
        <w:t>iw.tw Hr iri(t) st m sqr-anx</w:t>
      </w:r>
    </w:p>
    <w:p w14:paraId="54434DBC" w14:textId="77777777" w:rsidR="005B7FEA" w:rsidRDefault="005B7FEA" w:rsidP="00590846">
      <w:r>
        <w:t>they being made as prisoners-of-war,</w:t>
      </w:r>
    </w:p>
    <w:p w14:paraId="3509FDA3" w14:textId="4043096A" w:rsidR="005B7FEA" w:rsidRPr="00226E77" w:rsidRDefault="00226E77" w:rsidP="00590846">
      <w:pPr>
        <w:rPr>
          <w:rFonts w:ascii="Trlit_CG Times" w:hAnsi="Trlit_CG Times"/>
        </w:rPr>
      </w:pPr>
      <w:r w:rsidRPr="00226E77">
        <w:rPr>
          <w:rFonts w:ascii="Trlit_CG Times" w:hAnsi="Trlit_CG Times"/>
        </w:rPr>
        <w:t>iw.tw Hr irit Sdy</w:t>
      </w:r>
      <w:r w:rsidR="00E87ED3">
        <w:rPr>
          <w:rFonts w:ascii="Trlit_CG Times" w:hAnsi="Trlit_CG Times"/>
        </w:rPr>
        <w:t xml:space="preserve"> </w:t>
      </w:r>
      <w:r w:rsidR="00E87ED3" w:rsidRPr="00E87ED3">
        <w:t>2</w:t>
      </w:r>
      <w:r w:rsidRPr="00E87ED3">
        <w:t xml:space="preserve"> </w:t>
      </w:r>
      <w:r w:rsidRPr="00226E77">
        <w:rPr>
          <w:rFonts w:ascii="Trlit_CG Times" w:hAnsi="Trlit_CG Times"/>
        </w:rPr>
        <w:t>m-qd=sn nb</w:t>
      </w:r>
    </w:p>
    <w:p w14:paraId="5B5435F9" w14:textId="2075421E" w:rsidR="00226E77" w:rsidRPr="00226E77" w:rsidRDefault="00226E77" w:rsidP="00590846">
      <w:pPr>
        <w:rPr>
          <w:color w:val="FF0000"/>
        </w:rPr>
      </w:pPr>
      <w:r>
        <w:t xml:space="preserve">and a </w:t>
      </w:r>
      <w:r w:rsidR="00E87ED3">
        <w:t>pair of ditches</w:t>
      </w:r>
      <w:r>
        <w:t xml:space="preserve"> being made </w:t>
      </w:r>
      <w:r w:rsidR="00E87ED3">
        <w:t>around them all,</w:t>
      </w:r>
    </w:p>
    <w:p w14:paraId="48A7708A" w14:textId="28DC20CB" w:rsidR="00226E77" w:rsidRPr="00E87ED3" w:rsidRDefault="00226E77" w:rsidP="00590846">
      <w:pPr>
        <w:rPr>
          <w:rFonts w:ascii="Trlit_CG Times" w:hAnsi="Trlit_CG Times"/>
        </w:rPr>
      </w:pPr>
      <w:r w:rsidRPr="00E87ED3">
        <w:rPr>
          <w:rFonts w:ascii="Trlit_CG Times" w:hAnsi="Trlit_CG Times"/>
        </w:rPr>
        <w:t>mk</w:t>
      </w:r>
      <w:r w:rsidRPr="00E87ED3">
        <w:t xml:space="preserve"> </w:t>
      </w:r>
      <w:r w:rsidRPr="00E87ED3">
        <w:rPr>
          <w:rFonts w:ascii="Trlit_CG Times" w:hAnsi="Trlit_CG Times"/>
        </w:rPr>
        <w:t>mH st m xt</w:t>
      </w:r>
    </w:p>
    <w:p w14:paraId="5A954B3A" w14:textId="4D763B22" w:rsidR="00226E77" w:rsidRPr="00E87ED3" w:rsidRDefault="00226E77" w:rsidP="00590846">
      <w:r w:rsidRPr="00E87ED3">
        <w:t>and it being filled with fire</w:t>
      </w:r>
      <w:r w:rsidR="00E87ED3">
        <w:t xml:space="preserve">, </w:t>
      </w:r>
    </w:p>
    <w:p w14:paraId="2C73DBE5" w14:textId="77777777" w:rsidR="00226E77" w:rsidRPr="00226E77" w:rsidRDefault="00226E77" w:rsidP="00590846">
      <w:pPr>
        <w:rPr>
          <w:rFonts w:ascii="Trlit_CG Times" w:hAnsi="Trlit_CG Times"/>
        </w:rPr>
      </w:pPr>
      <w:r w:rsidRPr="00226E77">
        <w:rPr>
          <w:rFonts w:ascii="Trlit_CG Times" w:hAnsi="Trlit_CG Times"/>
        </w:rPr>
        <w:t>iw Hm=f m rsw Hr=s r HD-tA</w:t>
      </w:r>
    </w:p>
    <w:p w14:paraId="73C7A246" w14:textId="77777777" w:rsidR="00226E77" w:rsidRDefault="00226E77" w:rsidP="00590846">
      <w:r>
        <w:t>and His Majesty as watch over it until dawn,</w:t>
      </w:r>
    </w:p>
    <w:p w14:paraId="4CA95F93" w14:textId="77777777" w:rsidR="00226E77" w:rsidRPr="00226E77" w:rsidRDefault="00226E77" w:rsidP="00590846">
      <w:pPr>
        <w:rPr>
          <w:rFonts w:ascii="Trlit_CG Times" w:hAnsi="Trlit_CG Times"/>
        </w:rPr>
      </w:pPr>
      <w:r w:rsidRPr="00226E77">
        <w:rPr>
          <w:rFonts w:ascii="Trlit_CG Times" w:hAnsi="Trlit_CG Times"/>
        </w:rPr>
        <w:t>iw pAy=f jqHw Hr wnmy=f</w:t>
      </w:r>
    </w:p>
    <w:p w14:paraId="18C465E4" w14:textId="77777777" w:rsidR="00226E77" w:rsidRDefault="00226E77" w:rsidP="00590846">
      <w:r>
        <w:t xml:space="preserve">with his </w:t>
      </w:r>
      <w:r w:rsidRPr="00226E77">
        <w:rPr>
          <w:rFonts w:ascii="Trlit_CG Times" w:hAnsi="Trlit_CG Times"/>
        </w:rPr>
        <w:t>iqHw</w:t>
      </w:r>
      <w:r>
        <w:t xml:space="preserve"> weapon at his right (side),</w:t>
      </w:r>
    </w:p>
    <w:p w14:paraId="4185AD5A" w14:textId="77777777" w:rsidR="00226E77" w:rsidRPr="00226E77" w:rsidRDefault="00F90216" w:rsidP="00590846">
      <w:pPr>
        <w:rPr>
          <w:rFonts w:ascii="Trlit_CG Times" w:hAnsi="Trlit_CG Times"/>
        </w:rPr>
      </w:pPr>
      <w:r>
        <w:rPr>
          <w:rFonts w:ascii="Trlit_CG Times" w:hAnsi="Trlit_CG Times"/>
        </w:rPr>
        <w:t>wa</w:t>
      </w:r>
      <w:r w:rsidR="00226E77">
        <w:rPr>
          <w:rFonts w:ascii="Trlit_CG Times" w:hAnsi="Trlit_CG Times"/>
        </w:rPr>
        <w:t xml:space="preserve"> n</w:t>
      </w:r>
      <w:r>
        <w:rPr>
          <w:rFonts w:ascii="Trlit_CG Times" w:hAnsi="Trlit_CG Times"/>
        </w:rPr>
        <w:t>n</w:t>
      </w:r>
      <w:r w:rsidR="00226E77" w:rsidRPr="00226E77">
        <w:rPr>
          <w:rFonts w:ascii="Trlit_CG Times" w:hAnsi="Trlit_CG Times"/>
        </w:rPr>
        <w:t xml:space="preserve"> wa Hna=f</w:t>
      </w:r>
    </w:p>
    <w:p w14:paraId="40582126" w14:textId="40FFC70B" w:rsidR="00226E77" w:rsidRDefault="00226E77" w:rsidP="00590846">
      <w:r>
        <w:t xml:space="preserve">alone, </w:t>
      </w:r>
      <w:r w:rsidR="00AE4C0F">
        <w:t>without (a single) one with him,</w:t>
      </w:r>
    </w:p>
    <w:p w14:paraId="0FFC8546" w14:textId="31EF6E14" w:rsidR="00226E77" w:rsidRPr="00226E77" w:rsidRDefault="00226E77" w:rsidP="00590846">
      <w:pPr>
        <w:rPr>
          <w:rFonts w:ascii="Trlit_CG Times" w:hAnsi="Trlit_CG Times"/>
        </w:rPr>
      </w:pPr>
      <w:r>
        <w:rPr>
          <w:rFonts w:ascii="Trlit_CG Times" w:hAnsi="Trlit_CG Times"/>
        </w:rPr>
        <w:t>i</w:t>
      </w:r>
      <w:r w:rsidRPr="00226E77">
        <w:rPr>
          <w:rFonts w:ascii="Trlit_CG Times" w:hAnsi="Trlit_CG Times"/>
        </w:rPr>
        <w:t>st</w:t>
      </w:r>
      <w:r>
        <w:rPr>
          <w:rFonts w:ascii="Trlit_CG Times" w:hAnsi="Trlit_CG Times"/>
        </w:rPr>
        <w:t xml:space="preserve"> pA mSa wA</w:t>
      </w:r>
      <w:r w:rsidRPr="00226E77">
        <w:rPr>
          <w:rFonts w:ascii="Trlit_CG Times" w:hAnsi="Trlit_CG Times"/>
        </w:rPr>
        <w:t>i r=f Hrw s</w:t>
      </w:r>
      <w:r w:rsidR="00AE4C0F">
        <w:rPr>
          <w:rFonts w:ascii="Trlit_CG Times" w:hAnsi="Trlit_CG Times"/>
        </w:rPr>
        <w:t>D</w:t>
      </w:r>
      <w:r w:rsidRPr="00226E77">
        <w:rPr>
          <w:rFonts w:ascii="Trlit_CG Times" w:hAnsi="Trlit_CG Times"/>
        </w:rPr>
        <w:t>mw-a</w:t>
      </w:r>
      <w:r w:rsidR="00AE4C0F">
        <w:rPr>
          <w:rFonts w:ascii="Trlit_CG Times" w:hAnsi="Trlit_CG Times"/>
        </w:rPr>
        <w:t>S</w:t>
      </w:r>
      <w:r w:rsidRPr="00226E77">
        <w:rPr>
          <w:rFonts w:ascii="Trlit_CG Times" w:hAnsi="Trlit_CG Times"/>
        </w:rPr>
        <w:t xml:space="preserve"> n pr-aA</w:t>
      </w:r>
    </w:p>
    <w:p w14:paraId="6591996E" w14:textId="77777777" w:rsidR="00226E77" w:rsidRDefault="00226E77" w:rsidP="00590846">
      <w:r>
        <w:t xml:space="preserve">while the army was away from him at a distance – </w:t>
      </w:r>
      <w:r w:rsidRPr="00AE4C0F">
        <w:t>the attendants</w:t>
      </w:r>
      <w:r>
        <w:t xml:space="preserve"> of Pharaoh!</w:t>
      </w:r>
    </w:p>
    <w:p w14:paraId="125A18CA" w14:textId="77777777" w:rsidR="00590846" w:rsidRDefault="00590846" w:rsidP="00590846"/>
    <w:p w14:paraId="3DB80C5B" w14:textId="44EA8344" w:rsidR="00985A77" w:rsidRDefault="00F90216" w:rsidP="00590846">
      <w:r>
        <w:t xml:space="preserve">It is not clear here, whether the king is presiding over the incineration of a large number of prisoners, or standing watch over prisoners corralled inside a </w:t>
      </w:r>
      <w:r w:rsidRPr="002673F2">
        <w:lastRenderedPageBreak/>
        <w:t xml:space="preserve">ditch, full of fires to </w:t>
      </w:r>
      <w:r w:rsidR="001C1482">
        <w:t>control</w:t>
      </w:r>
      <w:r w:rsidRPr="002673F2">
        <w:t xml:space="preserve"> them. The </w:t>
      </w:r>
      <w:r w:rsidR="00AC6D9F" w:rsidRPr="002673F2">
        <w:t xml:space="preserve">image is </w:t>
      </w:r>
      <w:r w:rsidRPr="002673F2">
        <w:t>reminiscent o</w:t>
      </w:r>
      <w:r w:rsidR="00AC6D9F" w:rsidRPr="002673F2">
        <w:t>f the w</w:t>
      </w:r>
      <w:r w:rsidRPr="002673F2">
        <w:t>ild-cattle scarab of Amenhotep III</w:t>
      </w:r>
      <w:r w:rsidR="00AC6D9F" w:rsidRPr="002673F2">
        <w:t>:</w:t>
      </w:r>
      <w:r w:rsidR="00AC6D9F" w:rsidRPr="002673F2">
        <w:rPr>
          <w:rStyle w:val="FootnoteReference"/>
        </w:rPr>
        <w:footnoteReference w:id="61"/>
      </w:r>
    </w:p>
    <w:p w14:paraId="2575A7B8" w14:textId="77777777" w:rsidR="00590846" w:rsidRPr="002673F2" w:rsidRDefault="00590846" w:rsidP="00590846"/>
    <w:p w14:paraId="157750F1" w14:textId="77777777" w:rsidR="00985A77" w:rsidRPr="002673F2" w:rsidRDefault="00AC6D9F" w:rsidP="00590846">
      <w:r w:rsidRPr="002673F2">
        <w:rPr>
          <w:rFonts w:ascii="Trlit_CG Times" w:hAnsi="Trlit_CG Times"/>
        </w:rPr>
        <w:t>isT wD.n Hm=f rdi.t(w?) itH.tw nn smAw(?) m sbty Hna Sdy</w:t>
      </w:r>
      <w:r w:rsidR="00985A77" w:rsidRPr="002673F2">
        <w:t xml:space="preserve"> </w:t>
      </w:r>
    </w:p>
    <w:p w14:paraId="7403C243" w14:textId="55645EF2" w:rsidR="00985A77" w:rsidRDefault="00AC6D9F" w:rsidP="00590846">
      <w:r w:rsidRPr="002673F2">
        <w:t>Now His Majesty ordered that these cattle be corrall</w:t>
      </w:r>
      <w:r w:rsidR="00985A77" w:rsidRPr="002673F2">
        <w:t>ed in an enclosure with a ditch</w:t>
      </w:r>
      <w:r w:rsidR="00590846">
        <w:t>.</w:t>
      </w:r>
    </w:p>
    <w:p w14:paraId="2DB0095F" w14:textId="77777777" w:rsidR="00590846" w:rsidRPr="002673F2" w:rsidRDefault="00590846" w:rsidP="00590846"/>
    <w:p w14:paraId="29ABDEF8" w14:textId="76FB4A53" w:rsidR="00CF5A3B" w:rsidRPr="00A32645" w:rsidRDefault="006B73F2" w:rsidP="00590846">
      <w:r w:rsidRPr="002673F2">
        <w:t>T</w:t>
      </w:r>
      <w:r w:rsidR="00985A77" w:rsidRPr="002673F2">
        <w:t xml:space="preserve">he king then </w:t>
      </w:r>
      <w:r w:rsidRPr="002673F2">
        <w:t>took</w:t>
      </w:r>
      <w:r w:rsidR="00AC6D9F" w:rsidRPr="002673F2">
        <w:t xml:space="preserve"> a break for </w:t>
      </w:r>
      <w:r w:rsidR="00023266">
        <w:t>4</w:t>
      </w:r>
      <w:r w:rsidR="00AC6D9F" w:rsidRPr="002673F2">
        <w:t xml:space="preserve"> days before continuing the slaughter.</w:t>
      </w:r>
      <w:r w:rsidR="00C208A1">
        <w:t xml:space="preserve"> </w:t>
      </w:r>
      <w:r w:rsidR="00DD083F">
        <w:t>As in the Amad</w:t>
      </w:r>
      <w:r w:rsidR="00A32645" w:rsidRPr="00A32645">
        <w:t>a stela of Merenptah, and the inscription of Osorkon, the question of whether the reference is to burning of prisoners alive, or the corpses of the dead, is unanswerable on the basis of the texts presented.</w:t>
      </w:r>
    </w:p>
    <w:p w14:paraId="3176F12F" w14:textId="106B934B" w:rsidR="00502122" w:rsidRDefault="00502122" w:rsidP="00590846">
      <w:pPr>
        <w:ind w:firstLine="720"/>
      </w:pPr>
      <w:r>
        <w:t>The overlap between display of frightfulness against foreigners or criminals is seamless, as in the Chronicle of Prince Osorkon.</w:t>
      </w:r>
      <w:r>
        <w:rPr>
          <w:rStyle w:val="FootnoteReference"/>
        </w:rPr>
        <w:footnoteReference w:id="62"/>
      </w:r>
      <w:r>
        <w:t xml:space="preserve"> Followin</w:t>
      </w:r>
      <w:r w:rsidR="00562D62">
        <w:t>g his suppression of Theban opposit</w:t>
      </w:r>
      <w:r>
        <w:t>ion, the local population came acclaiming him and asking him to restore order</w:t>
      </w:r>
      <w:r w:rsidR="008C4C9B">
        <w:t xml:space="preserve"> to the temple of Karnak</w:t>
      </w:r>
      <w:r>
        <w:t>: executions, and appointments of people to office follow, in a display of ritualised savagery</w:t>
      </w:r>
      <w:r w:rsidR="00590846">
        <w:t>:</w:t>
      </w:r>
    </w:p>
    <w:p w14:paraId="069B572A" w14:textId="77777777" w:rsidR="00590846" w:rsidRPr="00934B82" w:rsidRDefault="00590846" w:rsidP="00590846">
      <w:pPr>
        <w:ind w:firstLine="720"/>
      </w:pPr>
    </w:p>
    <w:p w14:paraId="3B0F640D" w14:textId="6BD36D84" w:rsidR="00502122" w:rsidRPr="00070C0C" w:rsidRDefault="00502122" w:rsidP="00590846">
      <w:pPr>
        <w:rPr>
          <w:rFonts w:ascii="Trlit_CG Times" w:hAnsi="Trlit_CG Times"/>
        </w:rPr>
      </w:pPr>
      <w:r w:rsidRPr="00070C0C">
        <w:rPr>
          <w:rFonts w:ascii="Trlit_CG Times" w:hAnsi="Trlit_CG Times"/>
        </w:rPr>
        <w:t xml:space="preserve">aHa.n </w:t>
      </w:r>
      <w:r w:rsidR="008C4C9B">
        <w:rPr>
          <w:rFonts w:ascii="Trlit_CG Times" w:hAnsi="Trlit_CG Times"/>
        </w:rPr>
        <w:t>D[d</w:t>
      </w:r>
      <w:r w:rsidR="008C4C9B" w:rsidRPr="00783316">
        <w:rPr>
          <w:rFonts w:ascii="Trlit_CG Times" w:hAnsi="Trlit_CG Times"/>
        </w:rPr>
        <w:t>].</w:t>
      </w:r>
      <w:r w:rsidRPr="00783316">
        <w:rPr>
          <w:rFonts w:ascii="Trlit_CG Times" w:hAnsi="Trlit_CG Times"/>
        </w:rPr>
        <w:t>i[n</w:t>
      </w:r>
      <w:r>
        <w:rPr>
          <w:rFonts w:ascii="Trlit_CG Times" w:hAnsi="Trlit_CG Times"/>
        </w:rPr>
        <w:t>] [mr] Sma is(?) ini n=i</w:t>
      </w:r>
      <w:r w:rsidRPr="00070C0C">
        <w:rPr>
          <w:rFonts w:ascii="Trlit_CG Times" w:hAnsi="Trlit_CG Times"/>
        </w:rPr>
        <w:t xml:space="preserve"> tht=f nb a nw tpyw-a […] irt ra aHa.n ini.tw=sn n=f Hr-[a] m sqr-anx</w:t>
      </w:r>
      <w:r w:rsidR="008C4C9B">
        <w:rPr>
          <w:rFonts w:ascii="Trlit_CG Times" w:hAnsi="Trlit_CG Times"/>
        </w:rPr>
        <w:t xml:space="preserve"> </w:t>
      </w:r>
      <w:r w:rsidRPr="00070C0C">
        <w:rPr>
          <w:rFonts w:ascii="Trlit_CG Times" w:hAnsi="Trlit_CG Times"/>
        </w:rPr>
        <w:t>mi Htrw nw D[nHw aHa].n sx[r=]f n=f st rdit ms=[sn] m</w:t>
      </w:r>
      <w:r w:rsidRPr="00783316">
        <w:rPr>
          <w:rFonts w:ascii="Trlit_CG Times" w:hAnsi="Trlit_CG Times"/>
        </w:rPr>
        <w:t xml:space="preserve">i arw grH </w:t>
      </w:r>
      <w:r w:rsidRPr="00070C0C">
        <w:rPr>
          <w:rFonts w:ascii="Trlit_CG Times" w:hAnsi="Trlit_CG Times"/>
        </w:rPr>
        <w:t>xt-[x]Aw rkH aw im [aHa.n … s]mA=sn mi axw nw prt-spdt  rkH.tw s nb me sDt m st btA=f […] wAst</w:t>
      </w:r>
    </w:p>
    <w:p w14:paraId="587E279B" w14:textId="77777777" w:rsidR="00502122" w:rsidRDefault="00502122" w:rsidP="00590846">
      <w:r>
        <w:t>Then the [Overseer] of Upper Egypt sa[id</w:t>
      </w:r>
      <w:r w:rsidR="00934B82">
        <w:t>]</w:t>
      </w:r>
      <w:r>
        <w:t>, “Go, bring to me every transgres</w:t>
      </w:r>
      <w:r w:rsidRPr="00783316">
        <w:t xml:space="preserve">sion </w:t>
      </w:r>
      <w:r>
        <w:t>against him, document(s) of the ancestors […..] Eye of Re. Then they were brought to him at once, as prisoners (</w:t>
      </w:r>
      <w:r w:rsidRPr="00070C0C">
        <w:rPr>
          <w:rFonts w:ascii="Trlit_CG Times" w:hAnsi="Trlit_CG Times"/>
        </w:rPr>
        <w:t>sqr-anx</w:t>
      </w:r>
      <w:r>
        <w:t>), like those whose w[ings] are yoked. [Th]en he felled (</w:t>
      </w:r>
      <w:r w:rsidRPr="00070C0C">
        <w:rPr>
          <w:rFonts w:ascii="Trlit_CG Times" w:hAnsi="Trlit_CG Times"/>
        </w:rPr>
        <w:t>sxr</w:t>
      </w:r>
      <w:r>
        <w:t>) them for him, causing [them] to be conducted like goats on the night of the [Even]ing Offerings, when braziers are ignited (</w:t>
      </w:r>
      <w:r w:rsidRPr="00070C0C">
        <w:rPr>
          <w:rFonts w:ascii="Trlit_CG Times" w:hAnsi="Trlit_CG Times"/>
        </w:rPr>
        <w:t>rqH</w:t>
      </w:r>
      <w:r>
        <w:t>), […. s]laughter (</w:t>
      </w:r>
      <w:r w:rsidRPr="00070C0C">
        <w:rPr>
          <w:rFonts w:ascii="Trlit_CG Times" w:hAnsi="Trlit_CG Times"/>
        </w:rPr>
        <w:t>smA</w:t>
      </w:r>
      <w:r>
        <w:t>) them, like braziers of the Going Out of Sothis, so that every man be ignited in flame in the place of his crime (</w:t>
      </w:r>
      <w:r w:rsidRPr="00070C0C">
        <w:rPr>
          <w:rFonts w:ascii="Trlit_CG Times" w:hAnsi="Trlit_CG Times"/>
        </w:rPr>
        <w:t>btA=f</w:t>
      </w:r>
      <w:r>
        <w:t>) [….] Thebes.</w:t>
      </w:r>
    </w:p>
    <w:p w14:paraId="4D40444A" w14:textId="77777777" w:rsidR="00590846" w:rsidRDefault="00590846" w:rsidP="00590846"/>
    <w:p w14:paraId="7AC239D3" w14:textId="77777777" w:rsidR="00502122" w:rsidRDefault="00934B82" w:rsidP="00590846">
      <w:r>
        <w:t>The context is explicit:</w:t>
      </w:r>
      <w:r>
        <w:rPr>
          <w:rStyle w:val="FootnoteReference"/>
        </w:rPr>
        <w:footnoteReference w:id="63"/>
      </w:r>
    </w:p>
    <w:p w14:paraId="1FD86FA8" w14:textId="77777777" w:rsidR="00590846" w:rsidRDefault="00590846" w:rsidP="00590846"/>
    <w:p w14:paraId="08314FAA" w14:textId="5D50EE48" w:rsidR="00502122" w:rsidRPr="00934B82" w:rsidRDefault="00502122" w:rsidP="00590846">
      <w:pPr>
        <w:rPr>
          <w:rFonts w:ascii="Trlit_CG Times" w:hAnsi="Trlit_CG Times"/>
        </w:rPr>
      </w:pPr>
      <w:r w:rsidRPr="00D55189">
        <w:rPr>
          <w:rFonts w:ascii="Trlit_CG Times" w:hAnsi="Trlit_CG Times"/>
        </w:rPr>
        <w:t xml:space="preserve">Dr-nt(t) tA pn wAi (r) mHw hpw=f sbi Xr a [sbi]w r nb=sn m </w:t>
      </w:r>
      <w:r w:rsidR="008C4C9B">
        <w:rPr>
          <w:rFonts w:ascii="Trlit_CG Times" w:hAnsi="Trlit_CG Times"/>
        </w:rPr>
        <w:t>wn m srw=f Ssp [g]st nb m rw-pr</w:t>
      </w:r>
      <w:r w:rsidRPr="00D55189">
        <w:rPr>
          <w:rFonts w:ascii="Trlit_CG Times" w:hAnsi="Trlit_CG Times"/>
        </w:rPr>
        <w:t>=f r HD sxrw=f</w:t>
      </w:r>
    </w:p>
    <w:p w14:paraId="66C9D18C" w14:textId="58498863" w:rsidR="00502122" w:rsidRDefault="00934B82" w:rsidP="00590846">
      <w:r>
        <w:t>s</w:t>
      </w:r>
      <w:r w:rsidR="00502122">
        <w:t>ince this land has fallen (into a state of) drowning, its laws (</w:t>
      </w:r>
      <w:r w:rsidR="00502122" w:rsidRPr="008C4C9B">
        <w:rPr>
          <w:rFonts w:ascii="Trlit_CG Times" w:hAnsi="Trlit_CG Times"/>
        </w:rPr>
        <w:t>hpw</w:t>
      </w:r>
      <w:r w:rsidR="00502122">
        <w:t xml:space="preserve">) having perished </w:t>
      </w:r>
      <w:r w:rsidR="008C4C9B">
        <w:t>(</w:t>
      </w:r>
      <w:r w:rsidR="008C4C9B">
        <w:rPr>
          <w:rFonts w:ascii="Trlit_CG Times" w:hAnsi="Trlit_CG Times"/>
        </w:rPr>
        <w:t>sbi</w:t>
      </w:r>
      <w:r w:rsidR="008C4C9B">
        <w:t xml:space="preserve">) </w:t>
      </w:r>
      <w:r w:rsidR="00502122">
        <w:t>at the hand(s) of those who [</w:t>
      </w:r>
      <w:r w:rsidR="00562D62">
        <w:t>oppo]s</w:t>
      </w:r>
      <w:r w:rsidR="00502122">
        <w:t>ed (</w:t>
      </w:r>
      <w:r w:rsidR="00502122" w:rsidRPr="008C4C9B">
        <w:rPr>
          <w:rFonts w:ascii="Trlit_CG Times" w:hAnsi="Trlit_CG Times"/>
        </w:rPr>
        <w:t>[sbi]w</w:t>
      </w:r>
      <w:r w:rsidR="00562D62">
        <w:t>)</w:t>
      </w:r>
      <w:r w:rsidR="00502122">
        <w:t xml:space="preserve"> their lord, being those who had been his officials (</w:t>
      </w:r>
      <w:r w:rsidR="00502122" w:rsidRPr="008C4C9B">
        <w:rPr>
          <w:rFonts w:ascii="Trlit_CG Times" w:hAnsi="Trlit_CG Times"/>
        </w:rPr>
        <w:t>srw</w:t>
      </w:r>
      <w:r w:rsidR="00502122">
        <w:t>), and those who had received the palette in his temples</w:t>
      </w:r>
      <w:r w:rsidR="00562D62">
        <w:t>, to</w:t>
      </w:r>
      <w:r w:rsidR="00502122">
        <w:t xml:space="preserve"> destroy his plans</w:t>
      </w:r>
      <w:r w:rsidR="00783316">
        <w:t>.</w:t>
      </w:r>
    </w:p>
    <w:p w14:paraId="308956EC" w14:textId="77777777" w:rsidR="00590846" w:rsidRDefault="00590846" w:rsidP="00590846"/>
    <w:p w14:paraId="6778C8D1" w14:textId="77777777" w:rsidR="00502122" w:rsidRDefault="00934B82" w:rsidP="00590846">
      <w:r>
        <w:lastRenderedPageBreak/>
        <w:t xml:space="preserve">The explicit concern lay </w:t>
      </w:r>
      <w:r w:rsidR="00502122">
        <w:t xml:space="preserve">with </w:t>
      </w:r>
      <w:r>
        <w:t>the</w:t>
      </w:r>
      <w:r w:rsidR="00502122">
        <w:t xml:space="preserve"> destruction of the rit</w:t>
      </w:r>
      <w:r>
        <w:t>uals and plunder of the temples</w:t>
      </w:r>
      <w:r w:rsidR="00502122">
        <w:t>.</w:t>
      </w:r>
    </w:p>
    <w:p w14:paraId="22161B04" w14:textId="10EB97BC" w:rsidR="001C5290" w:rsidRDefault="00537C11" w:rsidP="00590846">
      <w:r>
        <w:tab/>
      </w:r>
      <w:r w:rsidR="00D10D0D">
        <w:t>A</w:t>
      </w:r>
      <w:r w:rsidR="00132605">
        <w:t xml:space="preserve"> focus on the </w:t>
      </w:r>
      <w:r w:rsidR="00D10D0D">
        <w:t xml:space="preserve">various </w:t>
      </w:r>
      <w:r w:rsidR="00132605">
        <w:t>ritual</w:t>
      </w:r>
      <w:r w:rsidR="00D10D0D">
        <w:t>s</w:t>
      </w:r>
      <w:r w:rsidR="00132605">
        <w:t xml:space="preserve"> for destroying enemies </w:t>
      </w:r>
      <w:r w:rsidR="00D10D0D">
        <w:t xml:space="preserve">– cosmic as well as human – can </w:t>
      </w:r>
      <w:r w:rsidR="006B73F2">
        <w:t>create the impression</w:t>
      </w:r>
      <w:r w:rsidR="00D10D0D">
        <w:t xml:space="preserve"> </w:t>
      </w:r>
      <w:r w:rsidR="00132605">
        <w:t xml:space="preserve">that such killing </w:t>
      </w:r>
      <w:r w:rsidR="00944C86">
        <w:t>was, of it</w:t>
      </w:r>
      <w:r w:rsidR="00132605">
        <w:t>s</w:t>
      </w:r>
      <w:r w:rsidR="00944C86">
        <w:t>elf,</w:t>
      </w:r>
      <w:r w:rsidR="00132605">
        <w:t xml:space="preserve"> something aberrant</w:t>
      </w:r>
      <w:r w:rsidR="00562D62">
        <w:t>,</w:t>
      </w:r>
      <w:r w:rsidR="00944C86">
        <w:t xml:space="preserve"> symbolic</w:t>
      </w:r>
      <w:r w:rsidR="00562D62">
        <w:t>, and not real behaviour</w:t>
      </w:r>
      <w:r w:rsidR="00944C86">
        <w:t>.</w:t>
      </w:r>
      <w:r w:rsidR="00132605">
        <w:t xml:space="preserve"> </w:t>
      </w:r>
      <w:r w:rsidR="00944C86">
        <w:t xml:space="preserve">This seems a reasonable conclusion in relation to the </w:t>
      </w:r>
      <w:r w:rsidR="001C5290">
        <w:t>un-reality</w:t>
      </w:r>
      <w:r w:rsidR="00944C86">
        <w:t xml:space="preserve"> of </w:t>
      </w:r>
      <w:r w:rsidR="00132605">
        <w:t>human sacrifice</w:t>
      </w:r>
      <w:r w:rsidR="001C1482">
        <w:t xml:space="preserve"> in offering rituals,</w:t>
      </w:r>
      <w:r w:rsidR="00944C86">
        <w:rPr>
          <w:rStyle w:val="FootnoteReference"/>
        </w:rPr>
        <w:footnoteReference w:id="64"/>
      </w:r>
      <w:r w:rsidR="00132605">
        <w:t xml:space="preserve"> </w:t>
      </w:r>
      <w:r w:rsidR="001C1482">
        <w:t>or</w:t>
      </w:r>
      <w:r w:rsidR="00132605">
        <w:t xml:space="preserve"> cannibalism,</w:t>
      </w:r>
      <w:r w:rsidR="00944C86">
        <w:rPr>
          <w:rStyle w:val="FootnoteReference"/>
        </w:rPr>
        <w:footnoteReference w:id="65"/>
      </w:r>
      <w:r w:rsidR="00944C86">
        <w:t xml:space="preserve"> which seem </w:t>
      </w:r>
      <w:r w:rsidR="001C5290">
        <w:t xml:space="preserve">at most to be symbolic </w:t>
      </w:r>
      <w:r w:rsidR="001C1482">
        <w:t>motifs</w:t>
      </w:r>
      <w:r w:rsidR="001C5290">
        <w:t xml:space="preserve"> in specific ritual contexts, and not </w:t>
      </w:r>
      <w:r w:rsidR="00944C86">
        <w:t xml:space="preserve">a real </w:t>
      </w:r>
      <w:r w:rsidR="001C5290">
        <w:t>feature</w:t>
      </w:r>
      <w:r w:rsidR="00944C86">
        <w:t xml:space="preserve"> of Egyptian ritual behaviour.</w:t>
      </w:r>
      <w:r w:rsidR="00132605">
        <w:t xml:space="preserve"> </w:t>
      </w:r>
      <w:r w:rsidR="00944C86">
        <w:t xml:space="preserve">In contrast, the </w:t>
      </w:r>
      <w:r w:rsidR="005274CF">
        <w:t>motif of the king stri</w:t>
      </w:r>
      <w:r w:rsidR="00941FAC">
        <w:t xml:space="preserve">king enemies on the head should not be treated as purely </w:t>
      </w:r>
      <w:r w:rsidR="005274CF">
        <w:t>symbolic</w:t>
      </w:r>
      <w:r w:rsidR="00941FAC">
        <w:t>, but to carry</w:t>
      </w:r>
      <w:r w:rsidR="00941FAC" w:rsidRPr="00941FAC">
        <w:t xml:space="preserve"> </w:t>
      </w:r>
      <w:r w:rsidR="00941FAC">
        <w:t>direct reference to real behaviour</w:t>
      </w:r>
      <w:r w:rsidR="005274CF">
        <w:t>.</w:t>
      </w:r>
      <w:r w:rsidR="0044267C">
        <w:rPr>
          <w:rStyle w:val="FootnoteReference"/>
        </w:rPr>
        <w:footnoteReference w:id="66"/>
      </w:r>
      <w:r w:rsidR="005274CF">
        <w:t xml:space="preserve"> </w:t>
      </w:r>
      <w:r w:rsidR="00F440A2">
        <w:t xml:space="preserve">A difficult passage describing the </w:t>
      </w:r>
      <w:r w:rsidR="003D29C4">
        <w:t xml:space="preserve">Ramesses III’s treatment of the Libyan chief, after </w:t>
      </w:r>
      <w:r w:rsidR="00F440A2">
        <w:t xml:space="preserve">a peculiarly bloody description of </w:t>
      </w:r>
      <w:r w:rsidR="003D29C4">
        <w:t>battle, seems to make the point:</w:t>
      </w:r>
      <w:r w:rsidR="00F440A2">
        <w:rPr>
          <w:rStyle w:val="FootnoteReference"/>
        </w:rPr>
        <w:footnoteReference w:id="67"/>
      </w:r>
    </w:p>
    <w:p w14:paraId="7E6C7AE2" w14:textId="77777777" w:rsidR="00590846" w:rsidRDefault="00590846" w:rsidP="00590846"/>
    <w:p w14:paraId="451737BA" w14:textId="66730719" w:rsidR="001C5290" w:rsidRPr="003D29C4" w:rsidRDefault="001C5290" w:rsidP="00590846">
      <w:pPr>
        <w:rPr>
          <w:rFonts w:ascii="Trlit_CG Times" w:hAnsi="Trlit_CG Times"/>
        </w:rPr>
      </w:pPr>
      <w:r w:rsidRPr="003D29C4">
        <w:rPr>
          <w:rFonts w:ascii="Trlit_CG Times" w:hAnsi="Trlit_CG Times"/>
        </w:rPr>
        <w:t xml:space="preserve">mH m kA-pw-rA ini smA mSa=f </w:t>
      </w:r>
      <w:r w:rsidR="003D29C4" w:rsidRPr="003D29C4">
        <w:rPr>
          <w:rFonts w:ascii="Trlit_CG Times" w:hAnsi="Trlit_CG Times"/>
        </w:rPr>
        <w:t>w</w:t>
      </w:r>
      <w:r w:rsidRPr="003D29C4">
        <w:rPr>
          <w:rFonts w:ascii="Trlit_CG Times" w:hAnsi="Trlit_CG Times"/>
        </w:rPr>
        <w:t>n</w:t>
      </w:r>
      <w:r w:rsidR="003D29C4" w:rsidRPr="003D29C4">
        <w:rPr>
          <w:rFonts w:ascii="Trlit_CG Times" w:hAnsi="Trlit_CG Times"/>
        </w:rPr>
        <w:t xml:space="preserve"> </w:t>
      </w:r>
      <w:r w:rsidRPr="003D29C4">
        <w:rPr>
          <w:rFonts w:ascii="Trlit_CG Times" w:hAnsi="Trlit_CG Times"/>
        </w:rPr>
        <w:t xml:space="preserve">ib=sn hn Hr=f r Sd=w smA qbs awy =f dnH mi Apd </w:t>
      </w:r>
      <w:r w:rsidR="003D29C4" w:rsidRPr="003D29C4">
        <w:rPr>
          <w:rFonts w:ascii="Trlit_CG Times" w:hAnsi="Trlit_CG Times"/>
        </w:rPr>
        <w:t>pxd Hr bAry Xr nmt Hm=f iw=f mi mnTw nxt rdwy=f Hr tp=f nAy=f HAwtyw r H</w:t>
      </w:r>
      <w:r w:rsidR="003D29C4">
        <w:rPr>
          <w:rFonts w:ascii="Trlit_CG Times" w:hAnsi="Trlit_CG Times"/>
        </w:rPr>
        <w:t>A</w:t>
      </w:r>
      <w:r w:rsidR="003D29C4" w:rsidRPr="003D29C4">
        <w:rPr>
          <w:rFonts w:ascii="Trlit_CG Times" w:hAnsi="Trlit_CG Times"/>
        </w:rPr>
        <w:t xml:space="preserve">t=f smA m xfa=f </w:t>
      </w:r>
    </w:p>
    <w:p w14:paraId="5BF60355" w14:textId="466038C8" w:rsidR="001C5290" w:rsidRDefault="003D29C4" w:rsidP="00590846">
      <w:r>
        <w:t>Kupuro was seized on, and brought – his army, which had relied on him to save them was slaughtered -  (and) slaughtered, his arms bound(?), pinioned like a bird, spread out on a floor(?) under the tread of His Majesty, he being like Montu,</w:t>
      </w:r>
      <w:r w:rsidR="00F440A2">
        <w:t xml:space="preserve"> the might of his feet on his (Kupuro’s) head, and his chiefs were in front of him, slaughtered in his grasp.</w:t>
      </w:r>
      <w:r>
        <w:t xml:space="preserve"> </w:t>
      </w:r>
    </w:p>
    <w:p w14:paraId="09FE5E18" w14:textId="77777777" w:rsidR="00590846" w:rsidRDefault="00590846" w:rsidP="00590846"/>
    <w:p w14:paraId="50CC6176" w14:textId="0325CB54" w:rsidR="007146C9" w:rsidRDefault="0044267C" w:rsidP="006B73F2">
      <w:r>
        <w:t>Execration texts, and t</w:t>
      </w:r>
      <w:r w:rsidR="005274CF">
        <w:t xml:space="preserve">he relatively common prisoner statues of the Old Kingdom, may well emphasise the </w:t>
      </w:r>
      <w:r>
        <w:t>symbolic</w:t>
      </w:r>
      <w:r w:rsidR="005274CF">
        <w:t xml:space="preserve"> element, but the find at Mirgissa of what seems to be the human victim of an </w:t>
      </w:r>
      <w:r w:rsidR="005274CF" w:rsidRPr="00512C46">
        <w:rPr>
          <w:szCs w:val="24"/>
        </w:rPr>
        <w:t>execration ritual emphasises the acting out of the theme</w:t>
      </w:r>
      <w:r w:rsidR="007146C9" w:rsidRPr="00512C46">
        <w:rPr>
          <w:szCs w:val="24"/>
        </w:rPr>
        <w:t>:</w:t>
      </w:r>
      <w:r w:rsidR="00226E77" w:rsidRPr="00512C46">
        <w:rPr>
          <w:rStyle w:val="FootnoteReference"/>
          <w:szCs w:val="24"/>
        </w:rPr>
        <w:footnoteReference w:id="68"/>
      </w:r>
      <w:r w:rsidR="005274CF" w:rsidRPr="00512C46">
        <w:rPr>
          <w:szCs w:val="24"/>
        </w:rPr>
        <w:t xml:space="preserve"> </w:t>
      </w:r>
      <w:r w:rsidR="007146C9" w:rsidRPr="00512C46">
        <w:rPr>
          <w:rFonts w:cs="AGaramondPro-Regular"/>
          <w:szCs w:val="24"/>
          <w:lang w:val="en-US"/>
        </w:rPr>
        <w:t>4 interments</w:t>
      </w:r>
      <w:r w:rsidR="00512C46">
        <w:rPr>
          <w:rFonts w:cs="AGaramondPro-Regular"/>
          <w:szCs w:val="24"/>
          <w:lang w:val="en-US"/>
        </w:rPr>
        <w:t xml:space="preserve"> of execration material</w:t>
      </w:r>
      <w:r w:rsidR="007146C9" w:rsidRPr="00512C46">
        <w:rPr>
          <w:rFonts w:cs="AGaramondPro-Regular"/>
          <w:szCs w:val="24"/>
          <w:lang w:val="en-US"/>
        </w:rPr>
        <w:t xml:space="preserve">, </w:t>
      </w:r>
      <w:r w:rsidR="00512C46">
        <w:rPr>
          <w:rFonts w:cs="AGaramondPro-Regular"/>
          <w:szCs w:val="24"/>
          <w:lang w:val="en-US"/>
        </w:rPr>
        <w:t xml:space="preserve">including </w:t>
      </w:r>
      <w:r w:rsidR="007146C9" w:rsidRPr="00512C46">
        <w:rPr>
          <w:rFonts w:cs="AGaramondPro-Regular"/>
          <w:szCs w:val="24"/>
          <w:lang w:val="en-US"/>
        </w:rPr>
        <w:t xml:space="preserve">the </w:t>
      </w:r>
      <w:r w:rsidR="007146C9" w:rsidRPr="00512C46">
        <w:rPr>
          <w:rFonts w:cs="AGaramondPro-Regular"/>
          <w:szCs w:val="24"/>
          <w:lang w:val="en-US"/>
        </w:rPr>
        <w:lastRenderedPageBreak/>
        <w:t>severed skull of a Nubia</w:t>
      </w:r>
      <w:r w:rsidR="006B73F2" w:rsidRPr="00512C46">
        <w:rPr>
          <w:rFonts w:cs="AGaramondPro-Regular"/>
          <w:szCs w:val="24"/>
          <w:lang w:val="en-US"/>
        </w:rPr>
        <w:t>n in the third of the deposits,</w:t>
      </w:r>
      <w:r w:rsidR="007146C9" w:rsidRPr="00512C46">
        <w:rPr>
          <w:rFonts w:cs="AGaramondPro-Regular"/>
          <w:szCs w:val="24"/>
          <w:lang w:val="en-US"/>
        </w:rPr>
        <w:t xml:space="preserve"> accompanied by a flint knife </w:t>
      </w:r>
      <w:r w:rsidR="006B73F2" w:rsidRPr="00512C46">
        <w:rPr>
          <w:rFonts w:cs="AGaramondPro-Regular"/>
          <w:szCs w:val="24"/>
          <w:lang w:val="en-US"/>
        </w:rPr>
        <w:t xml:space="preserve">and </w:t>
      </w:r>
      <w:r w:rsidR="007146C9" w:rsidRPr="00512C46">
        <w:rPr>
          <w:rFonts w:cs="AGaramondPro-Regular"/>
          <w:szCs w:val="24"/>
          <w:lang w:val="en-US"/>
        </w:rPr>
        <w:t xml:space="preserve">with </w:t>
      </w:r>
      <w:r w:rsidR="006B73F2" w:rsidRPr="00512C46">
        <w:rPr>
          <w:rFonts w:cs="AGaramondPro-Regular"/>
          <w:szCs w:val="24"/>
          <w:lang w:val="en-US"/>
        </w:rPr>
        <w:t xml:space="preserve">a </w:t>
      </w:r>
      <w:r w:rsidR="007146C9" w:rsidRPr="00512C46">
        <w:rPr>
          <w:rFonts w:cs="AGaramondPro-Regular"/>
          <w:szCs w:val="24"/>
          <w:lang w:val="en-US"/>
        </w:rPr>
        <w:t>decapitated and disarticulated skeleton found nearby</w:t>
      </w:r>
      <w:r w:rsidR="00512C46" w:rsidRPr="00512C46">
        <w:rPr>
          <w:rFonts w:cs="AGaramondPro-Regular"/>
          <w:szCs w:val="24"/>
          <w:lang w:val="en-US"/>
        </w:rPr>
        <w:t>.</w:t>
      </w:r>
      <w:r w:rsidR="007146C9">
        <w:rPr>
          <w:rFonts w:ascii="AGaramondPro-Regular" w:hAnsi="AGaramondPro-Regular" w:cs="AGaramondPro-Regular"/>
          <w:color w:val="FF0000"/>
          <w:sz w:val="18"/>
          <w:szCs w:val="18"/>
          <w:lang w:val="en-US"/>
        </w:rPr>
        <w:t xml:space="preserve"> </w:t>
      </w:r>
    </w:p>
    <w:p w14:paraId="30457D80" w14:textId="77777777" w:rsidR="00512C46" w:rsidRPr="00F40D5F" w:rsidRDefault="005274CF" w:rsidP="00502122">
      <w:pPr>
        <w:rPr>
          <w:szCs w:val="24"/>
        </w:rPr>
      </w:pPr>
      <w:r>
        <w:tab/>
        <w:t xml:space="preserve">Here there are two potential contexts: the killing of enemies left on the </w:t>
      </w:r>
      <w:r w:rsidRPr="00F40D5F">
        <w:rPr>
          <w:szCs w:val="24"/>
        </w:rPr>
        <w:t>battlefield, as in the case of</w:t>
      </w:r>
      <w:r w:rsidR="00512C46" w:rsidRPr="00F40D5F">
        <w:rPr>
          <w:szCs w:val="24"/>
        </w:rPr>
        <w:t xml:space="preserve"> the so-called ‘slain soldiers </w:t>
      </w:r>
      <w:r w:rsidRPr="00F40D5F">
        <w:rPr>
          <w:szCs w:val="24"/>
        </w:rPr>
        <w:t>of Montuhotep II</w:t>
      </w:r>
      <w:r w:rsidR="00512C46" w:rsidRPr="00F40D5F">
        <w:rPr>
          <w:szCs w:val="24"/>
        </w:rPr>
        <w:t>’.</w:t>
      </w:r>
      <w:r w:rsidRPr="00F40D5F">
        <w:rPr>
          <w:rStyle w:val="FootnoteReference"/>
          <w:szCs w:val="24"/>
        </w:rPr>
        <w:footnoteReference w:id="69"/>
      </w:r>
      <w:r w:rsidRPr="00F40D5F">
        <w:rPr>
          <w:szCs w:val="24"/>
        </w:rPr>
        <w:t xml:space="preserve"> </w:t>
      </w:r>
    </w:p>
    <w:p w14:paraId="22E50AFD" w14:textId="77777777" w:rsidR="0044267C" w:rsidRDefault="00512C46" w:rsidP="008858DD">
      <w:r w:rsidRPr="00F40D5F">
        <w:rPr>
          <w:rFonts w:cs="AGaramondPro-Regular"/>
          <w:szCs w:val="24"/>
          <w:lang w:val="en-US"/>
        </w:rPr>
        <w:t xml:space="preserve">This mass, and rather disordered burial of hastily prepared bodies – only 10 full skeletons, but including 59 skulls – clearly assembles a group of men killed in combat, and collected </w:t>
      </w:r>
      <w:r w:rsidR="00F40D5F" w:rsidRPr="00F40D5F">
        <w:rPr>
          <w:rFonts w:cs="AGaramondPro-Regular"/>
          <w:szCs w:val="24"/>
          <w:lang w:val="en-US"/>
        </w:rPr>
        <w:t>after lying in the open long enough for vultures to have begun scavenging</w:t>
      </w:r>
      <w:r w:rsidRPr="00F40D5F">
        <w:rPr>
          <w:rFonts w:cs="AGaramondPro-Regular"/>
          <w:szCs w:val="24"/>
          <w:lang w:val="en-US"/>
        </w:rPr>
        <w:t xml:space="preserve">: some killed immediately, but some whose range of wounds seem to indicate that they were </w:t>
      </w:r>
      <w:r w:rsidR="00F40D5F" w:rsidRPr="00F40D5F">
        <w:rPr>
          <w:rFonts w:cs="AGaramondPro-Regular"/>
          <w:szCs w:val="24"/>
          <w:lang w:val="en-US"/>
        </w:rPr>
        <w:t xml:space="preserve">clubbed to death on the battlefield. </w:t>
      </w:r>
      <w:r w:rsidR="00A716B5">
        <w:t xml:space="preserve">The same may possibly have been the case for </w:t>
      </w:r>
      <w:r w:rsidR="005274CF">
        <w:t>the king Sekenenre Tao</w:t>
      </w:r>
      <w:r w:rsidR="00A716B5">
        <w:t>.</w:t>
      </w:r>
      <w:r w:rsidR="00941FAC">
        <w:rPr>
          <w:rStyle w:val="FootnoteReference"/>
        </w:rPr>
        <w:footnoteReference w:id="70"/>
      </w:r>
      <w:r w:rsidR="005274CF">
        <w:t xml:space="preserve"> </w:t>
      </w:r>
      <w:r w:rsidR="00A716B5">
        <w:t xml:space="preserve">The alternative is </w:t>
      </w:r>
      <w:r w:rsidR="0044267C">
        <w:t>the</w:t>
      </w:r>
      <w:r w:rsidR="005274CF">
        <w:t xml:space="preserve"> ceremonial execution o</w:t>
      </w:r>
      <w:r w:rsidR="0044267C">
        <w:t xml:space="preserve">f enemies </w:t>
      </w:r>
      <w:r w:rsidR="005274CF">
        <w:t xml:space="preserve">on </w:t>
      </w:r>
      <w:r w:rsidR="00ED5EFA">
        <w:t xml:space="preserve">public </w:t>
      </w:r>
      <w:r w:rsidR="005274CF">
        <w:t>occasions</w:t>
      </w:r>
      <w:r w:rsidR="0044267C">
        <w:t>,</w:t>
      </w:r>
      <w:r w:rsidR="005274CF">
        <w:t xml:space="preserve"> such as that described above in the inscription of Tuthmosis II</w:t>
      </w:r>
      <w:r w:rsidR="00ED5EFA">
        <w:t>.</w:t>
      </w:r>
      <w:r w:rsidR="00ED5EFA">
        <w:rPr>
          <w:rStyle w:val="FootnoteReference"/>
        </w:rPr>
        <w:footnoteReference w:id="71"/>
      </w:r>
      <w:r w:rsidR="00D81F65">
        <w:t xml:space="preserve"> </w:t>
      </w:r>
    </w:p>
    <w:p w14:paraId="50E9EAC8" w14:textId="77777777" w:rsidR="001E29EB" w:rsidRDefault="001E29EB" w:rsidP="008858DD"/>
    <w:p w14:paraId="38E0E91A" w14:textId="275B5A3F" w:rsidR="001E29EB" w:rsidRPr="001E29EB" w:rsidRDefault="001E29EB" w:rsidP="008858DD">
      <w:pPr>
        <w:rPr>
          <w:b/>
        </w:rPr>
      </w:pPr>
      <w:r w:rsidRPr="001E29EB">
        <w:rPr>
          <w:b/>
        </w:rPr>
        <w:t>Mutilation</w:t>
      </w:r>
    </w:p>
    <w:p w14:paraId="13729B95" w14:textId="76A1E785" w:rsidR="00354A59" w:rsidRDefault="00A544C6" w:rsidP="008858DD">
      <w:r>
        <w:t>An inscription of Sety I from Karnak expresses very directly his joy in killing:</w:t>
      </w:r>
    </w:p>
    <w:p w14:paraId="6F97FA8E" w14:textId="77777777" w:rsidR="008858DD" w:rsidRDefault="008858DD" w:rsidP="008858DD"/>
    <w:p w14:paraId="2EC751A9" w14:textId="18E343BD" w:rsidR="00A544C6" w:rsidRPr="009013EC" w:rsidRDefault="00354A59" w:rsidP="008858DD">
      <w:r w:rsidRPr="00354A59">
        <w:rPr>
          <w:rFonts w:ascii="Trlit_CG Times" w:hAnsi="Trlit_CG Times"/>
        </w:rPr>
        <w:t>Htp ib=f Hr mA snf Hsq=f DADAw n X</w:t>
      </w:r>
      <w:r>
        <w:rPr>
          <w:rFonts w:ascii="Trlit_CG Times" w:hAnsi="Trlit_CG Times"/>
        </w:rPr>
        <w:t>A</w:t>
      </w:r>
      <w:r w:rsidR="00D81F65">
        <w:rPr>
          <w:rFonts w:ascii="Trlit_CG Times" w:hAnsi="Trlit_CG Times"/>
        </w:rPr>
        <w:t xml:space="preserve">t </w:t>
      </w:r>
      <w:r w:rsidRPr="00354A59">
        <w:rPr>
          <w:rFonts w:ascii="Trlit_CG Times" w:hAnsi="Trlit_CG Times"/>
        </w:rPr>
        <w:t xml:space="preserve">&lt;XA&gt;kw-ib mrr=f At m titi r hrw n jhy </w:t>
      </w:r>
      <w:r w:rsidR="00A544C6" w:rsidRPr="00354A59">
        <w:rPr>
          <w:rFonts w:ascii="Trlit_CG Times" w:hAnsi="Trlit_CG Times"/>
        </w:rPr>
        <w:t>smA st Hm=f m sp wa b</w:t>
      </w:r>
      <w:r w:rsidRPr="00354A59">
        <w:rPr>
          <w:rFonts w:ascii="Trlit_CG Times" w:hAnsi="Trlit_CG Times"/>
        </w:rPr>
        <w:t>(w</w:t>
      </w:r>
      <w:r w:rsidR="00A544C6" w:rsidRPr="00354A59">
        <w:rPr>
          <w:rFonts w:ascii="Trlit_CG Times" w:hAnsi="Trlit_CG Times"/>
        </w:rPr>
        <w:t>) wAH=f iwayt im=sn sp Hr Drt=f m skr anx</w:t>
      </w:r>
      <w:r w:rsidRPr="00354A59">
        <w:rPr>
          <w:rFonts w:ascii="Trlit_CG Times" w:hAnsi="Trlit_CG Times"/>
        </w:rPr>
        <w:t xml:space="preserve"> </w:t>
      </w:r>
      <w:r w:rsidR="00A544C6" w:rsidRPr="00354A59">
        <w:rPr>
          <w:rFonts w:ascii="Trlit_CG Times" w:hAnsi="Trlit_CG Times"/>
        </w:rPr>
        <w:t xml:space="preserve">inw r tA mri </w:t>
      </w:r>
    </w:p>
    <w:p w14:paraId="2F949284" w14:textId="77777777" w:rsidR="00A544C6" w:rsidRDefault="00354A59" w:rsidP="008858DD">
      <w:r>
        <w:t>His heart is conten</w:t>
      </w:r>
      <w:r w:rsidR="00A70454">
        <w:t>t at seeing the blood, when he severs</w:t>
      </w:r>
      <w:r>
        <w:t xml:space="preserve"> the heads </w:t>
      </w:r>
      <w:r w:rsidR="00A70454">
        <w:t xml:space="preserve">(from) </w:t>
      </w:r>
      <w:r>
        <w:t xml:space="preserve">the bodies of the disaffected; he loves the moment of trampling more than a day of celebration(?); His Majesty slaughters them all together; he does not </w:t>
      </w:r>
      <w:r w:rsidR="00A70454">
        <w:t xml:space="preserve">leave an heir among them; he who remains </w:t>
      </w:r>
      <w:r w:rsidR="00A70454" w:rsidRPr="00A70454">
        <w:rPr>
          <w:i/>
        </w:rPr>
        <w:t>on his hand</w:t>
      </w:r>
      <w:r w:rsidR="00A70454">
        <w:t>(?) is a prisoner, brought to Egypt.</w:t>
      </w:r>
    </w:p>
    <w:p w14:paraId="34741C7D" w14:textId="77777777" w:rsidR="008858DD" w:rsidRPr="00ED5EFA" w:rsidRDefault="008858DD" w:rsidP="008858DD"/>
    <w:p w14:paraId="49204371" w14:textId="71D3D423" w:rsidR="009A7195" w:rsidRDefault="00A70454" w:rsidP="008858DD">
      <w:r>
        <w:t>It is impossible to decide whether the reference here is to escape from the killing hand of Sety I, or to the retention of the hand as a statement of survival</w:t>
      </w:r>
      <w:r w:rsidR="00D81F65">
        <w:t>. The theme of collecting the hands of defeated enemies</w:t>
      </w:r>
      <w:r w:rsidR="00D81F65">
        <w:rPr>
          <w:rStyle w:val="FootnoteReference"/>
        </w:rPr>
        <w:footnoteReference w:id="72"/>
      </w:r>
      <w:r w:rsidR="00D81F65">
        <w:t xml:space="preserve"> begins with the military autobiographies of the early 18</w:t>
      </w:r>
      <w:r w:rsidR="00D81F65" w:rsidRPr="00E51E46">
        <w:rPr>
          <w:vertAlign w:val="superscript"/>
        </w:rPr>
        <w:t>th</w:t>
      </w:r>
      <w:r w:rsidR="00D81F65">
        <w:t xml:space="preserve"> Dynasty – notably those of Ahmose son of Abana and of Amenemheb, who refer to them as a normal trophy, for display and evidence of activity. Its reality is attested </w:t>
      </w:r>
      <w:r w:rsidR="00D81F65">
        <w:lastRenderedPageBreak/>
        <w:t>archaeologically by</w:t>
      </w:r>
      <w:r w:rsidR="00D81F65" w:rsidRPr="00E51E46">
        <w:rPr>
          <w:color w:val="FF0000"/>
        </w:rPr>
        <w:t xml:space="preserve"> </w:t>
      </w:r>
      <w:r w:rsidR="00D81F65" w:rsidRPr="00AA7CC9">
        <w:t>finds at Tell el Daba,</w:t>
      </w:r>
      <w:r w:rsidR="00D81F65" w:rsidRPr="00AA7CC9">
        <w:rPr>
          <w:rStyle w:val="FootnoteReference"/>
        </w:rPr>
        <w:footnoteReference w:id="73"/>
      </w:r>
      <w:r w:rsidR="00D81F65">
        <w:t xml:space="preserve"> </w:t>
      </w:r>
      <w:r w:rsidR="00D81F65" w:rsidRPr="00AA7CC9">
        <w:t>a</w:t>
      </w:r>
      <w:r w:rsidR="00D81F65" w:rsidRPr="00ED5EFA">
        <w:t xml:space="preserve">lthough </w:t>
      </w:r>
      <w:r w:rsidR="003A6E05">
        <w:t>relief</w:t>
      </w:r>
      <w:r w:rsidR="00D81F65">
        <w:t xml:space="preserve"> depictions of heaps of hands collected after the battle </w:t>
      </w:r>
      <w:r w:rsidR="003A6E05">
        <w:t>are</w:t>
      </w:r>
      <w:r w:rsidR="00D81F65">
        <w:t xml:space="preserve"> Ramesside. Decapitation is a consistent motif for the disabling of the dead</w:t>
      </w:r>
      <w:r w:rsidR="003A6E05">
        <w:t xml:space="preserve"> in Egypt</w:t>
      </w:r>
      <w:r w:rsidR="00D81F65">
        <w:t>,</w:t>
      </w:r>
      <w:r w:rsidR="00D81F65">
        <w:rPr>
          <w:rStyle w:val="FootnoteReference"/>
        </w:rPr>
        <w:footnoteReference w:id="74"/>
      </w:r>
      <w:r w:rsidR="00D81F65">
        <w:t xml:space="preserve"> </w:t>
      </w:r>
      <w:r w:rsidR="003A6E05">
        <w:t xml:space="preserve">but it is not a common motif in the pictorial display of massacre, althout is is </w:t>
      </w:r>
      <w:r>
        <w:t xml:space="preserve">seen already on the Narmer palette, </w:t>
      </w:r>
      <w:r w:rsidR="00D81F65" w:rsidRPr="00D81F65">
        <w:t xml:space="preserve">where </w:t>
      </w:r>
      <w:r w:rsidR="00941FAC" w:rsidRPr="00D81F65">
        <w:rPr>
          <w:smallCaps/>
          <w:szCs w:val="24"/>
        </w:rPr>
        <w:t xml:space="preserve">Davies </w:t>
      </w:r>
      <w:r w:rsidR="00D81F65" w:rsidRPr="00D81F65">
        <w:rPr>
          <w:szCs w:val="24"/>
        </w:rPr>
        <w:t xml:space="preserve">and </w:t>
      </w:r>
      <w:r w:rsidR="00941FAC" w:rsidRPr="00D81F65">
        <w:rPr>
          <w:smallCaps/>
          <w:szCs w:val="24"/>
        </w:rPr>
        <w:t>Friedman</w:t>
      </w:r>
      <w:r w:rsidR="00941FAC" w:rsidRPr="00665F81">
        <w:t xml:space="preserve"> argue that </w:t>
      </w:r>
      <w:r w:rsidR="00D81F65">
        <w:t xml:space="preserve">the depictions </w:t>
      </w:r>
      <w:r w:rsidR="00941FAC" w:rsidRPr="00665F81">
        <w:t xml:space="preserve">of beheaded enemies </w:t>
      </w:r>
      <w:r w:rsidR="00D81F65">
        <w:t>show also the</w:t>
      </w:r>
      <w:r w:rsidR="00941FAC" w:rsidRPr="00665F81">
        <w:t xml:space="preserve"> remove</w:t>
      </w:r>
      <w:r w:rsidR="00D81F65">
        <w:t>d phallus on top of each head</w:t>
      </w:r>
      <w:r w:rsidR="00DF6A52">
        <w:t>.</w:t>
      </w:r>
      <w:r w:rsidR="00DF6A52">
        <w:rPr>
          <w:rStyle w:val="FootnoteReference"/>
        </w:rPr>
        <w:footnoteReference w:id="75"/>
      </w:r>
      <w:r w:rsidR="003A6E05">
        <w:t xml:space="preserve"> </w:t>
      </w:r>
      <w:r w:rsidR="00B47377">
        <w:t>Clear</w:t>
      </w:r>
      <w:r w:rsidR="00941FAC">
        <w:t xml:space="preserve"> depictions of the </w:t>
      </w:r>
      <w:r w:rsidR="00E14A46">
        <w:t xml:space="preserve">harvesting of </w:t>
      </w:r>
      <w:r w:rsidR="00D81F65">
        <w:t>phalli</w:t>
      </w:r>
      <w:r w:rsidR="00E14A46">
        <w:t xml:space="preserve"> from the enemy</w:t>
      </w:r>
      <w:r w:rsidR="00D81F65" w:rsidRPr="00D81F65">
        <w:t xml:space="preserve"> </w:t>
      </w:r>
      <w:r w:rsidR="00B47377">
        <w:t xml:space="preserve">only appear in the Ramesside period, as visual display parallel to the heaping up of hands collected – and accounted – as trophies </w:t>
      </w:r>
      <w:r w:rsidR="009A2461">
        <w:t xml:space="preserve">and display after </w:t>
      </w:r>
      <w:r w:rsidR="00B47377">
        <w:t xml:space="preserve">battle. Textual references </w:t>
      </w:r>
      <w:r w:rsidR="00E14A46">
        <w:t>are few</w:t>
      </w:r>
      <w:r w:rsidR="009A2461">
        <w:t xml:space="preserve">, but </w:t>
      </w:r>
      <w:r w:rsidR="00B47377">
        <w:t>the record of his 1</w:t>
      </w:r>
      <w:r w:rsidR="00B47377" w:rsidRPr="00B47377">
        <w:rPr>
          <w:vertAlign w:val="superscript"/>
        </w:rPr>
        <w:t>st</w:t>
      </w:r>
      <w:r w:rsidR="00C135A4">
        <w:t xml:space="preserve"> Libyan War refer</w:t>
      </w:r>
      <w:r w:rsidR="00B47377">
        <w:t>s to the presentation of phalli, hands, and captives to Ramesses III at his Window of Appearances</w:t>
      </w:r>
      <w:r w:rsidR="003A6E05">
        <w:t>.</w:t>
      </w:r>
      <w:r w:rsidR="004B29CB">
        <w:rPr>
          <w:rStyle w:val="FootnoteReference"/>
        </w:rPr>
        <w:footnoteReference w:id="76"/>
      </w:r>
      <w:r w:rsidR="004B29CB">
        <w:t xml:space="preserve"> </w:t>
      </w:r>
      <w:r w:rsidR="003A6E05">
        <w:t xml:space="preserve">The references to the practice seem to say that </w:t>
      </w:r>
      <w:r w:rsidR="004B29CB">
        <w:t xml:space="preserve">phalli were collected from un-circumcised </w:t>
      </w:r>
      <w:r w:rsidR="003A6E05">
        <w:t>Libyans</w:t>
      </w:r>
      <w:r w:rsidR="004B29CB">
        <w:t>, as alternative  to the collection of hands</w:t>
      </w:r>
      <w:r w:rsidR="009A2461">
        <w:t xml:space="preserve"> from other groups</w:t>
      </w:r>
      <w:r w:rsidR="003A6E05">
        <w:t xml:space="preserve">, but the </w:t>
      </w:r>
      <w:r w:rsidR="009A2461">
        <w:t>texts are incomplete</w:t>
      </w:r>
      <w:r w:rsidR="003A6E05">
        <w:t>, and the illustrations are not conclusive.</w:t>
      </w:r>
      <w:r w:rsidR="003A6E05" w:rsidRPr="004B29CB">
        <w:rPr>
          <w:rStyle w:val="FootnoteReference"/>
        </w:rPr>
        <w:footnoteReference w:id="77"/>
      </w:r>
      <w:r w:rsidR="003A6E05">
        <w:t xml:space="preserve"> In contrast, the</w:t>
      </w:r>
      <w:r w:rsidR="009A7195">
        <w:t xml:space="preserve"> association – textual and pictorial – </w:t>
      </w:r>
      <w:r w:rsidR="003A6E05">
        <w:t xml:space="preserve">between </w:t>
      </w:r>
      <w:r w:rsidR="009A7195">
        <w:t xml:space="preserve">slaughter and cutting off hands is </w:t>
      </w:r>
      <w:r w:rsidR="00C57907">
        <w:t>normal from the beginning of the New Kingdom</w:t>
      </w:r>
      <w:r w:rsidR="00407832">
        <w:t>.</w:t>
      </w:r>
      <w:r w:rsidR="00C57907">
        <w:rPr>
          <w:rStyle w:val="FootnoteReference"/>
        </w:rPr>
        <w:footnoteReference w:id="78"/>
      </w:r>
      <w:r w:rsidR="00407832">
        <w:t xml:space="preserve"> A description of Amenhotep III exemplifies:</w:t>
      </w:r>
      <w:r w:rsidR="00407832">
        <w:rPr>
          <w:rStyle w:val="FootnoteReference"/>
        </w:rPr>
        <w:footnoteReference w:id="79"/>
      </w:r>
    </w:p>
    <w:p w14:paraId="36194CE3" w14:textId="77777777" w:rsidR="008858DD" w:rsidRDefault="008858DD" w:rsidP="008858DD"/>
    <w:p w14:paraId="72830DC5" w14:textId="5C3F3032" w:rsidR="00407832" w:rsidRDefault="00747EDD" w:rsidP="008858DD">
      <w:r w:rsidRPr="00747EDD">
        <w:rPr>
          <w:rFonts w:ascii="Trlit_CG Times" w:hAnsi="Trlit_CG Times"/>
        </w:rPr>
        <w:t xml:space="preserve">sxm-ib sw Hr Dn sp </w:t>
      </w:r>
      <w:r w:rsidRPr="009B5796">
        <w:rPr>
          <w:rFonts w:ascii="Times New Roman" w:hAnsi="Times New Roman"/>
        </w:rPr>
        <w:t>2</w:t>
      </w:r>
      <w:r w:rsidRPr="00747EDD">
        <w:rPr>
          <w:rFonts w:ascii="Trlit_CG Times" w:hAnsi="Trlit_CG Times"/>
        </w:rPr>
        <w:t xml:space="preserve"> Hr smA Hr Sad Drt</w:t>
      </w:r>
      <w:r w:rsidR="00407832">
        <w:t xml:space="preserve"> </w:t>
      </w:r>
    </w:p>
    <w:p w14:paraId="4999CDA8" w14:textId="3F2A7E61" w:rsidR="009B5796" w:rsidRDefault="00747EDD" w:rsidP="008858DD">
      <w:r>
        <w:t xml:space="preserve">he is </w:t>
      </w:r>
      <w:r w:rsidR="009B5796">
        <w:t>firm-hearted</w:t>
      </w:r>
      <w:r>
        <w:t xml:space="preserve"> in </w:t>
      </w:r>
      <w:r w:rsidR="009B5796">
        <w:t>raging</w:t>
      </w:r>
      <w:r w:rsidR="00407832">
        <w:t xml:space="preserve"> greatly</w:t>
      </w:r>
      <w:r w:rsidR="009B5796">
        <w:t>, in sla</w:t>
      </w:r>
      <w:r w:rsidR="00407832">
        <w:t>ughtering, in cutting off hands</w:t>
      </w:r>
      <w:r w:rsidR="009B5796">
        <w:t>.</w:t>
      </w:r>
    </w:p>
    <w:p w14:paraId="03A75F55" w14:textId="77777777" w:rsidR="008858DD" w:rsidRDefault="008858DD" w:rsidP="008858DD"/>
    <w:p w14:paraId="0AE29BA4" w14:textId="299C0CAB" w:rsidR="00A801FF" w:rsidRDefault="00407832" w:rsidP="008858DD">
      <w:r>
        <w:t>Earlier pictures are more individualised: the king with hands decorating his chariot,</w:t>
      </w:r>
      <w:r>
        <w:rPr>
          <w:rStyle w:val="FootnoteReference"/>
        </w:rPr>
        <w:footnoteReference w:id="80"/>
      </w:r>
      <w:r>
        <w:t xml:space="preserve"> or individuals carrying hands as personal trophies,</w:t>
      </w:r>
      <w:r>
        <w:rPr>
          <w:rStyle w:val="FootnoteReference"/>
        </w:rPr>
        <w:footnoteReference w:id="81"/>
      </w:r>
      <w:r>
        <w:t xml:space="preserve"> which were presented to the King’s Herald for record and reward.  The depiction of </w:t>
      </w:r>
      <w:r>
        <w:lastRenderedPageBreak/>
        <w:t>scri</w:t>
      </w:r>
      <w:r w:rsidR="00A801FF">
        <w:t>bes recording heaps of hands then becomes a theme in Ramesside battle scenes. The details of the narrative, and the few depictions of soldiers actually cutting off hands, do not make clear whether this was done only to the dead (or nearly dead), or whether hands might have been cut off to incapacitate unwanted prisoners:</w:t>
      </w:r>
      <w:r w:rsidR="00A801FF">
        <w:rPr>
          <w:rStyle w:val="FootnoteReference"/>
        </w:rPr>
        <w:footnoteReference w:id="82"/>
      </w:r>
      <w:r w:rsidR="00A801FF">
        <w:t xml:space="preserve"> the contemporary weapon technology</w:t>
      </w:r>
      <w:r w:rsidR="00B20F7E">
        <w:t xml:space="preserve"> was insufficient for the clean severance of a limb from any but a completely incapacitated person.</w:t>
      </w:r>
      <w:r w:rsidR="00DB3433">
        <w:t xml:space="preserve"> The removal of the hand</w:t>
      </w:r>
      <w:r w:rsidR="009E2B7B">
        <w:t xml:space="preserve"> simply provides one of the inc</w:t>
      </w:r>
      <w:r w:rsidR="00DB3433">
        <w:t>idental detail</w:t>
      </w:r>
      <w:r w:rsidR="009E2B7B">
        <w:t xml:space="preserve">s of violence in the </w:t>
      </w:r>
      <w:r w:rsidR="00DB3433">
        <w:t>battle scenes</w:t>
      </w:r>
      <w:r w:rsidR="009E2B7B">
        <w:t>.</w:t>
      </w:r>
    </w:p>
    <w:p w14:paraId="3A105F58" w14:textId="6F19A707" w:rsidR="00E14A46" w:rsidRPr="009C6D5A" w:rsidRDefault="00E14A46" w:rsidP="007E6AAA">
      <w:pPr>
        <w:ind w:firstLine="720"/>
      </w:pPr>
      <w:r>
        <w:t xml:space="preserve">The apparent increase in </w:t>
      </w:r>
      <w:r w:rsidR="000B62BA">
        <w:t xml:space="preserve">the </w:t>
      </w:r>
      <w:r>
        <w:t xml:space="preserve">display of violence in the New Kingdom may simply be a reflection of the increase in scale of royal display on monuments, and the complexity of inscribed text. It </w:t>
      </w:r>
      <w:r w:rsidR="00FC2060">
        <w:t xml:space="preserve">does not necessarily reflect only the values of an </w:t>
      </w:r>
      <w:r>
        <w:t xml:space="preserve">increasingly militarised regime, or changes in the nature and scale of warfare, although </w:t>
      </w:r>
      <w:r w:rsidR="00372203">
        <w:t>a</w:t>
      </w:r>
      <w:r>
        <w:t xml:space="preserve"> sense of </w:t>
      </w:r>
      <w:r w:rsidR="00372203">
        <w:t>deep insecurity</w:t>
      </w:r>
      <w:r>
        <w:t xml:space="preserve"> </w:t>
      </w:r>
      <w:r w:rsidR="00372203">
        <w:t xml:space="preserve">seems to characterise the attempts to resist the mass migrations into Egypt between the reigns of Ramesses II and Ramesses III. The normal equilibrium between Egypt and its disordered margins is characteristic of many early state regimes: a settled agricultural core, dependent on uncontrolled margins as provider of resources, both material </w:t>
      </w:r>
      <w:r w:rsidR="00582758">
        <w:t>and human:</w:t>
      </w:r>
      <w:r w:rsidR="00372203">
        <w:t xml:space="preserve"> </w:t>
      </w:r>
      <w:r w:rsidR="00582758">
        <w:t xml:space="preserve">requiring occasional pacification, but important </w:t>
      </w:r>
      <w:r w:rsidR="00372203">
        <w:t>as a locus for slave raiding</w:t>
      </w:r>
      <w:r w:rsidR="000B62BA" w:rsidRPr="000B62BA">
        <w:t xml:space="preserve"> </w:t>
      </w:r>
      <w:r w:rsidR="000B62BA">
        <w:t>focussed on the acquisition of subjects</w:t>
      </w:r>
      <w:r w:rsidR="00582758">
        <w:t xml:space="preserve">, for resettlement </w:t>
      </w:r>
      <w:r w:rsidR="00FC2060">
        <w:t xml:space="preserve">and </w:t>
      </w:r>
      <w:r w:rsidR="00582758">
        <w:t xml:space="preserve">economic development, </w:t>
      </w:r>
      <w:r w:rsidR="00FC2060">
        <w:t>and</w:t>
      </w:r>
      <w:r w:rsidR="00582758">
        <w:t xml:space="preserve"> not </w:t>
      </w:r>
      <w:r w:rsidR="00FC2060">
        <w:t xml:space="preserve">for commoditised </w:t>
      </w:r>
      <w:r w:rsidR="007E6AAA">
        <w:t>chattel slavery</w:t>
      </w:r>
      <w:r w:rsidR="00372203">
        <w:t>.</w:t>
      </w:r>
      <w:r w:rsidR="009C6D5A">
        <w:rPr>
          <w:rStyle w:val="FootnoteReference"/>
        </w:rPr>
        <w:footnoteReference w:id="83"/>
      </w:r>
      <w:r w:rsidR="00372203">
        <w:t xml:space="preserve"> Controlled immigration, as the result of campaigning, was profitable in providing necessary manpower to Egypt; and uncontrolled immigration </w:t>
      </w:r>
      <w:r w:rsidR="007E6AAA">
        <w:t xml:space="preserve">was (at least ideologically) </w:t>
      </w:r>
      <w:r w:rsidR="00372203">
        <w:t xml:space="preserve">resisted. The Semna dispatches </w:t>
      </w:r>
      <w:r w:rsidR="009C6D5A">
        <w:t>record Medjay questioned and turned back, although they explain their arrival becau</w:t>
      </w:r>
      <w:r w:rsidR="009C6D5A" w:rsidRPr="005311CF">
        <w:t>se ‘the desert is starving’:</w:t>
      </w:r>
      <w:r w:rsidR="00941FAC" w:rsidRPr="005311CF">
        <w:rPr>
          <w:rStyle w:val="FootnoteReference"/>
        </w:rPr>
        <w:footnoteReference w:id="84"/>
      </w:r>
      <w:r w:rsidR="009C6D5A" w:rsidRPr="005311CF">
        <w:t xml:space="preserve"> the </w:t>
      </w:r>
      <w:r w:rsidR="007E6AAA">
        <w:t xml:space="preserve">occasional depictions of famine on </w:t>
      </w:r>
      <w:r w:rsidR="009C6D5A" w:rsidRPr="009C6D5A">
        <w:t xml:space="preserve">Old Kingdom </w:t>
      </w:r>
      <w:r w:rsidR="007E6AAA">
        <w:t>monuments seem</w:t>
      </w:r>
      <w:r w:rsidR="009C6D5A">
        <w:t xml:space="preserve"> to represent Egyptian views of the reality of life outside the pale. </w:t>
      </w:r>
    </w:p>
    <w:p w14:paraId="6EDF7483" w14:textId="09616EAC" w:rsidR="0022645C" w:rsidRDefault="00FC2060" w:rsidP="00502122">
      <w:r>
        <w:tab/>
      </w:r>
      <w:r w:rsidR="007E6AAA">
        <w:t>Merenptah’s narrative</w:t>
      </w:r>
      <w:r>
        <w:t>s</w:t>
      </w:r>
      <w:r w:rsidR="007E6AAA">
        <w:t xml:space="preserve"> can only be described as presenting massacre as a calculated policy for dealing with mass migration</w:t>
      </w:r>
      <w:r>
        <w:t>, and rooting out migrants who had occupied significant areas of the Delta</w:t>
      </w:r>
      <w:r w:rsidR="007E6AAA">
        <w:t xml:space="preserve">. </w:t>
      </w:r>
      <w:r w:rsidR="00941FAC">
        <w:t xml:space="preserve">In contrast, the Great Harris Papyrus of </w:t>
      </w:r>
      <w:r w:rsidR="009C6D5A">
        <w:t xml:space="preserve">Ramesses III lays more emphasis on the </w:t>
      </w:r>
      <w:r w:rsidR="0037021F">
        <w:t>settlement</w:t>
      </w:r>
      <w:r w:rsidR="009C6D5A">
        <w:t xml:space="preserve"> of invading tribes: claiming military victory, but settling them in their own communities</w:t>
      </w:r>
      <w:r w:rsidR="0037021F">
        <w:t xml:space="preserve">, </w:t>
      </w:r>
      <w:r w:rsidR="009C6D5A">
        <w:t xml:space="preserve">in the traditional way in which people deported to Egypt were used to increase the productive manpower of the country. </w:t>
      </w:r>
      <w:r w:rsidR="007E6AAA">
        <w:t>In</w:t>
      </w:r>
      <w:r w:rsidR="009C6D5A">
        <w:t xml:space="preserve"> the end the only </w:t>
      </w:r>
      <w:r w:rsidR="009C6D5A">
        <w:lastRenderedPageBreak/>
        <w:t xml:space="preserve">resolution </w:t>
      </w:r>
      <w:r w:rsidR="00625866">
        <w:t xml:space="preserve">for mass migration </w:t>
      </w:r>
      <w:r w:rsidR="009C6D5A">
        <w:t xml:space="preserve">was massacre or absorption, and by the reign of Ramesses III one can only guess that </w:t>
      </w:r>
      <w:r w:rsidR="00AC3B91">
        <w:t>the Western Delta was so de-populated that a mass absorption of Libyan tribes was a more profitable, if not the only practical course.</w:t>
      </w:r>
      <w:r w:rsidR="00AC3B91">
        <w:rPr>
          <w:rStyle w:val="FootnoteReference"/>
        </w:rPr>
        <w:footnoteReference w:id="85"/>
      </w:r>
      <w:r w:rsidR="00AC3B91">
        <w:t xml:space="preserve"> The artistic elegance of the warfare reliefs of the period</w:t>
      </w:r>
      <w:r w:rsidR="00941FAC">
        <w:t>, with their depiction of the mass chaotic slaughter of invaders,</w:t>
      </w:r>
      <w:r w:rsidR="00AC3B91">
        <w:t xml:space="preserve"> should not, however, distract from the utter bloodiness of the warfare.</w:t>
      </w:r>
    </w:p>
    <w:p w14:paraId="3C3BC1D8" w14:textId="77777777" w:rsidR="001E29EB" w:rsidRDefault="001E29EB" w:rsidP="00502122"/>
    <w:p w14:paraId="5B883DEE" w14:textId="0F020230" w:rsidR="001E29EB" w:rsidRPr="001E29EB" w:rsidRDefault="001E29EB" w:rsidP="00502122">
      <w:pPr>
        <w:rPr>
          <w:b/>
        </w:rPr>
      </w:pPr>
      <w:r>
        <w:rPr>
          <w:b/>
        </w:rPr>
        <w:t xml:space="preserve">Fear, </w:t>
      </w:r>
      <w:r w:rsidRPr="001E29EB">
        <w:rPr>
          <w:b/>
        </w:rPr>
        <w:t>power</w:t>
      </w:r>
      <w:r>
        <w:rPr>
          <w:b/>
        </w:rPr>
        <w:t xml:space="preserve"> and authority</w:t>
      </w:r>
    </w:p>
    <w:p w14:paraId="0D85A8E0" w14:textId="25FACD04" w:rsidR="004037D9" w:rsidRDefault="00096037" w:rsidP="00502122">
      <w:r>
        <w:t>The exercise of violence lies at the core of any display of royal authority, and the modes of violence are not differentiated in the treatment of foreigners or criminals.</w:t>
      </w:r>
      <w:r w:rsidR="00D80D9E">
        <w:rPr>
          <w:rStyle w:val="FootnoteReference"/>
        </w:rPr>
        <w:footnoteReference w:id="86"/>
      </w:r>
      <w:r>
        <w:t xml:space="preserve"> Any form of opposition to the king defines the offender as </w:t>
      </w:r>
      <w:r w:rsidRPr="00096037">
        <w:rPr>
          <w:rFonts w:ascii="Trlit_CG Times" w:hAnsi="Trlit_CG Times"/>
        </w:rPr>
        <w:t>sbi</w:t>
      </w:r>
      <w:r>
        <w:t>: the dictionary translation of ‘rebel’ is culturally loaded</w:t>
      </w:r>
      <w:r w:rsidR="004037D9">
        <w:t xml:space="preserve">. The </w:t>
      </w:r>
      <w:r>
        <w:t xml:space="preserve">Egyptian term covers everything from being a foreign opponent, through genuine rebellion, actions that </w:t>
      </w:r>
      <w:r w:rsidR="00801339">
        <w:t>dis</w:t>
      </w:r>
      <w:r>
        <w:t>obey a royal edit, to simple royal disfavo</w:t>
      </w:r>
      <w:r w:rsidR="00801339">
        <w:t>ur. T</w:t>
      </w:r>
      <w:r>
        <w:t>he consequence is much the same</w:t>
      </w:r>
      <w:r w:rsidR="00801339">
        <w:t>.</w:t>
      </w:r>
      <w:r w:rsidR="000B62BA">
        <w:t xml:space="preserve"> The d</w:t>
      </w:r>
      <w:r w:rsidR="00C4581E">
        <w:t>isplay of violence lies at the core of authority.</w:t>
      </w:r>
      <w:r w:rsidR="00FC2060">
        <w:rPr>
          <w:rStyle w:val="FootnoteReference"/>
        </w:rPr>
        <w:footnoteReference w:id="87"/>
      </w:r>
      <w:r w:rsidR="00C4581E">
        <w:t xml:space="preserve"> In this sense the clichés of royal power are statements of reality, not genteel ideology. </w:t>
      </w:r>
      <w:r w:rsidR="00AC3B91">
        <w:t xml:space="preserve">The </w:t>
      </w:r>
      <w:r w:rsidR="00AC3B91" w:rsidRPr="00AC3B91">
        <w:rPr>
          <w:rFonts w:ascii="Trlit_CG Times" w:hAnsi="Trlit_CG Times"/>
        </w:rPr>
        <w:t>bAw</w:t>
      </w:r>
      <w:r w:rsidR="00AC3B91">
        <w:t xml:space="preserve"> of the king </w:t>
      </w:r>
      <w:r w:rsidR="00565F43">
        <w:t xml:space="preserve">is </w:t>
      </w:r>
      <w:r w:rsidR="00AC3B91">
        <w:t>worse than death</w:t>
      </w:r>
      <w:r w:rsidR="00C4581E">
        <w:t xml:space="preserve">; his </w:t>
      </w:r>
      <w:r w:rsidR="0022645C" w:rsidRPr="0022645C">
        <w:rPr>
          <w:rFonts w:ascii="Trlit_CG Times" w:hAnsi="Trlit_CG Times"/>
        </w:rPr>
        <w:t>Sfyt</w:t>
      </w:r>
      <w:r w:rsidR="00C4581E">
        <w:t xml:space="preserve">, </w:t>
      </w:r>
      <w:r w:rsidR="0022645C">
        <w:t xml:space="preserve">through the land, </w:t>
      </w:r>
      <w:r w:rsidR="00565F43">
        <w:t xml:space="preserve">and </w:t>
      </w:r>
      <w:r w:rsidR="00C4581E">
        <w:t xml:space="preserve">terrifies because </w:t>
      </w:r>
      <w:r w:rsidR="00BC10A5">
        <w:t xml:space="preserve">of </w:t>
      </w:r>
      <w:r w:rsidR="00C4581E">
        <w:t xml:space="preserve">the violence </w:t>
      </w:r>
      <w:r w:rsidR="00FC2060">
        <w:t xml:space="preserve">– his </w:t>
      </w:r>
      <w:r w:rsidR="00FC2060" w:rsidRPr="00FC2060">
        <w:rPr>
          <w:rFonts w:ascii="Trlit_CG Times" w:hAnsi="Trlit_CG Times"/>
        </w:rPr>
        <w:t>nxt</w:t>
      </w:r>
      <w:r w:rsidR="00FC2060">
        <w:t xml:space="preserve"> - </w:t>
      </w:r>
      <w:r w:rsidR="00C4581E">
        <w:t>that accompanies it</w:t>
      </w:r>
      <w:r w:rsidR="00364795">
        <w:t>.</w:t>
      </w:r>
      <w:r w:rsidR="00364795">
        <w:rPr>
          <w:rStyle w:val="FootnoteReference"/>
        </w:rPr>
        <w:footnoteReference w:id="88"/>
      </w:r>
      <w:r w:rsidR="001F7261">
        <w:t xml:space="preserve"> </w:t>
      </w:r>
      <w:r w:rsidR="008F5403">
        <w:t xml:space="preserve">Fear of him </w:t>
      </w:r>
      <w:r w:rsidR="00565F43">
        <w:t>(</w:t>
      </w:r>
      <w:r w:rsidR="00565F43">
        <w:rPr>
          <w:rFonts w:ascii="Trlit_CG Times" w:hAnsi="Trlit_CG Times"/>
        </w:rPr>
        <w:t>snD</w:t>
      </w:r>
      <w:r w:rsidR="00565F43" w:rsidRPr="00565F43">
        <w:rPr>
          <w:rFonts w:ascii="Trlit_CG Times" w:hAnsi="Trlit_CG Times"/>
        </w:rPr>
        <w:t>=f</w:t>
      </w:r>
      <w:r w:rsidR="00565F43">
        <w:t xml:space="preserve">) </w:t>
      </w:r>
      <w:r w:rsidR="008F5403">
        <w:t>incapacitiates.</w:t>
      </w:r>
    </w:p>
    <w:p w14:paraId="6CD90886" w14:textId="4937E888" w:rsidR="005F664F" w:rsidRDefault="004037D9" w:rsidP="00502122">
      <w:r>
        <w:tab/>
      </w:r>
      <w:r w:rsidR="00190271">
        <w:t>The royal presence is genuinely terrifying. People are ‘dragged’ (</w:t>
      </w:r>
      <w:r w:rsidR="00190271" w:rsidRPr="00190271">
        <w:rPr>
          <w:rFonts w:ascii="Trlit_CG Times" w:hAnsi="Trlit_CG Times"/>
        </w:rPr>
        <w:t>sTA</w:t>
      </w:r>
      <w:r w:rsidR="00190271">
        <w:t xml:space="preserve">) in, regardless of whether they are prisoners or simply introduced into regular royal audience. </w:t>
      </w:r>
      <w:r w:rsidR="00BC10A5">
        <w:t xml:space="preserve">Immanent royal power is unpredictable, and the </w:t>
      </w:r>
      <w:r w:rsidR="00364795">
        <w:t xml:space="preserve">ideological relationship between the person of the king and violence against offenders is </w:t>
      </w:r>
      <w:r w:rsidR="00190271">
        <w:t>direct</w:t>
      </w:r>
      <w:r w:rsidR="00364795">
        <w:t xml:space="preserve">. </w:t>
      </w:r>
      <w:r w:rsidR="00190271">
        <w:t xml:space="preserve">There seems to have been </w:t>
      </w:r>
      <w:r w:rsidR="00364795">
        <w:t>an underlying taboo on direct use of the royal name in a range of problematic contexts, and the use of impersonalising and deflecting phraseology</w:t>
      </w:r>
      <w:r w:rsidR="00B12D80">
        <w:t xml:space="preserve"> </w:t>
      </w:r>
      <w:r w:rsidR="00B12D80">
        <w:rPr>
          <w:lang w:val="en-US"/>
        </w:rPr>
        <w:t xml:space="preserve">as ways of obviating the direct reference to </w:t>
      </w:r>
      <w:r w:rsidR="00BC10A5">
        <w:rPr>
          <w:lang w:val="en-US"/>
        </w:rPr>
        <w:t xml:space="preserve">the king’s </w:t>
      </w:r>
      <w:r w:rsidR="00B12D80">
        <w:rPr>
          <w:lang w:val="en-US"/>
        </w:rPr>
        <w:t>personal involvement</w:t>
      </w:r>
      <w:r w:rsidR="00364795">
        <w:t xml:space="preserve">: </w:t>
      </w:r>
      <w:r w:rsidR="00C34B00">
        <w:t xml:space="preserve">most notably  through the use of impersonal (passive) verbs – ‘one did’ – for his actions, and reference to the king </w:t>
      </w:r>
      <w:r w:rsidR="00190271">
        <w:t>as</w:t>
      </w:r>
      <w:r w:rsidR="00C34B00">
        <w:t xml:space="preserve"> Pharaoh (</w:t>
      </w:r>
      <w:r w:rsidR="00C34B00" w:rsidRPr="00C34B00">
        <w:rPr>
          <w:rFonts w:ascii="Trlit_CG Times" w:hAnsi="Trlit_CG Times"/>
        </w:rPr>
        <w:t>pr-aA</w:t>
      </w:r>
      <w:r w:rsidR="00C34B00">
        <w:t xml:space="preserve"> = ‘great-house’), </w:t>
      </w:r>
      <w:r w:rsidR="00BC10A5">
        <w:t>or as</w:t>
      </w:r>
      <w:r w:rsidR="00364795">
        <w:t xml:space="preserve"> </w:t>
      </w:r>
      <w:r w:rsidR="00364795" w:rsidRPr="00364795">
        <w:rPr>
          <w:rFonts w:ascii="Trlit_CG Times" w:hAnsi="Trlit_CG Times"/>
        </w:rPr>
        <w:t>Hm=f</w:t>
      </w:r>
      <w:r w:rsidR="00364795">
        <w:t>,</w:t>
      </w:r>
      <w:r w:rsidR="00B12D80">
        <w:t xml:space="preserve"> ‘his slave’</w:t>
      </w:r>
      <w:r w:rsidR="00364795">
        <w:t>.</w:t>
      </w:r>
      <w:r w:rsidR="00364795" w:rsidRPr="001F7261">
        <w:rPr>
          <w:rStyle w:val="FootnoteReference"/>
        </w:rPr>
        <w:footnoteReference w:id="89"/>
      </w:r>
      <w:r w:rsidR="002949AF">
        <w:t xml:space="preserve"> In the group of texts which record the treatment of those involved in the Harem Conspiracy </w:t>
      </w:r>
      <w:r w:rsidR="002949AF">
        <w:lastRenderedPageBreak/>
        <w:t>against Ramess</w:t>
      </w:r>
      <w:r w:rsidR="00042F12">
        <w:t>es III, it is a repeated (and repeatedly commented) theme, that the fate of those convicted lay on their own heads, and not the on the king himself.</w:t>
      </w:r>
      <w:r w:rsidR="00042F12">
        <w:rPr>
          <w:rStyle w:val="FootnoteReference"/>
        </w:rPr>
        <w:footnoteReference w:id="90"/>
      </w:r>
      <w:r w:rsidR="00042F12">
        <w:t xml:space="preserve"> The theme is comparable to that argued (on rather limited grounds) that in legal context the most severe physical penalties, of mutilation and execution, were a royal </w:t>
      </w:r>
      <w:r w:rsidR="0055560F">
        <w:t>p</w:t>
      </w:r>
      <w:r w:rsidR="00042F12">
        <w:t>rerogative</w:t>
      </w:r>
      <w:r w:rsidR="0055560F">
        <w:t xml:space="preserve"> and required royal approval</w:t>
      </w:r>
      <w:r w:rsidR="002F4A59">
        <w:t>:</w:t>
      </w:r>
      <w:r w:rsidR="0055560F">
        <w:rPr>
          <w:rStyle w:val="FootnoteReference"/>
        </w:rPr>
        <w:footnoteReference w:id="91"/>
      </w:r>
      <w:r w:rsidR="002F4A59">
        <w:t xml:space="preserve"> ‘the old and humane law</w:t>
      </w:r>
      <w:r w:rsidR="00580A44">
        <w:t xml:space="preserve"> </w:t>
      </w:r>
      <w:r w:rsidR="002F4A59">
        <w:t>according to which Ph</w:t>
      </w:r>
      <w:r w:rsidR="00580A44">
        <w:t>a</w:t>
      </w:r>
      <w:r w:rsidR="002F4A59">
        <w:t>raoh alone had the right to authorize a criminal’s death or mutilation’.</w:t>
      </w:r>
      <w:r w:rsidR="002F4A59">
        <w:rPr>
          <w:rStyle w:val="FootnoteReference"/>
        </w:rPr>
        <w:footnoteReference w:id="92"/>
      </w:r>
    </w:p>
    <w:p w14:paraId="745FF760" w14:textId="7A713D3A" w:rsidR="00226CFB" w:rsidRDefault="002949AF" w:rsidP="008858DD">
      <w:r>
        <w:tab/>
        <w:t>The oath calls on god and king</w:t>
      </w:r>
      <w:r w:rsidR="00D23F5B">
        <w:t xml:space="preserve"> to flog, deface, and kill</w:t>
      </w:r>
      <w:r>
        <w:t>. Whi</w:t>
      </w:r>
      <w:r w:rsidR="00BC10A5">
        <w:t>le there is an underlying theme,</w:t>
      </w:r>
      <w:r>
        <w:t xml:space="preserve"> that the ferocity of the oath serves as a call to raise the </w:t>
      </w:r>
      <w:r w:rsidRPr="00C33F99">
        <w:t>stakes in dispute, it is equally a repeated theme that the king is merciless, and his e</w:t>
      </w:r>
      <w:r w:rsidRPr="000222B3">
        <w:t>n</w:t>
      </w:r>
      <w:r w:rsidR="000222B3" w:rsidRPr="000222B3">
        <w:t>emy has no tomb,</w:t>
      </w:r>
      <w:r w:rsidR="00801339" w:rsidRPr="000222B3">
        <w:t xml:space="preserve"> characterised by both extreme violence and denial of burial.</w:t>
      </w:r>
      <w:r w:rsidR="00801339" w:rsidRPr="000222B3">
        <w:rPr>
          <w:rStyle w:val="FootnoteReference"/>
        </w:rPr>
        <w:footnoteReference w:id="93"/>
      </w:r>
      <w:r w:rsidR="002947FE" w:rsidRPr="000222B3">
        <w:t xml:space="preserve"> </w:t>
      </w:r>
      <w:r w:rsidR="0048558C" w:rsidRPr="00C33F99">
        <w:t xml:space="preserve">Of the two common Egyptian words, the term </w:t>
      </w:r>
      <w:r w:rsidR="002947FE" w:rsidRPr="00C33F99">
        <w:rPr>
          <w:rFonts w:ascii="Trlit_CG Times" w:hAnsi="Trlit_CG Times"/>
        </w:rPr>
        <w:t>Xdb</w:t>
      </w:r>
      <w:r w:rsidR="002947FE" w:rsidRPr="00C33F99">
        <w:t xml:space="preserve"> </w:t>
      </w:r>
      <w:r w:rsidR="0048558C" w:rsidRPr="00C33F99">
        <w:t xml:space="preserve">seems to be the </w:t>
      </w:r>
      <w:r w:rsidR="002947FE" w:rsidRPr="00C33F99">
        <w:t xml:space="preserve">unmarked word </w:t>
      </w:r>
      <w:r w:rsidR="0048558C" w:rsidRPr="00C33F99">
        <w:t xml:space="preserve">used </w:t>
      </w:r>
      <w:r w:rsidR="002947FE" w:rsidRPr="00C33F99">
        <w:t>for ‘kill’</w:t>
      </w:r>
      <w:r w:rsidR="0048558C" w:rsidRPr="00C33F99">
        <w:t xml:space="preserve">, where </w:t>
      </w:r>
      <w:r w:rsidR="002947FE" w:rsidRPr="00C33F99">
        <w:rPr>
          <w:rFonts w:ascii="Trlit_CG Times" w:hAnsi="Trlit_CG Times"/>
        </w:rPr>
        <w:t>smA</w:t>
      </w:r>
      <w:r w:rsidR="002947FE" w:rsidRPr="00C33F99">
        <w:t xml:space="preserve"> </w:t>
      </w:r>
      <w:r w:rsidR="0048558C" w:rsidRPr="00C33F99">
        <w:t xml:space="preserve">can better be translated by ‘slaughter’, </w:t>
      </w:r>
      <w:r w:rsidR="00E14552">
        <w:t xml:space="preserve">used </w:t>
      </w:r>
      <w:r w:rsidR="0048558C" w:rsidRPr="00C33F99">
        <w:t>as the normal term for</w:t>
      </w:r>
      <w:r w:rsidR="002947FE" w:rsidRPr="00C33F99">
        <w:t xml:space="preserve"> ‘(ritual) slaughter’</w:t>
      </w:r>
      <w:r w:rsidR="0048558C" w:rsidRPr="00C33F99">
        <w:t xml:space="preserve"> of animals, but then of the </w:t>
      </w:r>
      <w:r w:rsidR="002947FE" w:rsidRPr="00C33F99">
        <w:t>slaughter of enemies</w:t>
      </w:r>
      <w:r w:rsidR="0048558C" w:rsidRPr="00C33F99">
        <w:t xml:space="preserve">, ceremonially and outside the heat of battle, </w:t>
      </w:r>
      <w:r w:rsidR="002947FE" w:rsidRPr="00C33F99">
        <w:t xml:space="preserve">and then </w:t>
      </w:r>
      <w:r w:rsidR="0048558C" w:rsidRPr="00C33F99">
        <w:t xml:space="preserve">again perhaps </w:t>
      </w:r>
      <w:r w:rsidR="002947FE" w:rsidRPr="00C33F99">
        <w:t xml:space="preserve">as the </w:t>
      </w:r>
      <w:r w:rsidR="002212B4">
        <w:t>loaded te</w:t>
      </w:r>
      <w:r w:rsidR="0048558C" w:rsidRPr="00C33F99">
        <w:t xml:space="preserve">rm for </w:t>
      </w:r>
      <w:r w:rsidR="002947FE" w:rsidRPr="00C33F99">
        <w:t>‘murder’</w:t>
      </w:r>
      <w:r w:rsidR="0048558C" w:rsidRPr="00C33F99">
        <w:t xml:space="preserve"> against</w:t>
      </w:r>
      <w:r w:rsidR="002212B4">
        <w:t xml:space="preserve"> simple killing: </w:t>
      </w:r>
      <w:r w:rsidR="002212B4">
        <w:lastRenderedPageBreak/>
        <w:t>a deliberate, pre-meditated and individual act</w:t>
      </w:r>
      <w:r w:rsidR="0048558C" w:rsidRPr="00C33F99">
        <w:t xml:space="preserve">. </w:t>
      </w:r>
      <w:r w:rsidR="002947FE" w:rsidRPr="00C33F99">
        <w:t xml:space="preserve"> </w:t>
      </w:r>
      <w:r w:rsidR="0048558C" w:rsidRPr="00C33F99">
        <w:t>Frandsen has argued that this loaded meaning</w:t>
      </w:r>
      <w:r w:rsidR="00C33F99" w:rsidRPr="00C33F99">
        <w:t xml:space="preserve"> includes the Egyptian concept of a full killing</w:t>
      </w:r>
      <w:r w:rsidR="00BC10A5">
        <w:t xml:space="preserve">: </w:t>
      </w:r>
      <w:r w:rsidR="00C33F99" w:rsidRPr="00C33F99">
        <w:t xml:space="preserve"> to the ‘second </w:t>
      </w:r>
      <w:r w:rsidR="002947FE" w:rsidRPr="00C33F99">
        <w:t>death</w:t>
      </w:r>
      <w:r w:rsidR="00C33F99" w:rsidRPr="00C33F99">
        <w:t>’</w:t>
      </w:r>
      <w:r w:rsidR="002947FE" w:rsidRPr="00C33F99">
        <w:t xml:space="preserve">, </w:t>
      </w:r>
      <w:r w:rsidR="00C33F99" w:rsidRPr="00C33F99">
        <w:t xml:space="preserve">involving </w:t>
      </w:r>
      <w:r w:rsidR="002947FE" w:rsidRPr="00C33F99">
        <w:t>utter destruction (including posterity).</w:t>
      </w:r>
      <w:r w:rsidR="0048558C" w:rsidRPr="00C33F99">
        <w:rPr>
          <w:rStyle w:val="FootnoteReference"/>
        </w:rPr>
        <w:footnoteReference w:id="94"/>
      </w:r>
      <w:r w:rsidR="00C33F99">
        <w:t xml:space="preserve"> That approach is reinforced by reference to the slaughter-block (</w:t>
      </w:r>
      <w:r w:rsidR="00C33F99" w:rsidRPr="00483793">
        <w:rPr>
          <w:rFonts w:ascii="Trlit_CG Times" w:hAnsi="Trlit_CG Times"/>
        </w:rPr>
        <w:t>nmt</w:t>
      </w:r>
      <w:r w:rsidR="00C33F99">
        <w:rPr>
          <w:rFonts w:ascii="Trlit_CG Times" w:hAnsi="Trlit_CG Times"/>
        </w:rPr>
        <w:t>)</w:t>
      </w:r>
      <w:r w:rsidR="00C33F99">
        <w:t xml:space="preserve"> </w:t>
      </w:r>
      <w:r w:rsidR="00BC10A5">
        <w:t>‘</w:t>
      </w:r>
      <w:r w:rsidR="00C33F99">
        <w:t>as place of execution for the enemies of Pharaoh</w:t>
      </w:r>
      <w:r w:rsidR="00BC10A5">
        <w:t>’</w:t>
      </w:r>
      <w:r w:rsidR="00C33F99">
        <w:t>.</w:t>
      </w:r>
      <w:r w:rsidR="00C33F99">
        <w:rPr>
          <w:rStyle w:val="FootnoteReference"/>
        </w:rPr>
        <w:footnoteReference w:id="95"/>
      </w:r>
      <w:r w:rsidR="00226CFB">
        <w:t xml:space="preserve"> The point of torture, defacement and execution does not lie simply in punishment, and the modern image of bureaucratisation of process is </w:t>
      </w:r>
      <w:r w:rsidR="00461B89">
        <w:t>anachronistic</w:t>
      </w:r>
      <w:r w:rsidR="00226CFB">
        <w:t xml:space="preserve">: the point lies in display, and the creation of fear. In military contexts the terror of the enemy is central to the argument. In civil contexts, violence </w:t>
      </w:r>
      <w:r w:rsidR="008A1ADC">
        <w:t>is in practice the core assertion of authority, and the tool for removal of any sort of challenge to authority. The Instructions for Merkikare refer to the creator god destroying mankind when his authority is challenged, locating the threat of violence as the extreme tool of all social control:</w:t>
      </w:r>
      <w:r w:rsidR="008A1ADC">
        <w:rPr>
          <w:rStyle w:val="FootnoteReference"/>
        </w:rPr>
        <w:footnoteReference w:id="96"/>
      </w:r>
    </w:p>
    <w:p w14:paraId="7E36D541" w14:textId="77777777" w:rsidR="008858DD" w:rsidRDefault="008858DD" w:rsidP="008858DD"/>
    <w:p w14:paraId="607A5689" w14:textId="276C6761" w:rsidR="008A1ADC" w:rsidRDefault="005F664F" w:rsidP="008858DD">
      <w:r w:rsidRPr="00553691">
        <w:rPr>
          <w:rFonts w:ascii="Trlit_CG Times" w:hAnsi="Trlit_CG Times"/>
        </w:rPr>
        <w:t>smA.n=f xftyw=f HD.n=f msw=f Hr kAAt=sn m irit sb</w:t>
      </w:r>
      <w:r>
        <w:rPr>
          <w:rFonts w:ascii="Trlit_CG Times" w:hAnsi="Trlit_CG Times"/>
        </w:rPr>
        <w:t>it</w:t>
      </w:r>
      <w:r>
        <w:t xml:space="preserve"> </w:t>
      </w:r>
    </w:p>
    <w:p w14:paraId="589F5667" w14:textId="04C6B68E" w:rsidR="005F664F" w:rsidRDefault="005F664F" w:rsidP="008858DD">
      <w:r>
        <w:t xml:space="preserve">He has slaughtered his enemies, he has destroyed his children over what they plot in doing </w:t>
      </w:r>
      <w:r w:rsidRPr="00553691">
        <w:rPr>
          <w:rFonts w:ascii="Trlit_CG Times" w:hAnsi="Trlit_CG Times"/>
        </w:rPr>
        <w:t>sbit</w:t>
      </w:r>
      <w:r>
        <w:t xml:space="preserve">. </w:t>
      </w:r>
    </w:p>
    <w:p w14:paraId="5D13B3F4" w14:textId="77777777" w:rsidR="008A1ADC" w:rsidRDefault="008A1ADC" w:rsidP="008858DD">
      <w:r>
        <w:t>Similarly of god:</w:t>
      </w:r>
    </w:p>
    <w:p w14:paraId="5C6F60E5" w14:textId="77777777" w:rsidR="008858DD" w:rsidRDefault="008858DD" w:rsidP="008858DD"/>
    <w:p w14:paraId="1A22B55B" w14:textId="77777777" w:rsidR="008A1ADC" w:rsidRDefault="005F664F" w:rsidP="008858DD">
      <w:r w:rsidRPr="005E0E96">
        <w:rPr>
          <w:rFonts w:ascii="Trlit_CG Times" w:hAnsi="Trlit_CG Times"/>
        </w:rPr>
        <w:t>smA.n=f XAkw-ib mm mi Hwi s sA=f Hr sn=f</w:t>
      </w:r>
      <w:r>
        <w:t xml:space="preserve">  </w:t>
      </w:r>
    </w:p>
    <w:p w14:paraId="0137225B" w14:textId="24B5A759" w:rsidR="008A1ADC" w:rsidRDefault="005F664F" w:rsidP="008858DD">
      <w:r>
        <w:t>He has killed the disaffected (there)among, like a man strikes his son over his brother</w:t>
      </w:r>
      <w:r w:rsidR="00584E4A">
        <w:t>.</w:t>
      </w:r>
      <w:r>
        <w:t xml:space="preserve">  </w:t>
      </w:r>
    </w:p>
    <w:p w14:paraId="37E52269" w14:textId="77777777" w:rsidR="008858DD" w:rsidRPr="00584E4A" w:rsidRDefault="008858DD" w:rsidP="008858DD">
      <w:pPr>
        <w:rPr>
          <w:color w:val="FF0000"/>
        </w:rPr>
      </w:pPr>
    </w:p>
    <w:p w14:paraId="79997505" w14:textId="6C1FB315" w:rsidR="00115420" w:rsidRDefault="00584E4A" w:rsidP="008858DD">
      <w:r>
        <w:t>The</w:t>
      </w:r>
      <w:r w:rsidR="00742FAE">
        <w:t xml:space="preserve"> murder of captives </w:t>
      </w:r>
      <w:r>
        <w:t xml:space="preserve">should be understood as a regular, theatrical </w:t>
      </w:r>
      <w:r w:rsidR="00742FAE">
        <w:t xml:space="preserve">display of how authority should be feared, not a </w:t>
      </w:r>
      <w:r w:rsidR="0072034D">
        <w:t>symbolic representation of cosmic order.</w:t>
      </w:r>
      <w:r w:rsidR="00742FAE">
        <w:t xml:space="preserve"> Fear </w:t>
      </w:r>
      <w:r w:rsidR="00461B89">
        <w:t>claims to prevent</w:t>
      </w:r>
      <w:r w:rsidR="00742FAE">
        <w:t xml:space="preserve"> opposition – the consequences of </w:t>
      </w:r>
      <w:r w:rsidR="00742FAE" w:rsidRPr="00742FAE">
        <w:rPr>
          <w:rFonts w:ascii="Trlit_CG Times" w:hAnsi="Trlit_CG Times"/>
        </w:rPr>
        <w:t>sbi</w:t>
      </w:r>
      <w:r w:rsidR="00742FAE">
        <w:t xml:space="preserve"> are dire – just as it </w:t>
      </w:r>
      <w:r w:rsidR="00461B89">
        <w:t>should discourage</w:t>
      </w:r>
      <w:r w:rsidR="00742FAE">
        <w:t xml:space="preserve"> crime.</w:t>
      </w:r>
      <w:r>
        <w:t xml:space="preserve"> </w:t>
      </w:r>
      <w:r w:rsidR="00E15D4E">
        <w:t>Fear is then an important theme in practical social order</w:t>
      </w:r>
      <w:r w:rsidR="00461B89">
        <w:t xml:space="preserve"> at all levels</w:t>
      </w:r>
      <w:r w:rsidR="00E15D4E">
        <w:t>.</w:t>
      </w:r>
      <w:r w:rsidR="008B1D12">
        <w:rPr>
          <w:rStyle w:val="FootnoteReference"/>
        </w:rPr>
        <w:footnoteReference w:id="97"/>
      </w:r>
      <w:r>
        <w:t xml:space="preserve"> </w:t>
      </w:r>
      <w:r w:rsidR="00115420">
        <w:t xml:space="preserve">The </w:t>
      </w:r>
      <w:r w:rsidR="00BC10A5">
        <w:t>unpredictability</w:t>
      </w:r>
      <w:r w:rsidR="00115420">
        <w:t xml:space="preserve"> of royal power is made fairly clearly in the Instruction for Merikare:</w:t>
      </w:r>
      <w:r w:rsidR="00115420" w:rsidRPr="00B12D80">
        <w:rPr>
          <w:rStyle w:val="FootnoteReference"/>
        </w:rPr>
        <w:t xml:space="preserve"> </w:t>
      </w:r>
      <w:r w:rsidR="00115420">
        <w:rPr>
          <w:rStyle w:val="FootnoteReference"/>
        </w:rPr>
        <w:footnoteReference w:id="98"/>
      </w:r>
    </w:p>
    <w:p w14:paraId="6C65DB3A" w14:textId="77777777" w:rsidR="008858DD" w:rsidRDefault="008858DD" w:rsidP="008858DD"/>
    <w:p w14:paraId="0F2B3DE0" w14:textId="77777777" w:rsidR="00115420" w:rsidRDefault="00115420" w:rsidP="008858DD">
      <w:r w:rsidRPr="004037D9">
        <w:rPr>
          <w:rFonts w:ascii="Trlit_CG Times" w:hAnsi="Trlit_CG Times"/>
        </w:rPr>
        <w:t>sAw.ti Hr xsf m nf</w:t>
      </w:r>
      <w:r>
        <w:t xml:space="preserve"> </w:t>
      </w:r>
    </w:p>
    <w:p w14:paraId="08F17400" w14:textId="77777777" w:rsidR="00115420" w:rsidRDefault="00115420" w:rsidP="008858DD">
      <w:r>
        <w:t>Avoid punishing pointlessly.</w:t>
      </w:r>
    </w:p>
    <w:p w14:paraId="31FBCB43" w14:textId="77777777" w:rsidR="00115420" w:rsidRPr="004037D9" w:rsidRDefault="00115420" w:rsidP="008858DD">
      <w:pPr>
        <w:rPr>
          <w:rFonts w:ascii="Trlit_CG Times" w:hAnsi="Trlit_CG Times"/>
        </w:rPr>
      </w:pPr>
      <w:r w:rsidRPr="004037D9">
        <w:rPr>
          <w:rFonts w:ascii="Trlit_CG Times" w:hAnsi="Trlit_CG Times"/>
        </w:rPr>
        <w:t>m sqr nn st Ax n=k</w:t>
      </w:r>
    </w:p>
    <w:p w14:paraId="23B1AA13" w14:textId="77777777" w:rsidR="00115420" w:rsidRDefault="00115420" w:rsidP="008858DD">
      <w:r>
        <w:t>Do not strike – it is not useful to you.</w:t>
      </w:r>
    </w:p>
    <w:p w14:paraId="1A982C0B" w14:textId="77777777" w:rsidR="008858DD" w:rsidRDefault="008858DD" w:rsidP="008858DD"/>
    <w:p w14:paraId="71D6617B" w14:textId="77777777" w:rsidR="00115420" w:rsidRDefault="00115420" w:rsidP="008858DD">
      <w:r>
        <w:lastRenderedPageBreak/>
        <w:t>And:</w:t>
      </w:r>
      <w:r>
        <w:rPr>
          <w:rStyle w:val="FootnoteReference"/>
        </w:rPr>
        <w:footnoteReference w:id="99"/>
      </w:r>
    </w:p>
    <w:p w14:paraId="5ADE7218" w14:textId="77777777" w:rsidR="008858DD" w:rsidRDefault="008858DD" w:rsidP="008858DD"/>
    <w:p w14:paraId="4866AFEF" w14:textId="77777777" w:rsidR="00115420" w:rsidRDefault="00115420" w:rsidP="008858DD">
      <w:r w:rsidRPr="004037D9">
        <w:rPr>
          <w:rFonts w:ascii="Trlit_CG Times" w:hAnsi="Trlit_CG Times"/>
        </w:rPr>
        <w:t>m smA wa tkn im=k H</w:t>
      </w:r>
      <w:r>
        <w:rPr>
          <w:rFonts w:ascii="Trlit_CG Times" w:hAnsi="Trlit_CG Times"/>
        </w:rPr>
        <w:t>si</w:t>
      </w:r>
      <w:r w:rsidRPr="004037D9">
        <w:rPr>
          <w:rFonts w:ascii="Trlit_CG Times" w:hAnsi="Trlit_CG Times"/>
        </w:rPr>
        <w:t>.n=k sw</w:t>
      </w:r>
      <w:r>
        <w:t xml:space="preserve"> </w:t>
      </w:r>
    </w:p>
    <w:p w14:paraId="26782E3B" w14:textId="77777777" w:rsidR="00115420" w:rsidRDefault="00115420" w:rsidP="008858DD">
      <w:r>
        <w:t>Do not slay one close to you, when you have favoured him.</w:t>
      </w:r>
    </w:p>
    <w:p w14:paraId="22CBE33A" w14:textId="77777777" w:rsidR="008858DD" w:rsidRDefault="008858DD" w:rsidP="008858DD"/>
    <w:p w14:paraId="6B924F12" w14:textId="292B0139" w:rsidR="00115420" w:rsidRDefault="00115420" w:rsidP="008858DD">
      <w:r>
        <w:t>There is, however, a more general expectation, articulated directly in the Instruction for Merikare, that violence is structural to society:</w:t>
      </w:r>
      <w:r>
        <w:rPr>
          <w:rStyle w:val="FootnoteReference"/>
        </w:rPr>
        <w:footnoteReference w:id="100"/>
      </w:r>
    </w:p>
    <w:p w14:paraId="02D9001D" w14:textId="77777777" w:rsidR="008858DD" w:rsidRDefault="008858DD" w:rsidP="008858DD"/>
    <w:p w14:paraId="66F043DF" w14:textId="77777777" w:rsidR="00115420" w:rsidRPr="00DC28B1" w:rsidRDefault="00115420" w:rsidP="008858DD">
      <w:pPr>
        <w:rPr>
          <w:rFonts w:ascii="Trlit_CG Times" w:hAnsi="Trlit_CG Times"/>
        </w:rPr>
      </w:pPr>
      <w:r w:rsidRPr="00DC28B1">
        <w:rPr>
          <w:rFonts w:ascii="Trlit_CG Times" w:hAnsi="Trlit_CG Times"/>
        </w:rPr>
        <w:t>nn wn Sw m xrwy</w:t>
      </w:r>
    </w:p>
    <w:p w14:paraId="2A68B63A" w14:textId="77777777" w:rsidR="00115420" w:rsidRDefault="00115420" w:rsidP="008858DD">
      <w:r>
        <w:t>There is nobody free from (having) enemies.</w:t>
      </w:r>
    </w:p>
    <w:p w14:paraId="59E61C6B" w14:textId="77777777" w:rsidR="008858DD" w:rsidRDefault="008858DD" w:rsidP="008858DD"/>
    <w:p w14:paraId="2D0B84EE" w14:textId="43B01875" w:rsidR="00E35546" w:rsidRDefault="008858DD" w:rsidP="008858DD">
      <w:r>
        <w:t>Society is only controllable by local fear and violence. For instance,</w:t>
      </w:r>
      <w:r w:rsidR="00115420">
        <w:t xml:space="preserve"> t</w:t>
      </w:r>
      <w:r w:rsidR="00E35546">
        <w:t>he late 6</w:t>
      </w:r>
      <w:r w:rsidR="00E35546" w:rsidRPr="00742FAE">
        <w:rPr>
          <w:vertAlign w:val="superscript"/>
        </w:rPr>
        <w:t>th</w:t>
      </w:r>
      <w:r w:rsidR="00E35546">
        <w:t xml:space="preserve"> Dynasty autobiography of Merefnebef includes (</w:t>
      </w:r>
      <w:r w:rsidR="00E35546" w:rsidRPr="00E147FE">
        <w:t>lines 12-15</w:t>
      </w:r>
      <w:r w:rsidR="00E35546">
        <w:t>) the warning</w:t>
      </w:r>
      <w:r w:rsidR="00E35546" w:rsidRPr="00E147FE">
        <w:t xml:space="preserve"> against anybody who will do evil to his tomb</w:t>
      </w:r>
      <w:r w:rsidR="00E35546">
        <w:t>, its cults and priest(hood):</w:t>
      </w:r>
      <w:r w:rsidR="00E35546">
        <w:rPr>
          <w:rStyle w:val="FootnoteReference"/>
        </w:rPr>
        <w:footnoteReference w:id="101"/>
      </w:r>
    </w:p>
    <w:p w14:paraId="55A7225C" w14:textId="77777777" w:rsidR="008858DD" w:rsidRDefault="008858DD" w:rsidP="008858DD"/>
    <w:p w14:paraId="2DF756F5" w14:textId="77777777" w:rsidR="00E35546" w:rsidRPr="00E147FE" w:rsidRDefault="00E35546" w:rsidP="008858DD">
      <w:pPr>
        <w:rPr>
          <w:rFonts w:ascii="Trlit_CG Times" w:hAnsi="Trlit_CG Times"/>
        </w:rPr>
      </w:pPr>
      <w:r w:rsidRPr="00E147FE">
        <w:rPr>
          <w:rFonts w:ascii="Trlit_CG Times" w:hAnsi="Trlit_CG Times"/>
        </w:rPr>
        <w:t>iw(=i) r irit n=f pHwy Hr=s r gs=s[n?]</w:t>
      </w:r>
    </w:p>
    <w:p w14:paraId="04CFCD33" w14:textId="4867DC50" w:rsidR="00E35546" w:rsidRPr="00E147FE" w:rsidRDefault="00E35546" w:rsidP="008858DD">
      <w:r w:rsidRPr="00E147FE">
        <w:t>I shall make an end to him over it beside them(?)</w:t>
      </w:r>
    </w:p>
    <w:p w14:paraId="32FFC8FD" w14:textId="77777777" w:rsidR="00E35546" w:rsidRPr="00E147FE" w:rsidRDefault="00E35546" w:rsidP="008858DD">
      <w:pPr>
        <w:rPr>
          <w:rFonts w:ascii="Trlit_CG Times" w:hAnsi="Trlit_CG Times"/>
        </w:rPr>
      </w:pPr>
      <w:r w:rsidRPr="00E147FE">
        <w:rPr>
          <w:rFonts w:ascii="Trlit_CG Times" w:hAnsi="Trlit_CG Times"/>
        </w:rPr>
        <w:t>dy n(=i) snD im=f r mAA</w:t>
      </w:r>
    </w:p>
    <w:p w14:paraId="19CE52E0" w14:textId="77777777" w:rsidR="00E35546" w:rsidRPr="00E147FE" w:rsidRDefault="00E35546" w:rsidP="008858DD">
      <w:r w:rsidRPr="00E147FE">
        <w:t>Fear is put in it for me, so that</w:t>
      </w:r>
    </w:p>
    <w:p w14:paraId="1B4E215C" w14:textId="77777777" w:rsidR="00E35546" w:rsidRPr="00E147FE" w:rsidRDefault="00E35546" w:rsidP="008858DD">
      <w:pPr>
        <w:rPr>
          <w:rFonts w:ascii="Trlit_CG Times" w:hAnsi="Trlit_CG Times"/>
        </w:rPr>
      </w:pPr>
      <w:r w:rsidRPr="00E147FE">
        <w:rPr>
          <w:rFonts w:ascii="Trlit_CG Times" w:hAnsi="Trlit_CG Times"/>
        </w:rPr>
        <w:t>tpy=sn tA snD=sn n Ax(=i??)</w:t>
      </w:r>
    </w:p>
    <w:p w14:paraId="1F6292ED" w14:textId="77777777" w:rsidR="00E35546" w:rsidRPr="00E147FE" w:rsidRDefault="00E35546" w:rsidP="008858DD">
      <w:r w:rsidRPr="00E147FE">
        <w:t xml:space="preserve">their heirs on earth shall see, and they shall fear (my??) </w:t>
      </w:r>
      <w:r w:rsidRPr="00E147FE">
        <w:rPr>
          <w:i/>
        </w:rPr>
        <w:t>akh</w:t>
      </w:r>
      <w:r w:rsidRPr="00E147FE">
        <w:t>,</w:t>
      </w:r>
    </w:p>
    <w:p w14:paraId="23AB5309" w14:textId="77777777" w:rsidR="00E35546" w:rsidRPr="00E147FE" w:rsidRDefault="00E35546" w:rsidP="008858DD">
      <w:pPr>
        <w:rPr>
          <w:rFonts w:ascii="Trlit_CG Times" w:hAnsi="Trlit_CG Times"/>
        </w:rPr>
      </w:pPr>
      <w:r w:rsidRPr="00E147FE">
        <w:rPr>
          <w:rFonts w:ascii="Trlit_CG Times" w:hAnsi="Trlit_CG Times"/>
        </w:rPr>
        <w:t>mst(y)w=sn m tA pn r-Dr=f</w:t>
      </w:r>
    </w:p>
    <w:p w14:paraId="7E9D37F0" w14:textId="77777777" w:rsidR="00E35546" w:rsidRPr="00E147FE" w:rsidRDefault="00E35546" w:rsidP="008858DD">
      <w:r w:rsidRPr="00E147FE">
        <w:t>those who will be born in this entire land.</w:t>
      </w:r>
    </w:p>
    <w:p w14:paraId="07DE05CE" w14:textId="77777777" w:rsidR="008858DD" w:rsidRDefault="008858DD" w:rsidP="008858DD"/>
    <w:p w14:paraId="0B6CBB7A" w14:textId="0B320D40" w:rsidR="00A7208F" w:rsidRDefault="00E35546" w:rsidP="008858DD">
      <w:r>
        <w:t>S</w:t>
      </w:r>
      <w:r w:rsidR="00E15D4E">
        <w:t>eeing the result is crucial, an</w:t>
      </w:r>
      <w:r w:rsidR="00115420">
        <w:t xml:space="preserve">d violence as tool of both hierarchy and social order </w:t>
      </w:r>
      <w:r w:rsidR="00E15D4E">
        <w:t xml:space="preserve">is the norm, and not the exception. </w:t>
      </w:r>
    </w:p>
    <w:p w14:paraId="5FA8667C" w14:textId="77777777" w:rsidR="009171AF" w:rsidRDefault="009171AF" w:rsidP="00502122"/>
    <w:p w14:paraId="70FF452B" w14:textId="0C0D793C" w:rsidR="004E5040" w:rsidRPr="004E5040" w:rsidRDefault="004E5040" w:rsidP="00502122">
      <w:pPr>
        <w:rPr>
          <w:b/>
        </w:rPr>
      </w:pPr>
      <w:r w:rsidRPr="004E5040">
        <w:rPr>
          <w:b/>
        </w:rPr>
        <w:t>Violence and the state</w:t>
      </w:r>
    </w:p>
    <w:p w14:paraId="30C7C597" w14:textId="5523B86A" w:rsidR="0002502A" w:rsidRDefault="00513655" w:rsidP="008858DD">
      <w:r>
        <w:t>In reality, a</w:t>
      </w:r>
      <w:r w:rsidR="00CF47D9">
        <w:t xml:space="preserve">ny contact with (state) authority </w:t>
      </w:r>
      <w:r>
        <w:t xml:space="preserve">in Egypt </w:t>
      </w:r>
      <w:r w:rsidR="00CF47D9">
        <w:t>carried an expectation</w:t>
      </w:r>
      <w:r w:rsidR="0002502A">
        <w:t xml:space="preserve"> of violence for the individual, where fear was the key tool.</w:t>
      </w:r>
      <w:r w:rsidR="00CF47D9">
        <w:t xml:space="preserve">  As </w:t>
      </w:r>
      <w:r w:rsidR="00CF47D9" w:rsidRPr="00701369">
        <w:t xml:space="preserve">the </w:t>
      </w:r>
      <w:r w:rsidR="00BD0B3D" w:rsidRPr="00701369">
        <w:t>Installation of the Vizier says:</w:t>
      </w:r>
      <w:r w:rsidR="0002502A" w:rsidRPr="00701369">
        <w:rPr>
          <w:rStyle w:val="FootnoteReference"/>
        </w:rPr>
        <w:footnoteReference w:id="102"/>
      </w:r>
      <w:r w:rsidR="00BD0B3D" w:rsidRPr="00701369">
        <w:t xml:space="preserve"> </w:t>
      </w:r>
    </w:p>
    <w:p w14:paraId="18A0159A" w14:textId="77777777" w:rsidR="008858DD" w:rsidRPr="00701369" w:rsidRDefault="008858DD" w:rsidP="008858DD"/>
    <w:p w14:paraId="2CE2A3D0" w14:textId="7E0D0D5E" w:rsidR="0002502A" w:rsidRPr="00701369" w:rsidRDefault="005845F2" w:rsidP="008858DD">
      <w:pPr>
        <w:rPr>
          <w:rFonts w:ascii="Trlit_CG Times" w:hAnsi="Trlit_CG Times"/>
        </w:rPr>
      </w:pPr>
      <w:r w:rsidRPr="00701369">
        <w:rPr>
          <w:rFonts w:ascii="Trlit_CG Times" w:hAnsi="Trlit_CG Times"/>
        </w:rPr>
        <w:t xml:space="preserve">imi snD=k snD.t(w) n=k sr pw sr snDw mk Sfyt nt [sr] </w:t>
      </w:r>
      <w:r w:rsidR="009B3F73" w:rsidRPr="00701369">
        <w:rPr>
          <w:rFonts w:ascii="Trlit_CG Times" w:hAnsi="Trlit_CG Times"/>
        </w:rPr>
        <w:t>iri=f mAat mk ir di s snD=f HH n sp iw nkt im=f n aDA m rx n rmT n Dd=sn r=f s pw</w:t>
      </w:r>
    </w:p>
    <w:p w14:paraId="5CE23951" w14:textId="6DFD54CB" w:rsidR="00701369" w:rsidRDefault="00701369" w:rsidP="008858DD">
      <w:r w:rsidRPr="00391840">
        <w:t>Instill fear of you, so that you are feared; the official who is feared is the (real) official. Note (then) that awe of an official (lies in) him doing</w:t>
      </w:r>
      <w:r w:rsidRPr="00391840">
        <w:rPr>
          <w:i/>
        </w:rPr>
        <w:t xml:space="preserve"> maat</w:t>
      </w:r>
      <w:r w:rsidRPr="00391840">
        <w:t xml:space="preserve">. (But) note that when a man causes himself to be feared a million times, there is </w:t>
      </w:r>
      <w:r w:rsidRPr="00391840">
        <w:lastRenderedPageBreak/>
        <w:t>something of wrong in him in public opinion; they do not say about him, “He is a man!”</w:t>
      </w:r>
    </w:p>
    <w:p w14:paraId="50697981" w14:textId="77777777" w:rsidR="008858DD" w:rsidRPr="00391840" w:rsidRDefault="008858DD" w:rsidP="008858DD"/>
    <w:p w14:paraId="0EE9FEAA" w14:textId="17261C0D" w:rsidR="00513655" w:rsidRPr="00270456" w:rsidRDefault="00BD0B3D" w:rsidP="008858DD">
      <w:r w:rsidRPr="00701369">
        <w:t>Th</w:t>
      </w:r>
      <w:r w:rsidR="003D6638">
        <w:t xml:space="preserve">e </w:t>
      </w:r>
      <w:r w:rsidR="00AC651A">
        <w:t>threat of</w:t>
      </w:r>
      <w:r w:rsidR="003D6638">
        <w:t xml:space="preserve"> </w:t>
      </w:r>
      <w:r>
        <w:t>violence</w:t>
      </w:r>
      <w:r w:rsidR="00AC651A">
        <w:t xml:space="preserve">, and its measured exercise, </w:t>
      </w:r>
      <w:r w:rsidR="003D6638">
        <w:t xml:space="preserve">underlay </w:t>
      </w:r>
      <w:r w:rsidR="00AC651A">
        <w:t>hierarchy</w:t>
      </w:r>
      <w:r>
        <w:t>.</w:t>
      </w:r>
      <w:r w:rsidR="00391840">
        <w:rPr>
          <w:rStyle w:val="FootnoteReference"/>
        </w:rPr>
        <w:footnoteReference w:id="103"/>
      </w:r>
      <w:r>
        <w:t xml:space="preserve"> </w:t>
      </w:r>
      <w:r w:rsidR="00CF47D9">
        <w:t>Revenue collection is consistently associat</w:t>
      </w:r>
      <w:r>
        <w:t>ed</w:t>
      </w:r>
      <w:r w:rsidR="00CF47D9">
        <w:t xml:space="preserve">, in picture and text, with the flogging of the farmers and responsible village headmen. Illustrations in Old and Middle Kingdom tombs show floggings </w:t>
      </w:r>
      <w:r w:rsidR="00AC651A">
        <w:t xml:space="preserve">of revenue payers, </w:t>
      </w:r>
      <w:r w:rsidR="00CF47D9">
        <w:t>either tied to a post,</w:t>
      </w:r>
      <w:r w:rsidR="00CF47D9">
        <w:rPr>
          <w:rStyle w:val="FootnoteReference"/>
        </w:rPr>
        <w:footnoteReference w:id="104"/>
      </w:r>
      <w:r>
        <w:t xml:space="preserve"> or stretched out on the ground</w:t>
      </w:r>
      <w:r w:rsidR="00513655">
        <w:t>, in a position where beating the soles of the feet rather than the back would be practical</w:t>
      </w:r>
      <w:r>
        <w:t>.</w:t>
      </w:r>
      <w:r>
        <w:rPr>
          <w:rStyle w:val="FootnoteReference"/>
        </w:rPr>
        <w:footnoteReference w:id="105"/>
      </w:r>
      <w:r w:rsidR="002C394B">
        <w:t xml:space="preserve"> The 6</w:t>
      </w:r>
      <w:r w:rsidR="002C394B" w:rsidRPr="002C394B">
        <w:rPr>
          <w:vertAlign w:val="superscript"/>
        </w:rPr>
        <w:t>th</w:t>
      </w:r>
      <w:r w:rsidR="002C394B">
        <w:t xml:space="preserve"> dynasty Controller of Works, Nekehbu, talking of his time running his elder brother’s estates, claims that he ‘did not beat</w:t>
      </w:r>
      <w:r w:rsidR="00D77C38">
        <w:t xml:space="preserve"> somebody until he fell under </w:t>
      </w:r>
      <w:r w:rsidR="00D77C38" w:rsidRPr="00E00B20">
        <w:t>my fingers</w:t>
      </w:r>
      <w:r w:rsidR="002C394B" w:rsidRPr="00E00B20">
        <w:t>’.</w:t>
      </w:r>
      <w:r w:rsidR="002C394B" w:rsidRPr="00E00B20">
        <w:rPr>
          <w:rStyle w:val="FootnoteReference"/>
        </w:rPr>
        <w:footnoteReference w:id="106"/>
      </w:r>
      <w:r w:rsidR="002C394B" w:rsidRPr="00E00B20">
        <w:t xml:space="preserve"> </w:t>
      </w:r>
      <w:r w:rsidR="00F06239" w:rsidRPr="00E00B20">
        <w:t xml:space="preserve">In the </w:t>
      </w:r>
      <w:r w:rsidR="002C394B">
        <w:t xml:space="preserve">New Kingdom literary </w:t>
      </w:r>
      <w:r w:rsidR="002C394B" w:rsidRPr="00F06239">
        <w:t>Papyrus Lansing,</w:t>
      </w:r>
      <w:r w:rsidR="002C394B" w:rsidRPr="00F06239">
        <w:rPr>
          <w:rStyle w:val="FootnoteReference"/>
        </w:rPr>
        <w:footnoteReference w:id="107"/>
      </w:r>
      <w:r w:rsidR="00F06239">
        <w:t xml:space="preserve"> the collecting </w:t>
      </w:r>
      <w:r w:rsidR="002C394B">
        <w:t>scribe</w:t>
      </w:r>
      <w:r w:rsidR="00F06239">
        <w:t xml:space="preserve"> is accompanied by door-keepers, who </w:t>
      </w:r>
      <w:r w:rsidR="002C394B">
        <w:t xml:space="preserve">carry </w:t>
      </w:r>
      <w:r w:rsidR="00F06239" w:rsidRPr="00F06239">
        <w:rPr>
          <w:rFonts w:ascii="Trlit_CG Times" w:hAnsi="Trlit_CG Times"/>
        </w:rPr>
        <w:t>SAbd</w:t>
      </w:r>
      <w:r w:rsidR="00F06239">
        <w:t xml:space="preserve">-sticks, and by Nubians with </w:t>
      </w:r>
      <w:r w:rsidR="002C394B">
        <w:t>the</w:t>
      </w:r>
      <w:r w:rsidR="00F06239">
        <w:t xml:space="preserve"> same</w:t>
      </w:r>
      <w:r w:rsidR="002C394B">
        <w:t xml:space="preserve"> </w:t>
      </w:r>
      <w:r w:rsidR="00D77C38" w:rsidRPr="00B66957">
        <w:rPr>
          <w:rFonts w:ascii="Trlit_CG Times" w:hAnsi="Trlit_CG Times"/>
        </w:rPr>
        <w:t>bDn</w:t>
      </w:r>
      <w:r w:rsidR="00D77C38">
        <w:t xml:space="preserve">-sticks </w:t>
      </w:r>
      <w:r w:rsidR="002C394B">
        <w:t xml:space="preserve">used as tool of </w:t>
      </w:r>
      <w:r w:rsidR="002C394B" w:rsidRPr="00AD2914">
        <w:t xml:space="preserve">interrogation in the </w:t>
      </w:r>
      <w:r w:rsidR="00F06239">
        <w:t>tomb-robbery inve</w:t>
      </w:r>
      <w:r w:rsidR="002C394B" w:rsidRPr="00AD2914">
        <w:t>stigations</w:t>
      </w:r>
      <w:r w:rsidR="00F06239">
        <w:t>: floggings follow</w:t>
      </w:r>
      <w:r w:rsidR="00DF709E">
        <w:t xml:space="preserve"> for the farmer</w:t>
      </w:r>
      <w:r w:rsidR="00F06239">
        <w:t>, and submerging in the well</w:t>
      </w:r>
      <w:r w:rsidR="002C394B" w:rsidRPr="00AD2914">
        <w:t xml:space="preserve">. The theme is </w:t>
      </w:r>
      <w:r w:rsidR="00F06239">
        <w:t xml:space="preserve">a </w:t>
      </w:r>
      <w:r w:rsidR="002C394B" w:rsidRPr="00AD2914">
        <w:t xml:space="preserve">constant of Egyptian rural life, encapsulated best in the Roman period reference to Egyptian peasantry </w:t>
      </w:r>
      <w:r w:rsidR="00AD2914" w:rsidRPr="00AD2914">
        <w:t>by</w:t>
      </w:r>
      <w:r w:rsidR="001D7FFD" w:rsidRPr="00AD2914">
        <w:t>Ammianus Marcellinus:</w:t>
      </w:r>
      <w:r w:rsidR="002C394B" w:rsidRPr="00AD2914">
        <w:rPr>
          <w:rStyle w:val="FootnoteReference"/>
        </w:rPr>
        <w:footnoteReference w:id="108"/>
      </w:r>
      <w:r w:rsidR="001D7FFD" w:rsidRPr="00AD2914">
        <w:t xml:space="preserve"> “It is shameful among them if they cannot show whip marks on their bodies acquired from not paying their taxes. No torture has yet been invented harsh enough to get a</w:t>
      </w:r>
      <w:r w:rsidR="001D7FFD" w:rsidRPr="00270456">
        <w:t xml:space="preserve"> hardened bandit from that region to give up his true name unwillingly.”</w:t>
      </w:r>
      <w:r w:rsidR="001222D6" w:rsidRPr="00270456">
        <w:t xml:space="preserve"> </w:t>
      </w:r>
    </w:p>
    <w:p w14:paraId="231BA14C" w14:textId="1B17E766" w:rsidR="00CF7D32" w:rsidRDefault="001222D6" w:rsidP="008858DD">
      <w:r w:rsidRPr="00270456">
        <w:tab/>
        <w:t xml:space="preserve">Military violence involves the de-humanisation of the foreigner. </w:t>
      </w:r>
      <w:r w:rsidR="00270456" w:rsidRPr="00270456">
        <w:t>F</w:t>
      </w:r>
      <w:r w:rsidRPr="00270456">
        <w:t xml:space="preserve">logging as </w:t>
      </w:r>
      <w:r w:rsidR="00270456" w:rsidRPr="00270456">
        <w:t>civil norm</w:t>
      </w:r>
      <w:r w:rsidRPr="00270456">
        <w:rPr>
          <w:rStyle w:val="FootnoteReference"/>
        </w:rPr>
        <w:footnoteReference w:id="109"/>
      </w:r>
      <w:r w:rsidRPr="00270456">
        <w:t xml:space="preserve"> belongs to a hierarchical attitude that treats </w:t>
      </w:r>
      <w:r w:rsidR="00270456" w:rsidRPr="00270456">
        <w:t>peasants and workers in way</w:t>
      </w:r>
      <w:r w:rsidR="00604E43">
        <w:t>s</w:t>
      </w:r>
      <w:r w:rsidR="00270456" w:rsidRPr="00270456">
        <w:t xml:space="preserve"> </w:t>
      </w:r>
      <w:r w:rsidR="00604E43">
        <w:t xml:space="preserve">similar to </w:t>
      </w:r>
      <w:r w:rsidR="00270456" w:rsidRPr="00270456">
        <w:t xml:space="preserve">animals, but both reflect </w:t>
      </w:r>
      <w:r w:rsidR="00604E43">
        <w:t xml:space="preserve">a norm of </w:t>
      </w:r>
      <w:r w:rsidR="00270456" w:rsidRPr="00270456">
        <w:t xml:space="preserve">violence as the </w:t>
      </w:r>
      <w:r w:rsidR="0068479D">
        <w:t>tool and display</w:t>
      </w:r>
      <w:r w:rsidR="00270456" w:rsidRPr="00270456">
        <w:t xml:space="preserve"> of power. </w:t>
      </w:r>
      <w:r w:rsidR="00513655" w:rsidRPr="00270456">
        <w:t>The physical interrogation of suspects and witnesses during the Ramesside tomb robbery processes were evidently severe, although they seem relatively unsophisticated: beatings and various forms of twisting seem to be the standard, although th</w:t>
      </w:r>
      <w:r w:rsidR="00513655">
        <w:t>e exact form of th</w:t>
      </w:r>
      <w:r w:rsidR="004E5040">
        <w:t>e implements used are not clear:</w:t>
      </w:r>
      <w:r w:rsidR="004E5040">
        <w:rPr>
          <w:rStyle w:val="FootnoteReference"/>
        </w:rPr>
        <w:footnoteReference w:id="110"/>
      </w:r>
      <w:r w:rsidR="00513655">
        <w:t xml:space="preserve"> </w:t>
      </w:r>
    </w:p>
    <w:p w14:paraId="0662F18D" w14:textId="77777777" w:rsidR="008858DD" w:rsidRPr="00270456" w:rsidRDefault="008858DD" w:rsidP="008858DD">
      <w:pPr>
        <w:rPr>
          <w:color w:val="FF0000"/>
        </w:rPr>
      </w:pPr>
    </w:p>
    <w:p w14:paraId="2279F1FD" w14:textId="77777777" w:rsidR="004E5040" w:rsidRPr="002D37C4" w:rsidRDefault="004E5040" w:rsidP="008858DD">
      <w:pPr>
        <w:rPr>
          <w:rFonts w:ascii="Trlit_CG Times" w:hAnsi="Trlit_CG Times"/>
        </w:rPr>
      </w:pPr>
      <w:r w:rsidRPr="002D37C4">
        <w:rPr>
          <w:rFonts w:ascii="Trlit_CG Times" w:hAnsi="Trlit_CG Times"/>
        </w:rPr>
        <w:t xml:space="preserve">Dd=f ir iw ky (r) iy mtw=f saHa(=i) iw=k (r) irit n=i sbAyt nbt bin </w:t>
      </w:r>
    </w:p>
    <w:p w14:paraId="3B452E22" w14:textId="77777777" w:rsidR="004E5040" w:rsidRPr="002D37C4" w:rsidRDefault="004E5040" w:rsidP="008858DD">
      <w:pPr>
        <w:rPr>
          <w:rFonts w:ascii="Trlit_CG Times" w:hAnsi="Trlit_CG Times"/>
        </w:rPr>
      </w:pPr>
      <w:r>
        <w:rPr>
          <w:rFonts w:ascii="Trlit_CG Times" w:hAnsi="Trlit_CG Times"/>
        </w:rPr>
        <w:t>wHm smty=f m bA</w:t>
      </w:r>
      <w:r w:rsidRPr="002D37C4">
        <w:rPr>
          <w:rFonts w:ascii="Trlit_CG Times" w:hAnsi="Trlit_CG Times"/>
        </w:rPr>
        <w:t xml:space="preserve">-DA-nA nA-DA-nA sp </w:t>
      </w:r>
      <w:r>
        <w:t>2</w:t>
      </w:r>
      <w:r w:rsidRPr="002D37C4">
        <w:rPr>
          <w:rFonts w:ascii="Trlit_CG Times" w:hAnsi="Trlit_CG Times"/>
        </w:rPr>
        <w:t xml:space="preserve"> sp</w:t>
      </w:r>
      <w:r>
        <w:rPr>
          <w:rFonts w:ascii="Trlit_CG Times" w:hAnsi="Trlit_CG Times"/>
        </w:rPr>
        <w:t xml:space="preserve"> </w:t>
      </w:r>
      <w:r>
        <w:t>2</w:t>
      </w:r>
      <w:r w:rsidRPr="002D37C4">
        <w:rPr>
          <w:rFonts w:ascii="Trlit_CG Times" w:hAnsi="Trlit_CG Times"/>
        </w:rPr>
        <w:t xml:space="preserve"> mi-ny-ny</w:t>
      </w:r>
    </w:p>
    <w:p w14:paraId="6807A32B" w14:textId="77777777" w:rsidR="004E5040" w:rsidRPr="002D37C4" w:rsidRDefault="004E5040" w:rsidP="008858DD">
      <w:pPr>
        <w:rPr>
          <w:rFonts w:ascii="Trlit_CG Times" w:hAnsi="Trlit_CG Times"/>
        </w:rPr>
      </w:pPr>
      <w:r w:rsidRPr="002D37C4">
        <w:rPr>
          <w:rFonts w:ascii="Trlit_CG Times" w:hAnsi="Trlit_CG Times"/>
        </w:rPr>
        <w:t xml:space="preserve">Dd=f bpy=i ptr nty nb bpy=f hn </w:t>
      </w:r>
    </w:p>
    <w:p w14:paraId="43F2E1EA" w14:textId="35DE3037" w:rsidR="004E5040" w:rsidRDefault="004E5040" w:rsidP="008858DD">
      <w:r>
        <w:t xml:space="preserve">He said, “If somebody else will come and will accuse me, you will do any bad punishment to me!” He was interrogated again with the </w:t>
      </w:r>
      <w:r>
        <w:rPr>
          <w:rFonts w:ascii="Trlit_CG Times" w:hAnsi="Trlit_CG Times"/>
        </w:rPr>
        <w:t>bA</w:t>
      </w:r>
      <w:r w:rsidRPr="002D37C4">
        <w:rPr>
          <w:rFonts w:ascii="Trlit_CG Times" w:hAnsi="Trlit_CG Times"/>
        </w:rPr>
        <w:t>-DA-nA</w:t>
      </w:r>
      <w:r>
        <w:rPr>
          <w:rFonts w:ascii="Trlit_CG Times" w:hAnsi="Trlit_CG Times"/>
        </w:rPr>
        <w:t>-</w:t>
      </w:r>
      <w:r w:rsidRPr="00BB0030">
        <w:t>stick and the</w:t>
      </w:r>
      <w:r w:rsidRPr="002D37C4">
        <w:rPr>
          <w:rFonts w:ascii="Trlit_CG Times" w:hAnsi="Trlit_CG Times"/>
        </w:rPr>
        <w:t xml:space="preserve"> nA-DA-nA</w:t>
      </w:r>
      <w:r>
        <w:rPr>
          <w:rFonts w:ascii="Trlit_CG Times" w:hAnsi="Trlit_CG Times"/>
        </w:rPr>
        <w:t>-</w:t>
      </w:r>
      <w:r w:rsidRPr="00BB0030">
        <w:t xml:space="preserve">stick </w:t>
      </w:r>
      <w:r>
        <w:t xml:space="preserve">(repeatedly) </w:t>
      </w:r>
      <w:r w:rsidRPr="00BB0030">
        <w:t>and th</w:t>
      </w:r>
      <w:r>
        <w:t xml:space="preserve">e </w:t>
      </w:r>
      <w:r w:rsidRPr="002D37C4">
        <w:rPr>
          <w:rFonts w:ascii="Trlit_CG Times" w:hAnsi="Trlit_CG Times"/>
        </w:rPr>
        <w:t>mi-ny-ny</w:t>
      </w:r>
      <w:r>
        <w:t>. He said, “I did not see anybody!” He did not confess.</w:t>
      </w:r>
    </w:p>
    <w:p w14:paraId="1CD96E4A" w14:textId="77777777" w:rsidR="008858DD" w:rsidRDefault="008858DD" w:rsidP="008858DD"/>
    <w:p w14:paraId="028C88C6" w14:textId="7EDE2385" w:rsidR="00B05A66" w:rsidRDefault="00604E43" w:rsidP="008858DD">
      <w:r>
        <w:t>Th</w:t>
      </w:r>
      <w:r w:rsidR="00B05A66">
        <w:t>e interrogation is no diferent from that shown in the Qadesh reliefs:</w:t>
      </w:r>
      <w:r w:rsidR="00B05A66">
        <w:rPr>
          <w:rStyle w:val="FootnoteReference"/>
        </w:rPr>
        <w:footnoteReference w:id="111"/>
      </w:r>
      <w:r w:rsidR="00B05A66">
        <w:t xml:space="preserve"> </w:t>
      </w:r>
    </w:p>
    <w:p w14:paraId="5C68CBF9" w14:textId="77777777" w:rsidR="008858DD" w:rsidRDefault="008858DD" w:rsidP="008858DD"/>
    <w:p w14:paraId="00D0D758" w14:textId="7CE28DCF" w:rsidR="00B05A66" w:rsidRPr="00EC38DB" w:rsidRDefault="00B05A66" w:rsidP="008858DD">
      <w:pPr>
        <w:rPr>
          <w:rFonts w:ascii="Trlit_CG Times" w:hAnsi="Trlit_CG Times"/>
        </w:rPr>
      </w:pPr>
      <w:r w:rsidRPr="00EC38DB">
        <w:rPr>
          <w:rFonts w:ascii="Trlit_CG Times" w:hAnsi="Trlit_CG Times"/>
        </w:rPr>
        <w:t xml:space="preserve">pA iit iri.n pA HAptw n pr-aA a.w.s. iw ini=f HAptw </w:t>
      </w:r>
      <w:r w:rsidRPr="00EC38DB">
        <w:t>2</w:t>
      </w:r>
      <w:r w:rsidRPr="00EC38DB">
        <w:rPr>
          <w:rFonts w:ascii="Trlit_CG Times" w:hAnsi="Trlit_CG Times"/>
        </w:rPr>
        <w:t xml:space="preserve"> n pA xr n xtA m-bAH pr-aA ‘.w.s. iw.tw Hr qnqn=st r dit Dd=sn pA nty pA wr xsi n xtA im</w:t>
      </w:r>
    </w:p>
    <w:p w14:paraId="1B5E3065" w14:textId="1D26D909" w:rsidR="00EC38DB" w:rsidRDefault="00B05A66" w:rsidP="008858DD">
      <w:r>
        <w:t xml:space="preserve">The arrival by the scout of Pharaoh, l.p.h., having brought </w:t>
      </w:r>
      <w:r w:rsidR="00EC38DB">
        <w:t xml:space="preserve">2 scouts of the fallen-one of Hatti before Phraoh, l.p.h., and they were beaten to cause them to say where the vile fallen-one of Hatti was. </w:t>
      </w:r>
    </w:p>
    <w:p w14:paraId="3B65E70C" w14:textId="77777777" w:rsidR="008858DD" w:rsidRDefault="008858DD" w:rsidP="008858DD"/>
    <w:p w14:paraId="563017BA" w14:textId="11BD0464" w:rsidR="00DC6E43" w:rsidRDefault="00892626" w:rsidP="008858DD">
      <w:r>
        <w:t>T</w:t>
      </w:r>
      <w:r w:rsidR="00DC6E43">
        <w:t xml:space="preserve">he use of </w:t>
      </w:r>
      <w:r w:rsidR="00513655">
        <w:t xml:space="preserve">a stake </w:t>
      </w:r>
      <w:r>
        <w:t xml:space="preserve">for flogging </w:t>
      </w:r>
      <w:r w:rsidR="00513655">
        <w:t xml:space="preserve">is well attested, </w:t>
      </w:r>
      <w:r>
        <w:t>but its use for other punishment or execution</w:t>
      </w:r>
      <w:r w:rsidR="00DC6E43" w:rsidRPr="001F0670">
        <w:t xml:space="preserve"> is less clear</w:t>
      </w:r>
      <w:r w:rsidR="00AD2914" w:rsidRPr="001F0670">
        <w:t>.</w:t>
      </w:r>
      <w:r w:rsidR="00DC6E43" w:rsidRPr="001F0670">
        <w:rPr>
          <w:rStyle w:val="FootnoteReference"/>
        </w:rPr>
        <w:footnoteReference w:id="112"/>
      </w:r>
      <w:r w:rsidR="00DC6E43" w:rsidRPr="001F0670">
        <w:t xml:space="preserve"> </w:t>
      </w:r>
      <w:r w:rsidR="00AD2914" w:rsidRPr="001F0670">
        <w:t xml:space="preserve">Depictions of </w:t>
      </w:r>
      <w:r w:rsidR="00DC6E43" w:rsidRPr="001F0670">
        <w:t xml:space="preserve">enemies tied to stakes are </w:t>
      </w:r>
      <w:r w:rsidR="00391840">
        <w:t xml:space="preserve">a </w:t>
      </w:r>
      <w:r w:rsidR="00DC6E43" w:rsidRPr="001F0670">
        <w:t>them</w:t>
      </w:r>
      <w:r w:rsidR="00391840">
        <w:t>e</w:t>
      </w:r>
      <w:r w:rsidR="00DC6E43" w:rsidRPr="001F0670">
        <w:t xml:space="preserve"> in NK Underworld books, but not in other prisoner contexts </w:t>
      </w:r>
      <w:r w:rsidR="004A62AC">
        <w:t>of the pharaonic period</w:t>
      </w:r>
      <w:r w:rsidR="00167172">
        <w:t>.</w:t>
      </w:r>
    </w:p>
    <w:p w14:paraId="49B3F10D" w14:textId="77777777" w:rsidR="00550719" w:rsidRDefault="00550719" w:rsidP="00550719">
      <w:pPr>
        <w:spacing w:after="200"/>
      </w:pPr>
    </w:p>
    <w:p w14:paraId="7AC802FD" w14:textId="1693E388" w:rsidR="00667953" w:rsidRPr="00667953" w:rsidRDefault="00667953" w:rsidP="00502122">
      <w:pPr>
        <w:rPr>
          <w:b/>
        </w:rPr>
      </w:pPr>
      <w:r w:rsidRPr="00667953">
        <w:rPr>
          <w:b/>
        </w:rPr>
        <w:t>Conclusion</w:t>
      </w:r>
    </w:p>
    <w:p w14:paraId="56253167" w14:textId="43AFB4F8" w:rsidR="001E701D" w:rsidRDefault="00604E43" w:rsidP="00502122">
      <w:r>
        <w:t xml:space="preserve">Modern readings of the </w:t>
      </w:r>
      <w:r w:rsidR="00667953">
        <w:t>ideology of pharaonic Egypt</w:t>
      </w:r>
      <w:r>
        <w:t xml:space="preserve">, </w:t>
      </w:r>
      <w:r w:rsidR="0002633D">
        <w:t xml:space="preserve">transmited through </w:t>
      </w:r>
      <w:r w:rsidR="00667953">
        <w:t xml:space="preserve">the products of </w:t>
      </w:r>
      <w:r w:rsidR="0002633D">
        <w:t>its</w:t>
      </w:r>
      <w:r w:rsidR="00667953">
        <w:t xml:space="preserve"> literate,</w:t>
      </w:r>
      <w:r w:rsidR="0002633D">
        <w:t xml:space="preserve"> essentially scribal, hierarchy, are</w:t>
      </w:r>
      <w:r w:rsidR="00667953">
        <w:t xml:space="preserve"> </w:t>
      </w:r>
      <w:r>
        <w:t xml:space="preserve">typically </w:t>
      </w:r>
      <w:r w:rsidR="00667953">
        <w:t xml:space="preserve">one of </w:t>
      </w:r>
      <w:r>
        <w:t xml:space="preserve">a </w:t>
      </w:r>
      <w:r w:rsidR="00667953">
        <w:t>bureaucratic, governmental order. This is obviously</w:t>
      </w:r>
      <w:r>
        <w:t xml:space="preserve"> </w:t>
      </w:r>
      <w:r w:rsidR="00667953">
        <w:t>partial. Historical Egypt does not seem to have suffered chronic local warfare, in the sense of serious military conflict between local magnates or relatively small, rival (city) states</w:t>
      </w:r>
      <w:r w:rsidR="0002633D">
        <w:t>,</w:t>
      </w:r>
      <w:r w:rsidR="00667953">
        <w:t xml:space="preserve"> which is not to suggest that the Egyptian countryside was a place of ordered security, or that violence did not play a significant part in inter-community (village) clashes.</w:t>
      </w:r>
      <w:r w:rsidR="00667953">
        <w:rPr>
          <w:rStyle w:val="FootnoteReference"/>
        </w:rPr>
        <w:footnoteReference w:id="113"/>
      </w:r>
      <w:r w:rsidR="00BC2B5D">
        <w:t xml:space="preserve"> Our information about internal warfare in </w:t>
      </w:r>
      <w:r w:rsidR="00907668">
        <w:t>Egypt is limited, and relates</w:t>
      </w:r>
      <w:r w:rsidR="00BC2B5D">
        <w:t xml:space="preserve"> to periods of significant disorder, and not </w:t>
      </w:r>
      <w:r w:rsidR="00907668">
        <w:t>to</w:t>
      </w:r>
      <w:r w:rsidR="00BC2B5D">
        <w:t xml:space="preserve"> endemic features of life, although concern for </w:t>
      </w:r>
      <w:r w:rsidR="00907668">
        <w:t xml:space="preserve">local </w:t>
      </w:r>
      <w:r w:rsidR="00BC2B5D">
        <w:t>physical security may have been</w:t>
      </w:r>
      <w:r w:rsidR="00907668">
        <w:t xml:space="preserve"> acute</w:t>
      </w:r>
      <w:r w:rsidR="00BC2B5D">
        <w:t xml:space="preserve">. </w:t>
      </w:r>
      <w:r w:rsidR="001E701D">
        <w:t>Local hierarchy was not explicitly military. Military, or military-like titles do not then represent local (feudal-style) elites at the highest level, but the expanded household – attendants and followers – of king or local magnate. The military emphasis of the New Kingdom and Third Intermediate Period still does not entirely overwhelm the ideology of hierarchy, but rather overlays it.</w:t>
      </w:r>
    </w:p>
    <w:p w14:paraId="73E32F76" w14:textId="7D8A1717" w:rsidR="006A46CC" w:rsidRDefault="006A46CC" w:rsidP="00502122">
      <w:r>
        <w:tab/>
        <w:t>The discourse of Egyptian wisdom literature should not</w:t>
      </w:r>
      <w:r w:rsidR="00907668">
        <w:t>, then,</w:t>
      </w:r>
      <w:r>
        <w:t xml:space="preserve"> be understood as the articulation of a concept of maat as an abstracted ethical norm, from which </w:t>
      </w:r>
      <w:r w:rsidR="00907668">
        <w:t>actual practice of individual behaviour should be derived</w:t>
      </w:r>
      <w:r>
        <w:t xml:space="preserve">, </w:t>
      </w:r>
      <w:r>
        <w:lastRenderedPageBreak/>
        <w:t>but</w:t>
      </w:r>
      <w:r w:rsidR="00E74D17">
        <w:t xml:space="preserve"> rather as commentary on cont</w:t>
      </w:r>
      <w:r>
        <w:t>emporary reality. It is not, then concerned with assertions of the rights of the individual</w:t>
      </w:r>
      <w:r w:rsidR="0002633D">
        <w:t>, but more directly with hierar</w:t>
      </w:r>
      <w:r>
        <w:t>chical behaviour and the exercise of authority as the core social cement:</w:t>
      </w:r>
      <w:r>
        <w:rPr>
          <w:rStyle w:val="FootnoteReference"/>
        </w:rPr>
        <w:footnoteReference w:id="114"/>
      </w:r>
      <w:r>
        <w:t xml:space="preserve"> the abuse of authority as destructive and the absence of authority as social disaster.</w:t>
      </w:r>
      <w:r w:rsidR="000450F0">
        <w:t xml:space="preserve"> Within that frame, violence should not be regarded as part of a set of ordered and systematic sanctioning for specific </w:t>
      </w:r>
      <w:r w:rsidR="000450F0" w:rsidRPr="000450F0">
        <w:t>offences</w:t>
      </w:r>
      <w:r w:rsidR="000450F0">
        <w:t>,</w:t>
      </w:r>
      <w:r w:rsidR="000450F0" w:rsidRPr="000450F0">
        <w:rPr>
          <w:rStyle w:val="FootnoteReference"/>
        </w:rPr>
        <w:footnoteReference w:id="115"/>
      </w:r>
      <w:r w:rsidR="000450F0">
        <w:t xml:space="preserve"> but as the demonstration of authority, that is not entirely predicatable, not belonging to a gentility or regularity of process: the invocation of the </w:t>
      </w:r>
      <w:r w:rsidR="000450F0" w:rsidRPr="000450F0">
        <w:rPr>
          <w:rFonts w:ascii="Trlit_CG Times" w:hAnsi="Trlit_CG Times"/>
        </w:rPr>
        <w:t>bAw</w:t>
      </w:r>
      <w:r w:rsidR="000450F0">
        <w:t xml:space="preserve"> of Pharaoh.</w:t>
      </w:r>
    </w:p>
    <w:p w14:paraId="2FB5FA48" w14:textId="6B8CA0E6" w:rsidR="004638A5" w:rsidRPr="00353FF3" w:rsidRDefault="000450F0" w:rsidP="00353FF3">
      <w:pPr>
        <w:spacing w:after="200"/>
      </w:pPr>
      <w:r>
        <w:tab/>
        <w:t>Linguistically there is no distinction between native or foreign</w:t>
      </w:r>
      <w:r w:rsidR="0002633D">
        <w:t xml:space="preserve"> opposition</w:t>
      </w:r>
      <w:r>
        <w:t xml:space="preserve">, criminal or military, </w:t>
      </w:r>
      <w:r w:rsidR="00D76744">
        <w:t>this world or cosmic</w:t>
      </w:r>
      <w:r w:rsidR="00907668">
        <w:t xml:space="preserve">. Those </w:t>
      </w:r>
      <w:r>
        <w:t xml:space="preserve">on whom the king exercises </w:t>
      </w:r>
      <w:r w:rsidR="00D76744">
        <w:t xml:space="preserve">extreme </w:t>
      </w:r>
      <w:r>
        <w:t>violence are</w:t>
      </w:r>
      <w:r w:rsidR="006D37CD">
        <w:t xml:space="preserve"> </w:t>
      </w:r>
      <w:r w:rsidR="0002633D">
        <w:t xml:space="preserve">simply </w:t>
      </w:r>
      <w:r w:rsidR="006D37CD">
        <w:t>defined as</w:t>
      </w:r>
      <w:r>
        <w:t xml:space="preserve"> </w:t>
      </w:r>
      <w:r w:rsidRPr="000450F0">
        <w:rPr>
          <w:rFonts w:ascii="Trlit_CG Times" w:hAnsi="Trlit_CG Times"/>
        </w:rPr>
        <w:t>sbi</w:t>
      </w:r>
      <w:r w:rsidR="00353FF3">
        <w:t>.</w:t>
      </w:r>
      <w:r>
        <w:rPr>
          <w:rStyle w:val="FootnoteReference"/>
        </w:rPr>
        <w:footnoteReference w:id="116"/>
      </w:r>
      <w:r w:rsidR="00D76744">
        <w:t xml:space="preserve"> Practically the exercise of that violence </w:t>
      </w:r>
      <w:r w:rsidR="006D37CD">
        <w:t xml:space="preserve">in civil contexts </w:t>
      </w:r>
      <w:r w:rsidR="00206D81">
        <w:t>was</w:t>
      </w:r>
      <w:r w:rsidR="00D76744">
        <w:t xml:space="preserve"> mediated </w:t>
      </w:r>
      <w:r w:rsidR="00206D81">
        <w:t xml:space="preserve">by </w:t>
      </w:r>
      <w:r w:rsidR="006D37CD">
        <w:t>negotiation. M</w:t>
      </w:r>
      <w:r w:rsidR="00353FF3">
        <w:t>ilitary violence</w:t>
      </w:r>
      <w:r w:rsidR="006D37CD">
        <w:t xml:space="preserve"> is </w:t>
      </w:r>
      <w:r w:rsidR="00353FF3">
        <w:t>presented</w:t>
      </w:r>
      <w:r w:rsidR="006D37CD">
        <w:t>,</w:t>
      </w:r>
      <w:r w:rsidR="00353FF3">
        <w:t xml:space="preserve"> essentially</w:t>
      </w:r>
      <w:r w:rsidR="006D37CD">
        <w:t>,</w:t>
      </w:r>
      <w:r w:rsidR="00353FF3">
        <w:t xml:space="preserve"> as addressing the external threat to Egyptian order, particularly from raiding and forcible immigration, and is mediated in any such way. The distinction is not one of ethics, but of circumstances. Kings and gods do not negotiate their power, but display it, violently in the face of opposition. My argument here is, then, that a high level of latent violence should be seen as structural to Egyptian society, and that the apparently peculiar ferocity of New Kingdom warfare does not represent anything aberrant in Egyptian display of power: it is not a form of peculiar unpleasantness reflecting specific foreign influences from the early New Kingdom, but inherent in the acting out and demonstration of power itself, military but also civil.</w:t>
      </w:r>
    </w:p>
    <w:p w14:paraId="49381747" w14:textId="77777777" w:rsidR="00356764" w:rsidRDefault="00356764" w:rsidP="00502122"/>
    <w:p w14:paraId="2F41C8E3" w14:textId="77777777" w:rsidR="00EF20EB" w:rsidRDefault="00EF20EB" w:rsidP="00502122"/>
    <w:p w14:paraId="09C46C02" w14:textId="21D5ED5E" w:rsidR="00550719" w:rsidRDefault="00550719">
      <w:pPr>
        <w:spacing w:after="200"/>
        <w:contextualSpacing w:val="0"/>
        <w:rPr>
          <w:color w:val="FF0000"/>
        </w:rPr>
      </w:pPr>
      <w:r>
        <w:rPr>
          <w:color w:val="FF0000"/>
        </w:rPr>
        <w:br w:type="page"/>
      </w:r>
    </w:p>
    <w:p w14:paraId="26FFF44F" w14:textId="77777777" w:rsidR="0065560C" w:rsidRDefault="0065560C" w:rsidP="00502122">
      <w:pPr>
        <w:rPr>
          <w:color w:val="FF0000"/>
        </w:rPr>
      </w:pPr>
    </w:p>
    <w:p w14:paraId="6FC2BE84" w14:textId="77777777" w:rsidR="00762A42" w:rsidRDefault="00762A42" w:rsidP="00502122">
      <w:r w:rsidRPr="00762A42">
        <w:rPr>
          <w:smallCaps/>
        </w:rPr>
        <w:t>Magda A. Abdalla</w:t>
      </w:r>
      <w:r>
        <w:t xml:space="preserve">, </w:t>
      </w:r>
      <w:r w:rsidRPr="00E51E46">
        <w:t xml:space="preserve">The amputated hands in ancient Egypt’, in </w:t>
      </w:r>
      <w:r w:rsidRPr="00762A42">
        <w:rPr>
          <w:smallCaps/>
        </w:rPr>
        <w:t xml:space="preserve">Khaled Daoud, Shafia Bedier </w:t>
      </w:r>
      <w:r w:rsidRPr="00E51E46">
        <w:t xml:space="preserve">and </w:t>
      </w:r>
      <w:r w:rsidRPr="00762A42">
        <w:rPr>
          <w:smallCaps/>
        </w:rPr>
        <w:t>Sawsan abd el-Fatah</w:t>
      </w:r>
      <w:r w:rsidRPr="00E51E46">
        <w:t xml:space="preserve"> (eds), </w:t>
      </w:r>
      <w:r w:rsidRPr="00762A42">
        <w:t>Studies in Honor of Ali Radwan,</w:t>
      </w:r>
      <w:r w:rsidRPr="00E51E46">
        <w:t xml:space="preserve"> CASAE 34/1, </w:t>
      </w:r>
      <w:r>
        <w:t>Cairo: 2005,</w:t>
      </w:r>
      <w:r w:rsidRPr="00E51E46">
        <w:t xml:space="preserve"> 25-29</w:t>
      </w:r>
      <w:r>
        <w:t>.</w:t>
      </w:r>
    </w:p>
    <w:p w14:paraId="21AD1DC6" w14:textId="77777777" w:rsidR="00A216E2" w:rsidRDefault="00A216E2" w:rsidP="00502122"/>
    <w:p w14:paraId="05F6AC21" w14:textId="54B6C0A2" w:rsidR="00A216E2" w:rsidRPr="00A216E2" w:rsidRDefault="00A216E2" w:rsidP="00502122">
      <w:pPr>
        <w:rPr>
          <w:lang w:val="en-US"/>
        </w:rPr>
      </w:pPr>
      <w:r>
        <w:t>H. A</w:t>
      </w:r>
      <w:r w:rsidRPr="00A216E2">
        <w:rPr>
          <w:smallCaps/>
          <w:szCs w:val="24"/>
        </w:rPr>
        <w:t>ltenmüller</w:t>
      </w:r>
      <w:r>
        <w:t xml:space="preserve">, Verstümmelte Opferträger auf einem Relief aus Abusir, in: </w:t>
      </w:r>
      <w:r w:rsidRPr="00A216E2">
        <w:rPr>
          <w:smallCaps/>
          <w:szCs w:val="24"/>
          <w:lang w:val="cs-CZ"/>
        </w:rPr>
        <w:t xml:space="preserve">G. Calender, L. Bareš, M. Bárta, J. Janák, J. Krejčí </w:t>
      </w:r>
      <w:r>
        <w:rPr>
          <w:lang w:val="cs-CZ"/>
        </w:rPr>
        <w:t>(eds), Times, Signs and Pyramids.</w:t>
      </w:r>
      <w:r>
        <w:rPr>
          <w:lang w:val="en-US"/>
        </w:rPr>
        <w:t xml:space="preserve"> Studies in Honour of Miroslav Verner on the Occasion of his Seventieth Birthday, Prague, 2011, </w:t>
      </w:r>
      <w:r>
        <w:t>1-23.</w:t>
      </w:r>
    </w:p>
    <w:p w14:paraId="1D13C551" w14:textId="77777777" w:rsidR="00646550" w:rsidRPr="00F01C40" w:rsidRDefault="00646550" w:rsidP="00502122"/>
    <w:p w14:paraId="1A85758B" w14:textId="77777777" w:rsidR="007D332D" w:rsidRPr="00F01C40" w:rsidRDefault="007D332D" w:rsidP="00502122">
      <w:r w:rsidRPr="00F01C40">
        <w:t xml:space="preserve">J. </w:t>
      </w:r>
      <w:r w:rsidRPr="00F01C40">
        <w:rPr>
          <w:smallCaps/>
          <w:szCs w:val="24"/>
        </w:rPr>
        <w:t>Assmann</w:t>
      </w:r>
      <w:r w:rsidRPr="00F01C40">
        <w:t xml:space="preserve">, Ägypten und die Legitimierung des Tötens: Ideologische Grundlagen politischer Gewalt im Alten Ägypten, in H. </w:t>
      </w:r>
      <w:r w:rsidRPr="00F01C40">
        <w:rPr>
          <w:smallCaps/>
          <w:szCs w:val="24"/>
        </w:rPr>
        <w:t>von Stietencron</w:t>
      </w:r>
      <w:r w:rsidRPr="00F01C40">
        <w:t xml:space="preserve"> and J. </w:t>
      </w:r>
      <w:r w:rsidRPr="00F01C40">
        <w:rPr>
          <w:smallCaps/>
          <w:szCs w:val="24"/>
        </w:rPr>
        <w:t>Rüpke</w:t>
      </w:r>
      <w:r w:rsidRPr="00F01C40">
        <w:t xml:space="preserve"> (eds), Töten im Krieg, Freiburg and Munich, 1995, pp. 57-85.</w:t>
      </w:r>
    </w:p>
    <w:p w14:paraId="78EB17E7" w14:textId="77777777" w:rsidR="00B75F5B" w:rsidRPr="001F6008" w:rsidRDefault="00B75F5B" w:rsidP="00502122"/>
    <w:p w14:paraId="77C97075" w14:textId="41E826D5" w:rsidR="00F01C40" w:rsidRPr="001F6008" w:rsidRDefault="00B75F5B" w:rsidP="00502122">
      <w:pPr>
        <w:rPr>
          <w:szCs w:val="24"/>
        </w:rPr>
      </w:pPr>
      <w:r w:rsidRPr="001F6008">
        <w:rPr>
          <w:szCs w:val="24"/>
        </w:rPr>
        <w:t xml:space="preserve">J. </w:t>
      </w:r>
      <w:r w:rsidRPr="001F6008">
        <w:rPr>
          <w:smallCaps/>
          <w:szCs w:val="24"/>
        </w:rPr>
        <w:t>Assmann</w:t>
      </w:r>
      <w:r w:rsidRPr="001F6008">
        <w:rPr>
          <w:szCs w:val="24"/>
        </w:rPr>
        <w:t>,</w:t>
      </w:r>
      <w:r w:rsidR="000C059C" w:rsidRPr="001F6008">
        <w:rPr>
          <w:szCs w:val="24"/>
        </w:rPr>
        <w:t xml:space="preserve"> </w:t>
      </w:r>
      <w:hyperlink r:id="rId8" w:history="1">
        <w:r w:rsidR="00F01C40" w:rsidRPr="001F6008">
          <w:rPr>
            <w:rFonts w:cs="Arial"/>
            <w:bCs/>
            <w:szCs w:val="24"/>
            <w:lang w:val="en-US"/>
          </w:rPr>
          <w:t>When Justice Fails: Jurisdiction and Imprecation in Ancient Egypt and the Near East</w:t>
        </w:r>
      </w:hyperlink>
      <w:r w:rsidR="00F01C40" w:rsidRPr="001F6008">
        <w:rPr>
          <w:szCs w:val="24"/>
        </w:rPr>
        <w:t>, in: JEA 78, 1992, 149-162.</w:t>
      </w:r>
    </w:p>
    <w:p w14:paraId="05EC3C28" w14:textId="77777777" w:rsidR="00F01C40" w:rsidRDefault="00F01C40" w:rsidP="00502122">
      <w:pPr>
        <w:rPr>
          <w:color w:val="0000FF"/>
        </w:rPr>
      </w:pPr>
    </w:p>
    <w:p w14:paraId="14B0F459" w14:textId="77777777" w:rsidR="003E032B" w:rsidRPr="008E2DF1" w:rsidRDefault="003E032B" w:rsidP="00502122">
      <w:r w:rsidRPr="008E2DF1">
        <w:t xml:space="preserve">Z. </w:t>
      </w:r>
      <w:r w:rsidRPr="008E2DF1">
        <w:rPr>
          <w:smallCaps/>
          <w:szCs w:val="24"/>
        </w:rPr>
        <w:t>Bahrani</w:t>
      </w:r>
      <w:r w:rsidRPr="008E2DF1">
        <w:t>, Rituals of War: The Body and Violence in Mesopotamia, New York, 2008.</w:t>
      </w:r>
    </w:p>
    <w:p w14:paraId="639AC003" w14:textId="77777777" w:rsidR="003E032B" w:rsidRPr="007D332D" w:rsidRDefault="003E032B" w:rsidP="00502122">
      <w:pPr>
        <w:rPr>
          <w:color w:val="0000FF"/>
        </w:rPr>
      </w:pPr>
    </w:p>
    <w:p w14:paraId="42C53072" w14:textId="52B34E80" w:rsidR="00B571D2" w:rsidRPr="000C059C" w:rsidRDefault="000C059C" w:rsidP="00502122">
      <w:r w:rsidRPr="000C059C">
        <w:t xml:space="preserve">J.R. </w:t>
      </w:r>
      <w:r w:rsidRPr="000C059C">
        <w:rPr>
          <w:smallCaps/>
          <w:szCs w:val="24"/>
        </w:rPr>
        <w:t>Baines</w:t>
      </w:r>
      <w:r w:rsidRPr="000C059C">
        <w:t xml:space="preserve">, The Stela of Emheb: Innovation, Tradition, Hierarchy, in: </w:t>
      </w:r>
      <w:r w:rsidR="00646550" w:rsidRPr="000C059C">
        <w:t>JEA 72, 1986, 41-53</w:t>
      </w:r>
      <w:r w:rsidRPr="000C059C">
        <w:t>.</w:t>
      </w:r>
    </w:p>
    <w:p w14:paraId="0D2800CC" w14:textId="77777777" w:rsidR="000C059C" w:rsidRDefault="000C059C" w:rsidP="00502122">
      <w:pPr>
        <w:rPr>
          <w:smallCaps/>
          <w:szCs w:val="24"/>
        </w:rPr>
      </w:pPr>
    </w:p>
    <w:p w14:paraId="21E05AD6" w14:textId="36364120" w:rsidR="00646550" w:rsidRDefault="00711837" w:rsidP="00502122">
      <w:pPr>
        <w:rPr>
          <w:smallCaps/>
          <w:szCs w:val="24"/>
        </w:rPr>
      </w:pPr>
      <w:r>
        <w:rPr>
          <w:smallCaps/>
        </w:rPr>
        <w:t xml:space="preserve">J. </w:t>
      </w:r>
      <w:r w:rsidR="00646550" w:rsidRPr="00646550">
        <w:rPr>
          <w:smallCaps/>
        </w:rPr>
        <w:t>Baines</w:t>
      </w:r>
      <w:r w:rsidR="00646550">
        <w:t xml:space="preserve">, </w:t>
      </w:r>
      <w:r>
        <w:t xml:space="preserve">The Stela of Khusobek: Private and Royal Military Narrative and Values, in: J. </w:t>
      </w:r>
      <w:r w:rsidRPr="00711837">
        <w:rPr>
          <w:smallCaps/>
          <w:szCs w:val="24"/>
        </w:rPr>
        <w:t>Osing</w:t>
      </w:r>
      <w:r>
        <w:t xml:space="preserve"> and G. </w:t>
      </w:r>
      <w:r w:rsidRPr="00711837">
        <w:rPr>
          <w:smallCaps/>
          <w:szCs w:val="24"/>
        </w:rPr>
        <w:t>Dreyer</w:t>
      </w:r>
      <w:r>
        <w:t xml:space="preserve"> (eds), </w:t>
      </w:r>
      <w:r w:rsidR="00646550" w:rsidRPr="00042F12">
        <w:rPr>
          <w:i/>
        </w:rPr>
        <w:t>Form und Mass</w:t>
      </w:r>
      <w:r>
        <w:t>: Beiträge zur Literatur, Sprache und Künst des alten Ägypten. Festschrift für Gerhardt Fecht, Wiesbaden, 1987,</w:t>
      </w:r>
      <w:r w:rsidR="00646550">
        <w:t xml:space="preserve"> </w:t>
      </w:r>
      <w:r>
        <w:t>43-61.</w:t>
      </w:r>
    </w:p>
    <w:p w14:paraId="370979EB" w14:textId="77777777" w:rsidR="00646550" w:rsidRDefault="00646550" w:rsidP="00502122">
      <w:pPr>
        <w:rPr>
          <w:smallCaps/>
          <w:szCs w:val="24"/>
        </w:rPr>
      </w:pPr>
    </w:p>
    <w:p w14:paraId="0196EC5D" w14:textId="77777777" w:rsidR="00762A42" w:rsidRDefault="00B571D2" w:rsidP="00502122">
      <w:pPr>
        <w:rPr>
          <w:smallCaps/>
          <w:szCs w:val="24"/>
        </w:rPr>
      </w:pPr>
      <w:r w:rsidRPr="00B571D2">
        <w:rPr>
          <w:smallCaps/>
          <w:szCs w:val="24"/>
        </w:rPr>
        <w:t>C</w:t>
      </w:r>
      <w:r>
        <w:rPr>
          <w:smallCaps/>
          <w:szCs w:val="24"/>
        </w:rPr>
        <w:t>.</w:t>
      </w:r>
      <w:r w:rsidRPr="00B571D2">
        <w:rPr>
          <w:smallCaps/>
          <w:szCs w:val="24"/>
        </w:rPr>
        <w:t xml:space="preserve"> Barbotin and J.-J. Clère</w:t>
      </w:r>
      <w:r>
        <w:t>, L’inscription de Sésostris Ier à Tôd’, BIFAO 91, 1992, 1-32.</w:t>
      </w:r>
    </w:p>
    <w:p w14:paraId="15F663E9" w14:textId="77777777" w:rsidR="005D789F" w:rsidRDefault="005D789F" w:rsidP="00502122">
      <w:pPr>
        <w:rPr>
          <w:smallCaps/>
          <w:szCs w:val="24"/>
        </w:rPr>
      </w:pPr>
    </w:p>
    <w:p w14:paraId="4E79F769" w14:textId="6E680948" w:rsidR="002212B4" w:rsidRPr="002212B4" w:rsidRDefault="002212B4" w:rsidP="002212B4">
      <w:pPr>
        <w:widowControl w:val="0"/>
        <w:autoSpaceDE w:val="0"/>
        <w:autoSpaceDN w:val="0"/>
        <w:adjustRightInd w:val="0"/>
        <w:rPr>
          <w:rFonts w:cs="AGaramondPro-Regular"/>
          <w:iCs/>
          <w:szCs w:val="24"/>
          <w:lang w:val="en-US"/>
        </w:rPr>
      </w:pPr>
      <w:r w:rsidRPr="002212B4">
        <w:rPr>
          <w:rFonts w:cs="AGaramondPro-Regular"/>
          <w:szCs w:val="24"/>
          <w:lang w:val="en-US"/>
        </w:rPr>
        <w:t>L.</w:t>
      </w:r>
      <w:r w:rsidRPr="002212B4">
        <w:rPr>
          <w:rFonts w:cs="AGaramondPro-Regular"/>
          <w:smallCaps/>
          <w:szCs w:val="24"/>
          <w:lang w:val="en-US"/>
        </w:rPr>
        <w:t xml:space="preserve"> Bazin</w:t>
      </w:r>
      <w:r w:rsidRPr="002212B4">
        <w:rPr>
          <w:rFonts w:cs="AGaramondPro-Regular"/>
          <w:szCs w:val="24"/>
          <w:lang w:val="en-US"/>
        </w:rPr>
        <w:t>, Enquête sur les lieux d’ex</w:t>
      </w:r>
      <w:r>
        <w:rPr>
          <w:rFonts w:cs="AGaramondPro-Regular"/>
          <w:szCs w:val="24"/>
          <w:lang w:val="en-US"/>
        </w:rPr>
        <w:t>écution dans l’Égypte a</w:t>
      </w:r>
      <w:r w:rsidRPr="002212B4">
        <w:rPr>
          <w:rFonts w:cs="AGaramondPro-Regular"/>
          <w:szCs w:val="24"/>
          <w:lang w:val="en-US"/>
        </w:rPr>
        <w:t xml:space="preserve">ncienne, in: </w:t>
      </w:r>
      <w:r w:rsidRPr="002212B4">
        <w:rPr>
          <w:rFonts w:cs="AGaramondPro-Regular"/>
          <w:iCs/>
          <w:szCs w:val="24"/>
          <w:lang w:val="en-US"/>
        </w:rPr>
        <w:t>Égypte, Afrique</w:t>
      </w:r>
      <w:r>
        <w:rPr>
          <w:rFonts w:cs="AGaramondPro-Regular"/>
          <w:iCs/>
          <w:szCs w:val="24"/>
          <w:lang w:val="en-US"/>
        </w:rPr>
        <w:t xml:space="preserve"> </w:t>
      </w:r>
      <w:r w:rsidRPr="002212B4">
        <w:rPr>
          <w:rFonts w:cs="AGaramondPro-Regular"/>
          <w:iCs/>
          <w:szCs w:val="24"/>
          <w:lang w:val="en-US"/>
        </w:rPr>
        <w:t xml:space="preserve">et Orient </w:t>
      </w:r>
      <w:r w:rsidRPr="002212B4">
        <w:rPr>
          <w:rFonts w:cs="AGaramondPro-Regular"/>
          <w:szCs w:val="24"/>
          <w:lang w:val="en-US"/>
        </w:rPr>
        <w:t>35, 2004, 31-40.</w:t>
      </w:r>
    </w:p>
    <w:p w14:paraId="381548BE" w14:textId="77777777" w:rsidR="002212B4" w:rsidRDefault="002212B4" w:rsidP="00502122">
      <w:pPr>
        <w:rPr>
          <w:smallCaps/>
          <w:szCs w:val="24"/>
        </w:rPr>
      </w:pPr>
    </w:p>
    <w:p w14:paraId="286396FF" w14:textId="7038369D" w:rsidR="00F665A6" w:rsidRDefault="00F665A6" w:rsidP="00502122">
      <w:r w:rsidRPr="00F665A6">
        <w:rPr>
          <w:smallCaps/>
          <w:szCs w:val="24"/>
        </w:rPr>
        <w:t>N. Beaux</w:t>
      </w:r>
      <w:r>
        <w:t xml:space="preserve">, </w:t>
      </w:r>
      <w:r w:rsidRPr="00DC6E43">
        <w:t>Ennemis étrangers et malfaiteurs Egyptiens. La signification du châtiment au p</w:t>
      </w:r>
      <w:r>
        <w:t>ilori</w:t>
      </w:r>
      <w:r w:rsidRPr="00DC6E43">
        <w:t xml:space="preserve">, </w:t>
      </w:r>
      <w:r w:rsidR="006116BC">
        <w:t xml:space="preserve">in: </w:t>
      </w:r>
      <w:r w:rsidRPr="00DC6E43">
        <w:t xml:space="preserve">BIFAO 91, </w:t>
      </w:r>
      <w:r>
        <w:t xml:space="preserve">1991, </w:t>
      </w:r>
      <w:r w:rsidRPr="00DC6E43">
        <w:t xml:space="preserve">33-53. </w:t>
      </w:r>
    </w:p>
    <w:p w14:paraId="0FA48035" w14:textId="77777777" w:rsidR="00032EDE" w:rsidRDefault="00032EDE" w:rsidP="00502122">
      <w:pPr>
        <w:rPr>
          <w:smallCaps/>
          <w:color w:val="000000" w:themeColor="text1"/>
        </w:rPr>
      </w:pPr>
    </w:p>
    <w:p w14:paraId="34D718A1" w14:textId="77777777" w:rsidR="00B4451E" w:rsidRDefault="00032EDE" w:rsidP="00502122">
      <w:pPr>
        <w:rPr>
          <w:color w:val="000000" w:themeColor="text1"/>
          <w:szCs w:val="24"/>
        </w:rPr>
      </w:pPr>
      <w:r>
        <w:rPr>
          <w:smallCaps/>
          <w:color w:val="000000" w:themeColor="text1"/>
        </w:rPr>
        <w:t xml:space="preserve">P. </w:t>
      </w:r>
      <w:r w:rsidRPr="00AB5D4F">
        <w:rPr>
          <w:smallCaps/>
          <w:color w:val="000000" w:themeColor="text1"/>
        </w:rPr>
        <w:t>Beylage</w:t>
      </w:r>
      <w:r>
        <w:rPr>
          <w:smallCaps/>
          <w:color w:val="000000" w:themeColor="text1"/>
        </w:rPr>
        <w:t xml:space="preserve">, </w:t>
      </w:r>
      <w:r w:rsidRPr="00032EDE">
        <w:rPr>
          <w:color w:val="000000" w:themeColor="text1"/>
          <w:szCs w:val="24"/>
        </w:rPr>
        <w:t>Aufbau der Kö</w:t>
      </w:r>
      <w:r>
        <w:rPr>
          <w:color w:val="000000" w:themeColor="text1"/>
          <w:szCs w:val="24"/>
        </w:rPr>
        <w:t>niglichen Stelentexte vom Beginn der 18. Dynastie bis zur Amarnazeit, ÄAT 54, Wiesbaden, 2002.</w:t>
      </w:r>
    </w:p>
    <w:p w14:paraId="3AE4D1EF" w14:textId="77777777" w:rsidR="00492834" w:rsidRDefault="00492834" w:rsidP="00502122"/>
    <w:p w14:paraId="22273A57" w14:textId="77777777" w:rsidR="00B4451E" w:rsidRDefault="005D789F" w:rsidP="00502122">
      <w:pPr>
        <w:rPr>
          <w:lang w:val="en-US"/>
        </w:rPr>
      </w:pPr>
      <w:r w:rsidRPr="005D789F">
        <w:rPr>
          <w:smallCaps/>
          <w:lang w:val="en-US"/>
        </w:rPr>
        <w:t>M</w:t>
      </w:r>
      <w:r>
        <w:rPr>
          <w:smallCaps/>
          <w:lang w:val="en-US"/>
        </w:rPr>
        <w:t xml:space="preserve">. </w:t>
      </w:r>
      <w:r w:rsidRPr="005D789F">
        <w:rPr>
          <w:smallCaps/>
          <w:lang w:val="en-US"/>
        </w:rPr>
        <w:t>Bietak, N</w:t>
      </w:r>
      <w:r>
        <w:rPr>
          <w:smallCaps/>
          <w:lang w:val="en-US"/>
        </w:rPr>
        <w:t>.</w:t>
      </w:r>
      <w:r w:rsidRPr="005D789F">
        <w:rPr>
          <w:smallCaps/>
          <w:lang w:val="en-US"/>
        </w:rPr>
        <w:t xml:space="preserve"> Math, V</w:t>
      </w:r>
      <w:r>
        <w:rPr>
          <w:smallCaps/>
          <w:lang w:val="en-US"/>
        </w:rPr>
        <w:t>.</w:t>
      </w:r>
      <w:r w:rsidRPr="005D789F">
        <w:rPr>
          <w:smallCaps/>
          <w:lang w:val="en-US"/>
        </w:rPr>
        <w:t xml:space="preserve"> Müller </w:t>
      </w:r>
      <w:r w:rsidRPr="00B4451E">
        <w:rPr>
          <w:szCs w:val="24"/>
          <w:lang w:val="en-US"/>
        </w:rPr>
        <w:t>and</w:t>
      </w:r>
      <w:r w:rsidRPr="005D789F">
        <w:rPr>
          <w:smallCaps/>
          <w:lang w:val="en-US"/>
        </w:rPr>
        <w:t xml:space="preserve"> C</w:t>
      </w:r>
      <w:r>
        <w:rPr>
          <w:smallCaps/>
          <w:lang w:val="en-US"/>
        </w:rPr>
        <w:t>.</w:t>
      </w:r>
      <w:r w:rsidRPr="005D789F">
        <w:rPr>
          <w:smallCaps/>
          <w:lang w:val="en-US"/>
        </w:rPr>
        <w:t xml:space="preserve"> Jurman</w:t>
      </w:r>
      <w:r>
        <w:rPr>
          <w:lang w:val="en-US"/>
        </w:rPr>
        <w:t xml:space="preserve"> 2012-2013, Report on the Excavations of a Hyksos Palace at Tell el-Dab’a/Avaris (23</w:t>
      </w:r>
      <w:r w:rsidRPr="00E5642A">
        <w:rPr>
          <w:vertAlign w:val="superscript"/>
          <w:lang w:val="en-US"/>
        </w:rPr>
        <w:t>rd</w:t>
      </w:r>
      <w:r>
        <w:rPr>
          <w:lang w:val="en-US"/>
        </w:rPr>
        <w:t xml:space="preserve"> August – 15</w:t>
      </w:r>
      <w:r w:rsidRPr="00E5642A">
        <w:rPr>
          <w:vertAlign w:val="superscript"/>
          <w:lang w:val="en-US"/>
        </w:rPr>
        <w:t>th</w:t>
      </w:r>
      <w:r w:rsidR="00B4451E">
        <w:rPr>
          <w:lang w:val="en-US"/>
        </w:rPr>
        <w:t xml:space="preserve"> November 2011)</w:t>
      </w:r>
      <w:r>
        <w:rPr>
          <w:lang w:val="en-US"/>
        </w:rPr>
        <w:t xml:space="preserve">, </w:t>
      </w:r>
      <w:r w:rsidRPr="00B4451E">
        <w:rPr>
          <w:lang w:val="en-US"/>
        </w:rPr>
        <w:t>Ägypten und Levante</w:t>
      </w:r>
      <w:r w:rsidR="00B4451E">
        <w:rPr>
          <w:lang w:val="en-US"/>
        </w:rPr>
        <w:t xml:space="preserve"> 22, 2012</w:t>
      </w:r>
      <w:r>
        <w:rPr>
          <w:lang w:val="en-US"/>
        </w:rPr>
        <w:t>, 17-53</w:t>
      </w:r>
      <w:r w:rsidR="00BD5412">
        <w:rPr>
          <w:lang w:val="en-US"/>
        </w:rPr>
        <w:t>.</w:t>
      </w:r>
      <w:r>
        <w:rPr>
          <w:lang w:val="en-US"/>
        </w:rPr>
        <w:t xml:space="preserve"> </w:t>
      </w:r>
    </w:p>
    <w:p w14:paraId="0059C7B3" w14:textId="77777777" w:rsidR="000C04FA" w:rsidRDefault="000C04FA" w:rsidP="00502122">
      <w:pPr>
        <w:rPr>
          <w:lang w:val="en-US"/>
        </w:rPr>
      </w:pPr>
    </w:p>
    <w:p w14:paraId="0D9391D1" w14:textId="77777777" w:rsidR="00311F20" w:rsidRDefault="00311F20" w:rsidP="000C04FA">
      <w:pPr>
        <w:pStyle w:val="FootnoteText"/>
        <w:rPr>
          <w:lang w:val="en-US"/>
        </w:rPr>
      </w:pPr>
      <w:r>
        <w:rPr>
          <w:lang w:val="en-US"/>
        </w:rPr>
        <w:lastRenderedPageBreak/>
        <w:t xml:space="preserve">M. </w:t>
      </w:r>
      <w:r w:rsidR="000C04FA" w:rsidRPr="00027EC9">
        <w:rPr>
          <w:smallCaps/>
          <w:lang w:val="en-US"/>
        </w:rPr>
        <w:t>Bietak</w:t>
      </w:r>
      <w:r w:rsidR="000C04FA">
        <w:rPr>
          <w:lang w:val="en-US"/>
        </w:rPr>
        <w:t xml:space="preserve">, </w:t>
      </w:r>
      <w:r>
        <w:rPr>
          <w:lang w:val="en-US"/>
        </w:rPr>
        <w:t xml:space="preserve">J. </w:t>
      </w:r>
      <w:r w:rsidR="000C04FA" w:rsidRPr="00027EC9">
        <w:rPr>
          <w:smallCaps/>
          <w:lang w:val="en-US"/>
        </w:rPr>
        <w:t>Dorner</w:t>
      </w:r>
      <w:r w:rsidR="000C04FA">
        <w:rPr>
          <w:lang w:val="en-US"/>
        </w:rPr>
        <w:t>,</w:t>
      </w:r>
      <w:r>
        <w:rPr>
          <w:lang w:val="en-US"/>
        </w:rPr>
        <w:t xml:space="preserve"> and</w:t>
      </w:r>
      <w:r w:rsidR="000C04FA">
        <w:rPr>
          <w:lang w:val="en-US"/>
        </w:rPr>
        <w:t xml:space="preserve"> </w:t>
      </w:r>
      <w:r>
        <w:rPr>
          <w:lang w:val="en-US"/>
        </w:rPr>
        <w:t xml:space="preserve">P. </w:t>
      </w:r>
      <w:r w:rsidR="000C04FA" w:rsidRPr="00027EC9">
        <w:rPr>
          <w:smallCaps/>
          <w:lang w:val="en-US"/>
        </w:rPr>
        <w:t>Janosi</w:t>
      </w:r>
      <w:r>
        <w:rPr>
          <w:lang w:val="en-US"/>
        </w:rPr>
        <w:t xml:space="preserve">, Ausgrabungen in dem Palastbezirk von Avaris. Vorbericht Tell el-Dab’a/’Ezbet Helmi 1993-2000, in: E&amp;L 11, </w:t>
      </w:r>
      <w:r w:rsidR="000C04FA">
        <w:rPr>
          <w:lang w:val="en-US"/>
        </w:rPr>
        <w:t xml:space="preserve">2001, </w:t>
      </w:r>
      <w:r>
        <w:rPr>
          <w:lang w:val="en-US"/>
        </w:rPr>
        <w:t>27-119.</w:t>
      </w:r>
    </w:p>
    <w:p w14:paraId="6F971818" w14:textId="77777777" w:rsidR="001F7944" w:rsidRDefault="001F7944" w:rsidP="00502122">
      <w:pPr>
        <w:rPr>
          <w:lang w:val="en-US"/>
        </w:rPr>
      </w:pPr>
    </w:p>
    <w:p w14:paraId="1284417D" w14:textId="1DE38B6B" w:rsidR="001F7944" w:rsidRDefault="001F7944" w:rsidP="00502122">
      <w:pPr>
        <w:rPr>
          <w:lang w:val="en-US"/>
        </w:rPr>
      </w:pPr>
      <w:r>
        <w:rPr>
          <w:smallCaps/>
          <w:lang w:val="en-US"/>
        </w:rPr>
        <w:t xml:space="preserve">C. </w:t>
      </w:r>
      <w:r w:rsidRPr="001F7944">
        <w:rPr>
          <w:smallCaps/>
          <w:lang w:val="en-US"/>
        </w:rPr>
        <w:t>Blankenberg-van Delden</w:t>
      </w:r>
      <w:r w:rsidRPr="001F7944">
        <w:rPr>
          <w:szCs w:val="24"/>
          <w:lang w:val="en-US"/>
        </w:rPr>
        <w:t>, The Large Commemorative Scarabs of Amenhotep III, Leiden,</w:t>
      </w:r>
      <w:r>
        <w:rPr>
          <w:smallCaps/>
          <w:lang w:val="en-US"/>
        </w:rPr>
        <w:t xml:space="preserve"> </w:t>
      </w:r>
      <w:r w:rsidRPr="001F7944">
        <w:rPr>
          <w:smallCaps/>
          <w:lang w:val="en-US"/>
        </w:rPr>
        <w:t>1969</w:t>
      </w:r>
      <w:r>
        <w:rPr>
          <w:smallCaps/>
          <w:lang w:val="en-US"/>
        </w:rPr>
        <w:t>.</w:t>
      </w:r>
    </w:p>
    <w:p w14:paraId="464A9998" w14:textId="77777777" w:rsidR="00DD2ADF" w:rsidRDefault="00DD2ADF" w:rsidP="00502122">
      <w:pPr>
        <w:rPr>
          <w:lang w:val="en-US"/>
        </w:rPr>
      </w:pPr>
    </w:p>
    <w:p w14:paraId="36F34472" w14:textId="2061E093" w:rsidR="00DD2ADF" w:rsidRPr="00DD2ADF" w:rsidRDefault="00DD2ADF" w:rsidP="00502122">
      <w:pPr>
        <w:rPr>
          <w:szCs w:val="24"/>
          <w:lang w:val="en-US"/>
        </w:rPr>
      </w:pPr>
      <w:r w:rsidRPr="00DD2ADF">
        <w:rPr>
          <w:smallCaps/>
          <w:szCs w:val="24"/>
          <w:lang w:val="en-US"/>
        </w:rPr>
        <w:t xml:space="preserve">J. F. Borghouts, </w:t>
      </w:r>
      <w:r w:rsidRPr="00DD2ADF">
        <w:rPr>
          <w:rFonts w:cs="Helvetica Neue"/>
          <w:szCs w:val="24"/>
          <w:lang w:val="en-US"/>
        </w:rPr>
        <w:t xml:space="preserve">Divine intervention in ancient Egypt and its manifestation </w:t>
      </w:r>
      <w:r w:rsidRPr="00517101">
        <w:rPr>
          <w:rFonts w:cs="Helvetica Neue"/>
          <w:szCs w:val="24"/>
          <w:lang w:val="en-US"/>
        </w:rPr>
        <w:t>(</w:t>
      </w:r>
      <w:r w:rsidRPr="00517101">
        <w:rPr>
          <w:rFonts w:ascii="Trlit_CG Times" w:hAnsi="Trlit_CG Times" w:cs="Trlit_CG Times"/>
          <w:szCs w:val="24"/>
          <w:lang w:val="en-US"/>
        </w:rPr>
        <w:t>bAw</w:t>
      </w:r>
      <w:r w:rsidR="003823F0" w:rsidRPr="00517101">
        <w:rPr>
          <w:rFonts w:cs="Helvetica Neue"/>
          <w:szCs w:val="24"/>
          <w:lang w:val="en-US"/>
        </w:rPr>
        <w:t>), in</w:t>
      </w:r>
      <w:r w:rsidR="003823F0">
        <w:rPr>
          <w:rFonts w:cs="Helvetica Neue"/>
          <w:szCs w:val="24"/>
          <w:lang w:val="en-US"/>
        </w:rPr>
        <w:t xml:space="preserve">: </w:t>
      </w:r>
      <w:r w:rsidR="003823F0" w:rsidRPr="003823F0">
        <w:rPr>
          <w:rFonts w:cs="Helvetica Neue"/>
          <w:smallCaps/>
          <w:szCs w:val="24"/>
          <w:lang w:val="en-US"/>
        </w:rPr>
        <w:t>R.J. Demarée</w:t>
      </w:r>
      <w:r w:rsidR="003823F0">
        <w:rPr>
          <w:rFonts w:cs="Helvetica Neue"/>
          <w:szCs w:val="24"/>
          <w:lang w:val="en-US"/>
        </w:rPr>
        <w:t xml:space="preserve"> and </w:t>
      </w:r>
      <w:r w:rsidRPr="003823F0">
        <w:rPr>
          <w:rFonts w:cs="Helvetica Neue"/>
          <w:smallCaps/>
          <w:szCs w:val="24"/>
          <w:lang w:val="en-US"/>
        </w:rPr>
        <w:t>Jac. J. Janssen</w:t>
      </w:r>
      <w:r w:rsidRPr="00DD2ADF">
        <w:rPr>
          <w:rFonts w:cs="Helvetica Neue"/>
          <w:szCs w:val="24"/>
          <w:lang w:val="en-US"/>
        </w:rPr>
        <w:t xml:space="preserve"> (eds</w:t>
      </w:r>
      <w:r w:rsidRPr="003823F0">
        <w:rPr>
          <w:rFonts w:cs="Helvetica Neue"/>
          <w:szCs w:val="24"/>
          <w:lang w:val="en-US"/>
        </w:rPr>
        <w:t xml:space="preserve">), </w:t>
      </w:r>
      <w:hyperlink r:id="rId9" w:history="1">
        <w:r w:rsidRPr="003823F0">
          <w:rPr>
            <w:rFonts w:cs="Helvetica Neue"/>
            <w:bCs/>
            <w:iCs/>
            <w:szCs w:val="24"/>
            <w:lang w:val="en-US"/>
          </w:rPr>
          <w:t>Gleanings from Deir el-Medîna</w:t>
        </w:r>
      </w:hyperlink>
      <w:r w:rsidRPr="003823F0">
        <w:rPr>
          <w:rFonts w:cs="Helvetica Neue"/>
          <w:szCs w:val="24"/>
          <w:lang w:val="en-US"/>
        </w:rPr>
        <w:t xml:space="preserve">, </w:t>
      </w:r>
      <w:r w:rsidR="003823F0" w:rsidRPr="00DD2ADF">
        <w:rPr>
          <w:rFonts w:cs="Helvetica Neue"/>
          <w:szCs w:val="24"/>
          <w:lang w:val="en-US"/>
        </w:rPr>
        <w:t>Leiden</w:t>
      </w:r>
      <w:r w:rsidR="003823F0">
        <w:rPr>
          <w:rFonts w:cs="Helvetica Neue"/>
          <w:szCs w:val="24"/>
          <w:lang w:val="en-US"/>
        </w:rPr>
        <w:t>,</w:t>
      </w:r>
      <w:r w:rsidR="003823F0" w:rsidRPr="003823F0">
        <w:rPr>
          <w:rFonts w:cs="Helvetica Neue"/>
          <w:szCs w:val="24"/>
          <w:lang w:val="en-US"/>
        </w:rPr>
        <w:t xml:space="preserve"> </w:t>
      </w:r>
      <w:r w:rsidRPr="003823F0">
        <w:rPr>
          <w:rFonts w:cs="Helvetica Neue"/>
          <w:szCs w:val="24"/>
          <w:lang w:val="en-US"/>
        </w:rPr>
        <w:t>1982, 1-70.</w:t>
      </w:r>
    </w:p>
    <w:p w14:paraId="55F5DFCA" w14:textId="77777777" w:rsidR="005D789F" w:rsidRDefault="005D789F" w:rsidP="00502122"/>
    <w:p w14:paraId="54972D76" w14:textId="6A3A449D" w:rsidR="001E2D7A" w:rsidRDefault="00517101" w:rsidP="00502122">
      <w:r w:rsidRPr="00517101">
        <w:rPr>
          <w:smallCaps/>
          <w:szCs w:val="24"/>
        </w:rPr>
        <w:t xml:space="preserve">G.P.F. </w:t>
      </w:r>
      <w:r w:rsidR="001E2D7A" w:rsidRPr="00517101">
        <w:rPr>
          <w:smallCaps/>
          <w:szCs w:val="24"/>
        </w:rPr>
        <w:t>van den Boorn</w:t>
      </w:r>
      <w:r w:rsidR="001E2D7A" w:rsidRPr="00517101">
        <w:t xml:space="preserve">, </w:t>
      </w:r>
      <w:r w:rsidRPr="00517101">
        <w:t>The Duties of the Vizier: Civil Administration in the Early New Kingdom, London, 1988.</w:t>
      </w:r>
    </w:p>
    <w:p w14:paraId="4532C267" w14:textId="77777777" w:rsidR="0002378B" w:rsidRDefault="0002378B" w:rsidP="00502122"/>
    <w:p w14:paraId="46B7E2FB" w14:textId="4F1D074C" w:rsidR="001E2D7A" w:rsidRDefault="0002378B" w:rsidP="00502122">
      <w:r>
        <w:t xml:space="preserve">M.-C. </w:t>
      </w:r>
      <w:r w:rsidRPr="0002378B">
        <w:rPr>
          <w:smallCaps/>
          <w:szCs w:val="24"/>
        </w:rPr>
        <w:t>Bruwier</w:t>
      </w:r>
      <w:r>
        <w:t xml:space="preserve">, W. </w:t>
      </w:r>
      <w:r w:rsidRPr="0002378B">
        <w:rPr>
          <w:smallCaps/>
          <w:szCs w:val="24"/>
        </w:rPr>
        <w:t>Claes</w:t>
      </w:r>
      <w:r>
        <w:t xml:space="preserve"> and A. </w:t>
      </w:r>
      <w:r w:rsidRPr="0002378B">
        <w:rPr>
          <w:smallCaps/>
          <w:szCs w:val="24"/>
        </w:rPr>
        <w:t>Quertinmont</w:t>
      </w:r>
      <w:r>
        <w:t xml:space="preserve"> (eds), «La Description de l’Égypte» de Jean-Jacques Rifaud (1813-1826), Connaissance de l’Égypte Ancienne no. 16, Brussels, 2014.</w:t>
      </w:r>
    </w:p>
    <w:p w14:paraId="51E4BC6A" w14:textId="77777777" w:rsidR="0002378B" w:rsidRDefault="0002378B" w:rsidP="00502122"/>
    <w:p w14:paraId="178B8C3B" w14:textId="77777777" w:rsidR="00EA186F" w:rsidRPr="001D7FFD" w:rsidRDefault="00EA186F" w:rsidP="00502122">
      <w:r>
        <w:rPr>
          <w:smallCaps/>
          <w:szCs w:val="24"/>
        </w:rPr>
        <w:t>A.</w:t>
      </w:r>
      <w:r w:rsidRPr="00EA186F">
        <w:rPr>
          <w:smallCaps/>
          <w:szCs w:val="24"/>
        </w:rPr>
        <w:t xml:space="preserve"> Z. Bryen</w:t>
      </w:r>
      <w:r w:rsidR="00C02DF7">
        <w:t>,</w:t>
      </w:r>
      <w:r w:rsidRPr="001D7FFD">
        <w:t xml:space="preserve"> Violence in Roman Egypt: a study in lega</w:t>
      </w:r>
      <w:r>
        <w:t>l interpretation, Philadelphia</w:t>
      </w:r>
      <w:r w:rsidR="00C02DF7">
        <w:t xml:space="preserve">, </w:t>
      </w:r>
      <w:r w:rsidR="00C02DF7" w:rsidRPr="001D7FFD">
        <w:t>2013</w:t>
      </w:r>
      <w:r w:rsidR="00C02DF7">
        <w:t>.</w:t>
      </w:r>
    </w:p>
    <w:p w14:paraId="3D0BD4E5" w14:textId="77777777" w:rsidR="00517101" w:rsidRDefault="00517101" w:rsidP="00502122"/>
    <w:p w14:paraId="1C5A5F96" w14:textId="352D0AC9" w:rsidR="00EA186F" w:rsidRPr="00517101" w:rsidRDefault="00517101" w:rsidP="00502122">
      <w:pPr>
        <w:rPr>
          <w:szCs w:val="24"/>
        </w:rPr>
      </w:pPr>
      <w:r w:rsidRPr="00517101">
        <w:rPr>
          <w:szCs w:val="24"/>
        </w:rPr>
        <w:t xml:space="preserve">R.A. </w:t>
      </w:r>
      <w:r w:rsidR="00EA186F" w:rsidRPr="00517101">
        <w:rPr>
          <w:szCs w:val="24"/>
        </w:rPr>
        <w:t>C</w:t>
      </w:r>
      <w:r w:rsidR="00EA186F" w:rsidRPr="00517101">
        <w:rPr>
          <w:smallCaps/>
          <w:szCs w:val="24"/>
        </w:rPr>
        <w:t>aminos</w:t>
      </w:r>
      <w:r w:rsidR="00EA186F" w:rsidRPr="00517101">
        <w:rPr>
          <w:szCs w:val="24"/>
        </w:rPr>
        <w:t>,</w:t>
      </w:r>
      <w:r w:rsidRPr="00517101">
        <w:rPr>
          <w:rFonts w:cs="Helvetica Neue"/>
          <w:szCs w:val="24"/>
          <w:lang w:val="en-US"/>
        </w:rPr>
        <w:t xml:space="preserve"> </w:t>
      </w:r>
      <w:r w:rsidRPr="00517101">
        <w:rPr>
          <w:rFonts w:cs="Helvetica Neue"/>
          <w:iCs/>
          <w:szCs w:val="24"/>
          <w:lang w:val="en-US"/>
        </w:rPr>
        <w:t>The Chronicle of Prince Osorkon</w:t>
      </w:r>
      <w:r w:rsidRPr="00517101">
        <w:rPr>
          <w:rFonts w:cs="Helvetica Neue"/>
          <w:szCs w:val="24"/>
          <w:lang w:val="en-US"/>
        </w:rPr>
        <w:t xml:space="preserve">, Analecta Orientalia 37, </w:t>
      </w:r>
      <w:r w:rsidRPr="00517101">
        <w:rPr>
          <w:szCs w:val="24"/>
        </w:rPr>
        <w:t>Rome, 1958</w:t>
      </w:r>
      <w:r w:rsidR="00EA186F" w:rsidRPr="00517101">
        <w:rPr>
          <w:szCs w:val="24"/>
        </w:rPr>
        <w:t>.</w:t>
      </w:r>
    </w:p>
    <w:p w14:paraId="5211B3BD" w14:textId="77777777" w:rsidR="004E3798" w:rsidRDefault="004E3798" w:rsidP="00502122"/>
    <w:p w14:paraId="0C2946FC" w14:textId="5D582874" w:rsidR="004E3798" w:rsidRPr="00517101" w:rsidRDefault="00F01C40" w:rsidP="00502122">
      <w:r w:rsidRPr="00517101">
        <w:rPr>
          <w:smallCaps/>
          <w:lang w:val="en-US"/>
        </w:rPr>
        <w:t xml:space="preserve">J. </w:t>
      </w:r>
      <w:r w:rsidR="004E3798" w:rsidRPr="00517101">
        <w:rPr>
          <w:smallCaps/>
          <w:lang w:val="en-US"/>
        </w:rPr>
        <w:t>Capart</w:t>
      </w:r>
      <w:r w:rsidR="004E3798" w:rsidRPr="00517101">
        <w:rPr>
          <w:lang w:val="en-US"/>
        </w:rPr>
        <w:t xml:space="preserve">, </w:t>
      </w:r>
      <w:r w:rsidRPr="00517101">
        <w:rPr>
          <w:lang w:val="en-US"/>
        </w:rPr>
        <w:t xml:space="preserve">A.H. </w:t>
      </w:r>
      <w:r w:rsidR="004E3798" w:rsidRPr="00517101">
        <w:rPr>
          <w:smallCaps/>
          <w:lang w:val="en-US"/>
        </w:rPr>
        <w:t>Gardiner</w:t>
      </w:r>
      <w:r w:rsidR="004E3798" w:rsidRPr="00517101">
        <w:rPr>
          <w:lang w:val="en-US"/>
        </w:rPr>
        <w:t xml:space="preserve"> and </w:t>
      </w:r>
      <w:r w:rsidRPr="00517101">
        <w:rPr>
          <w:lang w:val="en-US"/>
        </w:rPr>
        <w:t xml:space="preserve">B. </w:t>
      </w:r>
      <w:r w:rsidR="004E3798" w:rsidRPr="00517101">
        <w:rPr>
          <w:smallCaps/>
          <w:lang w:val="en-US"/>
        </w:rPr>
        <w:t>van der Walle</w:t>
      </w:r>
      <w:r w:rsidR="004E3798" w:rsidRPr="00517101">
        <w:rPr>
          <w:lang w:val="en-US"/>
        </w:rPr>
        <w:t xml:space="preserve">, </w:t>
      </w:r>
      <w:r w:rsidRPr="00517101">
        <w:rPr>
          <w:lang w:val="en-US"/>
        </w:rPr>
        <w:t>New Light on the Ramesside Tomb-Robberies,</w:t>
      </w:r>
      <w:r w:rsidR="004E3798" w:rsidRPr="00517101">
        <w:rPr>
          <w:lang w:val="en-US"/>
        </w:rPr>
        <w:t xml:space="preserve"> in: JEA 22, 1936,</w:t>
      </w:r>
      <w:r w:rsidRPr="00517101">
        <w:rPr>
          <w:lang w:val="en-US"/>
        </w:rPr>
        <w:t xml:space="preserve"> 169-183.</w:t>
      </w:r>
    </w:p>
    <w:p w14:paraId="2694E58D" w14:textId="77777777" w:rsidR="004E3798" w:rsidRDefault="004E3798" w:rsidP="00502122"/>
    <w:p w14:paraId="32E6EB6A" w14:textId="008AB3A5" w:rsidR="00517101" w:rsidRPr="00384F4E" w:rsidRDefault="00EA186F" w:rsidP="00502122">
      <w:pPr>
        <w:rPr>
          <w:rFonts w:cs="Helvetica Neue"/>
          <w:szCs w:val="24"/>
          <w:lang w:val="en-US"/>
        </w:rPr>
      </w:pPr>
      <w:r w:rsidRPr="00384F4E">
        <w:rPr>
          <w:smallCaps/>
          <w:szCs w:val="24"/>
          <w:lang w:val="cs-CZ"/>
        </w:rPr>
        <w:t>J. Černý</w:t>
      </w:r>
      <w:r w:rsidRPr="00384F4E">
        <w:rPr>
          <w:szCs w:val="24"/>
          <w:lang w:val="cs-CZ"/>
        </w:rPr>
        <w:t xml:space="preserve">, </w:t>
      </w:r>
      <w:r w:rsidR="00517101" w:rsidRPr="00384F4E">
        <w:rPr>
          <w:rFonts w:cs="Helvetica Neue"/>
          <w:iCs/>
          <w:szCs w:val="24"/>
          <w:lang w:val="en-US"/>
        </w:rPr>
        <w:t>Le temple d'Amada. Cahier V: les inscriptions historiques</w:t>
      </w:r>
      <w:r w:rsidR="00517101" w:rsidRPr="00384F4E">
        <w:rPr>
          <w:rFonts w:cs="Helvetica Neue"/>
          <w:szCs w:val="24"/>
          <w:lang w:val="en-US"/>
        </w:rPr>
        <w:t>, Cairo, 1967.</w:t>
      </w:r>
    </w:p>
    <w:p w14:paraId="0F38B1D3" w14:textId="77777777" w:rsidR="00BD7CC3" w:rsidRDefault="00BD7CC3" w:rsidP="00502122">
      <w:pPr>
        <w:rPr>
          <w:smallCaps/>
          <w:szCs w:val="24"/>
        </w:rPr>
      </w:pPr>
    </w:p>
    <w:p w14:paraId="0D0A9624" w14:textId="54C9B84F" w:rsidR="003E032B" w:rsidRPr="00FC6CA3" w:rsidRDefault="003E032B" w:rsidP="00502122">
      <w:pPr>
        <w:rPr>
          <w:szCs w:val="24"/>
        </w:rPr>
      </w:pPr>
      <w:r w:rsidRPr="00FC6CA3">
        <w:rPr>
          <w:smallCaps/>
          <w:szCs w:val="24"/>
        </w:rPr>
        <w:t>C.L. Crouch</w:t>
      </w:r>
      <w:r w:rsidRPr="00FC6CA3">
        <w:rPr>
          <w:szCs w:val="24"/>
        </w:rPr>
        <w:t>, War and Et</w:t>
      </w:r>
      <w:r w:rsidR="007B455D" w:rsidRPr="00FC6CA3">
        <w:rPr>
          <w:szCs w:val="24"/>
        </w:rPr>
        <w:t xml:space="preserve">hics in the Ancient Near East, </w:t>
      </w:r>
      <w:r w:rsidR="00384F4E" w:rsidRPr="00FC6CA3">
        <w:rPr>
          <w:szCs w:val="24"/>
        </w:rPr>
        <w:t>Berlin and New York,</w:t>
      </w:r>
      <w:r w:rsidR="00FC6CA3" w:rsidRPr="00FC6CA3">
        <w:rPr>
          <w:szCs w:val="24"/>
        </w:rPr>
        <w:t xml:space="preserve"> 2009.</w:t>
      </w:r>
    </w:p>
    <w:p w14:paraId="6A2E962D" w14:textId="77777777" w:rsidR="003E032B" w:rsidRDefault="003E032B" w:rsidP="00502122">
      <w:pPr>
        <w:rPr>
          <w:smallCaps/>
          <w:szCs w:val="24"/>
        </w:rPr>
      </w:pPr>
    </w:p>
    <w:p w14:paraId="184437E8" w14:textId="77777777" w:rsidR="00476428" w:rsidRDefault="00476428" w:rsidP="00502122">
      <w:r w:rsidRPr="00476428">
        <w:rPr>
          <w:smallCaps/>
          <w:szCs w:val="24"/>
        </w:rPr>
        <w:t>V</w:t>
      </w:r>
      <w:r>
        <w:rPr>
          <w:smallCaps/>
          <w:szCs w:val="24"/>
        </w:rPr>
        <w:t>.</w:t>
      </w:r>
      <w:r w:rsidRPr="00476428">
        <w:rPr>
          <w:smallCaps/>
          <w:szCs w:val="24"/>
        </w:rPr>
        <w:t xml:space="preserve"> Davies </w:t>
      </w:r>
      <w:r w:rsidRPr="00476428">
        <w:rPr>
          <w:szCs w:val="24"/>
        </w:rPr>
        <w:t>and</w:t>
      </w:r>
      <w:r w:rsidRPr="00476428">
        <w:rPr>
          <w:smallCaps/>
          <w:szCs w:val="24"/>
        </w:rPr>
        <w:t xml:space="preserve"> R</w:t>
      </w:r>
      <w:r>
        <w:rPr>
          <w:smallCaps/>
          <w:szCs w:val="24"/>
        </w:rPr>
        <w:t>.</w:t>
      </w:r>
      <w:r w:rsidRPr="00476428">
        <w:rPr>
          <w:smallCaps/>
          <w:szCs w:val="24"/>
        </w:rPr>
        <w:t xml:space="preserve"> Friedman</w:t>
      </w:r>
      <w:r>
        <w:t>, The Narmer Palette: an overlooked detail,</w:t>
      </w:r>
      <w:r w:rsidRPr="00665F81">
        <w:t xml:space="preserve"> in</w:t>
      </w:r>
      <w:r>
        <w:t xml:space="preserve">: </w:t>
      </w:r>
      <w:r w:rsidRPr="00476428">
        <w:rPr>
          <w:smallCaps/>
          <w:szCs w:val="24"/>
        </w:rPr>
        <w:t xml:space="preserve">Mamdouh Eldamaty </w:t>
      </w:r>
      <w:r w:rsidRPr="00476428">
        <w:rPr>
          <w:szCs w:val="24"/>
        </w:rPr>
        <w:t>and</w:t>
      </w:r>
      <w:r w:rsidRPr="00476428">
        <w:rPr>
          <w:smallCaps/>
          <w:szCs w:val="24"/>
        </w:rPr>
        <w:t xml:space="preserve"> Mai Trad</w:t>
      </w:r>
      <w:r>
        <w:t xml:space="preserve"> (eds</w:t>
      </w:r>
      <w:r w:rsidRPr="00476428">
        <w:t>), Egyptian Museum Collections around the world: Studies for the Centennial of the Egyptian Museum, Cairo,</w:t>
      </w:r>
      <w:r>
        <w:t xml:space="preserve"> Cairo: </w:t>
      </w:r>
      <w:r w:rsidRPr="00665F81">
        <w:t>2002</w:t>
      </w:r>
      <w:r>
        <w:t xml:space="preserve">, </w:t>
      </w:r>
      <w:r w:rsidRPr="00665F81">
        <w:t>243- 246</w:t>
      </w:r>
      <w:r>
        <w:t>.</w:t>
      </w:r>
    </w:p>
    <w:p w14:paraId="6A346576" w14:textId="77777777" w:rsidR="00E14552" w:rsidRDefault="00E14552" w:rsidP="00502122"/>
    <w:p w14:paraId="7725416C" w14:textId="14E95996" w:rsidR="00E14552" w:rsidRPr="00E14552" w:rsidRDefault="00E14552" w:rsidP="00E14552">
      <w:pPr>
        <w:widowControl w:val="0"/>
        <w:autoSpaceDE w:val="0"/>
        <w:autoSpaceDN w:val="0"/>
        <w:adjustRightInd w:val="0"/>
        <w:contextualSpacing w:val="0"/>
        <w:rPr>
          <w:rFonts w:cs="AGaramondPro-Regular"/>
          <w:iCs/>
          <w:szCs w:val="24"/>
          <w:lang w:val="en-US"/>
        </w:rPr>
      </w:pPr>
      <w:r w:rsidRPr="00E14552">
        <w:rPr>
          <w:rFonts w:cs="AGaramondPro-Regular"/>
          <w:szCs w:val="24"/>
          <w:lang w:val="en-US"/>
        </w:rPr>
        <w:t xml:space="preserve">E. </w:t>
      </w:r>
      <w:r w:rsidRPr="00E14552">
        <w:rPr>
          <w:rFonts w:cs="AGaramondPro-Regular"/>
          <w:smallCaps/>
          <w:szCs w:val="24"/>
          <w:lang w:val="en-US"/>
        </w:rPr>
        <w:t>Edel</w:t>
      </w:r>
      <w:r w:rsidRPr="00E14552">
        <w:rPr>
          <w:rFonts w:cs="AGaramondPro-Regular"/>
          <w:szCs w:val="24"/>
          <w:lang w:val="en-US"/>
        </w:rPr>
        <w:t xml:space="preserve">, </w:t>
      </w:r>
      <w:r w:rsidRPr="00E14552">
        <w:rPr>
          <w:rFonts w:cs="AGaramondPro-Regular"/>
          <w:iCs/>
          <w:szCs w:val="24"/>
          <w:lang w:val="en-US"/>
        </w:rPr>
        <w:t>Die Inschriften der Grabfronten der Siut-Gräber in Mittelägypten aus der Herakleopolitenzeit: eine Wiederherstellung nach den Zeichnungen der Description de l’Égypte</w:t>
      </w:r>
      <w:r w:rsidRPr="00E14552">
        <w:rPr>
          <w:rFonts w:cs="AGaramondPro-Regular"/>
          <w:szCs w:val="24"/>
          <w:lang w:val="en-US"/>
        </w:rPr>
        <w:t>, Opladen, 1984.</w:t>
      </w:r>
    </w:p>
    <w:p w14:paraId="0C2186EB" w14:textId="77777777" w:rsidR="00476428" w:rsidRDefault="00476428" w:rsidP="00502122">
      <w:pPr>
        <w:rPr>
          <w:smallCaps/>
          <w:szCs w:val="24"/>
        </w:rPr>
      </w:pPr>
    </w:p>
    <w:p w14:paraId="07E42240" w14:textId="338A14BA" w:rsidR="00742D62" w:rsidRDefault="00742D62" w:rsidP="00742D62">
      <w:r>
        <w:t xml:space="preserve">C. </w:t>
      </w:r>
      <w:r w:rsidRPr="00742D62">
        <w:rPr>
          <w:smallCaps/>
          <w:szCs w:val="24"/>
        </w:rPr>
        <w:t>Eyre</w:t>
      </w:r>
      <w:r>
        <w:t xml:space="preserve">, Pouvoir central et pouvoirs locaux: problèmes historiographiques et méthodologiques, in: B. Menu (ed.) </w:t>
      </w:r>
      <w:r>
        <w:rPr>
          <w:i/>
        </w:rPr>
        <w:t>Égypte pharaonique: déconcentration, cosmopolitisme</w:t>
      </w:r>
      <w:r>
        <w:t xml:space="preserve"> = </w:t>
      </w:r>
      <w:r>
        <w:rPr>
          <w:i/>
        </w:rPr>
        <w:t xml:space="preserve">Méditerranées </w:t>
      </w:r>
      <w:r>
        <w:t>24, Paris, 2000, 15-39.</w:t>
      </w:r>
    </w:p>
    <w:p w14:paraId="162E439A" w14:textId="77777777" w:rsidR="00742D62" w:rsidRDefault="00742D62" w:rsidP="00502122">
      <w:pPr>
        <w:rPr>
          <w:smallCaps/>
          <w:szCs w:val="24"/>
        </w:rPr>
      </w:pPr>
    </w:p>
    <w:p w14:paraId="7D418B5B" w14:textId="77777777" w:rsidR="005D7BA3" w:rsidRDefault="005D7BA3" w:rsidP="00502122">
      <w:r>
        <w:lastRenderedPageBreak/>
        <w:t xml:space="preserve">C. </w:t>
      </w:r>
      <w:r w:rsidRPr="005D7BA3">
        <w:rPr>
          <w:smallCaps/>
          <w:szCs w:val="24"/>
        </w:rPr>
        <w:t>Eyre</w:t>
      </w:r>
      <w:r>
        <w:rPr>
          <w:smallCaps/>
          <w:szCs w:val="24"/>
        </w:rPr>
        <w:t>,</w:t>
      </w:r>
      <w:r w:rsidRPr="005D7BA3">
        <w:rPr>
          <w:smallCaps/>
          <w:szCs w:val="24"/>
        </w:rPr>
        <w:t xml:space="preserve"> </w:t>
      </w:r>
      <w:r>
        <w:t>The Cannibal Hymn: a cultural and literary study, Liverpool, 2002.</w:t>
      </w:r>
    </w:p>
    <w:p w14:paraId="34E47AC4" w14:textId="77777777" w:rsidR="000729A7" w:rsidRPr="006A46CC" w:rsidRDefault="000729A7" w:rsidP="00502122">
      <w:pPr>
        <w:rPr>
          <w:smallCaps/>
          <w:szCs w:val="24"/>
        </w:rPr>
      </w:pPr>
    </w:p>
    <w:p w14:paraId="668B823B" w14:textId="74FE2BB9" w:rsidR="006A46CC" w:rsidRPr="006A46CC" w:rsidRDefault="006A46CC" w:rsidP="006A46CC">
      <w:pPr>
        <w:rPr>
          <w:szCs w:val="24"/>
        </w:rPr>
      </w:pPr>
      <w:r w:rsidRPr="006A46CC">
        <w:rPr>
          <w:szCs w:val="24"/>
        </w:rPr>
        <w:t xml:space="preserve">C. </w:t>
      </w:r>
      <w:r w:rsidRPr="006A46CC">
        <w:rPr>
          <w:smallCaps/>
          <w:szCs w:val="24"/>
        </w:rPr>
        <w:t>Eyre,</w:t>
      </w:r>
      <w:r>
        <w:rPr>
          <w:smallCaps/>
          <w:szCs w:val="24"/>
        </w:rPr>
        <w:t xml:space="preserve"> </w:t>
      </w:r>
      <w:r w:rsidRPr="006A46CC">
        <w:rPr>
          <w:szCs w:val="24"/>
        </w:rPr>
        <w:t>Judgement to the Satisfaction of All, in</w:t>
      </w:r>
      <w:r>
        <w:rPr>
          <w:szCs w:val="24"/>
        </w:rPr>
        <w:t>:</w:t>
      </w:r>
      <w:r w:rsidRPr="006A46CC">
        <w:rPr>
          <w:szCs w:val="24"/>
        </w:rPr>
        <w:t xml:space="preserve"> </w:t>
      </w:r>
      <w:r w:rsidR="00C92A6D" w:rsidRPr="006A46CC">
        <w:rPr>
          <w:szCs w:val="24"/>
        </w:rPr>
        <w:t>Droit et Cultures</w:t>
      </w:r>
      <w:r w:rsidR="00C92A6D">
        <w:rPr>
          <w:szCs w:val="24"/>
        </w:rPr>
        <w:t xml:space="preserve"> 47/1</w:t>
      </w:r>
      <w:r w:rsidR="00C92A6D" w:rsidRPr="00C92A6D">
        <w:rPr>
          <w:szCs w:val="24"/>
        </w:rPr>
        <w:t xml:space="preserve"> </w:t>
      </w:r>
      <w:r w:rsidR="00C92A6D">
        <w:rPr>
          <w:szCs w:val="24"/>
        </w:rPr>
        <w:t xml:space="preserve">(= </w:t>
      </w:r>
      <w:r w:rsidR="00C92A6D" w:rsidRPr="006A46CC">
        <w:rPr>
          <w:szCs w:val="24"/>
        </w:rPr>
        <w:t>La fonction de juger, Égypte ancienne et Mésopotamie</w:t>
      </w:r>
      <w:r w:rsidR="00C92A6D">
        <w:rPr>
          <w:szCs w:val="24"/>
        </w:rPr>
        <w:t xml:space="preserve">), </w:t>
      </w:r>
      <w:r w:rsidR="00C92A6D" w:rsidRPr="006A46CC">
        <w:rPr>
          <w:szCs w:val="24"/>
        </w:rPr>
        <w:t>2004</w:t>
      </w:r>
      <w:r w:rsidR="00C92A6D">
        <w:rPr>
          <w:szCs w:val="24"/>
        </w:rPr>
        <w:t xml:space="preserve">, </w:t>
      </w:r>
      <w:r w:rsidR="00C92A6D" w:rsidRPr="006A46CC">
        <w:rPr>
          <w:szCs w:val="24"/>
        </w:rPr>
        <w:t>91-107</w:t>
      </w:r>
      <w:r>
        <w:rPr>
          <w:szCs w:val="24"/>
        </w:rPr>
        <w:t>.</w:t>
      </w:r>
    </w:p>
    <w:p w14:paraId="4ACAF0FA" w14:textId="77777777" w:rsidR="006A46CC" w:rsidRDefault="006A46CC" w:rsidP="00502122">
      <w:pPr>
        <w:rPr>
          <w:smallCaps/>
          <w:szCs w:val="24"/>
        </w:rPr>
      </w:pPr>
    </w:p>
    <w:p w14:paraId="568C25C8" w14:textId="5310F3F8" w:rsidR="00BF34CE" w:rsidRDefault="009821C2" w:rsidP="00502122">
      <w:pPr>
        <w:rPr>
          <w:lang w:val="en-US"/>
        </w:rPr>
      </w:pPr>
      <w:r w:rsidRPr="009821C2">
        <w:rPr>
          <w:smallCaps/>
          <w:lang w:val="en-US"/>
        </w:rPr>
        <w:t xml:space="preserve">C.J.  </w:t>
      </w:r>
      <w:r w:rsidR="00BF34CE" w:rsidRPr="009821C2">
        <w:rPr>
          <w:smallCaps/>
          <w:lang w:val="en-US"/>
        </w:rPr>
        <w:t>Eyre</w:t>
      </w:r>
      <w:r w:rsidR="00BF34CE" w:rsidRPr="009821C2">
        <w:rPr>
          <w:lang w:val="en-US"/>
        </w:rPr>
        <w:t xml:space="preserve">, </w:t>
      </w:r>
      <w:r w:rsidRPr="009821C2">
        <w:rPr>
          <w:lang w:val="en-US"/>
        </w:rPr>
        <w:t xml:space="preserve">Society, Economy, and Administrative Process in Late Ramesside Egypt, in: </w:t>
      </w:r>
      <w:r w:rsidR="00BF34CE" w:rsidRPr="009821C2">
        <w:rPr>
          <w:smallCaps/>
          <w:lang w:val="en-US"/>
        </w:rPr>
        <w:t>Cline</w:t>
      </w:r>
      <w:r w:rsidR="00BF34CE" w:rsidRPr="009821C2">
        <w:rPr>
          <w:lang w:val="en-US"/>
        </w:rPr>
        <w:t xml:space="preserve"> and </w:t>
      </w:r>
      <w:r w:rsidR="00BF34CE" w:rsidRPr="009821C2">
        <w:rPr>
          <w:smallCaps/>
          <w:lang w:val="en-US"/>
        </w:rPr>
        <w:t>O’Connor</w:t>
      </w:r>
      <w:r w:rsidR="00BF34CE" w:rsidRPr="009821C2">
        <w:rPr>
          <w:lang w:val="en-US"/>
        </w:rPr>
        <w:t xml:space="preserve"> (eds), Ramesses III</w:t>
      </w:r>
      <w:r w:rsidRPr="009821C2">
        <w:rPr>
          <w:lang w:val="en-US"/>
        </w:rPr>
        <w:t>: the Life and Times of Egypt’s last Hero, Ann Arbor, 2012</w:t>
      </w:r>
      <w:r w:rsidR="00BF34CE" w:rsidRPr="009821C2">
        <w:rPr>
          <w:lang w:val="en-US"/>
        </w:rPr>
        <w:t>,</w:t>
      </w:r>
      <w:r w:rsidRPr="009821C2">
        <w:rPr>
          <w:lang w:val="en-US"/>
        </w:rPr>
        <w:t xml:space="preserve"> 101-150.</w:t>
      </w:r>
    </w:p>
    <w:p w14:paraId="13EBEAA7" w14:textId="77777777" w:rsidR="00B65B98" w:rsidRDefault="00B65B98" w:rsidP="00502122">
      <w:pPr>
        <w:rPr>
          <w:lang w:val="en-US"/>
        </w:rPr>
      </w:pPr>
    </w:p>
    <w:p w14:paraId="5C95B3D3" w14:textId="1A4DC753" w:rsidR="00B65B98" w:rsidRPr="00785000" w:rsidRDefault="00B65B98" w:rsidP="00B65B98">
      <w:pPr>
        <w:widowControl w:val="0"/>
        <w:autoSpaceDE w:val="0"/>
        <w:autoSpaceDN w:val="0"/>
        <w:adjustRightInd w:val="0"/>
        <w:contextualSpacing w:val="0"/>
        <w:rPr>
          <w:rFonts w:cs="Garamond"/>
          <w:szCs w:val="24"/>
          <w:lang w:val="en-US"/>
        </w:rPr>
      </w:pPr>
      <w:r w:rsidRPr="00785000">
        <w:rPr>
          <w:szCs w:val="24"/>
          <w:lang w:val="en-US"/>
        </w:rPr>
        <w:t xml:space="preserve">C.J. </w:t>
      </w:r>
      <w:r w:rsidRPr="00785000">
        <w:rPr>
          <w:smallCaps/>
          <w:szCs w:val="24"/>
          <w:lang w:val="en-US"/>
        </w:rPr>
        <w:t>Eyre</w:t>
      </w:r>
      <w:r w:rsidRPr="00785000">
        <w:rPr>
          <w:szCs w:val="24"/>
          <w:lang w:val="en-US"/>
        </w:rPr>
        <w:t>, Re</w:t>
      </w:r>
      <w:r w:rsidR="00785000" w:rsidRPr="00785000">
        <w:rPr>
          <w:szCs w:val="24"/>
          <w:lang w:val="en-US"/>
        </w:rPr>
        <w:t xml:space="preserve">ciprocity, Retribution and Feud, </w:t>
      </w:r>
      <w:r w:rsidRPr="00785000">
        <w:rPr>
          <w:szCs w:val="24"/>
          <w:lang w:val="en-US"/>
        </w:rPr>
        <w:t xml:space="preserve">in: </w:t>
      </w:r>
      <w:r w:rsidRPr="00785000">
        <w:rPr>
          <w:rFonts w:cs="Garamond"/>
          <w:smallCaps/>
          <w:szCs w:val="24"/>
          <w:lang w:val="en-US"/>
        </w:rPr>
        <w:t xml:space="preserve">P.Collombert, D. Lefèvre, S. Polis </w:t>
      </w:r>
      <w:r w:rsidR="00785000" w:rsidRPr="00785000">
        <w:rPr>
          <w:rFonts w:cs="Garamond"/>
          <w:szCs w:val="24"/>
          <w:lang w:val="en-US"/>
        </w:rPr>
        <w:t>and</w:t>
      </w:r>
      <w:r w:rsidRPr="00785000">
        <w:rPr>
          <w:rFonts w:cs="Garamond"/>
          <w:smallCaps/>
          <w:szCs w:val="24"/>
          <w:lang w:val="en-US"/>
        </w:rPr>
        <w:t xml:space="preserve"> J. Winand</w:t>
      </w:r>
      <w:r w:rsidRPr="00785000">
        <w:rPr>
          <w:rFonts w:cs="Garamond"/>
          <w:szCs w:val="24"/>
          <w:lang w:val="en-US"/>
        </w:rPr>
        <w:t xml:space="preserve"> (eds), </w:t>
      </w:r>
      <w:r w:rsidRPr="00785000">
        <w:rPr>
          <w:rFonts w:cs="Garamond"/>
          <w:iCs/>
          <w:szCs w:val="24"/>
          <w:lang w:val="en-US"/>
        </w:rPr>
        <w:t>Aere</w:t>
      </w:r>
      <w:r w:rsidR="00785000" w:rsidRPr="00785000">
        <w:rPr>
          <w:rFonts w:cs="Garamond"/>
          <w:szCs w:val="24"/>
          <w:lang w:val="en-US"/>
        </w:rPr>
        <w:t xml:space="preserve"> P</w:t>
      </w:r>
      <w:r w:rsidRPr="00785000">
        <w:rPr>
          <w:rFonts w:cs="Garamond"/>
          <w:iCs/>
          <w:szCs w:val="24"/>
          <w:lang w:val="en-US"/>
        </w:rPr>
        <w:t>erennius. Mélanges égyptologiques en l’honneur de Pascal Vernus,</w:t>
      </w:r>
      <w:r w:rsidRPr="00785000">
        <w:rPr>
          <w:rFonts w:cs="Garamond"/>
          <w:i/>
          <w:iCs/>
          <w:szCs w:val="24"/>
          <w:lang w:val="en-US"/>
        </w:rPr>
        <w:t xml:space="preserve"> </w:t>
      </w:r>
      <w:r w:rsidRPr="00785000">
        <w:rPr>
          <w:rFonts w:cs="Garamond"/>
          <w:szCs w:val="24"/>
          <w:lang w:val="en-US"/>
        </w:rPr>
        <w:t xml:space="preserve">OLA 242, Leuven, </w:t>
      </w:r>
      <w:r w:rsidR="000729A7">
        <w:rPr>
          <w:rFonts w:cs="Garamond"/>
          <w:szCs w:val="24"/>
          <w:lang w:val="en-US"/>
        </w:rPr>
        <w:t xml:space="preserve">2016, </w:t>
      </w:r>
      <w:r w:rsidR="00785000" w:rsidRPr="00785000">
        <w:rPr>
          <w:rFonts w:cs="Garamond"/>
          <w:szCs w:val="24"/>
          <w:lang w:val="en-US"/>
        </w:rPr>
        <w:t>163-179.</w:t>
      </w:r>
    </w:p>
    <w:p w14:paraId="59925015" w14:textId="77777777" w:rsidR="00BF34CE" w:rsidRDefault="00BF34CE" w:rsidP="00502122">
      <w:pPr>
        <w:rPr>
          <w:smallCaps/>
          <w:szCs w:val="24"/>
        </w:rPr>
      </w:pPr>
    </w:p>
    <w:p w14:paraId="249C87DD" w14:textId="11AC03EE" w:rsidR="00FB7E7B" w:rsidRPr="00FB7E7B" w:rsidRDefault="00FB7E7B" w:rsidP="00502122">
      <w:pPr>
        <w:rPr>
          <w:szCs w:val="24"/>
        </w:rPr>
      </w:pPr>
      <w:r>
        <w:rPr>
          <w:smallCaps/>
          <w:szCs w:val="24"/>
        </w:rPr>
        <w:t>R.O. Faulkner</w:t>
      </w:r>
      <w:r w:rsidRPr="00FB7E7B">
        <w:rPr>
          <w:szCs w:val="24"/>
        </w:rPr>
        <w:t>, The Installation of the Vizier, in: JEA 41, 1955, 18-29.</w:t>
      </w:r>
    </w:p>
    <w:p w14:paraId="0F1F728B" w14:textId="77777777" w:rsidR="00FB7E7B" w:rsidRPr="00FB7E7B" w:rsidRDefault="00FB7E7B" w:rsidP="00502122">
      <w:pPr>
        <w:rPr>
          <w:szCs w:val="24"/>
        </w:rPr>
      </w:pPr>
    </w:p>
    <w:p w14:paraId="5D171B15" w14:textId="77777777" w:rsidR="005D789F" w:rsidRDefault="005D789F" w:rsidP="00502122">
      <w:pPr>
        <w:rPr>
          <w:szCs w:val="24"/>
        </w:rPr>
      </w:pPr>
      <w:r>
        <w:rPr>
          <w:smallCaps/>
          <w:szCs w:val="24"/>
        </w:rPr>
        <w:t xml:space="preserve">H. Felber </w:t>
      </w:r>
      <w:r w:rsidRPr="005D789F">
        <w:rPr>
          <w:szCs w:val="24"/>
        </w:rPr>
        <w:t>(ed.),</w:t>
      </w:r>
      <w:r>
        <w:rPr>
          <w:smallCaps/>
          <w:szCs w:val="24"/>
        </w:rPr>
        <w:t xml:space="preserve"> </w:t>
      </w:r>
      <w:r w:rsidRPr="005D789F">
        <w:rPr>
          <w:szCs w:val="24"/>
        </w:rPr>
        <w:t>Feinde und Auf</w:t>
      </w:r>
      <w:r>
        <w:rPr>
          <w:szCs w:val="24"/>
        </w:rPr>
        <w:t>rüher. Konzepte von Gegnerschaft in ägyptischen Texten besonders des Mittlerren Reiches, Leipzig, 2005.</w:t>
      </w:r>
    </w:p>
    <w:p w14:paraId="5A76CC38" w14:textId="77777777" w:rsidR="005D789F" w:rsidRDefault="005D789F" w:rsidP="00502122">
      <w:pPr>
        <w:rPr>
          <w:szCs w:val="24"/>
        </w:rPr>
      </w:pPr>
    </w:p>
    <w:p w14:paraId="4DBDAB68" w14:textId="46EC640C" w:rsidR="002F6963" w:rsidRPr="00C208A1" w:rsidRDefault="00C208A1" w:rsidP="00502122">
      <w:pPr>
        <w:rPr>
          <w:szCs w:val="24"/>
        </w:rPr>
      </w:pPr>
      <w:r w:rsidRPr="00C208A1">
        <w:rPr>
          <w:szCs w:val="24"/>
        </w:rPr>
        <w:t xml:space="preserve">M. </w:t>
      </w:r>
      <w:r w:rsidR="002F6963" w:rsidRPr="00C208A1">
        <w:rPr>
          <w:smallCaps/>
          <w:szCs w:val="24"/>
        </w:rPr>
        <w:t>Foucault</w:t>
      </w:r>
      <w:r w:rsidR="002F6963" w:rsidRPr="00C208A1">
        <w:rPr>
          <w:szCs w:val="24"/>
        </w:rPr>
        <w:t>, Discipline and Punishment: The Birth of the Prison, 1977</w:t>
      </w:r>
      <w:r w:rsidRPr="00C208A1">
        <w:rPr>
          <w:szCs w:val="24"/>
        </w:rPr>
        <w:t xml:space="preserve"> (original French edition 1975).</w:t>
      </w:r>
      <w:r w:rsidR="00BC7A9B" w:rsidRPr="00C208A1">
        <w:rPr>
          <w:szCs w:val="24"/>
        </w:rPr>
        <w:t xml:space="preserve">  </w:t>
      </w:r>
    </w:p>
    <w:p w14:paraId="00659631" w14:textId="77777777" w:rsidR="002F6963" w:rsidRDefault="002F6963" w:rsidP="00502122">
      <w:pPr>
        <w:rPr>
          <w:szCs w:val="24"/>
        </w:rPr>
      </w:pPr>
    </w:p>
    <w:p w14:paraId="1A856726" w14:textId="77777777" w:rsidR="005D789F" w:rsidRPr="005D789F" w:rsidRDefault="005D789F" w:rsidP="00502122">
      <w:pPr>
        <w:rPr>
          <w:szCs w:val="24"/>
          <w:lang w:val="de-DE"/>
        </w:rPr>
      </w:pPr>
      <w:r w:rsidRPr="005D789F">
        <w:rPr>
          <w:smallCaps/>
          <w:szCs w:val="24"/>
        </w:rPr>
        <w:t>D. Franke</w:t>
      </w:r>
      <w:r>
        <w:rPr>
          <w:szCs w:val="24"/>
        </w:rPr>
        <w:t xml:space="preserve">, Schlagworte, in: </w:t>
      </w:r>
      <w:r>
        <w:rPr>
          <w:smallCaps/>
          <w:szCs w:val="24"/>
        </w:rPr>
        <w:t xml:space="preserve">H. Felber </w:t>
      </w:r>
      <w:r w:rsidRPr="005D789F">
        <w:rPr>
          <w:szCs w:val="24"/>
        </w:rPr>
        <w:t>(ed.),</w:t>
      </w:r>
      <w:r>
        <w:rPr>
          <w:szCs w:val="24"/>
        </w:rPr>
        <w:t xml:space="preserve"> 2005, 89-110.</w:t>
      </w:r>
    </w:p>
    <w:p w14:paraId="0AD2D860" w14:textId="77777777" w:rsidR="005D789F" w:rsidRDefault="005D789F" w:rsidP="00502122">
      <w:pPr>
        <w:rPr>
          <w:smallCaps/>
          <w:szCs w:val="24"/>
        </w:rPr>
      </w:pPr>
    </w:p>
    <w:p w14:paraId="55C39DDC" w14:textId="77777777" w:rsidR="00E8694A" w:rsidRDefault="00E8694A" w:rsidP="00502122">
      <w:r>
        <w:rPr>
          <w:smallCaps/>
          <w:szCs w:val="24"/>
        </w:rPr>
        <w:t>P. J.</w:t>
      </w:r>
      <w:r w:rsidRPr="00E8694A">
        <w:rPr>
          <w:smallCaps/>
          <w:szCs w:val="24"/>
        </w:rPr>
        <w:t xml:space="preserve"> Fran</w:t>
      </w:r>
      <w:r>
        <w:rPr>
          <w:smallCaps/>
          <w:szCs w:val="24"/>
        </w:rPr>
        <w:t>dsen</w:t>
      </w:r>
      <w:r>
        <w:t xml:space="preserve">: To kill or not to kill, in </w:t>
      </w:r>
      <w:r w:rsidRPr="00E8694A">
        <w:rPr>
          <w:smallCaps/>
          <w:szCs w:val="24"/>
        </w:rPr>
        <w:t>P</w:t>
      </w:r>
      <w:r>
        <w:rPr>
          <w:smallCaps/>
          <w:szCs w:val="24"/>
        </w:rPr>
        <w:t>.</w:t>
      </w:r>
      <w:r w:rsidRPr="00E8694A">
        <w:rPr>
          <w:smallCaps/>
          <w:szCs w:val="24"/>
        </w:rPr>
        <w:t xml:space="preserve"> Collombert, D</w:t>
      </w:r>
      <w:r>
        <w:rPr>
          <w:smallCaps/>
          <w:szCs w:val="24"/>
        </w:rPr>
        <w:t xml:space="preserve">. </w:t>
      </w:r>
      <w:r w:rsidRPr="00E8694A">
        <w:rPr>
          <w:smallCaps/>
          <w:szCs w:val="24"/>
        </w:rPr>
        <w:t>Lefèvre, S</w:t>
      </w:r>
      <w:r>
        <w:rPr>
          <w:smallCaps/>
          <w:szCs w:val="24"/>
        </w:rPr>
        <w:t xml:space="preserve">. </w:t>
      </w:r>
      <w:r w:rsidRPr="00E8694A">
        <w:rPr>
          <w:smallCaps/>
          <w:szCs w:val="24"/>
        </w:rPr>
        <w:t>Polis and J</w:t>
      </w:r>
      <w:r>
        <w:rPr>
          <w:smallCaps/>
          <w:szCs w:val="24"/>
        </w:rPr>
        <w:t>.</w:t>
      </w:r>
      <w:r w:rsidRPr="00E8694A">
        <w:rPr>
          <w:smallCaps/>
          <w:szCs w:val="24"/>
        </w:rPr>
        <w:t xml:space="preserve"> Winand</w:t>
      </w:r>
      <w:r>
        <w:t xml:space="preserve">, </w:t>
      </w:r>
      <w:r w:rsidRPr="00E8694A">
        <w:t>Aere Perennius: Mélanges égyptologiques en l’honneur de Pascal Vernus,</w:t>
      </w:r>
      <w:r>
        <w:t xml:space="preserve"> Leuven, 2016, 219-240.</w:t>
      </w:r>
    </w:p>
    <w:p w14:paraId="1EF5E048" w14:textId="77777777" w:rsidR="00EC18F5" w:rsidRDefault="00EC18F5" w:rsidP="00502122"/>
    <w:p w14:paraId="59A9ECC4" w14:textId="68593A12" w:rsidR="00EC18F5" w:rsidRDefault="00EC18F5" w:rsidP="00502122">
      <w:r>
        <w:t>A.</w:t>
      </w:r>
      <w:r w:rsidRPr="00EC18F5">
        <w:rPr>
          <w:smallCaps/>
          <w:szCs w:val="24"/>
        </w:rPr>
        <w:t xml:space="preserve"> Fuchs</w:t>
      </w:r>
      <w:r>
        <w:t xml:space="preserve">, Waren die Assyrer grausam? in: </w:t>
      </w:r>
      <w:r w:rsidRPr="00EC18F5">
        <w:rPr>
          <w:smallCaps/>
          <w:szCs w:val="24"/>
        </w:rPr>
        <w:t>Zimmermann</w:t>
      </w:r>
      <w:r>
        <w:t xml:space="preserve"> 2009, 65-119.</w:t>
      </w:r>
    </w:p>
    <w:p w14:paraId="4C8BE999" w14:textId="77777777" w:rsidR="00A2539D" w:rsidRDefault="00A2539D" w:rsidP="00502122"/>
    <w:p w14:paraId="2E8D62E8" w14:textId="15CE3CCC" w:rsidR="00A2539D" w:rsidRPr="00F1463A" w:rsidRDefault="00A2539D" w:rsidP="00A2539D">
      <w:pPr>
        <w:widowControl w:val="0"/>
        <w:autoSpaceDE w:val="0"/>
        <w:autoSpaceDN w:val="0"/>
        <w:adjustRightInd w:val="0"/>
        <w:rPr>
          <w:rFonts w:cs="AGaramondPro-Regular"/>
          <w:i/>
          <w:iCs/>
          <w:szCs w:val="24"/>
          <w:lang w:val="en-US"/>
        </w:rPr>
      </w:pPr>
      <w:r w:rsidRPr="00F1463A">
        <w:rPr>
          <w:rFonts w:cs="AGaramondPro-Regular"/>
          <w:szCs w:val="24"/>
          <w:lang w:val="en-US"/>
        </w:rPr>
        <w:t>P</w:t>
      </w:r>
      <w:r w:rsidR="00353A7C">
        <w:rPr>
          <w:rFonts w:cs="AGaramondPro-Regular"/>
          <w:szCs w:val="24"/>
          <w:lang w:val="en-US"/>
        </w:rPr>
        <w:t xml:space="preserve">. </w:t>
      </w:r>
      <w:r w:rsidRPr="00F1463A">
        <w:rPr>
          <w:rFonts w:cs="AGaramondPro-Regular"/>
          <w:smallCaps/>
          <w:szCs w:val="24"/>
          <w:lang w:val="en-US"/>
        </w:rPr>
        <w:t>Fuscaldo</w:t>
      </w:r>
      <w:r w:rsidRPr="00F1463A">
        <w:rPr>
          <w:rFonts w:cs="AGaramondPro-Regular"/>
          <w:szCs w:val="24"/>
          <w:lang w:val="en-US"/>
        </w:rPr>
        <w:t xml:space="preserve">, Tell al-Dab’a: Two Execration Pits and a Foundation Deposit, in: Zahi Hawass (ed.), </w:t>
      </w:r>
      <w:r w:rsidRPr="00F1463A">
        <w:rPr>
          <w:rFonts w:cs="AGaramondPro-Regular"/>
          <w:i/>
          <w:iCs/>
          <w:szCs w:val="24"/>
          <w:lang w:val="en-US"/>
        </w:rPr>
        <w:t>Egyptology</w:t>
      </w:r>
      <w:r w:rsidR="00F1463A" w:rsidRPr="00F1463A">
        <w:rPr>
          <w:rFonts w:cs="AGaramondPro-Regular"/>
          <w:i/>
          <w:iCs/>
          <w:szCs w:val="24"/>
          <w:lang w:val="en-US"/>
        </w:rPr>
        <w:t xml:space="preserve"> </w:t>
      </w:r>
      <w:r w:rsidRPr="00F1463A">
        <w:rPr>
          <w:rFonts w:cs="AGaramondPro-Regular"/>
          <w:i/>
          <w:iCs/>
          <w:szCs w:val="24"/>
          <w:lang w:val="en-US"/>
        </w:rPr>
        <w:t xml:space="preserve">at the Dawn of the Twenty-first Century: Proceedings of the Eighth International Congress of Egyptologists, Cairo, 2000, </w:t>
      </w:r>
      <w:r w:rsidRPr="00F1463A">
        <w:rPr>
          <w:rFonts w:cs="AGaramondPro-Regular"/>
          <w:szCs w:val="24"/>
          <w:lang w:val="en-US"/>
        </w:rPr>
        <w:t xml:space="preserve">vol. I Archaeology, Cairo, </w:t>
      </w:r>
      <w:r w:rsidR="00353A7C">
        <w:rPr>
          <w:rFonts w:cs="AGaramondPro-Regular"/>
          <w:szCs w:val="24"/>
          <w:lang w:val="en-US"/>
        </w:rPr>
        <w:t xml:space="preserve">2003, </w:t>
      </w:r>
      <w:r w:rsidRPr="00F1463A">
        <w:rPr>
          <w:rFonts w:cs="AGaramondPro-Regular"/>
          <w:szCs w:val="24"/>
          <w:lang w:val="en-US"/>
        </w:rPr>
        <w:t>185-188.</w:t>
      </w:r>
    </w:p>
    <w:p w14:paraId="01182D56" w14:textId="77777777" w:rsidR="001679A3" w:rsidRDefault="001679A3" w:rsidP="00502122"/>
    <w:p w14:paraId="178FE18F" w14:textId="77777777" w:rsidR="001679A3" w:rsidRDefault="001679A3" w:rsidP="00502122">
      <w:r>
        <w:t xml:space="preserve">J. M. </w:t>
      </w:r>
      <w:r w:rsidRPr="001679A3">
        <w:rPr>
          <w:smallCaps/>
          <w:szCs w:val="24"/>
        </w:rPr>
        <w:t>Galán</w:t>
      </w:r>
      <w:r>
        <w:rPr>
          <w:smallCaps/>
          <w:szCs w:val="24"/>
        </w:rPr>
        <w:t xml:space="preserve">, </w:t>
      </w:r>
      <w:r>
        <w:t xml:space="preserve">Mutilation of Pharaoh’s enemies, </w:t>
      </w:r>
      <w:r w:rsidRPr="00665F81">
        <w:t>in</w:t>
      </w:r>
      <w:r>
        <w:t xml:space="preserve">: </w:t>
      </w:r>
      <w:r w:rsidRPr="001679A3">
        <w:rPr>
          <w:smallCaps/>
          <w:szCs w:val="24"/>
        </w:rPr>
        <w:t>Mamdouh Eldamaty</w:t>
      </w:r>
      <w:r>
        <w:t xml:space="preserve"> and </w:t>
      </w:r>
      <w:r w:rsidRPr="001679A3">
        <w:rPr>
          <w:smallCaps/>
          <w:szCs w:val="24"/>
        </w:rPr>
        <w:t>Mai Trad</w:t>
      </w:r>
      <w:r>
        <w:t xml:space="preserve"> (eds), </w:t>
      </w:r>
      <w:r w:rsidRPr="00665F81">
        <w:rPr>
          <w:i/>
        </w:rPr>
        <w:t>Egyptian Museum Collections around the world: Studies for the Centennial of the Egyptian Museum, Cairo</w:t>
      </w:r>
      <w:r>
        <w:t>, Cairo,</w:t>
      </w:r>
      <w:r w:rsidRPr="00665F81">
        <w:t xml:space="preserve"> </w:t>
      </w:r>
      <w:r>
        <w:t>2002, 441-451.</w:t>
      </w:r>
    </w:p>
    <w:p w14:paraId="05CCEFF7" w14:textId="77777777" w:rsidR="0065107F" w:rsidRDefault="0065107F" w:rsidP="00502122"/>
    <w:p w14:paraId="221E7A83" w14:textId="77777777" w:rsidR="0065107F" w:rsidRDefault="0065107F" w:rsidP="00502122">
      <w:pPr>
        <w:rPr>
          <w:lang w:val="en-US"/>
        </w:rPr>
      </w:pPr>
      <w:r w:rsidRPr="0065107F">
        <w:rPr>
          <w:smallCaps/>
          <w:szCs w:val="24"/>
          <w:lang w:val="en-US"/>
        </w:rPr>
        <w:t>J</w:t>
      </w:r>
      <w:r>
        <w:rPr>
          <w:smallCaps/>
          <w:szCs w:val="24"/>
          <w:lang w:val="en-US"/>
        </w:rPr>
        <w:t>.</w:t>
      </w:r>
      <w:r w:rsidRPr="0065107F">
        <w:rPr>
          <w:smallCaps/>
          <w:szCs w:val="24"/>
          <w:lang w:val="en-US"/>
        </w:rPr>
        <w:t xml:space="preserve"> Gee</w:t>
      </w:r>
      <w:r>
        <w:rPr>
          <w:lang w:val="en-US"/>
        </w:rPr>
        <w:t xml:space="preserve"> 2010, </w:t>
      </w:r>
      <w:r w:rsidRPr="00084C79">
        <w:rPr>
          <w:lang w:val="en-US"/>
        </w:rPr>
        <w:t>Execra</w:t>
      </w:r>
      <w:r>
        <w:rPr>
          <w:lang w:val="en-US"/>
        </w:rPr>
        <w:t>tion rituals in various temples</w:t>
      </w:r>
      <w:r w:rsidRPr="00084C79">
        <w:rPr>
          <w:lang w:val="en-US"/>
        </w:rPr>
        <w:t>,</w:t>
      </w:r>
      <w:r>
        <w:rPr>
          <w:lang w:val="en-US"/>
        </w:rPr>
        <w:t xml:space="preserve"> in: M.</w:t>
      </w:r>
      <w:r w:rsidRPr="00084C79">
        <w:rPr>
          <w:lang w:val="en-US"/>
        </w:rPr>
        <w:t xml:space="preserve"> D</w:t>
      </w:r>
      <w:r w:rsidRPr="0065107F">
        <w:rPr>
          <w:smallCaps/>
          <w:szCs w:val="24"/>
          <w:lang w:val="en-US"/>
        </w:rPr>
        <w:t>olińska</w:t>
      </w:r>
      <w:r>
        <w:rPr>
          <w:lang w:val="en-US"/>
        </w:rPr>
        <w:t xml:space="preserve"> and H. B</w:t>
      </w:r>
      <w:r w:rsidRPr="0065107F">
        <w:rPr>
          <w:smallCaps/>
          <w:szCs w:val="24"/>
          <w:lang w:val="en-US"/>
        </w:rPr>
        <w:t>einlich</w:t>
      </w:r>
      <w:r>
        <w:rPr>
          <w:lang w:val="en-US"/>
        </w:rPr>
        <w:t xml:space="preserve"> (eds</w:t>
      </w:r>
      <w:r w:rsidRPr="00084C79">
        <w:rPr>
          <w:lang w:val="en-US"/>
        </w:rPr>
        <w:t>), 8. Ägyptologische Tempeltagung: Interconnections between Temples,</w:t>
      </w:r>
      <w:r>
        <w:rPr>
          <w:lang w:val="en-US"/>
        </w:rPr>
        <w:t xml:space="preserve"> Wiesbaden, 2010, 67-80.</w:t>
      </w:r>
    </w:p>
    <w:p w14:paraId="064EB006" w14:textId="77777777" w:rsidR="009920E2" w:rsidRDefault="009920E2" w:rsidP="00502122">
      <w:pPr>
        <w:rPr>
          <w:lang w:val="en-US"/>
        </w:rPr>
      </w:pPr>
    </w:p>
    <w:p w14:paraId="13C38965" w14:textId="39F3488B" w:rsidR="001E2D7A" w:rsidRPr="00634E6A" w:rsidRDefault="009920E2" w:rsidP="001E2D7A">
      <w:pPr>
        <w:rPr>
          <w:szCs w:val="24"/>
          <w:lang w:val="en-US"/>
        </w:rPr>
      </w:pPr>
      <w:r>
        <w:rPr>
          <w:smallCaps/>
          <w:szCs w:val="24"/>
          <w:lang w:val="en-US"/>
        </w:rPr>
        <w:t>I.</w:t>
      </w:r>
      <w:r w:rsidR="00634E6A">
        <w:rPr>
          <w:smallCaps/>
          <w:szCs w:val="24"/>
          <w:lang w:val="en-US"/>
        </w:rPr>
        <w:t xml:space="preserve">J. </w:t>
      </w:r>
      <w:r w:rsidRPr="0065107F">
        <w:rPr>
          <w:smallCaps/>
          <w:szCs w:val="24"/>
          <w:lang w:val="en-US"/>
        </w:rPr>
        <w:t xml:space="preserve"> Ge</w:t>
      </w:r>
      <w:r>
        <w:rPr>
          <w:smallCaps/>
          <w:szCs w:val="24"/>
          <w:lang w:val="en-US"/>
        </w:rPr>
        <w:t>lb</w:t>
      </w:r>
      <w:r w:rsidR="00634E6A" w:rsidRPr="00634E6A">
        <w:rPr>
          <w:szCs w:val="24"/>
          <w:lang w:val="en-US"/>
        </w:rPr>
        <w:t xml:space="preserve">, Prisoners of War in Early Mesopotamia, </w:t>
      </w:r>
      <w:r w:rsidR="0002378B">
        <w:rPr>
          <w:szCs w:val="24"/>
          <w:lang w:val="en-US"/>
        </w:rPr>
        <w:t xml:space="preserve">in: </w:t>
      </w:r>
      <w:r w:rsidR="00634E6A" w:rsidRPr="00634E6A">
        <w:rPr>
          <w:szCs w:val="24"/>
          <w:lang w:val="en-US"/>
        </w:rPr>
        <w:t xml:space="preserve">JNES 32 no. </w:t>
      </w:r>
      <w:r w:rsidR="00634E6A">
        <w:rPr>
          <w:szCs w:val="24"/>
          <w:lang w:val="en-US"/>
        </w:rPr>
        <w:t>1/2</w:t>
      </w:r>
      <w:r w:rsidR="00634E6A" w:rsidRPr="00634E6A">
        <w:rPr>
          <w:szCs w:val="24"/>
          <w:lang w:val="en-US"/>
        </w:rPr>
        <w:t>, 1973, 70-98.</w:t>
      </w:r>
    </w:p>
    <w:p w14:paraId="4F7AB428" w14:textId="77777777" w:rsidR="009920E2" w:rsidRPr="000C4975" w:rsidRDefault="009920E2" w:rsidP="001E2D7A">
      <w:pPr>
        <w:rPr>
          <w:sz w:val="22"/>
        </w:rPr>
      </w:pPr>
    </w:p>
    <w:p w14:paraId="5920BDA8" w14:textId="42C1E8C5" w:rsidR="0002378B" w:rsidRPr="000C4975" w:rsidRDefault="0002378B" w:rsidP="001E2D7A">
      <w:pPr>
        <w:rPr>
          <w:szCs w:val="24"/>
        </w:rPr>
      </w:pPr>
      <w:r w:rsidRPr="000C4975">
        <w:rPr>
          <w:szCs w:val="24"/>
        </w:rPr>
        <w:lastRenderedPageBreak/>
        <w:t xml:space="preserve">A.M. </w:t>
      </w:r>
      <w:r w:rsidRPr="000C4975">
        <w:rPr>
          <w:smallCaps/>
          <w:szCs w:val="24"/>
        </w:rPr>
        <w:t>Gnirs</w:t>
      </w:r>
      <w:r w:rsidRPr="000C4975">
        <w:rPr>
          <w:szCs w:val="24"/>
        </w:rPr>
        <w:t xml:space="preserve"> and A. </w:t>
      </w:r>
      <w:r w:rsidRPr="000C4975">
        <w:rPr>
          <w:smallCaps/>
          <w:szCs w:val="24"/>
        </w:rPr>
        <w:t>Loprieno</w:t>
      </w:r>
      <w:r w:rsidRPr="000C4975">
        <w:rPr>
          <w:szCs w:val="24"/>
        </w:rPr>
        <w:t xml:space="preserve">, Krieg und Literatur, in: R. </w:t>
      </w:r>
      <w:r w:rsidRPr="000C4975">
        <w:rPr>
          <w:smallCaps/>
          <w:szCs w:val="24"/>
        </w:rPr>
        <w:t>Gundlach</w:t>
      </w:r>
      <w:r w:rsidRPr="000C4975">
        <w:rPr>
          <w:szCs w:val="24"/>
        </w:rPr>
        <w:t xml:space="preserve"> and C. </w:t>
      </w:r>
      <w:r w:rsidRPr="000C4975">
        <w:rPr>
          <w:smallCaps/>
          <w:szCs w:val="24"/>
        </w:rPr>
        <w:t>Vogel</w:t>
      </w:r>
      <w:r w:rsidRPr="000C4975">
        <w:rPr>
          <w:szCs w:val="24"/>
        </w:rPr>
        <w:t xml:space="preserve"> (eds), Militärgeschichte des pharaonischen Äg</w:t>
      </w:r>
      <w:r w:rsidR="000C4975" w:rsidRPr="000C4975">
        <w:rPr>
          <w:szCs w:val="24"/>
        </w:rPr>
        <w:t>ypten, Paderborn, 2009, 243-308 and 492-496.</w:t>
      </w:r>
    </w:p>
    <w:p w14:paraId="5818ADB2" w14:textId="77777777" w:rsidR="0002378B" w:rsidRDefault="0002378B" w:rsidP="001E2D7A">
      <w:pPr>
        <w:rPr>
          <w:sz w:val="22"/>
        </w:rPr>
      </w:pPr>
    </w:p>
    <w:p w14:paraId="315E372A" w14:textId="77777777" w:rsidR="00B01321" w:rsidRDefault="00B01321" w:rsidP="00B01321">
      <w:pPr>
        <w:rPr>
          <w:rFonts w:cs="Helvetica Neue"/>
          <w:szCs w:val="24"/>
          <w:lang w:val="en-US"/>
        </w:rPr>
      </w:pPr>
      <w:r w:rsidRPr="007B455D">
        <w:rPr>
          <w:rFonts w:cs="Helvetica Neue"/>
          <w:smallCaps/>
          <w:szCs w:val="24"/>
          <w:lang w:val="en-US"/>
        </w:rPr>
        <w:t>E. Graefe</w:t>
      </w:r>
      <w:r w:rsidRPr="007B455D">
        <w:rPr>
          <w:rFonts w:cs="Helvetica Neue"/>
          <w:szCs w:val="24"/>
          <w:lang w:val="en-US"/>
        </w:rPr>
        <w:t xml:space="preserve">, </w:t>
      </w:r>
      <w:r w:rsidR="00F626A4" w:rsidRPr="007B455D">
        <w:rPr>
          <w:rFonts w:cs="Helvetica Neue"/>
          <w:szCs w:val="24"/>
          <w:lang w:val="en-US"/>
        </w:rPr>
        <w:t>„</w:t>
      </w:r>
      <w:r w:rsidRPr="007B455D">
        <w:rPr>
          <w:rFonts w:cs="Helvetica Neue"/>
          <w:szCs w:val="24"/>
          <w:lang w:val="en-US"/>
        </w:rPr>
        <w:t>Propagandaritual</w:t>
      </w:r>
      <w:r w:rsidR="00F626A4" w:rsidRPr="007B455D">
        <w:rPr>
          <w:rFonts w:cs="Helvetica Neue"/>
          <w:szCs w:val="24"/>
          <w:lang w:val="en-US"/>
        </w:rPr>
        <w:t>“</w:t>
      </w:r>
      <w:r w:rsidRPr="007B455D">
        <w:rPr>
          <w:rFonts w:cs="Helvetica Neue"/>
          <w:szCs w:val="24"/>
          <w:lang w:val="en-US"/>
        </w:rPr>
        <w:t xml:space="preserve"> oder Realität? Abschreckung durch Bild und Wort, in: S. Petschel and M. von Falck (eds), </w:t>
      </w:r>
      <w:hyperlink r:id="rId10" w:history="1">
        <w:r w:rsidRPr="007B455D">
          <w:rPr>
            <w:rFonts w:cs="Helvetica Neue"/>
            <w:bCs/>
            <w:iCs/>
            <w:szCs w:val="24"/>
            <w:lang w:val="en-US"/>
          </w:rPr>
          <w:t>Pharao siegt immer: Krieg und Frieden im alten Ägypten. Gustav-Lübcke-Museum Hamm, 21. März - 31. Oktober 2004</w:t>
        </w:r>
      </w:hyperlink>
      <w:r w:rsidRPr="00B01321">
        <w:rPr>
          <w:rFonts w:cs="Helvetica Neue"/>
          <w:szCs w:val="24"/>
          <w:lang w:val="en-US"/>
        </w:rPr>
        <w:t>, Bönen</w:t>
      </w:r>
      <w:r>
        <w:rPr>
          <w:rFonts w:cs="Helvetica Neue"/>
          <w:szCs w:val="24"/>
          <w:lang w:val="en-US"/>
        </w:rPr>
        <w:t>,</w:t>
      </w:r>
      <w:r w:rsidRPr="00B01321">
        <w:rPr>
          <w:rFonts w:cs="Helvetica Neue"/>
          <w:szCs w:val="24"/>
          <w:lang w:val="en-US"/>
        </w:rPr>
        <w:t xml:space="preserve"> 54-55.</w:t>
      </w:r>
    </w:p>
    <w:p w14:paraId="49D228F4" w14:textId="77777777" w:rsidR="00992DA9" w:rsidRPr="00A753AD" w:rsidRDefault="00992DA9" w:rsidP="00B01321">
      <w:pPr>
        <w:rPr>
          <w:rFonts w:cs="Helvetica Neue"/>
          <w:szCs w:val="24"/>
          <w:lang w:val="en-US"/>
        </w:rPr>
      </w:pPr>
    </w:p>
    <w:p w14:paraId="1E79EBE3" w14:textId="4A587810" w:rsidR="00992DA9" w:rsidRPr="00A753AD" w:rsidRDefault="00A753AD" w:rsidP="00B01321">
      <w:pPr>
        <w:rPr>
          <w:szCs w:val="24"/>
        </w:rPr>
      </w:pPr>
      <w:r w:rsidRPr="00A753AD">
        <w:t xml:space="preserve">A.K. </w:t>
      </w:r>
      <w:r w:rsidR="00992DA9" w:rsidRPr="00A753AD">
        <w:rPr>
          <w:smallCaps/>
          <w:szCs w:val="24"/>
        </w:rPr>
        <w:t>Grayson</w:t>
      </w:r>
      <w:r w:rsidRPr="00A753AD">
        <w:t>, Assyrian Rulers of the Early First Millennium BC I (1114-859 BC), The Royal Inscriptions of Mesopotamia, Assyrian Periods 2,Toronto, 1991.</w:t>
      </w:r>
    </w:p>
    <w:p w14:paraId="06771323" w14:textId="77777777" w:rsidR="00E8694A" w:rsidRDefault="00E8694A" w:rsidP="00502122">
      <w:pPr>
        <w:rPr>
          <w:smallCaps/>
          <w:szCs w:val="24"/>
        </w:rPr>
      </w:pPr>
    </w:p>
    <w:p w14:paraId="2125E721" w14:textId="77777777" w:rsidR="00202BED" w:rsidRPr="00202BED" w:rsidRDefault="00202BED" w:rsidP="00502122">
      <w:pPr>
        <w:rPr>
          <w:szCs w:val="24"/>
        </w:rPr>
      </w:pPr>
      <w:r>
        <w:rPr>
          <w:smallCaps/>
        </w:rPr>
        <w:t>N.-C. Grimal</w:t>
      </w:r>
      <w:r>
        <w:rPr>
          <w:szCs w:val="24"/>
        </w:rPr>
        <w:t>, La stèle triomphale de Pi(‘ankh)y au Musée du Caire JE 48862-47089, Cairo 1981.</w:t>
      </w:r>
    </w:p>
    <w:p w14:paraId="4620A66B" w14:textId="77777777" w:rsidR="00202BED" w:rsidRDefault="00202BED" w:rsidP="00502122">
      <w:pPr>
        <w:rPr>
          <w:smallCaps/>
        </w:rPr>
      </w:pPr>
    </w:p>
    <w:p w14:paraId="6D9D3102" w14:textId="779997D5" w:rsidR="007D54A7" w:rsidRDefault="00BD7CC3" w:rsidP="00502122">
      <w:pPr>
        <w:rPr>
          <w:smallCaps/>
          <w:color w:val="FF0000"/>
          <w:lang w:val="en-US"/>
        </w:rPr>
      </w:pPr>
      <w:r>
        <w:rPr>
          <w:smallCaps/>
        </w:rPr>
        <w:t>A.</w:t>
      </w:r>
      <w:r w:rsidRPr="00BD7CC3">
        <w:rPr>
          <w:smallCaps/>
        </w:rPr>
        <w:t xml:space="preserve"> Grimm</w:t>
      </w:r>
      <w:r>
        <w:t>, Ein Käfig für einen Gefangenen in einem Ritual zur Vernichtung von Feinden</w:t>
      </w:r>
      <w:r w:rsidRPr="00A61741">
        <w:t xml:space="preserve">, </w:t>
      </w:r>
      <w:r w:rsidR="00A61741">
        <w:t xml:space="preserve">in: </w:t>
      </w:r>
      <w:r w:rsidRPr="00A61741">
        <w:t>JEA</w:t>
      </w:r>
      <w:r w:rsidRPr="00BD7CC3">
        <w:rPr>
          <w:i/>
        </w:rPr>
        <w:t xml:space="preserve"> 73</w:t>
      </w:r>
      <w:r>
        <w:t>, 1987, 202-206.</w:t>
      </w:r>
      <w:r w:rsidR="007D54A7" w:rsidRPr="007D54A7">
        <w:rPr>
          <w:smallCaps/>
          <w:color w:val="FF0000"/>
          <w:lang w:val="en-US"/>
        </w:rPr>
        <w:t xml:space="preserve"> </w:t>
      </w:r>
    </w:p>
    <w:p w14:paraId="426E0746" w14:textId="1055EAD6" w:rsidR="00BD7CC3" w:rsidRPr="007D54A7" w:rsidRDefault="007D54A7" w:rsidP="00502122">
      <w:pPr>
        <w:rPr>
          <w:smallCaps/>
          <w:szCs w:val="24"/>
        </w:rPr>
      </w:pPr>
      <w:r w:rsidRPr="007D54A7">
        <w:rPr>
          <w:smallCaps/>
          <w:lang w:val="en-US"/>
        </w:rPr>
        <w:t>A. Grimm</w:t>
      </w:r>
      <w:r w:rsidRPr="007D54A7">
        <w:rPr>
          <w:lang w:val="en-US"/>
        </w:rPr>
        <w:t xml:space="preserve">, Feind-Bilder und Bildverbrennung. Ein Brandopfer zur rituallen Feindvernichtung der “Chapelle Rouge”, </w:t>
      </w:r>
      <w:r w:rsidR="00A61741">
        <w:rPr>
          <w:lang w:val="en-US"/>
        </w:rPr>
        <w:t xml:space="preserve">in: </w:t>
      </w:r>
      <w:r w:rsidRPr="007D54A7">
        <w:rPr>
          <w:lang w:val="en-US"/>
        </w:rPr>
        <w:t>VA 4, 1988, 207-214.</w:t>
      </w:r>
    </w:p>
    <w:p w14:paraId="1219D17D" w14:textId="4B1ECC8A" w:rsidR="00BD7CC3" w:rsidRDefault="00BD7CC3" w:rsidP="00502122">
      <w:r>
        <w:rPr>
          <w:smallCaps/>
        </w:rPr>
        <w:t>A.</w:t>
      </w:r>
      <w:r w:rsidRPr="00BD7CC3">
        <w:rPr>
          <w:smallCaps/>
        </w:rPr>
        <w:t xml:space="preserve"> Grimm</w:t>
      </w:r>
      <w:r>
        <w:t xml:space="preserve">, Der Tod im Wasser. Ritualle Feindvernichtung und Hinrichtung durch Ertränken, </w:t>
      </w:r>
      <w:r w:rsidR="00A61741">
        <w:t xml:space="preserve">in: </w:t>
      </w:r>
      <w:r>
        <w:t>SAK 16, 1989, 111-119.</w:t>
      </w:r>
    </w:p>
    <w:p w14:paraId="0208E963" w14:textId="77777777" w:rsidR="00A216E2" w:rsidRDefault="00A216E2" w:rsidP="00502122"/>
    <w:p w14:paraId="2AEE28F9" w14:textId="56B82A8A" w:rsidR="00A216E2" w:rsidRDefault="00A216E2" w:rsidP="00502122">
      <w:pPr>
        <w:rPr>
          <w:smallCaps/>
          <w:szCs w:val="24"/>
        </w:rPr>
      </w:pPr>
      <w:r>
        <w:t xml:space="preserve">M. </w:t>
      </w:r>
      <w:r w:rsidRPr="00A216E2">
        <w:rPr>
          <w:smallCaps/>
          <w:szCs w:val="24"/>
        </w:rPr>
        <w:t xml:space="preserve">Grimsley </w:t>
      </w:r>
      <w:r>
        <w:t xml:space="preserve">and C.J. </w:t>
      </w:r>
      <w:r w:rsidRPr="00A216E2">
        <w:rPr>
          <w:smallCaps/>
          <w:szCs w:val="24"/>
        </w:rPr>
        <w:t>Rogers</w:t>
      </w:r>
      <w:r>
        <w:t xml:space="preserve"> (eds), Civilians in the Path of War, Lincoln and London, 2002.</w:t>
      </w:r>
    </w:p>
    <w:p w14:paraId="03865FB6" w14:textId="77777777" w:rsidR="00BD7CC3" w:rsidRDefault="00BD7CC3" w:rsidP="00502122">
      <w:pPr>
        <w:rPr>
          <w:smallCaps/>
          <w:szCs w:val="24"/>
        </w:rPr>
      </w:pPr>
    </w:p>
    <w:p w14:paraId="43A17231" w14:textId="77777777" w:rsidR="00AD561A" w:rsidRDefault="00AD561A" w:rsidP="00AD561A">
      <w:r w:rsidRPr="00AD561A">
        <w:rPr>
          <w:szCs w:val="24"/>
        </w:rPr>
        <w:t>E.S.</w:t>
      </w:r>
      <w:r w:rsidRPr="00AD561A">
        <w:rPr>
          <w:smallCaps/>
          <w:szCs w:val="24"/>
        </w:rPr>
        <w:t xml:space="preserve"> Hall</w:t>
      </w:r>
      <w:r w:rsidRPr="00AD561A">
        <w:t>, The Pharaoh Smites his Enemies, MÄS 44, Munich, 1986.</w:t>
      </w:r>
    </w:p>
    <w:p w14:paraId="4AC0CD12" w14:textId="77777777" w:rsidR="00887358" w:rsidRDefault="00887358" w:rsidP="00AD561A"/>
    <w:p w14:paraId="1C8E285B" w14:textId="16288216" w:rsidR="00FF32B6" w:rsidRDefault="00FF32B6" w:rsidP="00AD561A">
      <w:r>
        <w:t xml:space="preserve">M.G. </w:t>
      </w:r>
      <w:r w:rsidRPr="00FF32B6">
        <w:rPr>
          <w:smallCaps/>
          <w:szCs w:val="24"/>
        </w:rPr>
        <w:t>Hasel</w:t>
      </w:r>
      <w:r>
        <w:t>, Dominion and Resistance: Egyptian Military Activity in the Southern Levant, ca. 1300-1185 B.C., PdA 11, Leiden, 1998.</w:t>
      </w:r>
    </w:p>
    <w:p w14:paraId="14AEEF8C" w14:textId="77777777" w:rsidR="00FF32B6" w:rsidRDefault="00FF32B6" w:rsidP="00AD561A"/>
    <w:p w14:paraId="1BF1FF14" w14:textId="527C2BF6" w:rsidR="0050327D" w:rsidRPr="00F16D7E" w:rsidRDefault="0053714B" w:rsidP="00AD561A">
      <w:pPr>
        <w:rPr>
          <w:szCs w:val="24"/>
        </w:rPr>
      </w:pPr>
      <w:r w:rsidRPr="00F16D7E">
        <w:rPr>
          <w:szCs w:val="24"/>
        </w:rPr>
        <w:t xml:space="preserve">S.C. </w:t>
      </w:r>
      <w:r w:rsidRPr="00F16D7E">
        <w:rPr>
          <w:smallCaps/>
          <w:szCs w:val="24"/>
        </w:rPr>
        <w:t>Heinz</w:t>
      </w:r>
      <w:r w:rsidRPr="00F16D7E">
        <w:rPr>
          <w:szCs w:val="24"/>
        </w:rPr>
        <w:t xml:space="preserve">, </w:t>
      </w:r>
      <w:r w:rsidRPr="00F16D7E">
        <w:rPr>
          <w:rFonts w:cs="Trebuchet MS"/>
          <w:bCs/>
          <w:szCs w:val="24"/>
          <w:lang w:val="en-US"/>
        </w:rPr>
        <w:t>Die Feldzugsdarstellungen des Neuen Reiches: eine Bildanalyse, Vienna, 2001.</w:t>
      </w:r>
    </w:p>
    <w:p w14:paraId="2DD36421" w14:textId="77777777" w:rsidR="0050327D" w:rsidRDefault="0050327D" w:rsidP="00AD561A"/>
    <w:p w14:paraId="48FD5697" w14:textId="4CFEF1B6" w:rsidR="003F7102" w:rsidRPr="003F7102" w:rsidRDefault="003F7102" w:rsidP="00AD561A">
      <w:pPr>
        <w:rPr>
          <w:rFonts w:cs="Helvetica Neue"/>
          <w:szCs w:val="24"/>
          <w:lang w:val="en-US"/>
        </w:rPr>
      </w:pPr>
      <w:r w:rsidRPr="003F7102">
        <w:rPr>
          <w:rFonts w:cs="Helvetica Neue"/>
          <w:szCs w:val="24"/>
          <w:lang w:val="en-US"/>
        </w:rPr>
        <w:t xml:space="preserve">W. </w:t>
      </w:r>
      <w:r w:rsidRPr="003F7102">
        <w:rPr>
          <w:rFonts w:cs="Helvetica Neue"/>
          <w:smallCaps/>
          <w:szCs w:val="24"/>
          <w:lang w:val="en-US"/>
        </w:rPr>
        <w:t>Helck</w:t>
      </w:r>
      <w:r w:rsidRPr="003F7102">
        <w:rPr>
          <w:rFonts w:cs="Helvetica Neue"/>
          <w:szCs w:val="24"/>
          <w:lang w:val="en-US"/>
        </w:rPr>
        <w:t>, Abgesc</w:t>
      </w:r>
      <w:r>
        <w:rPr>
          <w:rFonts w:cs="Helvetica Neue"/>
          <w:szCs w:val="24"/>
          <w:lang w:val="en-US"/>
        </w:rPr>
        <w:t xml:space="preserve">hlagene Hände als Siegeszeichen, in: </w:t>
      </w:r>
      <w:r w:rsidRPr="003F7102">
        <w:rPr>
          <w:rFonts w:cs="Helvetica Neue"/>
          <w:szCs w:val="24"/>
          <w:lang w:val="en-US"/>
        </w:rPr>
        <w:t xml:space="preserve"> </w:t>
      </w:r>
      <w:r w:rsidRPr="003F7102">
        <w:rPr>
          <w:rFonts w:cs="Helvetica Neue"/>
          <w:iCs/>
          <w:szCs w:val="24"/>
          <w:lang w:val="en-US"/>
        </w:rPr>
        <w:t>Göttinger Miszellen</w:t>
      </w:r>
      <w:r w:rsidRPr="003F7102">
        <w:rPr>
          <w:rFonts w:cs="Helvetica Neue"/>
          <w:szCs w:val="24"/>
          <w:lang w:val="en-US"/>
        </w:rPr>
        <w:t xml:space="preserve"> 18, 1975, 23-24.</w:t>
      </w:r>
    </w:p>
    <w:p w14:paraId="0F80B5E9" w14:textId="77777777" w:rsidR="003F7102" w:rsidRPr="003F7102" w:rsidRDefault="003F7102" w:rsidP="00AD561A">
      <w:pPr>
        <w:rPr>
          <w:szCs w:val="24"/>
        </w:rPr>
      </w:pPr>
    </w:p>
    <w:p w14:paraId="6187F9B0" w14:textId="1A55CA3F" w:rsidR="00887358" w:rsidRPr="00D26E9E" w:rsidRDefault="00887358" w:rsidP="00AD561A">
      <w:pPr>
        <w:rPr>
          <w:szCs w:val="24"/>
        </w:rPr>
      </w:pPr>
      <w:r w:rsidRPr="00D26E9E">
        <w:rPr>
          <w:rFonts w:cs="Helvetica Neue"/>
          <w:szCs w:val="24"/>
          <w:lang w:val="en-US"/>
        </w:rPr>
        <w:t xml:space="preserve">W. </w:t>
      </w:r>
      <w:r w:rsidRPr="00304F76">
        <w:rPr>
          <w:rFonts w:cs="Helvetica Neue"/>
          <w:smallCaps/>
          <w:szCs w:val="24"/>
          <w:lang w:val="en-US"/>
        </w:rPr>
        <w:t>Helck</w:t>
      </w:r>
      <w:r w:rsidRPr="00D26E9E">
        <w:rPr>
          <w:rFonts w:cs="Helvetica Neue"/>
          <w:szCs w:val="24"/>
          <w:lang w:val="en-US"/>
        </w:rPr>
        <w:t xml:space="preserve">, Die Bedeutung der Felsinschriften J. Lopez, </w:t>
      </w:r>
      <w:r w:rsidRPr="00D26E9E">
        <w:rPr>
          <w:rFonts w:cs="Helvetica Neue"/>
          <w:iCs/>
          <w:szCs w:val="24"/>
          <w:lang w:val="en-US"/>
        </w:rPr>
        <w:t>Inscripciones Rupestres</w:t>
      </w:r>
      <w:r w:rsidRPr="00D26E9E">
        <w:rPr>
          <w:rFonts w:cs="Helvetica Neue"/>
          <w:szCs w:val="24"/>
          <w:lang w:val="en-US"/>
        </w:rPr>
        <w:t xml:space="preserve"> Nr. 27 und 28, in: </w:t>
      </w:r>
      <w:r w:rsidRPr="00D26E9E">
        <w:rPr>
          <w:rFonts w:cs="Helvetica Neue"/>
          <w:iCs/>
          <w:szCs w:val="24"/>
          <w:lang w:val="en-US"/>
        </w:rPr>
        <w:t>SAK</w:t>
      </w:r>
      <w:r w:rsidRPr="00D26E9E">
        <w:rPr>
          <w:rFonts w:cs="Helvetica Neue"/>
          <w:szCs w:val="24"/>
          <w:lang w:val="en-US"/>
        </w:rPr>
        <w:t xml:space="preserve"> 1, 1974, 215-225.</w:t>
      </w:r>
    </w:p>
    <w:p w14:paraId="424A9E23" w14:textId="77777777" w:rsidR="00AD561A" w:rsidRPr="00887358" w:rsidRDefault="00AD561A" w:rsidP="00502122">
      <w:pPr>
        <w:rPr>
          <w:smallCaps/>
          <w:color w:val="0000FF"/>
          <w:szCs w:val="24"/>
        </w:rPr>
      </w:pPr>
    </w:p>
    <w:p w14:paraId="55127E8A" w14:textId="77777777" w:rsidR="00BD7CC3" w:rsidRDefault="00E03018" w:rsidP="00502122">
      <w:pPr>
        <w:rPr>
          <w:szCs w:val="24"/>
        </w:rPr>
      </w:pPr>
      <w:r>
        <w:rPr>
          <w:smallCaps/>
          <w:szCs w:val="24"/>
        </w:rPr>
        <w:t xml:space="preserve">J. Hoch and S.E. Orel, </w:t>
      </w:r>
      <w:r>
        <w:rPr>
          <w:szCs w:val="24"/>
        </w:rPr>
        <w:t>Murder in Ancient Egyp</w:t>
      </w:r>
      <w:r w:rsidRPr="00525344">
        <w:rPr>
          <w:szCs w:val="24"/>
        </w:rPr>
        <w:t>t, in S.E. Orel (ed.) Death and Taxe</w:t>
      </w:r>
      <w:r w:rsidR="00525344">
        <w:rPr>
          <w:szCs w:val="24"/>
        </w:rPr>
        <w:t>s</w:t>
      </w:r>
      <w:r w:rsidRPr="00525344">
        <w:rPr>
          <w:szCs w:val="24"/>
        </w:rPr>
        <w:t xml:space="preserve"> </w:t>
      </w:r>
      <w:r w:rsidR="00525344" w:rsidRPr="00525344">
        <w:rPr>
          <w:szCs w:val="24"/>
        </w:rPr>
        <w:t xml:space="preserve">in the Ancient Near East, Lewiston and Lampeter, </w:t>
      </w:r>
      <w:r w:rsidRPr="00525344">
        <w:rPr>
          <w:szCs w:val="24"/>
        </w:rPr>
        <w:t>1992, 87-128</w:t>
      </w:r>
      <w:r>
        <w:rPr>
          <w:szCs w:val="24"/>
        </w:rPr>
        <w:t>.</w:t>
      </w:r>
    </w:p>
    <w:p w14:paraId="1E71CB3F" w14:textId="77777777" w:rsidR="00304F76" w:rsidRDefault="00304F76" w:rsidP="00502122">
      <w:pPr>
        <w:rPr>
          <w:szCs w:val="24"/>
        </w:rPr>
      </w:pPr>
    </w:p>
    <w:p w14:paraId="35643386" w14:textId="4215B4A2" w:rsidR="00EC18F5" w:rsidRDefault="00EC18F5" w:rsidP="00502122">
      <w:pPr>
        <w:rPr>
          <w:szCs w:val="24"/>
        </w:rPr>
      </w:pPr>
      <w:r>
        <w:rPr>
          <w:szCs w:val="24"/>
        </w:rPr>
        <w:t xml:space="preserve">B. </w:t>
      </w:r>
      <w:r w:rsidRPr="00EC18F5">
        <w:rPr>
          <w:smallCaps/>
          <w:szCs w:val="24"/>
        </w:rPr>
        <w:t>Jacobs</w:t>
      </w:r>
      <w:r>
        <w:rPr>
          <w:szCs w:val="24"/>
        </w:rPr>
        <w:t xml:space="preserve">, Grausame Hinrichtungen – friedliche Bilder. Zum Verhältnis der politischer Realität zu den Darstellungsszenarien der achämenidischen Kunst, in: </w:t>
      </w:r>
      <w:r w:rsidRPr="00EC18F5">
        <w:rPr>
          <w:smallCaps/>
          <w:szCs w:val="24"/>
        </w:rPr>
        <w:t>Zimmermann</w:t>
      </w:r>
      <w:r>
        <w:rPr>
          <w:szCs w:val="24"/>
        </w:rPr>
        <w:t xml:space="preserve"> 2009, 121-153.</w:t>
      </w:r>
    </w:p>
    <w:p w14:paraId="60196BED" w14:textId="77777777" w:rsidR="00EC18F5" w:rsidRDefault="00EC18F5" w:rsidP="00502122">
      <w:pPr>
        <w:rPr>
          <w:szCs w:val="24"/>
        </w:rPr>
      </w:pPr>
    </w:p>
    <w:p w14:paraId="0E8F0037" w14:textId="7803F27B" w:rsidR="00304F76" w:rsidRPr="00E03018" w:rsidRDefault="00304F76" w:rsidP="00502122">
      <w:pPr>
        <w:rPr>
          <w:szCs w:val="24"/>
        </w:rPr>
      </w:pPr>
      <w:r>
        <w:rPr>
          <w:szCs w:val="24"/>
        </w:rPr>
        <w:t xml:space="preserve">T.G.H. </w:t>
      </w:r>
      <w:r w:rsidRPr="00304F76">
        <w:rPr>
          <w:smallCaps/>
          <w:szCs w:val="24"/>
        </w:rPr>
        <w:t>James</w:t>
      </w:r>
      <w:r>
        <w:rPr>
          <w:szCs w:val="24"/>
        </w:rPr>
        <w:t>, The Mastaba of Khentika called Ikhekhi, ASE 13, London, 1953.</w:t>
      </w:r>
    </w:p>
    <w:p w14:paraId="77759E59" w14:textId="77777777" w:rsidR="00783316" w:rsidRDefault="00783316" w:rsidP="00502122"/>
    <w:p w14:paraId="7648BB2F" w14:textId="6FA4982F" w:rsidR="00783316" w:rsidRDefault="00AE4ABA" w:rsidP="00502122">
      <w:r>
        <w:rPr>
          <w:smallCaps/>
          <w:szCs w:val="24"/>
        </w:rPr>
        <w:t xml:space="preserve">K. </w:t>
      </w:r>
      <w:r w:rsidR="00783316" w:rsidRPr="00EA186F">
        <w:rPr>
          <w:smallCaps/>
          <w:szCs w:val="24"/>
        </w:rPr>
        <w:t>Jansen-Winkeln</w:t>
      </w:r>
      <w:r>
        <w:t>, Inschriften der Spätzeit II: Die 22.-24. Dynastie,</w:t>
      </w:r>
      <w:r w:rsidR="00783316">
        <w:t xml:space="preserve"> Wiesbaden, </w:t>
      </w:r>
      <w:r>
        <w:t>2007</w:t>
      </w:r>
      <w:r w:rsidR="00783316">
        <w:t>.</w:t>
      </w:r>
    </w:p>
    <w:p w14:paraId="17E88FD8" w14:textId="77777777" w:rsidR="00B571D2" w:rsidRDefault="00B571D2" w:rsidP="00502122"/>
    <w:p w14:paraId="4FE30E63" w14:textId="77777777" w:rsidR="00075571" w:rsidRDefault="00CD384D" w:rsidP="00CD384D">
      <w:r>
        <w:t xml:space="preserve">A. </w:t>
      </w:r>
      <w:r w:rsidR="00075571" w:rsidRPr="00CD384D">
        <w:rPr>
          <w:smallCaps/>
        </w:rPr>
        <w:t>Klug</w:t>
      </w:r>
      <w:r w:rsidR="00075571" w:rsidRPr="00075571">
        <w:t>, Königliche Stelen in der Zeit von Ahmose bis Amenophis III, Mon Aeg</w:t>
      </w:r>
      <w:r w:rsidR="00075571">
        <w:t xml:space="preserve"> VIII, Turnhout, 2002</w:t>
      </w:r>
      <w:r w:rsidR="005D789F">
        <w:t>.</w:t>
      </w:r>
    </w:p>
    <w:p w14:paraId="54ABB94A" w14:textId="77777777" w:rsidR="00CD384D" w:rsidRDefault="00CD384D" w:rsidP="00CD384D"/>
    <w:p w14:paraId="399A6778" w14:textId="5553F11E" w:rsidR="00F32B9C" w:rsidRPr="00F32B9C" w:rsidRDefault="00F32B9C" w:rsidP="00F32B9C">
      <w:pPr>
        <w:widowControl w:val="0"/>
        <w:autoSpaceDE w:val="0"/>
        <w:autoSpaceDN w:val="0"/>
        <w:adjustRightInd w:val="0"/>
        <w:rPr>
          <w:rFonts w:cs="AGaramondPro-Regular"/>
          <w:szCs w:val="24"/>
          <w:lang w:val="en-US"/>
        </w:rPr>
      </w:pPr>
      <w:r w:rsidRPr="00F32B9C">
        <w:rPr>
          <w:rFonts w:cs="AGaramondPro-Regular"/>
          <w:szCs w:val="24"/>
          <w:lang w:val="en-US"/>
        </w:rPr>
        <w:t xml:space="preserve">Y. </w:t>
      </w:r>
      <w:r w:rsidRPr="00F32B9C">
        <w:rPr>
          <w:rFonts w:cs="AGaramondPro-Regular"/>
          <w:smallCaps/>
          <w:szCs w:val="24"/>
          <w:lang w:val="en-US"/>
        </w:rPr>
        <w:t xml:space="preserve">Koenig, </w:t>
      </w:r>
      <w:r w:rsidRPr="00F32B9C">
        <w:rPr>
          <w:rFonts w:cs="AGaramondPro-Regular"/>
          <w:szCs w:val="24"/>
          <w:lang w:val="en-US"/>
        </w:rPr>
        <w:t xml:space="preserve">Les textes d’envoûtement de Mirgissa, in: </w:t>
      </w:r>
      <w:r w:rsidR="00A61741" w:rsidRPr="00A61741">
        <w:rPr>
          <w:rFonts w:cs="AGaramondPro-Regular"/>
          <w:iCs/>
          <w:szCs w:val="24"/>
          <w:lang w:val="en-US"/>
        </w:rPr>
        <w:t>RdE</w:t>
      </w:r>
      <w:r w:rsidRPr="00F32B9C">
        <w:rPr>
          <w:rFonts w:cs="AGaramondPro-Regular"/>
          <w:i/>
          <w:iCs/>
          <w:szCs w:val="24"/>
          <w:lang w:val="en-US"/>
        </w:rPr>
        <w:t xml:space="preserve"> </w:t>
      </w:r>
      <w:r w:rsidRPr="00F32B9C">
        <w:rPr>
          <w:rFonts w:cs="AGaramondPro-Regular"/>
          <w:szCs w:val="24"/>
          <w:lang w:val="en-US"/>
        </w:rPr>
        <w:t>41 (1990): 101-28.</w:t>
      </w:r>
    </w:p>
    <w:p w14:paraId="0A88B528" w14:textId="77777777" w:rsidR="00F32B9C" w:rsidRDefault="00F32B9C" w:rsidP="00CD384D">
      <w:pPr>
        <w:rPr>
          <w:rFonts w:cs="Helvetica Neue"/>
          <w:color w:val="FF0000"/>
          <w:szCs w:val="24"/>
          <w:lang w:val="en-US"/>
        </w:rPr>
      </w:pPr>
    </w:p>
    <w:p w14:paraId="1CC357DE" w14:textId="2F9F312E" w:rsidR="00A13C07" w:rsidRPr="00A13C07" w:rsidRDefault="00A13C07" w:rsidP="00CD384D">
      <w:pPr>
        <w:rPr>
          <w:rFonts w:cs="Helvetica Neue"/>
          <w:szCs w:val="24"/>
          <w:lang w:val="en-US"/>
        </w:rPr>
      </w:pPr>
      <w:r w:rsidRPr="00A13C07">
        <w:rPr>
          <w:rFonts w:cs="Helvetica Neue"/>
          <w:szCs w:val="24"/>
          <w:lang w:val="en-US"/>
        </w:rPr>
        <w:t xml:space="preserve">B. </w:t>
      </w:r>
      <w:r w:rsidRPr="00A13C07">
        <w:rPr>
          <w:rFonts w:cs="Helvetica Neue"/>
          <w:smallCaps/>
          <w:szCs w:val="24"/>
          <w:lang w:val="en-US"/>
        </w:rPr>
        <w:t>Kraemer</w:t>
      </w:r>
      <w:r w:rsidRPr="00A13C07">
        <w:rPr>
          <w:rFonts w:cs="Helvetica Neue"/>
          <w:szCs w:val="24"/>
          <w:lang w:val="en-US"/>
        </w:rPr>
        <w:t xml:space="preserve"> and K. </w:t>
      </w:r>
      <w:r w:rsidRPr="00A13C07">
        <w:rPr>
          <w:rFonts w:cs="Helvetica Neue"/>
          <w:smallCaps/>
          <w:szCs w:val="24"/>
          <w:lang w:val="en-US"/>
        </w:rPr>
        <w:t>Liszka</w:t>
      </w:r>
      <w:r w:rsidRPr="00A13C07">
        <w:rPr>
          <w:rFonts w:cs="Helvetica Neue"/>
          <w:szCs w:val="24"/>
          <w:lang w:val="en-US"/>
        </w:rPr>
        <w:t>, Evidence for Administration of the Nubian Fortresses in the Late Middle Kingdom: The Semna Dispatches, in: JEgH 9.1, 2016, 1-65</w:t>
      </w:r>
      <w:r>
        <w:rPr>
          <w:rFonts w:cs="Helvetica Neue"/>
          <w:szCs w:val="24"/>
          <w:lang w:val="en-US"/>
        </w:rPr>
        <w:t>.</w:t>
      </w:r>
    </w:p>
    <w:p w14:paraId="0D0EACFA" w14:textId="77777777" w:rsidR="00A13C07" w:rsidRDefault="00A13C07" w:rsidP="00CD384D">
      <w:pPr>
        <w:rPr>
          <w:rFonts w:cs="Helvetica Neue"/>
          <w:color w:val="FF0000"/>
          <w:szCs w:val="24"/>
          <w:lang w:val="en-US"/>
        </w:rPr>
      </w:pPr>
    </w:p>
    <w:p w14:paraId="51F42797" w14:textId="4FC66C5C" w:rsidR="00A7208F" w:rsidRDefault="006D37CD" w:rsidP="00CD384D">
      <w:pPr>
        <w:rPr>
          <w:rFonts w:cs="Helvetica Neue"/>
          <w:szCs w:val="24"/>
          <w:lang w:val="en-US"/>
        </w:rPr>
      </w:pPr>
      <w:r w:rsidRPr="006D37CD">
        <w:rPr>
          <w:rFonts w:cs="Helvetica Neue"/>
          <w:szCs w:val="24"/>
          <w:lang w:val="en-US"/>
        </w:rPr>
        <w:t>D.</w:t>
      </w:r>
      <w:r w:rsidRPr="006D37CD">
        <w:rPr>
          <w:rFonts w:cs="Helvetica Neue"/>
          <w:smallCaps/>
          <w:szCs w:val="24"/>
          <w:lang w:val="en-US"/>
        </w:rPr>
        <w:t xml:space="preserve"> </w:t>
      </w:r>
      <w:r w:rsidR="00A7208F" w:rsidRPr="006D37CD">
        <w:rPr>
          <w:rFonts w:cs="Helvetica Neue"/>
          <w:smallCaps/>
          <w:szCs w:val="24"/>
          <w:lang w:val="en-US"/>
        </w:rPr>
        <w:t>L</w:t>
      </w:r>
      <w:r w:rsidRPr="006D37CD">
        <w:rPr>
          <w:rFonts w:cs="Helvetica Neue"/>
          <w:smallCaps/>
          <w:szCs w:val="24"/>
          <w:lang w:val="en-US"/>
        </w:rPr>
        <w:t>orton</w:t>
      </w:r>
      <w:r w:rsidRPr="006D37CD">
        <w:rPr>
          <w:rFonts w:cs="Helvetica Neue"/>
          <w:szCs w:val="24"/>
          <w:lang w:val="en-US"/>
        </w:rPr>
        <w:t>, The Treatment of Criminals in Ancient Egypt through the New Kingdom, in: JESHO 20, 1977, 2-64.</w:t>
      </w:r>
    </w:p>
    <w:p w14:paraId="2F8C4AD0" w14:textId="77777777" w:rsidR="00863407" w:rsidRDefault="00863407" w:rsidP="00CD384D">
      <w:pPr>
        <w:rPr>
          <w:rFonts w:cs="Helvetica Neue"/>
          <w:szCs w:val="24"/>
          <w:lang w:val="en-US"/>
        </w:rPr>
      </w:pPr>
    </w:p>
    <w:p w14:paraId="341ED485" w14:textId="1DCBCCAF" w:rsidR="00863407" w:rsidRPr="006D37CD" w:rsidRDefault="00863407" w:rsidP="00CD384D">
      <w:pPr>
        <w:rPr>
          <w:rFonts w:cs="Helvetica Neue"/>
          <w:szCs w:val="24"/>
          <w:lang w:val="en-US"/>
        </w:rPr>
      </w:pPr>
      <w:r>
        <w:rPr>
          <w:rFonts w:cs="Helvetica Neue"/>
          <w:szCs w:val="24"/>
          <w:lang w:val="en-US"/>
        </w:rPr>
        <w:t xml:space="preserve">P. </w:t>
      </w:r>
      <w:r w:rsidRPr="00863407">
        <w:rPr>
          <w:rFonts w:cs="Helvetica Neue"/>
          <w:smallCaps/>
          <w:szCs w:val="24"/>
          <w:lang w:val="en-US"/>
        </w:rPr>
        <w:t>Lundh</w:t>
      </w:r>
      <w:r>
        <w:rPr>
          <w:rFonts w:cs="Helvetica Neue"/>
          <w:szCs w:val="24"/>
          <w:lang w:val="en-US"/>
        </w:rPr>
        <w:t>, Actor and Event: Military Activity in Ancient Egyptian Narrative Texts from Tuthmosis II to Merenptah, Uppsala, 2002</w:t>
      </w:r>
    </w:p>
    <w:p w14:paraId="1E9FB894" w14:textId="77777777" w:rsidR="00A7208F" w:rsidRDefault="00A7208F" w:rsidP="00CD384D">
      <w:pPr>
        <w:rPr>
          <w:rFonts w:cs="Helvetica Neue"/>
          <w:color w:val="FF0000"/>
          <w:szCs w:val="24"/>
          <w:lang w:val="en-US"/>
        </w:rPr>
      </w:pPr>
    </w:p>
    <w:p w14:paraId="0D8FFA35" w14:textId="677E686B" w:rsidR="00587925" w:rsidRPr="007B455D" w:rsidRDefault="007B455D" w:rsidP="00CD384D">
      <w:pPr>
        <w:rPr>
          <w:rFonts w:cs="Helvetica Neue"/>
          <w:szCs w:val="24"/>
          <w:lang w:val="en-US"/>
        </w:rPr>
      </w:pPr>
      <w:r w:rsidRPr="007B455D">
        <w:rPr>
          <w:rFonts w:cs="Helvetica Neue"/>
          <w:smallCaps/>
          <w:szCs w:val="24"/>
          <w:lang w:val="en-US"/>
        </w:rPr>
        <w:t>G.T. Martin</w:t>
      </w:r>
      <w:r w:rsidR="009E5125" w:rsidRPr="007B455D">
        <w:rPr>
          <w:rFonts w:cs="Helvetica Neue"/>
          <w:smallCaps/>
          <w:szCs w:val="24"/>
          <w:lang w:val="en-US"/>
        </w:rPr>
        <w:t>,</w:t>
      </w:r>
      <w:r w:rsidR="009171AF" w:rsidRPr="007B455D">
        <w:rPr>
          <w:rFonts w:cs="Helvetica Neue"/>
          <w:smallCaps/>
          <w:szCs w:val="24"/>
          <w:lang w:val="en-US"/>
        </w:rPr>
        <w:t xml:space="preserve"> </w:t>
      </w:r>
      <w:r w:rsidR="009171AF" w:rsidRPr="007B455D">
        <w:rPr>
          <w:rFonts w:cs="Helvetica Neue"/>
          <w:szCs w:val="24"/>
          <w:lang w:val="en-US"/>
        </w:rPr>
        <w:t>T</w:t>
      </w:r>
      <w:r w:rsidR="009E5125" w:rsidRPr="007B455D">
        <w:rPr>
          <w:rFonts w:cs="Helvetica Neue"/>
          <w:szCs w:val="24"/>
          <w:lang w:val="en-US"/>
        </w:rPr>
        <w:t>he Memphite Tomb of Horemheb, Commander-in-Chief of Tut’ankhamun, I: The Reliefs, Inscriptions and Commentary, EES Excavation Memoir 55, London, 1989.</w:t>
      </w:r>
    </w:p>
    <w:p w14:paraId="4C7EDDE0" w14:textId="77777777" w:rsidR="005D789F" w:rsidRPr="0002378B" w:rsidRDefault="005D789F" w:rsidP="00502122">
      <w:pPr>
        <w:rPr>
          <w:color w:val="000000" w:themeColor="text1"/>
        </w:rPr>
      </w:pPr>
    </w:p>
    <w:p w14:paraId="3A12B6C3" w14:textId="77777777" w:rsidR="00D243C8" w:rsidRPr="0002378B" w:rsidRDefault="00D243C8" w:rsidP="00502122">
      <w:pPr>
        <w:rPr>
          <w:rFonts w:cs="Helvetica Neue"/>
          <w:color w:val="000000" w:themeColor="text1"/>
          <w:szCs w:val="24"/>
          <w:lang w:val="en-US"/>
        </w:rPr>
      </w:pPr>
      <w:r w:rsidRPr="0002378B">
        <w:rPr>
          <w:rFonts w:cs="Helvetica Neue"/>
          <w:color w:val="000000" w:themeColor="text1"/>
          <w:szCs w:val="24"/>
          <w:lang w:val="en-US"/>
        </w:rPr>
        <w:t xml:space="preserve">G. </w:t>
      </w:r>
      <w:r w:rsidRPr="0002378B">
        <w:rPr>
          <w:rFonts w:cs="Helvetica Neue"/>
          <w:smallCaps/>
          <w:color w:val="000000" w:themeColor="text1"/>
          <w:szCs w:val="24"/>
          <w:lang w:val="en-US"/>
        </w:rPr>
        <w:t>Meurer</w:t>
      </w:r>
      <w:r w:rsidRPr="0002378B">
        <w:rPr>
          <w:rFonts w:cs="Helvetica Neue"/>
          <w:color w:val="000000" w:themeColor="text1"/>
          <w:szCs w:val="24"/>
          <w:lang w:val="en-US"/>
        </w:rPr>
        <w:t>, “Wer etwas Schlechtes sagen wird, indem er ihre Majestät lästert, der wird sterben.” Wie verwundbar waren das ägyptische Königtum bzw. der einzelne Herrscher?, in: I. Shirun-Grumach (ed.) Jerusalem Studies in Egyptology, ÄAT 40, Wiesbaden, 1998, 307-321.</w:t>
      </w:r>
    </w:p>
    <w:p w14:paraId="7AFA2F41" w14:textId="77777777" w:rsidR="00D243C8" w:rsidRPr="00A7208F" w:rsidRDefault="00D243C8" w:rsidP="00502122">
      <w:pPr>
        <w:rPr>
          <w:rFonts w:cs="Helvetica Neue"/>
          <w:szCs w:val="24"/>
          <w:lang w:val="en-US"/>
        </w:rPr>
      </w:pPr>
    </w:p>
    <w:p w14:paraId="6AF3B756" w14:textId="77777777" w:rsidR="00CD384D" w:rsidRPr="00A7208F" w:rsidRDefault="00E87022" w:rsidP="00502122">
      <w:pPr>
        <w:rPr>
          <w:rFonts w:cs="Helvetica Neue"/>
          <w:szCs w:val="24"/>
          <w:lang w:val="en-US"/>
        </w:rPr>
      </w:pPr>
      <w:r w:rsidRPr="00A7208F">
        <w:rPr>
          <w:rFonts w:cs="Helvetica Neue"/>
          <w:szCs w:val="24"/>
          <w:lang w:val="en-US"/>
        </w:rPr>
        <w:t xml:space="preserve">G. </w:t>
      </w:r>
      <w:r w:rsidRPr="00A7208F">
        <w:rPr>
          <w:rFonts w:cs="Helvetica Neue"/>
          <w:smallCaps/>
          <w:szCs w:val="24"/>
          <w:lang w:val="en-US"/>
        </w:rPr>
        <w:t>Meurer</w:t>
      </w:r>
      <w:r w:rsidRPr="00A7208F">
        <w:rPr>
          <w:rFonts w:cs="Helvetica Neue"/>
          <w:szCs w:val="24"/>
          <w:lang w:val="en-US"/>
        </w:rPr>
        <w:t xml:space="preserve">, Das Motiv der </w:t>
      </w:r>
      <w:r w:rsidR="00CD384D" w:rsidRPr="00A7208F">
        <w:rPr>
          <w:rFonts w:cs="Helvetica Neue"/>
          <w:szCs w:val="24"/>
          <w:lang w:val="en-US"/>
        </w:rPr>
        <w:t>“</w:t>
      </w:r>
      <w:r w:rsidRPr="00A7208F">
        <w:rPr>
          <w:rFonts w:cs="Helvetica Neue"/>
          <w:szCs w:val="24"/>
          <w:lang w:val="en-US"/>
        </w:rPr>
        <w:t>Verwüs</w:t>
      </w:r>
      <w:r w:rsidR="00CD384D" w:rsidRPr="00A7208F">
        <w:rPr>
          <w:rFonts w:cs="Helvetica Neue"/>
          <w:szCs w:val="24"/>
          <w:lang w:val="en-US"/>
        </w:rPr>
        <w:t>tung ausländischen Territoriums”</w:t>
      </w:r>
      <w:r w:rsidRPr="00A7208F">
        <w:rPr>
          <w:rFonts w:cs="Helvetica Neue"/>
          <w:szCs w:val="24"/>
          <w:lang w:val="en-US"/>
        </w:rPr>
        <w:t xml:space="preserve"> in Texten des Alten</w:t>
      </w:r>
      <w:r w:rsidR="00CD384D" w:rsidRPr="00A7208F">
        <w:rPr>
          <w:rFonts w:cs="Helvetica Neue"/>
          <w:szCs w:val="24"/>
          <w:lang w:val="en-US"/>
        </w:rPr>
        <w:t xml:space="preserve">, Mittleren und Neuen Reiches, in: C.-B. </w:t>
      </w:r>
      <w:r w:rsidRPr="00A7208F">
        <w:rPr>
          <w:rFonts w:cs="Helvetica Neue"/>
          <w:smallCaps/>
          <w:szCs w:val="24"/>
          <w:lang w:val="en-US"/>
        </w:rPr>
        <w:t>Arnst</w:t>
      </w:r>
      <w:r w:rsidRPr="00A7208F">
        <w:rPr>
          <w:rFonts w:cs="Helvetica Neue"/>
          <w:szCs w:val="24"/>
          <w:lang w:val="en-US"/>
        </w:rPr>
        <w:t>, I</w:t>
      </w:r>
      <w:r w:rsidR="00CD384D" w:rsidRPr="00A7208F">
        <w:rPr>
          <w:rFonts w:cs="Helvetica Neue"/>
          <w:szCs w:val="24"/>
          <w:lang w:val="en-US"/>
        </w:rPr>
        <w:t>.</w:t>
      </w:r>
      <w:r w:rsidRPr="00A7208F">
        <w:rPr>
          <w:rFonts w:cs="Helvetica Neue"/>
          <w:szCs w:val="24"/>
          <w:lang w:val="en-US"/>
        </w:rPr>
        <w:t xml:space="preserve"> H</w:t>
      </w:r>
      <w:r w:rsidRPr="00A7208F">
        <w:rPr>
          <w:rFonts w:cs="Helvetica Neue"/>
          <w:smallCaps/>
          <w:szCs w:val="24"/>
          <w:lang w:val="en-US"/>
        </w:rPr>
        <w:t>afemann</w:t>
      </w:r>
      <w:r w:rsidRPr="00A7208F">
        <w:rPr>
          <w:rFonts w:cs="Helvetica Neue"/>
          <w:szCs w:val="24"/>
          <w:lang w:val="en-US"/>
        </w:rPr>
        <w:t xml:space="preserve"> and A</w:t>
      </w:r>
      <w:r w:rsidR="00CD384D" w:rsidRPr="00A7208F">
        <w:rPr>
          <w:rFonts w:cs="Helvetica Neue"/>
          <w:szCs w:val="24"/>
          <w:lang w:val="en-US"/>
        </w:rPr>
        <w:t>.</w:t>
      </w:r>
      <w:r w:rsidRPr="00A7208F">
        <w:rPr>
          <w:rFonts w:cs="Helvetica Neue"/>
          <w:szCs w:val="24"/>
          <w:lang w:val="en-US"/>
        </w:rPr>
        <w:t xml:space="preserve"> </w:t>
      </w:r>
      <w:r w:rsidRPr="00A7208F">
        <w:rPr>
          <w:rFonts w:cs="Helvetica Neue"/>
          <w:smallCaps/>
          <w:szCs w:val="24"/>
          <w:lang w:val="en-US"/>
        </w:rPr>
        <w:t>Lohwasser</w:t>
      </w:r>
      <w:r w:rsidRPr="00A7208F">
        <w:rPr>
          <w:rFonts w:cs="Helvetica Neue"/>
          <w:szCs w:val="24"/>
          <w:lang w:val="en-US"/>
        </w:rPr>
        <w:t xml:space="preserve"> (eds), </w:t>
      </w:r>
      <w:hyperlink r:id="rId11" w:history="1">
        <w:r w:rsidRPr="00A7208F">
          <w:rPr>
            <w:rFonts w:cs="Helvetica Neue"/>
            <w:bCs/>
            <w:iCs/>
            <w:szCs w:val="24"/>
            <w:lang w:val="en-US"/>
          </w:rPr>
          <w:t>Begegnungen: Antike Kulturen im Niltal. Festgabe für Erika Endesfelder, Karl-Heinz Priese, Walter Friedrich Reinecke, Steffen Wenig</w:t>
        </w:r>
      </w:hyperlink>
      <w:r w:rsidRPr="00A7208F">
        <w:rPr>
          <w:rFonts w:cs="Helvetica Neue"/>
          <w:szCs w:val="24"/>
          <w:lang w:val="en-US"/>
        </w:rPr>
        <w:t xml:space="preserve">, </w:t>
      </w:r>
      <w:r w:rsidR="00CD384D" w:rsidRPr="00A7208F">
        <w:rPr>
          <w:rFonts w:cs="Helvetica Neue"/>
          <w:szCs w:val="24"/>
          <w:lang w:val="en-US"/>
        </w:rPr>
        <w:t xml:space="preserve">Leipzig, 2001, </w:t>
      </w:r>
      <w:r w:rsidRPr="00A7208F">
        <w:rPr>
          <w:rFonts w:cs="Helvetica Neue"/>
          <w:szCs w:val="24"/>
          <w:lang w:val="en-US"/>
        </w:rPr>
        <w:t xml:space="preserve">325-348. </w:t>
      </w:r>
    </w:p>
    <w:p w14:paraId="22CD5FA5" w14:textId="77777777" w:rsidR="00AC1A37" w:rsidRPr="00AC1A37" w:rsidRDefault="00AC1A37" w:rsidP="00502122">
      <w:pPr>
        <w:rPr>
          <w:rFonts w:cs="Helvetica Neue"/>
          <w:color w:val="FF0000"/>
          <w:szCs w:val="24"/>
          <w:lang w:val="en-US"/>
        </w:rPr>
      </w:pPr>
    </w:p>
    <w:p w14:paraId="3BDB0B18" w14:textId="77777777" w:rsidR="00B571D2" w:rsidRDefault="005D789F" w:rsidP="00502122">
      <w:r w:rsidRPr="005D789F">
        <w:rPr>
          <w:smallCaps/>
          <w:szCs w:val="24"/>
        </w:rPr>
        <w:t>G. Moers</w:t>
      </w:r>
      <w:r w:rsidR="00E8694A">
        <w:t>, Auch der Feind war nu</w:t>
      </w:r>
      <w:r>
        <w:t>r</w:t>
      </w:r>
      <w:r w:rsidR="00E8694A">
        <w:t xml:space="preserve"> </w:t>
      </w:r>
      <w:r>
        <w:t xml:space="preserve">ein Mensch, </w:t>
      </w:r>
      <w:r>
        <w:rPr>
          <w:szCs w:val="24"/>
        </w:rPr>
        <w:t xml:space="preserve">in: </w:t>
      </w:r>
      <w:r>
        <w:rPr>
          <w:smallCaps/>
          <w:szCs w:val="24"/>
        </w:rPr>
        <w:t xml:space="preserve">H. Felber </w:t>
      </w:r>
      <w:r w:rsidRPr="005D789F">
        <w:rPr>
          <w:szCs w:val="24"/>
        </w:rPr>
        <w:t>(ed.),</w:t>
      </w:r>
      <w:r>
        <w:rPr>
          <w:szCs w:val="24"/>
        </w:rPr>
        <w:t xml:space="preserve"> 2005, 223-282.</w:t>
      </w:r>
    </w:p>
    <w:p w14:paraId="5D455C80" w14:textId="77777777" w:rsidR="005D789F" w:rsidRDefault="005D789F" w:rsidP="00502122"/>
    <w:p w14:paraId="05F09999" w14:textId="0F80BEB4" w:rsidR="0002378B" w:rsidRDefault="0002378B" w:rsidP="00502122">
      <w:r>
        <w:t xml:space="preserve">S. </w:t>
      </w:r>
      <w:r w:rsidRPr="0002378B">
        <w:rPr>
          <w:smallCaps/>
          <w:szCs w:val="24"/>
        </w:rPr>
        <w:t>Morschauser</w:t>
      </w:r>
      <w:r>
        <w:t>, Threat-Formulae In Ancient Egypt, Baltimore, 1991.</w:t>
      </w:r>
    </w:p>
    <w:p w14:paraId="447C5D8B" w14:textId="77777777" w:rsidR="00E74D17" w:rsidRDefault="00E74D17" w:rsidP="00502122"/>
    <w:p w14:paraId="7778AE4E" w14:textId="380054A8" w:rsidR="00587925" w:rsidRPr="00587925" w:rsidRDefault="00587925" w:rsidP="00502122">
      <w:pPr>
        <w:rPr>
          <w:szCs w:val="24"/>
        </w:rPr>
      </w:pPr>
      <w:r>
        <w:rPr>
          <w:smallCaps/>
        </w:rPr>
        <w:t xml:space="preserve">K. </w:t>
      </w:r>
      <w:r w:rsidRPr="00587925">
        <w:rPr>
          <w:smallCaps/>
        </w:rPr>
        <w:t>Muhlestein</w:t>
      </w:r>
      <w:r>
        <w:rPr>
          <w:smallCaps/>
        </w:rPr>
        <w:t xml:space="preserve">, </w:t>
      </w:r>
      <w:r w:rsidR="00E74D17">
        <w:rPr>
          <w:szCs w:val="24"/>
        </w:rPr>
        <w:t>Death by Wat</w:t>
      </w:r>
      <w:r w:rsidRPr="00587925">
        <w:rPr>
          <w:szCs w:val="24"/>
        </w:rPr>
        <w:t>er</w:t>
      </w:r>
      <w:r w:rsidR="00E74D17">
        <w:rPr>
          <w:szCs w:val="24"/>
        </w:rPr>
        <w:t>: The Role of Water in in Ancien</w:t>
      </w:r>
      <w:r w:rsidRPr="00587925">
        <w:rPr>
          <w:szCs w:val="24"/>
        </w:rPr>
        <w:t>t Egypt’s treatment of Enemies and Juridical Process, in:</w:t>
      </w:r>
      <w:r>
        <w:rPr>
          <w:smallCaps/>
        </w:rPr>
        <w:t xml:space="preserve"> A. Amenta, M.M. Luiselli, </w:t>
      </w:r>
      <w:r w:rsidRPr="00587925">
        <w:rPr>
          <w:szCs w:val="24"/>
        </w:rPr>
        <w:t xml:space="preserve">and </w:t>
      </w:r>
      <w:r>
        <w:rPr>
          <w:smallCaps/>
        </w:rPr>
        <w:t xml:space="preserve">M.N. Sordi </w:t>
      </w:r>
      <w:r w:rsidRPr="00587925">
        <w:rPr>
          <w:szCs w:val="24"/>
        </w:rPr>
        <w:t>(eds), L’Acqua nell’Antico Egitto, Rome, 2005, 173-179.</w:t>
      </w:r>
    </w:p>
    <w:p w14:paraId="6BC3D394" w14:textId="77777777" w:rsidR="00587925" w:rsidRDefault="00587925" w:rsidP="00502122"/>
    <w:p w14:paraId="48FA90F6" w14:textId="52A3C34C" w:rsidR="0065107F" w:rsidRDefault="0065107F" w:rsidP="00502122">
      <w:r w:rsidRPr="0065107F">
        <w:rPr>
          <w:smallCaps/>
          <w:szCs w:val="24"/>
        </w:rPr>
        <w:lastRenderedPageBreak/>
        <w:t>K</w:t>
      </w:r>
      <w:r>
        <w:rPr>
          <w:smallCaps/>
          <w:szCs w:val="24"/>
        </w:rPr>
        <w:t>.</w:t>
      </w:r>
      <w:r w:rsidRPr="0065107F">
        <w:rPr>
          <w:smallCaps/>
          <w:szCs w:val="24"/>
        </w:rPr>
        <w:t xml:space="preserve"> Muhlestein</w:t>
      </w:r>
      <w:r>
        <w:t xml:space="preserve">, </w:t>
      </w:r>
      <w:r w:rsidRPr="00512B1C">
        <w:t>Royal Executions: evidence bearing on the subject of sanctioned killing</w:t>
      </w:r>
      <w:r>
        <w:t xml:space="preserve"> in the Middle Kingdom</w:t>
      </w:r>
      <w:r w:rsidRPr="00512B1C">
        <w:t>,</w:t>
      </w:r>
      <w:r w:rsidR="00A61741">
        <w:t xml:space="preserve"> in:</w:t>
      </w:r>
      <w:r w:rsidRPr="00512B1C">
        <w:t xml:space="preserve"> </w:t>
      </w:r>
      <w:r w:rsidRPr="00A61741">
        <w:t>JESHO</w:t>
      </w:r>
      <w:r w:rsidRPr="00512B1C">
        <w:t xml:space="preserve"> 51, </w:t>
      </w:r>
      <w:r>
        <w:t xml:space="preserve">2008, </w:t>
      </w:r>
      <w:r w:rsidRPr="00512B1C">
        <w:t>181-208</w:t>
      </w:r>
      <w:r>
        <w:t>.</w:t>
      </w:r>
    </w:p>
    <w:p w14:paraId="539598CA" w14:textId="77777777" w:rsidR="0053714B" w:rsidRDefault="0053714B" w:rsidP="00502122"/>
    <w:p w14:paraId="2534D128" w14:textId="77777777" w:rsidR="00D53519" w:rsidRDefault="00AC3827" w:rsidP="00D53519">
      <w:pPr>
        <w:rPr>
          <w:rFonts w:ascii="Helvetica Neue" w:hAnsi="Helvetica Neue" w:cs="Helvetica Neue"/>
          <w:sz w:val="28"/>
          <w:szCs w:val="28"/>
          <w:lang w:val="en-US"/>
        </w:rPr>
      </w:pPr>
      <w:r w:rsidRPr="00AC3827">
        <w:rPr>
          <w:rFonts w:cs="Helvetica Neue"/>
          <w:szCs w:val="24"/>
          <w:lang w:val="en-US"/>
        </w:rPr>
        <w:t xml:space="preserve">K. </w:t>
      </w:r>
      <w:r w:rsidR="0053714B" w:rsidRPr="00AC3827">
        <w:rPr>
          <w:rFonts w:cs="Helvetica Neue"/>
          <w:smallCaps/>
          <w:szCs w:val="24"/>
          <w:lang w:val="en-US"/>
        </w:rPr>
        <w:t>Muhlestein</w:t>
      </w:r>
      <w:r w:rsidR="0053714B" w:rsidRPr="00AC3827">
        <w:rPr>
          <w:rFonts w:cs="Helvetica Neue"/>
          <w:szCs w:val="24"/>
          <w:lang w:val="en-US"/>
        </w:rPr>
        <w:t xml:space="preserve">, Those who speak rebellion: refining our understanding of the words used to describe </w:t>
      </w:r>
      <w:r w:rsidRPr="00AC3827">
        <w:rPr>
          <w:rFonts w:cs="Helvetica Neue"/>
          <w:szCs w:val="24"/>
          <w:lang w:val="en-US"/>
        </w:rPr>
        <w:t>“</w:t>
      </w:r>
      <w:r w:rsidR="0053714B" w:rsidRPr="00AC3827">
        <w:rPr>
          <w:rFonts w:cs="Helvetica Neue"/>
          <w:szCs w:val="24"/>
          <w:lang w:val="en-US"/>
        </w:rPr>
        <w:t>rebellion</w:t>
      </w:r>
      <w:r w:rsidRPr="00AC3827">
        <w:rPr>
          <w:rFonts w:cs="Helvetica Neue"/>
          <w:szCs w:val="24"/>
          <w:lang w:val="en-US"/>
        </w:rPr>
        <w:t xml:space="preserve">”, in: P. </w:t>
      </w:r>
      <w:r w:rsidR="0053714B" w:rsidRPr="00AC3827">
        <w:rPr>
          <w:rFonts w:cs="Helvetica Neue"/>
          <w:smallCaps/>
          <w:szCs w:val="24"/>
          <w:lang w:val="en-US"/>
        </w:rPr>
        <w:t>Kousoulis</w:t>
      </w:r>
      <w:r w:rsidRPr="00AC3827">
        <w:rPr>
          <w:rFonts w:cs="Helvetica Neue"/>
          <w:szCs w:val="24"/>
          <w:lang w:val="en-US"/>
        </w:rPr>
        <w:t xml:space="preserve"> </w:t>
      </w:r>
      <w:r w:rsidR="0053714B" w:rsidRPr="00AC3827">
        <w:rPr>
          <w:rFonts w:cs="Helvetica Neue"/>
          <w:szCs w:val="24"/>
          <w:lang w:val="en-US"/>
        </w:rPr>
        <w:t xml:space="preserve">and N. </w:t>
      </w:r>
      <w:r w:rsidR="0053714B" w:rsidRPr="00AC3827">
        <w:rPr>
          <w:rFonts w:cs="Helvetica Neue"/>
          <w:smallCaps/>
          <w:szCs w:val="24"/>
          <w:lang w:val="en-US"/>
        </w:rPr>
        <w:t>Lazaridis</w:t>
      </w:r>
      <w:r w:rsidR="0053714B" w:rsidRPr="00AC3827">
        <w:rPr>
          <w:rFonts w:cs="Helvetica Neue"/>
          <w:szCs w:val="24"/>
          <w:lang w:val="en-US"/>
        </w:rPr>
        <w:t xml:space="preserve"> (eds), </w:t>
      </w:r>
      <w:hyperlink r:id="rId12" w:history="1">
        <w:r w:rsidR="0053714B" w:rsidRPr="00AC3827">
          <w:rPr>
            <w:rFonts w:cs="Helvetica Neue"/>
            <w:bCs/>
            <w:iCs/>
            <w:szCs w:val="24"/>
            <w:lang w:val="en-US"/>
          </w:rPr>
          <w:t>Proceedings of the Tenth International Congress of Egyptologists: University of the Aegean, Rhodes. 22-29 May 2008</w:t>
        </w:r>
      </w:hyperlink>
      <w:r w:rsidR="0053714B" w:rsidRPr="00AC3827">
        <w:rPr>
          <w:rFonts w:cs="Helvetica Neue"/>
          <w:szCs w:val="24"/>
          <w:lang w:val="en-US"/>
        </w:rPr>
        <w:t xml:space="preserve"> </w:t>
      </w:r>
      <w:r w:rsidRPr="00AC3827">
        <w:rPr>
          <w:rFonts w:cs="Helvetica Neue"/>
          <w:szCs w:val="24"/>
          <w:lang w:val="en-US"/>
        </w:rPr>
        <w:t>II</w:t>
      </w:r>
      <w:r w:rsidR="0053714B" w:rsidRPr="00AC3827">
        <w:rPr>
          <w:rFonts w:cs="Helvetica Neue"/>
          <w:szCs w:val="24"/>
          <w:lang w:val="en-US"/>
        </w:rPr>
        <w:t>,</w:t>
      </w:r>
      <w:r w:rsidRPr="00AC3827">
        <w:rPr>
          <w:rFonts w:cs="Helvetica Neue"/>
          <w:szCs w:val="24"/>
          <w:lang w:val="en-US"/>
        </w:rPr>
        <w:t xml:space="preserve"> OLA 241,</w:t>
      </w:r>
      <w:r w:rsidR="0053714B" w:rsidRPr="00AC3827">
        <w:rPr>
          <w:rFonts w:cs="Helvetica Neue"/>
          <w:szCs w:val="24"/>
          <w:lang w:val="en-US"/>
        </w:rPr>
        <w:t xml:space="preserve"> Leuven</w:t>
      </w:r>
      <w:r w:rsidRPr="00AC3827">
        <w:rPr>
          <w:rFonts w:cs="Helvetica Neue"/>
          <w:szCs w:val="24"/>
          <w:lang w:val="en-US"/>
        </w:rPr>
        <w:t>, 2015, 1473-1483</w:t>
      </w:r>
      <w:r w:rsidR="0053714B" w:rsidRPr="00AC3827">
        <w:rPr>
          <w:rFonts w:cs="Helvetica Neue"/>
          <w:szCs w:val="24"/>
          <w:lang w:val="en-US"/>
        </w:rPr>
        <w:t>.</w:t>
      </w:r>
      <w:r w:rsidR="00D53519" w:rsidRPr="00D53519">
        <w:rPr>
          <w:rFonts w:ascii="Helvetica Neue" w:hAnsi="Helvetica Neue" w:cs="Helvetica Neue"/>
          <w:sz w:val="28"/>
          <w:szCs w:val="28"/>
          <w:lang w:val="en-US"/>
        </w:rPr>
        <w:t xml:space="preserve"> </w:t>
      </w:r>
    </w:p>
    <w:p w14:paraId="600DC797" w14:textId="77777777" w:rsidR="00D53519" w:rsidRPr="00F15858" w:rsidRDefault="00D53519" w:rsidP="00D53519">
      <w:pPr>
        <w:rPr>
          <w:rFonts w:ascii="Helvetica Neue" w:hAnsi="Helvetica Neue" w:cs="Helvetica Neue"/>
          <w:szCs w:val="24"/>
          <w:lang w:val="en-US"/>
        </w:rPr>
      </w:pPr>
    </w:p>
    <w:p w14:paraId="32BF6759" w14:textId="1A1C2DBE" w:rsidR="00D53519" w:rsidRPr="00F15858" w:rsidRDefault="00DA6736" w:rsidP="00D53519">
      <w:pPr>
        <w:rPr>
          <w:szCs w:val="24"/>
        </w:rPr>
      </w:pPr>
      <w:r w:rsidRPr="00AC3827">
        <w:rPr>
          <w:rFonts w:cs="Helvetica Neue"/>
          <w:szCs w:val="24"/>
          <w:lang w:val="en-US"/>
        </w:rPr>
        <w:t xml:space="preserve">K. </w:t>
      </w:r>
      <w:r w:rsidRPr="00AC3827">
        <w:rPr>
          <w:rFonts w:cs="Helvetica Neue"/>
          <w:smallCaps/>
          <w:szCs w:val="24"/>
          <w:lang w:val="en-US"/>
        </w:rPr>
        <w:t>Muhlestein</w:t>
      </w:r>
      <w:r w:rsidRPr="00AC3827">
        <w:rPr>
          <w:rFonts w:cs="Helvetica Neue"/>
          <w:szCs w:val="24"/>
          <w:lang w:val="en-US"/>
        </w:rPr>
        <w:t>,</w:t>
      </w:r>
      <w:r w:rsidR="00D53519" w:rsidRPr="00F15858">
        <w:rPr>
          <w:rFonts w:cs="Helvetica Neue"/>
          <w:szCs w:val="24"/>
          <w:lang w:val="en-US"/>
        </w:rPr>
        <w:t xml:space="preserve"> </w:t>
      </w:r>
      <w:r w:rsidR="00D53519" w:rsidRPr="00F15858">
        <w:rPr>
          <w:rFonts w:cs="Helvetica Neue"/>
          <w:iCs/>
          <w:szCs w:val="24"/>
          <w:lang w:val="en-US"/>
        </w:rPr>
        <w:t>Violence in the service of order: the religious framework for sanctioned killing in ancient Egypt</w:t>
      </w:r>
      <w:r w:rsidR="00F15858" w:rsidRPr="00F15858">
        <w:rPr>
          <w:rFonts w:cs="Helvetica Neue"/>
          <w:szCs w:val="24"/>
          <w:lang w:val="en-US"/>
        </w:rPr>
        <w:t>. BAR International Series 2299, Oxford, 2011.</w:t>
      </w:r>
    </w:p>
    <w:p w14:paraId="0FEFD87B" w14:textId="77777777" w:rsidR="0053714B" w:rsidRDefault="0053714B" w:rsidP="00502122"/>
    <w:p w14:paraId="1759226B" w14:textId="77777777" w:rsidR="00F665A6" w:rsidRDefault="00F665A6" w:rsidP="00502122">
      <w:r>
        <w:rPr>
          <w:smallCaps/>
          <w:szCs w:val="24"/>
        </w:rPr>
        <w:t xml:space="preserve">R. </w:t>
      </w:r>
      <w:r w:rsidRPr="00F665A6">
        <w:rPr>
          <w:smallCaps/>
          <w:szCs w:val="24"/>
        </w:rPr>
        <w:t>Müller-Wollermann</w:t>
      </w:r>
      <w:r w:rsidRPr="00467D03">
        <w:t xml:space="preserve">, </w:t>
      </w:r>
      <w:r w:rsidRPr="00F665A6">
        <w:t>Vergehen und Strafen: Zur Sanktionierung abweichenden Verhaltens im alten Ägypten,</w:t>
      </w:r>
      <w:r w:rsidRPr="00DC6E43">
        <w:t xml:space="preserve"> PdÄ 21, Leiden</w:t>
      </w:r>
      <w:r>
        <w:t>, 2004.</w:t>
      </w:r>
    </w:p>
    <w:p w14:paraId="518A26C1" w14:textId="77777777" w:rsidR="00F665A6" w:rsidRDefault="00F665A6" w:rsidP="00502122"/>
    <w:p w14:paraId="66FBF1BF" w14:textId="2F188C35" w:rsidR="00CC4B31" w:rsidRDefault="00CC4B31" w:rsidP="00502122">
      <w:r>
        <w:rPr>
          <w:smallCaps/>
          <w:szCs w:val="24"/>
        </w:rPr>
        <w:t xml:space="preserve">R. </w:t>
      </w:r>
      <w:r w:rsidRPr="00F665A6">
        <w:rPr>
          <w:smallCaps/>
          <w:szCs w:val="24"/>
        </w:rPr>
        <w:t>Müller-Wollermann</w:t>
      </w:r>
      <w:r w:rsidRPr="00467D03">
        <w:t>,</w:t>
      </w:r>
      <w:r>
        <w:t xml:space="preserve"> Symbolische Gewalt im Alten Ägypten, in: M. </w:t>
      </w:r>
      <w:r w:rsidRPr="00CC4B31">
        <w:rPr>
          <w:smallCaps/>
          <w:szCs w:val="24"/>
        </w:rPr>
        <w:t>Zimmermann</w:t>
      </w:r>
      <w:r>
        <w:t xml:space="preserve"> (ed.), Extreme Formen von Gewalt in Bild und Text des Altertums, Munich, 2009, 47-64.</w:t>
      </w:r>
    </w:p>
    <w:p w14:paraId="6A761F66" w14:textId="77777777" w:rsidR="00CC4B31" w:rsidRDefault="00CC4B31" w:rsidP="00502122"/>
    <w:p w14:paraId="3BFDA9AF" w14:textId="301C87F4" w:rsidR="00864FA1" w:rsidRPr="00544AD3" w:rsidRDefault="00864FA1" w:rsidP="00864FA1">
      <w:pPr>
        <w:rPr>
          <w:szCs w:val="24"/>
        </w:rPr>
      </w:pPr>
      <w:r w:rsidRPr="00544AD3">
        <w:rPr>
          <w:smallCaps/>
          <w:szCs w:val="24"/>
        </w:rPr>
        <w:t>H.-H. Münch</w:t>
      </w:r>
      <w:r w:rsidRPr="00544AD3">
        <w:rPr>
          <w:szCs w:val="24"/>
        </w:rPr>
        <w:t xml:space="preserve">: Warum Pharao immer siegt: Bemerkungen zum </w:t>
      </w:r>
      <w:r w:rsidR="00544AD3" w:rsidRPr="00544AD3">
        <w:rPr>
          <w:szCs w:val="24"/>
        </w:rPr>
        <w:t>Iko</w:t>
      </w:r>
      <w:r w:rsidRPr="00544AD3">
        <w:rPr>
          <w:szCs w:val="24"/>
        </w:rPr>
        <w:t xml:space="preserve">n des ‘Erschlagens de Feinde’ aus wissenssoziologische Perspektive, in: E. </w:t>
      </w:r>
      <w:r w:rsidRPr="00544AD3">
        <w:rPr>
          <w:smallCaps/>
          <w:szCs w:val="24"/>
        </w:rPr>
        <w:t>Frood</w:t>
      </w:r>
      <w:r w:rsidRPr="00544AD3">
        <w:rPr>
          <w:szCs w:val="24"/>
        </w:rPr>
        <w:t xml:space="preserve"> and A. </w:t>
      </w:r>
      <w:r w:rsidRPr="00544AD3">
        <w:rPr>
          <w:smallCaps/>
          <w:szCs w:val="24"/>
        </w:rPr>
        <w:t>McDonald</w:t>
      </w:r>
      <w:r w:rsidRPr="00544AD3">
        <w:rPr>
          <w:szCs w:val="24"/>
        </w:rPr>
        <w:t xml:space="preserve">, </w:t>
      </w:r>
      <w:r w:rsidR="00544AD3" w:rsidRPr="00544AD3">
        <w:rPr>
          <w:szCs w:val="24"/>
        </w:rPr>
        <w:t>Decorum and Experience: Essays in Ancient C</w:t>
      </w:r>
      <w:r w:rsidRPr="00544AD3">
        <w:rPr>
          <w:szCs w:val="24"/>
        </w:rPr>
        <w:t>ulture for John Baines, Oxford, 2013, 264-268.</w:t>
      </w:r>
    </w:p>
    <w:p w14:paraId="0D6363D0" w14:textId="77777777" w:rsidR="00864FA1" w:rsidRDefault="00864FA1" w:rsidP="00864FA1">
      <w:pPr>
        <w:rPr>
          <w:sz w:val="22"/>
        </w:rPr>
      </w:pPr>
      <w:r>
        <w:rPr>
          <w:sz w:val="22"/>
        </w:rPr>
        <w:tab/>
        <w:t>question of degree of reality, as a question that is itself problematic</w:t>
      </w:r>
    </w:p>
    <w:p w14:paraId="38F8CFBF" w14:textId="77777777" w:rsidR="00864FA1" w:rsidRDefault="00864FA1" w:rsidP="00502122"/>
    <w:p w14:paraId="3C469A2B" w14:textId="3C3E1DFE" w:rsidR="00864FA1" w:rsidRPr="007B455D" w:rsidRDefault="00544AD3" w:rsidP="00502122">
      <w:r w:rsidRPr="007B455D">
        <w:t xml:space="preserve">D. </w:t>
      </w:r>
      <w:r w:rsidRPr="007B455D">
        <w:rPr>
          <w:smallCaps/>
          <w:szCs w:val="24"/>
        </w:rPr>
        <w:t>Nadali</w:t>
      </w:r>
      <w:r w:rsidRPr="007B455D">
        <w:t xml:space="preserve"> and J. </w:t>
      </w:r>
      <w:r w:rsidRPr="007B455D">
        <w:rPr>
          <w:smallCaps/>
          <w:szCs w:val="24"/>
        </w:rPr>
        <w:t>Vidal</w:t>
      </w:r>
      <w:r w:rsidRPr="007B455D">
        <w:t xml:space="preserve"> (eds), The Other F</w:t>
      </w:r>
      <w:r w:rsidR="007B455D">
        <w:t>ace of Battle: The Impact of War</w:t>
      </w:r>
      <w:r w:rsidRPr="007B455D">
        <w:t xml:space="preserve"> on Civilians in the Ancient Near East, AOAT 413, Munster, 2014.</w:t>
      </w:r>
    </w:p>
    <w:p w14:paraId="054EECC7" w14:textId="77777777" w:rsidR="00A27FDC" w:rsidRDefault="00A27FDC" w:rsidP="00502122">
      <w:pPr>
        <w:rPr>
          <w:color w:val="0000FF"/>
        </w:rPr>
      </w:pPr>
    </w:p>
    <w:p w14:paraId="7B953DE8" w14:textId="36117942" w:rsidR="00544AD3" w:rsidRPr="007B455D" w:rsidRDefault="00A27FDC" w:rsidP="00502122">
      <w:pPr>
        <w:rPr>
          <w:smallCaps/>
          <w:szCs w:val="24"/>
        </w:rPr>
      </w:pPr>
      <w:r w:rsidRPr="007B455D">
        <w:rPr>
          <w:smallCaps/>
          <w:szCs w:val="24"/>
        </w:rPr>
        <w:t>D. Nadali</w:t>
      </w:r>
      <w:r w:rsidRPr="007B455D">
        <w:t xml:space="preserve">, The Impact of War on Civilians in the Neo-Assyrian Period, in </w:t>
      </w:r>
      <w:r w:rsidRPr="007B455D">
        <w:rPr>
          <w:smallCaps/>
          <w:szCs w:val="24"/>
        </w:rPr>
        <w:t>Nadali</w:t>
      </w:r>
      <w:r w:rsidRPr="007B455D">
        <w:t xml:space="preserve"> and </w:t>
      </w:r>
      <w:r w:rsidRPr="007B455D">
        <w:rPr>
          <w:smallCaps/>
          <w:szCs w:val="24"/>
        </w:rPr>
        <w:t>Vidal 2014, 101-111</w:t>
      </w:r>
      <w:r w:rsidR="007B455D">
        <w:rPr>
          <w:smallCaps/>
          <w:szCs w:val="24"/>
        </w:rPr>
        <w:t>.</w:t>
      </w:r>
    </w:p>
    <w:p w14:paraId="66BFD9B3" w14:textId="77777777" w:rsidR="00A27FDC" w:rsidRDefault="00A27FDC" w:rsidP="00502122">
      <w:pPr>
        <w:rPr>
          <w:color w:val="0000FF"/>
        </w:rPr>
      </w:pPr>
    </w:p>
    <w:p w14:paraId="1AF94B01" w14:textId="33219ED3" w:rsidR="002A43DC" w:rsidRPr="002A43DC" w:rsidRDefault="002A43DC" w:rsidP="00502122">
      <w:r w:rsidRPr="002A43DC">
        <w:t xml:space="preserve">P.E. </w:t>
      </w:r>
      <w:r w:rsidRPr="002A43DC">
        <w:rPr>
          <w:smallCaps/>
          <w:szCs w:val="24"/>
        </w:rPr>
        <w:t>Newberry</w:t>
      </w:r>
      <w:r w:rsidRPr="002A43DC">
        <w:t>, Beni Hasan II, London 1891.</w:t>
      </w:r>
    </w:p>
    <w:p w14:paraId="68BF244D" w14:textId="77777777" w:rsidR="002A43DC" w:rsidRPr="003E032B" w:rsidRDefault="002A43DC" w:rsidP="00502122">
      <w:pPr>
        <w:rPr>
          <w:color w:val="0000FF"/>
        </w:rPr>
      </w:pPr>
    </w:p>
    <w:p w14:paraId="2774E8C4" w14:textId="77777777" w:rsidR="003E032B" w:rsidRPr="0039688D" w:rsidRDefault="003E032B" w:rsidP="00502122">
      <w:pPr>
        <w:rPr>
          <w:szCs w:val="24"/>
        </w:rPr>
      </w:pPr>
      <w:r w:rsidRPr="0039688D">
        <w:rPr>
          <w:smallCaps/>
          <w:szCs w:val="24"/>
        </w:rPr>
        <w:t xml:space="preserve">B. Oded, </w:t>
      </w:r>
      <w:r w:rsidRPr="0039688D">
        <w:rPr>
          <w:szCs w:val="24"/>
        </w:rPr>
        <w:t>War, Peace and Empire: Justifications for War in Assyrian Royal Inscriptions, Wiesbaden, 1992.</w:t>
      </w:r>
    </w:p>
    <w:p w14:paraId="4B1267DE" w14:textId="77777777" w:rsidR="003E032B" w:rsidRDefault="003E032B" w:rsidP="00502122">
      <w:pPr>
        <w:rPr>
          <w:smallCaps/>
          <w:szCs w:val="24"/>
        </w:rPr>
      </w:pPr>
    </w:p>
    <w:p w14:paraId="1C278020" w14:textId="3F49D8CD" w:rsidR="005D789F" w:rsidRDefault="005D789F" w:rsidP="00502122">
      <w:r w:rsidRPr="005D789F">
        <w:rPr>
          <w:smallCaps/>
          <w:szCs w:val="24"/>
        </w:rPr>
        <w:t>R. B. Parkinson</w:t>
      </w:r>
      <w:r w:rsidR="008B6FEF">
        <w:t>, ‘No one is Free from E</w:t>
      </w:r>
      <w:r>
        <w:t xml:space="preserve">nemies’, </w:t>
      </w:r>
      <w:r>
        <w:rPr>
          <w:szCs w:val="24"/>
        </w:rPr>
        <w:t xml:space="preserve">in: </w:t>
      </w:r>
      <w:r>
        <w:rPr>
          <w:smallCaps/>
          <w:szCs w:val="24"/>
        </w:rPr>
        <w:t xml:space="preserve">H. Felber </w:t>
      </w:r>
      <w:r w:rsidRPr="005D789F">
        <w:rPr>
          <w:szCs w:val="24"/>
        </w:rPr>
        <w:t>(ed.),</w:t>
      </w:r>
      <w:r>
        <w:rPr>
          <w:szCs w:val="24"/>
        </w:rPr>
        <w:t xml:space="preserve"> 2005, 11-31.</w:t>
      </w:r>
    </w:p>
    <w:p w14:paraId="326B0240" w14:textId="77777777" w:rsidR="005D789F" w:rsidRDefault="005D789F" w:rsidP="00502122"/>
    <w:p w14:paraId="4E4214AF" w14:textId="5AEEF6D3" w:rsidR="001E2D7A" w:rsidRPr="00B74489" w:rsidRDefault="001E2D7A" w:rsidP="00502122">
      <w:pPr>
        <w:rPr>
          <w:color w:val="000000" w:themeColor="text1"/>
        </w:rPr>
      </w:pPr>
      <w:r w:rsidRPr="00B74489">
        <w:rPr>
          <w:smallCaps/>
          <w:color w:val="000000" w:themeColor="text1"/>
          <w:lang w:val="en-US"/>
        </w:rPr>
        <w:t xml:space="preserve">T.E. Peet, </w:t>
      </w:r>
      <w:r w:rsidR="00B74489" w:rsidRPr="00B74489">
        <w:rPr>
          <w:color w:val="000000" w:themeColor="text1"/>
          <w:lang w:val="en-US"/>
        </w:rPr>
        <w:t>The Great Tomb-</w:t>
      </w:r>
      <w:r w:rsidRPr="00B74489">
        <w:rPr>
          <w:color w:val="000000" w:themeColor="text1"/>
          <w:lang w:val="en-US"/>
        </w:rPr>
        <w:t>Robberies</w:t>
      </w:r>
      <w:r w:rsidR="00B74489" w:rsidRPr="00B74489">
        <w:rPr>
          <w:color w:val="000000" w:themeColor="text1"/>
          <w:lang w:val="en-US"/>
        </w:rPr>
        <w:t xml:space="preserve"> of the Twentieth Egyptian Dynasty, Oxford, 1930.</w:t>
      </w:r>
      <w:r w:rsidRPr="00B74489">
        <w:rPr>
          <w:color w:val="000000" w:themeColor="text1"/>
          <w:lang w:val="en-US"/>
        </w:rPr>
        <w:t xml:space="preserve"> </w:t>
      </w:r>
    </w:p>
    <w:p w14:paraId="582069B2" w14:textId="77777777" w:rsidR="001E2D7A" w:rsidRDefault="001E2D7A" w:rsidP="00502122"/>
    <w:p w14:paraId="6E83AF9F" w14:textId="445435E8" w:rsidR="00C02DF7" w:rsidRPr="00F32B9C" w:rsidRDefault="00C02DF7" w:rsidP="00502122">
      <w:pPr>
        <w:rPr>
          <w:lang w:val="cs-CZ"/>
        </w:rPr>
      </w:pPr>
      <w:r w:rsidRPr="00F32B9C">
        <w:rPr>
          <w:smallCaps/>
          <w:szCs w:val="24"/>
        </w:rPr>
        <w:t>A. Pétigny,</w:t>
      </w:r>
      <w:r w:rsidRPr="00F32B9C">
        <w:t xml:space="preserve"> Le châtiment des rois rebelles à Memphis dans la seconde moitié du Ier millénairre av. J.-C., in: </w:t>
      </w:r>
      <w:r w:rsidRPr="00F32B9C">
        <w:rPr>
          <w:smallCaps/>
          <w:szCs w:val="24"/>
        </w:rPr>
        <w:t>L</w:t>
      </w:r>
      <w:r w:rsidRPr="00F32B9C">
        <w:rPr>
          <w:smallCaps/>
          <w:szCs w:val="24"/>
          <w:lang w:val="cs-CZ"/>
        </w:rPr>
        <w:t xml:space="preserve">. Bareš, F. Coppens and K. Smoláriková </w:t>
      </w:r>
      <w:r w:rsidR="008B6FEF">
        <w:rPr>
          <w:lang w:val="cs-CZ"/>
        </w:rPr>
        <w:t>(eds), Egypt in Transition: Social and Religious D</w:t>
      </w:r>
      <w:r w:rsidRPr="00F32B9C">
        <w:rPr>
          <w:lang w:val="cs-CZ"/>
        </w:rPr>
        <w:t>evelopment of Egypt in the First Millenium BCE, Prague, 2010, 343-353.</w:t>
      </w:r>
    </w:p>
    <w:p w14:paraId="4CF55E6C" w14:textId="77777777" w:rsidR="00A00967" w:rsidRDefault="00A00967" w:rsidP="00502122">
      <w:pPr>
        <w:rPr>
          <w:smallCaps/>
          <w:lang w:val="en-US"/>
        </w:rPr>
      </w:pPr>
    </w:p>
    <w:p w14:paraId="7C343238" w14:textId="6B551FCF" w:rsidR="00C02DF7" w:rsidRDefault="00A00967" w:rsidP="00502122">
      <w:pPr>
        <w:rPr>
          <w:lang w:val="en-US"/>
        </w:rPr>
      </w:pPr>
      <w:r w:rsidRPr="00A00967">
        <w:rPr>
          <w:smallCaps/>
          <w:lang w:val="en-US"/>
        </w:rPr>
        <w:t>J</w:t>
      </w:r>
      <w:r>
        <w:rPr>
          <w:smallCaps/>
          <w:lang w:val="en-US"/>
        </w:rPr>
        <w:t>.</w:t>
      </w:r>
      <w:r w:rsidRPr="00A00967">
        <w:rPr>
          <w:smallCaps/>
          <w:lang w:val="en-US"/>
        </w:rPr>
        <w:t xml:space="preserve"> F</w:t>
      </w:r>
      <w:r>
        <w:rPr>
          <w:smallCaps/>
          <w:lang w:val="en-US"/>
        </w:rPr>
        <w:t>.</w:t>
      </w:r>
      <w:r w:rsidRPr="00A00967">
        <w:rPr>
          <w:smallCaps/>
          <w:lang w:val="en-US"/>
        </w:rPr>
        <w:t xml:space="preserve"> Quack</w:t>
      </w:r>
      <w:r w:rsidR="008B6FEF">
        <w:rPr>
          <w:lang w:val="en-US"/>
        </w:rPr>
        <w:t xml:space="preserve"> 2010, How U</w:t>
      </w:r>
      <w:r>
        <w:rPr>
          <w:lang w:val="en-US"/>
        </w:rPr>
        <w:t xml:space="preserve">napproachable is a Pharaoh, in G. B. </w:t>
      </w:r>
      <w:r w:rsidRPr="00A00967">
        <w:rPr>
          <w:smallCaps/>
          <w:szCs w:val="24"/>
          <w:lang w:val="en-US"/>
        </w:rPr>
        <w:t xml:space="preserve">Lanfranchi </w:t>
      </w:r>
      <w:r>
        <w:rPr>
          <w:lang w:val="en-US"/>
        </w:rPr>
        <w:t>and R. R</w:t>
      </w:r>
      <w:r w:rsidRPr="00A00967">
        <w:rPr>
          <w:szCs w:val="24"/>
          <w:lang w:val="en-US"/>
        </w:rPr>
        <w:t>ollinger</w:t>
      </w:r>
      <w:r>
        <w:rPr>
          <w:lang w:val="en-US"/>
        </w:rPr>
        <w:t xml:space="preserve"> (eds), </w:t>
      </w:r>
      <w:r w:rsidRPr="00436B2B">
        <w:rPr>
          <w:i/>
          <w:lang w:val="en-US"/>
        </w:rPr>
        <w:t>Concepts of Kingship in Antiquity</w:t>
      </w:r>
      <w:r>
        <w:rPr>
          <w:lang w:val="en-US"/>
        </w:rPr>
        <w:t>, Padua and Winona Lake, 2010, 1-14.</w:t>
      </w:r>
    </w:p>
    <w:p w14:paraId="1923A049" w14:textId="77777777" w:rsidR="00F32B9C" w:rsidRDefault="00F32B9C" w:rsidP="00502122"/>
    <w:p w14:paraId="79777824" w14:textId="3732C700" w:rsidR="00236799" w:rsidRDefault="007B455D" w:rsidP="00502122">
      <w:pPr>
        <w:rPr>
          <w:lang w:val="en-US"/>
        </w:rPr>
      </w:pPr>
      <w:r w:rsidRPr="007B455D">
        <w:rPr>
          <w:smallCaps/>
          <w:lang w:val="en-US"/>
        </w:rPr>
        <w:t xml:space="preserve">J.F. </w:t>
      </w:r>
      <w:r w:rsidR="00236799" w:rsidRPr="007B455D">
        <w:rPr>
          <w:smallCaps/>
          <w:lang w:val="en-US"/>
        </w:rPr>
        <w:t>Quack</w:t>
      </w:r>
      <w:r w:rsidR="008B6FEF">
        <w:rPr>
          <w:lang w:val="en-US"/>
        </w:rPr>
        <w:t>, “As he d</w:t>
      </w:r>
      <w:r w:rsidR="00236799" w:rsidRPr="007B455D">
        <w:rPr>
          <w:lang w:val="en-US"/>
        </w:rPr>
        <w:t>isregar</w:t>
      </w:r>
      <w:r w:rsidR="008B6FEF">
        <w:rPr>
          <w:lang w:val="en-US"/>
        </w:rPr>
        <w:t>ded the law, he was replaced d</w:t>
      </w:r>
      <w:r w:rsidR="00236799" w:rsidRPr="007B455D">
        <w:rPr>
          <w:lang w:val="en-US"/>
        </w:rPr>
        <w:t>uring his own</w:t>
      </w:r>
      <w:r w:rsidR="00236799">
        <w:rPr>
          <w:lang w:val="en-US"/>
        </w:rPr>
        <w:t xml:space="preserve"> Lifetime”. On Criticism of Egyptian Rulers in the So-Called </w:t>
      </w:r>
      <w:r w:rsidR="00236799" w:rsidRPr="009E5745">
        <w:rPr>
          <w:i/>
          <w:lang w:val="en-US"/>
        </w:rPr>
        <w:t>Demotic Chronicle</w:t>
      </w:r>
      <w:r w:rsidR="00236799">
        <w:rPr>
          <w:lang w:val="en-US"/>
        </w:rPr>
        <w:t xml:space="preserve">, in: </w:t>
      </w:r>
      <w:r w:rsidR="00236799" w:rsidRPr="005D2B8E">
        <w:rPr>
          <w:smallCaps/>
          <w:lang w:val="en-US"/>
        </w:rPr>
        <w:t>H</w:t>
      </w:r>
      <w:r w:rsidR="00236799">
        <w:rPr>
          <w:smallCaps/>
          <w:lang w:val="en-US"/>
        </w:rPr>
        <w:t>.</w:t>
      </w:r>
      <w:r w:rsidR="00236799" w:rsidRPr="005D2B8E">
        <w:rPr>
          <w:smallCaps/>
          <w:lang w:val="en-US"/>
        </w:rPr>
        <w:t xml:space="preserve"> Börm</w:t>
      </w:r>
      <w:r w:rsidR="00236799">
        <w:rPr>
          <w:lang w:val="en-US"/>
        </w:rPr>
        <w:t xml:space="preserve"> (ed</w:t>
      </w:r>
      <w:r w:rsidR="00236799" w:rsidRPr="00236799">
        <w:rPr>
          <w:lang w:val="en-US"/>
        </w:rPr>
        <w:t>.), Antimonarchic Discourse in Antiquity, Stuttgart</w:t>
      </w:r>
      <w:r w:rsidR="00236799">
        <w:rPr>
          <w:lang w:val="en-US"/>
        </w:rPr>
        <w:t>, 2015, 25-43.</w:t>
      </w:r>
    </w:p>
    <w:p w14:paraId="7748E932" w14:textId="77777777" w:rsidR="002F41EE" w:rsidRDefault="002F41EE" w:rsidP="00502122">
      <w:pPr>
        <w:rPr>
          <w:szCs w:val="24"/>
          <w:lang w:val="en-US"/>
        </w:rPr>
      </w:pPr>
    </w:p>
    <w:p w14:paraId="7244CCAB" w14:textId="7909E652" w:rsidR="00A216E2" w:rsidRPr="00A216E2" w:rsidRDefault="00A216E2" w:rsidP="00502122">
      <w:pPr>
        <w:rPr>
          <w:smallCaps/>
          <w:szCs w:val="24"/>
        </w:rPr>
      </w:pPr>
      <w:r>
        <w:rPr>
          <w:szCs w:val="24"/>
          <w:lang w:val="en-US"/>
        </w:rPr>
        <w:t xml:space="preserve">P.A. </w:t>
      </w:r>
      <w:r w:rsidRPr="00A216E2">
        <w:rPr>
          <w:smallCaps/>
          <w:szCs w:val="24"/>
          <w:lang w:val="en-US"/>
        </w:rPr>
        <w:t>Rahe</w:t>
      </w:r>
      <w:r>
        <w:rPr>
          <w:szCs w:val="24"/>
          <w:lang w:val="en-US"/>
        </w:rPr>
        <w:t xml:space="preserve">, Justice and Necessity: The Conduct of the Spartans and the Athenians in the Peloponnesian Waar, in: </w:t>
      </w:r>
      <w:r w:rsidRPr="00A216E2">
        <w:rPr>
          <w:smallCaps/>
          <w:szCs w:val="24"/>
        </w:rPr>
        <w:t xml:space="preserve">Grimsley </w:t>
      </w:r>
      <w:r>
        <w:t xml:space="preserve">and </w:t>
      </w:r>
      <w:r w:rsidRPr="00A216E2">
        <w:rPr>
          <w:smallCaps/>
          <w:szCs w:val="24"/>
        </w:rPr>
        <w:t>Rogers</w:t>
      </w:r>
      <w:r>
        <w:t xml:space="preserve"> 2002,</w:t>
      </w:r>
      <w:r>
        <w:rPr>
          <w:smallCaps/>
          <w:szCs w:val="24"/>
        </w:rPr>
        <w:t xml:space="preserve"> </w:t>
      </w:r>
      <w:r>
        <w:rPr>
          <w:szCs w:val="24"/>
          <w:lang w:val="en-US"/>
        </w:rPr>
        <w:t>33-78.</w:t>
      </w:r>
    </w:p>
    <w:p w14:paraId="546CA279" w14:textId="77777777" w:rsidR="00A216E2" w:rsidRPr="00BF34CE" w:rsidRDefault="00A216E2" w:rsidP="00502122">
      <w:pPr>
        <w:rPr>
          <w:szCs w:val="24"/>
          <w:lang w:val="en-US"/>
        </w:rPr>
      </w:pPr>
    </w:p>
    <w:p w14:paraId="43272790" w14:textId="5CE335A3" w:rsidR="00BF34CE" w:rsidRPr="007B455D" w:rsidRDefault="00BF34CE" w:rsidP="00502122">
      <w:pPr>
        <w:widowControl w:val="0"/>
        <w:autoSpaceDE w:val="0"/>
        <w:autoSpaceDN w:val="0"/>
        <w:adjustRightInd w:val="0"/>
        <w:rPr>
          <w:rFonts w:cs="AGaramondPro-Regular"/>
          <w:szCs w:val="24"/>
          <w:lang w:val="en-US"/>
        </w:rPr>
      </w:pPr>
      <w:r w:rsidRPr="00BF34CE">
        <w:rPr>
          <w:rFonts w:cs="AGaramondPro-Regular"/>
          <w:smallCaps/>
          <w:szCs w:val="24"/>
          <w:lang w:val="en-US"/>
        </w:rPr>
        <w:t>Donald B. Redford</w:t>
      </w:r>
      <w:r w:rsidRPr="00BF34CE">
        <w:rPr>
          <w:rFonts w:cs="AGaramondPro-Regular"/>
          <w:szCs w:val="24"/>
          <w:lang w:val="en-US"/>
        </w:rPr>
        <w:t xml:space="preserve">, The Tôd inscriptions of Senwosret I and early 12th </w:t>
      </w:r>
      <w:r w:rsidRPr="007B455D">
        <w:rPr>
          <w:rFonts w:cs="AGaramondPro-Regular"/>
          <w:szCs w:val="24"/>
          <w:lang w:val="en-US"/>
        </w:rPr>
        <w:t xml:space="preserve">Dynasty involvement in Nubia and the South, in:  </w:t>
      </w:r>
      <w:r w:rsidR="007B455D" w:rsidRPr="007B455D">
        <w:rPr>
          <w:rFonts w:cs="AGaramondPro-Regular"/>
          <w:szCs w:val="24"/>
          <w:lang w:val="en-US"/>
        </w:rPr>
        <w:t>JSSEA 17 (1/</w:t>
      </w:r>
      <w:r w:rsidRPr="007B455D">
        <w:rPr>
          <w:rFonts w:cs="AGaramondPro-Regular"/>
          <w:szCs w:val="24"/>
          <w:lang w:val="en-US"/>
        </w:rPr>
        <w:t>2</w:t>
      </w:r>
      <w:r w:rsidR="007B455D" w:rsidRPr="007B455D">
        <w:rPr>
          <w:rFonts w:cs="AGaramondPro-Regular"/>
          <w:szCs w:val="24"/>
          <w:lang w:val="en-US"/>
        </w:rPr>
        <w:t>)</w:t>
      </w:r>
      <w:r w:rsidRPr="007B455D">
        <w:rPr>
          <w:rFonts w:cs="AGaramondPro-Regular"/>
          <w:szCs w:val="24"/>
          <w:lang w:val="en-US"/>
        </w:rPr>
        <w:t xml:space="preserve">, 1987, </w:t>
      </w:r>
      <w:r w:rsidR="007B455D" w:rsidRPr="007B455D">
        <w:rPr>
          <w:rFonts w:cs="AGaramondPro-Regular"/>
          <w:szCs w:val="24"/>
          <w:lang w:val="en-US"/>
        </w:rPr>
        <w:t>36-55.</w:t>
      </w:r>
    </w:p>
    <w:p w14:paraId="502597A7" w14:textId="77777777" w:rsidR="00BF34CE" w:rsidRPr="00DD416D" w:rsidRDefault="00BF34CE" w:rsidP="00502122">
      <w:pPr>
        <w:rPr>
          <w:szCs w:val="24"/>
          <w:lang w:val="en-US"/>
        </w:rPr>
      </w:pPr>
    </w:p>
    <w:p w14:paraId="2C99487A" w14:textId="137C6B4F" w:rsidR="00557B07" w:rsidRPr="00DD416D" w:rsidRDefault="00DD416D" w:rsidP="00502122">
      <w:pPr>
        <w:rPr>
          <w:rFonts w:cs="AGaramondPro-Regular"/>
          <w:szCs w:val="24"/>
          <w:lang w:val="en-US"/>
        </w:rPr>
      </w:pPr>
      <w:r w:rsidRPr="00DD416D">
        <w:rPr>
          <w:rFonts w:cs="AGaramondPro-Regular"/>
          <w:smallCaps/>
          <w:szCs w:val="24"/>
          <w:lang w:val="en-US"/>
        </w:rPr>
        <w:t xml:space="preserve">S.F.C. Richardson, </w:t>
      </w:r>
      <w:r w:rsidR="00557B07" w:rsidRPr="00DD416D">
        <w:rPr>
          <w:rFonts w:cs="AGaramondPro-Regular"/>
          <w:szCs w:val="24"/>
          <w:lang w:val="en-US"/>
        </w:rPr>
        <w:t xml:space="preserve">Mesopotamia and the ‘New’ Military History, in: L.L. </w:t>
      </w:r>
      <w:r w:rsidR="00557B07" w:rsidRPr="00DD416D">
        <w:rPr>
          <w:rFonts w:cs="AGaramondPro-Regular"/>
          <w:smallCaps/>
          <w:szCs w:val="24"/>
          <w:lang w:val="en-US"/>
        </w:rPr>
        <w:t xml:space="preserve">Brice </w:t>
      </w:r>
      <w:r w:rsidR="00557B07" w:rsidRPr="00DD416D">
        <w:rPr>
          <w:rFonts w:cs="AGaramondPro-Regular"/>
          <w:szCs w:val="24"/>
          <w:lang w:val="en-US"/>
        </w:rPr>
        <w:t xml:space="preserve">and J.T. </w:t>
      </w:r>
      <w:r w:rsidR="00557B07" w:rsidRPr="00DD416D">
        <w:rPr>
          <w:rFonts w:cs="AGaramondPro-Regular"/>
          <w:smallCaps/>
          <w:szCs w:val="24"/>
          <w:lang w:val="en-US"/>
        </w:rPr>
        <w:t xml:space="preserve">Roberts </w:t>
      </w:r>
      <w:r w:rsidR="00557B07" w:rsidRPr="00DD416D">
        <w:rPr>
          <w:rFonts w:cs="AGaramondPro-Regular"/>
          <w:szCs w:val="24"/>
          <w:lang w:val="en-US"/>
        </w:rPr>
        <w:t>(eds), Recent Directions in the Military History of the Ancient World, Claremont, 2011, 11-51</w:t>
      </w:r>
      <w:r w:rsidRPr="00DD416D">
        <w:rPr>
          <w:rFonts w:cs="AGaramondPro-Regular"/>
          <w:szCs w:val="24"/>
          <w:lang w:val="en-US"/>
        </w:rPr>
        <w:t>.</w:t>
      </w:r>
      <w:r w:rsidR="00557B07" w:rsidRPr="00DD416D">
        <w:rPr>
          <w:rFonts w:cs="AGaramondPro-Regular"/>
          <w:szCs w:val="24"/>
          <w:lang w:val="en-US"/>
        </w:rPr>
        <w:t xml:space="preserve">  </w:t>
      </w:r>
    </w:p>
    <w:p w14:paraId="4479F0FF" w14:textId="77777777" w:rsidR="00FB7E7B" w:rsidRDefault="00FB7E7B" w:rsidP="00502122">
      <w:pPr>
        <w:rPr>
          <w:rFonts w:cs="AGaramondPro-Regular"/>
          <w:color w:val="0000FF"/>
          <w:szCs w:val="24"/>
          <w:lang w:val="en-US"/>
        </w:rPr>
      </w:pPr>
    </w:p>
    <w:p w14:paraId="62F46AD3" w14:textId="65CABE2D" w:rsidR="00FB7E7B" w:rsidRPr="007C3602" w:rsidRDefault="00FB7E7B" w:rsidP="00502122">
      <w:pPr>
        <w:rPr>
          <w:rFonts w:cs="AGaramondPro-Regular"/>
          <w:szCs w:val="24"/>
          <w:lang w:val="en-US"/>
        </w:rPr>
      </w:pPr>
      <w:r w:rsidRPr="007C3602">
        <w:rPr>
          <w:rFonts w:cs="AGaramondPro-Regular"/>
          <w:szCs w:val="24"/>
          <w:lang w:val="en-US"/>
        </w:rPr>
        <w:t>S.</w:t>
      </w:r>
      <w:r w:rsidRPr="007C3602">
        <w:rPr>
          <w:rFonts w:cs="AGaramondPro-Regular"/>
          <w:smallCaps/>
          <w:szCs w:val="24"/>
          <w:lang w:val="en-US"/>
        </w:rPr>
        <w:t xml:space="preserve"> Richardson</w:t>
      </w:r>
      <w:r w:rsidRPr="007C3602">
        <w:rPr>
          <w:rFonts w:cs="AGaramondPro-Regular"/>
          <w:szCs w:val="24"/>
          <w:lang w:val="en-US"/>
        </w:rPr>
        <w:t>, Insurgency and Terror in Mesopotamia, in T. Howe and L.L. Brice (eds), Brill’s Companion to Insurgency and Terrorism in the Ancient Mediterranean, Leiden and Boston, 2016, 31-61.</w:t>
      </w:r>
    </w:p>
    <w:p w14:paraId="597644DC" w14:textId="77777777" w:rsidR="00557B07" w:rsidRDefault="00557B07" w:rsidP="00502122">
      <w:pPr>
        <w:rPr>
          <w:rFonts w:cs="AGaramondPro-Regular"/>
          <w:smallCaps/>
          <w:szCs w:val="24"/>
          <w:lang w:val="en-US"/>
        </w:rPr>
      </w:pPr>
    </w:p>
    <w:p w14:paraId="4D37C16D" w14:textId="77777777" w:rsidR="002F41EE" w:rsidRDefault="002F41EE" w:rsidP="00502122">
      <w:pPr>
        <w:rPr>
          <w:rFonts w:cs="AGaramondPro-Regular"/>
          <w:szCs w:val="24"/>
          <w:lang w:val="en-US"/>
        </w:rPr>
      </w:pPr>
      <w:r w:rsidRPr="00EE3AA9">
        <w:rPr>
          <w:rFonts w:cs="AGaramondPro-Regular"/>
          <w:smallCaps/>
          <w:szCs w:val="24"/>
          <w:lang w:val="en-US"/>
        </w:rPr>
        <w:t>R. K. Ritner</w:t>
      </w:r>
      <w:r w:rsidRPr="00EE3AA9">
        <w:rPr>
          <w:rFonts w:cs="AGaramondPro-Regular"/>
          <w:szCs w:val="24"/>
          <w:lang w:val="en-US"/>
        </w:rPr>
        <w:t>, The Mechanics of Ancient Egyptian Magical Practice, SAOC 54, Chicago, 1993.</w:t>
      </w:r>
    </w:p>
    <w:p w14:paraId="18DE38FE" w14:textId="77777777" w:rsidR="00783316" w:rsidRDefault="00783316" w:rsidP="00502122">
      <w:pPr>
        <w:rPr>
          <w:rFonts w:cs="AGaramondPro-Regular"/>
          <w:szCs w:val="24"/>
          <w:lang w:val="en-US"/>
        </w:rPr>
      </w:pPr>
    </w:p>
    <w:p w14:paraId="203D2FFB" w14:textId="05CFC51B" w:rsidR="00783316" w:rsidRPr="00612E02" w:rsidRDefault="00783316" w:rsidP="00612E02">
      <w:pPr>
        <w:rPr>
          <w:rFonts w:cs="AGaramondPro-Regular"/>
          <w:szCs w:val="24"/>
          <w:lang w:val="en-US"/>
        </w:rPr>
      </w:pPr>
      <w:r w:rsidRPr="00612E02">
        <w:rPr>
          <w:rFonts w:cs="AGaramondPro-Regular"/>
          <w:smallCaps/>
          <w:szCs w:val="24"/>
          <w:lang w:val="en-US"/>
        </w:rPr>
        <w:t>R. K. Ritner</w:t>
      </w:r>
      <w:r w:rsidRPr="00612E02">
        <w:rPr>
          <w:rFonts w:cs="AGaramondPro-Regular"/>
          <w:szCs w:val="24"/>
          <w:lang w:val="en-US"/>
        </w:rPr>
        <w:t>, The Libyan Anarchy, Atlanta, 2009.</w:t>
      </w:r>
    </w:p>
    <w:p w14:paraId="450281A1" w14:textId="77777777" w:rsidR="009E68B5" w:rsidRPr="00612E02" w:rsidRDefault="009E68B5" w:rsidP="00612E02">
      <w:pPr>
        <w:rPr>
          <w:rFonts w:cs="AGaramondPro-Regular"/>
          <w:szCs w:val="24"/>
          <w:lang w:val="en-US"/>
        </w:rPr>
      </w:pPr>
    </w:p>
    <w:p w14:paraId="1D7B20CF" w14:textId="5204A74A" w:rsidR="00612E02" w:rsidRPr="00676357" w:rsidRDefault="00612E02" w:rsidP="00612E02">
      <w:pPr>
        <w:tabs>
          <w:tab w:val="left" w:pos="567"/>
          <w:tab w:val="left" w:pos="709"/>
          <w:tab w:val="left" w:pos="851"/>
        </w:tabs>
        <w:rPr>
          <w:szCs w:val="24"/>
          <w:lang w:val="de-DE"/>
        </w:rPr>
      </w:pPr>
      <w:r w:rsidRPr="00676357">
        <w:rPr>
          <w:smallCaps/>
          <w:szCs w:val="24"/>
          <w:lang w:val="de-DE"/>
        </w:rPr>
        <w:t>H. Roeder</w:t>
      </w:r>
      <w:r w:rsidRPr="00676357">
        <w:rPr>
          <w:szCs w:val="24"/>
          <w:lang w:val="de-DE"/>
        </w:rPr>
        <w:t xml:space="preserve">, Erzählen im Alten Ägypten. Vorüberlegungen zu einer Erzähltheorie zwischen Literaturwissenschaft und Altertumswissenschaften, in: </w:t>
      </w:r>
      <w:r w:rsidRPr="00676357">
        <w:rPr>
          <w:smallCaps/>
          <w:szCs w:val="24"/>
          <w:lang w:val="de-DE"/>
        </w:rPr>
        <w:t xml:space="preserve">H. Roeder </w:t>
      </w:r>
      <w:r w:rsidRPr="00676357">
        <w:rPr>
          <w:szCs w:val="24"/>
          <w:lang w:val="de-DE"/>
        </w:rPr>
        <w:t>(ed.), Die Erzählen in frühen Hochkulturen I. Der Fall Ägypten, Munich, 2009, 15-54.</w:t>
      </w:r>
    </w:p>
    <w:p w14:paraId="6F0451AE" w14:textId="77777777" w:rsidR="00236799" w:rsidRPr="00EE3AA9" w:rsidRDefault="00236799" w:rsidP="00502122">
      <w:pPr>
        <w:rPr>
          <w:szCs w:val="24"/>
        </w:rPr>
      </w:pPr>
    </w:p>
    <w:p w14:paraId="3B2011B1" w14:textId="0DD8F185" w:rsidR="00EE3AA9" w:rsidRDefault="00EE3AA9" w:rsidP="00EE3AA9">
      <w:pPr>
        <w:widowControl w:val="0"/>
        <w:autoSpaceDE w:val="0"/>
        <w:autoSpaceDN w:val="0"/>
        <w:adjustRightInd w:val="0"/>
        <w:contextualSpacing w:val="0"/>
        <w:rPr>
          <w:rFonts w:cs="Helvetica Neue"/>
          <w:szCs w:val="24"/>
          <w:lang w:val="en-US"/>
        </w:rPr>
      </w:pPr>
      <w:r w:rsidRPr="00EE3AA9">
        <w:rPr>
          <w:rFonts w:cs="Helvetica Neue"/>
          <w:szCs w:val="24"/>
          <w:lang w:val="en-US"/>
        </w:rPr>
        <w:t xml:space="preserve">A.R. </w:t>
      </w:r>
      <w:r w:rsidRPr="00EE3AA9">
        <w:rPr>
          <w:rFonts w:cs="Helvetica Neue"/>
          <w:smallCaps/>
          <w:szCs w:val="24"/>
          <w:lang w:val="en-US"/>
        </w:rPr>
        <w:t>Schulman</w:t>
      </w:r>
      <w:r w:rsidRPr="00EE3AA9">
        <w:rPr>
          <w:rFonts w:cs="Helvetica Neue"/>
          <w:szCs w:val="24"/>
          <w:lang w:val="en-US"/>
        </w:rPr>
        <w:t xml:space="preserve">, </w:t>
      </w:r>
      <w:r w:rsidRPr="00EE3AA9">
        <w:rPr>
          <w:rFonts w:cs="Helvetica Neue"/>
          <w:iCs/>
          <w:szCs w:val="24"/>
          <w:lang w:val="en-US"/>
        </w:rPr>
        <w:t>Ceremonial Execution and Public Rewards: Some Historical Scenes on New Kingdom Private Stelae</w:t>
      </w:r>
      <w:r w:rsidRPr="00EE3AA9">
        <w:rPr>
          <w:rFonts w:cs="Helvetica Neue"/>
          <w:szCs w:val="24"/>
          <w:lang w:val="en-US"/>
        </w:rPr>
        <w:t>, OBO 75, Freiburg and Göttingen, 1988.</w:t>
      </w:r>
    </w:p>
    <w:p w14:paraId="115CF3DD" w14:textId="77777777" w:rsidR="00676357" w:rsidRDefault="00676357" w:rsidP="00EE3AA9">
      <w:pPr>
        <w:widowControl w:val="0"/>
        <w:autoSpaceDE w:val="0"/>
        <w:autoSpaceDN w:val="0"/>
        <w:adjustRightInd w:val="0"/>
        <w:contextualSpacing w:val="0"/>
        <w:rPr>
          <w:rFonts w:cs="Helvetica Neue"/>
          <w:szCs w:val="24"/>
          <w:lang w:val="en-US"/>
        </w:rPr>
      </w:pPr>
    </w:p>
    <w:p w14:paraId="58C06548" w14:textId="77777777" w:rsidR="00676357" w:rsidRPr="00492834" w:rsidRDefault="00676357" w:rsidP="00676357">
      <w:pPr>
        <w:widowControl w:val="0"/>
        <w:autoSpaceDE w:val="0"/>
        <w:autoSpaceDN w:val="0"/>
        <w:adjustRightInd w:val="0"/>
        <w:contextualSpacing w:val="0"/>
        <w:rPr>
          <w:rFonts w:cs="Helvetica Neue"/>
          <w:szCs w:val="24"/>
          <w:lang w:val="en-US"/>
        </w:rPr>
      </w:pPr>
      <w:r>
        <w:rPr>
          <w:rFonts w:cs="Helvetica Neue"/>
          <w:szCs w:val="24"/>
          <w:lang w:val="en-US"/>
        </w:rPr>
        <w:t xml:space="preserve">R. </w:t>
      </w:r>
      <w:r w:rsidRPr="00676357">
        <w:rPr>
          <w:rFonts w:cs="Helvetica Neue"/>
          <w:smallCaps/>
          <w:szCs w:val="24"/>
          <w:lang w:val="en-US"/>
        </w:rPr>
        <w:t>Schulz</w:t>
      </w:r>
      <w:r>
        <w:rPr>
          <w:rFonts w:cs="Helvetica Neue"/>
          <w:szCs w:val="24"/>
          <w:lang w:val="en-US"/>
        </w:rPr>
        <w:t xml:space="preserve">, Der Sturm auf die Festung. Gedanken zu einigen Aspekten des Kampfbildes im alten Ägypten vor dem Neuen reich, in: </w:t>
      </w:r>
      <w:r w:rsidRPr="00492834">
        <w:rPr>
          <w:rFonts w:cs="Helvetica Neue"/>
          <w:szCs w:val="24"/>
          <w:lang w:val="en-US"/>
        </w:rPr>
        <w:t xml:space="preserve">M. </w:t>
      </w:r>
      <w:r w:rsidRPr="00492834">
        <w:rPr>
          <w:rFonts w:cs="Helvetica Neue"/>
          <w:smallCaps/>
          <w:szCs w:val="24"/>
          <w:lang w:val="en-US"/>
        </w:rPr>
        <w:t xml:space="preserve">Bietak </w:t>
      </w:r>
      <w:r w:rsidRPr="00492834">
        <w:rPr>
          <w:rFonts w:cs="Helvetica Neue"/>
          <w:szCs w:val="24"/>
          <w:lang w:val="en-US"/>
        </w:rPr>
        <w:t xml:space="preserve">and M. </w:t>
      </w:r>
      <w:r w:rsidRPr="00492834">
        <w:rPr>
          <w:rFonts w:cs="Helvetica Neue"/>
          <w:smallCaps/>
          <w:szCs w:val="24"/>
          <w:lang w:val="en-US"/>
        </w:rPr>
        <w:t>Schwarz</w:t>
      </w:r>
      <w:r w:rsidRPr="00492834">
        <w:rPr>
          <w:rFonts w:cs="Helvetica Neue"/>
          <w:szCs w:val="24"/>
          <w:lang w:val="en-US"/>
        </w:rPr>
        <w:t xml:space="preserve"> (eds)</w:t>
      </w:r>
      <w:r>
        <w:rPr>
          <w:rFonts w:cs="Helvetica Neue"/>
          <w:szCs w:val="24"/>
          <w:lang w:val="en-US"/>
        </w:rPr>
        <w:t>,</w:t>
      </w:r>
      <w:r w:rsidRPr="00492834">
        <w:rPr>
          <w:rFonts w:cs="Helvetica Neue"/>
          <w:szCs w:val="24"/>
          <w:lang w:val="en-US"/>
        </w:rPr>
        <w:t xml:space="preserve"> </w:t>
      </w:r>
      <w:r>
        <w:rPr>
          <w:rFonts w:cs="Helvetica Neue"/>
          <w:iCs/>
          <w:szCs w:val="24"/>
          <w:lang w:val="en-US"/>
        </w:rPr>
        <w:t>Krieg und Sieg: N</w:t>
      </w:r>
      <w:r w:rsidRPr="00492834">
        <w:rPr>
          <w:rFonts w:cs="Helvetica Neue"/>
          <w:iCs/>
          <w:szCs w:val="24"/>
          <w:lang w:val="en-US"/>
        </w:rPr>
        <w:t>arrative Wanddarstellungen von A</w:t>
      </w:r>
      <w:r>
        <w:rPr>
          <w:rFonts w:cs="Helvetica Neue"/>
          <w:iCs/>
          <w:szCs w:val="24"/>
          <w:lang w:val="en-US"/>
        </w:rPr>
        <w:t>ltägypten bis ins Mittelalter; I</w:t>
      </w:r>
      <w:r w:rsidRPr="00492834">
        <w:rPr>
          <w:rFonts w:cs="Helvetica Neue"/>
          <w:iCs/>
          <w:szCs w:val="24"/>
          <w:lang w:val="en-US"/>
        </w:rPr>
        <w:t>nternationales Kolloquium, 29.-30. Juli 1997 im Schloß Haindorf, Langenlois</w:t>
      </w:r>
      <w:r w:rsidRPr="00492834">
        <w:rPr>
          <w:rFonts w:cs="Helvetica Neue"/>
          <w:szCs w:val="24"/>
          <w:lang w:val="en-US"/>
        </w:rPr>
        <w:t>, Vienna, 2002</w:t>
      </w:r>
      <w:r>
        <w:rPr>
          <w:rFonts w:cs="Helvetica Neue"/>
          <w:szCs w:val="24"/>
          <w:lang w:val="en-US"/>
        </w:rPr>
        <w:t>, 19-41.</w:t>
      </w:r>
    </w:p>
    <w:p w14:paraId="00D9928E" w14:textId="77777777" w:rsidR="00F97D48" w:rsidRDefault="00F97D48" w:rsidP="00F97D48">
      <w:pPr>
        <w:ind w:left="720" w:hanging="720"/>
        <w:rPr>
          <w:color w:val="FF0000"/>
        </w:rPr>
      </w:pPr>
    </w:p>
    <w:p w14:paraId="7B376E3B" w14:textId="35D80BA8" w:rsidR="0059458F" w:rsidRPr="00F97D48" w:rsidRDefault="00F97D48" w:rsidP="00676357">
      <w:pPr>
        <w:rPr>
          <w:szCs w:val="24"/>
        </w:rPr>
      </w:pPr>
      <w:r w:rsidRPr="00F97D48">
        <w:t>J.C. S</w:t>
      </w:r>
      <w:r w:rsidRPr="00F97D48">
        <w:rPr>
          <w:smallCaps/>
          <w:szCs w:val="24"/>
        </w:rPr>
        <w:t>cott</w:t>
      </w:r>
      <w:r w:rsidRPr="00F97D48">
        <w:t xml:space="preserve"> 2009, The Art of </w:t>
      </w:r>
      <w:r w:rsidRPr="00F97D48">
        <w:rPr>
          <w:szCs w:val="24"/>
        </w:rPr>
        <w:t>Not Being Governed: an Anarchist History of Upland Southeast Asia, New Haven and London.</w:t>
      </w:r>
    </w:p>
    <w:p w14:paraId="3E28B4DC" w14:textId="77777777" w:rsidR="00F97D48" w:rsidRPr="00B75F5B" w:rsidRDefault="00F97D48" w:rsidP="00502122">
      <w:pPr>
        <w:rPr>
          <w:smallCaps/>
          <w:color w:val="FF0000"/>
          <w:szCs w:val="24"/>
        </w:rPr>
      </w:pPr>
    </w:p>
    <w:p w14:paraId="13BE6D4F" w14:textId="2972F644" w:rsidR="00F626A4" w:rsidRPr="00A716B5" w:rsidRDefault="00A716B5" w:rsidP="00F626A4">
      <w:pPr>
        <w:rPr>
          <w:szCs w:val="24"/>
          <w:lang w:val="en-US"/>
        </w:rPr>
      </w:pPr>
      <w:r w:rsidRPr="00A716B5">
        <w:rPr>
          <w:rFonts w:cs="Helvetica Neue"/>
          <w:szCs w:val="24"/>
          <w:lang w:val="en-US"/>
        </w:rPr>
        <w:t xml:space="preserve">G.J. </w:t>
      </w:r>
      <w:r w:rsidRPr="00A716B5">
        <w:rPr>
          <w:rFonts w:cs="Helvetica Neue"/>
          <w:smallCaps/>
          <w:szCs w:val="24"/>
          <w:lang w:val="en-US"/>
        </w:rPr>
        <w:t>Shaw</w:t>
      </w:r>
      <w:r w:rsidRPr="00A716B5">
        <w:rPr>
          <w:rFonts w:cs="Helvetica Neue"/>
          <w:szCs w:val="24"/>
          <w:lang w:val="en-US"/>
        </w:rPr>
        <w:t>, The Death of King Seqenenre Tao, in: JARCE 45, 2009, 159-176.</w:t>
      </w:r>
    </w:p>
    <w:p w14:paraId="0488C5C8" w14:textId="77777777" w:rsidR="00A716B5" w:rsidRPr="00BF34CE" w:rsidRDefault="00A716B5" w:rsidP="00F626A4">
      <w:pPr>
        <w:rPr>
          <w:szCs w:val="24"/>
          <w:lang w:val="en-US"/>
        </w:rPr>
      </w:pPr>
    </w:p>
    <w:p w14:paraId="0B743529" w14:textId="658C4E46" w:rsidR="00F626A4" w:rsidRPr="007B455D" w:rsidRDefault="00F626A4" w:rsidP="00F626A4">
      <w:pPr>
        <w:rPr>
          <w:rFonts w:cs="AGaramondPro-Regular"/>
          <w:szCs w:val="24"/>
          <w:lang w:val="en-US"/>
        </w:rPr>
      </w:pPr>
      <w:r w:rsidRPr="007B455D">
        <w:rPr>
          <w:rFonts w:cs="AGaramondPro-Regular"/>
          <w:smallCaps/>
          <w:szCs w:val="24"/>
          <w:lang w:val="en-US"/>
        </w:rPr>
        <w:t>C. Simon</w:t>
      </w:r>
      <w:r w:rsidRPr="007B455D">
        <w:rPr>
          <w:rFonts w:cs="AGaramondPro-Regular"/>
          <w:szCs w:val="24"/>
          <w:lang w:val="en-US"/>
        </w:rPr>
        <w:t xml:space="preserve">, Les campagnes militaires de Ramsès III à Médinet Habu, in C. </w:t>
      </w:r>
      <w:r w:rsidRPr="007B455D">
        <w:rPr>
          <w:rFonts w:cs="AGaramondPro-Regular"/>
          <w:smallCaps/>
          <w:szCs w:val="24"/>
          <w:lang w:val="en-US"/>
        </w:rPr>
        <w:t>Karlshausen</w:t>
      </w:r>
      <w:r w:rsidRPr="007B455D">
        <w:rPr>
          <w:rFonts w:cs="AGaramondPro-Regular"/>
          <w:szCs w:val="24"/>
          <w:lang w:val="en-US"/>
        </w:rPr>
        <w:t xml:space="preserve"> and C. </w:t>
      </w:r>
      <w:r w:rsidRPr="007B455D">
        <w:rPr>
          <w:rFonts w:cs="AGaramondPro-Regular"/>
          <w:smallCaps/>
          <w:szCs w:val="24"/>
          <w:lang w:val="en-US"/>
        </w:rPr>
        <w:t xml:space="preserve">Obsomer </w:t>
      </w:r>
      <w:r w:rsidRPr="007B455D">
        <w:rPr>
          <w:rFonts w:cs="AGaramondPro-Regular"/>
          <w:szCs w:val="24"/>
          <w:lang w:val="en-US"/>
        </w:rPr>
        <w:t>(eds), De la Nubie à Qadech: La guerre dans l’Égypte ancienne, Brussels, 2016, 171-194.</w:t>
      </w:r>
    </w:p>
    <w:p w14:paraId="042827FC" w14:textId="77777777" w:rsidR="00F626A4" w:rsidRDefault="00F626A4" w:rsidP="00F626A4">
      <w:pPr>
        <w:rPr>
          <w:rFonts w:cs="AGaramondPro-Regular"/>
          <w:szCs w:val="24"/>
          <w:lang w:val="en-US"/>
        </w:rPr>
      </w:pPr>
    </w:p>
    <w:p w14:paraId="1392A9F8" w14:textId="77777777" w:rsidR="007B5385" w:rsidRPr="002F41EE" w:rsidRDefault="007B5385" w:rsidP="00F626A4">
      <w:r w:rsidRPr="007B5385">
        <w:rPr>
          <w:smallCaps/>
          <w:szCs w:val="24"/>
        </w:rPr>
        <w:t>R.</w:t>
      </w:r>
      <w:r>
        <w:rPr>
          <w:smallCaps/>
          <w:szCs w:val="24"/>
        </w:rPr>
        <w:t xml:space="preserve"> </w:t>
      </w:r>
      <w:r w:rsidRPr="007B5385">
        <w:rPr>
          <w:smallCaps/>
          <w:szCs w:val="24"/>
        </w:rPr>
        <w:t xml:space="preserve">S. </w:t>
      </w:r>
      <w:r w:rsidRPr="002F41EE">
        <w:rPr>
          <w:smallCaps/>
          <w:szCs w:val="24"/>
        </w:rPr>
        <w:t>Simpson</w:t>
      </w:r>
      <w:r w:rsidRPr="002F41EE">
        <w:t>, Demotic Grammar in the Ptolemaic Sacerdotal Decrees, Oxford, 1996.</w:t>
      </w:r>
    </w:p>
    <w:p w14:paraId="7C8F4424" w14:textId="77777777" w:rsidR="007B5385" w:rsidRPr="002F41EE" w:rsidRDefault="007B5385" w:rsidP="00502122"/>
    <w:p w14:paraId="5EB929A4" w14:textId="1BB3FD44" w:rsidR="00F32B9C" w:rsidRPr="00EE3AA9" w:rsidRDefault="00F665A6" w:rsidP="00EE3AA9">
      <w:r w:rsidRPr="00236799">
        <w:rPr>
          <w:smallCaps/>
          <w:lang w:val="en-US"/>
        </w:rPr>
        <w:t>H. S. Smith</w:t>
      </w:r>
      <w:r w:rsidRPr="00236799">
        <w:rPr>
          <w:lang w:val="en-US"/>
        </w:rPr>
        <w:t>, The Fortress of Buhen. The Inscriptions, London, 1976.</w:t>
      </w:r>
    </w:p>
    <w:p w14:paraId="772A4B48" w14:textId="77777777" w:rsidR="00C02DF7" w:rsidRDefault="00C02DF7" w:rsidP="00502122"/>
    <w:p w14:paraId="28860FEE" w14:textId="217D9316" w:rsidR="006F17DC" w:rsidRDefault="006F17DC" w:rsidP="00502122">
      <w:r>
        <w:t xml:space="preserve">B. </w:t>
      </w:r>
      <w:r w:rsidRPr="000E4B78">
        <w:rPr>
          <w:smallCaps/>
          <w:szCs w:val="24"/>
        </w:rPr>
        <w:t>Vachala</w:t>
      </w:r>
      <w:r>
        <w:t>,</w:t>
      </w:r>
      <w:r w:rsidR="000E4B78">
        <w:t xml:space="preserve"> Zur Frage der Kriegsgefangenen in Ägypten. Überlegungen anhand der schriftlichen Quellen des Alten Reiches,</w:t>
      </w:r>
      <w:r>
        <w:t xml:space="preserve"> in</w:t>
      </w:r>
      <w:r w:rsidR="000E4B78">
        <w:t>:</w:t>
      </w:r>
      <w:r>
        <w:t xml:space="preserve"> E. Endesfelder (ed.), Probleme der frühen Gesellschaftsentwicklung im Alten </w:t>
      </w:r>
      <w:r w:rsidR="000E4B78">
        <w:t>Ägypten, Berlin, 1991, 93-101.</w:t>
      </w:r>
    </w:p>
    <w:p w14:paraId="0BE336F7" w14:textId="77777777" w:rsidR="002B76C1" w:rsidRDefault="002B76C1" w:rsidP="00502122"/>
    <w:p w14:paraId="6333D28A" w14:textId="24634035" w:rsidR="00AA734A" w:rsidRPr="00AA734A" w:rsidRDefault="00AA734A" w:rsidP="00502122">
      <w:r w:rsidRPr="00AA734A">
        <w:t xml:space="preserve">P. </w:t>
      </w:r>
      <w:r w:rsidRPr="00AA734A">
        <w:rPr>
          <w:smallCaps/>
          <w:szCs w:val="24"/>
        </w:rPr>
        <w:t>Vernus</w:t>
      </w:r>
      <w:r w:rsidRPr="00AA734A">
        <w:t>, Autobiographie et scenes dites «de la vie quotidiene», in</w:t>
      </w:r>
      <w:r>
        <w:t>:</w:t>
      </w:r>
      <w:r w:rsidRPr="00AA734A">
        <w:t xml:space="preserve"> R. Legros (ed.), 50 ans d’éternité: Jubilé de la Mission archéologique de Saqqâra, BdE 162, Cairo, 2015, 309-321.</w:t>
      </w:r>
    </w:p>
    <w:p w14:paraId="5620F377" w14:textId="77777777" w:rsidR="00AA734A" w:rsidRDefault="00AA734A" w:rsidP="00502122"/>
    <w:p w14:paraId="6575083C" w14:textId="0C0788E1" w:rsidR="00F32B9C" w:rsidRDefault="00F32B9C" w:rsidP="00F32B9C">
      <w:pPr>
        <w:widowControl w:val="0"/>
        <w:autoSpaceDE w:val="0"/>
        <w:autoSpaceDN w:val="0"/>
        <w:adjustRightInd w:val="0"/>
        <w:rPr>
          <w:rFonts w:cs="AGaramondPro-Regular"/>
          <w:szCs w:val="24"/>
          <w:lang w:val="en-US"/>
        </w:rPr>
      </w:pPr>
      <w:r w:rsidRPr="00F32B9C">
        <w:rPr>
          <w:rFonts w:cs="AGaramondPro-Regular"/>
          <w:szCs w:val="24"/>
          <w:lang w:val="en-US"/>
        </w:rPr>
        <w:t xml:space="preserve">A. </w:t>
      </w:r>
      <w:r w:rsidRPr="00F32B9C">
        <w:rPr>
          <w:rFonts w:cs="AGaramondPro-Regular"/>
          <w:smallCaps/>
          <w:szCs w:val="24"/>
          <w:lang w:val="en-US"/>
        </w:rPr>
        <w:t>Vila</w:t>
      </w:r>
      <w:r w:rsidRPr="00F32B9C">
        <w:rPr>
          <w:rFonts w:cs="AGaramondPro-Regular"/>
          <w:szCs w:val="24"/>
          <w:lang w:val="en-US"/>
        </w:rPr>
        <w:t xml:space="preserve">, Un dépôt de textes d’envoûtement au Moyen Empire, in:  </w:t>
      </w:r>
      <w:r w:rsidRPr="00F32B9C">
        <w:rPr>
          <w:rFonts w:cs="AGaramondPro-Regular"/>
          <w:i/>
          <w:iCs/>
          <w:szCs w:val="24"/>
          <w:lang w:val="en-US"/>
        </w:rPr>
        <w:t>Journal</w:t>
      </w:r>
      <w:r w:rsidR="006B73F5">
        <w:rPr>
          <w:rFonts w:cs="AGaramondPro-Regular"/>
          <w:i/>
          <w:iCs/>
          <w:szCs w:val="24"/>
          <w:lang w:val="en-US"/>
        </w:rPr>
        <w:t xml:space="preserve"> </w:t>
      </w:r>
      <w:r w:rsidRPr="00F32B9C">
        <w:rPr>
          <w:rFonts w:cs="AGaramondPro-Regular"/>
          <w:i/>
          <w:iCs/>
          <w:szCs w:val="24"/>
          <w:lang w:val="en-US"/>
        </w:rPr>
        <w:t xml:space="preserve">des Savants </w:t>
      </w:r>
      <w:r w:rsidRPr="00F32B9C">
        <w:rPr>
          <w:rFonts w:cs="AGaramondPro-Regular"/>
          <w:szCs w:val="24"/>
          <w:lang w:val="en-US"/>
        </w:rPr>
        <w:t>41, 1963, 135-60</w:t>
      </w:r>
      <w:r>
        <w:rPr>
          <w:rFonts w:cs="AGaramondPro-Regular"/>
          <w:szCs w:val="24"/>
          <w:lang w:val="en-US"/>
        </w:rPr>
        <w:t>.</w:t>
      </w:r>
      <w:r w:rsidRPr="00F32B9C">
        <w:rPr>
          <w:rFonts w:cs="AGaramondPro-Regular"/>
          <w:szCs w:val="24"/>
          <w:lang w:val="en-US"/>
        </w:rPr>
        <w:t xml:space="preserve"> </w:t>
      </w:r>
    </w:p>
    <w:p w14:paraId="0B2C03DB" w14:textId="77777777" w:rsidR="007B455D" w:rsidRPr="00F32B9C" w:rsidRDefault="007B455D" w:rsidP="00F32B9C">
      <w:pPr>
        <w:widowControl w:val="0"/>
        <w:autoSpaceDE w:val="0"/>
        <w:autoSpaceDN w:val="0"/>
        <w:adjustRightInd w:val="0"/>
        <w:rPr>
          <w:rFonts w:cs="AGaramondPro-Regular"/>
          <w:i/>
          <w:iCs/>
          <w:szCs w:val="24"/>
          <w:lang w:val="en-US"/>
        </w:rPr>
      </w:pPr>
    </w:p>
    <w:p w14:paraId="50C4CBA9" w14:textId="1AF88625" w:rsidR="00F32B9C" w:rsidRPr="00F32B9C" w:rsidRDefault="007B455D" w:rsidP="00F32B9C">
      <w:pPr>
        <w:widowControl w:val="0"/>
        <w:autoSpaceDE w:val="0"/>
        <w:autoSpaceDN w:val="0"/>
        <w:adjustRightInd w:val="0"/>
        <w:rPr>
          <w:rFonts w:cs="AGaramondPro-Regular"/>
          <w:i/>
          <w:iCs/>
          <w:szCs w:val="24"/>
          <w:lang w:val="en-US"/>
        </w:rPr>
      </w:pPr>
      <w:r>
        <w:rPr>
          <w:rFonts w:cs="AGaramondPro-Regular"/>
          <w:szCs w:val="24"/>
          <w:lang w:val="en-US"/>
        </w:rPr>
        <w:t xml:space="preserve">A. </w:t>
      </w:r>
      <w:r w:rsidR="00F32B9C" w:rsidRPr="00F32B9C">
        <w:rPr>
          <w:rFonts w:cs="AGaramondPro-Regular"/>
          <w:smallCaps/>
          <w:szCs w:val="24"/>
          <w:lang w:val="en-US"/>
        </w:rPr>
        <w:t>Vila</w:t>
      </w:r>
      <w:r w:rsidR="00F32B9C" w:rsidRPr="00F32B9C">
        <w:rPr>
          <w:rFonts w:cs="AGaramondPro-Regular"/>
          <w:szCs w:val="24"/>
          <w:lang w:val="en-US"/>
        </w:rPr>
        <w:t>, Un rituel d’envoûtement au Moyen Empir</w:t>
      </w:r>
      <w:r>
        <w:rPr>
          <w:rFonts w:cs="AGaramondPro-Regular"/>
          <w:szCs w:val="24"/>
          <w:lang w:val="en-US"/>
        </w:rPr>
        <w:t>e Égyptien, in M. Sauter (ed.),</w:t>
      </w:r>
      <w:r w:rsidR="00F32B9C" w:rsidRPr="00F32B9C">
        <w:rPr>
          <w:rFonts w:cs="AGaramondPro-Regular"/>
          <w:szCs w:val="24"/>
          <w:lang w:val="en-US"/>
        </w:rPr>
        <w:t xml:space="preserve"> </w:t>
      </w:r>
      <w:r w:rsidR="00F32B9C" w:rsidRPr="00F32B9C">
        <w:rPr>
          <w:rFonts w:cs="AGaramondPro-Regular"/>
          <w:i/>
          <w:iCs/>
          <w:szCs w:val="24"/>
          <w:lang w:val="en-US"/>
        </w:rPr>
        <w:t>L’Homme, hier</w:t>
      </w:r>
      <w:r w:rsidR="00F32B9C">
        <w:rPr>
          <w:rFonts w:cs="AGaramondPro-Regular"/>
          <w:i/>
          <w:iCs/>
          <w:szCs w:val="24"/>
          <w:lang w:val="en-US"/>
        </w:rPr>
        <w:t xml:space="preserve"> </w:t>
      </w:r>
      <w:r w:rsidR="00F32B9C" w:rsidRPr="00F32B9C">
        <w:rPr>
          <w:rFonts w:cs="AGaramondPro-Regular"/>
          <w:i/>
          <w:iCs/>
          <w:szCs w:val="24"/>
          <w:lang w:val="en-US"/>
        </w:rPr>
        <w:t>et aujourd’hui: Recueil d’Études en hommage à André Leroi-Gourhan</w:t>
      </w:r>
      <w:r w:rsidR="00F32B9C" w:rsidRPr="00F32B9C">
        <w:rPr>
          <w:rFonts w:cs="AGaramondPro-Regular"/>
          <w:szCs w:val="24"/>
          <w:lang w:val="en-US"/>
        </w:rPr>
        <w:t>, Paris, 1973</w:t>
      </w:r>
      <w:r>
        <w:rPr>
          <w:rFonts w:cs="AGaramondPro-Regular"/>
          <w:szCs w:val="24"/>
          <w:lang w:val="en-US"/>
        </w:rPr>
        <w:t xml:space="preserve">, 625-639. </w:t>
      </w:r>
    </w:p>
    <w:p w14:paraId="5E330FE2" w14:textId="77777777" w:rsidR="00F32B9C" w:rsidRDefault="00F32B9C" w:rsidP="00502122"/>
    <w:p w14:paraId="57708CF6" w14:textId="7016B72C" w:rsidR="00FF7020" w:rsidRPr="00A248B0" w:rsidRDefault="00A248B0" w:rsidP="00502122">
      <w:pPr>
        <w:rPr>
          <w:szCs w:val="24"/>
        </w:rPr>
      </w:pPr>
      <w:r w:rsidRPr="00A248B0">
        <w:rPr>
          <w:rFonts w:cs="Helvetica Neue"/>
          <w:szCs w:val="24"/>
          <w:lang w:val="en-US"/>
        </w:rPr>
        <w:t xml:space="preserve">C. </w:t>
      </w:r>
      <w:r w:rsidR="00FF7020" w:rsidRPr="00A248B0">
        <w:rPr>
          <w:rFonts w:cs="Helvetica Neue"/>
          <w:smallCaps/>
          <w:szCs w:val="24"/>
          <w:lang w:val="en-US"/>
        </w:rPr>
        <w:t>Vogel</w:t>
      </w:r>
      <w:r w:rsidR="00FF7020" w:rsidRPr="00A248B0">
        <w:rPr>
          <w:rFonts w:cs="Helvetica Neue"/>
          <w:szCs w:val="24"/>
          <w:lang w:val="en-US"/>
        </w:rPr>
        <w:t>, Fallen heroes? Winlock's 'slain soldiers' reconsidered</w:t>
      </w:r>
      <w:r w:rsidRPr="00A248B0">
        <w:rPr>
          <w:rFonts w:cs="Helvetica Neue"/>
          <w:szCs w:val="24"/>
          <w:lang w:val="en-US"/>
        </w:rPr>
        <w:t xml:space="preserve">, in JEA </w:t>
      </w:r>
      <w:r w:rsidR="00FF7020" w:rsidRPr="00A248B0">
        <w:rPr>
          <w:rFonts w:cs="Helvetica Neue"/>
          <w:szCs w:val="24"/>
          <w:lang w:val="en-US"/>
        </w:rPr>
        <w:t>89,</w:t>
      </w:r>
      <w:r w:rsidRPr="00A248B0">
        <w:rPr>
          <w:rFonts w:cs="Helvetica Neue"/>
          <w:szCs w:val="24"/>
          <w:lang w:val="en-US"/>
        </w:rPr>
        <w:t xml:space="preserve"> 20</w:t>
      </w:r>
      <w:r w:rsidR="005317D6">
        <w:rPr>
          <w:rFonts w:cs="Helvetica Neue"/>
          <w:szCs w:val="24"/>
          <w:lang w:val="en-US"/>
        </w:rPr>
        <w:t>0</w:t>
      </w:r>
      <w:r w:rsidRPr="00A248B0">
        <w:rPr>
          <w:rFonts w:cs="Helvetica Neue"/>
          <w:szCs w:val="24"/>
          <w:lang w:val="en-US"/>
        </w:rPr>
        <w:t>3,</w:t>
      </w:r>
      <w:r w:rsidR="00FF7020" w:rsidRPr="00A248B0">
        <w:rPr>
          <w:rFonts w:cs="Helvetica Neue"/>
          <w:szCs w:val="24"/>
          <w:lang w:val="en-US"/>
        </w:rPr>
        <w:t xml:space="preserve"> 239-245.</w:t>
      </w:r>
    </w:p>
    <w:p w14:paraId="67F54A09" w14:textId="77777777" w:rsidR="00F32B9C" w:rsidRDefault="00F32B9C" w:rsidP="00502122"/>
    <w:p w14:paraId="2C970C95" w14:textId="1E66E59C" w:rsidR="00222947" w:rsidRPr="00222947" w:rsidRDefault="00222947" w:rsidP="00502122">
      <w:pPr>
        <w:rPr>
          <w:smallCaps/>
          <w:color w:val="FF0000"/>
          <w:szCs w:val="24"/>
        </w:rPr>
      </w:pPr>
      <w:r>
        <w:t xml:space="preserve">Y. </w:t>
      </w:r>
      <w:r w:rsidRPr="00222947">
        <w:rPr>
          <w:smallCaps/>
          <w:szCs w:val="24"/>
        </w:rPr>
        <w:t>Volokhine</w:t>
      </w:r>
      <w:r>
        <w:t xml:space="preserve">, Observations sur l’anthropoctonie. Le débat sur les «sacrifice humains» en Égypte ancienne, in À. A. </w:t>
      </w:r>
      <w:r w:rsidRPr="00222947">
        <w:rPr>
          <w:smallCaps/>
          <w:szCs w:val="24"/>
        </w:rPr>
        <w:t>Nagy</w:t>
      </w:r>
      <w:r>
        <w:t xml:space="preserve"> and F. </w:t>
      </w:r>
      <w:r w:rsidRPr="00222947">
        <w:rPr>
          <w:smallCaps/>
          <w:szCs w:val="24"/>
        </w:rPr>
        <w:t>Prescendi</w:t>
      </w:r>
      <w:r>
        <w:t xml:space="preserve"> (eds), </w:t>
      </w:r>
      <w:r w:rsidRPr="00222947">
        <w:t>Sacrifices humains: Dossier, discours, comparaisons,</w:t>
      </w:r>
      <w:r w:rsidR="0050327D">
        <w:t xml:space="preserve"> Tur</w:t>
      </w:r>
      <w:r w:rsidR="0050327D" w:rsidRPr="0050327D">
        <w:t>nhout,</w:t>
      </w:r>
      <w:r w:rsidRPr="0050327D">
        <w:t xml:space="preserve"> </w:t>
      </w:r>
      <w:r w:rsidR="0050327D" w:rsidRPr="0050327D">
        <w:t>2013, 39-64.</w:t>
      </w:r>
    </w:p>
    <w:p w14:paraId="39CA7AAF" w14:textId="77777777" w:rsidR="00222947" w:rsidRDefault="00222947" w:rsidP="00502122">
      <w:pPr>
        <w:rPr>
          <w:smallCaps/>
          <w:szCs w:val="24"/>
        </w:rPr>
      </w:pPr>
    </w:p>
    <w:p w14:paraId="34CEB68C" w14:textId="0E252761" w:rsidR="006B73F5" w:rsidRPr="006B73F5" w:rsidRDefault="006B73F5" w:rsidP="00502122">
      <w:pPr>
        <w:rPr>
          <w:rFonts w:cs="Helvetica Neue"/>
          <w:szCs w:val="24"/>
          <w:lang w:val="en-US"/>
        </w:rPr>
      </w:pPr>
      <w:r>
        <w:rPr>
          <w:rFonts w:cs="Helvetica Neue"/>
          <w:szCs w:val="24"/>
          <w:lang w:val="en-US"/>
        </w:rPr>
        <w:t xml:space="preserve">H. </w:t>
      </w:r>
      <w:r w:rsidRPr="006B73F5">
        <w:rPr>
          <w:rFonts w:cs="Helvetica Neue"/>
          <w:smallCaps/>
          <w:szCs w:val="24"/>
          <w:lang w:val="en-US"/>
        </w:rPr>
        <w:t>Willems</w:t>
      </w:r>
      <w:r w:rsidRPr="006B73F5">
        <w:rPr>
          <w:rFonts w:cs="Helvetica Neue"/>
          <w:szCs w:val="24"/>
          <w:lang w:val="en-US"/>
        </w:rPr>
        <w:t>, Crime, cult and capital pun</w:t>
      </w:r>
      <w:r>
        <w:rPr>
          <w:rFonts w:cs="Helvetica Neue"/>
          <w:szCs w:val="24"/>
          <w:lang w:val="en-US"/>
        </w:rPr>
        <w:t xml:space="preserve">ishment (Mo'alla Inscription 8), in: </w:t>
      </w:r>
      <w:r w:rsidRPr="00A61741">
        <w:rPr>
          <w:rFonts w:cs="Helvetica Neue"/>
          <w:szCs w:val="24"/>
          <w:lang w:val="en-US"/>
        </w:rPr>
        <w:t xml:space="preserve">JEA </w:t>
      </w:r>
      <w:r w:rsidRPr="006B73F5">
        <w:rPr>
          <w:rFonts w:cs="Helvetica Neue"/>
          <w:szCs w:val="24"/>
          <w:lang w:val="en-US"/>
        </w:rPr>
        <w:t xml:space="preserve">76, </w:t>
      </w:r>
      <w:r w:rsidR="001F6008">
        <w:rPr>
          <w:rFonts w:cs="Helvetica Neue"/>
          <w:szCs w:val="24"/>
          <w:lang w:val="en-US"/>
        </w:rPr>
        <w:t xml:space="preserve">1990, </w:t>
      </w:r>
      <w:r w:rsidRPr="006B73F5">
        <w:rPr>
          <w:rFonts w:cs="Helvetica Neue"/>
          <w:szCs w:val="24"/>
          <w:lang w:val="en-US"/>
        </w:rPr>
        <w:t>27-54.</w:t>
      </w:r>
    </w:p>
    <w:p w14:paraId="57723BC3" w14:textId="77777777" w:rsidR="006B73F5" w:rsidRDefault="006B73F5" w:rsidP="00502122">
      <w:pPr>
        <w:rPr>
          <w:rFonts w:ascii="Helvetica Neue" w:hAnsi="Helvetica Neue" w:cs="Helvetica Neue"/>
          <w:sz w:val="27"/>
          <w:szCs w:val="27"/>
          <w:lang w:val="en-US"/>
        </w:rPr>
      </w:pPr>
    </w:p>
    <w:p w14:paraId="25A296E6" w14:textId="252A58DA" w:rsidR="00971106" w:rsidRPr="00AD561A" w:rsidRDefault="00971106" w:rsidP="00502122">
      <w:r w:rsidRPr="00AD561A">
        <w:rPr>
          <w:smallCaps/>
          <w:szCs w:val="24"/>
        </w:rPr>
        <w:t>H. Willems</w:t>
      </w:r>
      <w:r w:rsidRPr="00AD561A">
        <w:t xml:space="preserve">, Philological remarks on the autobiography of Merefnebef, </w:t>
      </w:r>
      <w:r w:rsidR="00A61741" w:rsidRPr="00AD561A">
        <w:t xml:space="preserve">in: </w:t>
      </w:r>
      <w:r w:rsidRPr="00AD561A">
        <w:t>Ling Aeg 16, 2008,</w:t>
      </w:r>
      <w:r w:rsidR="00AD561A" w:rsidRPr="00AD561A">
        <w:t xml:space="preserve"> 293-302.</w:t>
      </w:r>
    </w:p>
    <w:p w14:paraId="6983C414" w14:textId="77777777" w:rsidR="00971106" w:rsidRDefault="00971106" w:rsidP="00502122"/>
    <w:p w14:paraId="7F061AE3" w14:textId="77777777" w:rsidR="00EA186F" w:rsidRDefault="00EA186F" w:rsidP="00502122">
      <w:r w:rsidRPr="00EA186F">
        <w:rPr>
          <w:smallCaps/>
          <w:szCs w:val="24"/>
        </w:rPr>
        <w:t>Ahmad abd-el-Hamid Youssef</w:t>
      </w:r>
      <w:r>
        <w:t>, Merenptah’s fourth year text at Amada, in: ASAE 58, 1964, 273-281 + plate</w:t>
      </w:r>
    </w:p>
    <w:p w14:paraId="2C4A18B3" w14:textId="77777777" w:rsidR="002B76C1" w:rsidRDefault="002B76C1" w:rsidP="00502122"/>
    <w:p w14:paraId="1F46E2E5" w14:textId="3AABEB9B" w:rsidR="00FF7020" w:rsidRDefault="00A248B0" w:rsidP="00502122">
      <w:pPr>
        <w:rPr>
          <w:rFonts w:cs="Helvetica Neue"/>
          <w:szCs w:val="24"/>
          <w:lang w:val="en-US"/>
        </w:rPr>
      </w:pPr>
      <w:r w:rsidRPr="00A248B0">
        <w:rPr>
          <w:rFonts w:cs="Helvetica Neue"/>
          <w:szCs w:val="24"/>
          <w:lang w:val="en-US"/>
        </w:rPr>
        <w:t xml:space="preserve">H.E. </w:t>
      </w:r>
      <w:r w:rsidR="00FF7020" w:rsidRPr="0078637B">
        <w:rPr>
          <w:rFonts w:cs="Helvetica Neue"/>
          <w:smallCaps/>
          <w:szCs w:val="24"/>
          <w:lang w:val="en-US"/>
        </w:rPr>
        <w:t>Winlock</w:t>
      </w:r>
      <w:r w:rsidR="00FF7020" w:rsidRPr="00A248B0">
        <w:rPr>
          <w:rFonts w:cs="Helvetica Neue"/>
          <w:szCs w:val="24"/>
          <w:lang w:val="en-US"/>
        </w:rPr>
        <w:t xml:space="preserve">, </w:t>
      </w:r>
      <w:r w:rsidRPr="00A248B0">
        <w:rPr>
          <w:rFonts w:cs="Helvetica Neue"/>
          <w:szCs w:val="24"/>
          <w:lang w:val="en-US"/>
        </w:rPr>
        <w:t>The Slain S</w:t>
      </w:r>
      <w:r w:rsidR="00FF7020" w:rsidRPr="00A248B0">
        <w:rPr>
          <w:rFonts w:cs="Helvetica Neue"/>
          <w:szCs w:val="24"/>
          <w:lang w:val="en-US"/>
        </w:rPr>
        <w:t>oldiers of Neb-</w:t>
      </w:r>
      <w:r w:rsidR="0078637B">
        <w:rPr>
          <w:rFonts w:cs="Helvetica Neue"/>
          <w:szCs w:val="24"/>
          <w:lang w:val="en-US"/>
        </w:rPr>
        <w:t>H</w:t>
      </w:r>
      <w:r w:rsidR="00FF7020" w:rsidRPr="00A248B0">
        <w:rPr>
          <w:rFonts w:cs="Helvetica Neue"/>
          <w:szCs w:val="24"/>
          <w:lang w:val="en-US"/>
        </w:rPr>
        <w:t>epet-R</w:t>
      </w:r>
      <w:r w:rsidR="0078637B">
        <w:rPr>
          <w:rFonts w:cs="Helvetica Neue"/>
          <w:szCs w:val="24"/>
          <w:lang w:val="en-US"/>
        </w:rPr>
        <w:t>ē</w:t>
      </w:r>
      <w:r w:rsidR="0078637B">
        <w:rPr>
          <w:rFonts w:ascii="Trlit_CG Times" w:hAnsi="Trlit_CG Times" w:cs="Helvetica Neue"/>
          <w:szCs w:val="24"/>
          <w:lang w:val="en-US"/>
        </w:rPr>
        <w:t>a</w:t>
      </w:r>
      <w:r w:rsidRPr="00A248B0">
        <w:rPr>
          <w:rFonts w:cs="Helvetica Neue"/>
          <w:szCs w:val="24"/>
          <w:lang w:val="en-US"/>
        </w:rPr>
        <w:t>-</w:t>
      </w:r>
      <w:r w:rsidR="00FF7020" w:rsidRPr="00A248B0">
        <w:rPr>
          <w:rFonts w:cs="Helvetica Neue"/>
          <w:szCs w:val="24"/>
          <w:lang w:val="en-US"/>
        </w:rPr>
        <w:t>Mentu-</w:t>
      </w:r>
      <w:r w:rsidR="0078637B">
        <w:rPr>
          <w:rFonts w:cs="Helvetica Neue"/>
          <w:szCs w:val="24"/>
          <w:lang w:val="en-US"/>
        </w:rPr>
        <w:t>H</w:t>
      </w:r>
      <w:r w:rsidRPr="00A248B0">
        <w:rPr>
          <w:rFonts w:cs="Helvetica Neue"/>
          <w:szCs w:val="24"/>
          <w:lang w:val="en-US"/>
        </w:rPr>
        <w:t>otpe,</w:t>
      </w:r>
      <w:r w:rsidR="00FF7020" w:rsidRPr="00A248B0">
        <w:rPr>
          <w:rFonts w:cs="Helvetica Neue"/>
          <w:szCs w:val="24"/>
          <w:lang w:val="en-US"/>
        </w:rPr>
        <w:t xml:space="preserve"> </w:t>
      </w:r>
      <w:r w:rsidRPr="00A248B0">
        <w:rPr>
          <w:rFonts w:cs="Helvetica Neue"/>
          <w:szCs w:val="24"/>
          <w:lang w:val="en-US"/>
        </w:rPr>
        <w:t>PMMA 16, New York, 1945.</w:t>
      </w:r>
    </w:p>
    <w:p w14:paraId="707A5F24" w14:textId="77777777" w:rsidR="0078637B" w:rsidRPr="00A248B0" w:rsidRDefault="0078637B" w:rsidP="00502122">
      <w:pPr>
        <w:rPr>
          <w:szCs w:val="24"/>
        </w:rPr>
      </w:pPr>
    </w:p>
    <w:p w14:paraId="31A24626" w14:textId="4AC3B5D7" w:rsidR="002B76C1" w:rsidRDefault="00382D20" w:rsidP="00502122">
      <w:pPr>
        <w:rPr>
          <w:smallCaps/>
          <w:szCs w:val="24"/>
        </w:rPr>
      </w:pPr>
      <w:r w:rsidRPr="007B455D">
        <w:rPr>
          <w:smallCaps/>
          <w:szCs w:val="24"/>
        </w:rPr>
        <w:t xml:space="preserve">J. </w:t>
      </w:r>
      <w:r w:rsidR="002B76C1" w:rsidRPr="007B455D">
        <w:rPr>
          <w:smallCaps/>
          <w:szCs w:val="24"/>
        </w:rPr>
        <w:t>Yoyotte</w:t>
      </w:r>
      <w:r w:rsidR="002B76C1" w:rsidRPr="007B455D">
        <w:t xml:space="preserve">, </w:t>
      </w:r>
      <w:r w:rsidRPr="007B455D">
        <w:t>Héra d’Héliopolis et le sacrifice humain, AEPHE Ve sect. 89, 1980-</w:t>
      </w:r>
      <w:r>
        <w:t>1981, 31-102.</w:t>
      </w:r>
    </w:p>
    <w:p w14:paraId="28427EB0" w14:textId="77777777" w:rsidR="00EA186F" w:rsidRPr="008846C0" w:rsidRDefault="00EA186F" w:rsidP="00502122"/>
    <w:p w14:paraId="1A02E21C" w14:textId="77777777" w:rsidR="00150ED7" w:rsidRDefault="001F3203" w:rsidP="00502122">
      <w:pPr>
        <w:rPr>
          <w:lang w:val="cs-CZ"/>
        </w:rPr>
      </w:pPr>
      <w:r w:rsidRPr="008846C0">
        <w:rPr>
          <w:smallCaps/>
          <w:szCs w:val="24"/>
        </w:rPr>
        <w:t xml:space="preserve">Z. </w:t>
      </w:r>
      <w:r w:rsidRPr="008846C0">
        <w:rPr>
          <w:smallCaps/>
          <w:szCs w:val="24"/>
          <w:lang w:val="cs-CZ"/>
        </w:rPr>
        <w:t>Žába</w:t>
      </w:r>
      <w:r w:rsidRPr="008846C0">
        <w:rPr>
          <w:lang w:val="cs-CZ"/>
        </w:rPr>
        <w:t>, The Rock Inscriptions of Lower Nubia (Czechoslovak Concession), Prague, 1974.</w:t>
      </w:r>
    </w:p>
    <w:p w14:paraId="7712D75C" w14:textId="77777777" w:rsidR="00781D4E" w:rsidRDefault="00781D4E" w:rsidP="00502122">
      <w:pPr>
        <w:rPr>
          <w:lang w:val="cs-CZ"/>
        </w:rPr>
      </w:pPr>
    </w:p>
    <w:p w14:paraId="28DCCC6D" w14:textId="6ADC55ED" w:rsidR="00781D4E" w:rsidRDefault="007A1F18" w:rsidP="00502122">
      <w:pPr>
        <w:rPr>
          <w:lang w:val="cs-CZ"/>
        </w:rPr>
      </w:pPr>
      <w:r>
        <w:rPr>
          <w:lang w:val="cs-CZ"/>
        </w:rPr>
        <w:t xml:space="preserve">A.H. </w:t>
      </w:r>
      <w:r w:rsidRPr="007A1F18">
        <w:rPr>
          <w:smallCaps/>
          <w:szCs w:val="24"/>
          <w:lang w:val="cs-CZ"/>
        </w:rPr>
        <w:t>Zayed</w:t>
      </w:r>
      <w:r>
        <w:rPr>
          <w:lang w:val="cs-CZ"/>
        </w:rPr>
        <w:t xml:space="preserve">, </w:t>
      </w:r>
      <w:r w:rsidR="00781D4E">
        <w:rPr>
          <w:lang w:val="cs-CZ"/>
        </w:rPr>
        <w:t xml:space="preserve">Une </w:t>
      </w:r>
      <w:r>
        <w:rPr>
          <w:lang w:val="cs-CZ"/>
        </w:rPr>
        <w:t>représentation inédite des campagnes d’Aménophis II, in: Mélanges Gamal Eddin Mokhtar I, Cairo, 1985, 5-17 and 2 plates.</w:t>
      </w:r>
    </w:p>
    <w:p w14:paraId="4B1F6AAC" w14:textId="77777777" w:rsidR="002921D2" w:rsidRDefault="002921D2" w:rsidP="00502122">
      <w:pPr>
        <w:rPr>
          <w:lang w:val="cs-CZ"/>
        </w:rPr>
      </w:pPr>
    </w:p>
    <w:p w14:paraId="0F4C2E2A" w14:textId="560CA9CA" w:rsidR="002921D2" w:rsidRPr="002921D2" w:rsidRDefault="002921D2" w:rsidP="00502122">
      <w:pPr>
        <w:rPr>
          <w:color w:val="000000" w:themeColor="text1"/>
        </w:rPr>
      </w:pPr>
      <w:r w:rsidRPr="002921D2">
        <w:rPr>
          <w:color w:val="000000" w:themeColor="text1"/>
          <w:lang w:val="cs-CZ"/>
        </w:rPr>
        <w:t xml:space="preserve">J.R. </w:t>
      </w:r>
      <w:r w:rsidRPr="00A7208F">
        <w:rPr>
          <w:smallCaps/>
          <w:color w:val="000000" w:themeColor="text1"/>
          <w:szCs w:val="24"/>
          <w:lang w:val="cs-CZ"/>
        </w:rPr>
        <w:t>Zorn</w:t>
      </w:r>
      <w:r w:rsidRPr="002921D2">
        <w:rPr>
          <w:color w:val="000000" w:themeColor="text1"/>
          <w:lang w:val="cs-CZ"/>
        </w:rPr>
        <w:t xml:space="preserve">, War and its Effects on Civilians in Ancient Israel and its Neighbors,  in: </w:t>
      </w:r>
      <w:r w:rsidRPr="002921D2">
        <w:rPr>
          <w:smallCaps/>
          <w:color w:val="000000" w:themeColor="text1"/>
          <w:szCs w:val="24"/>
        </w:rPr>
        <w:t>Nadali</w:t>
      </w:r>
      <w:r w:rsidRPr="002921D2">
        <w:rPr>
          <w:color w:val="000000" w:themeColor="text1"/>
        </w:rPr>
        <w:t xml:space="preserve"> and </w:t>
      </w:r>
      <w:r w:rsidRPr="002921D2">
        <w:rPr>
          <w:smallCaps/>
          <w:color w:val="000000" w:themeColor="text1"/>
          <w:szCs w:val="24"/>
        </w:rPr>
        <w:t>Vidal</w:t>
      </w:r>
      <w:r w:rsidRPr="002921D2">
        <w:rPr>
          <w:color w:val="000000" w:themeColor="text1"/>
        </w:rPr>
        <w:t xml:space="preserve"> (eds), 2014, 79-100</w:t>
      </w:r>
      <w:r>
        <w:rPr>
          <w:color w:val="000000" w:themeColor="text1"/>
        </w:rPr>
        <w:t>.</w:t>
      </w:r>
    </w:p>
    <w:p w14:paraId="7BA8FA2D" w14:textId="77777777" w:rsidR="00150ED7" w:rsidRPr="008846C0" w:rsidRDefault="00150ED7" w:rsidP="00502122"/>
    <w:p w14:paraId="1C927E6B" w14:textId="77777777" w:rsidR="00356764" w:rsidRPr="008846C0" w:rsidRDefault="00356764" w:rsidP="00502122"/>
    <w:sectPr w:rsidR="00356764" w:rsidRPr="008846C0" w:rsidSect="00BF0E3E">
      <w:footerReference w:type="even" r:id="rId13"/>
      <w:footerReference w:type="default" r:id="rId14"/>
      <w:pgSz w:w="11900" w:h="16840"/>
      <w:pgMar w:top="1440" w:right="1800" w:bottom="1440" w:left="1800" w:header="708"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22BA62" w14:textId="77777777" w:rsidR="007F03EE" w:rsidRDefault="007F03EE" w:rsidP="00FE3DA6">
      <w:r>
        <w:separator/>
      </w:r>
    </w:p>
  </w:endnote>
  <w:endnote w:type="continuationSeparator" w:id="0">
    <w:p w14:paraId="5EA8D41E" w14:textId="77777777" w:rsidR="007F03EE" w:rsidRDefault="007F03EE" w:rsidP="00FE3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Helvetica Neue">
    <w:altName w:val="Malgun Gothic"/>
    <w:charset w:val="00"/>
    <w:family w:val="auto"/>
    <w:pitch w:val="variable"/>
    <w:sig w:usb0="00000003" w:usb1="500079DB" w:usb2="00000010" w:usb3="00000000" w:csb0="00000001" w:csb1="00000000"/>
  </w:font>
  <w:font w:name="AGaramondPro-Regular">
    <w:altName w:val="Adobe Garamond Pro"/>
    <w:panose1 w:val="00000000000000000000"/>
    <w:charset w:val="4D"/>
    <w:family w:val="auto"/>
    <w:notTrueType/>
    <w:pitch w:val="default"/>
    <w:sig w:usb0="00000003" w:usb1="00000000" w:usb2="00000000" w:usb3="00000000" w:csb0="00000001" w:csb1="00000000"/>
  </w:font>
  <w:font w:name="Trlit_CG Times">
    <w:panose1 w:val="020B7200000000000000"/>
    <w:charset w:val="00"/>
    <w:family w:val="swiss"/>
    <w:pitch w:val="variable"/>
    <w:sig w:usb0="00000003" w:usb1="00000000" w:usb2="00000000" w:usb3="00000000" w:csb0="00000001" w:csb1="00000000"/>
  </w:font>
  <w:font w:name="Menlo Regular">
    <w:altName w:val="Arial"/>
    <w:charset w:val="00"/>
    <w:family w:val="auto"/>
    <w:pitch w:val="variable"/>
    <w:sig w:usb0="00000000" w:usb1="D200F9FB" w:usb2="02000028" w:usb3="00000000" w:csb0="000001D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BCAE1" w14:textId="77777777" w:rsidR="0093105E" w:rsidRDefault="0093105E" w:rsidP="00BD10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13045C" w14:textId="77777777" w:rsidR="0093105E" w:rsidRDefault="0093105E" w:rsidP="008846C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59774" w14:textId="77777777" w:rsidR="0093105E" w:rsidRDefault="0093105E" w:rsidP="00BD10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453E">
      <w:rPr>
        <w:rStyle w:val="PageNumber"/>
        <w:noProof/>
      </w:rPr>
      <w:t>7</w:t>
    </w:r>
    <w:r>
      <w:rPr>
        <w:rStyle w:val="PageNumber"/>
      </w:rPr>
      <w:fldChar w:fldCharType="end"/>
    </w:r>
  </w:p>
  <w:p w14:paraId="2BE034CD" w14:textId="77777777" w:rsidR="0093105E" w:rsidRDefault="0093105E" w:rsidP="008846C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6E75F0" w14:textId="77777777" w:rsidR="007F03EE" w:rsidRDefault="007F03EE" w:rsidP="00FE3DA6">
      <w:r>
        <w:separator/>
      </w:r>
    </w:p>
  </w:footnote>
  <w:footnote w:type="continuationSeparator" w:id="0">
    <w:p w14:paraId="15293755" w14:textId="77777777" w:rsidR="007F03EE" w:rsidRDefault="007F03EE" w:rsidP="00FE3DA6">
      <w:r>
        <w:continuationSeparator/>
      </w:r>
    </w:p>
  </w:footnote>
  <w:footnote w:id="1">
    <w:p w14:paraId="7D485C76" w14:textId="6A72B6C8" w:rsidR="0093105E" w:rsidRPr="00E74D17" w:rsidRDefault="0093105E" w:rsidP="00E74D17">
      <w:pPr>
        <w:widowControl w:val="0"/>
        <w:autoSpaceDE w:val="0"/>
        <w:autoSpaceDN w:val="0"/>
        <w:adjustRightInd w:val="0"/>
        <w:rPr>
          <w:lang w:val="en-US"/>
        </w:rPr>
      </w:pPr>
      <w:r w:rsidRPr="00E74D17">
        <w:rPr>
          <w:rStyle w:val="FootnoteReference"/>
        </w:rPr>
        <w:footnoteRef/>
      </w:r>
      <w:r w:rsidRPr="00E74D17">
        <w:t xml:space="preserve"> As, for instance, </w:t>
      </w:r>
      <w:r w:rsidRPr="00E74D17">
        <w:rPr>
          <w:smallCaps/>
        </w:rPr>
        <w:t>Assmann</w:t>
      </w:r>
      <w:r>
        <w:t xml:space="preserve"> 1995;</w:t>
      </w:r>
      <w:r w:rsidRPr="00E74D17">
        <w:t xml:space="preserve"> </w:t>
      </w:r>
      <w:r w:rsidRPr="004F191F">
        <w:rPr>
          <w:smallCaps/>
          <w:szCs w:val="24"/>
        </w:rPr>
        <w:t xml:space="preserve"> </w:t>
      </w:r>
      <w:r w:rsidRPr="000F55DB">
        <w:rPr>
          <w:smallCaps/>
          <w:szCs w:val="24"/>
        </w:rPr>
        <w:t>Muhlestein</w:t>
      </w:r>
      <w:r>
        <w:t xml:space="preserve"> 2</w:t>
      </w:r>
      <w:r w:rsidRPr="00423677">
        <w:t>008 and 2011;</w:t>
      </w:r>
      <w:r w:rsidRPr="00423677">
        <w:rPr>
          <w:smallCaps/>
          <w:szCs w:val="24"/>
        </w:rPr>
        <w:t xml:space="preserve"> </w:t>
      </w:r>
      <w:r w:rsidRPr="00F665A6">
        <w:rPr>
          <w:smallCaps/>
          <w:szCs w:val="24"/>
        </w:rPr>
        <w:t>Müller-Wollermann</w:t>
      </w:r>
      <w:r w:rsidRPr="00012F0B">
        <w:rPr>
          <w:lang w:val="en-US"/>
        </w:rPr>
        <w:t xml:space="preserve"> </w:t>
      </w:r>
      <w:r>
        <w:rPr>
          <w:lang w:val="en-US"/>
        </w:rPr>
        <w:t xml:space="preserve">2009; </w:t>
      </w:r>
      <w:r w:rsidRPr="00E74D17">
        <w:t xml:space="preserve">and the focus on literary-ideological discussion in in </w:t>
      </w:r>
      <w:r w:rsidRPr="00E74D17">
        <w:rPr>
          <w:smallCaps/>
        </w:rPr>
        <w:t>Felber</w:t>
      </w:r>
      <w:r w:rsidRPr="00E74D17">
        <w:t xml:space="preserve"> (ed.) 2005</w:t>
      </w:r>
      <w:r>
        <w:t>;</w:t>
      </w:r>
      <w:r w:rsidRPr="00E74D17">
        <w:t xml:space="preserve"> in </w:t>
      </w:r>
      <w:r w:rsidRPr="00E74D17">
        <w:rPr>
          <w:smallCaps/>
          <w:lang w:val="en-US"/>
        </w:rPr>
        <w:t>Franke</w:t>
      </w:r>
      <w:r w:rsidRPr="00E74D17">
        <w:rPr>
          <w:lang w:val="en-US"/>
        </w:rPr>
        <w:t xml:space="preserve">’s phrase, 2005, 94: ‘Poesie </w:t>
      </w:r>
      <w:r w:rsidRPr="004F191F">
        <w:rPr>
          <w:lang w:val="en-US"/>
        </w:rPr>
        <w:t xml:space="preserve">des Massakers’, for which cf. </w:t>
      </w:r>
      <w:r w:rsidRPr="004F191F">
        <w:rPr>
          <w:smallCaps/>
          <w:szCs w:val="24"/>
        </w:rPr>
        <w:t>Gnirs</w:t>
      </w:r>
      <w:r w:rsidRPr="004F191F">
        <w:t xml:space="preserve"> and </w:t>
      </w:r>
      <w:r w:rsidRPr="004F191F">
        <w:rPr>
          <w:smallCaps/>
          <w:szCs w:val="24"/>
        </w:rPr>
        <w:t>Loprieno</w:t>
      </w:r>
      <w:r w:rsidRPr="004F191F">
        <w:t xml:space="preserve"> 2009</w:t>
      </w:r>
      <w:r w:rsidRPr="004F191F">
        <w:rPr>
          <w:lang w:val="en-US"/>
        </w:rPr>
        <w:t xml:space="preserve">; </w:t>
      </w:r>
      <w:r w:rsidRPr="00012F0B">
        <w:rPr>
          <w:lang w:val="en-US"/>
        </w:rPr>
        <w:t xml:space="preserve">note </w:t>
      </w:r>
      <w:r>
        <w:rPr>
          <w:lang w:val="en-US"/>
        </w:rPr>
        <w:t xml:space="preserve">also </w:t>
      </w:r>
      <w:r w:rsidRPr="00012F0B">
        <w:rPr>
          <w:rFonts w:cs="Helvetica Neue"/>
          <w:smallCaps/>
          <w:lang w:val="en-US"/>
        </w:rPr>
        <w:t>Graefe’</w:t>
      </w:r>
      <w:r w:rsidRPr="00012F0B">
        <w:t>s stress</w:t>
      </w:r>
      <w:r w:rsidRPr="00012F0B">
        <w:rPr>
          <w:rFonts w:cs="Helvetica Neue"/>
          <w:smallCaps/>
          <w:lang w:val="en-US"/>
        </w:rPr>
        <w:t xml:space="preserve"> </w:t>
      </w:r>
      <w:r w:rsidRPr="00012F0B">
        <w:rPr>
          <w:rFonts w:cs="Helvetica Neue"/>
          <w:lang w:val="en-US"/>
        </w:rPr>
        <w:t>2004, 54</w:t>
      </w:r>
      <w:r w:rsidRPr="00012F0B">
        <w:t xml:space="preserve"> on the reality at the root of the ideology; </w:t>
      </w:r>
      <w:r>
        <w:t xml:space="preserve">and </w:t>
      </w:r>
      <w:r w:rsidRPr="00864FA1">
        <w:rPr>
          <w:smallCaps/>
        </w:rPr>
        <w:t>Münch</w:t>
      </w:r>
      <w:r w:rsidRPr="00864FA1">
        <w:t xml:space="preserve"> 2013 arguing </w:t>
      </w:r>
      <w:r>
        <w:t>on degree of reality,</w:t>
      </w:r>
      <w:r w:rsidRPr="00864FA1">
        <w:t xml:space="preserve"> as a question that is it</w:t>
      </w:r>
      <w:r>
        <w:t>self problematic: emphasising th</w:t>
      </w:r>
      <w:r w:rsidRPr="00864FA1">
        <w:t xml:space="preserve">e interrelationship of fiction-stereotype-propaganda and the victory of Pharaoh as a form of </w:t>
      </w:r>
      <w:r>
        <w:t xml:space="preserve">defining </w:t>
      </w:r>
      <w:r w:rsidRPr="00864FA1">
        <w:t>society-knowledge</w:t>
      </w:r>
      <w:r>
        <w:t xml:space="preserve">. </w:t>
      </w:r>
    </w:p>
  </w:footnote>
  <w:footnote w:id="2">
    <w:p w14:paraId="188B692D" w14:textId="5B17FFD4" w:rsidR="0093105E" w:rsidRPr="00382D20" w:rsidRDefault="0093105E" w:rsidP="00382D20">
      <w:pPr>
        <w:pStyle w:val="FootnoteText"/>
        <w:rPr>
          <w:lang w:val="en-US"/>
        </w:rPr>
      </w:pPr>
      <w:r w:rsidRPr="00382D20">
        <w:rPr>
          <w:rStyle w:val="FootnoteReference"/>
        </w:rPr>
        <w:footnoteRef/>
      </w:r>
      <w:r w:rsidRPr="00382D20">
        <w:t xml:space="preserve">  </w:t>
      </w:r>
      <w:r w:rsidRPr="00382D20">
        <w:rPr>
          <w:smallCaps/>
        </w:rPr>
        <w:t xml:space="preserve">Yoyotte </w:t>
      </w:r>
      <w:r w:rsidRPr="00382D20">
        <w:t xml:space="preserve">1980-1981; cf. </w:t>
      </w:r>
      <w:r w:rsidRPr="00382D20">
        <w:rPr>
          <w:smallCaps/>
        </w:rPr>
        <w:t>Eyre</w:t>
      </w:r>
      <w:r w:rsidRPr="00382D20">
        <w:t xml:space="preserve"> 2002, 154, n.6</w:t>
      </w:r>
      <w:r>
        <w:t>;</w:t>
      </w:r>
      <w:r w:rsidRPr="00382D20">
        <w:rPr>
          <w:lang w:val="en-US"/>
        </w:rPr>
        <w:t xml:space="preserve"> </w:t>
      </w:r>
      <w:r w:rsidRPr="00382D20">
        <w:rPr>
          <w:smallCaps/>
        </w:rPr>
        <w:t>Volokhine</w:t>
      </w:r>
      <w:r w:rsidRPr="00382D20">
        <w:t xml:space="preserve"> </w:t>
      </w:r>
      <w:r>
        <w:t>2013.</w:t>
      </w:r>
      <w:r w:rsidRPr="00382D20">
        <w:t xml:space="preserve"> </w:t>
      </w:r>
      <w:r>
        <w:t xml:space="preserve"> Contrast </w:t>
      </w:r>
      <w:r w:rsidRPr="002150FD">
        <w:rPr>
          <w:smallCaps/>
        </w:rPr>
        <w:t>Abda</w:t>
      </w:r>
      <w:r>
        <w:rPr>
          <w:smallCaps/>
        </w:rPr>
        <w:t>lla</w:t>
      </w:r>
      <w:r>
        <w:t xml:space="preserve"> 2005, arguing that the practice of cutting off hands ‘incresed greatly in relation to the increased number of foreigners serving in the Egyptian army’: brutality as a foreign introduction.</w:t>
      </w:r>
    </w:p>
  </w:footnote>
  <w:footnote w:id="3">
    <w:p w14:paraId="6E6A0B84" w14:textId="6C5A06C6" w:rsidR="0093105E" w:rsidRPr="00D7299B" w:rsidRDefault="0093105E">
      <w:pPr>
        <w:pStyle w:val="FootnoteText"/>
        <w:rPr>
          <w:lang w:val="en-US"/>
        </w:rPr>
      </w:pPr>
      <w:r>
        <w:rPr>
          <w:rStyle w:val="FootnoteReference"/>
        </w:rPr>
        <w:footnoteRef/>
      </w:r>
      <w:r>
        <w:t xml:space="preserve"> </w:t>
      </w:r>
      <w:r>
        <w:rPr>
          <w:lang w:val="en-US"/>
        </w:rPr>
        <w:t xml:space="preserve">Cf. </w:t>
      </w:r>
      <w:r w:rsidRPr="00D7299B">
        <w:rPr>
          <w:smallCaps/>
          <w:lang w:val="en-US"/>
        </w:rPr>
        <w:t>Fuchs</w:t>
      </w:r>
      <w:r>
        <w:rPr>
          <w:lang w:val="en-US"/>
        </w:rPr>
        <w:t xml:space="preserve"> 2009, 72: ‘Wir dürfen aber festhalten, dass die Assyrer gar nicht so schlimm waren, wie sie sich selber dargestellt haben – sie waren höchst wahrscheinlich noch weit schlimmer.’</w:t>
      </w:r>
    </w:p>
  </w:footnote>
  <w:footnote w:id="4">
    <w:p w14:paraId="5F9EB673" w14:textId="15F541D8" w:rsidR="0093105E" w:rsidRPr="00173158" w:rsidRDefault="0093105E" w:rsidP="008468E7">
      <w:pPr>
        <w:pStyle w:val="FootnoteText"/>
        <w:rPr>
          <w:lang w:val="en-US"/>
        </w:rPr>
      </w:pPr>
      <w:r w:rsidRPr="00173158">
        <w:rPr>
          <w:rStyle w:val="FootnoteReference"/>
        </w:rPr>
        <w:footnoteRef/>
      </w:r>
      <w:r w:rsidRPr="00173158">
        <w:t xml:space="preserve"> E.g., </w:t>
      </w:r>
      <w:r w:rsidRPr="00173158">
        <w:rPr>
          <w:lang w:val="en-US"/>
        </w:rPr>
        <w:t>Deuteronomy 20: 10-18, contrast</w:t>
      </w:r>
      <w:r>
        <w:rPr>
          <w:lang w:val="en-US"/>
        </w:rPr>
        <w:t>ing</w:t>
      </w:r>
      <w:r w:rsidRPr="00173158">
        <w:rPr>
          <w:lang w:val="en-US"/>
        </w:rPr>
        <w:t xml:space="preserve"> </w:t>
      </w:r>
      <w:r>
        <w:rPr>
          <w:lang w:val="en-US"/>
        </w:rPr>
        <w:t>this with the policy of annihilation when</w:t>
      </w:r>
      <w:r w:rsidRPr="00173158">
        <w:rPr>
          <w:lang w:val="en-US"/>
        </w:rPr>
        <w:t xml:space="preserve"> territory was to be cleared for Hebrew settlement, for which see </w:t>
      </w:r>
      <w:r w:rsidRPr="00173158">
        <w:rPr>
          <w:smallCaps/>
          <w:lang w:val="en-US"/>
        </w:rPr>
        <w:t>Crouch</w:t>
      </w:r>
      <w:r w:rsidRPr="00173158">
        <w:rPr>
          <w:lang w:val="en-US"/>
        </w:rPr>
        <w:t xml:space="preserve"> 2009, 184-189; </w:t>
      </w:r>
      <w:r w:rsidRPr="00173158">
        <w:rPr>
          <w:smallCaps/>
          <w:lang w:val="en-US"/>
        </w:rPr>
        <w:t>Zorn</w:t>
      </w:r>
      <w:r w:rsidRPr="00173158">
        <w:rPr>
          <w:lang w:val="en-US"/>
        </w:rPr>
        <w:t xml:space="preserve"> 2014, 87-88; and cf. Thucidides 5. 84-116 on the siege of Melos, where the killing of all the men and enslaving of women and children provided the focus for Thucidides’ primary discussion of the relationship between might, authority and ethics in warfare: cf. </w:t>
      </w:r>
      <w:r w:rsidRPr="00173158">
        <w:rPr>
          <w:smallCaps/>
          <w:lang w:val="en-US"/>
        </w:rPr>
        <w:t>Grimsley</w:t>
      </w:r>
      <w:r w:rsidRPr="00173158">
        <w:rPr>
          <w:lang w:val="en-US"/>
        </w:rPr>
        <w:t xml:space="preserve"> and </w:t>
      </w:r>
      <w:r w:rsidRPr="00173158">
        <w:rPr>
          <w:smallCaps/>
          <w:lang w:val="en-US"/>
        </w:rPr>
        <w:t>Rogers</w:t>
      </w:r>
      <w:r w:rsidRPr="00173158">
        <w:rPr>
          <w:lang w:val="en-US"/>
        </w:rPr>
        <w:t xml:space="preserve"> 2002, xv-xvi; </w:t>
      </w:r>
      <w:r w:rsidRPr="00173158">
        <w:rPr>
          <w:smallCaps/>
          <w:lang w:val="en-US"/>
        </w:rPr>
        <w:t>Rahe</w:t>
      </w:r>
      <w:r w:rsidRPr="00173158">
        <w:rPr>
          <w:lang w:val="en-US"/>
        </w:rPr>
        <w:t xml:space="preserve"> 2002, 5, 21-22.</w:t>
      </w:r>
      <w:r w:rsidRPr="00173158">
        <w:t xml:space="preserve"> For recent discussion of this asymmetry in Mesopotamain sources see </w:t>
      </w:r>
      <w:r w:rsidRPr="00173158">
        <w:rPr>
          <w:smallCaps/>
        </w:rPr>
        <w:t>Richardson</w:t>
      </w:r>
      <w:r w:rsidRPr="00173158">
        <w:t xml:space="preserve"> 2016.</w:t>
      </w:r>
    </w:p>
  </w:footnote>
  <w:footnote w:id="5">
    <w:p w14:paraId="4AC7CE1E" w14:textId="2F582FF9" w:rsidR="0093105E" w:rsidRPr="00DA6736" w:rsidRDefault="0093105E">
      <w:pPr>
        <w:pStyle w:val="FootnoteText"/>
        <w:rPr>
          <w:lang w:val="en-US"/>
        </w:rPr>
      </w:pPr>
      <w:r>
        <w:rPr>
          <w:rStyle w:val="FootnoteReference"/>
        </w:rPr>
        <w:footnoteRef/>
      </w:r>
      <w:r>
        <w:t xml:space="preserve"> Contrast </w:t>
      </w:r>
      <w:r w:rsidRPr="00DD416D">
        <w:rPr>
          <w:rFonts w:cs="AGaramondPro-Regular"/>
          <w:smallCaps/>
          <w:lang w:val="en-US"/>
        </w:rPr>
        <w:t>Richardson</w:t>
      </w:r>
      <w:r>
        <w:rPr>
          <w:rFonts w:cs="AGaramondPro-Regular"/>
          <w:smallCaps/>
          <w:lang w:val="en-US"/>
        </w:rPr>
        <w:t xml:space="preserve"> 2011, </w:t>
      </w:r>
      <w:r>
        <w:t xml:space="preserve">on recent military historiography of Mesopotamia with the traditional concern of </w:t>
      </w:r>
      <w:r w:rsidRPr="00863407">
        <w:rPr>
          <w:rFonts w:cs="Helvetica Neue"/>
          <w:smallCaps/>
          <w:lang w:val="en-US"/>
        </w:rPr>
        <w:t>Lundh</w:t>
      </w:r>
      <w:r>
        <w:rPr>
          <w:rFonts w:cs="Helvetica Neue"/>
          <w:smallCaps/>
          <w:lang w:val="en-US"/>
        </w:rPr>
        <w:t xml:space="preserve"> 2002 </w:t>
      </w:r>
      <w:r>
        <w:rPr>
          <w:rFonts w:cs="Helvetica Neue"/>
          <w:lang w:val="en-US"/>
        </w:rPr>
        <w:t xml:space="preserve">, about the meaningfulness of modern expectations of explicit, objective history for Egypt. </w:t>
      </w:r>
    </w:p>
  </w:footnote>
  <w:footnote w:id="6">
    <w:p w14:paraId="374EAE34" w14:textId="17674671" w:rsidR="0093105E" w:rsidRPr="00E277D4" w:rsidRDefault="0093105E" w:rsidP="00F1463A">
      <w:pPr>
        <w:pStyle w:val="FootnoteText"/>
      </w:pPr>
      <w:r w:rsidRPr="00E277D4">
        <w:rPr>
          <w:rStyle w:val="FootnoteReference"/>
        </w:rPr>
        <w:footnoteRef/>
      </w:r>
      <w:r w:rsidRPr="00E277D4">
        <w:t xml:space="preserve"> </w:t>
      </w:r>
      <w:r w:rsidRPr="0039688D">
        <w:rPr>
          <w:smallCaps/>
        </w:rPr>
        <w:t>Oded</w:t>
      </w:r>
      <w:r>
        <w:rPr>
          <w:smallCaps/>
        </w:rPr>
        <w:t xml:space="preserve"> 1992 </w:t>
      </w:r>
      <w:r>
        <w:t xml:space="preserve">collecting extensive Assyrian justifications for war; </w:t>
      </w:r>
      <w:r w:rsidRPr="00CE2880">
        <w:rPr>
          <w:smallCaps/>
        </w:rPr>
        <w:t>Bahrani</w:t>
      </w:r>
      <w:r>
        <w:t xml:space="preserve"> 2008 and </w:t>
      </w:r>
      <w:r w:rsidRPr="00662EBB">
        <w:rPr>
          <w:smallCaps/>
        </w:rPr>
        <w:t>Crouch</w:t>
      </w:r>
      <w:r w:rsidRPr="00E277D4">
        <w:t xml:space="preserve"> 2009, for attempt to </w:t>
      </w:r>
      <w:r>
        <w:t>give</w:t>
      </w:r>
      <w:r w:rsidRPr="00E277D4">
        <w:t xml:space="preserve"> </w:t>
      </w:r>
      <w:r>
        <w:t xml:space="preserve">ancient Near Eastern practice of </w:t>
      </w:r>
      <w:r w:rsidRPr="00E277D4">
        <w:t xml:space="preserve">warfare </w:t>
      </w:r>
      <w:r>
        <w:t xml:space="preserve">an ethical dimension, in ways which have not been seriously attempted for the Egyptian material; similarly </w:t>
      </w:r>
      <w:r w:rsidRPr="00662EBB">
        <w:rPr>
          <w:smallCaps/>
        </w:rPr>
        <w:t>Nadali</w:t>
      </w:r>
      <w:r>
        <w:t xml:space="preserve"> 2014 107-108 emphasising (visual) rhetoric in relation to civilian as opposed to military prisoners.</w:t>
      </w:r>
    </w:p>
  </w:footnote>
  <w:footnote w:id="7">
    <w:p w14:paraId="587E53B1" w14:textId="13405C1C" w:rsidR="0093105E" w:rsidRPr="00CE1790" w:rsidRDefault="0093105E" w:rsidP="00CB776C">
      <w:pPr>
        <w:pStyle w:val="FootnoteText"/>
        <w:rPr>
          <w:lang w:val="en-US"/>
        </w:rPr>
      </w:pPr>
      <w:r>
        <w:rPr>
          <w:rStyle w:val="FootnoteReference"/>
        </w:rPr>
        <w:footnoteRef/>
      </w:r>
      <w:r>
        <w:t xml:space="preserve"> Medinet Habu </w:t>
      </w:r>
      <w:r w:rsidRPr="00FC2060">
        <w:t>I,</w:t>
      </w:r>
      <w:r>
        <w:t xml:space="preserve"> </w:t>
      </w:r>
      <w:r>
        <w:rPr>
          <w:lang w:val="en-US"/>
        </w:rPr>
        <w:t>pl. 37.</w:t>
      </w:r>
    </w:p>
  </w:footnote>
  <w:footnote w:id="8">
    <w:p w14:paraId="5420CD6E" w14:textId="77777777" w:rsidR="0093105E" w:rsidRPr="00F21885" w:rsidRDefault="0093105E">
      <w:pPr>
        <w:pStyle w:val="FootnoteText"/>
        <w:rPr>
          <w:lang w:val="en-US"/>
        </w:rPr>
      </w:pPr>
      <w:r>
        <w:rPr>
          <w:rStyle w:val="FootnoteReference"/>
        </w:rPr>
        <w:footnoteRef/>
      </w:r>
      <w:r>
        <w:t xml:space="preserve"> </w:t>
      </w:r>
      <w:r>
        <w:rPr>
          <w:lang w:val="en-US"/>
        </w:rPr>
        <w:t xml:space="preserve">See, for instance, </w:t>
      </w:r>
      <w:r w:rsidRPr="00F21885">
        <w:rPr>
          <w:smallCaps/>
          <w:lang w:val="en-US"/>
        </w:rPr>
        <w:t>Simon</w:t>
      </w:r>
      <w:r>
        <w:rPr>
          <w:lang w:val="en-US"/>
        </w:rPr>
        <w:t xml:space="preserve"> 2016 discussing the reliefs of Ramesses III at Medinet Habu.</w:t>
      </w:r>
    </w:p>
  </w:footnote>
  <w:footnote w:id="9">
    <w:p w14:paraId="0975C4FD" w14:textId="123B9616" w:rsidR="0093105E" w:rsidRPr="00FE2FEC" w:rsidRDefault="0093105E" w:rsidP="00F1463A">
      <w:pPr>
        <w:pStyle w:val="FootnoteText"/>
        <w:rPr>
          <w:color w:val="000000" w:themeColor="text1"/>
        </w:rPr>
      </w:pPr>
      <w:r w:rsidRPr="00FE2FEC">
        <w:rPr>
          <w:rStyle w:val="FootnoteReference"/>
          <w:color w:val="000000" w:themeColor="text1"/>
        </w:rPr>
        <w:footnoteRef/>
      </w:r>
      <w:r w:rsidRPr="00FE2FEC">
        <w:rPr>
          <w:color w:val="000000" w:themeColor="text1"/>
        </w:rPr>
        <w:t xml:space="preserve"> </w:t>
      </w:r>
      <w:r w:rsidRPr="00162A3E">
        <w:rPr>
          <w:color w:val="000000" w:themeColor="text1"/>
        </w:rPr>
        <w:t>Urk</w:t>
      </w:r>
      <w:r>
        <w:rPr>
          <w:color w:val="000000" w:themeColor="text1"/>
        </w:rPr>
        <w:t>.</w:t>
      </w:r>
      <w:r w:rsidRPr="00FE2FEC">
        <w:rPr>
          <w:color w:val="000000" w:themeColor="text1"/>
        </w:rPr>
        <w:t xml:space="preserve"> IV, 137-141; </w:t>
      </w:r>
      <w:r w:rsidRPr="00FE2FEC">
        <w:rPr>
          <w:smallCaps/>
          <w:color w:val="000000" w:themeColor="text1"/>
        </w:rPr>
        <w:t>Klug</w:t>
      </w:r>
      <w:r w:rsidRPr="00FE2FEC">
        <w:rPr>
          <w:color w:val="000000" w:themeColor="text1"/>
        </w:rPr>
        <w:t xml:space="preserve"> 2002, </w:t>
      </w:r>
      <w:r w:rsidRPr="00FE2FEC">
        <w:rPr>
          <w:i/>
          <w:color w:val="000000" w:themeColor="text1"/>
        </w:rPr>
        <w:t>Königliche Stelen</w:t>
      </w:r>
      <w:r>
        <w:rPr>
          <w:color w:val="000000" w:themeColor="text1"/>
        </w:rPr>
        <w:t xml:space="preserve">, 83-87 and pl. 8-9; </w:t>
      </w:r>
      <w:r w:rsidRPr="00AB5D4F">
        <w:rPr>
          <w:smallCaps/>
          <w:color w:val="000000" w:themeColor="text1"/>
        </w:rPr>
        <w:t xml:space="preserve">Beylage </w:t>
      </w:r>
      <w:r>
        <w:rPr>
          <w:color w:val="000000" w:themeColor="text1"/>
        </w:rPr>
        <w:t>2002, I, 21-27.</w:t>
      </w:r>
    </w:p>
  </w:footnote>
  <w:footnote w:id="10">
    <w:p w14:paraId="0612D117" w14:textId="5D94D645" w:rsidR="0093105E" w:rsidRPr="00950AF4" w:rsidRDefault="0093105E">
      <w:pPr>
        <w:pStyle w:val="FootnoteText"/>
        <w:rPr>
          <w:lang w:val="en-US"/>
        </w:rPr>
      </w:pPr>
      <w:r>
        <w:rPr>
          <w:rStyle w:val="FootnoteReference"/>
        </w:rPr>
        <w:footnoteRef/>
      </w:r>
      <w:r>
        <w:t xml:space="preserve"> </w:t>
      </w:r>
      <w:r>
        <w:rPr>
          <w:lang w:val="en-US"/>
        </w:rPr>
        <w:t xml:space="preserve">For the term see </w:t>
      </w:r>
      <w:r w:rsidRPr="001B77DE">
        <w:rPr>
          <w:smallCaps/>
          <w:lang w:val="en-US"/>
        </w:rPr>
        <w:t>Moers</w:t>
      </w:r>
      <w:r>
        <w:rPr>
          <w:lang w:val="en-US"/>
        </w:rPr>
        <w:t xml:space="preserve"> 200</w:t>
      </w:r>
      <w:r w:rsidRPr="00950AF4">
        <w:rPr>
          <w:lang w:val="en-US"/>
        </w:rPr>
        <w:t>5.</w:t>
      </w:r>
    </w:p>
  </w:footnote>
  <w:footnote w:id="11">
    <w:p w14:paraId="6DF4630A" w14:textId="77777777" w:rsidR="0093105E" w:rsidRPr="00644AC8" w:rsidRDefault="0093105E">
      <w:pPr>
        <w:pStyle w:val="FootnoteText"/>
        <w:rPr>
          <w:lang w:val="en-US"/>
        </w:rPr>
      </w:pPr>
      <w:r>
        <w:rPr>
          <w:rStyle w:val="FootnoteReference"/>
        </w:rPr>
        <w:footnoteRef/>
      </w:r>
      <w:r>
        <w:t xml:space="preserve"> </w:t>
      </w:r>
      <w:r w:rsidRPr="00834EA1">
        <w:rPr>
          <w:smallCaps/>
          <w:lang w:val="en-US"/>
        </w:rPr>
        <w:t>Gelb</w:t>
      </w:r>
      <w:r>
        <w:rPr>
          <w:lang w:val="en-US"/>
        </w:rPr>
        <w:t xml:space="preserve"> 1973.</w:t>
      </w:r>
    </w:p>
  </w:footnote>
  <w:footnote w:id="12">
    <w:p w14:paraId="334CB80C" w14:textId="31F257A8" w:rsidR="0093105E" w:rsidRPr="00834EA1" w:rsidRDefault="0093105E" w:rsidP="00D243C8">
      <w:r>
        <w:rPr>
          <w:rStyle w:val="FootnoteReference"/>
        </w:rPr>
        <w:footnoteRef/>
      </w:r>
      <w:r>
        <w:t xml:space="preserve"> Tacitus, </w:t>
      </w:r>
      <w:r w:rsidRPr="001B77DE">
        <w:t xml:space="preserve">Agricola, </w:t>
      </w:r>
      <w:r>
        <w:t xml:space="preserve">end of chapter 30: </w:t>
      </w:r>
      <w:r w:rsidRPr="00F40DE1">
        <w:rPr>
          <w:i/>
        </w:rPr>
        <w:t>ubi solitudinem faciunt pacem appellant</w:t>
      </w:r>
      <w:r>
        <w:t xml:space="preserve">. For scorched earth policy cf. </w:t>
      </w:r>
      <w:r w:rsidRPr="005B7433">
        <w:rPr>
          <w:smallCaps/>
          <w:szCs w:val="24"/>
        </w:rPr>
        <w:t>Franke</w:t>
      </w:r>
      <w:r>
        <w:t xml:space="preserve"> 2005, esp. 94-98;</w:t>
      </w:r>
      <w:r w:rsidRPr="00834EA1">
        <w:t xml:space="preserve"> </w:t>
      </w:r>
      <w:r w:rsidRPr="00834EA1">
        <w:rPr>
          <w:smallCaps/>
          <w:szCs w:val="24"/>
        </w:rPr>
        <w:t xml:space="preserve">Meurer </w:t>
      </w:r>
      <w:r w:rsidRPr="00834EA1">
        <w:rPr>
          <w:szCs w:val="24"/>
        </w:rPr>
        <w:t>2001, discussing the balance between formulaic repetition and reality.</w:t>
      </w:r>
    </w:p>
  </w:footnote>
  <w:footnote w:id="13">
    <w:p w14:paraId="2A326822" w14:textId="10D849D6" w:rsidR="0093105E" w:rsidRPr="00FD7B31" w:rsidRDefault="0093105E">
      <w:pPr>
        <w:pStyle w:val="FootnoteText"/>
        <w:rPr>
          <w:lang w:val="en-US"/>
        </w:rPr>
      </w:pPr>
      <w:r>
        <w:rPr>
          <w:rStyle w:val="FootnoteReference"/>
        </w:rPr>
        <w:footnoteRef/>
      </w:r>
      <w:r>
        <w:t xml:space="preserve"> </w:t>
      </w:r>
      <w:r w:rsidRPr="00834EA1">
        <w:t>Cf</w:t>
      </w:r>
      <w:r>
        <w:t>.</w:t>
      </w:r>
      <w:r w:rsidRPr="00834EA1">
        <w:t xml:space="preserve"> </w:t>
      </w:r>
      <w:r w:rsidRPr="00834EA1">
        <w:rPr>
          <w:smallCaps/>
        </w:rPr>
        <w:t xml:space="preserve">Helck </w:t>
      </w:r>
      <w:r w:rsidRPr="00834EA1">
        <w:t>1974 for a 4</w:t>
      </w:r>
      <w:r w:rsidRPr="00834EA1">
        <w:rPr>
          <w:vertAlign w:val="superscript"/>
        </w:rPr>
        <w:t>th</w:t>
      </w:r>
      <w:r w:rsidRPr="00834EA1">
        <w:t xml:space="preserve"> Dynasty raid to </w:t>
      </w:r>
      <w:r w:rsidRPr="00834EA1">
        <w:rPr>
          <w:rFonts w:ascii="Trlit_CG Times" w:hAnsi="Trlit_CG Times"/>
        </w:rPr>
        <w:t>xbA wAwAt</w:t>
      </w:r>
      <w:r w:rsidRPr="00834EA1">
        <w:t>, claiming to capture 17,000 Nubians. The theme runs consistently through Old Kingdom references to contacts with Nubia: e.g.,</w:t>
      </w:r>
      <w:r>
        <w:t xml:space="preserve"> </w:t>
      </w:r>
      <w:r w:rsidRPr="006F17DC">
        <w:rPr>
          <w:smallCaps/>
        </w:rPr>
        <w:t>Vachala</w:t>
      </w:r>
      <w:r>
        <w:t xml:space="preserve"> 1991;</w:t>
      </w:r>
      <w:r w:rsidRPr="00834EA1">
        <w:t xml:space="preserve"> </w:t>
      </w:r>
      <w:r w:rsidRPr="00834EA1">
        <w:rPr>
          <w:smallCaps/>
        </w:rPr>
        <w:t>Franke</w:t>
      </w:r>
      <w:r w:rsidRPr="00834EA1">
        <w:t xml:space="preserve"> 2005, 89-91, for the mixture of punitive and slave-raiding</w:t>
      </w:r>
      <w:r>
        <w:t xml:space="preserve">; </w:t>
      </w:r>
      <w:r w:rsidRPr="005A0AC8">
        <w:rPr>
          <w:smallCaps/>
          <w:lang w:val="en-US"/>
        </w:rPr>
        <w:t>Hasel</w:t>
      </w:r>
      <w:r>
        <w:rPr>
          <w:lang w:val="en-US"/>
        </w:rPr>
        <w:t xml:space="preserve"> 1998, esp. 63-4, 248-253 for survey of the consequences of Egyptian conquest. </w:t>
      </w:r>
      <w:r w:rsidRPr="007B5BE5">
        <w:rPr>
          <w:color w:val="FF0000"/>
          <w:lang w:val="en-US"/>
        </w:rPr>
        <w:t>See below n. 81</w:t>
      </w:r>
    </w:p>
  </w:footnote>
  <w:footnote w:id="14">
    <w:p w14:paraId="56B3281D" w14:textId="77777777" w:rsidR="0093105E" w:rsidRPr="00336D95" w:rsidRDefault="0093105E" w:rsidP="00F1463A">
      <w:pPr>
        <w:pStyle w:val="FootnoteText"/>
        <w:rPr>
          <w:lang w:val="en-US"/>
        </w:rPr>
      </w:pPr>
      <w:r>
        <w:rPr>
          <w:rStyle w:val="FootnoteReference"/>
        </w:rPr>
        <w:footnoteRef/>
      </w:r>
      <w:r>
        <w:t xml:space="preserve"> </w:t>
      </w:r>
      <w:r>
        <w:rPr>
          <w:lang w:val="en-US"/>
        </w:rPr>
        <w:t xml:space="preserve">Lines 9-11, </w:t>
      </w:r>
      <w:r w:rsidRPr="00162A3E">
        <w:rPr>
          <w:lang w:val="en-US"/>
        </w:rPr>
        <w:t>Urk</w:t>
      </w:r>
      <w:r>
        <w:rPr>
          <w:lang w:val="en-US"/>
        </w:rPr>
        <w:t xml:space="preserve">. IV, 1231, 7-19; </w:t>
      </w:r>
      <w:r w:rsidRPr="00DC21BC">
        <w:rPr>
          <w:smallCaps/>
          <w:lang w:val="en-US"/>
        </w:rPr>
        <w:t>Klug</w:t>
      </w:r>
      <w:r>
        <w:rPr>
          <w:lang w:val="en-US"/>
        </w:rPr>
        <w:t xml:space="preserve"> 2002, 193-208; </w:t>
      </w:r>
      <w:r w:rsidRPr="00DC21BC">
        <w:rPr>
          <w:smallCaps/>
          <w:lang w:val="en-US"/>
        </w:rPr>
        <w:t>Beylage</w:t>
      </w:r>
      <w:r>
        <w:rPr>
          <w:lang w:val="en-US"/>
        </w:rPr>
        <w:t xml:space="preserve"> 2002, 182-183.</w:t>
      </w:r>
    </w:p>
  </w:footnote>
  <w:footnote w:id="15">
    <w:p w14:paraId="6221EEBB" w14:textId="6B162091" w:rsidR="0093105E" w:rsidRPr="007B5BE5" w:rsidRDefault="0093105E">
      <w:pPr>
        <w:pStyle w:val="FootnoteText"/>
        <w:rPr>
          <w:lang w:val="en-US"/>
        </w:rPr>
      </w:pPr>
      <w:r>
        <w:rPr>
          <w:rStyle w:val="FootnoteReference"/>
        </w:rPr>
        <w:footnoteRef/>
      </w:r>
      <w:r>
        <w:t xml:space="preserve"> </w:t>
      </w:r>
      <w:r w:rsidRPr="007B5BE5">
        <w:rPr>
          <w:smallCaps/>
          <w:lang w:val="en-US"/>
        </w:rPr>
        <w:t xml:space="preserve">Schultz </w:t>
      </w:r>
      <w:r>
        <w:rPr>
          <w:lang w:val="en-US"/>
        </w:rPr>
        <w:t>2002, Abb. 2.</w:t>
      </w:r>
    </w:p>
  </w:footnote>
  <w:footnote w:id="16">
    <w:p w14:paraId="3216C16B" w14:textId="53234A24" w:rsidR="0093105E" w:rsidRPr="008E3F9F" w:rsidRDefault="0093105E" w:rsidP="00F1463A">
      <w:pPr>
        <w:pStyle w:val="FootnoteText"/>
        <w:rPr>
          <w:lang w:val="en-US"/>
        </w:rPr>
      </w:pPr>
      <w:r>
        <w:rPr>
          <w:rStyle w:val="FootnoteReference"/>
        </w:rPr>
        <w:footnoteRef/>
      </w:r>
      <w:r>
        <w:t xml:space="preserve"> </w:t>
      </w:r>
      <w:r w:rsidRPr="00162A3E">
        <w:t>Urk</w:t>
      </w:r>
      <w:r w:rsidRPr="008E3F9F">
        <w:rPr>
          <w:i/>
        </w:rPr>
        <w:t>.</w:t>
      </w:r>
      <w:r>
        <w:t xml:space="preserve"> I, </w:t>
      </w:r>
      <w:r>
        <w:rPr>
          <w:lang w:val="en-US"/>
        </w:rPr>
        <w:t>103, 7 – 104, 3.</w:t>
      </w:r>
    </w:p>
  </w:footnote>
  <w:footnote w:id="17">
    <w:p w14:paraId="2E06FA64" w14:textId="64370BCC" w:rsidR="0093105E" w:rsidRPr="008E3F9F" w:rsidRDefault="0093105E" w:rsidP="00F1463A">
      <w:pPr>
        <w:pStyle w:val="FootnoteText"/>
        <w:rPr>
          <w:lang w:val="en-US"/>
        </w:rPr>
      </w:pPr>
      <w:r>
        <w:rPr>
          <w:rStyle w:val="FootnoteReference"/>
        </w:rPr>
        <w:footnoteRef/>
      </w:r>
      <w:r>
        <w:t xml:space="preserve"> </w:t>
      </w:r>
      <w:r w:rsidRPr="00162A3E">
        <w:rPr>
          <w:lang w:val="en-US"/>
        </w:rPr>
        <w:t>Urk</w:t>
      </w:r>
      <w:r w:rsidRPr="008E3F9F">
        <w:rPr>
          <w:i/>
          <w:lang w:val="en-US"/>
        </w:rPr>
        <w:t>.</w:t>
      </w:r>
      <w:r>
        <w:rPr>
          <w:lang w:val="en-US"/>
        </w:rPr>
        <w:t xml:space="preserve"> I, 133, 9 – 134, 2; for the slaughter, in retribution, of the killers of an Egyptian expedition leader,</w:t>
      </w:r>
      <w:r w:rsidRPr="00162A3E">
        <w:rPr>
          <w:i/>
          <w:lang w:val="en-US"/>
        </w:rPr>
        <w:t xml:space="preserve"> </w:t>
      </w:r>
      <w:r w:rsidRPr="00162A3E">
        <w:rPr>
          <w:lang w:val="en-US"/>
        </w:rPr>
        <w:t xml:space="preserve">Urk. </w:t>
      </w:r>
      <w:r>
        <w:rPr>
          <w:lang w:val="en-US"/>
        </w:rPr>
        <w:t xml:space="preserve">I, 134, 13 – 135, 4. For the use of </w:t>
      </w:r>
      <w:r w:rsidRPr="002150FD">
        <w:rPr>
          <w:rFonts w:ascii="Trlit_CG Times" w:hAnsi="Trlit_CG Times"/>
          <w:lang w:val="en-US"/>
        </w:rPr>
        <w:t>xbA</w:t>
      </w:r>
      <w:r>
        <w:rPr>
          <w:lang w:val="en-US"/>
        </w:rPr>
        <w:t xml:space="preserve">, cf. </w:t>
      </w:r>
      <w:r w:rsidRPr="00B94318">
        <w:rPr>
          <w:smallCaps/>
          <w:lang w:val="en-US"/>
        </w:rPr>
        <w:t xml:space="preserve">Meurer </w:t>
      </w:r>
      <w:r>
        <w:rPr>
          <w:lang w:val="en-US"/>
        </w:rPr>
        <w:t>2001, 339-340.</w:t>
      </w:r>
    </w:p>
  </w:footnote>
  <w:footnote w:id="18">
    <w:p w14:paraId="5CC0A3F8" w14:textId="63C7CA2F" w:rsidR="0093105E" w:rsidRPr="003E1589" w:rsidRDefault="0093105E" w:rsidP="00F1463A">
      <w:r>
        <w:rPr>
          <w:rStyle w:val="FootnoteReference"/>
        </w:rPr>
        <w:footnoteRef/>
      </w:r>
      <w:r>
        <w:t xml:space="preserve"> </w:t>
      </w:r>
      <w:r w:rsidRPr="001F3203">
        <w:rPr>
          <w:rFonts w:ascii="Times New Roman" w:hAnsi="Times New Roman"/>
          <w:smallCaps/>
          <w:szCs w:val="24"/>
          <w:lang w:val="cs-CZ"/>
        </w:rPr>
        <w:t xml:space="preserve">Žába </w:t>
      </w:r>
      <w:r>
        <w:rPr>
          <w:rFonts w:ascii="Times New Roman" w:hAnsi="Times New Roman"/>
          <w:lang w:val="cs-CZ"/>
        </w:rPr>
        <w:t>1974, no. 74, p. 98-109.</w:t>
      </w:r>
    </w:p>
  </w:footnote>
  <w:footnote w:id="19">
    <w:p w14:paraId="14EE2BC3" w14:textId="11F72DB3" w:rsidR="0093105E" w:rsidRPr="00A473BE" w:rsidRDefault="0093105E" w:rsidP="0097787A">
      <w:r w:rsidRPr="00A473BE">
        <w:rPr>
          <w:rStyle w:val="FootnoteReference"/>
        </w:rPr>
        <w:footnoteRef/>
      </w:r>
      <w:r w:rsidRPr="00A473BE">
        <w:t xml:space="preserve"> </w:t>
      </w:r>
      <w:r w:rsidRPr="00A473BE">
        <w:rPr>
          <w:smallCaps/>
          <w:szCs w:val="24"/>
        </w:rPr>
        <w:t xml:space="preserve">Barbotin </w:t>
      </w:r>
      <w:r w:rsidRPr="00A473BE">
        <w:rPr>
          <w:szCs w:val="24"/>
        </w:rPr>
        <w:t>and</w:t>
      </w:r>
      <w:r w:rsidRPr="00A473BE">
        <w:rPr>
          <w:smallCaps/>
          <w:szCs w:val="24"/>
        </w:rPr>
        <w:t xml:space="preserve"> Clère</w:t>
      </w:r>
      <w:r w:rsidRPr="00A473BE">
        <w:t xml:space="preserve"> 1992, cols 30-32. The passage is interpreted differently by </w:t>
      </w:r>
      <w:r w:rsidRPr="00A473BE">
        <w:rPr>
          <w:smallCaps/>
          <w:szCs w:val="24"/>
        </w:rPr>
        <w:t>Redford</w:t>
      </w:r>
      <w:r w:rsidRPr="00A473BE">
        <w:t xml:space="preserve"> 1987, followed by </w:t>
      </w:r>
      <w:r w:rsidRPr="00A473BE">
        <w:rPr>
          <w:smallCaps/>
          <w:szCs w:val="24"/>
        </w:rPr>
        <w:t>Muhelestein</w:t>
      </w:r>
      <w:r w:rsidRPr="00A473BE">
        <w:t xml:space="preserve"> 2008. For the theme of execution of posterity cf. Herodotus III, 14-15, on Cambyses executions at the conquest of Memphis, </w:t>
      </w:r>
      <w:r>
        <w:t>focussed on</w:t>
      </w:r>
      <w:r w:rsidRPr="00A473BE">
        <w:t xml:space="preserve"> the humiliation </w:t>
      </w:r>
      <w:r>
        <w:t xml:space="preserve">and destruction </w:t>
      </w:r>
      <w:r w:rsidRPr="00A473BE">
        <w:t xml:space="preserve">of the native elite. </w:t>
      </w:r>
    </w:p>
  </w:footnote>
  <w:footnote w:id="20">
    <w:p w14:paraId="10119117" w14:textId="77777777" w:rsidR="0093105E" w:rsidRPr="00F91B72" w:rsidRDefault="0093105E" w:rsidP="00F1463A">
      <w:pPr>
        <w:pStyle w:val="FootnoteText"/>
        <w:rPr>
          <w:lang w:val="en-US"/>
        </w:rPr>
      </w:pPr>
      <w:r>
        <w:rPr>
          <w:rStyle w:val="FootnoteReference"/>
        </w:rPr>
        <w:footnoteRef/>
      </w:r>
      <w:r>
        <w:t xml:space="preserve"> </w:t>
      </w:r>
      <w:r w:rsidRPr="0097787A">
        <w:rPr>
          <w:i/>
        </w:rPr>
        <w:t>Aeg. Les.</w:t>
      </w:r>
      <w:r>
        <w:t xml:space="preserve"> 84, 9-11.</w:t>
      </w:r>
    </w:p>
  </w:footnote>
  <w:footnote w:id="21">
    <w:p w14:paraId="0CF7CA25" w14:textId="42356286" w:rsidR="0093105E" w:rsidRPr="0062109A" w:rsidRDefault="0093105E" w:rsidP="0097787A">
      <w:r w:rsidRPr="00162A3E">
        <w:rPr>
          <w:rStyle w:val="FootnoteReference"/>
          <w:i/>
        </w:rPr>
        <w:footnoteRef/>
      </w:r>
      <w:r w:rsidRPr="00162A3E">
        <w:rPr>
          <w:i/>
        </w:rPr>
        <w:t xml:space="preserve"> </w:t>
      </w:r>
      <w:r w:rsidRPr="00162A3E">
        <w:rPr>
          <w:rFonts w:ascii="Times New Roman" w:hAnsi="Times New Roman"/>
          <w:i/>
          <w:lang w:val="cs-CZ"/>
        </w:rPr>
        <w:t xml:space="preserve">Urk. IV </w:t>
      </w:r>
      <w:r w:rsidRPr="0062109A">
        <w:rPr>
          <w:rFonts w:ascii="Times New Roman" w:hAnsi="Times New Roman"/>
          <w:lang w:val="cs-CZ"/>
        </w:rPr>
        <w:t>1659, 9-1660, 19</w:t>
      </w:r>
      <w:r>
        <w:rPr>
          <w:rFonts w:ascii="Times New Roman" w:hAnsi="Times New Roman"/>
          <w:lang w:val="cs-CZ"/>
        </w:rPr>
        <w:t xml:space="preserve">; </w:t>
      </w:r>
      <w:r w:rsidRPr="008758D2">
        <w:rPr>
          <w:rFonts w:ascii="Trlit_CG Times" w:hAnsi="Trlit_CG Times"/>
        </w:rPr>
        <w:t>smA</w:t>
      </w:r>
      <w:r>
        <w:t xml:space="preserve"> is here written only with the single sign, but would appear to provide a number of those massacred.</w:t>
      </w:r>
    </w:p>
  </w:footnote>
  <w:footnote w:id="22">
    <w:p w14:paraId="26688292" w14:textId="0C3E4480" w:rsidR="0093105E" w:rsidRPr="00202BED" w:rsidRDefault="0093105E" w:rsidP="00DD6755">
      <w:pPr>
        <w:pStyle w:val="FootnoteText"/>
        <w:rPr>
          <w:lang w:val="en-US"/>
        </w:rPr>
      </w:pPr>
      <w:r w:rsidRPr="00202BED">
        <w:rPr>
          <w:rStyle w:val="FootnoteReference"/>
        </w:rPr>
        <w:footnoteRef/>
      </w:r>
      <w:r w:rsidRPr="00202BED">
        <w:t xml:space="preserve"> Piye Stela 85-86</w:t>
      </w:r>
      <w:r w:rsidRPr="00202BED">
        <w:rPr>
          <w:smallCaps/>
        </w:rPr>
        <w:t xml:space="preserve">; Grimal </w:t>
      </w:r>
      <w:r w:rsidRPr="00202BED">
        <w:t>1</w:t>
      </w:r>
      <w:r>
        <w:t>981, 28-29 and 110, n. 306; cf.</w:t>
      </w:r>
      <w:r w:rsidRPr="00202BED">
        <w:t xml:space="preserve"> </w:t>
      </w:r>
      <w:r w:rsidRPr="00202BED">
        <w:rPr>
          <w:smallCaps/>
        </w:rPr>
        <w:t xml:space="preserve">Frandsen </w:t>
      </w:r>
      <w:r w:rsidRPr="00202BED">
        <w:t>2016, 238.</w:t>
      </w:r>
    </w:p>
  </w:footnote>
  <w:footnote w:id="23">
    <w:p w14:paraId="0ABFE574" w14:textId="26467FA1" w:rsidR="0093105E" w:rsidRPr="00162A3E" w:rsidRDefault="0093105E" w:rsidP="00B94318">
      <w:pPr>
        <w:pStyle w:val="FootnoteText"/>
        <w:rPr>
          <w:lang w:val="en-US"/>
        </w:rPr>
      </w:pPr>
      <w:r>
        <w:rPr>
          <w:rStyle w:val="FootnoteReference"/>
        </w:rPr>
        <w:footnoteRef/>
      </w:r>
      <w:r>
        <w:t xml:space="preserve"> Cf., for instance, the </w:t>
      </w:r>
      <w:r w:rsidRPr="004E4810">
        <w:t>Calah texts of Assurnasirpal II (</w:t>
      </w:r>
      <w:r w:rsidRPr="004E4810">
        <w:rPr>
          <w:smallCaps/>
        </w:rPr>
        <w:t>Grayson</w:t>
      </w:r>
      <w:r w:rsidRPr="004E4810">
        <w:t xml:space="preserve"> 1991, 191-223) repeatedly list the full range of massacres, mutilation, dismembering, heaping up or burning and display of the living and the dead.</w:t>
      </w:r>
    </w:p>
  </w:footnote>
  <w:footnote w:id="24">
    <w:p w14:paraId="76B56A3D" w14:textId="748F0FF6" w:rsidR="0093105E" w:rsidRPr="00A643FC" w:rsidRDefault="0093105E" w:rsidP="00F1463A">
      <w:pPr>
        <w:rPr>
          <w:rFonts w:ascii="Times New Roman" w:hAnsi="Times New Roman"/>
        </w:rPr>
      </w:pPr>
      <w:r w:rsidRPr="00162A3E">
        <w:rPr>
          <w:rStyle w:val="FootnoteReference"/>
          <w:szCs w:val="24"/>
        </w:rPr>
        <w:footnoteRef/>
      </w:r>
      <w:r w:rsidRPr="00162A3E">
        <w:rPr>
          <w:szCs w:val="24"/>
        </w:rPr>
        <w:t xml:space="preserve"> </w:t>
      </w:r>
      <w:r w:rsidRPr="00162A3E">
        <w:rPr>
          <w:smallCaps/>
          <w:szCs w:val="24"/>
          <w:lang w:val="cs-CZ"/>
        </w:rPr>
        <w:t xml:space="preserve">Černý 1967, </w:t>
      </w:r>
      <w:r w:rsidRPr="00162A3E">
        <w:rPr>
          <w:szCs w:val="24"/>
          <w:lang w:val="cs-CZ"/>
        </w:rPr>
        <w:t xml:space="preserve">pl. V and VIII (following hand-copy of Breasted); </w:t>
      </w:r>
      <w:r w:rsidRPr="00162A3E">
        <w:rPr>
          <w:szCs w:val="24"/>
        </w:rPr>
        <w:t>KRI IV</w:t>
      </w:r>
      <w:r w:rsidRPr="004E4810">
        <w:rPr>
          <w:szCs w:val="24"/>
        </w:rPr>
        <w:t xml:space="preserve">, 1-2, lines 4-9;  Kitchen’s text varies from that of </w:t>
      </w:r>
      <w:r w:rsidRPr="004E4810">
        <w:rPr>
          <w:smallCaps/>
          <w:szCs w:val="24"/>
          <w:lang w:val="cs-CZ"/>
        </w:rPr>
        <w:t>Černý</w:t>
      </w:r>
      <w:r w:rsidRPr="004E4810">
        <w:rPr>
          <w:szCs w:val="24"/>
        </w:rPr>
        <w:t xml:space="preserve"> in several places where reading is difficult</w:t>
      </w:r>
      <w:r w:rsidRPr="004E4810">
        <w:rPr>
          <w:smallCaps/>
          <w:szCs w:val="24"/>
          <w:lang w:val="cs-CZ"/>
        </w:rPr>
        <w:t>.</w:t>
      </w:r>
      <w:r w:rsidRPr="004E4810">
        <w:rPr>
          <w:szCs w:val="24"/>
        </w:rPr>
        <w:t xml:space="preserve"> </w:t>
      </w:r>
      <w:r w:rsidRPr="004E4810">
        <w:rPr>
          <w:smallCaps/>
          <w:szCs w:val="24"/>
        </w:rPr>
        <w:t>Youssef</w:t>
      </w:r>
      <w:r w:rsidRPr="004E4810">
        <w:rPr>
          <w:szCs w:val="24"/>
        </w:rPr>
        <w:t xml:space="preserve">, 1964, tries to locate the Libyan focus of this text in the broader frame of international relations at the beginning of the reign; he also </w:t>
      </w:r>
      <w:r>
        <w:t xml:space="preserve">(p. 280) he compares Quran (chapter 20 verse 70), referring to the Pharaoh of the Exodus threatening the Jews: ‘…I will surely cutt (sic) off your hands and your feet on the opposite sides; and I will crucify you on the trunks of trees’. </w:t>
      </w:r>
    </w:p>
  </w:footnote>
  <w:footnote w:id="25">
    <w:p w14:paraId="28B98ACA" w14:textId="77777777" w:rsidR="0093105E" w:rsidRPr="008B2271" w:rsidRDefault="0093105E" w:rsidP="00F1463A">
      <w:pPr>
        <w:pStyle w:val="FootnoteText"/>
        <w:rPr>
          <w:lang w:val="en-US"/>
        </w:rPr>
      </w:pPr>
      <w:r>
        <w:rPr>
          <w:rStyle w:val="FootnoteReference"/>
        </w:rPr>
        <w:footnoteRef/>
      </w:r>
      <w:r>
        <w:t xml:space="preserve"> </w:t>
      </w:r>
      <w:r w:rsidRPr="00F665A6">
        <w:rPr>
          <w:smallCaps/>
          <w:lang w:val="en-US"/>
        </w:rPr>
        <w:t xml:space="preserve">Smith </w:t>
      </w:r>
      <w:r>
        <w:rPr>
          <w:lang w:val="en-US"/>
        </w:rPr>
        <w:t>1976</w:t>
      </w:r>
      <w:r w:rsidRPr="008B2271">
        <w:rPr>
          <w:lang w:val="en-US"/>
        </w:rPr>
        <w:t>, 124-130, pl</w:t>
      </w:r>
      <w:r>
        <w:rPr>
          <w:lang w:val="en-US"/>
        </w:rPr>
        <w:t xml:space="preserve">. </w:t>
      </w:r>
      <w:r w:rsidRPr="008B2271">
        <w:rPr>
          <w:lang w:val="en-US"/>
        </w:rPr>
        <w:t>XXIX, LXXV, lines 11-13.</w:t>
      </w:r>
    </w:p>
  </w:footnote>
  <w:footnote w:id="26">
    <w:p w14:paraId="570042D7" w14:textId="12F9918D" w:rsidR="0093105E" w:rsidRPr="00162A3E" w:rsidRDefault="0093105E" w:rsidP="001F7F29">
      <w:pPr>
        <w:rPr>
          <w:lang w:val="cs-CZ"/>
        </w:rPr>
      </w:pPr>
      <w:r w:rsidRPr="000C4975">
        <w:rPr>
          <w:rStyle w:val="FootnoteReference"/>
        </w:rPr>
        <w:footnoteRef/>
      </w:r>
      <w:r w:rsidRPr="000C4975">
        <w:t xml:space="preserve"> Rosetta Stone with variants,</w:t>
      </w:r>
      <w:r w:rsidRPr="00162A3E">
        <w:rPr>
          <w:i/>
        </w:rPr>
        <w:t xml:space="preserve"> Urk. I</w:t>
      </w:r>
      <w:r w:rsidRPr="000C4975">
        <w:t xml:space="preserve">I, 183, 6; </w:t>
      </w:r>
      <w:r w:rsidRPr="000C4975">
        <w:rPr>
          <w:smallCaps/>
          <w:szCs w:val="24"/>
        </w:rPr>
        <w:t>Simpson</w:t>
      </w:r>
      <w:r w:rsidRPr="000C4975">
        <w:t xml:space="preserve"> 1996, 264-265; </w:t>
      </w:r>
      <w:r w:rsidRPr="000C4975">
        <w:rPr>
          <w:smallCaps/>
          <w:szCs w:val="24"/>
        </w:rPr>
        <w:t xml:space="preserve">Pétigny </w:t>
      </w:r>
      <w:r w:rsidRPr="000C4975">
        <w:t>2010,</w:t>
      </w:r>
      <w:r w:rsidRPr="000C4975">
        <w:rPr>
          <w:lang w:val="cs-CZ"/>
        </w:rPr>
        <w:t xml:space="preserve"> 344-345, emphasising the symbolic importance of the public execution of d</w:t>
      </w:r>
      <w:r>
        <w:rPr>
          <w:lang w:val="cs-CZ"/>
        </w:rPr>
        <w:t>eposed kings in the Late Period;</w:t>
      </w:r>
      <w:r w:rsidRPr="000C4975">
        <w:rPr>
          <w:lang w:val="cs-CZ"/>
        </w:rPr>
        <w:t xml:space="preserve"> and cf. Herodotus III, 14-15 on Cambyses enslaving girls and executing Egyptian boys of the highest class as punitive and warning measure following surrender of Memphis.</w:t>
      </w:r>
    </w:p>
  </w:footnote>
  <w:footnote w:id="27">
    <w:p w14:paraId="401103C7" w14:textId="48509295" w:rsidR="0093105E" w:rsidRPr="00162A3E" w:rsidRDefault="0093105E" w:rsidP="00F1463A">
      <w:pPr>
        <w:pStyle w:val="FootnoteText"/>
        <w:rPr>
          <w:lang w:val="en-US"/>
        </w:rPr>
      </w:pPr>
      <w:r>
        <w:rPr>
          <w:rStyle w:val="FootnoteReference"/>
        </w:rPr>
        <w:footnoteRef/>
      </w:r>
      <w:r>
        <w:t xml:space="preserve"> </w:t>
      </w:r>
      <w:r>
        <w:rPr>
          <w:lang w:val="en-US"/>
        </w:rPr>
        <w:t>Nauri Decree 77-7</w:t>
      </w:r>
      <w:r w:rsidRPr="00162A3E">
        <w:rPr>
          <w:lang w:val="en-US"/>
        </w:rPr>
        <w:t>8 (KRI I, 56, 1-2) and 108 (KRI I, 57, 15).</w:t>
      </w:r>
    </w:p>
  </w:footnote>
  <w:footnote w:id="28">
    <w:p w14:paraId="67CAC2AE" w14:textId="68F92FE2" w:rsidR="0093105E" w:rsidRPr="00162A3E" w:rsidRDefault="0093105E" w:rsidP="00F1463A">
      <w:pPr>
        <w:pStyle w:val="FootnoteText"/>
        <w:rPr>
          <w:lang w:val="en-US"/>
        </w:rPr>
      </w:pPr>
      <w:r w:rsidRPr="00162A3E">
        <w:rPr>
          <w:rStyle w:val="FootnoteReference"/>
        </w:rPr>
        <w:footnoteRef/>
      </w:r>
      <w:r w:rsidRPr="00162A3E">
        <w:t xml:space="preserve"> </w:t>
      </w:r>
      <w:r w:rsidRPr="00162A3E">
        <w:rPr>
          <w:lang w:val="en-US"/>
        </w:rPr>
        <w:t>KRI I, 125, 14 – 126, 1 with additions KRI VII 428, 4.</w:t>
      </w:r>
    </w:p>
  </w:footnote>
  <w:footnote w:id="29">
    <w:p w14:paraId="689B81CC" w14:textId="531EE58F" w:rsidR="0093105E" w:rsidRPr="00EA1AB5" w:rsidRDefault="0093105E" w:rsidP="00BD101F">
      <w:pPr>
        <w:pStyle w:val="FootnoteText"/>
        <w:rPr>
          <w:lang w:val="en-US"/>
        </w:rPr>
      </w:pPr>
      <w:r>
        <w:rPr>
          <w:rStyle w:val="FootnoteReference"/>
        </w:rPr>
        <w:footnoteRef/>
      </w:r>
      <w:r>
        <w:t xml:space="preserve"> </w:t>
      </w:r>
      <w:r>
        <w:rPr>
          <w:lang w:val="en-US"/>
        </w:rPr>
        <w:t>pMayer A, 13, B1.</w:t>
      </w:r>
    </w:p>
  </w:footnote>
  <w:footnote w:id="30">
    <w:p w14:paraId="30CF613A" w14:textId="7C83F7A5" w:rsidR="0093105E" w:rsidRPr="003A63DD" w:rsidRDefault="0093105E" w:rsidP="00F1463A">
      <w:pPr>
        <w:pStyle w:val="FootnoteText"/>
        <w:rPr>
          <w:lang w:val="en-US"/>
        </w:rPr>
      </w:pPr>
      <w:r>
        <w:rPr>
          <w:rStyle w:val="FootnoteReference"/>
        </w:rPr>
        <w:footnoteRef/>
      </w:r>
      <w:r>
        <w:t xml:space="preserve"> </w:t>
      </w:r>
      <w:r>
        <w:rPr>
          <w:lang w:val="en-US"/>
        </w:rPr>
        <w:t>pBM 10052, 11, 17.</w:t>
      </w:r>
    </w:p>
  </w:footnote>
  <w:footnote w:id="31">
    <w:p w14:paraId="1ED1BA0D" w14:textId="08BD1C66" w:rsidR="0093105E" w:rsidRPr="00F64349" w:rsidRDefault="0093105E" w:rsidP="00F1463A">
      <w:pPr>
        <w:pStyle w:val="FootnoteText"/>
        <w:rPr>
          <w:lang w:val="en-US"/>
        </w:rPr>
      </w:pPr>
      <w:r>
        <w:rPr>
          <w:rStyle w:val="FootnoteReference"/>
        </w:rPr>
        <w:footnoteRef/>
      </w:r>
      <w:r>
        <w:t xml:space="preserve"> </w:t>
      </w:r>
      <w:r>
        <w:rPr>
          <w:lang w:val="en-US"/>
        </w:rPr>
        <w:t>pAbbott, 5, 6-7.</w:t>
      </w:r>
    </w:p>
  </w:footnote>
  <w:footnote w:id="32">
    <w:p w14:paraId="6EDB3F3D" w14:textId="77777777" w:rsidR="0093105E" w:rsidRPr="00BC4B1B" w:rsidRDefault="0093105E" w:rsidP="00F1463A">
      <w:pPr>
        <w:pStyle w:val="FootnoteText"/>
        <w:rPr>
          <w:lang w:val="en-US"/>
        </w:rPr>
      </w:pPr>
      <w:r>
        <w:rPr>
          <w:rStyle w:val="FootnoteReference"/>
        </w:rPr>
        <w:footnoteRef/>
      </w:r>
      <w:r>
        <w:t xml:space="preserve"> </w:t>
      </w:r>
      <w:r>
        <w:rPr>
          <w:lang w:val="en-US"/>
        </w:rPr>
        <w:t xml:space="preserve">Or </w:t>
      </w:r>
      <w:r w:rsidRPr="00BC4B1B">
        <w:rPr>
          <w:rFonts w:ascii="Trlit_CG Times" w:hAnsi="Trlit_CG Times"/>
          <w:lang w:val="en-US"/>
        </w:rPr>
        <w:t>Sri=f</w:t>
      </w:r>
      <w:r>
        <w:rPr>
          <w:lang w:val="en-US"/>
        </w:rPr>
        <w:t>: not spelt out here.</w:t>
      </w:r>
    </w:p>
  </w:footnote>
  <w:footnote w:id="33">
    <w:p w14:paraId="6C16020A" w14:textId="5A519166" w:rsidR="0093105E" w:rsidRPr="008B27F8" w:rsidRDefault="0093105E" w:rsidP="007205FD">
      <w:r w:rsidRPr="008B27F8">
        <w:rPr>
          <w:rStyle w:val="FootnoteReference"/>
        </w:rPr>
        <w:footnoteRef/>
      </w:r>
      <w:r w:rsidRPr="008B27F8">
        <w:t xml:space="preserve"> </w:t>
      </w:r>
      <w:r>
        <w:t>p</w:t>
      </w:r>
      <w:r w:rsidRPr="008B27F8">
        <w:t xml:space="preserve">BM 10052, 10, 12: </w:t>
      </w:r>
      <w:r w:rsidRPr="008B27F8">
        <w:rPr>
          <w:rFonts w:ascii="Trlit_CG Times" w:hAnsi="Trlit_CG Times"/>
        </w:rPr>
        <w:t>xSb.tw di.tw tp xt</w:t>
      </w:r>
      <w:r w:rsidRPr="008B27F8">
        <w:t>.</w:t>
      </w:r>
    </w:p>
  </w:footnote>
  <w:footnote w:id="34">
    <w:p w14:paraId="235935A4" w14:textId="7E30AE12" w:rsidR="0093105E" w:rsidRPr="008A4254" w:rsidRDefault="0093105E" w:rsidP="00F1463A">
      <w:pPr>
        <w:pStyle w:val="FootnoteText"/>
        <w:rPr>
          <w:lang w:val="en-US"/>
        </w:rPr>
      </w:pPr>
      <w:r>
        <w:rPr>
          <w:rStyle w:val="FootnoteReference"/>
        </w:rPr>
        <w:footnoteRef/>
      </w:r>
      <w:r>
        <w:t xml:space="preserve"> pBerlin P10496, vs. 4 = </w:t>
      </w:r>
      <w:r w:rsidRPr="00162A3E">
        <w:t xml:space="preserve">KRI V, </w:t>
      </w:r>
      <w:r>
        <w:t>476-478; cf. also o</w:t>
      </w:r>
      <w:r w:rsidRPr="00124690">
        <w:t xml:space="preserve">Cairo 25237, 10-13 and vs. </w:t>
      </w:r>
      <w:r w:rsidRPr="008A4254">
        <w:t>3-4</w:t>
      </w:r>
      <w:r w:rsidRPr="008A4254">
        <w:rPr>
          <w:lang w:val="en-US"/>
        </w:rPr>
        <w:t xml:space="preserve"> =</w:t>
      </w:r>
      <w:r w:rsidRPr="00162A3E">
        <w:rPr>
          <w:lang w:val="en-US"/>
        </w:rPr>
        <w:t xml:space="preserve"> KRI III</w:t>
      </w:r>
      <w:r w:rsidRPr="008A4254">
        <w:rPr>
          <w:lang w:val="en-US"/>
        </w:rPr>
        <w:t>, 529-530.</w:t>
      </w:r>
    </w:p>
  </w:footnote>
  <w:footnote w:id="35">
    <w:p w14:paraId="306B9FBC" w14:textId="77777777" w:rsidR="0093105E" w:rsidRPr="00621D15" w:rsidRDefault="0093105E" w:rsidP="00F1463A">
      <w:pPr>
        <w:pStyle w:val="FootnoteText"/>
        <w:rPr>
          <w:lang w:val="en-US"/>
        </w:rPr>
      </w:pPr>
      <w:r>
        <w:rPr>
          <w:rStyle w:val="FootnoteReference"/>
        </w:rPr>
        <w:footnoteRef/>
      </w:r>
      <w:r>
        <w:t xml:space="preserve"> The text seems to be written in a different hand from </w:t>
      </w:r>
      <w:r w:rsidRPr="00FD15D7">
        <w:rPr>
          <w:rFonts w:ascii="Trlit_CG Times" w:hAnsi="Trlit_CG Times"/>
        </w:rPr>
        <w:t>dm</w:t>
      </w:r>
      <w:r>
        <w:t xml:space="preserve"> ‘pronounce’, so that translations typically begin a new sentence there: ‘the name of Pharaoh was pronounced’, although this leaves the previous phrase hanging: ‘in this &lt;…&gt;’.</w:t>
      </w:r>
    </w:p>
  </w:footnote>
  <w:footnote w:id="36">
    <w:p w14:paraId="4EF7527B" w14:textId="68E86885" w:rsidR="0093105E" w:rsidRPr="007952CD" w:rsidRDefault="0093105E" w:rsidP="007952CD">
      <w:pPr>
        <w:pStyle w:val="FootnoteText"/>
        <w:rPr>
          <w:lang w:val="en-US"/>
        </w:rPr>
      </w:pPr>
      <w:r>
        <w:rPr>
          <w:rStyle w:val="FootnoteReference"/>
        </w:rPr>
        <w:footnoteRef/>
      </w:r>
      <w:r>
        <w:t xml:space="preserve"> </w:t>
      </w:r>
      <w:r>
        <w:rPr>
          <w:lang w:val="en-US"/>
        </w:rPr>
        <w:t>For comparable neo-Assyrian practice cf.</w:t>
      </w:r>
      <w:r w:rsidRPr="007B3DA8">
        <w:rPr>
          <w:smallCaps/>
          <w:lang w:val="en-US"/>
        </w:rPr>
        <w:t xml:space="preserve"> Bahrani</w:t>
      </w:r>
      <w:r>
        <w:rPr>
          <w:lang w:val="en-US"/>
        </w:rPr>
        <w:t xml:space="preserve"> 2008, esp. 155-156, 219-223; </w:t>
      </w:r>
      <w:r w:rsidRPr="007B3DA8">
        <w:rPr>
          <w:smallCaps/>
          <w:lang w:val="en-US"/>
        </w:rPr>
        <w:t xml:space="preserve">Fuchs </w:t>
      </w:r>
      <w:r>
        <w:rPr>
          <w:lang w:val="en-US"/>
        </w:rPr>
        <w:t xml:space="preserve">2009; </w:t>
      </w:r>
      <w:r w:rsidRPr="00D00BED">
        <w:rPr>
          <w:smallCaps/>
          <w:lang w:val="en-US"/>
        </w:rPr>
        <w:t>Jacobs</w:t>
      </w:r>
      <w:r>
        <w:rPr>
          <w:lang w:val="en-US"/>
        </w:rPr>
        <w:t xml:space="preserve"> 2009,127-146</w:t>
      </w:r>
      <w:r>
        <w:rPr>
          <w:rFonts w:cs="Helvetica Neue"/>
          <w:lang w:val="en-US"/>
        </w:rPr>
        <w:t xml:space="preserve"> for survey, including Abb. 3, Balawat gates of Shalmaneser III (</w:t>
      </w:r>
      <w:r w:rsidRPr="00F04C56">
        <w:rPr>
          <w:rFonts w:cs="Helvetica Neue"/>
          <w:lang w:val="en-US"/>
        </w:rPr>
        <w:t>BM 124656</w:t>
      </w:r>
      <w:r>
        <w:rPr>
          <w:rFonts w:cs="Helvetica Neue"/>
          <w:lang w:val="en-US"/>
        </w:rPr>
        <w:t xml:space="preserve">, Band X), </w:t>
      </w:r>
      <w:r w:rsidRPr="00F04C56">
        <w:rPr>
          <w:rFonts w:cs="Helvetica Neue"/>
          <w:lang w:val="en-US"/>
        </w:rPr>
        <w:t>showing defeated enemy impaled in front of town, with hands and feet cut off</w:t>
      </w:r>
      <w:r>
        <w:rPr>
          <w:lang w:val="en-US"/>
        </w:rPr>
        <w:t xml:space="preserve">; </w:t>
      </w:r>
      <w:r w:rsidRPr="00743A83">
        <w:rPr>
          <w:smallCaps/>
          <w:lang w:val="en-US"/>
        </w:rPr>
        <w:t>Crouch</w:t>
      </w:r>
      <w:r>
        <w:rPr>
          <w:lang w:val="en-US"/>
        </w:rPr>
        <w:t xml:space="preserve"> 2009, 39-40 (Tiglath–Pilesar, impaling alive); otherwise display of corpses 54 (Sargon II); 122, 125 (Sennacherib); 141, 155 (Assurbanipal); </w:t>
      </w:r>
      <w:r w:rsidRPr="00CF27AE">
        <w:rPr>
          <w:lang w:val="en-US"/>
        </w:rPr>
        <w:t xml:space="preserve">Grayson 1991, 201 (Assurnasirpal II mutilating the living) and 214, 220 (live on stakes). </w:t>
      </w:r>
    </w:p>
  </w:footnote>
  <w:footnote w:id="37">
    <w:p w14:paraId="3EE15736" w14:textId="2C92E1ED" w:rsidR="0093105E" w:rsidRPr="004F59EB" w:rsidRDefault="0093105E">
      <w:pPr>
        <w:pStyle w:val="FootnoteText"/>
        <w:rPr>
          <w:lang w:val="en-US"/>
        </w:rPr>
      </w:pPr>
      <w:r>
        <w:rPr>
          <w:rStyle w:val="FootnoteReference"/>
        </w:rPr>
        <w:footnoteRef/>
      </w:r>
      <w:r>
        <w:t xml:space="preserve"> p</w:t>
      </w:r>
      <w:r>
        <w:rPr>
          <w:lang w:val="en-US"/>
        </w:rPr>
        <w:t xml:space="preserve">BM 10052, 11, 23. </w:t>
      </w:r>
    </w:p>
  </w:footnote>
  <w:footnote w:id="38">
    <w:p w14:paraId="2BDBA9E4" w14:textId="2203B7BD" w:rsidR="0093105E" w:rsidRPr="00162A3E" w:rsidRDefault="0093105E" w:rsidP="00F1463A">
      <w:pPr>
        <w:rPr>
          <w:color w:val="FF0000"/>
        </w:rPr>
      </w:pPr>
      <w:r>
        <w:rPr>
          <w:rStyle w:val="FootnoteReference"/>
        </w:rPr>
        <w:footnoteRef/>
      </w:r>
      <w:r>
        <w:t xml:space="preserve"> Nauri Decree, li</w:t>
      </w:r>
      <w:r w:rsidRPr="00162A3E">
        <w:t>nes 46-47 (KRI I, 53, 6-7); cf. lines 49-50 (= KRI I, 53, 14-15); 53 (= KRI I, 55, 6-7); 70 (= KRI I, 55, 9-10); 82 (= KRI I, 56, 5-6); 92-93 (= KRI I, 57, 1); 117 (= KRI I, 58, 9-10).</w:t>
      </w:r>
    </w:p>
  </w:footnote>
  <w:footnote w:id="39">
    <w:p w14:paraId="25116B51" w14:textId="003F90B6" w:rsidR="0093105E" w:rsidRPr="00162A3E" w:rsidRDefault="0093105E" w:rsidP="00F1463A">
      <w:pPr>
        <w:pStyle w:val="FootnoteText"/>
        <w:rPr>
          <w:lang w:val="en-US"/>
        </w:rPr>
      </w:pPr>
      <w:r w:rsidRPr="00162A3E">
        <w:rPr>
          <w:rStyle w:val="FootnoteReference"/>
        </w:rPr>
        <w:footnoteRef/>
      </w:r>
      <w:r w:rsidRPr="00162A3E">
        <w:t xml:space="preserve"> Nauri Decree, </w:t>
      </w:r>
      <w:r w:rsidRPr="00162A3E">
        <w:rPr>
          <w:lang w:val="en-US"/>
        </w:rPr>
        <w:t>lines 51-52 (KRI I, 54, 3-4) and 72-73 (KRI I, 55, 12-13).</w:t>
      </w:r>
    </w:p>
  </w:footnote>
  <w:footnote w:id="40">
    <w:p w14:paraId="284ED3F3" w14:textId="77777777" w:rsidR="0093105E" w:rsidRPr="00162A3E" w:rsidRDefault="0093105E" w:rsidP="00F1463A">
      <w:pPr>
        <w:pStyle w:val="FootnoteText"/>
        <w:rPr>
          <w:lang w:val="en-US"/>
        </w:rPr>
      </w:pPr>
      <w:r w:rsidRPr="00162A3E">
        <w:rPr>
          <w:rStyle w:val="FootnoteReference"/>
        </w:rPr>
        <w:footnoteRef/>
      </w:r>
      <w:r w:rsidRPr="00162A3E">
        <w:t xml:space="preserve"> </w:t>
      </w:r>
      <w:r w:rsidRPr="00162A3E">
        <w:rPr>
          <w:lang w:val="en-US"/>
        </w:rPr>
        <w:t>The words for both ‘mutilate’ and ‘nose’ are written ideographically, and so specific reading is not marked here.</w:t>
      </w:r>
    </w:p>
  </w:footnote>
  <w:footnote w:id="41">
    <w:p w14:paraId="174BB497" w14:textId="7619666D" w:rsidR="0093105E" w:rsidRPr="00162A3E" w:rsidRDefault="0093105E">
      <w:pPr>
        <w:pStyle w:val="FootnoteText"/>
        <w:rPr>
          <w:lang w:val="en-US"/>
        </w:rPr>
      </w:pPr>
      <w:r w:rsidRPr="00162A3E">
        <w:rPr>
          <w:rStyle w:val="FootnoteReference"/>
        </w:rPr>
        <w:footnoteRef/>
      </w:r>
      <w:r w:rsidRPr="00162A3E">
        <w:t xml:space="preserve"> </w:t>
      </w:r>
      <w:r w:rsidRPr="00162A3E">
        <w:rPr>
          <w:smallCaps/>
          <w:lang w:val="en-US"/>
        </w:rPr>
        <w:t>Foucault</w:t>
      </w:r>
      <w:r w:rsidRPr="00162A3E">
        <w:rPr>
          <w:lang w:val="en-US"/>
        </w:rPr>
        <w:t xml:space="preserve"> 1977.</w:t>
      </w:r>
    </w:p>
  </w:footnote>
  <w:footnote w:id="42">
    <w:p w14:paraId="73D84FC2" w14:textId="6A946773" w:rsidR="0093105E" w:rsidRPr="00162A3E" w:rsidRDefault="0093105E">
      <w:pPr>
        <w:pStyle w:val="FootnoteText"/>
        <w:rPr>
          <w:lang w:val="en-US"/>
        </w:rPr>
      </w:pPr>
      <w:r w:rsidRPr="00162A3E">
        <w:rPr>
          <w:rStyle w:val="FootnoteReference"/>
        </w:rPr>
        <w:footnoteRef/>
      </w:r>
      <w:r w:rsidRPr="00162A3E">
        <w:t xml:space="preserve"> </w:t>
      </w:r>
      <w:r>
        <w:rPr>
          <w:lang w:val="en-US"/>
        </w:rPr>
        <w:t>p</w:t>
      </w:r>
      <w:r w:rsidRPr="00162A3E">
        <w:rPr>
          <w:lang w:val="en-US"/>
        </w:rPr>
        <w:t>Jud. Turin, 6, 1 = KRI 359, 14 - 360, 2.</w:t>
      </w:r>
    </w:p>
  </w:footnote>
  <w:footnote w:id="43">
    <w:p w14:paraId="6871F6D1" w14:textId="19F1FE77" w:rsidR="0093105E" w:rsidRPr="00BF4851" w:rsidRDefault="0093105E">
      <w:pPr>
        <w:pStyle w:val="FootnoteText"/>
        <w:rPr>
          <w:color w:val="000000" w:themeColor="text1"/>
          <w:lang w:val="en-US"/>
        </w:rPr>
      </w:pPr>
      <w:r w:rsidRPr="00BF4851">
        <w:rPr>
          <w:rStyle w:val="FootnoteReference"/>
          <w:color w:val="000000" w:themeColor="text1"/>
        </w:rPr>
        <w:footnoteRef/>
      </w:r>
      <w:r w:rsidRPr="00BF4851">
        <w:rPr>
          <w:color w:val="000000" w:themeColor="text1"/>
        </w:rPr>
        <w:t xml:space="preserve"> </w:t>
      </w:r>
      <w:r>
        <w:rPr>
          <w:color w:val="000000" w:themeColor="text1"/>
        </w:rPr>
        <w:t>p</w:t>
      </w:r>
      <w:r w:rsidRPr="00BF4851">
        <w:rPr>
          <w:color w:val="000000" w:themeColor="text1"/>
        </w:rPr>
        <w:t xml:space="preserve">BM 10052, 4, 9-10: </w:t>
      </w:r>
      <w:r>
        <w:rPr>
          <w:rFonts w:ascii="Trlit_CG Times" w:hAnsi="Trlit_CG Times"/>
          <w:color w:val="000000" w:themeColor="text1"/>
        </w:rPr>
        <w:t>X</w:t>
      </w:r>
      <w:r w:rsidRPr="00C4107B">
        <w:rPr>
          <w:rFonts w:ascii="Trlit_CG Times" w:hAnsi="Trlit_CG Times"/>
          <w:color w:val="000000" w:themeColor="text1"/>
        </w:rPr>
        <w:t>db</w:t>
      </w:r>
      <w:r w:rsidRPr="00BF4851">
        <w:rPr>
          <w:color w:val="000000" w:themeColor="text1"/>
        </w:rPr>
        <w:t xml:space="preserve"> is written </w:t>
      </w:r>
      <w:r>
        <w:rPr>
          <w:color w:val="000000" w:themeColor="text1"/>
        </w:rPr>
        <w:t>ideographically, but reading ‘kill’ is more plausible than ‘mutilate’</w:t>
      </w:r>
      <w:r w:rsidRPr="00BF4851">
        <w:rPr>
          <w:color w:val="000000" w:themeColor="text1"/>
        </w:rPr>
        <w:t>.</w:t>
      </w:r>
    </w:p>
  </w:footnote>
  <w:footnote w:id="44">
    <w:p w14:paraId="333C9E63" w14:textId="73BBEC00" w:rsidR="0093105E" w:rsidRPr="00DB3457" w:rsidRDefault="0093105E">
      <w:pPr>
        <w:pStyle w:val="FootnoteText"/>
        <w:rPr>
          <w:color w:val="000000" w:themeColor="text1"/>
          <w:lang w:val="en-US"/>
        </w:rPr>
      </w:pPr>
      <w:r w:rsidRPr="00DB3457">
        <w:rPr>
          <w:rStyle w:val="FootnoteReference"/>
          <w:color w:val="000000" w:themeColor="text1"/>
        </w:rPr>
        <w:footnoteRef/>
      </w:r>
      <w:r w:rsidRPr="00DB3457">
        <w:rPr>
          <w:color w:val="000000" w:themeColor="text1"/>
        </w:rPr>
        <w:t xml:space="preserve"> </w:t>
      </w:r>
      <w:r>
        <w:rPr>
          <w:color w:val="000000" w:themeColor="text1"/>
        </w:rPr>
        <w:t>p</w:t>
      </w:r>
      <w:r w:rsidRPr="00DB3457">
        <w:rPr>
          <w:color w:val="000000" w:themeColor="text1"/>
        </w:rPr>
        <w:t>BM 10052, 11, 12.</w:t>
      </w:r>
    </w:p>
  </w:footnote>
  <w:footnote w:id="45">
    <w:p w14:paraId="32145B08" w14:textId="0B59B4DD" w:rsidR="0093105E" w:rsidRPr="00BF4851" w:rsidRDefault="0093105E" w:rsidP="00BF4851">
      <w:pPr>
        <w:rPr>
          <w:color w:val="000000" w:themeColor="text1"/>
        </w:rPr>
      </w:pPr>
      <w:r w:rsidRPr="00BF4851">
        <w:rPr>
          <w:rStyle w:val="FootnoteReference"/>
          <w:color w:val="000000" w:themeColor="text1"/>
        </w:rPr>
        <w:footnoteRef/>
      </w:r>
      <w:r>
        <w:rPr>
          <w:color w:val="000000" w:themeColor="text1"/>
        </w:rPr>
        <w:t xml:space="preserve"> pBM 10052, 8, 19-21.</w:t>
      </w:r>
    </w:p>
  </w:footnote>
  <w:footnote w:id="46">
    <w:p w14:paraId="4D5A211E" w14:textId="7989BF30" w:rsidR="0093105E" w:rsidRPr="004D2D3B" w:rsidRDefault="0093105E">
      <w:pPr>
        <w:pStyle w:val="FootnoteText"/>
        <w:rPr>
          <w:lang w:val="en-US"/>
        </w:rPr>
      </w:pPr>
      <w:r>
        <w:rPr>
          <w:rStyle w:val="FootnoteReference"/>
        </w:rPr>
        <w:footnoteRef/>
      </w:r>
      <w:r>
        <w:t xml:space="preserve"> </w:t>
      </w:r>
      <w:r w:rsidRPr="001B77DE">
        <w:t>RAD</w:t>
      </w:r>
      <w:r>
        <w:t xml:space="preserve"> 76, 4-5 = pTurin 1887 (Turin Indictment Papyrus) 2, 3; the references to cutting off a hand (</w:t>
      </w:r>
      <w:r w:rsidRPr="004D2D3B">
        <w:rPr>
          <w:rFonts w:ascii="Trlit_CG Times" w:hAnsi="Trlit_CG Times"/>
        </w:rPr>
        <w:t>iw=f Sad Drt=f</w:t>
      </w:r>
      <w:r>
        <w:t xml:space="preserve">: </w:t>
      </w:r>
      <w:r w:rsidRPr="001B77DE">
        <w:t xml:space="preserve">RAD </w:t>
      </w:r>
      <w:r>
        <w:t xml:space="preserve">74, 3 and 3 = pTurin 1887, 1, 2-3) </w:t>
      </w:r>
      <w:r w:rsidRPr="004D2D3B">
        <w:t>seem to be in the context of sacred/temple animals not people.</w:t>
      </w:r>
    </w:p>
  </w:footnote>
  <w:footnote w:id="47">
    <w:p w14:paraId="4C664DB8" w14:textId="2B546242" w:rsidR="0093105E" w:rsidRPr="002A073A" w:rsidRDefault="0093105E" w:rsidP="002A073A">
      <w:pPr>
        <w:rPr>
          <w:b/>
          <w:i/>
          <w:color w:val="FF0000"/>
        </w:rPr>
      </w:pPr>
      <w:r w:rsidRPr="00517101">
        <w:rPr>
          <w:rStyle w:val="FootnoteReference"/>
        </w:rPr>
        <w:footnoteRef/>
      </w:r>
      <w:r w:rsidRPr="00517101">
        <w:t xml:space="preserve"> </w:t>
      </w:r>
      <w:r w:rsidRPr="00517101">
        <w:rPr>
          <w:smallCaps/>
        </w:rPr>
        <w:t>van den Boorn</w:t>
      </w:r>
      <w:r>
        <w:t xml:space="preserve"> 1988, R 13, p.</w:t>
      </w:r>
      <w:r w:rsidRPr="00517101">
        <w:t>118-119 taking the view that the vizier is</w:t>
      </w:r>
      <w:r>
        <w:t xml:space="preserve"> exercising the royal prerogative.</w:t>
      </w:r>
    </w:p>
  </w:footnote>
  <w:footnote w:id="48">
    <w:p w14:paraId="52063C5D" w14:textId="2D7E70EB" w:rsidR="0093105E" w:rsidRPr="002A073A" w:rsidRDefault="0093105E" w:rsidP="00AE2CF3">
      <w:pPr>
        <w:pStyle w:val="FootnoteText"/>
        <w:rPr>
          <w:color w:val="FF0000"/>
        </w:rPr>
      </w:pPr>
      <w:r w:rsidRPr="00AE2CF3">
        <w:rPr>
          <w:rStyle w:val="FootnoteReference"/>
        </w:rPr>
        <w:footnoteRef/>
      </w:r>
      <w:r w:rsidRPr="00AE2CF3">
        <w:t xml:space="preserve"> </w:t>
      </w:r>
      <w:r w:rsidRPr="00AE2CF3">
        <w:rPr>
          <w:smallCaps/>
        </w:rPr>
        <w:t>Willems</w:t>
      </w:r>
      <w:r w:rsidRPr="00AE2CF3">
        <w:t xml:space="preserve"> 1990; </w:t>
      </w:r>
      <w:r w:rsidRPr="00AE2CF3">
        <w:rPr>
          <w:smallCaps/>
        </w:rPr>
        <w:t>Assmann</w:t>
      </w:r>
      <w:r w:rsidRPr="00AE2CF3">
        <w:t xml:space="preserve"> </w:t>
      </w:r>
      <w:r>
        <w:t>1992.</w:t>
      </w:r>
    </w:p>
  </w:footnote>
  <w:footnote w:id="49">
    <w:p w14:paraId="7E34A325" w14:textId="19D5ED14" w:rsidR="0093105E" w:rsidRPr="00D732D6" w:rsidRDefault="0093105E" w:rsidP="00AE4C0F">
      <w:pPr>
        <w:pStyle w:val="NormalWeb"/>
        <w:spacing w:before="0" w:beforeAutospacing="0" w:after="0" w:afterAutospacing="0"/>
        <w:contextualSpacing/>
        <w:rPr>
          <w:rFonts w:ascii="Palatino" w:hAnsi="Palatino"/>
          <w:sz w:val="24"/>
          <w:szCs w:val="24"/>
        </w:rPr>
      </w:pPr>
      <w:r w:rsidRPr="00D732D6">
        <w:rPr>
          <w:rStyle w:val="FootnoteReference"/>
          <w:szCs w:val="24"/>
        </w:rPr>
        <w:footnoteRef/>
      </w:r>
      <w:r w:rsidRPr="00D732D6">
        <w:rPr>
          <w:rFonts w:ascii="Palatino" w:hAnsi="Palatino"/>
          <w:sz w:val="24"/>
          <w:szCs w:val="24"/>
        </w:rPr>
        <w:t xml:space="preserve"> Diodorus, I.78.5.</w:t>
      </w:r>
    </w:p>
  </w:footnote>
  <w:footnote w:id="50">
    <w:p w14:paraId="7325DCBA" w14:textId="2BAFAA5A" w:rsidR="0093105E" w:rsidRPr="001B77DE" w:rsidRDefault="0093105E" w:rsidP="00F1463A">
      <w:pPr>
        <w:pStyle w:val="FootnoteText"/>
      </w:pPr>
      <w:r>
        <w:rPr>
          <w:rStyle w:val="FootnoteReference"/>
        </w:rPr>
        <w:footnoteRef/>
      </w:r>
      <w:r>
        <w:t xml:space="preserve"> </w:t>
      </w:r>
      <w:r w:rsidRPr="001B77DE">
        <w:t xml:space="preserve">Urk. IV, 1297, 1 - 1298, 4; </w:t>
      </w:r>
      <w:r w:rsidRPr="001B77DE">
        <w:rPr>
          <w:smallCaps/>
        </w:rPr>
        <w:t>Klug</w:t>
      </w:r>
      <w:r w:rsidRPr="001B77DE">
        <w:t xml:space="preserve"> 2002, 286-292.</w:t>
      </w:r>
    </w:p>
  </w:footnote>
  <w:footnote w:id="51">
    <w:p w14:paraId="0E91C867" w14:textId="7B18033B" w:rsidR="0093105E" w:rsidRDefault="0093105E" w:rsidP="00F1463A">
      <w:pPr>
        <w:pStyle w:val="FootnoteText"/>
      </w:pPr>
      <w:r w:rsidRPr="001B77DE">
        <w:rPr>
          <w:rStyle w:val="FootnoteReference"/>
        </w:rPr>
        <w:footnoteRef/>
      </w:r>
      <w:r w:rsidRPr="001B77DE">
        <w:t xml:space="preserve"> Urk. </w:t>
      </w:r>
      <w:r>
        <w:t xml:space="preserve">IV, 9, 3-6. </w:t>
      </w:r>
    </w:p>
  </w:footnote>
  <w:footnote w:id="52">
    <w:p w14:paraId="3C50FF6A" w14:textId="1EEC9935" w:rsidR="0093105E" w:rsidRPr="00587925" w:rsidRDefault="0093105E" w:rsidP="005B55F3">
      <w:pPr>
        <w:pStyle w:val="FootnoteText"/>
      </w:pPr>
      <w:r>
        <w:rPr>
          <w:rStyle w:val="FootnoteReference"/>
        </w:rPr>
        <w:footnoteRef/>
      </w:r>
      <w:r>
        <w:t xml:space="preserve"> </w:t>
      </w:r>
      <w:r w:rsidRPr="00BD7CC3">
        <w:rPr>
          <w:smallCaps/>
        </w:rPr>
        <w:t>Grimm</w:t>
      </w:r>
      <w:r>
        <w:t xml:space="preserve"> 1987; 1989, arguing that a ritual of destroying enemy by drowning is </w:t>
      </w:r>
      <w:r w:rsidRPr="00587925">
        <w:t xml:space="preserve">represented); cf. </w:t>
      </w:r>
      <w:r w:rsidRPr="00587925">
        <w:rPr>
          <w:smallCaps/>
        </w:rPr>
        <w:t>Muhlestein</w:t>
      </w:r>
      <w:r w:rsidRPr="00587925">
        <w:t xml:space="preserve"> 2005, 174-175 for display of enemies in this way.</w:t>
      </w:r>
    </w:p>
  </w:footnote>
  <w:footnote w:id="53">
    <w:p w14:paraId="7DD79F95" w14:textId="32C72B26" w:rsidR="0093105E" w:rsidRPr="006367CD" w:rsidRDefault="0093105E">
      <w:pPr>
        <w:pStyle w:val="FootnoteText"/>
        <w:rPr>
          <w:lang w:val="en-US"/>
        </w:rPr>
      </w:pPr>
      <w:r>
        <w:rPr>
          <w:rStyle w:val="FootnoteReference"/>
        </w:rPr>
        <w:footnoteRef/>
      </w:r>
      <w:r>
        <w:t xml:space="preserve"> </w:t>
      </w:r>
      <w:r>
        <w:rPr>
          <w:lang w:val="en-US"/>
        </w:rPr>
        <w:t>Cf. the depiction on the Narmer palette (</w:t>
      </w:r>
      <w:r w:rsidRPr="00B840EA">
        <w:rPr>
          <w:smallCaps/>
          <w:lang w:val="en-US"/>
        </w:rPr>
        <w:t>Schultz</w:t>
      </w:r>
      <w:r>
        <w:rPr>
          <w:lang w:val="en-US"/>
        </w:rPr>
        <w:t xml:space="preserve"> 2002, Abb. 3) of a hawk controlling a head (attached to a land sign) by a rope through his nose.</w:t>
      </w:r>
    </w:p>
  </w:footnote>
  <w:footnote w:id="54">
    <w:p w14:paraId="463EF16F" w14:textId="57F13DCE" w:rsidR="0093105E" w:rsidRPr="0076400A" w:rsidRDefault="0093105E">
      <w:pPr>
        <w:pStyle w:val="FootnoteText"/>
        <w:rPr>
          <w:lang w:val="en-US"/>
        </w:rPr>
      </w:pPr>
      <w:r>
        <w:rPr>
          <w:rStyle w:val="FootnoteReference"/>
        </w:rPr>
        <w:footnoteRef/>
      </w:r>
      <w:r>
        <w:t xml:space="preserve"> </w:t>
      </w:r>
      <w:r w:rsidRPr="0076400A">
        <w:rPr>
          <w:smallCaps/>
        </w:rPr>
        <w:t>Crouch</w:t>
      </w:r>
      <w:r>
        <w:t xml:space="preserve"> 2009, 140, 152-153.</w:t>
      </w:r>
    </w:p>
  </w:footnote>
  <w:footnote w:id="55">
    <w:p w14:paraId="5B1EC8DC" w14:textId="37CD6A69" w:rsidR="0093105E" w:rsidRPr="007309EF" w:rsidRDefault="0093105E" w:rsidP="00E504A8">
      <w:pPr>
        <w:pStyle w:val="FootnoteText"/>
        <w:rPr>
          <w:lang w:val="en-US"/>
        </w:rPr>
      </w:pPr>
      <w:r w:rsidRPr="007309EF">
        <w:rPr>
          <w:rStyle w:val="FootnoteReference"/>
        </w:rPr>
        <w:footnoteRef/>
      </w:r>
      <w:r w:rsidRPr="007309EF">
        <w:t xml:space="preserve"> </w:t>
      </w:r>
      <w:r w:rsidRPr="007309EF">
        <w:rPr>
          <w:smallCaps/>
        </w:rPr>
        <w:t xml:space="preserve">Vachala </w:t>
      </w:r>
      <w:r>
        <w:t xml:space="preserve">1991, 91. </w:t>
      </w:r>
    </w:p>
  </w:footnote>
  <w:footnote w:id="56">
    <w:p w14:paraId="666D85E4" w14:textId="2678173C" w:rsidR="0093105E" w:rsidRPr="0076400A" w:rsidRDefault="0093105E">
      <w:pPr>
        <w:pStyle w:val="FootnoteText"/>
        <w:rPr>
          <w:lang w:val="en-US"/>
        </w:rPr>
      </w:pPr>
      <w:r w:rsidRPr="00162A3E">
        <w:rPr>
          <w:rStyle w:val="FootnoteReference"/>
        </w:rPr>
        <w:footnoteRef/>
      </w:r>
      <w:r w:rsidRPr="00162A3E">
        <w:t xml:space="preserve"> </w:t>
      </w:r>
      <w:r w:rsidRPr="00162A3E">
        <w:rPr>
          <w:lang w:val="en-US"/>
        </w:rPr>
        <w:t xml:space="preserve">E.g., Medinet Habu I, pl. 21-26, 37, 41, 48. </w:t>
      </w:r>
      <w:r w:rsidRPr="00162A3E">
        <w:t xml:space="preserve">Similarly </w:t>
      </w:r>
      <w:r w:rsidRPr="00162A3E">
        <w:rPr>
          <w:smallCaps/>
          <w:lang w:val="en-US"/>
        </w:rPr>
        <w:t>Martin</w:t>
      </w:r>
      <w:r w:rsidRPr="00162A3E">
        <w:rPr>
          <w:lang w:val="en-US"/>
        </w:rPr>
        <w:t xml:space="preserve"> 1989, pl. 78-93, 99-</w:t>
      </w:r>
      <w:r w:rsidRPr="007309EF">
        <w:rPr>
          <w:lang w:val="en-US"/>
        </w:rPr>
        <w:t>105 mixes rows of male Nubian and Asiatic prisoners, unfettered, with others handcuffed in procession with females and children, and incidents of punches thrown and sticks used. Here prisoners for resettlement are evidently at issue.</w:t>
      </w:r>
    </w:p>
  </w:footnote>
  <w:footnote w:id="57">
    <w:p w14:paraId="19D9F30F" w14:textId="3F7E4186" w:rsidR="0093105E" w:rsidRPr="004F191F" w:rsidRDefault="0093105E" w:rsidP="00753A2D">
      <w:r w:rsidRPr="004F191F">
        <w:rPr>
          <w:rStyle w:val="FootnoteReference"/>
        </w:rPr>
        <w:footnoteRef/>
      </w:r>
      <w:r w:rsidRPr="004F191F">
        <w:t xml:space="preserve"> </w:t>
      </w:r>
      <w:r>
        <w:t xml:space="preserve">pHarris I, 77, 5-6; </w:t>
      </w:r>
      <w:r w:rsidRPr="00162A3E">
        <w:rPr>
          <w:lang w:val="en-US"/>
        </w:rPr>
        <w:t xml:space="preserve">Medinet Habu </w:t>
      </w:r>
      <w:r>
        <w:rPr>
          <w:lang w:val="en-US"/>
        </w:rPr>
        <w:t>I</w:t>
      </w:r>
      <w:r w:rsidRPr="004F191F">
        <w:t xml:space="preserve">, 42, lower right; cf. </w:t>
      </w:r>
      <w:r w:rsidRPr="004F191F">
        <w:rPr>
          <w:smallCaps/>
          <w:szCs w:val="24"/>
        </w:rPr>
        <w:t>Gnirs</w:t>
      </w:r>
      <w:r w:rsidRPr="004F191F">
        <w:t xml:space="preserve"> and </w:t>
      </w:r>
      <w:r w:rsidRPr="004F191F">
        <w:rPr>
          <w:smallCaps/>
          <w:szCs w:val="24"/>
        </w:rPr>
        <w:t>Loprieno</w:t>
      </w:r>
      <w:r w:rsidRPr="004F191F">
        <w:t xml:space="preserve"> 2009, 495.</w:t>
      </w:r>
    </w:p>
  </w:footnote>
  <w:footnote w:id="58">
    <w:p w14:paraId="09C1E293" w14:textId="691C709B" w:rsidR="0093105E" w:rsidRPr="00162A3E" w:rsidRDefault="0093105E" w:rsidP="00F1463A">
      <w:pPr>
        <w:pStyle w:val="FootnoteText"/>
        <w:rPr>
          <w:lang w:val="en-US"/>
        </w:rPr>
      </w:pPr>
      <w:r w:rsidRPr="00162A3E">
        <w:rPr>
          <w:rStyle w:val="FootnoteReference"/>
        </w:rPr>
        <w:footnoteRef/>
      </w:r>
      <w:r w:rsidRPr="00162A3E">
        <w:t xml:space="preserve"> </w:t>
      </w:r>
      <w:r w:rsidRPr="00162A3E">
        <w:rPr>
          <w:lang w:val="en-US"/>
        </w:rPr>
        <w:t xml:space="preserve">Urk. IV, 1304, 17-19: </w:t>
      </w:r>
      <w:r w:rsidRPr="00162A3E">
        <w:rPr>
          <w:smallCaps/>
        </w:rPr>
        <w:t>Klug</w:t>
      </w:r>
      <w:r w:rsidRPr="00162A3E">
        <w:t xml:space="preserve"> 2002</w:t>
      </w:r>
      <w:r w:rsidRPr="00162A3E">
        <w:rPr>
          <w:lang w:val="en-US"/>
        </w:rPr>
        <w:t xml:space="preserve">, 242-253; cf. </w:t>
      </w:r>
      <w:r w:rsidRPr="00162A3E">
        <w:rPr>
          <w:smallCaps/>
          <w:lang w:val="cs-CZ"/>
        </w:rPr>
        <w:t>Zayed</w:t>
      </w:r>
      <w:r w:rsidRPr="00162A3E">
        <w:rPr>
          <w:lang w:val="en-US"/>
        </w:rPr>
        <w:t xml:space="preserve"> 1985 for illustration, and Urk. IV, 1311, 8-12, referring also to the king personally killing with his </w:t>
      </w:r>
      <w:r w:rsidRPr="00162A3E">
        <w:rPr>
          <w:rFonts w:ascii="Trlit_CG Times" w:hAnsi="Trlit_CG Times"/>
          <w:lang w:val="en-US"/>
        </w:rPr>
        <w:t>minb</w:t>
      </w:r>
      <w:r w:rsidRPr="00162A3E">
        <w:rPr>
          <w:lang w:val="en-US"/>
        </w:rPr>
        <w:t xml:space="preserve">, </w:t>
      </w:r>
      <w:r w:rsidRPr="00162A3E">
        <w:rPr>
          <w:smallCaps/>
        </w:rPr>
        <w:t>Klug</w:t>
      </w:r>
      <w:r w:rsidRPr="00162A3E">
        <w:t xml:space="preserve"> 2002</w:t>
      </w:r>
      <w:r w:rsidRPr="00162A3E">
        <w:rPr>
          <w:lang w:val="en-US"/>
        </w:rPr>
        <w:t>, 260-270.</w:t>
      </w:r>
    </w:p>
  </w:footnote>
  <w:footnote w:id="59">
    <w:p w14:paraId="6E1DDBFE" w14:textId="71BE1C6B" w:rsidR="0093105E" w:rsidRPr="00162A3E" w:rsidRDefault="0093105E" w:rsidP="00F1463A">
      <w:pPr>
        <w:pStyle w:val="FootnoteText"/>
        <w:rPr>
          <w:lang w:val="en-US"/>
        </w:rPr>
      </w:pPr>
      <w:r w:rsidRPr="00162A3E">
        <w:rPr>
          <w:rStyle w:val="FootnoteReference"/>
        </w:rPr>
        <w:footnoteRef/>
      </w:r>
      <w:r w:rsidRPr="00162A3E">
        <w:t xml:space="preserve"> </w:t>
      </w:r>
      <w:r w:rsidRPr="00162A3E">
        <w:rPr>
          <w:lang w:val="en-US"/>
        </w:rPr>
        <w:t>Urk. IV,</w:t>
      </w:r>
      <w:r w:rsidRPr="00162A3E">
        <w:t xml:space="preserve"> 1304, 12-13.</w:t>
      </w:r>
    </w:p>
  </w:footnote>
  <w:footnote w:id="60">
    <w:p w14:paraId="0A8DA121" w14:textId="251C4DFD" w:rsidR="0093105E" w:rsidRPr="00162A3E" w:rsidRDefault="0093105E" w:rsidP="00F1463A">
      <w:pPr>
        <w:pStyle w:val="FootnoteText"/>
        <w:rPr>
          <w:lang w:val="en-US"/>
        </w:rPr>
      </w:pPr>
      <w:r w:rsidRPr="00162A3E">
        <w:rPr>
          <w:rStyle w:val="FootnoteReference"/>
        </w:rPr>
        <w:footnoteRef/>
      </w:r>
      <w:r w:rsidRPr="00162A3E">
        <w:t xml:space="preserve"> Urk. IV, 1307, 10-17; </w:t>
      </w:r>
      <w:r w:rsidRPr="00162A3E">
        <w:rPr>
          <w:smallCaps/>
        </w:rPr>
        <w:t>Klug</w:t>
      </w:r>
      <w:r w:rsidRPr="00162A3E">
        <w:t xml:space="preserve"> 2002</w:t>
      </w:r>
      <w:r w:rsidRPr="00162A3E">
        <w:rPr>
          <w:lang w:val="en-US"/>
        </w:rPr>
        <w:t>, 249.</w:t>
      </w:r>
    </w:p>
  </w:footnote>
  <w:footnote w:id="61">
    <w:p w14:paraId="05D9CF22" w14:textId="36B37D17" w:rsidR="0093105E" w:rsidRPr="001F7944" w:rsidRDefault="0093105E" w:rsidP="00F1463A">
      <w:pPr>
        <w:pStyle w:val="FootnoteText"/>
        <w:rPr>
          <w:smallCaps/>
          <w:lang w:val="en-US"/>
        </w:rPr>
      </w:pPr>
      <w:r w:rsidRPr="001F7944">
        <w:rPr>
          <w:rStyle w:val="FootnoteReference"/>
          <w:smallCaps/>
        </w:rPr>
        <w:footnoteRef/>
      </w:r>
      <w:r w:rsidRPr="001F7944">
        <w:rPr>
          <w:smallCaps/>
        </w:rPr>
        <w:t xml:space="preserve"> </w:t>
      </w:r>
      <w:r w:rsidRPr="001F7944">
        <w:rPr>
          <w:smallCaps/>
          <w:lang w:val="en-US"/>
        </w:rPr>
        <w:t>Blankenberg-van Delden 1969</w:t>
      </w:r>
      <w:r>
        <w:rPr>
          <w:smallCaps/>
          <w:lang w:val="en-US"/>
        </w:rPr>
        <w:t xml:space="preserve">, 16-17, 56-62, </w:t>
      </w:r>
      <w:r w:rsidRPr="00AE4ABA">
        <w:rPr>
          <w:lang w:val="en-US"/>
        </w:rPr>
        <w:t xml:space="preserve">pl. </w:t>
      </w:r>
      <w:r>
        <w:rPr>
          <w:smallCaps/>
          <w:lang w:val="en-US"/>
        </w:rPr>
        <w:t>X.</w:t>
      </w:r>
    </w:p>
  </w:footnote>
  <w:footnote w:id="62">
    <w:p w14:paraId="213284E1" w14:textId="08E7C9AA" w:rsidR="0093105E" w:rsidRPr="00AA32F9" w:rsidRDefault="0093105E" w:rsidP="00F1463A">
      <w:r>
        <w:rPr>
          <w:rStyle w:val="FootnoteReference"/>
        </w:rPr>
        <w:footnoteRef/>
      </w:r>
      <w:r>
        <w:t xml:space="preserve"> </w:t>
      </w:r>
      <w:r w:rsidRPr="00783316">
        <w:t>C</w:t>
      </w:r>
      <w:r w:rsidRPr="00783316">
        <w:rPr>
          <w:smallCaps/>
          <w:szCs w:val="24"/>
        </w:rPr>
        <w:t>aminos</w:t>
      </w:r>
      <w:r w:rsidRPr="00783316">
        <w:t xml:space="preserve"> 1958, 48-51, lines 35-36</w:t>
      </w:r>
      <w:r>
        <w:t xml:space="preserve">; </w:t>
      </w:r>
      <w:r w:rsidRPr="00EA186F">
        <w:rPr>
          <w:smallCaps/>
          <w:szCs w:val="24"/>
        </w:rPr>
        <w:t>Jansen-Winkeln</w:t>
      </w:r>
      <w:r>
        <w:t xml:space="preserve"> 2007, 164-165; </w:t>
      </w:r>
      <w:r w:rsidRPr="00EE3AA9">
        <w:rPr>
          <w:rFonts w:cs="AGaramondPro-Regular"/>
          <w:smallCaps/>
          <w:szCs w:val="24"/>
          <w:lang w:val="en-US"/>
        </w:rPr>
        <w:t>Ritner</w:t>
      </w:r>
      <w:r>
        <w:rPr>
          <w:rFonts w:cs="AGaramondPro-Regular"/>
          <w:smallCaps/>
          <w:szCs w:val="24"/>
          <w:lang w:val="en-US"/>
        </w:rPr>
        <w:t xml:space="preserve"> </w:t>
      </w:r>
      <w:r w:rsidRPr="00AA32F9">
        <w:rPr>
          <w:rFonts w:cs="AGaramondPro-Regular"/>
          <w:smallCaps/>
          <w:szCs w:val="24"/>
          <w:lang w:val="en-US"/>
        </w:rPr>
        <w:t>2009</w:t>
      </w:r>
      <w:r w:rsidRPr="00AA32F9">
        <w:rPr>
          <w:rFonts w:cs="AGaramondPro-Regular"/>
          <w:szCs w:val="24"/>
          <w:lang w:val="en-US"/>
        </w:rPr>
        <w:t xml:space="preserve">, </w:t>
      </w:r>
      <w:r w:rsidRPr="00AA32F9">
        <w:t>352-356.</w:t>
      </w:r>
    </w:p>
  </w:footnote>
  <w:footnote w:id="63">
    <w:p w14:paraId="4FE323F8" w14:textId="08420D20" w:rsidR="0093105E" w:rsidRPr="00AA32F9" w:rsidRDefault="0093105E" w:rsidP="00F1463A">
      <w:r w:rsidRPr="00AA32F9">
        <w:rPr>
          <w:rStyle w:val="FootnoteReference"/>
        </w:rPr>
        <w:footnoteRef/>
      </w:r>
      <w:r w:rsidRPr="00AA32F9">
        <w:t xml:space="preserve"> C</w:t>
      </w:r>
      <w:r w:rsidRPr="00AA32F9">
        <w:rPr>
          <w:smallCaps/>
          <w:szCs w:val="24"/>
        </w:rPr>
        <w:t>aminos 1958</w:t>
      </w:r>
      <w:r w:rsidRPr="00AA32F9">
        <w:t xml:space="preserve">, 42-45, lines 31-32. Cf. </w:t>
      </w:r>
      <w:r w:rsidRPr="00AA32F9">
        <w:rPr>
          <w:smallCaps/>
          <w:szCs w:val="24"/>
        </w:rPr>
        <w:t xml:space="preserve">Franke </w:t>
      </w:r>
      <w:r w:rsidRPr="00AA32F9">
        <w:t xml:space="preserve">2005, esp. 92-93, </w:t>
      </w:r>
      <w:r>
        <w:t>arguing</w:t>
      </w:r>
      <w:r w:rsidRPr="00AA32F9">
        <w:t xml:space="preserve"> the destruction of enemies as a sacral act, and the difficulty of separating the sacred from</w:t>
      </w:r>
      <w:r>
        <w:t xml:space="preserve"> the profane in this respect.</w:t>
      </w:r>
      <w:r w:rsidRPr="00AA32F9">
        <w:t xml:space="preserve"> </w:t>
      </w:r>
    </w:p>
  </w:footnote>
  <w:footnote w:id="64">
    <w:p w14:paraId="283AE4FA" w14:textId="16D700FF" w:rsidR="0093105E" w:rsidRPr="004576F1" w:rsidRDefault="0093105E" w:rsidP="004576F1">
      <w:r w:rsidRPr="00C9640E">
        <w:rPr>
          <w:rStyle w:val="FootnoteReference"/>
        </w:rPr>
        <w:footnoteRef/>
      </w:r>
      <w:r w:rsidRPr="00C9640E">
        <w:t xml:space="preserve"> </w:t>
      </w:r>
      <w:r w:rsidRPr="00C9640E">
        <w:rPr>
          <w:smallCaps/>
          <w:lang w:val="en-US"/>
        </w:rPr>
        <w:t>Yoyotte</w:t>
      </w:r>
      <w:r w:rsidRPr="00C9640E">
        <w:rPr>
          <w:lang w:val="en-US"/>
        </w:rPr>
        <w:t xml:space="preserve"> 1980-1981, e</w:t>
      </w:r>
      <w:r w:rsidRPr="00C9640E">
        <w:t xml:space="preserve">xpanded by </w:t>
      </w:r>
      <w:r w:rsidRPr="00C9640E">
        <w:rPr>
          <w:smallCaps/>
        </w:rPr>
        <w:t>Volokhine</w:t>
      </w:r>
      <w:r w:rsidRPr="00C9640E">
        <w:t xml:space="preserve"> 2013, 47, 51-52</w:t>
      </w:r>
      <w:r>
        <w:t xml:space="preserve">, 62 </w:t>
      </w:r>
      <w:r w:rsidRPr="00C9640E">
        <w:t>stressing, the</w:t>
      </w:r>
      <w:r w:rsidRPr="004E453F">
        <w:t xml:space="preserve"> relationship b</w:t>
      </w:r>
      <w:r>
        <w:t xml:space="preserve">etween massacres of prisoners, </w:t>
      </w:r>
      <w:r w:rsidRPr="004E453F">
        <w:t>and judicial executions, contrasting  ‘virtual’ vs. ‘real’ executions, with king as executioner</w:t>
      </w:r>
      <w:r>
        <w:t>, and concluding that the ‘mise à mort d’êtres humains lors des procedure ritualisées’, was not ‘sacrifice’ but part of the central Egyptian ritual process of ‘offering’: belonging to a complex discourse over the protection of Egypt and the world in the face of enemies, in which power was exalted by massacr</w:t>
      </w:r>
      <w:r w:rsidRPr="0044267C">
        <w:t xml:space="preserve">e of enemies. </w:t>
      </w:r>
      <w:r>
        <w:rPr>
          <w:lang w:val="en-US"/>
        </w:rPr>
        <w:t xml:space="preserve">On burnt offerings and relation to destruction of enemies </w:t>
      </w:r>
      <w:r>
        <w:t>cf</w:t>
      </w:r>
      <w:r>
        <w:rPr>
          <w:lang w:val="en-US"/>
        </w:rPr>
        <w:t xml:space="preserve">. </w:t>
      </w:r>
      <w:r>
        <w:rPr>
          <w:smallCaps/>
          <w:szCs w:val="24"/>
        </w:rPr>
        <w:t>Eyre</w:t>
      </w:r>
      <w:r w:rsidRPr="004576F1">
        <w:t xml:space="preserve"> 2003, 171-174</w:t>
      </w:r>
      <w:r>
        <w:t xml:space="preserve">, and </w:t>
      </w:r>
      <w:r w:rsidRPr="0044267C">
        <w:rPr>
          <w:smallCaps/>
          <w:lang w:val="en-US"/>
        </w:rPr>
        <w:t>Grimm</w:t>
      </w:r>
      <w:r w:rsidRPr="0044267C">
        <w:rPr>
          <w:lang w:val="en-US"/>
        </w:rPr>
        <w:t xml:space="preserve"> 1988, on a ritual of burning of enemies in </w:t>
      </w:r>
      <w:r w:rsidRPr="0044267C">
        <w:rPr>
          <w:rFonts w:ascii="Trlit_CG Times" w:hAnsi="Trlit_CG Times"/>
          <w:lang w:val="en-US"/>
        </w:rPr>
        <w:t>wsxt</w:t>
      </w:r>
      <w:r>
        <w:rPr>
          <w:lang w:val="en-US"/>
        </w:rPr>
        <w:t>-court</w:t>
      </w:r>
      <w:r w:rsidRPr="004576F1">
        <w:t>.</w:t>
      </w:r>
    </w:p>
  </w:footnote>
  <w:footnote w:id="65">
    <w:p w14:paraId="3FF89522" w14:textId="2FE1755B" w:rsidR="0093105E" w:rsidRPr="00A6070C" w:rsidRDefault="0093105E" w:rsidP="00944C86">
      <w:r>
        <w:rPr>
          <w:rStyle w:val="FootnoteReference"/>
        </w:rPr>
        <w:footnoteRef/>
      </w:r>
      <w:r>
        <w:t xml:space="preserve"> </w:t>
      </w:r>
      <w:r w:rsidRPr="005D7BA3">
        <w:rPr>
          <w:smallCaps/>
          <w:szCs w:val="24"/>
        </w:rPr>
        <w:t xml:space="preserve">Eyre </w:t>
      </w:r>
      <w:r>
        <w:t xml:space="preserve">2002: 162-164 for collection of material on slaughtering enemies, and the overlap between real, ritual and and propaganda. </w:t>
      </w:r>
    </w:p>
  </w:footnote>
  <w:footnote w:id="66">
    <w:p w14:paraId="6779B6D2" w14:textId="6D974CCF" w:rsidR="0093105E" w:rsidRPr="0044267C" w:rsidRDefault="0093105E" w:rsidP="0044267C">
      <w:pPr>
        <w:pStyle w:val="FootnoteText"/>
        <w:rPr>
          <w:lang w:val="en-US"/>
        </w:rPr>
      </w:pPr>
      <w:r>
        <w:rPr>
          <w:rStyle w:val="FootnoteReference"/>
        </w:rPr>
        <w:footnoteRef/>
      </w:r>
      <w:r>
        <w:t xml:space="preserve"> </w:t>
      </w:r>
      <w:r w:rsidRPr="0044267C">
        <w:rPr>
          <w:smallCaps/>
          <w:lang w:val="en-US"/>
        </w:rPr>
        <w:t>Hall</w:t>
      </w:r>
      <w:r w:rsidRPr="00AD561A">
        <w:rPr>
          <w:lang w:val="en-US"/>
        </w:rPr>
        <w:t xml:space="preserve"> 1986 for collection of scenes of king smiting ca</w:t>
      </w:r>
      <w:r>
        <w:rPr>
          <w:lang w:val="en-US"/>
        </w:rPr>
        <w:t xml:space="preserve">ptive enemy. </w:t>
      </w:r>
      <w:r w:rsidRPr="0044267C">
        <w:rPr>
          <w:smallCaps/>
          <w:lang w:val="en-US"/>
        </w:rPr>
        <w:t>Schulman</w:t>
      </w:r>
      <w:r w:rsidRPr="00395DD1">
        <w:rPr>
          <w:lang w:val="en-US"/>
        </w:rPr>
        <w:t xml:space="preserve"> 1988 stresses the overlap between specific event and its reification for eternity </w:t>
      </w:r>
      <w:r>
        <w:rPr>
          <w:lang w:val="en-US"/>
        </w:rPr>
        <w:t>through</w:t>
      </w:r>
      <w:r w:rsidRPr="00395DD1">
        <w:rPr>
          <w:lang w:val="en-US"/>
        </w:rPr>
        <w:t xml:space="preserve"> depiction.</w:t>
      </w:r>
    </w:p>
  </w:footnote>
  <w:footnote w:id="67">
    <w:p w14:paraId="45874DFB" w14:textId="3A49C5AF" w:rsidR="0093105E" w:rsidRPr="003A6E05" w:rsidRDefault="0093105E" w:rsidP="003A6E05">
      <w:r w:rsidRPr="001B77DE">
        <w:rPr>
          <w:rStyle w:val="FootnoteReference"/>
        </w:rPr>
        <w:footnoteRef/>
      </w:r>
      <w:r w:rsidRPr="001B77DE">
        <w:t xml:space="preserve"> KRI V</w:t>
      </w:r>
      <w:r>
        <w:t xml:space="preserve">, 70, 8-11: both grammar and lexicon are difficult. </w:t>
      </w:r>
    </w:p>
  </w:footnote>
  <w:footnote w:id="68">
    <w:p w14:paraId="5A709C7A" w14:textId="606AA4EC" w:rsidR="0093105E" w:rsidRPr="003A6E05" w:rsidRDefault="0093105E" w:rsidP="00C72CAB">
      <w:pPr>
        <w:widowControl w:val="0"/>
        <w:autoSpaceDE w:val="0"/>
        <w:autoSpaceDN w:val="0"/>
        <w:adjustRightInd w:val="0"/>
        <w:rPr>
          <w:rFonts w:cs="AGaramondPro-Regular"/>
          <w:szCs w:val="24"/>
          <w:lang w:val="en-US"/>
        </w:rPr>
      </w:pPr>
      <w:r w:rsidRPr="0044267C">
        <w:rPr>
          <w:rStyle w:val="FootnoteReference"/>
          <w:szCs w:val="24"/>
        </w:rPr>
        <w:footnoteRef/>
      </w:r>
      <w:r w:rsidRPr="0044267C">
        <w:rPr>
          <w:szCs w:val="24"/>
        </w:rPr>
        <w:t xml:space="preserve"> </w:t>
      </w:r>
      <w:r w:rsidRPr="0044267C">
        <w:rPr>
          <w:smallCaps/>
          <w:szCs w:val="24"/>
        </w:rPr>
        <w:t>Vila</w:t>
      </w:r>
      <w:r w:rsidRPr="0044267C">
        <w:rPr>
          <w:szCs w:val="24"/>
        </w:rPr>
        <w:t xml:space="preserve"> 1963; </w:t>
      </w:r>
      <w:r w:rsidRPr="0044267C">
        <w:rPr>
          <w:smallCaps/>
          <w:szCs w:val="24"/>
        </w:rPr>
        <w:t>Koenig</w:t>
      </w:r>
      <w:r w:rsidRPr="0044267C">
        <w:rPr>
          <w:szCs w:val="24"/>
        </w:rPr>
        <w:t xml:space="preserve"> 1990; </w:t>
      </w:r>
      <w:r w:rsidRPr="0044267C">
        <w:rPr>
          <w:rFonts w:cs="AGaramondPro-Regular"/>
          <w:smallCaps/>
          <w:szCs w:val="24"/>
          <w:lang w:val="en-US"/>
        </w:rPr>
        <w:t>Ritner</w:t>
      </w:r>
      <w:r w:rsidRPr="0044267C">
        <w:rPr>
          <w:rFonts w:cs="AGaramondPro-Regular"/>
          <w:szCs w:val="24"/>
          <w:lang w:val="en-US"/>
        </w:rPr>
        <w:t xml:space="preserve"> 1993, 153-180</w:t>
      </w:r>
      <w:r w:rsidRPr="0044267C">
        <w:rPr>
          <w:szCs w:val="24"/>
        </w:rPr>
        <w:t xml:space="preserve">. </w:t>
      </w:r>
      <w:r>
        <w:rPr>
          <w:szCs w:val="24"/>
        </w:rPr>
        <w:t xml:space="preserve">Also </w:t>
      </w:r>
      <w:r w:rsidRPr="00353A7C">
        <w:rPr>
          <w:rFonts w:cs="AGaramondPro-Regular"/>
          <w:smallCaps/>
          <w:szCs w:val="24"/>
          <w:lang w:val="en-US"/>
        </w:rPr>
        <w:t>Fuscaldo</w:t>
      </w:r>
      <w:r w:rsidRPr="00353A7C">
        <w:rPr>
          <w:rFonts w:cs="AGaramondPro-Regular"/>
          <w:szCs w:val="24"/>
          <w:lang w:val="en-US"/>
        </w:rPr>
        <w:t>, 2003</w:t>
      </w:r>
      <w:r>
        <w:rPr>
          <w:rFonts w:cs="AGaramondPro-Regular"/>
          <w:szCs w:val="24"/>
          <w:lang w:val="en-US"/>
        </w:rPr>
        <w:t xml:space="preserve">, identifying as execration material </w:t>
      </w:r>
      <w:r w:rsidRPr="007146C9">
        <w:rPr>
          <w:rFonts w:cs="AGaramondPro-Regular"/>
          <w:szCs w:val="24"/>
          <w:lang w:val="en-US"/>
        </w:rPr>
        <w:t>a small pit</w:t>
      </w:r>
      <w:r>
        <w:rPr>
          <w:rFonts w:cs="AGaramondPro-Regular"/>
          <w:szCs w:val="24"/>
          <w:lang w:val="en-US"/>
        </w:rPr>
        <w:t>,</w:t>
      </w:r>
      <w:r w:rsidRPr="007146C9">
        <w:rPr>
          <w:rFonts w:cs="AGaramondPro-Regular"/>
          <w:szCs w:val="24"/>
          <w:lang w:val="en-US"/>
        </w:rPr>
        <w:t xml:space="preserve"> </w:t>
      </w:r>
      <w:r>
        <w:rPr>
          <w:rFonts w:cs="AGaramondPro-Regular"/>
          <w:szCs w:val="24"/>
          <w:lang w:val="en-US"/>
        </w:rPr>
        <w:t>of the</w:t>
      </w:r>
      <w:r w:rsidRPr="007146C9">
        <w:rPr>
          <w:rFonts w:cs="AGaramondPro-Regular"/>
          <w:szCs w:val="24"/>
          <w:lang w:val="en-US"/>
        </w:rPr>
        <w:t xml:space="preserve"> beginning of </w:t>
      </w:r>
      <w:r>
        <w:rPr>
          <w:rFonts w:cs="AGaramondPro-Regular"/>
          <w:szCs w:val="24"/>
          <w:lang w:val="en-US"/>
        </w:rPr>
        <w:t xml:space="preserve">the </w:t>
      </w:r>
      <w:r w:rsidRPr="007146C9">
        <w:rPr>
          <w:rFonts w:cs="AGaramondPro-Regular"/>
          <w:szCs w:val="24"/>
          <w:lang w:val="en-US"/>
        </w:rPr>
        <w:t>18</w:t>
      </w:r>
      <w:r w:rsidRPr="007146C9">
        <w:rPr>
          <w:rFonts w:cs="AGaramondPro-Regular"/>
          <w:szCs w:val="24"/>
          <w:vertAlign w:val="superscript"/>
          <w:lang w:val="en-US"/>
        </w:rPr>
        <w:t>th</w:t>
      </w:r>
      <w:r w:rsidRPr="007146C9">
        <w:rPr>
          <w:rFonts w:cs="AGaramondPro-Regular"/>
          <w:szCs w:val="24"/>
          <w:lang w:val="en-US"/>
        </w:rPr>
        <w:t xml:space="preserve"> Dynasty, </w:t>
      </w:r>
      <w:r>
        <w:rPr>
          <w:rFonts w:cs="AGaramondPro-Regular"/>
          <w:szCs w:val="24"/>
          <w:lang w:val="en-US"/>
        </w:rPr>
        <w:t xml:space="preserve">from Tell el Daba, </w:t>
      </w:r>
      <w:r w:rsidRPr="007146C9">
        <w:rPr>
          <w:rFonts w:cs="AGaramondPro-Regular"/>
          <w:szCs w:val="24"/>
          <w:lang w:val="en-US"/>
        </w:rPr>
        <w:t>with 3 male skulls (one showing blow to head) and bones from 9 fingers from 3 right hands</w:t>
      </w:r>
      <w:r>
        <w:rPr>
          <w:rFonts w:cs="AGaramondPro-Regular"/>
          <w:szCs w:val="24"/>
          <w:lang w:val="en-US"/>
        </w:rPr>
        <w:t>, and</w:t>
      </w:r>
      <w:r w:rsidRPr="007146C9">
        <w:rPr>
          <w:rFonts w:cs="AGaramondPro-Regular"/>
          <w:szCs w:val="24"/>
          <w:lang w:val="en-US"/>
        </w:rPr>
        <w:t xml:space="preserve"> a large pit with two human skeletons</w:t>
      </w:r>
      <w:r>
        <w:rPr>
          <w:rFonts w:cs="AGaramondPro-Regular"/>
          <w:szCs w:val="24"/>
          <w:lang w:val="en-US"/>
        </w:rPr>
        <w:t>.</w:t>
      </w:r>
      <w:r>
        <w:rPr>
          <w:rFonts w:cs="AGaramondPro-Regular"/>
          <w:color w:val="FF0000"/>
          <w:szCs w:val="24"/>
          <w:lang w:val="en-US"/>
        </w:rPr>
        <w:t xml:space="preserve"> </w:t>
      </w:r>
      <w:r>
        <w:rPr>
          <w:szCs w:val="24"/>
        </w:rPr>
        <w:t>Cf. also</w:t>
      </w:r>
      <w:r>
        <w:t xml:space="preserve"> </w:t>
      </w:r>
      <w:r w:rsidRPr="0065107F">
        <w:rPr>
          <w:smallCaps/>
          <w:szCs w:val="24"/>
        </w:rPr>
        <w:t>Muhlestein</w:t>
      </w:r>
      <w:r>
        <w:t xml:space="preserve"> 2008, 194-196, and </w:t>
      </w:r>
      <w:r w:rsidRPr="0065107F">
        <w:rPr>
          <w:smallCaps/>
          <w:szCs w:val="24"/>
          <w:lang w:val="en-US"/>
        </w:rPr>
        <w:t>Gee</w:t>
      </w:r>
      <w:r w:rsidRPr="00084C79">
        <w:rPr>
          <w:lang w:val="en-US"/>
        </w:rPr>
        <w:t xml:space="preserve"> 2010</w:t>
      </w:r>
      <w:r>
        <w:rPr>
          <w:lang w:val="en-US"/>
        </w:rPr>
        <w:t>, 77-78</w:t>
      </w:r>
      <w:r w:rsidRPr="00512B1C">
        <w:t>.</w:t>
      </w:r>
    </w:p>
    <w:p w14:paraId="0E6A8093" w14:textId="7E34B059" w:rsidR="0093105E" w:rsidRPr="004576F1" w:rsidRDefault="0093105E" w:rsidP="00C72CAB">
      <w:r w:rsidRPr="00C72CAB">
        <w:rPr>
          <w:szCs w:val="24"/>
        </w:rPr>
        <w:tab/>
        <w:t>R</w:t>
      </w:r>
      <w:r w:rsidRPr="00C72CAB">
        <w:rPr>
          <w:smallCaps/>
          <w:szCs w:val="24"/>
        </w:rPr>
        <w:t>itner</w:t>
      </w:r>
      <w:r w:rsidRPr="00C72CAB">
        <w:rPr>
          <w:rFonts w:cs="AGaramondPro-Regular"/>
          <w:szCs w:val="24"/>
          <w:lang w:val="en-US"/>
        </w:rPr>
        <w:t xml:space="preserve"> 1993, 168-70 emphasises the potential relationship between the Mirgissa material and depictions of torture and death in underworld books, concluding a direct connection with the ritual destructions in the Amduat ‘derived from genuine </w:t>
      </w:r>
      <w:r>
        <w:rPr>
          <w:rFonts w:cs="AGaramondPro-Regular"/>
          <w:szCs w:val="24"/>
          <w:lang w:val="en-US"/>
        </w:rPr>
        <w:t xml:space="preserve">earthly ceremonies’. </w:t>
      </w:r>
      <w:r>
        <w:t>The relationship between the depictions of extreme violence in visions of the Underworld, and their relation to this-world behaviour, remains unexplored in real detail.</w:t>
      </w:r>
    </w:p>
  </w:footnote>
  <w:footnote w:id="69">
    <w:p w14:paraId="2D2FE4CA" w14:textId="465E52AC" w:rsidR="0093105E" w:rsidRPr="005274CF" w:rsidRDefault="0093105E" w:rsidP="00F1463A">
      <w:pPr>
        <w:pStyle w:val="FootnoteText"/>
        <w:rPr>
          <w:lang w:val="en-US"/>
        </w:rPr>
      </w:pPr>
      <w:r>
        <w:rPr>
          <w:rStyle w:val="FootnoteReference"/>
        </w:rPr>
        <w:footnoteRef/>
      </w:r>
      <w:r>
        <w:t xml:space="preserve"> </w:t>
      </w:r>
      <w:r w:rsidRPr="005317D6">
        <w:rPr>
          <w:smallCaps/>
        </w:rPr>
        <w:t>Winlock</w:t>
      </w:r>
      <w:r>
        <w:t xml:space="preserve"> 1945; </w:t>
      </w:r>
      <w:r w:rsidRPr="005317D6">
        <w:rPr>
          <w:smallCaps/>
        </w:rPr>
        <w:t>Vogel</w:t>
      </w:r>
      <w:r>
        <w:t xml:space="preserve"> 2003. Cf. the early dynastic battle-field palette, </w:t>
      </w:r>
      <w:r w:rsidRPr="001C1482">
        <w:rPr>
          <w:smallCaps/>
        </w:rPr>
        <w:t xml:space="preserve">Schultz </w:t>
      </w:r>
      <w:r>
        <w:t>2002, Abb. 1.</w:t>
      </w:r>
    </w:p>
  </w:footnote>
  <w:footnote w:id="70">
    <w:p w14:paraId="2168E583" w14:textId="3BF22BE9" w:rsidR="0093105E" w:rsidRPr="00A716B5" w:rsidRDefault="0093105E" w:rsidP="00F1463A">
      <w:pPr>
        <w:pStyle w:val="FootnoteText"/>
        <w:rPr>
          <w:lang w:val="en-US"/>
        </w:rPr>
      </w:pPr>
      <w:r w:rsidRPr="00A716B5">
        <w:rPr>
          <w:rStyle w:val="FootnoteReference"/>
        </w:rPr>
        <w:footnoteRef/>
      </w:r>
      <w:r w:rsidRPr="00A716B5">
        <w:t xml:space="preserve"> </w:t>
      </w:r>
      <w:r w:rsidRPr="00A716B5">
        <w:rPr>
          <w:smallCaps/>
        </w:rPr>
        <w:t>Shaw</w:t>
      </w:r>
      <w:r w:rsidRPr="00A716B5">
        <w:t xml:space="preserve"> 2009</w:t>
      </w:r>
      <w:r>
        <w:t xml:space="preserve"> provides </w:t>
      </w:r>
      <w:r w:rsidRPr="00A716B5">
        <w:t xml:space="preserve">recent discussion, but conclusions </w:t>
      </w:r>
      <w:r>
        <w:t xml:space="preserve">of ritual killing that </w:t>
      </w:r>
      <w:r w:rsidRPr="00A716B5">
        <w:t>go beyond the data.</w:t>
      </w:r>
    </w:p>
  </w:footnote>
  <w:footnote w:id="71">
    <w:p w14:paraId="50399B0B" w14:textId="77777777" w:rsidR="0093105E" w:rsidRPr="00ED5EFA" w:rsidRDefault="0093105E" w:rsidP="00F1463A">
      <w:pPr>
        <w:pStyle w:val="FootnoteText"/>
        <w:rPr>
          <w:lang w:val="en-US"/>
        </w:rPr>
      </w:pPr>
      <w:r>
        <w:rPr>
          <w:rStyle w:val="FootnoteReference"/>
        </w:rPr>
        <w:footnoteRef/>
      </w:r>
      <w:r>
        <w:t xml:space="preserve"> And for later examples see </w:t>
      </w:r>
      <w:r w:rsidRPr="00476428">
        <w:rPr>
          <w:rFonts w:ascii="Times New Roman" w:hAnsi="Times New Roman"/>
          <w:smallCaps/>
        </w:rPr>
        <w:t>Pétigny</w:t>
      </w:r>
      <w:r>
        <w:rPr>
          <w:rFonts w:ascii="Times New Roman" w:hAnsi="Times New Roman"/>
        </w:rPr>
        <w:t xml:space="preserve"> 2010</w:t>
      </w:r>
      <w:r>
        <w:rPr>
          <w:rFonts w:ascii="Times New Roman" w:hAnsi="Times New Roman"/>
          <w:lang w:val="cs-CZ"/>
        </w:rPr>
        <w:t>.</w:t>
      </w:r>
    </w:p>
  </w:footnote>
  <w:footnote w:id="72">
    <w:p w14:paraId="0460A30B" w14:textId="18D4E5BC" w:rsidR="0093105E" w:rsidRPr="00E7445F" w:rsidRDefault="0093105E" w:rsidP="00E7445F">
      <w:pPr>
        <w:pStyle w:val="FootnoteText"/>
      </w:pPr>
      <w:r w:rsidRPr="00E51E46">
        <w:rPr>
          <w:rStyle w:val="FootnoteReference"/>
        </w:rPr>
        <w:footnoteRef/>
      </w:r>
      <w:r w:rsidRPr="00E51E46">
        <w:t xml:space="preserve"> </w:t>
      </w:r>
      <w:r w:rsidRPr="001679A3">
        <w:rPr>
          <w:smallCaps/>
        </w:rPr>
        <w:t xml:space="preserve">Galán </w:t>
      </w:r>
      <w:r>
        <w:t xml:space="preserve">2002; </w:t>
      </w:r>
      <w:r w:rsidRPr="00762A42">
        <w:rPr>
          <w:smallCaps/>
        </w:rPr>
        <w:t>Abdalla</w:t>
      </w:r>
      <w:r w:rsidRPr="00E51E46">
        <w:t xml:space="preserve"> 2005</w:t>
      </w:r>
      <w:r>
        <w:t xml:space="preserve"> for a collections of examples; </w:t>
      </w:r>
      <w:r w:rsidRPr="00222947">
        <w:rPr>
          <w:smallCaps/>
        </w:rPr>
        <w:t>Volokhine</w:t>
      </w:r>
      <w:r>
        <w:t xml:space="preserve"> 2013, </w:t>
      </w:r>
      <w:r w:rsidRPr="00E7445F">
        <w:t>62-63 for an broader address to issues of mutilation and status of (separated)</w:t>
      </w:r>
      <w:r>
        <w:t xml:space="preserve"> body-parts.</w:t>
      </w:r>
    </w:p>
  </w:footnote>
  <w:footnote w:id="73">
    <w:p w14:paraId="7879E454" w14:textId="31A05580" w:rsidR="0093105E" w:rsidRPr="00AE2CF3" w:rsidRDefault="0093105E" w:rsidP="00D81F65">
      <w:pPr>
        <w:pStyle w:val="FootnoteText"/>
        <w:rPr>
          <w:lang w:val="en-US"/>
        </w:rPr>
      </w:pPr>
      <w:r>
        <w:rPr>
          <w:rStyle w:val="FootnoteReference"/>
        </w:rPr>
        <w:footnoteRef/>
      </w:r>
      <w:r>
        <w:t xml:space="preserve"> </w:t>
      </w:r>
      <w:r w:rsidRPr="007F1C97">
        <w:rPr>
          <w:smallCaps/>
          <w:lang w:val="en-US"/>
        </w:rPr>
        <w:t xml:space="preserve">Bietak, Math, Müller </w:t>
      </w:r>
      <w:r w:rsidRPr="007F1C97">
        <w:rPr>
          <w:lang w:val="en-US"/>
        </w:rPr>
        <w:t>and</w:t>
      </w:r>
      <w:r w:rsidRPr="007F1C97">
        <w:rPr>
          <w:smallCaps/>
          <w:lang w:val="en-US"/>
        </w:rPr>
        <w:t xml:space="preserve"> Jurman</w:t>
      </w:r>
      <w:r w:rsidRPr="007F1C97">
        <w:rPr>
          <w:lang w:val="en-US"/>
        </w:rPr>
        <w:t xml:space="preserve"> 2012, 31-34 </w:t>
      </w:r>
      <w:r>
        <w:rPr>
          <w:lang w:val="en-US"/>
        </w:rPr>
        <w:t>for</w:t>
      </w:r>
      <w:r w:rsidRPr="007F1C97">
        <w:rPr>
          <w:lang w:val="en-US"/>
        </w:rPr>
        <w:t xml:space="preserve"> 2 pits with 14 cut-off right hands </w:t>
      </w:r>
      <w:r>
        <w:rPr>
          <w:lang w:val="en-US"/>
        </w:rPr>
        <w:t>and</w:t>
      </w:r>
      <w:r w:rsidRPr="007F1C97">
        <w:rPr>
          <w:lang w:val="en-US"/>
        </w:rPr>
        <w:t xml:space="preserve"> two more pits with one hand each; </w:t>
      </w:r>
      <w:r>
        <w:rPr>
          <w:lang w:val="en-US"/>
        </w:rPr>
        <w:t>and for</w:t>
      </w:r>
      <w:r w:rsidRPr="007F1C97">
        <w:rPr>
          <w:lang w:val="en-US"/>
        </w:rPr>
        <w:t xml:space="preserve"> another, ea</w:t>
      </w:r>
      <w:r>
        <w:rPr>
          <w:lang w:val="en-US"/>
        </w:rPr>
        <w:t>r</w:t>
      </w:r>
      <w:r w:rsidRPr="007F1C97">
        <w:rPr>
          <w:lang w:val="en-US"/>
        </w:rPr>
        <w:t>ly Dyn</w:t>
      </w:r>
      <w:r>
        <w:rPr>
          <w:lang w:val="en-US"/>
        </w:rPr>
        <w:t>asty 18 pit</w:t>
      </w:r>
      <w:r w:rsidRPr="007F1C97">
        <w:rPr>
          <w:lang w:val="en-US"/>
        </w:rPr>
        <w:t xml:space="preserve"> from Tell el Dab’a/’Ezbet Helmy with 3 r</w:t>
      </w:r>
      <w:r>
        <w:rPr>
          <w:lang w:val="en-US"/>
        </w:rPr>
        <w:t xml:space="preserve">ight hands and 3 heads see </w:t>
      </w:r>
      <w:r w:rsidRPr="007F1C97">
        <w:rPr>
          <w:smallCaps/>
          <w:lang w:val="en-US"/>
        </w:rPr>
        <w:t>Bietak, Dorner, Janosi</w:t>
      </w:r>
      <w:r w:rsidRPr="007F1C97">
        <w:rPr>
          <w:lang w:val="en-US"/>
        </w:rPr>
        <w:t xml:space="preserve"> </w:t>
      </w:r>
      <w:r>
        <w:rPr>
          <w:lang w:val="en-US"/>
        </w:rPr>
        <w:t>2001, 60 and 64 fig. 21.</w:t>
      </w:r>
    </w:p>
  </w:footnote>
  <w:footnote w:id="74">
    <w:p w14:paraId="37FA9BC9" w14:textId="66D582E6" w:rsidR="0093105E" w:rsidRPr="00827166" w:rsidRDefault="0093105E" w:rsidP="00D81F65">
      <w:pPr>
        <w:pStyle w:val="FootnoteText"/>
        <w:rPr>
          <w:color w:val="0000FF"/>
        </w:rPr>
      </w:pPr>
      <w:r>
        <w:rPr>
          <w:rStyle w:val="FootnoteReference"/>
        </w:rPr>
        <w:footnoteRef/>
      </w:r>
      <w:r>
        <w:t xml:space="preserve"> </w:t>
      </w:r>
      <w:r w:rsidRPr="00827166">
        <w:rPr>
          <w:smallCaps/>
        </w:rPr>
        <w:t>Eyre</w:t>
      </w:r>
      <w:r>
        <w:t xml:space="preserve"> 2002, 92-</w:t>
      </w:r>
      <w:r w:rsidRPr="00827166">
        <w:t xml:space="preserve">97. </w:t>
      </w:r>
      <w:r>
        <w:t xml:space="preserve">In contrast, the display of severed heads is regular in Mesopotamian text and relief from all periods; cf. </w:t>
      </w:r>
      <w:r w:rsidRPr="007B3DA8">
        <w:rPr>
          <w:smallCaps/>
          <w:lang w:val="en-US"/>
        </w:rPr>
        <w:t>Bahrani</w:t>
      </w:r>
      <w:r>
        <w:rPr>
          <w:lang w:val="en-US"/>
        </w:rPr>
        <w:t xml:space="preserve"> 2008 with focus on decapitation; </w:t>
      </w:r>
      <w:r>
        <w:t xml:space="preserve">for illustrations of the archaeological finds of skulls, impalement reliefs, and flaying of prisoners for Sennacherib’s conquest of Lachish see </w:t>
      </w:r>
      <w:r w:rsidRPr="00827166">
        <w:rPr>
          <w:smallCaps/>
        </w:rPr>
        <w:t>Zorn</w:t>
      </w:r>
      <w:r>
        <w:t xml:space="preserve"> 2014, 84, 98-100.</w:t>
      </w:r>
    </w:p>
  </w:footnote>
  <w:footnote w:id="75">
    <w:p w14:paraId="40964EC3" w14:textId="661EE63A" w:rsidR="0093105E" w:rsidRPr="00DF6A52" w:rsidRDefault="0093105E">
      <w:pPr>
        <w:pStyle w:val="FootnoteText"/>
        <w:rPr>
          <w:lang w:val="en-US"/>
        </w:rPr>
      </w:pPr>
      <w:r>
        <w:rPr>
          <w:rStyle w:val="FootnoteReference"/>
        </w:rPr>
        <w:footnoteRef/>
      </w:r>
      <w:r>
        <w:t xml:space="preserve"> </w:t>
      </w:r>
      <w:r>
        <w:rPr>
          <w:lang w:val="en-US"/>
        </w:rPr>
        <w:t xml:space="preserve">2002; cf. </w:t>
      </w:r>
      <w:r w:rsidRPr="00827166">
        <w:rPr>
          <w:smallCaps/>
          <w:lang w:val="en-US"/>
        </w:rPr>
        <w:t>Volokhine</w:t>
      </w:r>
      <w:r>
        <w:rPr>
          <w:lang w:val="en-US"/>
        </w:rPr>
        <w:t xml:space="preserve"> 2013, 52. </w:t>
      </w:r>
    </w:p>
  </w:footnote>
  <w:footnote w:id="76">
    <w:p w14:paraId="3150F74B" w14:textId="61A8A31B" w:rsidR="0093105E" w:rsidRPr="003A6E05" w:rsidRDefault="0093105E" w:rsidP="003A6E05">
      <w:r w:rsidRPr="003A6E05">
        <w:rPr>
          <w:rStyle w:val="FootnoteReference"/>
        </w:rPr>
        <w:footnoteRef/>
      </w:r>
      <w:r w:rsidRPr="003A6E05">
        <w:t xml:space="preserve"> </w:t>
      </w:r>
      <w:r>
        <w:t xml:space="preserve">Medinet Habu </w:t>
      </w:r>
      <w:r w:rsidRPr="00FC2060">
        <w:t>I,</w:t>
      </w:r>
      <w:r>
        <w:t xml:space="preserve"> pl. 23; KRI V, 23, 12-14.</w:t>
      </w:r>
    </w:p>
  </w:footnote>
  <w:footnote w:id="77">
    <w:p w14:paraId="1844CB9F" w14:textId="60154111" w:rsidR="0093105E" w:rsidRPr="008C411C" w:rsidRDefault="0093105E" w:rsidP="003A6E05">
      <w:r>
        <w:rPr>
          <w:rStyle w:val="FootnoteReference"/>
        </w:rPr>
        <w:footnoteRef/>
      </w:r>
      <w:r>
        <w:t xml:space="preserve"> </w:t>
      </w:r>
      <w:r w:rsidRPr="001B77DE">
        <w:t>KRI IV</w:t>
      </w:r>
      <w:r>
        <w:t xml:space="preserve">, 8 2-16 (Libyan War of Merenptah) distinguishes those killed </w:t>
      </w:r>
      <w:r w:rsidRPr="00DB2E61">
        <w:rPr>
          <w:rFonts w:ascii="Trlit_CG Times" w:hAnsi="Trlit_CG Times"/>
        </w:rPr>
        <w:t xml:space="preserve">iny nAy=sn Hnnyw </w:t>
      </w:r>
      <w:r w:rsidRPr="00E47DB1">
        <w:rPr>
          <w:rFonts w:ascii="Trlit_CG Times" w:hAnsi="Trlit_CG Times"/>
        </w:rPr>
        <w:t>m qrnt</w:t>
      </w:r>
      <w:r w:rsidRPr="00E47DB1">
        <w:t xml:space="preserve"> ‘whose phalli with foreskins were brought’, against </w:t>
      </w:r>
      <w:r w:rsidRPr="00E47DB1">
        <w:rPr>
          <w:rFonts w:ascii="Trlit_CG Times" w:hAnsi="Trlit_CG Times"/>
        </w:rPr>
        <w:t>nty bn n=w</w:t>
      </w:r>
      <w:r w:rsidRPr="00E47DB1">
        <w:t xml:space="preserve"> (or </w:t>
      </w:r>
      <w:r w:rsidRPr="00E47DB1">
        <w:rPr>
          <w:rFonts w:ascii="Trlit_CG Times" w:hAnsi="Trlit_CG Times"/>
        </w:rPr>
        <w:t>mn m-di=w</w:t>
      </w:r>
      <w:r w:rsidRPr="00E47DB1">
        <w:t xml:space="preserve">) </w:t>
      </w:r>
      <w:r>
        <w:rPr>
          <w:rFonts w:ascii="Trlit_CG Times" w:hAnsi="Trlit_CG Times"/>
        </w:rPr>
        <w:t>q</w:t>
      </w:r>
      <w:r w:rsidRPr="00E47DB1">
        <w:rPr>
          <w:rFonts w:ascii="Trlit_CG Times" w:hAnsi="Trlit_CG Times"/>
        </w:rPr>
        <w:t>rnt</w:t>
      </w:r>
      <w:r w:rsidRPr="00E47DB1">
        <w:t>, whose hands seem to have been brought; cf. 7, 12-14</w:t>
      </w:r>
      <w:r>
        <w:t xml:space="preserve">: </w:t>
      </w:r>
      <w:r w:rsidRPr="00E47DB1">
        <w:t xml:space="preserve">bringing donkey-loads of </w:t>
      </w:r>
      <w:r w:rsidRPr="00E47DB1">
        <w:rPr>
          <w:rFonts w:ascii="Trlit_CG Times" w:hAnsi="Trlit_CG Times"/>
        </w:rPr>
        <w:t>Hnyw qrnt n xAst rbw</w:t>
      </w:r>
      <w:r w:rsidRPr="00E47DB1">
        <w:t>, ‘phalli, foreskinned, of land of Libu’, but hands of their allies.</w:t>
      </w:r>
    </w:p>
  </w:footnote>
  <w:footnote w:id="78">
    <w:p w14:paraId="50AFCC0C" w14:textId="6F03D866" w:rsidR="0093105E" w:rsidRPr="00C57907" w:rsidRDefault="0093105E">
      <w:pPr>
        <w:pStyle w:val="FootnoteText"/>
        <w:rPr>
          <w:lang w:val="en-US"/>
        </w:rPr>
      </w:pPr>
      <w:r>
        <w:rPr>
          <w:rStyle w:val="FootnoteReference"/>
        </w:rPr>
        <w:footnoteRef/>
      </w:r>
      <w:r>
        <w:t xml:space="preserve"> </w:t>
      </w:r>
      <w:r w:rsidRPr="001679A3">
        <w:rPr>
          <w:smallCaps/>
        </w:rPr>
        <w:t xml:space="preserve">Galán </w:t>
      </w:r>
      <w:r>
        <w:t>2002; A</w:t>
      </w:r>
      <w:r w:rsidRPr="00375A23">
        <w:rPr>
          <w:smallCaps/>
        </w:rPr>
        <w:t xml:space="preserve">bdalla </w:t>
      </w:r>
      <w:r>
        <w:t>2005.</w:t>
      </w:r>
    </w:p>
  </w:footnote>
  <w:footnote w:id="79">
    <w:p w14:paraId="678575B3" w14:textId="635D2C4F" w:rsidR="0093105E" w:rsidRPr="00FC2060" w:rsidRDefault="0093105E" w:rsidP="00FC2060">
      <w:r w:rsidRPr="00FC2060">
        <w:rPr>
          <w:rStyle w:val="FootnoteReference"/>
        </w:rPr>
        <w:footnoteRef/>
      </w:r>
      <w:r w:rsidRPr="00FC2060">
        <w:t xml:space="preserve"> </w:t>
      </w:r>
      <w:r>
        <w:t xml:space="preserve">Medinet Habu </w:t>
      </w:r>
      <w:r w:rsidRPr="00FC2060">
        <w:t xml:space="preserve">I, pl. 21-22. </w:t>
      </w:r>
    </w:p>
  </w:footnote>
  <w:footnote w:id="80">
    <w:p w14:paraId="60366A9F" w14:textId="45F85A2B" w:rsidR="0093105E" w:rsidRPr="00375A23" w:rsidRDefault="0093105E">
      <w:pPr>
        <w:pStyle w:val="FootnoteText"/>
        <w:rPr>
          <w:color w:val="FF0000"/>
          <w:lang w:val="en-US"/>
        </w:rPr>
      </w:pPr>
      <w:r w:rsidRPr="00FC2060">
        <w:rPr>
          <w:rStyle w:val="FootnoteReference"/>
        </w:rPr>
        <w:footnoteRef/>
      </w:r>
      <w:r w:rsidRPr="00FC2060">
        <w:t xml:space="preserve"> </w:t>
      </w:r>
      <w:r w:rsidRPr="00FC2060">
        <w:rPr>
          <w:i/>
        </w:rPr>
        <w:t>Urk</w:t>
      </w:r>
      <w:r w:rsidRPr="00FC2060">
        <w:t xml:space="preserve">. IV, 1304, </w:t>
      </w:r>
      <w:r w:rsidRPr="00B2256E">
        <w:t>12-13, above n. 59.</w:t>
      </w:r>
    </w:p>
  </w:footnote>
  <w:footnote w:id="81">
    <w:p w14:paraId="64759893" w14:textId="44D87FEE" w:rsidR="0093105E" w:rsidRPr="003F7102" w:rsidRDefault="0093105E">
      <w:pPr>
        <w:pStyle w:val="FootnoteText"/>
        <w:rPr>
          <w:lang w:val="en-US"/>
        </w:rPr>
      </w:pPr>
      <w:r w:rsidRPr="003F7102">
        <w:rPr>
          <w:rStyle w:val="FootnoteReference"/>
        </w:rPr>
        <w:footnoteRef/>
      </w:r>
      <w:r w:rsidRPr="003F7102">
        <w:t xml:space="preserve"> </w:t>
      </w:r>
      <w:r w:rsidRPr="003F7102">
        <w:rPr>
          <w:smallCaps/>
        </w:rPr>
        <w:t>Helck</w:t>
      </w:r>
      <w:r w:rsidRPr="003F7102">
        <w:t xml:space="preserve"> 1975 for talatat-block showing soldiers displaying hands on the ends of their spears.</w:t>
      </w:r>
    </w:p>
  </w:footnote>
  <w:footnote w:id="82">
    <w:p w14:paraId="3A798A78" w14:textId="764ACB53" w:rsidR="0093105E" w:rsidRPr="003F7102" w:rsidRDefault="0093105E">
      <w:pPr>
        <w:pStyle w:val="FootnoteText"/>
        <w:rPr>
          <w:lang w:val="en-US"/>
        </w:rPr>
      </w:pPr>
      <w:r w:rsidRPr="003F7102">
        <w:rPr>
          <w:rStyle w:val="FootnoteReference"/>
        </w:rPr>
        <w:footnoteRef/>
      </w:r>
      <w:r w:rsidRPr="003F7102">
        <w:t xml:space="preserve"> </w:t>
      </w:r>
      <w:r w:rsidRPr="003F7102">
        <w:rPr>
          <w:lang w:val="en-US"/>
        </w:rPr>
        <w:t xml:space="preserve">As argued by </w:t>
      </w:r>
      <w:r w:rsidRPr="003F7102">
        <w:rPr>
          <w:smallCaps/>
          <w:lang w:val="en-US"/>
        </w:rPr>
        <w:t>Abdalla</w:t>
      </w:r>
      <w:r>
        <w:rPr>
          <w:lang w:val="en-US"/>
        </w:rPr>
        <w:t xml:space="preserve"> 2005; c</w:t>
      </w:r>
      <w:r w:rsidRPr="003F7102">
        <w:rPr>
          <w:lang w:val="en-US"/>
        </w:rPr>
        <w:t xml:space="preserve">f. </w:t>
      </w:r>
      <w:r w:rsidRPr="003F7102">
        <w:rPr>
          <w:smallCaps/>
          <w:lang w:val="en-US"/>
        </w:rPr>
        <w:t>Crouch</w:t>
      </w:r>
      <w:r w:rsidRPr="003F7102">
        <w:rPr>
          <w:lang w:val="en-US"/>
        </w:rPr>
        <w:t xml:space="preserve"> 2009, 39-40</w:t>
      </w:r>
      <w:r>
        <w:rPr>
          <w:lang w:val="en-US"/>
        </w:rPr>
        <w:t xml:space="preserve"> </w:t>
      </w:r>
      <w:r w:rsidRPr="003F7102">
        <w:rPr>
          <w:lang w:val="en-US"/>
        </w:rPr>
        <w:t>for Tiglath-Pilesar specifically cutting off hands of living soldiers whom he had not impaled.</w:t>
      </w:r>
      <w:r>
        <w:rPr>
          <w:lang w:val="en-US"/>
        </w:rPr>
        <w:t xml:space="preserve"> A</w:t>
      </w:r>
      <w:r w:rsidRPr="00AE2CF3">
        <w:rPr>
          <w:lang w:val="en-US"/>
        </w:rPr>
        <w:t xml:space="preserve"> similar, and unresolved, argument</w:t>
      </w:r>
      <w:r>
        <w:rPr>
          <w:lang w:val="en-US"/>
        </w:rPr>
        <w:t xml:space="preserve"> underlies depictions of the removal of the foreleg of a calf, in the presence of its mother, in New Kingdom funerary </w:t>
      </w:r>
      <w:r w:rsidRPr="00AE2CF3">
        <w:rPr>
          <w:lang w:val="en-US"/>
        </w:rPr>
        <w:t xml:space="preserve">scenes, cf. </w:t>
      </w:r>
      <w:r w:rsidRPr="00AE2CF3">
        <w:rPr>
          <w:smallCaps/>
          <w:lang w:val="en-US"/>
        </w:rPr>
        <w:t>Eyre</w:t>
      </w:r>
      <w:r w:rsidRPr="00AE2CF3">
        <w:rPr>
          <w:lang w:val="en-US"/>
        </w:rPr>
        <w:t xml:space="preserve"> 2003 102-3.</w:t>
      </w:r>
    </w:p>
  </w:footnote>
  <w:footnote w:id="83">
    <w:p w14:paraId="032B0C7F" w14:textId="60C6CDC5" w:rsidR="0093105E" w:rsidRPr="00375A23" w:rsidRDefault="0093105E" w:rsidP="00375A23">
      <w:pPr>
        <w:rPr>
          <w:szCs w:val="24"/>
        </w:rPr>
      </w:pPr>
      <w:r w:rsidRPr="007C5918">
        <w:rPr>
          <w:rStyle w:val="FootnoteReference"/>
          <w:szCs w:val="24"/>
        </w:rPr>
        <w:footnoteRef/>
      </w:r>
      <w:r w:rsidRPr="007C5918">
        <w:rPr>
          <w:szCs w:val="24"/>
        </w:rPr>
        <w:t xml:space="preserve"> </w:t>
      </w:r>
      <w:r w:rsidRPr="001B77DE">
        <w:rPr>
          <w:smallCaps/>
          <w:szCs w:val="24"/>
        </w:rPr>
        <w:t>Scott</w:t>
      </w:r>
      <w:r>
        <w:rPr>
          <w:szCs w:val="24"/>
        </w:rPr>
        <w:t xml:space="preserve"> 2009,</w:t>
      </w:r>
      <w:r w:rsidRPr="007C5918">
        <w:rPr>
          <w:szCs w:val="24"/>
        </w:rPr>
        <w:t xml:space="preserve"> esp. 150-153 for the structural relationship between the need of the settled area to acquire population, and the periphery as location for such acquisition by slave-raiding.</w:t>
      </w:r>
      <w:r w:rsidRPr="00FC2060">
        <w:rPr>
          <w:lang w:val="en-US"/>
        </w:rPr>
        <w:t xml:space="preserve"> </w:t>
      </w:r>
      <w:r>
        <w:rPr>
          <w:lang w:val="en-US"/>
        </w:rPr>
        <w:t xml:space="preserve">Cf. </w:t>
      </w:r>
      <w:r w:rsidRPr="001B77DE">
        <w:rPr>
          <w:smallCaps/>
          <w:szCs w:val="24"/>
          <w:lang w:val="en-US"/>
        </w:rPr>
        <w:t xml:space="preserve">Gelb </w:t>
      </w:r>
      <w:r>
        <w:rPr>
          <w:lang w:val="en-US"/>
        </w:rPr>
        <w:t>1973, 79, 94 for early southern Mesopotamia;</w:t>
      </w:r>
    </w:p>
  </w:footnote>
  <w:footnote w:id="84">
    <w:p w14:paraId="258B12D2" w14:textId="3BACE1FA" w:rsidR="0093105E" w:rsidRPr="006043A8" w:rsidRDefault="0093105E" w:rsidP="00F1463A">
      <w:pPr>
        <w:pStyle w:val="FootnoteText"/>
        <w:rPr>
          <w:smallCaps/>
          <w:color w:val="FF0000"/>
          <w:lang w:val="en-US"/>
        </w:rPr>
      </w:pPr>
      <w:r w:rsidRPr="006043A8">
        <w:rPr>
          <w:rStyle w:val="FootnoteReference"/>
        </w:rPr>
        <w:footnoteRef/>
      </w:r>
      <w:r w:rsidRPr="006043A8">
        <w:t xml:space="preserve"> </w:t>
      </w:r>
      <w:r w:rsidRPr="006043A8">
        <w:rPr>
          <w:lang w:val="en-US"/>
        </w:rPr>
        <w:t>F</w:t>
      </w:r>
      <w:r w:rsidRPr="006043A8">
        <w:rPr>
          <w:smallCaps/>
          <w:lang w:val="en-US"/>
        </w:rPr>
        <w:t>ranke</w:t>
      </w:r>
      <w:r w:rsidRPr="006043A8">
        <w:rPr>
          <w:lang w:val="en-US"/>
        </w:rPr>
        <w:t xml:space="preserve"> 2005, 98-99; </w:t>
      </w:r>
      <w:r w:rsidRPr="006043A8">
        <w:rPr>
          <w:rFonts w:cs="Helvetica Neue"/>
          <w:smallCaps/>
          <w:lang w:val="en-US"/>
        </w:rPr>
        <w:t>Kraemer</w:t>
      </w:r>
      <w:r w:rsidRPr="006043A8">
        <w:rPr>
          <w:rFonts w:cs="Helvetica Neue"/>
          <w:lang w:val="en-US"/>
        </w:rPr>
        <w:t xml:space="preserve"> and </w:t>
      </w:r>
      <w:r w:rsidRPr="006043A8">
        <w:rPr>
          <w:rFonts w:cs="Helvetica Neue"/>
          <w:smallCaps/>
          <w:lang w:val="en-US"/>
        </w:rPr>
        <w:t xml:space="preserve">Liszka </w:t>
      </w:r>
      <w:r w:rsidRPr="006043A8">
        <w:rPr>
          <w:rFonts w:cs="Helvetica Neue"/>
          <w:lang w:val="en-US"/>
        </w:rPr>
        <w:t>2016, esp. 42-48, although their</w:t>
      </w:r>
      <w:r>
        <w:rPr>
          <w:rFonts w:cs="Helvetica Neue"/>
          <w:lang w:val="en-US"/>
        </w:rPr>
        <w:t xml:space="preserve"> conclusions are speculative. Cf. Martin 1989, 97</w:t>
      </w:r>
    </w:p>
  </w:footnote>
  <w:footnote w:id="85">
    <w:p w14:paraId="635DBBFC" w14:textId="755784E0" w:rsidR="0093105E" w:rsidRPr="00821EF1" w:rsidRDefault="0093105E" w:rsidP="00F1463A">
      <w:pPr>
        <w:pStyle w:val="FootnoteText"/>
        <w:rPr>
          <w:lang w:val="en-US"/>
        </w:rPr>
      </w:pPr>
      <w:r w:rsidRPr="00821EF1">
        <w:rPr>
          <w:rStyle w:val="FootnoteReference"/>
        </w:rPr>
        <w:footnoteRef/>
      </w:r>
      <w:r w:rsidRPr="00821EF1">
        <w:t xml:space="preserve"> </w:t>
      </w:r>
      <w:r w:rsidRPr="00821EF1">
        <w:rPr>
          <w:smallCaps/>
          <w:lang w:val="en-US"/>
        </w:rPr>
        <w:t>Eyre 2012, 107-110.</w:t>
      </w:r>
    </w:p>
  </w:footnote>
  <w:footnote w:id="86">
    <w:p w14:paraId="09219198" w14:textId="5634217E" w:rsidR="0093105E" w:rsidRPr="00821EF1" w:rsidRDefault="0093105E" w:rsidP="00821EF1">
      <w:pPr>
        <w:widowControl w:val="0"/>
        <w:autoSpaceDE w:val="0"/>
        <w:autoSpaceDN w:val="0"/>
        <w:adjustRightInd w:val="0"/>
      </w:pPr>
      <w:r>
        <w:rPr>
          <w:rStyle w:val="FootnoteReference"/>
        </w:rPr>
        <w:footnoteRef/>
      </w:r>
      <w:r>
        <w:t xml:space="preserve"> E.g., </w:t>
      </w:r>
      <w:r w:rsidRPr="0036651A">
        <w:rPr>
          <w:smallCaps/>
          <w:szCs w:val="24"/>
        </w:rPr>
        <w:t xml:space="preserve">Assmann </w:t>
      </w:r>
      <w:r>
        <w:t xml:space="preserve">1995, 76-77; </w:t>
      </w:r>
      <w:r w:rsidRPr="0036651A">
        <w:rPr>
          <w:smallCaps/>
          <w:szCs w:val="24"/>
        </w:rPr>
        <w:t>Meurer</w:t>
      </w:r>
      <w:r>
        <w:t xml:space="preserve"> 1998; </w:t>
      </w:r>
      <w:r w:rsidRPr="0036651A">
        <w:rPr>
          <w:smallCaps/>
          <w:szCs w:val="24"/>
        </w:rPr>
        <w:t>Parkinson</w:t>
      </w:r>
      <w:r>
        <w:t xml:space="preserve"> 2005, 14; </w:t>
      </w:r>
      <w:r w:rsidRPr="0036651A">
        <w:rPr>
          <w:smallCaps/>
          <w:szCs w:val="24"/>
        </w:rPr>
        <w:t>Franke</w:t>
      </w:r>
      <w:r>
        <w:t xml:space="preserve"> 2005, 95.</w:t>
      </w:r>
    </w:p>
  </w:footnote>
  <w:footnote w:id="87">
    <w:p w14:paraId="30DE14F1" w14:textId="2A1E0C2F" w:rsidR="0093105E" w:rsidRPr="00FC2060" w:rsidRDefault="0093105E">
      <w:pPr>
        <w:pStyle w:val="FootnoteText"/>
        <w:rPr>
          <w:lang w:val="en-US"/>
        </w:rPr>
      </w:pPr>
      <w:r>
        <w:rPr>
          <w:rStyle w:val="FootnoteReference"/>
        </w:rPr>
        <w:footnoteRef/>
      </w:r>
      <w:r>
        <w:t xml:space="preserve"> </w:t>
      </w:r>
      <w:r w:rsidRPr="00FC2060">
        <w:rPr>
          <w:smallCaps/>
          <w:lang w:val="en-US"/>
        </w:rPr>
        <w:t>Foucault</w:t>
      </w:r>
      <w:r>
        <w:rPr>
          <w:lang w:val="en-US"/>
        </w:rPr>
        <w:t xml:space="preserve"> 1977, esp. 48, 50, and cf. </w:t>
      </w:r>
      <w:r w:rsidRPr="009B56BE">
        <w:rPr>
          <w:smallCaps/>
          <w:lang w:val="en-US"/>
        </w:rPr>
        <w:t>Richardson</w:t>
      </w:r>
      <w:r>
        <w:rPr>
          <w:lang w:val="en-US"/>
        </w:rPr>
        <w:t xml:space="preserve"> 2016, esp. 51-53; </w:t>
      </w:r>
      <w:r w:rsidRPr="007B3DA8">
        <w:rPr>
          <w:smallCaps/>
          <w:lang w:val="en-US"/>
        </w:rPr>
        <w:t>Bahrani</w:t>
      </w:r>
      <w:r>
        <w:rPr>
          <w:lang w:val="en-US"/>
        </w:rPr>
        <w:t xml:space="preserve"> 2008, esp. 113-114.</w:t>
      </w:r>
    </w:p>
  </w:footnote>
  <w:footnote w:id="88">
    <w:p w14:paraId="5037F5B0" w14:textId="474408B2" w:rsidR="0093105E" w:rsidRPr="00C34B00" w:rsidRDefault="0093105E" w:rsidP="00F1463A">
      <w:pPr>
        <w:pStyle w:val="FootnoteText"/>
        <w:rPr>
          <w:lang w:val="en-US"/>
        </w:rPr>
      </w:pPr>
      <w:r w:rsidRPr="00C34B00">
        <w:rPr>
          <w:rStyle w:val="FootnoteReference"/>
        </w:rPr>
        <w:footnoteRef/>
      </w:r>
      <w:r w:rsidRPr="00C34B00">
        <w:t xml:space="preserve"> </w:t>
      </w:r>
      <w:r w:rsidRPr="00C34B00">
        <w:rPr>
          <w:lang w:val="en-US"/>
        </w:rPr>
        <w:t xml:space="preserve">E.g. Loyalist Instruction §4, 1-2 </w:t>
      </w:r>
      <w:r w:rsidRPr="00C34B00">
        <w:rPr>
          <w:rFonts w:ascii="Trlit_CG Times" w:hAnsi="Trlit_CG Times"/>
          <w:lang w:val="en-US"/>
        </w:rPr>
        <w:t>in bAw=f aHA Hr=f iw Sad[=f] dd Sfyt[=f]</w:t>
      </w:r>
    </w:p>
    <w:p w14:paraId="0DD93EFA" w14:textId="77777777" w:rsidR="0093105E" w:rsidRDefault="0093105E" w:rsidP="00F1463A">
      <w:pPr>
        <w:pStyle w:val="FootnoteText"/>
        <w:rPr>
          <w:rFonts w:ascii="Trlit_CG Times" w:hAnsi="Trlit_CG Times"/>
          <w:lang w:val="en-US"/>
        </w:rPr>
      </w:pPr>
      <w:r>
        <w:rPr>
          <w:lang w:val="en-US"/>
        </w:rPr>
        <w:t xml:space="preserve">His </w:t>
      </w:r>
      <w:r w:rsidRPr="001F7261">
        <w:rPr>
          <w:rFonts w:ascii="Trlit_CG Times" w:hAnsi="Trlit_CG Times"/>
          <w:lang w:val="en-US"/>
        </w:rPr>
        <w:t>bAw</w:t>
      </w:r>
      <w:r>
        <w:rPr>
          <w:lang w:val="en-US"/>
        </w:rPr>
        <w:t xml:space="preserve"> is what fights for him, his ferocity which establishes his </w:t>
      </w:r>
      <w:r w:rsidRPr="002949AF">
        <w:rPr>
          <w:rFonts w:ascii="Trlit_CG Times" w:hAnsi="Trlit_CG Times"/>
          <w:lang w:val="en-US"/>
        </w:rPr>
        <w:t>Sfyt</w:t>
      </w:r>
    </w:p>
    <w:p w14:paraId="5D5B90E1" w14:textId="23BDE698" w:rsidR="0093105E" w:rsidRPr="00C34B00" w:rsidRDefault="0093105E" w:rsidP="00F1463A">
      <w:pPr>
        <w:pStyle w:val="FootnoteText"/>
        <w:rPr>
          <w:lang w:val="en-US"/>
        </w:rPr>
      </w:pPr>
      <w:r w:rsidRPr="00801339">
        <w:rPr>
          <w:smallCaps/>
          <w:lang w:val="en-US"/>
        </w:rPr>
        <w:t>Assmann</w:t>
      </w:r>
      <w:r>
        <w:rPr>
          <w:lang w:val="en-US"/>
        </w:rPr>
        <w:t xml:space="preserve"> 1995, 67 defines it as ‘Die Strafgewalt des Königs’, but this is too limited – it is a supernatural intervention, which is characteristically referred to in the physical absence of the king himself. In general</w:t>
      </w:r>
      <w:r w:rsidRPr="00C34B00">
        <w:rPr>
          <w:lang w:val="en-US"/>
        </w:rPr>
        <w:t xml:space="preserve"> see </w:t>
      </w:r>
      <w:r w:rsidRPr="00C34B00">
        <w:rPr>
          <w:smallCaps/>
          <w:lang w:val="en-US"/>
        </w:rPr>
        <w:t>Borghouts 1982</w:t>
      </w:r>
      <w:r>
        <w:rPr>
          <w:smallCaps/>
          <w:lang w:val="en-US"/>
        </w:rPr>
        <w:t xml:space="preserve">; Roeder </w:t>
      </w:r>
      <w:r w:rsidRPr="00C34B00">
        <w:rPr>
          <w:lang w:val="en-US"/>
        </w:rPr>
        <w:t>2009, esp. 86-87.</w:t>
      </w:r>
    </w:p>
  </w:footnote>
  <w:footnote w:id="89">
    <w:p w14:paraId="552420A8" w14:textId="00E09861" w:rsidR="0093105E" w:rsidRPr="003D5F1B" w:rsidRDefault="0093105E" w:rsidP="003D5F1B">
      <w:pPr>
        <w:pStyle w:val="FootnoteText"/>
        <w:rPr>
          <w:lang w:val="en-US"/>
        </w:rPr>
      </w:pPr>
      <w:r>
        <w:rPr>
          <w:rStyle w:val="FootnoteReference"/>
        </w:rPr>
        <w:footnoteRef/>
      </w:r>
      <w:r>
        <w:t xml:space="preserve"> </w:t>
      </w:r>
      <w:r w:rsidRPr="00A00967">
        <w:rPr>
          <w:smallCaps/>
          <w:lang w:val="en-US"/>
        </w:rPr>
        <w:t>Quack</w:t>
      </w:r>
      <w:r>
        <w:rPr>
          <w:lang w:val="en-US"/>
        </w:rPr>
        <w:t xml:space="preserve"> 2010, 2-3, 6: </w:t>
      </w:r>
      <w:r w:rsidRPr="00C94CC1">
        <w:rPr>
          <w:rFonts w:ascii="Trlit_CG Times" w:hAnsi="Trlit_CG Times"/>
          <w:lang w:val="en-US"/>
        </w:rPr>
        <w:t>Hm=f</w:t>
      </w:r>
      <w:r>
        <w:rPr>
          <w:lang w:val="en-US"/>
        </w:rPr>
        <w:t xml:space="preserve"> ‘his slave’</w:t>
      </w:r>
      <w:r>
        <w:t xml:space="preserve"> seems the most plausible of the proposed etymologies, parallel to reference to the royal person as ‘the king’s enemie</w:t>
      </w:r>
      <w:r w:rsidRPr="004D0323">
        <w:t>s’.</w:t>
      </w:r>
      <w:r w:rsidRPr="004D0323">
        <w:rPr>
          <w:lang w:val="en-US"/>
        </w:rPr>
        <w:t xml:space="preserve"> Cf.</w:t>
      </w:r>
      <w:r>
        <w:rPr>
          <w:lang w:val="en-US"/>
        </w:rPr>
        <w:t xml:space="preserve"> specifically for (mis-)use of his name:</w:t>
      </w:r>
      <w:r w:rsidRPr="004D0323">
        <w:rPr>
          <w:lang w:val="en-US"/>
        </w:rPr>
        <w:t xml:space="preserve"> Man for Son §6, 5 </w:t>
      </w:r>
      <w:r w:rsidRPr="004D0323">
        <w:rPr>
          <w:rFonts w:ascii="Trlit_CG Times" w:hAnsi="Trlit_CG Times"/>
          <w:lang w:val="en-US"/>
        </w:rPr>
        <w:t>Sw m rn=f r imAx</w:t>
      </w:r>
      <w:r w:rsidRPr="004D0323">
        <w:rPr>
          <w:lang w:val="en-US"/>
        </w:rPr>
        <w:t xml:space="preserve"> and §7, 7-8</w:t>
      </w:r>
      <w:r w:rsidRPr="004D0323">
        <w:rPr>
          <w:rFonts w:ascii="Trlit_CG Times" w:hAnsi="Trlit_CG Times"/>
          <w:lang w:val="en-US"/>
        </w:rPr>
        <w:t xml:space="preserve"> nn is n dm rn=f nn sti mw n Sni sw. </w:t>
      </w:r>
    </w:p>
  </w:footnote>
  <w:footnote w:id="90">
    <w:p w14:paraId="04C52952" w14:textId="3B68DFC9" w:rsidR="0093105E" w:rsidRPr="0022665C" w:rsidRDefault="0093105E" w:rsidP="00695D13">
      <w:pPr>
        <w:pStyle w:val="FootnoteText"/>
        <w:rPr>
          <w:color w:val="000000" w:themeColor="text1"/>
        </w:rPr>
      </w:pPr>
      <w:r>
        <w:rPr>
          <w:rStyle w:val="FootnoteReference"/>
        </w:rPr>
        <w:footnoteRef/>
      </w:r>
      <w:r>
        <w:t xml:space="preserve"> </w:t>
      </w:r>
      <w:r w:rsidRPr="00801339">
        <w:rPr>
          <w:smallCaps/>
          <w:color w:val="000000" w:themeColor="text1"/>
        </w:rPr>
        <w:t>Baines</w:t>
      </w:r>
      <w:r w:rsidRPr="004751AA">
        <w:rPr>
          <w:color w:val="000000" w:themeColor="text1"/>
        </w:rPr>
        <w:t xml:space="preserve"> 1986, 45-47</w:t>
      </w:r>
      <w:r>
        <w:rPr>
          <w:color w:val="000000" w:themeColor="text1"/>
        </w:rPr>
        <w:t>; 1</w:t>
      </w:r>
      <w:r>
        <w:t>987, 55-57</w:t>
      </w:r>
      <w:r w:rsidRPr="004751AA">
        <w:rPr>
          <w:color w:val="000000" w:themeColor="text1"/>
        </w:rPr>
        <w:t xml:space="preserve"> </w:t>
      </w:r>
      <w:r>
        <w:rPr>
          <w:color w:val="000000" w:themeColor="text1"/>
        </w:rPr>
        <w:t xml:space="preserve">argues that the </w:t>
      </w:r>
      <w:r>
        <w:t xml:space="preserve">Early New Kingdom stela of Emheb </w:t>
      </w:r>
      <w:r>
        <w:rPr>
          <w:color w:val="000000" w:themeColor="text1"/>
        </w:rPr>
        <w:t xml:space="preserve">provides an </w:t>
      </w:r>
      <w:r w:rsidRPr="004751AA">
        <w:rPr>
          <w:color w:val="000000" w:themeColor="text1"/>
        </w:rPr>
        <w:t>ideological emphasis on the king as killer and his soldiers as takers of captives</w:t>
      </w:r>
      <w:r>
        <w:rPr>
          <w:color w:val="000000" w:themeColor="text1"/>
        </w:rPr>
        <w:t xml:space="preserve">: </w:t>
      </w:r>
      <w:r w:rsidRPr="004751AA">
        <w:rPr>
          <w:color w:val="000000" w:themeColor="text1"/>
        </w:rPr>
        <w:t>a statement of the king’s prerogative to take life</w:t>
      </w:r>
      <w:r>
        <w:rPr>
          <w:color w:val="000000" w:themeColor="text1"/>
        </w:rPr>
        <w:t xml:space="preserve">. The presentation of violence as royal monopoly is consistent, from the depictions on the Narmer palette (cf. </w:t>
      </w:r>
      <w:r w:rsidRPr="0022665C">
        <w:rPr>
          <w:smallCaps/>
          <w:color w:val="000000" w:themeColor="text1"/>
        </w:rPr>
        <w:t>Richardson</w:t>
      </w:r>
      <w:r>
        <w:rPr>
          <w:color w:val="000000" w:themeColor="text1"/>
        </w:rPr>
        <w:t xml:space="preserve"> 2011, 17) through the narrative of king as sole destroyer of enemies in New Kingdom royal self-presentation: incidental actions of individuals are recorded only in their own autobiographies, providing a likely explanation for the narrower range of specific violence portrayed in the Egyptian material compared to the Assyrian (for which contrast Bahrani 2008, 29-40).    </w:t>
      </w:r>
    </w:p>
  </w:footnote>
  <w:footnote w:id="91">
    <w:p w14:paraId="5627BCA1" w14:textId="390AD0E3" w:rsidR="0093105E" w:rsidRPr="00C6329A" w:rsidRDefault="0093105E" w:rsidP="00F1463A">
      <w:pPr>
        <w:pStyle w:val="FootnoteText"/>
        <w:rPr>
          <w:lang w:val="en-US"/>
        </w:rPr>
      </w:pPr>
      <w:r>
        <w:rPr>
          <w:rStyle w:val="FootnoteReference"/>
        </w:rPr>
        <w:footnoteRef/>
      </w:r>
      <w:r>
        <w:t xml:space="preserve"> </w:t>
      </w:r>
      <w:r>
        <w:rPr>
          <w:lang w:val="en-US"/>
        </w:rPr>
        <w:t xml:space="preserve"> </w:t>
      </w:r>
      <w:r w:rsidRPr="001E2D7A">
        <w:rPr>
          <w:smallCaps/>
          <w:lang w:val="en-US"/>
        </w:rPr>
        <w:t>Pee</w:t>
      </w:r>
      <w:r w:rsidRPr="00C6329A">
        <w:rPr>
          <w:smallCaps/>
          <w:lang w:val="en-US"/>
        </w:rPr>
        <w:t xml:space="preserve">t </w:t>
      </w:r>
      <w:r w:rsidRPr="00C6329A">
        <w:rPr>
          <w:lang w:val="en-US"/>
        </w:rPr>
        <w:t>1930, 26</w:t>
      </w:r>
      <w:r>
        <w:rPr>
          <w:lang w:val="en-US"/>
        </w:rPr>
        <w:t>-27, with specific reference to pLeopold-Amherst 3, 19; 4, 10-1.</w:t>
      </w:r>
    </w:p>
  </w:footnote>
  <w:footnote w:id="92">
    <w:p w14:paraId="07C91FC5" w14:textId="0E0471DE" w:rsidR="0093105E" w:rsidRPr="00D209FC" w:rsidRDefault="0093105E" w:rsidP="000222B3">
      <w:pPr>
        <w:pStyle w:val="FootnoteText"/>
      </w:pPr>
      <w:r>
        <w:rPr>
          <w:rStyle w:val="FootnoteReference"/>
        </w:rPr>
        <w:footnoteRef/>
      </w:r>
      <w:r>
        <w:t xml:space="preserve"> </w:t>
      </w:r>
      <w:r>
        <w:rPr>
          <w:lang w:val="en-US"/>
        </w:rPr>
        <w:t xml:space="preserve"> </w:t>
      </w:r>
      <w:r w:rsidRPr="006A2D71">
        <w:rPr>
          <w:smallCaps/>
          <w:lang w:val="en-US"/>
        </w:rPr>
        <w:t>Capart</w:t>
      </w:r>
      <w:r>
        <w:rPr>
          <w:lang w:val="en-US"/>
        </w:rPr>
        <w:t xml:space="preserve">, </w:t>
      </w:r>
      <w:r w:rsidRPr="006A2D71">
        <w:rPr>
          <w:smallCaps/>
          <w:lang w:val="en-US"/>
        </w:rPr>
        <w:t>Gardiner</w:t>
      </w:r>
      <w:r>
        <w:rPr>
          <w:lang w:val="en-US"/>
        </w:rPr>
        <w:t xml:space="preserve"> and </w:t>
      </w:r>
      <w:r w:rsidRPr="006A2D71">
        <w:rPr>
          <w:smallCaps/>
          <w:lang w:val="en-US"/>
        </w:rPr>
        <w:t>van der Walle</w:t>
      </w:r>
      <w:r>
        <w:rPr>
          <w:lang w:val="en-US"/>
        </w:rPr>
        <w:t xml:space="preserve"> 1936, 190; </w:t>
      </w:r>
      <w:r>
        <w:t xml:space="preserve">cf., e.g., </w:t>
      </w:r>
      <w:r w:rsidRPr="00481A2D">
        <w:rPr>
          <w:smallCaps/>
        </w:rPr>
        <w:t>Assmann</w:t>
      </w:r>
      <w:r>
        <w:t xml:space="preserve"> 1995, 68: ‘Töten ist in Ägypten ein striktes Monopol des Staates’. The theme is regularly repeated as a given fact, but the argument comes from a highly ideological standpoint, and is not clearly rooted in practical realities of political force, murder (</w:t>
      </w:r>
      <w:r w:rsidRPr="00481A2D">
        <w:rPr>
          <w:smallCaps/>
        </w:rPr>
        <w:t>Hoch</w:t>
      </w:r>
      <w:r>
        <w:t xml:space="preserve"> and </w:t>
      </w:r>
      <w:r w:rsidRPr="00481A2D">
        <w:t>Orel</w:t>
      </w:r>
      <w:r>
        <w:t xml:space="preserve"> 1992), or feud and vendetta (E</w:t>
      </w:r>
      <w:r w:rsidRPr="00226CFB">
        <w:rPr>
          <w:smallCaps/>
        </w:rPr>
        <w:t>yre</w:t>
      </w:r>
      <w:r>
        <w:t xml:space="preserve"> 2016; and cf. </w:t>
      </w:r>
      <w:r w:rsidRPr="007D4AC3">
        <w:rPr>
          <w:smallCaps/>
        </w:rPr>
        <w:t>Richards</w:t>
      </w:r>
      <w:r>
        <w:rPr>
          <w:smallCaps/>
        </w:rPr>
        <w:t>on</w:t>
      </w:r>
      <w:r>
        <w:t xml:space="preserve"> 2016, 48 on Mesopotamian material). </w:t>
      </w:r>
      <w:r w:rsidRPr="00483793">
        <w:rPr>
          <w:smallCaps/>
        </w:rPr>
        <w:t>Frandsen</w:t>
      </w:r>
      <w:r>
        <w:t xml:space="preserve"> 2016, 227-234 provides a recent, brief </w:t>
      </w:r>
      <w:r w:rsidRPr="00226CFB">
        <w:t>discussion of th</w:t>
      </w:r>
      <w:r>
        <w:t xml:space="preserve">e issues and literature 227-234, and note </w:t>
      </w:r>
      <w:r w:rsidRPr="000222B3">
        <w:rPr>
          <w:smallCaps/>
        </w:rPr>
        <w:t>Gee</w:t>
      </w:r>
      <w:r w:rsidRPr="00226CFB">
        <w:t xml:space="preserve"> 2010, 77-78, n. 73 for references to destruction for crimes/in curse</w:t>
      </w:r>
      <w:r>
        <w:t xml:space="preserve">s. For survey of capital and corporal punishment see </w:t>
      </w:r>
      <w:r w:rsidRPr="00A00967">
        <w:rPr>
          <w:smallCaps/>
        </w:rPr>
        <w:t>Müller-Wollermann</w:t>
      </w:r>
      <w:r w:rsidRPr="00467D03">
        <w:t xml:space="preserve"> 200</w:t>
      </w:r>
      <w:r w:rsidRPr="00D209FC">
        <w:t>4, 195-</w:t>
      </w:r>
      <w:r>
        <w:t>208.</w:t>
      </w:r>
    </w:p>
  </w:footnote>
  <w:footnote w:id="93">
    <w:p w14:paraId="245BDAA2" w14:textId="272D6C19" w:rsidR="0093105E" w:rsidRPr="006C00C6" w:rsidRDefault="0093105E" w:rsidP="006C00C6">
      <w:pPr>
        <w:widowControl w:val="0"/>
        <w:autoSpaceDE w:val="0"/>
        <w:autoSpaceDN w:val="0"/>
        <w:adjustRightInd w:val="0"/>
        <w:contextualSpacing w:val="0"/>
        <w:rPr>
          <w:rFonts w:ascii="Trlit_CG Times" w:hAnsi="Trlit_CG Times" w:cs="AGaramondPro-Regular"/>
          <w:lang w:val="en-US"/>
        </w:rPr>
      </w:pPr>
      <w:r w:rsidRPr="00502E33">
        <w:rPr>
          <w:rStyle w:val="FootnoteReference"/>
        </w:rPr>
        <w:footnoteRef/>
      </w:r>
      <w:r w:rsidRPr="00502E33">
        <w:t xml:space="preserve"> </w:t>
      </w:r>
      <w:r w:rsidRPr="00502E33">
        <w:rPr>
          <w:rFonts w:cs="AGaramondPro-Regular"/>
          <w:lang w:val="en-US"/>
        </w:rPr>
        <w:t xml:space="preserve">E.g., </w:t>
      </w:r>
      <w:r w:rsidRPr="000222B3">
        <w:t>Morschauser</w:t>
      </w:r>
      <w:r>
        <w:t xml:space="preserve"> 1991, 120-122, 245</w:t>
      </w:r>
      <w:r w:rsidRPr="006B0153">
        <w:t xml:space="preserve">; </w:t>
      </w:r>
      <w:r w:rsidRPr="006B0153">
        <w:rPr>
          <w:rFonts w:cs="AGaramondPro-Regular"/>
          <w:iCs/>
          <w:lang w:val="en-US"/>
        </w:rPr>
        <w:t xml:space="preserve">similarly </w:t>
      </w:r>
      <w:r w:rsidRPr="00D80BB8">
        <w:rPr>
          <w:rFonts w:cs="AGaramondPro-Regular"/>
          <w:iCs/>
          <w:smallCaps/>
          <w:lang w:val="en-US"/>
        </w:rPr>
        <w:t>Muhlestein</w:t>
      </w:r>
      <w:r w:rsidRPr="00D80BB8">
        <w:rPr>
          <w:rFonts w:cs="AGaramondPro-Regular"/>
          <w:iCs/>
          <w:lang w:val="en-US"/>
        </w:rPr>
        <w:t xml:space="preserve"> 2008, </w:t>
      </w:r>
      <w:r w:rsidRPr="006B0153">
        <w:rPr>
          <w:rFonts w:cs="AGaramondPro-Regular"/>
          <w:iCs/>
          <w:lang w:val="en-US"/>
        </w:rPr>
        <w:t>2</w:t>
      </w:r>
      <w:r w:rsidRPr="00E14552">
        <w:rPr>
          <w:rFonts w:cs="AGaramondPro-Regular"/>
          <w:iCs/>
          <w:lang w:val="en-US"/>
        </w:rPr>
        <w:t xml:space="preserve">01-202; </w:t>
      </w:r>
      <w:r w:rsidRPr="00A216E2">
        <w:t>Altenmüller 2011, 4-5</w:t>
      </w:r>
      <w:r>
        <w:t xml:space="preserve">; </w:t>
      </w:r>
      <w:r w:rsidRPr="00D80BB8">
        <w:rPr>
          <w:smallCaps/>
          <w:lang w:val="en-US"/>
        </w:rPr>
        <w:t>Quack</w:t>
      </w:r>
      <w:r w:rsidRPr="00D80BB8">
        <w:rPr>
          <w:lang w:val="en-US"/>
        </w:rPr>
        <w:t xml:space="preserve"> 2015: 30</w:t>
      </w:r>
      <w:r>
        <w:rPr>
          <w:lang w:val="en-US"/>
        </w:rPr>
        <w:t xml:space="preserve">. Particularly striking is the example from </w:t>
      </w:r>
      <w:r w:rsidRPr="00502E33">
        <w:rPr>
          <w:rFonts w:cs="AGaramondPro-Regular"/>
          <w:lang w:val="en-US"/>
        </w:rPr>
        <w:t>the entrance of Tomb IV at Siut</w:t>
      </w:r>
      <w:r>
        <w:rPr>
          <w:rFonts w:cs="AGaramondPro-Regular"/>
          <w:lang w:val="en-US"/>
        </w:rPr>
        <w:t xml:space="preserve"> (</w:t>
      </w:r>
      <w:r w:rsidRPr="006C00C6">
        <w:rPr>
          <w:rFonts w:cs="AGaramondPro-Regular"/>
          <w:smallCaps/>
          <w:szCs w:val="24"/>
          <w:lang w:val="en-US"/>
        </w:rPr>
        <w:t xml:space="preserve">Edel </w:t>
      </w:r>
      <w:r>
        <w:rPr>
          <w:rFonts w:cs="AGaramondPro-Regular"/>
          <w:lang w:val="en-US"/>
        </w:rPr>
        <w:t xml:space="preserve">1984, 99 and 120-127): </w:t>
      </w:r>
      <w:r w:rsidRPr="006C00C6">
        <w:rPr>
          <w:rFonts w:ascii="Trlit_CG Times" w:hAnsi="Trlit_CG Times" w:cs="AGaramondPro-Regular"/>
          <w:lang w:val="en-US"/>
        </w:rPr>
        <w:t>ir swt sbi nb XAk-ib nb irt(y).f(y) pnayt m-xt nn sDm.n=f nn wn rn=f nn qrst=f m smt iw=f (</w:t>
      </w:r>
      <w:r w:rsidRPr="006C00C6">
        <w:rPr>
          <w:rFonts w:cs="AGaramondPro-Regular"/>
          <w:lang w:val="en-US"/>
        </w:rPr>
        <w:t>or</w:t>
      </w:r>
      <w:r w:rsidRPr="006C00C6">
        <w:rPr>
          <w:rFonts w:ascii="Trlit_CG Times" w:hAnsi="Trlit_CG Times" w:cs="AGaramondPro-Regular"/>
          <w:lang w:val="en-US"/>
        </w:rPr>
        <w:t xml:space="preserve"> iwf) r pst Hna xbntyw</w:t>
      </w:r>
      <w:r>
        <w:rPr>
          <w:rFonts w:cs="AGaramondPro-Regular"/>
          <w:lang w:val="en-US"/>
        </w:rPr>
        <w:t>,</w:t>
      </w:r>
      <w:r w:rsidRPr="00502E33">
        <w:rPr>
          <w:rFonts w:cs="AGaramondPro-Regular"/>
          <w:lang w:val="en-US"/>
        </w:rPr>
        <w:t xml:space="preserve"> ‘any </w:t>
      </w:r>
      <w:r>
        <w:rPr>
          <w:rFonts w:cs="AGaramondPro-Regular"/>
          <w:lang w:val="en-US"/>
        </w:rPr>
        <w:t>opponenet</w:t>
      </w:r>
      <w:r w:rsidRPr="00502E33">
        <w:rPr>
          <w:rFonts w:cs="AGaramondPro-Regular"/>
          <w:lang w:val="en-US"/>
        </w:rPr>
        <w:t xml:space="preserve"> (</w:t>
      </w:r>
      <w:r w:rsidRPr="00502E33">
        <w:rPr>
          <w:rFonts w:ascii="Trlit_CG Times" w:hAnsi="Trlit_CG Times" w:cs="AGaramondPro-Regular"/>
          <w:iCs/>
          <w:lang w:val="en-US"/>
        </w:rPr>
        <w:t>sbi</w:t>
      </w:r>
      <w:r>
        <w:rPr>
          <w:rFonts w:cs="AGaramondPro-Regular"/>
          <w:lang w:val="en-US"/>
        </w:rPr>
        <w:t>) and any mal</w:t>
      </w:r>
      <w:r w:rsidRPr="00502E33">
        <w:rPr>
          <w:rFonts w:cs="AGaramondPro-Regular"/>
          <w:lang w:val="en-US"/>
        </w:rPr>
        <w:t>content (</w:t>
      </w:r>
      <w:r w:rsidRPr="00502E33">
        <w:rPr>
          <w:rFonts w:ascii="Trlit_CG Times" w:hAnsi="Trlit_CG Times" w:cs="AGaramondPro-Regular"/>
          <w:iCs/>
          <w:lang w:val="en-US"/>
        </w:rPr>
        <w:t>XAk-ib</w:t>
      </w:r>
      <w:r w:rsidRPr="00502E33">
        <w:rPr>
          <w:rFonts w:cs="AGaramondPro-Regular"/>
          <w:lang w:val="en-US"/>
        </w:rPr>
        <w:t xml:space="preserve">), who will do </w:t>
      </w:r>
      <w:r>
        <w:rPr>
          <w:rFonts w:cs="AGaramondPro-Regular"/>
          <w:lang w:val="en-US"/>
        </w:rPr>
        <w:t>damage, after</w:t>
      </w:r>
      <w:r w:rsidRPr="00502E33">
        <w:rPr>
          <w:rFonts w:cs="AGaramondPro-Regular"/>
          <w:lang w:val="en-US"/>
        </w:rPr>
        <w:t xml:space="preserve"> </w:t>
      </w:r>
      <w:r>
        <w:rPr>
          <w:rFonts w:cs="AGaramondPro-Regular"/>
          <w:lang w:val="en-US"/>
        </w:rPr>
        <w:t>he has heard</w:t>
      </w:r>
      <w:r w:rsidRPr="00502E33">
        <w:rPr>
          <w:rFonts w:cs="AGaramondPro-Regular"/>
          <w:lang w:val="en-US"/>
        </w:rPr>
        <w:t xml:space="preserve"> </w:t>
      </w:r>
      <w:r>
        <w:rPr>
          <w:rFonts w:cs="AGaramondPro-Regular"/>
          <w:lang w:val="en-US"/>
        </w:rPr>
        <w:t>this</w:t>
      </w:r>
      <w:r w:rsidRPr="00502E33">
        <w:rPr>
          <w:rFonts w:cs="AGaramondPro-Regular"/>
          <w:lang w:val="en-US"/>
        </w:rPr>
        <w:t>,</w:t>
      </w:r>
      <w:r>
        <w:rPr>
          <w:rFonts w:cs="AGaramondPro-Regular"/>
          <w:lang w:val="en-US"/>
        </w:rPr>
        <w:t xml:space="preserve"> his </w:t>
      </w:r>
      <w:r w:rsidRPr="00502E33">
        <w:rPr>
          <w:rFonts w:cs="AGaramondPro-Regular"/>
          <w:lang w:val="en-US"/>
        </w:rPr>
        <w:t>name will not exist (</w:t>
      </w:r>
      <w:r w:rsidRPr="00502E33">
        <w:rPr>
          <w:rFonts w:ascii="Trlit_CG Times" w:hAnsi="Trlit_CG Times" w:cs="AGaramondPro-Regular"/>
          <w:iCs/>
          <w:lang w:val="en-US"/>
        </w:rPr>
        <w:t>nn wn rn=f</w:t>
      </w:r>
      <w:r w:rsidRPr="00502E33">
        <w:rPr>
          <w:rFonts w:cs="AGaramondPro-Regular"/>
          <w:iCs/>
          <w:lang w:val="en-US"/>
        </w:rPr>
        <w:t xml:space="preserve"> </w:t>
      </w:r>
      <w:r w:rsidRPr="00502E33">
        <w:rPr>
          <w:rFonts w:cs="AGaramondPro-Regular"/>
          <w:lang w:val="en-US"/>
        </w:rPr>
        <w:t xml:space="preserve">), he will </w:t>
      </w:r>
      <w:r>
        <w:rPr>
          <w:rFonts w:cs="AGaramondPro-Regular"/>
          <w:lang w:val="en-US"/>
        </w:rPr>
        <w:t>have no burial</w:t>
      </w:r>
      <w:r w:rsidRPr="00502E33">
        <w:rPr>
          <w:rFonts w:cs="AGaramondPro-Regular"/>
          <w:lang w:val="en-US"/>
        </w:rPr>
        <w:t xml:space="preserve"> in the necropolis, he will be cooked </w:t>
      </w:r>
      <w:r>
        <w:rPr>
          <w:rFonts w:cs="AGaramondPro-Regular"/>
          <w:lang w:val="en-US"/>
        </w:rPr>
        <w:t>(or ‘meat for cooking’) together with the criminals</w:t>
      </w:r>
      <w:r w:rsidRPr="00502E33">
        <w:rPr>
          <w:rFonts w:cs="AGaramondPro-Regular"/>
          <w:lang w:val="en-US"/>
        </w:rPr>
        <w:t>’</w:t>
      </w:r>
      <w:r w:rsidRPr="00007A10">
        <w:rPr>
          <w:rFonts w:ascii="Trlit_CG Times" w:hAnsi="Trlit_CG Times"/>
          <w:lang w:val="en-US"/>
        </w:rPr>
        <w:t>.</w:t>
      </w:r>
    </w:p>
  </w:footnote>
  <w:footnote w:id="94">
    <w:p w14:paraId="23BE19D1" w14:textId="5F625F5F" w:rsidR="0093105E" w:rsidRPr="0048558C" w:rsidRDefault="0093105E">
      <w:pPr>
        <w:pStyle w:val="FootnoteText"/>
        <w:rPr>
          <w:lang w:val="en-US"/>
        </w:rPr>
      </w:pPr>
      <w:r w:rsidRPr="0048558C">
        <w:rPr>
          <w:rStyle w:val="FootnoteReference"/>
        </w:rPr>
        <w:footnoteRef/>
      </w:r>
      <w:r w:rsidRPr="0048558C">
        <w:t xml:space="preserve"> </w:t>
      </w:r>
      <w:r w:rsidRPr="0048558C">
        <w:rPr>
          <w:smallCaps/>
        </w:rPr>
        <w:t>Frandsen</w:t>
      </w:r>
      <w:r w:rsidRPr="0048558C">
        <w:t xml:space="preserve"> 2016; cf. Hoch and Orel 1992, esp. 92.</w:t>
      </w:r>
    </w:p>
  </w:footnote>
  <w:footnote w:id="95">
    <w:p w14:paraId="5844113F" w14:textId="41232D7A" w:rsidR="0093105E" w:rsidRPr="00C33F99" w:rsidRDefault="0093105E" w:rsidP="00C33F99">
      <w:r>
        <w:rPr>
          <w:rStyle w:val="FootnoteReference"/>
        </w:rPr>
        <w:footnoteRef/>
      </w:r>
      <w:r>
        <w:t xml:space="preserve"> </w:t>
      </w:r>
      <w:r w:rsidRPr="00483793">
        <w:rPr>
          <w:smallCaps/>
          <w:szCs w:val="24"/>
        </w:rPr>
        <w:t>Frandsen</w:t>
      </w:r>
      <w:r>
        <w:t xml:space="preserve"> 2016:</w:t>
      </w:r>
      <w:r w:rsidRPr="00EE3649">
        <w:t xml:space="preserve"> </w:t>
      </w:r>
      <w:r>
        <w:t xml:space="preserve">227-234; cf., eg. Above </w:t>
      </w:r>
      <w:r w:rsidRPr="00B2256E">
        <w:t>n.19,</w:t>
      </w:r>
      <w:r>
        <w:t xml:space="preserve"> Tod Inscription of Sesostris I, 30-32; above n.</w:t>
      </w:r>
      <w:r w:rsidRPr="00B2256E">
        <w:t xml:space="preserve">22, </w:t>
      </w:r>
      <w:r>
        <w:t xml:space="preserve">Piye stela 85-86; </w:t>
      </w:r>
      <w:r w:rsidRPr="00D45CD8">
        <w:rPr>
          <w:smallCaps/>
          <w:szCs w:val="24"/>
        </w:rPr>
        <w:t>Žába</w:t>
      </w:r>
      <w:r>
        <w:t xml:space="preserve"> </w:t>
      </w:r>
      <w:r w:rsidRPr="0048558C">
        <w:t>1974,</w:t>
      </w:r>
      <w:r w:rsidRPr="00427563">
        <w:t xml:space="preserve"> </w:t>
      </w:r>
      <w:r>
        <w:t xml:space="preserve">52, 79, </w:t>
      </w:r>
      <w:r w:rsidRPr="00427563">
        <w:t>84</w:t>
      </w:r>
      <w:r>
        <w:t xml:space="preserve"> for a curse against people who destroy inscription: </w:t>
      </w:r>
      <w:r w:rsidRPr="00427563">
        <w:rPr>
          <w:rFonts w:ascii="Trlit_CG Times" w:hAnsi="Trlit_CG Times"/>
        </w:rPr>
        <w:t>mwt=f n nmty nsw</w:t>
      </w:r>
      <w:r>
        <w:t xml:space="preserve"> “He will die by the king’s butcher” (var. </w:t>
      </w:r>
      <w:r w:rsidRPr="00427563">
        <w:rPr>
          <w:rFonts w:ascii="Trlit_CG Times" w:hAnsi="Trlit_CG Times"/>
        </w:rPr>
        <w:t>n Drt nmty</w:t>
      </w:r>
      <w:r>
        <w:t>, “by the hand of the butcher’).</w:t>
      </w:r>
    </w:p>
  </w:footnote>
  <w:footnote w:id="96">
    <w:p w14:paraId="25F570CC" w14:textId="7C0D72DE" w:rsidR="0093105E" w:rsidRPr="007309EF" w:rsidRDefault="0093105E">
      <w:pPr>
        <w:pStyle w:val="FootnoteText"/>
        <w:rPr>
          <w:lang w:val="en-US"/>
        </w:rPr>
      </w:pPr>
      <w:r w:rsidRPr="007309EF">
        <w:rPr>
          <w:rStyle w:val="FootnoteReference"/>
        </w:rPr>
        <w:footnoteRef/>
      </w:r>
      <w:r w:rsidRPr="007309EF">
        <w:t xml:space="preserve"> Merikare E 133-134.</w:t>
      </w:r>
    </w:p>
  </w:footnote>
  <w:footnote w:id="97">
    <w:p w14:paraId="523584E9" w14:textId="2C987DCF" w:rsidR="0093105E" w:rsidRPr="008B1D12" w:rsidRDefault="0093105E">
      <w:pPr>
        <w:pStyle w:val="FootnoteText"/>
        <w:rPr>
          <w:lang w:val="en-US"/>
        </w:rPr>
      </w:pPr>
      <w:r>
        <w:rPr>
          <w:rStyle w:val="FootnoteReference"/>
        </w:rPr>
        <w:footnoteRef/>
      </w:r>
      <w:r>
        <w:t xml:space="preserve"> Cf. </w:t>
      </w:r>
      <w:r w:rsidRPr="00A822D1">
        <w:rPr>
          <w:smallCaps/>
        </w:rPr>
        <w:t>Richardson</w:t>
      </w:r>
      <w:r>
        <w:t xml:space="preserve"> 2016, 51-55 for this theme in Mesopotamian material.</w:t>
      </w:r>
    </w:p>
  </w:footnote>
  <w:footnote w:id="98">
    <w:p w14:paraId="0E239E59" w14:textId="0D7D3E9A" w:rsidR="0093105E" w:rsidRPr="00190271" w:rsidRDefault="0093105E" w:rsidP="00115420">
      <w:pPr>
        <w:pStyle w:val="FootnoteText"/>
        <w:rPr>
          <w:color w:val="FF0000"/>
          <w:lang w:val="en-US"/>
        </w:rPr>
      </w:pPr>
      <w:r>
        <w:rPr>
          <w:rStyle w:val="FootnoteReference"/>
        </w:rPr>
        <w:footnoteRef/>
      </w:r>
      <w:r>
        <w:t xml:space="preserve"> </w:t>
      </w:r>
      <w:r>
        <w:rPr>
          <w:lang w:val="en-US"/>
        </w:rPr>
        <w:t xml:space="preserve">Merikare 48; cf. </w:t>
      </w:r>
      <w:r w:rsidRPr="00BF34CE">
        <w:rPr>
          <w:smallCaps/>
          <w:lang w:val="en-US"/>
        </w:rPr>
        <w:t>Moers</w:t>
      </w:r>
      <w:r>
        <w:rPr>
          <w:lang w:val="en-US"/>
        </w:rPr>
        <w:t xml:space="preserve"> 2005, 255; as, in pWestcar, the king’s desire to see the head of a prisoner removed and restored, simply for entertainment. </w:t>
      </w:r>
    </w:p>
  </w:footnote>
  <w:footnote w:id="99">
    <w:p w14:paraId="077E768E" w14:textId="77777777" w:rsidR="0093105E" w:rsidRPr="004037D9" w:rsidRDefault="0093105E" w:rsidP="00115420">
      <w:pPr>
        <w:pStyle w:val="FootnoteText"/>
        <w:rPr>
          <w:lang w:val="en-US"/>
        </w:rPr>
      </w:pPr>
      <w:r>
        <w:rPr>
          <w:rStyle w:val="FootnoteReference"/>
        </w:rPr>
        <w:footnoteRef/>
      </w:r>
      <w:r>
        <w:t xml:space="preserve"> </w:t>
      </w:r>
      <w:r>
        <w:rPr>
          <w:lang w:val="en-US"/>
        </w:rPr>
        <w:t>Merikare 139-140.</w:t>
      </w:r>
    </w:p>
  </w:footnote>
  <w:footnote w:id="100">
    <w:p w14:paraId="4BD8638F" w14:textId="0EC576B6" w:rsidR="0093105E" w:rsidRPr="009B56BE" w:rsidRDefault="0093105E" w:rsidP="00115420">
      <w:pPr>
        <w:pStyle w:val="FootnoteText"/>
        <w:rPr>
          <w:lang w:val="en-US"/>
        </w:rPr>
      </w:pPr>
      <w:r>
        <w:rPr>
          <w:rStyle w:val="FootnoteReference"/>
        </w:rPr>
        <w:footnoteRef/>
      </w:r>
      <w:r>
        <w:t xml:space="preserve"> </w:t>
      </w:r>
      <w:r>
        <w:rPr>
          <w:lang w:val="en-US"/>
        </w:rPr>
        <w:t xml:space="preserve">Merikare 114-115; cf. </w:t>
      </w:r>
      <w:r w:rsidRPr="00BF34CE">
        <w:rPr>
          <w:smallCaps/>
          <w:lang w:val="en-US"/>
        </w:rPr>
        <w:t>Parkinson</w:t>
      </w:r>
      <w:r>
        <w:rPr>
          <w:lang w:val="en-US"/>
        </w:rPr>
        <w:t xml:space="preserve"> 2005, 16 and 14-17, 20-21; for violence as structural, cf. </w:t>
      </w:r>
      <w:r w:rsidRPr="009B56BE">
        <w:rPr>
          <w:smallCaps/>
          <w:lang w:val="en-US"/>
        </w:rPr>
        <w:t xml:space="preserve">Eyre </w:t>
      </w:r>
      <w:r>
        <w:rPr>
          <w:lang w:val="en-US"/>
        </w:rPr>
        <w:t>2016.</w:t>
      </w:r>
    </w:p>
  </w:footnote>
  <w:footnote w:id="101">
    <w:p w14:paraId="266AFAED" w14:textId="1865A707" w:rsidR="0093105E" w:rsidRPr="00461B89" w:rsidRDefault="0093105E" w:rsidP="00E35546">
      <w:r>
        <w:rPr>
          <w:rStyle w:val="FootnoteReference"/>
        </w:rPr>
        <w:footnoteRef/>
      </w:r>
      <w:r>
        <w:t xml:space="preserve"> </w:t>
      </w:r>
      <w:r w:rsidRPr="00971106">
        <w:rPr>
          <w:smallCaps/>
          <w:szCs w:val="24"/>
        </w:rPr>
        <w:t>Willems</w:t>
      </w:r>
      <w:r>
        <w:t xml:space="preserve"> 2008, </w:t>
      </w:r>
      <w:r w:rsidRPr="00E147FE">
        <w:t>299-300 compares CT Spell 149, emphasising violent punishment of convicted desecrator and his family</w:t>
      </w:r>
      <w:r>
        <w:t xml:space="preserve">; </w:t>
      </w:r>
      <w:r w:rsidRPr="00C52CAF">
        <w:rPr>
          <w:i/>
        </w:rPr>
        <w:t>CT</w:t>
      </w:r>
      <w:r>
        <w:t xml:space="preserve"> II, 244-245 destruction of family of enemy as reve</w:t>
      </w:r>
      <w:r w:rsidRPr="009B56BE">
        <w:t>nge.</w:t>
      </w:r>
    </w:p>
  </w:footnote>
  <w:footnote w:id="102">
    <w:p w14:paraId="5666ABB9" w14:textId="76F85BE3" w:rsidR="0093105E" w:rsidRPr="004D21E5" w:rsidRDefault="0093105E">
      <w:pPr>
        <w:pStyle w:val="FootnoteText"/>
        <w:rPr>
          <w:lang w:val="en-US"/>
        </w:rPr>
      </w:pPr>
      <w:r w:rsidRPr="004D21E5">
        <w:rPr>
          <w:rStyle w:val="FootnoteReference"/>
        </w:rPr>
        <w:footnoteRef/>
      </w:r>
      <w:r w:rsidRPr="004D21E5">
        <w:t xml:space="preserve"> Lines 15-16, </w:t>
      </w:r>
      <w:r w:rsidRPr="004D21E5">
        <w:rPr>
          <w:smallCaps/>
        </w:rPr>
        <w:t>Faulkner</w:t>
      </w:r>
      <w:r w:rsidRPr="004D21E5">
        <w:t xml:space="preserve"> 1955. The context is that of vizier as representative of the king, unpartisan and with explicitly limited discretion in carrying out direct instructions.</w:t>
      </w:r>
    </w:p>
  </w:footnote>
  <w:footnote w:id="103">
    <w:p w14:paraId="43E8BC72" w14:textId="08DC7093" w:rsidR="0093105E" w:rsidRPr="00B74113" w:rsidRDefault="0093105E" w:rsidP="00391840">
      <w:r>
        <w:rPr>
          <w:rStyle w:val="FootnoteReference"/>
        </w:rPr>
        <w:footnoteRef/>
      </w:r>
      <w:r>
        <w:t xml:space="preserve"> </w:t>
      </w:r>
      <w:r>
        <w:rPr>
          <w:lang w:val="en-US"/>
        </w:rPr>
        <w:t xml:space="preserve">The theme runs through the Story of the Eloquent Peasant: flogged by the minor functionary who robs him, flogged by the High Steward in the middle of his petitioning, and expecting extreme violence at the end of his petitions: </w:t>
      </w:r>
      <w:r w:rsidRPr="00B74113">
        <w:t>Peas. B1, 53-4; 217-218; B2, 116-118.</w:t>
      </w:r>
    </w:p>
  </w:footnote>
  <w:footnote w:id="104">
    <w:p w14:paraId="2666F438" w14:textId="63D267D1" w:rsidR="0093105E" w:rsidRPr="00304F76" w:rsidRDefault="0093105E" w:rsidP="00304F76">
      <w:pPr>
        <w:pStyle w:val="FootnoteText"/>
        <w:rPr>
          <w:color w:val="FF0000"/>
        </w:rPr>
      </w:pPr>
      <w:r>
        <w:rPr>
          <w:rStyle w:val="FootnoteReference"/>
        </w:rPr>
        <w:footnoteRef/>
      </w:r>
      <w:r>
        <w:t xml:space="preserve"> E.g., </w:t>
      </w:r>
      <w:r w:rsidRPr="009959C3">
        <w:rPr>
          <w:smallCaps/>
        </w:rPr>
        <w:t>James</w:t>
      </w:r>
      <w:r>
        <w:t xml:space="preserve"> 1953, pl. IX, tomb of Khentika</w:t>
      </w:r>
      <w:r w:rsidRPr="004D21E5">
        <w:t xml:space="preserve">; in general cf. </w:t>
      </w:r>
      <w:r w:rsidRPr="00743A83">
        <w:t>Vernus 2015, 310, n.3 and 315-316</w:t>
      </w:r>
      <w:r>
        <w:rPr>
          <w:color w:val="0000FF"/>
        </w:rPr>
        <w:t>.</w:t>
      </w:r>
    </w:p>
  </w:footnote>
  <w:footnote w:id="105">
    <w:p w14:paraId="1BBC046F" w14:textId="467322C8" w:rsidR="0093105E" w:rsidRPr="00AC651A" w:rsidRDefault="0093105E">
      <w:pPr>
        <w:pStyle w:val="FootnoteText"/>
        <w:rPr>
          <w:lang w:val="en-US"/>
        </w:rPr>
      </w:pPr>
      <w:r w:rsidRPr="002A43DC">
        <w:rPr>
          <w:rStyle w:val="FootnoteReference"/>
        </w:rPr>
        <w:footnoteRef/>
      </w:r>
      <w:r w:rsidRPr="002A43DC">
        <w:t xml:space="preserve"> </w:t>
      </w:r>
      <w:r w:rsidRPr="002A43DC">
        <w:rPr>
          <w:iCs/>
          <w:smallCaps/>
        </w:rPr>
        <w:t xml:space="preserve">Newberry </w:t>
      </w:r>
      <w:r w:rsidRPr="002A43DC">
        <w:t>1891,</w:t>
      </w:r>
      <w:r>
        <w:t xml:space="preserve"> pl. 7.</w:t>
      </w:r>
      <w:r w:rsidRPr="002A43DC">
        <w:t xml:space="preserve"> For early modern illustrations of both techniques, see</w:t>
      </w:r>
      <w:r w:rsidRPr="00AC651A">
        <w:rPr>
          <w:rFonts w:ascii="Cambria" w:hAnsi="Cambria"/>
        </w:rPr>
        <w:t xml:space="preserve"> </w:t>
      </w:r>
      <w:r w:rsidRPr="00AC651A">
        <w:rPr>
          <w:smallCaps/>
        </w:rPr>
        <w:t>Bruwier</w:t>
      </w:r>
      <w:r w:rsidRPr="00AC651A">
        <w:t xml:space="preserve"> et al. 2014, 246-247 = pl. 20 and pl. 45 of J.-J. Rifaud’s Voyage en Égypte.</w:t>
      </w:r>
      <w:r w:rsidRPr="00AC651A">
        <w:rPr>
          <w:rFonts w:ascii="Cambria" w:hAnsi="Cambria"/>
        </w:rPr>
        <w:t xml:space="preserve">  </w:t>
      </w:r>
    </w:p>
  </w:footnote>
  <w:footnote w:id="106">
    <w:p w14:paraId="01D3C69E" w14:textId="5A76AC0F" w:rsidR="0093105E" w:rsidRPr="00AC651A" w:rsidRDefault="0093105E">
      <w:pPr>
        <w:pStyle w:val="FootnoteText"/>
        <w:rPr>
          <w:lang w:val="en-US"/>
        </w:rPr>
      </w:pPr>
      <w:r w:rsidRPr="00AC651A">
        <w:rPr>
          <w:rStyle w:val="FootnoteReference"/>
        </w:rPr>
        <w:footnoteRef/>
      </w:r>
      <w:r w:rsidRPr="00AC651A">
        <w:t xml:space="preserve"> </w:t>
      </w:r>
      <w:r w:rsidRPr="00162A3E">
        <w:rPr>
          <w:lang w:val="en-US"/>
        </w:rPr>
        <w:t>Urk. I</w:t>
      </w:r>
      <w:r w:rsidRPr="00AC651A">
        <w:rPr>
          <w:lang w:val="en-US"/>
        </w:rPr>
        <w:t>, 217, 4 (</w:t>
      </w:r>
      <w:r w:rsidRPr="00AC651A">
        <w:rPr>
          <w:rFonts w:ascii="Trlit_CG Times" w:hAnsi="Trlit_CG Times"/>
          <w:lang w:val="en-US"/>
        </w:rPr>
        <w:t>n sp Hwi(=i) rmT nb im r xprt=f xr Xr Dbaw(=i)</w:t>
      </w:r>
      <w:r w:rsidRPr="00AC651A">
        <w:rPr>
          <w:lang w:val="en-US"/>
        </w:rPr>
        <w:t>).</w:t>
      </w:r>
    </w:p>
  </w:footnote>
  <w:footnote w:id="107">
    <w:p w14:paraId="381BA486" w14:textId="303BA6C2" w:rsidR="0093105E" w:rsidRPr="002C394B" w:rsidRDefault="0093105E">
      <w:pPr>
        <w:pStyle w:val="FootnoteText"/>
        <w:rPr>
          <w:lang w:val="en-US"/>
        </w:rPr>
      </w:pPr>
      <w:r>
        <w:t>5, 7 – 7, 6 (LEM 104-106).</w:t>
      </w:r>
      <w:r>
        <w:rPr>
          <w:rStyle w:val="FootnoteReference"/>
        </w:rPr>
        <w:footnoteRef/>
      </w:r>
      <w:r>
        <w:t xml:space="preserve"> </w:t>
      </w:r>
    </w:p>
  </w:footnote>
  <w:footnote w:id="108">
    <w:p w14:paraId="2034C0F9" w14:textId="3167ADEA" w:rsidR="0093105E" w:rsidRPr="00AD2914" w:rsidRDefault="0093105E">
      <w:pPr>
        <w:pStyle w:val="FootnoteText"/>
        <w:rPr>
          <w:lang w:val="en-US"/>
        </w:rPr>
      </w:pPr>
      <w:r w:rsidRPr="00AD2914">
        <w:rPr>
          <w:rStyle w:val="FootnoteReference"/>
        </w:rPr>
        <w:footnoteRef/>
      </w:r>
      <w:r w:rsidRPr="00AD2914">
        <w:t xml:space="preserve"> Ammianus Marcellinus 22.16.23 after </w:t>
      </w:r>
      <w:r w:rsidRPr="00AD2914">
        <w:rPr>
          <w:smallCaps/>
        </w:rPr>
        <w:t>Bryen</w:t>
      </w:r>
      <w:r w:rsidRPr="00AD2914">
        <w:t xml:space="preserve"> 2013, 33.</w:t>
      </w:r>
    </w:p>
  </w:footnote>
  <w:footnote w:id="109">
    <w:p w14:paraId="24E9E7B3" w14:textId="6B9458B1" w:rsidR="0093105E" w:rsidRPr="001222D6" w:rsidRDefault="0093105E">
      <w:pPr>
        <w:pStyle w:val="FootnoteText"/>
        <w:rPr>
          <w:lang w:val="en-US"/>
        </w:rPr>
      </w:pPr>
      <w:r>
        <w:rPr>
          <w:rStyle w:val="FootnoteReference"/>
        </w:rPr>
        <w:footnoteRef/>
      </w:r>
      <w:r>
        <w:t xml:space="preserve"> E.g. </w:t>
      </w:r>
      <w:r w:rsidRPr="00162A3E">
        <w:t xml:space="preserve">Satire on the Trades §2 and § 14 </w:t>
      </w:r>
      <w:r>
        <w:t>(p</w:t>
      </w:r>
      <w:r w:rsidRPr="001222D6">
        <w:t>Sallier 2, 3, 2</w:t>
      </w:r>
      <w:r w:rsidRPr="00162A3E">
        <w:rPr>
          <w:i/>
          <w:color w:val="FF0000"/>
        </w:rPr>
        <w:t xml:space="preserve"> </w:t>
      </w:r>
      <w:r>
        <w:t>and p</w:t>
      </w:r>
      <w:r w:rsidRPr="001222D6">
        <w:t>Sallier 2, 7, 3-</w:t>
      </w:r>
      <w:r w:rsidRPr="00162A3E">
        <w:t>4</w:t>
      </w:r>
      <w:r>
        <w:t xml:space="preserve">). </w:t>
      </w:r>
      <w:r w:rsidRPr="001222D6">
        <w:t xml:space="preserve">and </w:t>
      </w:r>
      <w:r w:rsidRPr="00162A3E">
        <w:t>Admonitions</w:t>
      </w:r>
      <w:r>
        <w:t xml:space="preserve">, </w:t>
      </w:r>
      <w:r w:rsidRPr="001222D6">
        <w:t>4, 9</w:t>
      </w:r>
      <w:r>
        <w:t xml:space="preserve"> (pLeiden I 344)</w:t>
      </w:r>
      <w:r w:rsidRPr="00162A3E">
        <w:t>.</w:t>
      </w:r>
    </w:p>
  </w:footnote>
  <w:footnote w:id="110">
    <w:p w14:paraId="587DBEC9" w14:textId="1B5C2392" w:rsidR="0093105E" w:rsidRPr="00667953" w:rsidRDefault="0093105E" w:rsidP="00667953">
      <w:r>
        <w:rPr>
          <w:rStyle w:val="FootnoteReference"/>
        </w:rPr>
        <w:footnoteRef/>
      </w:r>
      <w:r>
        <w:t xml:space="preserve"> pBM 10052, 8, 22-24 – the lines immediately precedin</w:t>
      </w:r>
      <w:r w:rsidRPr="00162A3E">
        <w:t>g are quoted above o</w:t>
      </w:r>
      <w:r>
        <w:t>n the expection of death as penalty.</w:t>
      </w:r>
    </w:p>
  </w:footnote>
  <w:footnote w:id="111">
    <w:p w14:paraId="47FF68E6" w14:textId="36FC36F2" w:rsidR="0093105E" w:rsidRPr="00B05A66" w:rsidRDefault="0093105E">
      <w:pPr>
        <w:pStyle w:val="FootnoteText"/>
        <w:rPr>
          <w:lang w:val="en-US"/>
        </w:rPr>
      </w:pPr>
      <w:r>
        <w:rPr>
          <w:rStyle w:val="FootnoteReference"/>
        </w:rPr>
        <w:footnoteRef/>
      </w:r>
      <w:r>
        <w:t xml:space="preserve"> </w:t>
      </w:r>
      <w:r w:rsidRPr="00162A3E">
        <w:rPr>
          <w:lang w:val="en-US"/>
        </w:rPr>
        <w:t>KRI II, 130, 1-9 (no. 8, with diagrams KRI</w:t>
      </w:r>
      <w:r>
        <w:rPr>
          <w:lang w:val="en-US"/>
        </w:rPr>
        <w:t xml:space="preserve"> II, 126-128).</w:t>
      </w:r>
    </w:p>
  </w:footnote>
  <w:footnote w:id="112">
    <w:p w14:paraId="3F7BC29D" w14:textId="0B1F7D00" w:rsidR="0093105E" w:rsidRPr="00DC6E43" w:rsidRDefault="0093105E" w:rsidP="00F1463A">
      <w:r>
        <w:rPr>
          <w:rStyle w:val="FootnoteReference"/>
        </w:rPr>
        <w:footnoteRef/>
      </w:r>
      <w:r>
        <w:t xml:space="preserve"> </w:t>
      </w:r>
      <w:r w:rsidRPr="00F665A6">
        <w:rPr>
          <w:smallCaps/>
          <w:szCs w:val="24"/>
        </w:rPr>
        <w:t>Beaux</w:t>
      </w:r>
      <w:r w:rsidRPr="00DC6E43">
        <w:t xml:space="preserve"> 1991. </w:t>
      </w:r>
    </w:p>
  </w:footnote>
  <w:footnote w:id="113">
    <w:p w14:paraId="0399EB1C" w14:textId="1CBFBE96" w:rsidR="0093105E" w:rsidRPr="00667953" w:rsidRDefault="0093105E">
      <w:pPr>
        <w:pStyle w:val="FootnoteText"/>
        <w:rPr>
          <w:lang w:val="en-US"/>
        </w:rPr>
      </w:pPr>
      <w:r>
        <w:rPr>
          <w:rStyle w:val="FootnoteReference"/>
        </w:rPr>
        <w:footnoteRef/>
      </w:r>
      <w:r>
        <w:t xml:space="preserve"> </w:t>
      </w:r>
      <w:r w:rsidRPr="00742D62">
        <w:rPr>
          <w:smallCaps/>
        </w:rPr>
        <w:t xml:space="preserve">Eyre </w:t>
      </w:r>
      <w:r>
        <w:t>2000.</w:t>
      </w:r>
    </w:p>
  </w:footnote>
  <w:footnote w:id="114">
    <w:p w14:paraId="75104CEC" w14:textId="6EA898A4" w:rsidR="0093105E" w:rsidRPr="006A46CC" w:rsidRDefault="0093105E" w:rsidP="00D76744">
      <w:pPr>
        <w:pStyle w:val="FootnoteText"/>
        <w:rPr>
          <w:lang w:val="en-US"/>
        </w:rPr>
      </w:pPr>
      <w:r>
        <w:rPr>
          <w:rStyle w:val="FootnoteReference"/>
        </w:rPr>
        <w:footnoteRef/>
      </w:r>
      <w:r>
        <w:t xml:space="preserve"> </w:t>
      </w:r>
      <w:r w:rsidRPr="006A46CC">
        <w:rPr>
          <w:smallCaps/>
        </w:rPr>
        <w:t xml:space="preserve">Eyre </w:t>
      </w:r>
      <w:r>
        <w:t>2004.</w:t>
      </w:r>
    </w:p>
  </w:footnote>
  <w:footnote w:id="115">
    <w:p w14:paraId="4C91327D" w14:textId="2FCF7AD4" w:rsidR="0093105E" w:rsidRPr="00DC6E43" w:rsidRDefault="0093105E" w:rsidP="00D76744">
      <w:r w:rsidRPr="00DC6E43">
        <w:rPr>
          <w:rStyle w:val="FootnoteReference"/>
        </w:rPr>
        <w:footnoteRef/>
      </w:r>
      <w:r w:rsidRPr="00DC6E43">
        <w:t xml:space="preserve"> </w:t>
      </w:r>
      <w:r>
        <w:t>As, in effec</w:t>
      </w:r>
      <w:r w:rsidRPr="006D37CD">
        <w:t xml:space="preserve">t </w:t>
      </w:r>
      <w:r w:rsidRPr="006D37CD">
        <w:rPr>
          <w:smallCaps/>
          <w:szCs w:val="24"/>
        </w:rPr>
        <w:t>Lorton</w:t>
      </w:r>
      <w:r w:rsidRPr="006D37CD">
        <w:t xml:space="preserve"> 1977, </w:t>
      </w:r>
      <w:r w:rsidRPr="006D37CD">
        <w:rPr>
          <w:smallCaps/>
          <w:szCs w:val="24"/>
        </w:rPr>
        <w:t>M</w:t>
      </w:r>
      <w:r w:rsidRPr="00F665A6">
        <w:rPr>
          <w:smallCaps/>
          <w:szCs w:val="24"/>
        </w:rPr>
        <w:t>üller-Wollermann</w:t>
      </w:r>
      <w:r>
        <w:t xml:space="preserve"> 2004, esp. 195-208, present the relevant corpus.</w:t>
      </w:r>
    </w:p>
  </w:footnote>
  <w:footnote w:id="116">
    <w:p w14:paraId="27D890D1" w14:textId="592A9F34" w:rsidR="0093105E" w:rsidRPr="000450F0" w:rsidRDefault="0093105E" w:rsidP="00D76744">
      <w:pPr>
        <w:pStyle w:val="FootnoteText"/>
        <w:rPr>
          <w:lang w:val="en-US"/>
        </w:rPr>
      </w:pPr>
      <w:r>
        <w:rPr>
          <w:rStyle w:val="FootnoteReference"/>
        </w:rPr>
        <w:footnoteRef/>
      </w:r>
      <w:r>
        <w:rPr>
          <w:lang w:val="en-US"/>
        </w:rPr>
        <w:t xml:space="preserve">E.g., </w:t>
      </w:r>
      <w:r w:rsidRPr="00D76744">
        <w:rPr>
          <w:smallCaps/>
          <w:lang w:val="en-US"/>
        </w:rPr>
        <w:t>Assmann</w:t>
      </w:r>
      <w:r>
        <w:rPr>
          <w:lang w:val="en-US"/>
        </w:rPr>
        <w:t xml:space="preserve"> 1995, 76-77.</w:t>
      </w:r>
      <w:r w:rsidRPr="00AC3827">
        <w:t xml:space="preserve"> </w:t>
      </w:r>
      <w:r>
        <w:t xml:space="preserve">For the term, </w:t>
      </w:r>
      <w:r w:rsidRPr="00AC3827">
        <w:rPr>
          <w:smallCaps/>
        </w:rPr>
        <w:t>Muhlestein</w:t>
      </w:r>
      <w:r>
        <w:t xml:space="preserve"> 2015, 1479-1481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B24A7"/>
    <w:multiLevelType w:val="hybridMultilevel"/>
    <w:tmpl w:val="1DA803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99367D"/>
    <w:multiLevelType w:val="hybridMultilevel"/>
    <w:tmpl w:val="EC729444"/>
    <w:lvl w:ilvl="0" w:tplc="B830BBCA">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39376D"/>
    <w:multiLevelType w:val="hybridMultilevel"/>
    <w:tmpl w:val="516E69FE"/>
    <w:lvl w:ilvl="0" w:tplc="28D6EF56">
      <w:numFmt w:val="bullet"/>
      <w:lvlText w:val="-"/>
      <w:lvlJc w:val="left"/>
      <w:pPr>
        <w:ind w:left="530" w:hanging="360"/>
      </w:pPr>
      <w:rPr>
        <w:rFonts w:ascii="Palatino" w:eastAsiaTheme="minorHAnsi" w:hAnsi="Palatino" w:cstheme="minorBidi" w:hint="default"/>
      </w:rPr>
    </w:lvl>
    <w:lvl w:ilvl="1" w:tplc="04090003" w:tentative="1">
      <w:start w:val="1"/>
      <w:numFmt w:val="bullet"/>
      <w:lvlText w:val="o"/>
      <w:lvlJc w:val="left"/>
      <w:pPr>
        <w:ind w:left="1250" w:hanging="360"/>
      </w:pPr>
      <w:rPr>
        <w:rFonts w:ascii="Courier New" w:hAnsi="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3">
    <w:nsid w:val="717572BE"/>
    <w:multiLevelType w:val="hybridMultilevel"/>
    <w:tmpl w:val="4CACB832"/>
    <w:lvl w:ilvl="0" w:tplc="1174FB82">
      <w:start w:val="2013"/>
      <w:numFmt w:val="bullet"/>
      <w:lvlText w:val="–"/>
      <w:lvlJc w:val="left"/>
      <w:pPr>
        <w:ind w:left="720" w:hanging="360"/>
      </w:pPr>
      <w:rPr>
        <w:rFonts w:ascii="Palatino" w:eastAsiaTheme="minorHAnsi" w:hAnsi="Palatino"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doNotDisplayPageBoundaries/>
  <w:embedSystemFonts/>
  <w:hideSpellingError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DAB"/>
    <w:rsid w:val="000072CC"/>
    <w:rsid w:val="00007A10"/>
    <w:rsid w:val="00012F0B"/>
    <w:rsid w:val="000222B3"/>
    <w:rsid w:val="00023266"/>
    <w:rsid w:val="0002378B"/>
    <w:rsid w:val="0002502A"/>
    <w:rsid w:val="000254AF"/>
    <w:rsid w:val="0002633D"/>
    <w:rsid w:val="00027EC9"/>
    <w:rsid w:val="00032EDE"/>
    <w:rsid w:val="0003321F"/>
    <w:rsid w:val="00042F12"/>
    <w:rsid w:val="000450F0"/>
    <w:rsid w:val="00045A00"/>
    <w:rsid w:val="00047E5E"/>
    <w:rsid w:val="00052A88"/>
    <w:rsid w:val="00053489"/>
    <w:rsid w:val="00057D56"/>
    <w:rsid w:val="00066560"/>
    <w:rsid w:val="000719BF"/>
    <w:rsid w:val="000729A7"/>
    <w:rsid w:val="00075571"/>
    <w:rsid w:val="00084C79"/>
    <w:rsid w:val="00087780"/>
    <w:rsid w:val="00096037"/>
    <w:rsid w:val="000A2E30"/>
    <w:rsid w:val="000A4BFF"/>
    <w:rsid w:val="000A6018"/>
    <w:rsid w:val="000B026C"/>
    <w:rsid w:val="000B29EE"/>
    <w:rsid w:val="000B62BA"/>
    <w:rsid w:val="000C04FA"/>
    <w:rsid w:val="000C059C"/>
    <w:rsid w:val="000C4975"/>
    <w:rsid w:val="000D5F68"/>
    <w:rsid w:val="000E4B78"/>
    <w:rsid w:val="000E507D"/>
    <w:rsid w:val="000F0505"/>
    <w:rsid w:val="000F55DB"/>
    <w:rsid w:val="001029A1"/>
    <w:rsid w:val="00102E98"/>
    <w:rsid w:val="00114C71"/>
    <w:rsid w:val="00115420"/>
    <w:rsid w:val="001176B4"/>
    <w:rsid w:val="001178EB"/>
    <w:rsid w:val="00120203"/>
    <w:rsid w:val="00121CAA"/>
    <w:rsid w:val="00121FD6"/>
    <w:rsid w:val="001222D6"/>
    <w:rsid w:val="00124690"/>
    <w:rsid w:val="00132605"/>
    <w:rsid w:val="00133A9A"/>
    <w:rsid w:val="00134DBD"/>
    <w:rsid w:val="00140FB8"/>
    <w:rsid w:val="00143131"/>
    <w:rsid w:val="00150ED7"/>
    <w:rsid w:val="00152D29"/>
    <w:rsid w:val="00162A3E"/>
    <w:rsid w:val="00163D08"/>
    <w:rsid w:val="00163FB4"/>
    <w:rsid w:val="00167172"/>
    <w:rsid w:val="001679A3"/>
    <w:rsid w:val="001730A1"/>
    <w:rsid w:val="00173158"/>
    <w:rsid w:val="001739D1"/>
    <w:rsid w:val="00174200"/>
    <w:rsid w:val="00181A7B"/>
    <w:rsid w:val="00183231"/>
    <w:rsid w:val="0018413A"/>
    <w:rsid w:val="00184C41"/>
    <w:rsid w:val="0018567C"/>
    <w:rsid w:val="00190271"/>
    <w:rsid w:val="00193EA5"/>
    <w:rsid w:val="001A1D5E"/>
    <w:rsid w:val="001A440A"/>
    <w:rsid w:val="001A728F"/>
    <w:rsid w:val="001B66FD"/>
    <w:rsid w:val="001B77DE"/>
    <w:rsid w:val="001B7C43"/>
    <w:rsid w:val="001C1482"/>
    <w:rsid w:val="001C5290"/>
    <w:rsid w:val="001C79DF"/>
    <w:rsid w:val="001D20C9"/>
    <w:rsid w:val="001D21CC"/>
    <w:rsid w:val="001D7F3A"/>
    <w:rsid w:val="001D7FFD"/>
    <w:rsid w:val="001E29EB"/>
    <w:rsid w:val="001E2A3D"/>
    <w:rsid w:val="001E2D7A"/>
    <w:rsid w:val="001E3D79"/>
    <w:rsid w:val="001E701D"/>
    <w:rsid w:val="001F0670"/>
    <w:rsid w:val="001F1044"/>
    <w:rsid w:val="001F1713"/>
    <w:rsid w:val="001F3203"/>
    <w:rsid w:val="001F6008"/>
    <w:rsid w:val="001F7261"/>
    <w:rsid w:val="001F7385"/>
    <w:rsid w:val="001F7944"/>
    <w:rsid w:val="001F7F29"/>
    <w:rsid w:val="00201332"/>
    <w:rsid w:val="00202025"/>
    <w:rsid w:val="00202BED"/>
    <w:rsid w:val="00206D81"/>
    <w:rsid w:val="002150FD"/>
    <w:rsid w:val="00220390"/>
    <w:rsid w:val="002212B4"/>
    <w:rsid w:val="00221867"/>
    <w:rsid w:val="00222947"/>
    <w:rsid w:val="00223611"/>
    <w:rsid w:val="00226016"/>
    <w:rsid w:val="0022645C"/>
    <w:rsid w:val="0022665C"/>
    <w:rsid w:val="00226A64"/>
    <w:rsid w:val="00226CFB"/>
    <w:rsid w:val="00226E77"/>
    <w:rsid w:val="00230D79"/>
    <w:rsid w:val="002355AB"/>
    <w:rsid w:val="00235DCE"/>
    <w:rsid w:val="00236799"/>
    <w:rsid w:val="002409A1"/>
    <w:rsid w:val="00255B43"/>
    <w:rsid w:val="0025771B"/>
    <w:rsid w:val="00262DC4"/>
    <w:rsid w:val="002673F2"/>
    <w:rsid w:val="00270456"/>
    <w:rsid w:val="00272D51"/>
    <w:rsid w:val="002758B4"/>
    <w:rsid w:val="00281123"/>
    <w:rsid w:val="00282651"/>
    <w:rsid w:val="002835B9"/>
    <w:rsid w:val="00285242"/>
    <w:rsid w:val="00287EEA"/>
    <w:rsid w:val="002921D2"/>
    <w:rsid w:val="00293567"/>
    <w:rsid w:val="002947FE"/>
    <w:rsid w:val="002949AF"/>
    <w:rsid w:val="002A00A4"/>
    <w:rsid w:val="002A073A"/>
    <w:rsid w:val="002A43DC"/>
    <w:rsid w:val="002A557C"/>
    <w:rsid w:val="002B6766"/>
    <w:rsid w:val="002B76C1"/>
    <w:rsid w:val="002C394B"/>
    <w:rsid w:val="002C7B86"/>
    <w:rsid w:val="002D37C4"/>
    <w:rsid w:val="002D49A9"/>
    <w:rsid w:val="002E5E34"/>
    <w:rsid w:val="002F41EE"/>
    <w:rsid w:val="002F4900"/>
    <w:rsid w:val="002F4A59"/>
    <w:rsid w:val="002F693C"/>
    <w:rsid w:val="002F6963"/>
    <w:rsid w:val="002F718D"/>
    <w:rsid w:val="002F7A89"/>
    <w:rsid w:val="00303B6C"/>
    <w:rsid w:val="003048A3"/>
    <w:rsid w:val="00304F76"/>
    <w:rsid w:val="003057C9"/>
    <w:rsid w:val="00310283"/>
    <w:rsid w:val="00311F20"/>
    <w:rsid w:val="003174D5"/>
    <w:rsid w:val="00317C73"/>
    <w:rsid w:val="003204F5"/>
    <w:rsid w:val="0032603F"/>
    <w:rsid w:val="003275BD"/>
    <w:rsid w:val="00332650"/>
    <w:rsid w:val="00336D95"/>
    <w:rsid w:val="0034235B"/>
    <w:rsid w:val="003432A8"/>
    <w:rsid w:val="00346840"/>
    <w:rsid w:val="00352339"/>
    <w:rsid w:val="00353A7C"/>
    <w:rsid w:val="00353FF3"/>
    <w:rsid w:val="003549F0"/>
    <w:rsid w:val="00354A59"/>
    <w:rsid w:val="003559C0"/>
    <w:rsid w:val="00356764"/>
    <w:rsid w:val="00362A84"/>
    <w:rsid w:val="00364795"/>
    <w:rsid w:val="0036651A"/>
    <w:rsid w:val="0037021F"/>
    <w:rsid w:val="00372203"/>
    <w:rsid w:val="0037280D"/>
    <w:rsid w:val="00375A23"/>
    <w:rsid w:val="00380798"/>
    <w:rsid w:val="003823F0"/>
    <w:rsid w:val="003827BE"/>
    <w:rsid w:val="00382D20"/>
    <w:rsid w:val="00384F4E"/>
    <w:rsid w:val="00390077"/>
    <w:rsid w:val="003901B7"/>
    <w:rsid w:val="00391840"/>
    <w:rsid w:val="00395DD1"/>
    <w:rsid w:val="0039636C"/>
    <w:rsid w:val="0039688D"/>
    <w:rsid w:val="00397B29"/>
    <w:rsid w:val="003A3537"/>
    <w:rsid w:val="003A5226"/>
    <w:rsid w:val="003A63DD"/>
    <w:rsid w:val="003A657D"/>
    <w:rsid w:val="003A6E05"/>
    <w:rsid w:val="003B17D9"/>
    <w:rsid w:val="003B31AC"/>
    <w:rsid w:val="003B3921"/>
    <w:rsid w:val="003B69E3"/>
    <w:rsid w:val="003C03BB"/>
    <w:rsid w:val="003D29C4"/>
    <w:rsid w:val="003D5F1B"/>
    <w:rsid w:val="003D6638"/>
    <w:rsid w:val="003E032B"/>
    <w:rsid w:val="003E1589"/>
    <w:rsid w:val="003E1A4C"/>
    <w:rsid w:val="003F521A"/>
    <w:rsid w:val="003F5737"/>
    <w:rsid w:val="003F7102"/>
    <w:rsid w:val="004037D9"/>
    <w:rsid w:val="00406307"/>
    <w:rsid w:val="00407832"/>
    <w:rsid w:val="00407F3D"/>
    <w:rsid w:val="00411CEC"/>
    <w:rsid w:val="00423677"/>
    <w:rsid w:val="00427563"/>
    <w:rsid w:val="004344E5"/>
    <w:rsid w:val="00435902"/>
    <w:rsid w:val="00436B2B"/>
    <w:rsid w:val="00440902"/>
    <w:rsid w:val="0044267C"/>
    <w:rsid w:val="00446488"/>
    <w:rsid w:val="00450EDF"/>
    <w:rsid w:val="00451E8E"/>
    <w:rsid w:val="00455441"/>
    <w:rsid w:val="00455761"/>
    <w:rsid w:val="004569F7"/>
    <w:rsid w:val="00456BB9"/>
    <w:rsid w:val="004576F1"/>
    <w:rsid w:val="00461B89"/>
    <w:rsid w:val="004638A5"/>
    <w:rsid w:val="00467D03"/>
    <w:rsid w:val="00473493"/>
    <w:rsid w:val="00474DAE"/>
    <w:rsid w:val="004751AA"/>
    <w:rsid w:val="00476428"/>
    <w:rsid w:val="00476AD5"/>
    <w:rsid w:val="00481A2D"/>
    <w:rsid w:val="00483793"/>
    <w:rsid w:val="0048558C"/>
    <w:rsid w:val="00492834"/>
    <w:rsid w:val="00497BB0"/>
    <w:rsid w:val="004A1334"/>
    <w:rsid w:val="004A62AC"/>
    <w:rsid w:val="004A79D1"/>
    <w:rsid w:val="004B29CB"/>
    <w:rsid w:val="004B375E"/>
    <w:rsid w:val="004B5E82"/>
    <w:rsid w:val="004B5EFE"/>
    <w:rsid w:val="004C0913"/>
    <w:rsid w:val="004C595A"/>
    <w:rsid w:val="004D0323"/>
    <w:rsid w:val="004D1E47"/>
    <w:rsid w:val="004D21E5"/>
    <w:rsid w:val="004D2D3B"/>
    <w:rsid w:val="004D3AAA"/>
    <w:rsid w:val="004E160A"/>
    <w:rsid w:val="004E17DB"/>
    <w:rsid w:val="004E3798"/>
    <w:rsid w:val="004E453F"/>
    <w:rsid w:val="004E4810"/>
    <w:rsid w:val="004E5040"/>
    <w:rsid w:val="004F191F"/>
    <w:rsid w:val="004F1BFB"/>
    <w:rsid w:val="004F59EB"/>
    <w:rsid w:val="004F614D"/>
    <w:rsid w:val="00502122"/>
    <w:rsid w:val="00502E33"/>
    <w:rsid w:val="0050327D"/>
    <w:rsid w:val="00503F6E"/>
    <w:rsid w:val="00507172"/>
    <w:rsid w:val="00507CA8"/>
    <w:rsid w:val="00512B1C"/>
    <w:rsid w:val="00512C46"/>
    <w:rsid w:val="00513655"/>
    <w:rsid w:val="0051400E"/>
    <w:rsid w:val="00517101"/>
    <w:rsid w:val="00517A80"/>
    <w:rsid w:val="00522BE0"/>
    <w:rsid w:val="00525344"/>
    <w:rsid w:val="00525545"/>
    <w:rsid w:val="005274CF"/>
    <w:rsid w:val="005311CF"/>
    <w:rsid w:val="005317D6"/>
    <w:rsid w:val="0053714B"/>
    <w:rsid w:val="00537C11"/>
    <w:rsid w:val="00543E5E"/>
    <w:rsid w:val="00544AD3"/>
    <w:rsid w:val="00545E67"/>
    <w:rsid w:val="00550719"/>
    <w:rsid w:val="00551EEF"/>
    <w:rsid w:val="00553691"/>
    <w:rsid w:val="00554F98"/>
    <w:rsid w:val="0055560F"/>
    <w:rsid w:val="00555DAB"/>
    <w:rsid w:val="00557B07"/>
    <w:rsid w:val="00562D62"/>
    <w:rsid w:val="00565F43"/>
    <w:rsid w:val="00576A00"/>
    <w:rsid w:val="0057782D"/>
    <w:rsid w:val="00580A44"/>
    <w:rsid w:val="005823CD"/>
    <w:rsid w:val="00582758"/>
    <w:rsid w:val="005830CC"/>
    <w:rsid w:val="005845F2"/>
    <w:rsid w:val="00584E4A"/>
    <w:rsid w:val="00587925"/>
    <w:rsid w:val="00590846"/>
    <w:rsid w:val="0059458F"/>
    <w:rsid w:val="0059509A"/>
    <w:rsid w:val="005A0AC8"/>
    <w:rsid w:val="005A7C81"/>
    <w:rsid w:val="005B10A4"/>
    <w:rsid w:val="005B1377"/>
    <w:rsid w:val="005B3C8F"/>
    <w:rsid w:val="005B55F3"/>
    <w:rsid w:val="005B7433"/>
    <w:rsid w:val="005B7448"/>
    <w:rsid w:val="005B7FEA"/>
    <w:rsid w:val="005C1F20"/>
    <w:rsid w:val="005C27E1"/>
    <w:rsid w:val="005C52F7"/>
    <w:rsid w:val="005C6CE5"/>
    <w:rsid w:val="005D0E14"/>
    <w:rsid w:val="005D1F8D"/>
    <w:rsid w:val="005D2B8E"/>
    <w:rsid w:val="005D4C40"/>
    <w:rsid w:val="005D51AF"/>
    <w:rsid w:val="005D789F"/>
    <w:rsid w:val="005D7BA3"/>
    <w:rsid w:val="005E0E96"/>
    <w:rsid w:val="005E2C35"/>
    <w:rsid w:val="005E5FD0"/>
    <w:rsid w:val="005E7B1A"/>
    <w:rsid w:val="005F664F"/>
    <w:rsid w:val="00600992"/>
    <w:rsid w:val="00603593"/>
    <w:rsid w:val="006043A8"/>
    <w:rsid w:val="00604E43"/>
    <w:rsid w:val="00607BD7"/>
    <w:rsid w:val="006116BC"/>
    <w:rsid w:val="00612D3C"/>
    <w:rsid w:val="00612E02"/>
    <w:rsid w:val="00614C23"/>
    <w:rsid w:val="0062109A"/>
    <w:rsid w:val="00621D15"/>
    <w:rsid w:val="00622761"/>
    <w:rsid w:val="00625866"/>
    <w:rsid w:val="00634E6A"/>
    <w:rsid w:val="006367CD"/>
    <w:rsid w:val="00644AC8"/>
    <w:rsid w:val="00646409"/>
    <w:rsid w:val="00646550"/>
    <w:rsid w:val="0065107F"/>
    <w:rsid w:val="0065560C"/>
    <w:rsid w:val="0065580A"/>
    <w:rsid w:val="0065584C"/>
    <w:rsid w:val="00660709"/>
    <w:rsid w:val="00661A2A"/>
    <w:rsid w:val="00662076"/>
    <w:rsid w:val="00662EBB"/>
    <w:rsid w:val="00665F81"/>
    <w:rsid w:val="006669FD"/>
    <w:rsid w:val="00667953"/>
    <w:rsid w:val="006758E7"/>
    <w:rsid w:val="006761F0"/>
    <w:rsid w:val="00676357"/>
    <w:rsid w:val="0068479D"/>
    <w:rsid w:val="006858C0"/>
    <w:rsid w:val="00695D13"/>
    <w:rsid w:val="006A2D71"/>
    <w:rsid w:val="006A46CC"/>
    <w:rsid w:val="006B0153"/>
    <w:rsid w:val="006B4D79"/>
    <w:rsid w:val="006B64DA"/>
    <w:rsid w:val="006B68A2"/>
    <w:rsid w:val="006B73F2"/>
    <w:rsid w:val="006B73F5"/>
    <w:rsid w:val="006C00C6"/>
    <w:rsid w:val="006C5D20"/>
    <w:rsid w:val="006D37CD"/>
    <w:rsid w:val="006D5C45"/>
    <w:rsid w:val="006E0CF6"/>
    <w:rsid w:val="006F0F50"/>
    <w:rsid w:val="006F132D"/>
    <w:rsid w:val="006F17DC"/>
    <w:rsid w:val="006F6D0B"/>
    <w:rsid w:val="00701369"/>
    <w:rsid w:val="00701D20"/>
    <w:rsid w:val="00702980"/>
    <w:rsid w:val="00702D2B"/>
    <w:rsid w:val="00711837"/>
    <w:rsid w:val="007146C9"/>
    <w:rsid w:val="00715316"/>
    <w:rsid w:val="00716AEB"/>
    <w:rsid w:val="0072034D"/>
    <w:rsid w:val="007205FD"/>
    <w:rsid w:val="007217D9"/>
    <w:rsid w:val="0072483A"/>
    <w:rsid w:val="00727ABE"/>
    <w:rsid w:val="007309EF"/>
    <w:rsid w:val="00742D62"/>
    <w:rsid w:val="00742FAE"/>
    <w:rsid w:val="00743A83"/>
    <w:rsid w:val="00744A8F"/>
    <w:rsid w:val="00747EDD"/>
    <w:rsid w:val="00751248"/>
    <w:rsid w:val="00753A2D"/>
    <w:rsid w:val="00754FFE"/>
    <w:rsid w:val="00757207"/>
    <w:rsid w:val="00762A42"/>
    <w:rsid w:val="00762CEC"/>
    <w:rsid w:val="0076400A"/>
    <w:rsid w:val="007751D2"/>
    <w:rsid w:val="00781421"/>
    <w:rsid w:val="00781D4E"/>
    <w:rsid w:val="00783316"/>
    <w:rsid w:val="00785000"/>
    <w:rsid w:val="0078637B"/>
    <w:rsid w:val="007865B3"/>
    <w:rsid w:val="007918E3"/>
    <w:rsid w:val="00791C9E"/>
    <w:rsid w:val="007940C6"/>
    <w:rsid w:val="007952CD"/>
    <w:rsid w:val="00796297"/>
    <w:rsid w:val="007A079B"/>
    <w:rsid w:val="007A1F18"/>
    <w:rsid w:val="007A7222"/>
    <w:rsid w:val="007B3DA8"/>
    <w:rsid w:val="007B455D"/>
    <w:rsid w:val="007B5385"/>
    <w:rsid w:val="007B5BE5"/>
    <w:rsid w:val="007B7934"/>
    <w:rsid w:val="007C01CE"/>
    <w:rsid w:val="007C3602"/>
    <w:rsid w:val="007C5918"/>
    <w:rsid w:val="007C60CD"/>
    <w:rsid w:val="007D06CF"/>
    <w:rsid w:val="007D332D"/>
    <w:rsid w:val="007D4AC3"/>
    <w:rsid w:val="007D54A7"/>
    <w:rsid w:val="007E6AAA"/>
    <w:rsid w:val="007F03EE"/>
    <w:rsid w:val="007F1C97"/>
    <w:rsid w:val="007F4F0F"/>
    <w:rsid w:val="007F5B00"/>
    <w:rsid w:val="00801339"/>
    <w:rsid w:val="008019E2"/>
    <w:rsid w:val="00802652"/>
    <w:rsid w:val="00805F45"/>
    <w:rsid w:val="00806F49"/>
    <w:rsid w:val="008119CB"/>
    <w:rsid w:val="00812E7E"/>
    <w:rsid w:val="00813E93"/>
    <w:rsid w:val="00821EF1"/>
    <w:rsid w:val="0082453F"/>
    <w:rsid w:val="00827166"/>
    <w:rsid w:val="0083094E"/>
    <w:rsid w:val="00831EA3"/>
    <w:rsid w:val="00834EA1"/>
    <w:rsid w:val="008362E0"/>
    <w:rsid w:val="0083688F"/>
    <w:rsid w:val="0084454D"/>
    <w:rsid w:val="00845F2F"/>
    <w:rsid w:val="008468E7"/>
    <w:rsid w:val="00846CDB"/>
    <w:rsid w:val="00850671"/>
    <w:rsid w:val="00850C6D"/>
    <w:rsid w:val="00857B09"/>
    <w:rsid w:val="0086043C"/>
    <w:rsid w:val="00860EC1"/>
    <w:rsid w:val="00863407"/>
    <w:rsid w:val="00864D58"/>
    <w:rsid w:val="00864FA1"/>
    <w:rsid w:val="00873654"/>
    <w:rsid w:val="00873DAF"/>
    <w:rsid w:val="008758D2"/>
    <w:rsid w:val="00881DA2"/>
    <w:rsid w:val="0088297B"/>
    <w:rsid w:val="008846C0"/>
    <w:rsid w:val="008858DD"/>
    <w:rsid w:val="00887358"/>
    <w:rsid w:val="0089216A"/>
    <w:rsid w:val="00892626"/>
    <w:rsid w:val="008942C8"/>
    <w:rsid w:val="008A1256"/>
    <w:rsid w:val="008A18E9"/>
    <w:rsid w:val="008A1ADC"/>
    <w:rsid w:val="008A4254"/>
    <w:rsid w:val="008B0C02"/>
    <w:rsid w:val="008B1D12"/>
    <w:rsid w:val="008B2271"/>
    <w:rsid w:val="008B2673"/>
    <w:rsid w:val="008B27F8"/>
    <w:rsid w:val="008B6FEF"/>
    <w:rsid w:val="008C411C"/>
    <w:rsid w:val="008C4C9B"/>
    <w:rsid w:val="008E0CC7"/>
    <w:rsid w:val="008E219B"/>
    <w:rsid w:val="008E2DF1"/>
    <w:rsid w:val="008E3F9F"/>
    <w:rsid w:val="008F039E"/>
    <w:rsid w:val="008F2B19"/>
    <w:rsid w:val="008F4FD0"/>
    <w:rsid w:val="008F5403"/>
    <w:rsid w:val="008F5CCD"/>
    <w:rsid w:val="009013EC"/>
    <w:rsid w:val="00903713"/>
    <w:rsid w:val="00907668"/>
    <w:rsid w:val="00910B02"/>
    <w:rsid w:val="009122CD"/>
    <w:rsid w:val="009171AF"/>
    <w:rsid w:val="0093105E"/>
    <w:rsid w:val="00931377"/>
    <w:rsid w:val="00932D7A"/>
    <w:rsid w:val="00934B82"/>
    <w:rsid w:val="00935CE5"/>
    <w:rsid w:val="009414FB"/>
    <w:rsid w:val="00941FAC"/>
    <w:rsid w:val="0094495F"/>
    <w:rsid w:val="00944C86"/>
    <w:rsid w:val="00947C07"/>
    <w:rsid w:val="00950AF4"/>
    <w:rsid w:val="00955935"/>
    <w:rsid w:val="00966DC8"/>
    <w:rsid w:val="00967162"/>
    <w:rsid w:val="0096758C"/>
    <w:rsid w:val="00970E97"/>
    <w:rsid w:val="00971106"/>
    <w:rsid w:val="009742D2"/>
    <w:rsid w:val="00977709"/>
    <w:rsid w:val="0097787A"/>
    <w:rsid w:val="00977C42"/>
    <w:rsid w:val="009821C2"/>
    <w:rsid w:val="00983581"/>
    <w:rsid w:val="00985A77"/>
    <w:rsid w:val="009920E2"/>
    <w:rsid w:val="00992DA9"/>
    <w:rsid w:val="009959C3"/>
    <w:rsid w:val="00997438"/>
    <w:rsid w:val="009A115C"/>
    <w:rsid w:val="009A1EE5"/>
    <w:rsid w:val="009A2461"/>
    <w:rsid w:val="009A2940"/>
    <w:rsid w:val="009A32B7"/>
    <w:rsid w:val="009A368A"/>
    <w:rsid w:val="009A7195"/>
    <w:rsid w:val="009B3F73"/>
    <w:rsid w:val="009B4C1B"/>
    <w:rsid w:val="009B56BE"/>
    <w:rsid w:val="009B5796"/>
    <w:rsid w:val="009C6D5A"/>
    <w:rsid w:val="009D1400"/>
    <w:rsid w:val="009D2185"/>
    <w:rsid w:val="009E2B7B"/>
    <w:rsid w:val="009E5125"/>
    <w:rsid w:val="009E5745"/>
    <w:rsid w:val="009E68B5"/>
    <w:rsid w:val="009E7165"/>
    <w:rsid w:val="009E73D2"/>
    <w:rsid w:val="009F367B"/>
    <w:rsid w:val="009F7882"/>
    <w:rsid w:val="00A00967"/>
    <w:rsid w:val="00A01BB4"/>
    <w:rsid w:val="00A10AA6"/>
    <w:rsid w:val="00A10C1A"/>
    <w:rsid w:val="00A13C07"/>
    <w:rsid w:val="00A216E2"/>
    <w:rsid w:val="00A232B1"/>
    <w:rsid w:val="00A248B0"/>
    <w:rsid w:val="00A2539D"/>
    <w:rsid w:val="00A27FDC"/>
    <w:rsid w:val="00A32645"/>
    <w:rsid w:val="00A328D4"/>
    <w:rsid w:val="00A35425"/>
    <w:rsid w:val="00A35A1D"/>
    <w:rsid w:val="00A36EF8"/>
    <w:rsid w:val="00A473BE"/>
    <w:rsid w:val="00A5056A"/>
    <w:rsid w:val="00A506AF"/>
    <w:rsid w:val="00A51626"/>
    <w:rsid w:val="00A51ECF"/>
    <w:rsid w:val="00A525CA"/>
    <w:rsid w:val="00A544C6"/>
    <w:rsid w:val="00A6070C"/>
    <w:rsid w:val="00A6130E"/>
    <w:rsid w:val="00A61741"/>
    <w:rsid w:val="00A61DA2"/>
    <w:rsid w:val="00A6361A"/>
    <w:rsid w:val="00A643FC"/>
    <w:rsid w:val="00A67C8C"/>
    <w:rsid w:val="00A70454"/>
    <w:rsid w:val="00A716B5"/>
    <w:rsid w:val="00A7208F"/>
    <w:rsid w:val="00A725C2"/>
    <w:rsid w:val="00A739F8"/>
    <w:rsid w:val="00A7506E"/>
    <w:rsid w:val="00A753AD"/>
    <w:rsid w:val="00A77A44"/>
    <w:rsid w:val="00A801FF"/>
    <w:rsid w:val="00A818AD"/>
    <w:rsid w:val="00A822D1"/>
    <w:rsid w:val="00A95987"/>
    <w:rsid w:val="00A95F2C"/>
    <w:rsid w:val="00AA32F9"/>
    <w:rsid w:val="00AA6E65"/>
    <w:rsid w:val="00AA734A"/>
    <w:rsid w:val="00AA7CC9"/>
    <w:rsid w:val="00AB0B53"/>
    <w:rsid w:val="00AB4665"/>
    <w:rsid w:val="00AB5D45"/>
    <w:rsid w:val="00AB5D4F"/>
    <w:rsid w:val="00AB6F9C"/>
    <w:rsid w:val="00AC1A37"/>
    <w:rsid w:val="00AC3827"/>
    <w:rsid w:val="00AC3B91"/>
    <w:rsid w:val="00AC651A"/>
    <w:rsid w:val="00AC6D9F"/>
    <w:rsid w:val="00AD2914"/>
    <w:rsid w:val="00AD4192"/>
    <w:rsid w:val="00AD561A"/>
    <w:rsid w:val="00AD7354"/>
    <w:rsid w:val="00AE2CF3"/>
    <w:rsid w:val="00AE4ABA"/>
    <w:rsid w:val="00AE4C0F"/>
    <w:rsid w:val="00AE5326"/>
    <w:rsid w:val="00B01321"/>
    <w:rsid w:val="00B03D03"/>
    <w:rsid w:val="00B05A66"/>
    <w:rsid w:val="00B10F22"/>
    <w:rsid w:val="00B12D80"/>
    <w:rsid w:val="00B15403"/>
    <w:rsid w:val="00B167EA"/>
    <w:rsid w:val="00B17E49"/>
    <w:rsid w:val="00B20F7E"/>
    <w:rsid w:val="00B21DC3"/>
    <w:rsid w:val="00B2256E"/>
    <w:rsid w:val="00B24435"/>
    <w:rsid w:val="00B248AC"/>
    <w:rsid w:val="00B25B4F"/>
    <w:rsid w:val="00B26E3C"/>
    <w:rsid w:val="00B33E3D"/>
    <w:rsid w:val="00B35B08"/>
    <w:rsid w:val="00B40531"/>
    <w:rsid w:val="00B43D73"/>
    <w:rsid w:val="00B4451E"/>
    <w:rsid w:val="00B47377"/>
    <w:rsid w:val="00B5556F"/>
    <w:rsid w:val="00B571D2"/>
    <w:rsid w:val="00B63704"/>
    <w:rsid w:val="00B65B98"/>
    <w:rsid w:val="00B66957"/>
    <w:rsid w:val="00B674A8"/>
    <w:rsid w:val="00B67737"/>
    <w:rsid w:val="00B71741"/>
    <w:rsid w:val="00B735D2"/>
    <w:rsid w:val="00B74113"/>
    <w:rsid w:val="00B74489"/>
    <w:rsid w:val="00B7558D"/>
    <w:rsid w:val="00B75F5B"/>
    <w:rsid w:val="00B840EA"/>
    <w:rsid w:val="00B860FE"/>
    <w:rsid w:val="00B91AF9"/>
    <w:rsid w:val="00B91E5D"/>
    <w:rsid w:val="00B94318"/>
    <w:rsid w:val="00B97CDE"/>
    <w:rsid w:val="00BA1D1B"/>
    <w:rsid w:val="00BA2A9F"/>
    <w:rsid w:val="00BB0030"/>
    <w:rsid w:val="00BC10A5"/>
    <w:rsid w:val="00BC28CC"/>
    <w:rsid w:val="00BC2B5D"/>
    <w:rsid w:val="00BC4B1B"/>
    <w:rsid w:val="00BC748E"/>
    <w:rsid w:val="00BC7A9B"/>
    <w:rsid w:val="00BD00D1"/>
    <w:rsid w:val="00BD04E4"/>
    <w:rsid w:val="00BD0B3D"/>
    <w:rsid w:val="00BD101F"/>
    <w:rsid w:val="00BD31BB"/>
    <w:rsid w:val="00BD3628"/>
    <w:rsid w:val="00BD5412"/>
    <w:rsid w:val="00BD73A6"/>
    <w:rsid w:val="00BD79F6"/>
    <w:rsid w:val="00BD7CC3"/>
    <w:rsid w:val="00BE26BC"/>
    <w:rsid w:val="00BE3CC2"/>
    <w:rsid w:val="00BE5FDB"/>
    <w:rsid w:val="00BF0E3E"/>
    <w:rsid w:val="00BF1B6B"/>
    <w:rsid w:val="00BF34CE"/>
    <w:rsid w:val="00BF4851"/>
    <w:rsid w:val="00BF6764"/>
    <w:rsid w:val="00C00039"/>
    <w:rsid w:val="00C00B26"/>
    <w:rsid w:val="00C012BE"/>
    <w:rsid w:val="00C02DF7"/>
    <w:rsid w:val="00C03289"/>
    <w:rsid w:val="00C06813"/>
    <w:rsid w:val="00C128E8"/>
    <w:rsid w:val="00C135A4"/>
    <w:rsid w:val="00C13CFB"/>
    <w:rsid w:val="00C149AF"/>
    <w:rsid w:val="00C1712E"/>
    <w:rsid w:val="00C208A1"/>
    <w:rsid w:val="00C2443E"/>
    <w:rsid w:val="00C33F99"/>
    <w:rsid w:val="00C34B00"/>
    <w:rsid w:val="00C351C3"/>
    <w:rsid w:val="00C4107B"/>
    <w:rsid w:val="00C43093"/>
    <w:rsid w:val="00C4581E"/>
    <w:rsid w:val="00C50303"/>
    <w:rsid w:val="00C51959"/>
    <w:rsid w:val="00C526F5"/>
    <w:rsid w:val="00C55DAC"/>
    <w:rsid w:val="00C55E2D"/>
    <w:rsid w:val="00C57907"/>
    <w:rsid w:val="00C60362"/>
    <w:rsid w:val="00C6329A"/>
    <w:rsid w:val="00C72CAB"/>
    <w:rsid w:val="00C74053"/>
    <w:rsid w:val="00C74C16"/>
    <w:rsid w:val="00C862B7"/>
    <w:rsid w:val="00C91C4A"/>
    <w:rsid w:val="00C92A6D"/>
    <w:rsid w:val="00C93B63"/>
    <w:rsid w:val="00C94234"/>
    <w:rsid w:val="00C94CC1"/>
    <w:rsid w:val="00C9640E"/>
    <w:rsid w:val="00CA0F93"/>
    <w:rsid w:val="00CA3081"/>
    <w:rsid w:val="00CB1574"/>
    <w:rsid w:val="00CB6757"/>
    <w:rsid w:val="00CB776C"/>
    <w:rsid w:val="00CC41C3"/>
    <w:rsid w:val="00CC4B31"/>
    <w:rsid w:val="00CD384D"/>
    <w:rsid w:val="00CD3C7D"/>
    <w:rsid w:val="00CE01B4"/>
    <w:rsid w:val="00CE1790"/>
    <w:rsid w:val="00CE2880"/>
    <w:rsid w:val="00CE5CF7"/>
    <w:rsid w:val="00CF27AE"/>
    <w:rsid w:val="00CF47D9"/>
    <w:rsid w:val="00CF5A3B"/>
    <w:rsid w:val="00CF7D32"/>
    <w:rsid w:val="00CF7FFD"/>
    <w:rsid w:val="00D00BED"/>
    <w:rsid w:val="00D10D0D"/>
    <w:rsid w:val="00D154D9"/>
    <w:rsid w:val="00D209FC"/>
    <w:rsid w:val="00D23F5B"/>
    <w:rsid w:val="00D243C8"/>
    <w:rsid w:val="00D2540C"/>
    <w:rsid w:val="00D265EA"/>
    <w:rsid w:val="00D26E9E"/>
    <w:rsid w:val="00D27E6B"/>
    <w:rsid w:val="00D36104"/>
    <w:rsid w:val="00D432A3"/>
    <w:rsid w:val="00D45CD8"/>
    <w:rsid w:val="00D50F3D"/>
    <w:rsid w:val="00D53519"/>
    <w:rsid w:val="00D55667"/>
    <w:rsid w:val="00D633E8"/>
    <w:rsid w:val="00D63A9A"/>
    <w:rsid w:val="00D70BEB"/>
    <w:rsid w:val="00D7299B"/>
    <w:rsid w:val="00D732D6"/>
    <w:rsid w:val="00D743FD"/>
    <w:rsid w:val="00D76744"/>
    <w:rsid w:val="00D77C38"/>
    <w:rsid w:val="00D80BB8"/>
    <w:rsid w:val="00D80D9E"/>
    <w:rsid w:val="00D81F65"/>
    <w:rsid w:val="00D85DF5"/>
    <w:rsid w:val="00D90286"/>
    <w:rsid w:val="00D904B3"/>
    <w:rsid w:val="00D9340E"/>
    <w:rsid w:val="00D93CF5"/>
    <w:rsid w:val="00D93E61"/>
    <w:rsid w:val="00D96228"/>
    <w:rsid w:val="00DA0A07"/>
    <w:rsid w:val="00DA6736"/>
    <w:rsid w:val="00DB2E61"/>
    <w:rsid w:val="00DB3433"/>
    <w:rsid w:val="00DB3457"/>
    <w:rsid w:val="00DB47F4"/>
    <w:rsid w:val="00DC14B2"/>
    <w:rsid w:val="00DC21BC"/>
    <w:rsid w:val="00DC28B1"/>
    <w:rsid w:val="00DC6E43"/>
    <w:rsid w:val="00DD083F"/>
    <w:rsid w:val="00DD2ADF"/>
    <w:rsid w:val="00DD416D"/>
    <w:rsid w:val="00DD6755"/>
    <w:rsid w:val="00DE16AA"/>
    <w:rsid w:val="00DE621A"/>
    <w:rsid w:val="00DE62A5"/>
    <w:rsid w:val="00DE71B0"/>
    <w:rsid w:val="00DF6A52"/>
    <w:rsid w:val="00DF6F5B"/>
    <w:rsid w:val="00DF709E"/>
    <w:rsid w:val="00DF7FB7"/>
    <w:rsid w:val="00E00B20"/>
    <w:rsid w:val="00E03018"/>
    <w:rsid w:val="00E04120"/>
    <w:rsid w:val="00E05E05"/>
    <w:rsid w:val="00E13613"/>
    <w:rsid w:val="00E14552"/>
    <w:rsid w:val="00E147FE"/>
    <w:rsid w:val="00E14A46"/>
    <w:rsid w:val="00E15D4E"/>
    <w:rsid w:val="00E20D24"/>
    <w:rsid w:val="00E239B4"/>
    <w:rsid w:val="00E2483B"/>
    <w:rsid w:val="00E24A06"/>
    <w:rsid w:val="00E257AC"/>
    <w:rsid w:val="00E25C56"/>
    <w:rsid w:val="00E277D4"/>
    <w:rsid w:val="00E35546"/>
    <w:rsid w:val="00E40005"/>
    <w:rsid w:val="00E47DB1"/>
    <w:rsid w:val="00E504A8"/>
    <w:rsid w:val="00E505AF"/>
    <w:rsid w:val="00E51D21"/>
    <w:rsid w:val="00E51E46"/>
    <w:rsid w:val="00E5642A"/>
    <w:rsid w:val="00E61548"/>
    <w:rsid w:val="00E64BC0"/>
    <w:rsid w:val="00E65977"/>
    <w:rsid w:val="00E7445F"/>
    <w:rsid w:val="00E74D17"/>
    <w:rsid w:val="00E8298E"/>
    <w:rsid w:val="00E82FB8"/>
    <w:rsid w:val="00E83E30"/>
    <w:rsid w:val="00E8694A"/>
    <w:rsid w:val="00E87022"/>
    <w:rsid w:val="00E87ED3"/>
    <w:rsid w:val="00E92C20"/>
    <w:rsid w:val="00EA186F"/>
    <w:rsid w:val="00EA1AB5"/>
    <w:rsid w:val="00EA4679"/>
    <w:rsid w:val="00EB176B"/>
    <w:rsid w:val="00EB3FCB"/>
    <w:rsid w:val="00EC18F5"/>
    <w:rsid w:val="00EC3537"/>
    <w:rsid w:val="00EC38DB"/>
    <w:rsid w:val="00ED2A4B"/>
    <w:rsid w:val="00ED5EFA"/>
    <w:rsid w:val="00EE3649"/>
    <w:rsid w:val="00EE3AA9"/>
    <w:rsid w:val="00EE3D03"/>
    <w:rsid w:val="00EE5BF9"/>
    <w:rsid w:val="00EF20EB"/>
    <w:rsid w:val="00EF3850"/>
    <w:rsid w:val="00F01C40"/>
    <w:rsid w:val="00F04C56"/>
    <w:rsid w:val="00F06239"/>
    <w:rsid w:val="00F111D8"/>
    <w:rsid w:val="00F144A5"/>
    <w:rsid w:val="00F1463A"/>
    <w:rsid w:val="00F15858"/>
    <w:rsid w:val="00F16D7E"/>
    <w:rsid w:val="00F20E47"/>
    <w:rsid w:val="00F21885"/>
    <w:rsid w:val="00F237DE"/>
    <w:rsid w:val="00F25E32"/>
    <w:rsid w:val="00F32B9C"/>
    <w:rsid w:val="00F37A6F"/>
    <w:rsid w:val="00F40D5F"/>
    <w:rsid w:val="00F40DE1"/>
    <w:rsid w:val="00F43BE7"/>
    <w:rsid w:val="00F440A2"/>
    <w:rsid w:val="00F459D4"/>
    <w:rsid w:val="00F46085"/>
    <w:rsid w:val="00F626A4"/>
    <w:rsid w:val="00F64349"/>
    <w:rsid w:val="00F65DB3"/>
    <w:rsid w:val="00F665A6"/>
    <w:rsid w:val="00F666C7"/>
    <w:rsid w:val="00F66FA8"/>
    <w:rsid w:val="00F7231E"/>
    <w:rsid w:val="00F74462"/>
    <w:rsid w:val="00F75732"/>
    <w:rsid w:val="00F77FB3"/>
    <w:rsid w:val="00F82658"/>
    <w:rsid w:val="00F82C3F"/>
    <w:rsid w:val="00F86DA4"/>
    <w:rsid w:val="00F90216"/>
    <w:rsid w:val="00F91B72"/>
    <w:rsid w:val="00F97D48"/>
    <w:rsid w:val="00FB0075"/>
    <w:rsid w:val="00FB453E"/>
    <w:rsid w:val="00FB735A"/>
    <w:rsid w:val="00FB7E7B"/>
    <w:rsid w:val="00FC2060"/>
    <w:rsid w:val="00FC6CA3"/>
    <w:rsid w:val="00FD0044"/>
    <w:rsid w:val="00FD15D7"/>
    <w:rsid w:val="00FD1D93"/>
    <w:rsid w:val="00FD7B31"/>
    <w:rsid w:val="00FE2FEC"/>
    <w:rsid w:val="00FE3DA6"/>
    <w:rsid w:val="00FF225E"/>
    <w:rsid w:val="00FF32B6"/>
    <w:rsid w:val="00FF65D9"/>
    <w:rsid w:val="00FF7020"/>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1F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722"/>
    <w:pPr>
      <w:spacing w:after="0"/>
      <w:contextualSpacing/>
    </w:pPr>
    <w:rPr>
      <w:rFonts w:ascii="Palatino" w:hAnsi="Palatino"/>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145615"/>
    <w:rPr>
      <w:rFonts w:ascii="Palatino" w:hAnsi="Palatino"/>
      <w:sz w:val="24"/>
      <w:vertAlign w:val="superscript"/>
    </w:rPr>
  </w:style>
  <w:style w:type="paragraph" w:styleId="ListParagraph">
    <w:name w:val="List Paragraph"/>
    <w:basedOn w:val="Normal"/>
    <w:uiPriority w:val="34"/>
    <w:qFormat/>
    <w:rsid w:val="00C13CFB"/>
    <w:pPr>
      <w:ind w:left="720"/>
    </w:pPr>
  </w:style>
  <w:style w:type="paragraph" w:styleId="FootnoteText">
    <w:name w:val="footnote text"/>
    <w:basedOn w:val="Normal"/>
    <w:link w:val="FootnoteTextChar"/>
    <w:uiPriority w:val="99"/>
    <w:unhideWhenUsed/>
    <w:rsid w:val="00FE3DA6"/>
    <w:rPr>
      <w:szCs w:val="24"/>
    </w:rPr>
  </w:style>
  <w:style w:type="character" w:customStyle="1" w:styleId="FootnoteTextChar">
    <w:name w:val="Footnote Text Char"/>
    <w:basedOn w:val="DefaultParagraphFont"/>
    <w:link w:val="FootnoteText"/>
    <w:uiPriority w:val="99"/>
    <w:rsid w:val="00FE3DA6"/>
    <w:rPr>
      <w:rFonts w:ascii="Palatino" w:hAnsi="Palatino"/>
    </w:rPr>
  </w:style>
  <w:style w:type="character" w:styleId="CommentReference">
    <w:name w:val="annotation reference"/>
    <w:basedOn w:val="DefaultParagraphFont"/>
    <w:uiPriority w:val="99"/>
    <w:semiHidden/>
    <w:unhideWhenUsed/>
    <w:rsid w:val="004F614D"/>
    <w:rPr>
      <w:sz w:val="18"/>
      <w:szCs w:val="18"/>
    </w:rPr>
  </w:style>
  <w:style w:type="paragraph" w:styleId="CommentText">
    <w:name w:val="annotation text"/>
    <w:basedOn w:val="Normal"/>
    <w:link w:val="CommentTextChar"/>
    <w:uiPriority w:val="99"/>
    <w:semiHidden/>
    <w:unhideWhenUsed/>
    <w:rsid w:val="004F614D"/>
    <w:rPr>
      <w:szCs w:val="24"/>
    </w:rPr>
  </w:style>
  <w:style w:type="character" w:customStyle="1" w:styleId="CommentTextChar">
    <w:name w:val="Comment Text Char"/>
    <w:basedOn w:val="DefaultParagraphFont"/>
    <w:link w:val="CommentText"/>
    <w:uiPriority w:val="99"/>
    <w:semiHidden/>
    <w:rsid w:val="004F614D"/>
    <w:rPr>
      <w:rFonts w:ascii="Palatino" w:hAnsi="Palatino"/>
    </w:rPr>
  </w:style>
  <w:style w:type="paragraph" w:styleId="CommentSubject">
    <w:name w:val="annotation subject"/>
    <w:basedOn w:val="CommentText"/>
    <w:next w:val="CommentText"/>
    <w:link w:val="CommentSubjectChar"/>
    <w:uiPriority w:val="99"/>
    <w:semiHidden/>
    <w:unhideWhenUsed/>
    <w:rsid w:val="004F614D"/>
    <w:rPr>
      <w:b/>
      <w:bCs/>
      <w:sz w:val="20"/>
      <w:szCs w:val="20"/>
    </w:rPr>
  </w:style>
  <w:style w:type="character" w:customStyle="1" w:styleId="CommentSubjectChar">
    <w:name w:val="Comment Subject Char"/>
    <w:basedOn w:val="CommentTextChar"/>
    <w:link w:val="CommentSubject"/>
    <w:uiPriority w:val="99"/>
    <w:semiHidden/>
    <w:rsid w:val="004F614D"/>
    <w:rPr>
      <w:rFonts w:ascii="Palatino" w:hAnsi="Palatino"/>
      <w:b/>
      <w:bCs/>
      <w:sz w:val="20"/>
      <w:szCs w:val="20"/>
    </w:rPr>
  </w:style>
  <w:style w:type="paragraph" w:styleId="BalloonText">
    <w:name w:val="Balloon Text"/>
    <w:basedOn w:val="Normal"/>
    <w:link w:val="BalloonTextChar"/>
    <w:uiPriority w:val="99"/>
    <w:semiHidden/>
    <w:unhideWhenUsed/>
    <w:rsid w:val="004F61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614D"/>
    <w:rPr>
      <w:rFonts w:ascii="Lucida Grande" w:hAnsi="Lucida Grande" w:cs="Lucida Grande"/>
      <w:sz w:val="18"/>
      <w:szCs w:val="18"/>
    </w:rPr>
  </w:style>
  <w:style w:type="paragraph" w:styleId="Footer">
    <w:name w:val="footer"/>
    <w:basedOn w:val="Normal"/>
    <w:link w:val="FooterChar"/>
    <w:uiPriority w:val="99"/>
    <w:unhideWhenUsed/>
    <w:rsid w:val="008846C0"/>
    <w:pPr>
      <w:tabs>
        <w:tab w:val="center" w:pos="4320"/>
        <w:tab w:val="right" w:pos="8640"/>
      </w:tabs>
    </w:pPr>
  </w:style>
  <w:style w:type="character" w:customStyle="1" w:styleId="FooterChar">
    <w:name w:val="Footer Char"/>
    <w:basedOn w:val="DefaultParagraphFont"/>
    <w:link w:val="Footer"/>
    <w:uiPriority w:val="99"/>
    <w:rsid w:val="008846C0"/>
    <w:rPr>
      <w:rFonts w:ascii="Palatino" w:hAnsi="Palatino"/>
      <w:szCs w:val="22"/>
    </w:rPr>
  </w:style>
  <w:style w:type="character" w:styleId="PageNumber">
    <w:name w:val="page number"/>
    <w:basedOn w:val="DefaultParagraphFont"/>
    <w:uiPriority w:val="99"/>
    <w:semiHidden/>
    <w:unhideWhenUsed/>
    <w:rsid w:val="008846C0"/>
  </w:style>
  <w:style w:type="paragraph" w:styleId="NormalWeb">
    <w:name w:val="Normal (Web)"/>
    <w:basedOn w:val="Normal"/>
    <w:uiPriority w:val="99"/>
    <w:unhideWhenUsed/>
    <w:rsid w:val="00AE4C0F"/>
    <w:pPr>
      <w:spacing w:before="100" w:beforeAutospacing="1" w:after="100" w:afterAutospacing="1"/>
      <w:contextualSpacing w:val="0"/>
    </w:pPr>
    <w:rPr>
      <w:rFonts w:ascii="Times" w:hAnsi="Times" w:cs="Times New Roman"/>
      <w:sz w:val="20"/>
      <w:szCs w:val="20"/>
      <w:lang w:val="en-US"/>
    </w:rPr>
  </w:style>
  <w:style w:type="paragraph" w:styleId="Header">
    <w:name w:val="header"/>
    <w:basedOn w:val="Normal"/>
    <w:link w:val="HeaderChar"/>
    <w:uiPriority w:val="99"/>
    <w:unhideWhenUsed/>
    <w:rsid w:val="00D00BED"/>
    <w:pPr>
      <w:tabs>
        <w:tab w:val="center" w:pos="4320"/>
        <w:tab w:val="right" w:pos="8640"/>
      </w:tabs>
    </w:pPr>
  </w:style>
  <w:style w:type="character" w:customStyle="1" w:styleId="HeaderChar">
    <w:name w:val="Header Char"/>
    <w:basedOn w:val="DefaultParagraphFont"/>
    <w:link w:val="Header"/>
    <w:uiPriority w:val="99"/>
    <w:rsid w:val="00D00BED"/>
    <w:rPr>
      <w:rFonts w:ascii="Palatino" w:hAnsi="Palatino"/>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722"/>
    <w:pPr>
      <w:spacing w:after="0"/>
      <w:contextualSpacing/>
    </w:pPr>
    <w:rPr>
      <w:rFonts w:ascii="Palatino" w:hAnsi="Palatino"/>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145615"/>
    <w:rPr>
      <w:rFonts w:ascii="Palatino" w:hAnsi="Palatino"/>
      <w:sz w:val="24"/>
      <w:vertAlign w:val="superscript"/>
    </w:rPr>
  </w:style>
  <w:style w:type="paragraph" w:styleId="ListParagraph">
    <w:name w:val="List Paragraph"/>
    <w:basedOn w:val="Normal"/>
    <w:uiPriority w:val="34"/>
    <w:qFormat/>
    <w:rsid w:val="00C13CFB"/>
    <w:pPr>
      <w:ind w:left="720"/>
    </w:pPr>
  </w:style>
  <w:style w:type="paragraph" w:styleId="FootnoteText">
    <w:name w:val="footnote text"/>
    <w:basedOn w:val="Normal"/>
    <w:link w:val="FootnoteTextChar"/>
    <w:uiPriority w:val="99"/>
    <w:unhideWhenUsed/>
    <w:rsid w:val="00FE3DA6"/>
    <w:rPr>
      <w:szCs w:val="24"/>
    </w:rPr>
  </w:style>
  <w:style w:type="character" w:customStyle="1" w:styleId="FootnoteTextChar">
    <w:name w:val="Footnote Text Char"/>
    <w:basedOn w:val="DefaultParagraphFont"/>
    <w:link w:val="FootnoteText"/>
    <w:uiPriority w:val="99"/>
    <w:rsid w:val="00FE3DA6"/>
    <w:rPr>
      <w:rFonts w:ascii="Palatino" w:hAnsi="Palatino"/>
    </w:rPr>
  </w:style>
  <w:style w:type="character" w:styleId="CommentReference">
    <w:name w:val="annotation reference"/>
    <w:basedOn w:val="DefaultParagraphFont"/>
    <w:uiPriority w:val="99"/>
    <w:semiHidden/>
    <w:unhideWhenUsed/>
    <w:rsid w:val="004F614D"/>
    <w:rPr>
      <w:sz w:val="18"/>
      <w:szCs w:val="18"/>
    </w:rPr>
  </w:style>
  <w:style w:type="paragraph" w:styleId="CommentText">
    <w:name w:val="annotation text"/>
    <w:basedOn w:val="Normal"/>
    <w:link w:val="CommentTextChar"/>
    <w:uiPriority w:val="99"/>
    <w:semiHidden/>
    <w:unhideWhenUsed/>
    <w:rsid w:val="004F614D"/>
    <w:rPr>
      <w:szCs w:val="24"/>
    </w:rPr>
  </w:style>
  <w:style w:type="character" w:customStyle="1" w:styleId="CommentTextChar">
    <w:name w:val="Comment Text Char"/>
    <w:basedOn w:val="DefaultParagraphFont"/>
    <w:link w:val="CommentText"/>
    <w:uiPriority w:val="99"/>
    <w:semiHidden/>
    <w:rsid w:val="004F614D"/>
    <w:rPr>
      <w:rFonts w:ascii="Palatino" w:hAnsi="Palatino"/>
    </w:rPr>
  </w:style>
  <w:style w:type="paragraph" w:styleId="CommentSubject">
    <w:name w:val="annotation subject"/>
    <w:basedOn w:val="CommentText"/>
    <w:next w:val="CommentText"/>
    <w:link w:val="CommentSubjectChar"/>
    <w:uiPriority w:val="99"/>
    <w:semiHidden/>
    <w:unhideWhenUsed/>
    <w:rsid w:val="004F614D"/>
    <w:rPr>
      <w:b/>
      <w:bCs/>
      <w:sz w:val="20"/>
      <w:szCs w:val="20"/>
    </w:rPr>
  </w:style>
  <w:style w:type="character" w:customStyle="1" w:styleId="CommentSubjectChar">
    <w:name w:val="Comment Subject Char"/>
    <w:basedOn w:val="CommentTextChar"/>
    <w:link w:val="CommentSubject"/>
    <w:uiPriority w:val="99"/>
    <w:semiHidden/>
    <w:rsid w:val="004F614D"/>
    <w:rPr>
      <w:rFonts w:ascii="Palatino" w:hAnsi="Palatino"/>
      <w:b/>
      <w:bCs/>
      <w:sz w:val="20"/>
      <w:szCs w:val="20"/>
    </w:rPr>
  </w:style>
  <w:style w:type="paragraph" w:styleId="BalloonText">
    <w:name w:val="Balloon Text"/>
    <w:basedOn w:val="Normal"/>
    <w:link w:val="BalloonTextChar"/>
    <w:uiPriority w:val="99"/>
    <w:semiHidden/>
    <w:unhideWhenUsed/>
    <w:rsid w:val="004F61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614D"/>
    <w:rPr>
      <w:rFonts w:ascii="Lucida Grande" w:hAnsi="Lucida Grande" w:cs="Lucida Grande"/>
      <w:sz w:val="18"/>
      <w:szCs w:val="18"/>
    </w:rPr>
  </w:style>
  <w:style w:type="paragraph" w:styleId="Footer">
    <w:name w:val="footer"/>
    <w:basedOn w:val="Normal"/>
    <w:link w:val="FooterChar"/>
    <w:uiPriority w:val="99"/>
    <w:unhideWhenUsed/>
    <w:rsid w:val="008846C0"/>
    <w:pPr>
      <w:tabs>
        <w:tab w:val="center" w:pos="4320"/>
        <w:tab w:val="right" w:pos="8640"/>
      </w:tabs>
    </w:pPr>
  </w:style>
  <w:style w:type="character" w:customStyle="1" w:styleId="FooterChar">
    <w:name w:val="Footer Char"/>
    <w:basedOn w:val="DefaultParagraphFont"/>
    <w:link w:val="Footer"/>
    <w:uiPriority w:val="99"/>
    <w:rsid w:val="008846C0"/>
    <w:rPr>
      <w:rFonts w:ascii="Palatino" w:hAnsi="Palatino"/>
      <w:szCs w:val="22"/>
    </w:rPr>
  </w:style>
  <w:style w:type="character" w:styleId="PageNumber">
    <w:name w:val="page number"/>
    <w:basedOn w:val="DefaultParagraphFont"/>
    <w:uiPriority w:val="99"/>
    <w:semiHidden/>
    <w:unhideWhenUsed/>
    <w:rsid w:val="008846C0"/>
  </w:style>
  <w:style w:type="paragraph" w:styleId="NormalWeb">
    <w:name w:val="Normal (Web)"/>
    <w:basedOn w:val="Normal"/>
    <w:uiPriority w:val="99"/>
    <w:unhideWhenUsed/>
    <w:rsid w:val="00AE4C0F"/>
    <w:pPr>
      <w:spacing w:before="100" w:beforeAutospacing="1" w:after="100" w:afterAutospacing="1"/>
      <w:contextualSpacing w:val="0"/>
    </w:pPr>
    <w:rPr>
      <w:rFonts w:ascii="Times" w:hAnsi="Times" w:cs="Times New Roman"/>
      <w:sz w:val="20"/>
      <w:szCs w:val="20"/>
      <w:lang w:val="en-US"/>
    </w:rPr>
  </w:style>
  <w:style w:type="paragraph" w:styleId="Header">
    <w:name w:val="header"/>
    <w:basedOn w:val="Normal"/>
    <w:link w:val="HeaderChar"/>
    <w:uiPriority w:val="99"/>
    <w:unhideWhenUsed/>
    <w:rsid w:val="00D00BED"/>
    <w:pPr>
      <w:tabs>
        <w:tab w:val="center" w:pos="4320"/>
        <w:tab w:val="right" w:pos="8640"/>
      </w:tabs>
    </w:pPr>
  </w:style>
  <w:style w:type="character" w:customStyle="1" w:styleId="HeaderChar">
    <w:name w:val="Header Char"/>
    <w:basedOn w:val="DefaultParagraphFont"/>
    <w:link w:val="Header"/>
    <w:uiPriority w:val="99"/>
    <w:rsid w:val="00D00BED"/>
    <w:rPr>
      <w:rFonts w:ascii="Palatino" w:hAnsi="Palatin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837195">
      <w:bodyDiv w:val="1"/>
      <w:marLeft w:val="0"/>
      <w:marRight w:val="0"/>
      <w:marTop w:val="0"/>
      <w:marBottom w:val="0"/>
      <w:divBdr>
        <w:top w:val="none" w:sz="0" w:space="0" w:color="auto"/>
        <w:left w:val="none" w:sz="0" w:space="0" w:color="auto"/>
        <w:bottom w:val="none" w:sz="0" w:space="0" w:color="auto"/>
        <w:right w:val="none" w:sz="0" w:space="0" w:color="auto"/>
      </w:divBdr>
      <w:divsChild>
        <w:div w:id="2020887066">
          <w:marLeft w:val="0"/>
          <w:marRight w:val="0"/>
          <w:marTop w:val="0"/>
          <w:marBottom w:val="0"/>
          <w:divBdr>
            <w:top w:val="none" w:sz="0" w:space="0" w:color="auto"/>
            <w:left w:val="none" w:sz="0" w:space="0" w:color="auto"/>
            <w:bottom w:val="none" w:sz="0" w:space="0" w:color="auto"/>
            <w:right w:val="none" w:sz="0" w:space="0" w:color="auto"/>
          </w:divBdr>
          <w:divsChild>
            <w:div w:id="574512958">
              <w:marLeft w:val="0"/>
              <w:marRight w:val="0"/>
              <w:marTop w:val="0"/>
              <w:marBottom w:val="0"/>
              <w:divBdr>
                <w:top w:val="none" w:sz="0" w:space="0" w:color="auto"/>
                <w:left w:val="none" w:sz="0" w:space="0" w:color="auto"/>
                <w:bottom w:val="none" w:sz="0" w:space="0" w:color="auto"/>
                <w:right w:val="none" w:sz="0" w:space="0" w:color="auto"/>
              </w:divBdr>
              <w:divsChild>
                <w:div w:id="211119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tor.org.liverpool.idm.oclc.org/stable/3822069"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oeb.griffith.ox.ac.uk.liverpool.idm.oclc.org/oeb_entry.aspx?parent=23374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eb.griffith.ox.ac.uk.liverpool.idm.oclc.org/oeb_entry.aspx?parent=16130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oeb.griffith.ox.ac.uk.liverpool.idm.oclc.org/oeb_entry.aspx?parent=154605" TargetMode="External"/><Relationship Id="rId4" Type="http://schemas.openxmlformats.org/officeDocument/2006/relationships/settings" Target="settings.xml"/><Relationship Id="rId9" Type="http://schemas.openxmlformats.org/officeDocument/2006/relationships/hyperlink" Target="http://oeb.griffith.ox.ac.uk.liverpool.idm.oclc.org/oeb_entry.aspx?parent=158931"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9506</Words>
  <Characters>54186</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63565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Chtistopher Eyre</dc:creator>
  <cp:lastModifiedBy>Eyre, Christopher John</cp:lastModifiedBy>
  <cp:revision>2</cp:revision>
  <cp:lastPrinted>2017-01-25T14:23:00Z</cp:lastPrinted>
  <dcterms:created xsi:type="dcterms:W3CDTF">2017-11-16T15:24:00Z</dcterms:created>
  <dcterms:modified xsi:type="dcterms:W3CDTF">2017-11-16T15:24:00Z</dcterms:modified>
</cp:coreProperties>
</file>