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B41" w:rsidRDefault="0016628D" w:rsidP="00F40CE5">
      <w:pPr>
        <w:pStyle w:val="Heading2"/>
        <w:numPr>
          <w:ilvl w:val="0"/>
          <w:numId w:val="0"/>
        </w:numPr>
        <w:spacing w:line="480" w:lineRule="auto"/>
        <w:rPr>
          <w:lang w:eastAsia="en-GB"/>
        </w:rPr>
      </w:pPr>
      <w:r>
        <w:rPr>
          <w:lang w:eastAsia="en-GB"/>
        </w:rPr>
        <w:t xml:space="preserve">Pharmacogenomics and </w:t>
      </w:r>
      <w:r w:rsidR="00AA5EA1">
        <w:rPr>
          <w:lang w:eastAsia="en-GB"/>
        </w:rPr>
        <w:t>H</w:t>
      </w:r>
      <w:r>
        <w:rPr>
          <w:lang w:eastAsia="en-GB"/>
        </w:rPr>
        <w:t xml:space="preserve">ealth </w:t>
      </w:r>
      <w:r w:rsidR="00AA5EA1">
        <w:rPr>
          <w:lang w:eastAsia="en-GB"/>
        </w:rPr>
        <w:t>D</w:t>
      </w:r>
      <w:r>
        <w:rPr>
          <w:lang w:eastAsia="en-GB"/>
        </w:rPr>
        <w:t xml:space="preserve">isparities: a </w:t>
      </w:r>
      <w:r w:rsidR="00AA5EA1">
        <w:rPr>
          <w:lang w:eastAsia="en-GB"/>
        </w:rPr>
        <w:t>S</w:t>
      </w:r>
      <w:r>
        <w:rPr>
          <w:lang w:eastAsia="en-GB"/>
        </w:rPr>
        <w:t xml:space="preserve">ystematic </w:t>
      </w:r>
      <w:r w:rsidR="00AA5EA1">
        <w:rPr>
          <w:lang w:eastAsia="en-GB"/>
        </w:rPr>
        <w:t>L</w:t>
      </w:r>
      <w:r>
        <w:rPr>
          <w:lang w:eastAsia="en-GB"/>
        </w:rPr>
        <w:t xml:space="preserve">iterature </w:t>
      </w:r>
      <w:r w:rsidR="00AA5EA1">
        <w:rPr>
          <w:lang w:eastAsia="en-GB"/>
        </w:rPr>
        <w:t>R</w:t>
      </w:r>
      <w:r>
        <w:rPr>
          <w:lang w:eastAsia="en-GB"/>
        </w:rPr>
        <w:t>eview</w:t>
      </w:r>
    </w:p>
    <w:p w:rsidR="009D0B39" w:rsidRPr="009D0B39" w:rsidRDefault="009D0B39" w:rsidP="00F40CE5">
      <w:pPr>
        <w:pStyle w:val="LRiGnormal"/>
        <w:spacing w:after="0" w:line="480" w:lineRule="auto"/>
      </w:pPr>
      <w:r>
        <w:rPr>
          <w:b/>
        </w:rPr>
        <w:t xml:space="preserve">Short running title: </w:t>
      </w:r>
      <w:r>
        <w:rPr>
          <w:lang w:eastAsia="en-GB"/>
        </w:rPr>
        <w:t>Pharmacogenomics and health disparities: review</w:t>
      </w:r>
    </w:p>
    <w:p w:rsidR="006C4CBE" w:rsidRPr="006073EC" w:rsidRDefault="006C4CBE" w:rsidP="009D0B39">
      <w:pPr>
        <w:pStyle w:val="LRiGnormal"/>
        <w:spacing w:before="240" w:after="0" w:line="480" w:lineRule="auto"/>
      </w:pPr>
      <w:r w:rsidRPr="00AF4FCA">
        <w:rPr>
          <w:b/>
        </w:rPr>
        <w:t>Authors:</w:t>
      </w:r>
      <w:r>
        <w:t xml:space="preserve"> Antony P</w:t>
      </w:r>
      <w:r w:rsidR="009D0B39">
        <w:t>aul</w:t>
      </w:r>
      <w:r>
        <w:t xml:space="preserve"> Martin</w:t>
      </w:r>
      <w:r w:rsidR="00F40CE5">
        <w:t>, MSc</w:t>
      </w:r>
      <w:r w:rsidR="00F40CE5">
        <w:rPr>
          <w:vertAlign w:val="superscript"/>
        </w:rPr>
        <w:t>1</w:t>
      </w:r>
      <w:r w:rsidR="00F40CE5">
        <w:t>,</w:t>
      </w:r>
      <w:r>
        <w:t xml:space="preserve"> Jennifer Downing</w:t>
      </w:r>
      <w:r w:rsidR="00F40CE5">
        <w:t xml:space="preserve">, </w:t>
      </w:r>
      <w:r w:rsidR="00444B7F">
        <w:t xml:space="preserve">MA, </w:t>
      </w:r>
      <w:r w:rsidR="00F40CE5">
        <w:t>PhD</w:t>
      </w:r>
      <w:r>
        <w:rPr>
          <w:vertAlign w:val="superscript"/>
        </w:rPr>
        <w:t>1</w:t>
      </w:r>
      <w:r w:rsidR="00F40CE5">
        <w:rPr>
          <w:vertAlign w:val="superscript"/>
        </w:rPr>
        <w:t>,</w:t>
      </w:r>
      <w:r>
        <w:t xml:space="preserve"> Michelle Maden</w:t>
      </w:r>
      <w:r w:rsidR="006073EC">
        <w:t>, MA, FHEA</w:t>
      </w:r>
      <w:r>
        <w:rPr>
          <w:vertAlign w:val="superscript"/>
        </w:rPr>
        <w:t>3</w:t>
      </w:r>
      <w:r>
        <w:t xml:space="preserve"> </w:t>
      </w:r>
      <w:r w:rsidR="00A71288" w:rsidRPr="00A71288">
        <w:t>Nigel Fleeman</w:t>
      </w:r>
      <w:r w:rsidR="00E4203D">
        <w:t>, MPH</w:t>
      </w:r>
      <w:r w:rsidR="00A71288">
        <w:rPr>
          <w:vertAlign w:val="superscript"/>
        </w:rPr>
        <w:t>3</w:t>
      </w:r>
      <w:r w:rsidR="00E4203D">
        <w:rPr>
          <w:vertAlign w:val="subscript"/>
        </w:rPr>
        <w:t>,</w:t>
      </w:r>
      <w:r w:rsidR="00A71288">
        <w:t xml:space="preserve"> </w:t>
      </w:r>
      <w:r>
        <w:t xml:space="preserve">Ana </w:t>
      </w:r>
      <w:r w:rsidRPr="00553349">
        <w:t>Alfirevic</w:t>
      </w:r>
      <w:r w:rsidR="006073EC">
        <w:t>, MD, PhD</w:t>
      </w:r>
      <w:r>
        <w:rPr>
          <w:vertAlign w:val="superscript"/>
        </w:rPr>
        <w:t>1</w:t>
      </w:r>
      <w:r w:rsidR="006073EC">
        <w:t>,</w:t>
      </w:r>
      <w:r>
        <w:t xml:space="preserve"> Alan Haycox</w:t>
      </w:r>
      <w:r w:rsidR="006073EC">
        <w:t>, MA, PhD</w:t>
      </w:r>
      <w:r>
        <w:rPr>
          <w:vertAlign w:val="superscript"/>
        </w:rPr>
        <w:t>2</w:t>
      </w:r>
      <w:r w:rsidR="006073EC">
        <w:t>,</w:t>
      </w:r>
      <w:r w:rsidR="00A71288">
        <w:rPr>
          <w:vertAlign w:val="superscript"/>
        </w:rPr>
        <w:t xml:space="preserve"> </w:t>
      </w:r>
      <w:r w:rsidR="00A71288">
        <w:t>Munir Pirmohamed</w:t>
      </w:r>
      <w:r w:rsidR="006073EC">
        <w:t>,</w:t>
      </w:r>
      <w:r w:rsidR="006073EC" w:rsidRPr="006073EC">
        <w:t xml:space="preserve"> </w:t>
      </w:r>
      <w:r w:rsidR="006073EC">
        <w:t>MD, PhD</w:t>
      </w:r>
      <w:r w:rsidR="00A71288">
        <w:rPr>
          <w:vertAlign w:val="superscript"/>
        </w:rPr>
        <w:t>1</w:t>
      </w:r>
    </w:p>
    <w:p w:rsidR="006C4CBE" w:rsidRDefault="006C4CBE" w:rsidP="009D0B39">
      <w:pPr>
        <w:pStyle w:val="LRiGnormal"/>
        <w:tabs>
          <w:tab w:val="left" w:pos="2319"/>
        </w:tabs>
        <w:spacing w:before="240" w:line="480" w:lineRule="auto"/>
        <w:rPr>
          <w:b/>
        </w:rPr>
      </w:pPr>
      <w:r w:rsidRPr="00AF4FCA">
        <w:rPr>
          <w:b/>
        </w:rPr>
        <w:t>Institutions:</w:t>
      </w:r>
      <w:r>
        <w:t xml:space="preserve"> </w:t>
      </w:r>
      <w:r w:rsidRPr="00AF4FCA">
        <w:t>(1) Wolfson Centre for Personalised Me</w:t>
      </w:r>
      <w:r>
        <w:t>dicine, University of Liverpool (2)</w:t>
      </w:r>
      <w:r w:rsidRPr="00AF4FCA">
        <w:rPr>
          <w:b/>
        </w:rPr>
        <w:t xml:space="preserve"> </w:t>
      </w:r>
      <w:r w:rsidRPr="00AF4FCA">
        <w:t>Liverpool Health Economics, University of Liverpool Management School</w:t>
      </w:r>
      <w:r>
        <w:t xml:space="preserve"> (3)</w:t>
      </w:r>
      <w:r w:rsidRPr="00AF4FCA">
        <w:t xml:space="preserve"> Liverpool Reviews &amp; Implementation Group, University of Liverpool</w:t>
      </w:r>
      <w:r>
        <w:t xml:space="preserve"> </w:t>
      </w:r>
      <w:r w:rsidR="009D0B39">
        <w:t xml:space="preserve"> </w:t>
      </w:r>
    </w:p>
    <w:p w:rsidR="006C4CBE" w:rsidRPr="00BB2D8F" w:rsidRDefault="006C4CBE" w:rsidP="009D0B39">
      <w:pPr>
        <w:pStyle w:val="LRiGnormal"/>
        <w:tabs>
          <w:tab w:val="left" w:pos="2319"/>
        </w:tabs>
        <w:spacing w:after="0" w:line="480" w:lineRule="auto"/>
        <w:rPr>
          <w:b/>
        </w:rPr>
      </w:pPr>
      <w:r>
        <w:rPr>
          <w:b/>
        </w:rPr>
        <w:t>Correspondence:</w:t>
      </w:r>
    </w:p>
    <w:p w:rsidR="006C4CBE" w:rsidRDefault="006C4CBE" w:rsidP="00F40CE5">
      <w:pPr>
        <w:pStyle w:val="LRiGnormal"/>
        <w:tabs>
          <w:tab w:val="left" w:pos="7380"/>
        </w:tabs>
        <w:spacing w:after="0" w:line="480" w:lineRule="auto"/>
      </w:pPr>
      <w:r>
        <w:t xml:space="preserve">Antony P. Martin </w:t>
      </w:r>
      <w:r w:rsidR="00786A85">
        <w:tab/>
      </w:r>
    </w:p>
    <w:p w:rsidR="006C4CBE" w:rsidRDefault="006C4CBE" w:rsidP="00F40CE5">
      <w:pPr>
        <w:pStyle w:val="LRiGnormal"/>
        <w:spacing w:after="0" w:line="480" w:lineRule="auto"/>
      </w:pPr>
      <w:r w:rsidRPr="00D03CA4">
        <w:t xml:space="preserve">Wolfson Centre </w:t>
      </w:r>
      <w:r w:rsidR="00052ECA">
        <w:t>f</w:t>
      </w:r>
      <w:r w:rsidRPr="00D03CA4">
        <w:t>or Personalised Medicine</w:t>
      </w:r>
    </w:p>
    <w:p w:rsidR="006C4CBE" w:rsidRDefault="006C4CBE" w:rsidP="00F40CE5">
      <w:pPr>
        <w:pStyle w:val="LRiGnormal"/>
        <w:spacing w:after="0" w:line="480" w:lineRule="auto"/>
      </w:pPr>
      <w:r w:rsidRPr="002F5CC5">
        <w:t>Department of Mol</w:t>
      </w:r>
      <w:r>
        <w:t>ecular &amp; Clinical Pharmacology</w:t>
      </w:r>
      <w:r w:rsidRPr="002F5CC5">
        <w:t xml:space="preserve"> </w:t>
      </w:r>
    </w:p>
    <w:p w:rsidR="006C4CBE" w:rsidRDefault="006C4CBE" w:rsidP="00F40CE5">
      <w:pPr>
        <w:pStyle w:val="LRiGnormal"/>
        <w:spacing w:after="0" w:line="480" w:lineRule="auto"/>
      </w:pPr>
      <w:r w:rsidRPr="002B7812">
        <w:t>University of Liverpool</w:t>
      </w:r>
      <w:r>
        <w:t xml:space="preserve">, </w:t>
      </w:r>
      <w:r w:rsidRPr="002F5CC5">
        <w:t>Block A: Waterhouse Buildings</w:t>
      </w:r>
      <w:r>
        <w:t>,</w:t>
      </w:r>
    </w:p>
    <w:p w:rsidR="006C4CBE" w:rsidRDefault="006C4CBE" w:rsidP="00F40CE5">
      <w:pPr>
        <w:pStyle w:val="LRiGnormal"/>
        <w:spacing w:after="0" w:line="480" w:lineRule="auto"/>
      </w:pPr>
      <w:r w:rsidRPr="002F5CC5">
        <w:t xml:space="preserve">1–5 Brownlow Street, </w:t>
      </w:r>
      <w:r>
        <w:t>Liverpool, L69 3GL</w:t>
      </w:r>
    </w:p>
    <w:p w:rsidR="006C4CBE" w:rsidRDefault="006C4CBE" w:rsidP="00F40CE5">
      <w:pPr>
        <w:pStyle w:val="LRiGnormal"/>
        <w:spacing w:after="0" w:line="480" w:lineRule="auto"/>
      </w:pPr>
      <w:r>
        <w:t>0151 795</w:t>
      </w:r>
      <w:r w:rsidRPr="002B7812">
        <w:t xml:space="preserve"> </w:t>
      </w:r>
      <w:r>
        <w:t>3612</w:t>
      </w:r>
    </w:p>
    <w:p w:rsidR="006C4CBE" w:rsidRDefault="006C4CBE" w:rsidP="00F40CE5">
      <w:pPr>
        <w:pStyle w:val="LRiGnormal"/>
        <w:spacing w:after="0" w:line="480" w:lineRule="auto"/>
      </w:pPr>
      <w:r>
        <w:t>apmartin</w:t>
      </w:r>
      <w:r w:rsidRPr="002B7812">
        <w:t>@liv.ac.uk</w:t>
      </w:r>
    </w:p>
    <w:p w:rsidR="006C4CBE" w:rsidRDefault="006C4CBE" w:rsidP="009D0B39">
      <w:pPr>
        <w:pStyle w:val="LRiGnormal"/>
        <w:tabs>
          <w:tab w:val="left" w:pos="2319"/>
        </w:tabs>
        <w:spacing w:before="240" w:line="480" w:lineRule="auto"/>
      </w:pPr>
      <w:r w:rsidRPr="005A21F4">
        <w:rPr>
          <w:b/>
        </w:rPr>
        <w:t xml:space="preserve">Individual Author Contributions: </w:t>
      </w:r>
      <w:r w:rsidRPr="005A21F4">
        <w:t xml:space="preserve">AM, MM, AA, JD, </w:t>
      </w:r>
      <w:r w:rsidR="00A71288">
        <w:t xml:space="preserve">NF, </w:t>
      </w:r>
      <w:r w:rsidR="00A71288" w:rsidRPr="005A21F4">
        <w:t xml:space="preserve">AH </w:t>
      </w:r>
      <w:r w:rsidRPr="005A21F4">
        <w:t xml:space="preserve">and </w:t>
      </w:r>
      <w:r w:rsidR="00A71288" w:rsidRPr="005A21F4">
        <w:t xml:space="preserve">MP </w:t>
      </w:r>
      <w:r w:rsidRPr="005A21F4">
        <w:t>were involved with the conception and design of the study. AM, MM and JD were involved with acquisition of data. AM and JD were responsible for analysis and interpretation of data. All authors contributed to drafting the article, revising it critically for important intellectual content and had final approval of the version to be published.</w:t>
      </w:r>
    </w:p>
    <w:p w:rsidR="006C4CBE" w:rsidRDefault="006C4CBE" w:rsidP="00F40CE5">
      <w:pPr>
        <w:pStyle w:val="LRiGnormal"/>
        <w:tabs>
          <w:tab w:val="left" w:pos="2319"/>
        </w:tabs>
        <w:spacing w:after="0" w:line="480" w:lineRule="auto"/>
        <w:rPr>
          <w:szCs w:val="24"/>
        </w:rPr>
      </w:pPr>
      <w:r w:rsidRPr="00B67FA6">
        <w:rPr>
          <w:b/>
          <w:szCs w:val="24"/>
        </w:rPr>
        <w:t>Ethical approval:</w:t>
      </w:r>
      <w:r>
        <w:rPr>
          <w:szCs w:val="24"/>
        </w:rPr>
        <w:t xml:space="preserve"> Not needed</w:t>
      </w:r>
    </w:p>
    <w:p w:rsidR="009D0B39" w:rsidRDefault="006C4CBE" w:rsidP="009D0B39">
      <w:pPr>
        <w:pStyle w:val="LRiGnormal"/>
        <w:tabs>
          <w:tab w:val="left" w:pos="2319"/>
        </w:tabs>
        <w:spacing w:before="240" w:line="480" w:lineRule="auto"/>
      </w:pPr>
      <w:r w:rsidRPr="00C335C9">
        <w:rPr>
          <w:b/>
        </w:rPr>
        <w:lastRenderedPageBreak/>
        <w:t xml:space="preserve">Word Count: </w:t>
      </w:r>
      <w:r w:rsidR="00801443">
        <w:t>3684</w:t>
      </w:r>
      <w:r w:rsidRPr="00C335C9">
        <w:t xml:space="preserve"> excluding title page, abstract, references, tables, and figure legends. (Abstract </w:t>
      </w:r>
      <w:r w:rsidR="0057437B">
        <w:t>198</w:t>
      </w:r>
      <w:r w:rsidRPr="00C335C9">
        <w:t xml:space="preserve"> Words)</w:t>
      </w:r>
      <w:r w:rsidR="003F032F">
        <w:br w:type="page"/>
      </w:r>
    </w:p>
    <w:p w:rsidR="006C4CBE" w:rsidRPr="006C4CBE" w:rsidRDefault="00057450" w:rsidP="009D0B39">
      <w:pPr>
        <w:pStyle w:val="Heading2"/>
        <w:numPr>
          <w:ilvl w:val="0"/>
          <w:numId w:val="0"/>
        </w:numPr>
        <w:spacing w:line="480" w:lineRule="auto"/>
        <w:ind w:left="576" w:hanging="576"/>
      </w:pPr>
      <w:r>
        <w:lastRenderedPageBreak/>
        <w:t>ABSTRACT</w:t>
      </w:r>
    </w:p>
    <w:p w:rsidR="005507FF" w:rsidRDefault="00B01BE1" w:rsidP="00F40CE5">
      <w:pPr>
        <w:pStyle w:val="LRiGnormal"/>
        <w:spacing w:line="480" w:lineRule="auto"/>
        <w:rPr>
          <w:lang w:eastAsia="en-GB"/>
        </w:rPr>
      </w:pPr>
      <w:r>
        <w:rPr>
          <w:b/>
          <w:lang w:eastAsia="en-GB"/>
        </w:rPr>
        <w:t>Purpose:</w:t>
      </w:r>
      <w:r w:rsidR="005507FF">
        <w:rPr>
          <w:b/>
          <w:lang w:eastAsia="en-GB"/>
        </w:rPr>
        <w:tab/>
      </w:r>
      <w:r w:rsidR="005507FF">
        <w:rPr>
          <w:lang w:eastAsia="en-GB"/>
        </w:rPr>
        <w:t>T</w:t>
      </w:r>
      <w:r>
        <w:rPr>
          <w:lang w:eastAsia="en-GB"/>
        </w:rPr>
        <w:t xml:space="preserve">his </w:t>
      </w:r>
      <w:r w:rsidR="005507FF">
        <w:rPr>
          <w:lang w:eastAsia="en-GB"/>
        </w:rPr>
        <w:t xml:space="preserve">review </w:t>
      </w:r>
      <w:r>
        <w:rPr>
          <w:lang w:eastAsia="en-GB"/>
        </w:rPr>
        <w:t xml:space="preserve">assessed </w:t>
      </w:r>
      <w:r w:rsidR="008F506C">
        <w:rPr>
          <w:lang w:eastAsia="en-GB"/>
        </w:rPr>
        <w:t xml:space="preserve">evidence of </w:t>
      </w:r>
      <w:r w:rsidR="0065263E">
        <w:rPr>
          <w:lang w:eastAsia="en-GB"/>
        </w:rPr>
        <w:t>disparities</w:t>
      </w:r>
      <w:r w:rsidR="00E15A7F">
        <w:rPr>
          <w:lang w:eastAsia="en-GB"/>
        </w:rPr>
        <w:t xml:space="preserve"> </w:t>
      </w:r>
      <w:r w:rsidR="0065263E">
        <w:rPr>
          <w:lang w:eastAsia="en-GB"/>
        </w:rPr>
        <w:t>in</w:t>
      </w:r>
      <w:r w:rsidR="00E15A7F">
        <w:rPr>
          <w:lang w:eastAsia="en-GB"/>
        </w:rPr>
        <w:t xml:space="preserve"> </w:t>
      </w:r>
      <w:r w:rsidR="0065263E">
        <w:rPr>
          <w:lang w:eastAsia="en-GB"/>
        </w:rPr>
        <w:t>benefits</w:t>
      </w:r>
      <w:r w:rsidR="00E15A7F">
        <w:rPr>
          <w:lang w:eastAsia="en-GB"/>
        </w:rPr>
        <w:t xml:space="preserve"> </w:t>
      </w:r>
      <w:r w:rsidR="00AB14CC">
        <w:rPr>
          <w:lang w:eastAsia="en-GB"/>
        </w:rPr>
        <w:t>of pharmacogenomic</w:t>
      </w:r>
      <w:r w:rsidR="00757AB1">
        <w:rPr>
          <w:lang w:eastAsia="en-GB"/>
        </w:rPr>
        <w:t>s</w:t>
      </w:r>
      <w:r w:rsidR="00AB14CC">
        <w:rPr>
          <w:lang w:eastAsia="en-GB"/>
        </w:rPr>
        <w:t xml:space="preserve"> </w:t>
      </w:r>
      <w:r w:rsidR="00E15A7F">
        <w:rPr>
          <w:lang w:eastAsia="en-GB"/>
        </w:rPr>
        <w:t>related to ‘model performance’ in subgroups of patients</w:t>
      </w:r>
      <w:r>
        <w:rPr>
          <w:lang w:eastAsia="en-GB"/>
        </w:rPr>
        <w:t xml:space="preserve"> and studies which reported impact on </w:t>
      </w:r>
      <w:r w:rsidR="0065263E">
        <w:rPr>
          <w:lang w:eastAsia="en-GB"/>
        </w:rPr>
        <w:t>health inequalities</w:t>
      </w:r>
      <w:r>
        <w:rPr>
          <w:lang w:eastAsia="en-GB"/>
        </w:rPr>
        <w:t>.</w:t>
      </w:r>
      <w:r w:rsidR="00313FC9">
        <w:rPr>
          <w:lang w:eastAsia="en-GB"/>
        </w:rPr>
        <w:t xml:space="preserve"> </w:t>
      </w:r>
      <w:r>
        <w:rPr>
          <w:lang w:eastAsia="en-GB"/>
        </w:rPr>
        <w:t xml:space="preserve">‘Model performance’ refers to the ability of algorithms including clinical, environmental and genetic information to guide treatment. </w:t>
      </w:r>
    </w:p>
    <w:p w:rsidR="008843DF" w:rsidRPr="002336D9" w:rsidRDefault="00C40592" w:rsidP="00F40CE5">
      <w:pPr>
        <w:pStyle w:val="LRiGnormal"/>
        <w:spacing w:line="480" w:lineRule="auto"/>
        <w:rPr>
          <w:lang w:eastAsia="en-GB"/>
        </w:rPr>
      </w:pPr>
      <w:r>
        <w:rPr>
          <w:b/>
          <w:lang w:eastAsia="en-GB"/>
        </w:rPr>
        <w:t>Method</w:t>
      </w:r>
      <w:r w:rsidR="00A63D22">
        <w:rPr>
          <w:b/>
          <w:lang w:eastAsia="en-GB"/>
        </w:rPr>
        <w:t>:</w:t>
      </w:r>
      <w:r w:rsidR="00A63D22">
        <w:rPr>
          <w:b/>
          <w:lang w:eastAsia="en-GB"/>
        </w:rPr>
        <w:tab/>
      </w:r>
      <w:r w:rsidR="005E46EB" w:rsidRPr="005E46EB">
        <w:rPr>
          <w:lang w:eastAsia="en-GB"/>
        </w:rPr>
        <w:t xml:space="preserve">A total of 4978 </w:t>
      </w:r>
      <w:r w:rsidR="00022D24">
        <w:rPr>
          <w:lang w:eastAsia="en-GB"/>
        </w:rPr>
        <w:t>abs</w:t>
      </w:r>
      <w:r w:rsidR="00022D24" w:rsidRPr="005E46EB">
        <w:rPr>
          <w:lang w:eastAsia="en-GB"/>
        </w:rPr>
        <w:t>tra</w:t>
      </w:r>
      <w:r w:rsidR="00022D24">
        <w:rPr>
          <w:lang w:eastAsia="en-GB"/>
        </w:rPr>
        <w:t xml:space="preserve">cts </w:t>
      </w:r>
      <w:r w:rsidR="00022D24" w:rsidRPr="00B976B4">
        <w:rPr>
          <w:lang w:eastAsia="en-GB"/>
        </w:rPr>
        <w:t>were screened</w:t>
      </w:r>
      <w:r w:rsidR="003F7165">
        <w:rPr>
          <w:lang w:eastAsia="en-GB"/>
        </w:rPr>
        <w:t xml:space="preserve"> b</w:t>
      </w:r>
      <w:r w:rsidR="00720282">
        <w:rPr>
          <w:lang w:eastAsia="en-GB"/>
        </w:rPr>
        <w:t xml:space="preserve">y one reviewer and 30% </w:t>
      </w:r>
      <w:r w:rsidR="005E46EB">
        <w:rPr>
          <w:lang w:eastAsia="en-GB"/>
        </w:rPr>
        <w:t xml:space="preserve">(1494) </w:t>
      </w:r>
      <w:r w:rsidR="00720282">
        <w:rPr>
          <w:lang w:eastAsia="en-GB"/>
        </w:rPr>
        <w:t xml:space="preserve">were double </w:t>
      </w:r>
      <w:r w:rsidR="003F7165">
        <w:rPr>
          <w:lang w:eastAsia="en-GB"/>
        </w:rPr>
        <w:t>screened</w:t>
      </w:r>
      <w:r w:rsidR="00022D24" w:rsidRPr="00B976B4">
        <w:rPr>
          <w:lang w:eastAsia="en-GB"/>
        </w:rPr>
        <w:t xml:space="preserve"> by </w:t>
      </w:r>
      <w:r w:rsidR="003F7165">
        <w:rPr>
          <w:lang w:eastAsia="en-GB"/>
        </w:rPr>
        <w:t>a second</w:t>
      </w:r>
      <w:r w:rsidR="00022D24" w:rsidRPr="00B976B4">
        <w:rPr>
          <w:lang w:eastAsia="en-GB"/>
        </w:rPr>
        <w:t xml:space="preserve"> </w:t>
      </w:r>
      <w:r w:rsidR="003F7165">
        <w:rPr>
          <w:lang w:eastAsia="en-GB"/>
        </w:rPr>
        <w:t xml:space="preserve">independent </w:t>
      </w:r>
      <w:r w:rsidR="00022D24" w:rsidRPr="00B976B4">
        <w:rPr>
          <w:lang w:eastAsia="en-GB"/>
        </w:rPr>
        <w:t>reviewer</w:t>
      </w:r>
      <w:r w:rsidR="00313FC9">
        <w:rPr>
          <w:lang w:eastAsia="en-GB"/>
        </w:rPr>
        <w:t xml:space="preserve">, after which data extraction was performed. </w:t>
      </w:r>
      <w:r w:rsidR="005E46EB">
        <w:rPr>
          <w:lang w:eastAsia="en-GB"/>
        </w:rPr>
        <w:t xml:space="preserve">Additional forward and backward citation searching of reference lists was conducted. </w:t>
      </w:r>
      <w:r w:rsidR="00720282">
        <w:rPr>
          <w:lang w:eastAsia="en-GB"/>
        </w:rPr>
        <w:t xml:space="preserve">Investigators independently double </w:t>
      </w:r>
      <w:r w:rsidR="002336D9">
        <w:rPr>
          <w:lang w:eastAsia="en-GB"/>
        </w:rPr>
        <w:t>rated study quality and applicability</w:t>
      </w:r>
      <w:r w:rsidR="00253F9E">
        <w:rPr>
          <w:lang w:eastAsia="en-GB"/>
        </w:rPr>
        <w:t xml:space="preserve"> of included studies</w:t>
      </w:r>
      <w:r w:rsidR="00022D24">
        <w:rPr>
          <w:lang w:eastAsia="en-GB"/>
        </w:rPr>
        <w:t>.</w:t>
      </w:r>
      <w:r w:rsidR="0065263E">
        <w:rPr>
          <w:lang w:eastAsia="en-GB"/>
        </w:rPr>
        <w:t xml:space="preserve"> </w:t>
      </w:r>
    </w:p>
    <w:p w:rsidR="006C4CBE" w:rsidRPr="00253F9E" w:rsidRDefault="00C40592" w:rsidP="00F40CE5">
      <w:pPr>
        <w:pStyle w:val="LRiGnormal"/>
        <w:spacing w:line="480" w:lineRule="auto"/>
        <w:rPr>
          <w:b/>
          <w:color w:val="D99594" w:themeColor="accent2" w:themeTint="99"/>
          <w:lang w:eastAsia="en-GB"/>
        </w:rPr>
      </w:pPr>
      <w:r>
        <w:rPr>
          <w:b/>
          <w:lang w:eastAsia="en-GB"/>
        </w:rPr>
        <w:t>Results</w:t>
      </w:r>
      <w:r w:rsidR="00022D24">
        <w:rPr>
          <w:b/>
          <w:lang w:eastAsia="en-GB"/>
        </w:rPr>
        <w:t>:</w:t>
      </w:r>
      <w:r w:rsidR="00022D24">
        <w:rPr>
          <w:b/>
          <w:lang w:eastAsia="en-GB"/>
        </w:rPr>
        <w:tab/>
      </w:r>
      <w:r w:rsidR="006D4FDB" w:rsidRPr="0036529C">
        <w:rPr>
          <w:lang w:eastAsia="en-GB"/>
        </w:rPr>
        <w:t>Only</w:t>
      </w:r>
      <w:r w:rsidR="006D4FDB">
        <w:rPr>
          <w:b/>
          <w:lang w:eastAsia="en-GB"/>
        </w:rPr>
        <w:t xml:space="preserve"> </w:t>
      </w:r>
      <w:r w:rsidR="006D4FDB">
        <w:rPr>
          <w:lang w:eastAsia="en-GB"/>
        </w:rPr>
        <w:t>f</w:t>
      </w:r>
      <w:r w:rsidR="00E056D3" w:rsidRPr="00951237">
        <w:rPr>
          <w:lang w:eastAsia="en-GB"/>
        </w:rPr>
        <w:t>ive</w:t>
      </w:r>
      <w:r w:rsidR="00E056D3" w:rsidRPr="00951237">
        <w:rPr>
          <w:b/>
          <w:lang w:eastAsia="en-GB"/>
        </w:rPr>
        <w:t xml:space="preserve"> </w:t>
      </w:r>
      <w:r w:rsidR="00E056D3" w:rsidRPr="00951237">
        <w:rPr>
          <w:lang w:eastAsia="en-GB"/>
        </w:rPr>
        <w:t>i</w:t>
      </w:r>
      <w:r w:rsidR="001C3328" w:rsidRPr="00951237">
        <w:t xml:space="preserve">ndividual studies </w:t>
      </w:r>
      <w:r w:rsidR="0065263E" w:rsidRPr="00951237">
        <w:t xml:space="preserve">were identified </w:t>
      </w:r>
      <w:r w:rsidR="00951237" w:rsidRPr="00951237">
        <w:t>which m</w:t>
      </w:r>
      <w:r w:rsidR="00313FC9" w:rsidRPr="00951237">
        <w:t>et our inclusion criteria</w:t>
      </w:r>
      <w:r w:rsidR="006D4FDB">
        <w:t>, but were contradictory in their conclusions</w:t>
      </w:r>
      <w:r w:rsidR="0040343E" w:rsidRPr="00951237">
        <w:t>.</w:t>
      </w:r>
      <w:r w:rsidR="00D15A42" w:rsidRPr="00951237">
        <w:t xml:space="preserve"> </w:t>
      </w:r>
      <w:r w:rsidR="006D4FDB">
        <w:t xml:space="preserve"> While t</w:t>
      </w:r>
      <w:r w:rsidR="0040343E" w:rsidRPr="00951237">
        <w:t>hree</w:t>
      </w:r>
      <w:r w:rsidR="00D15A42" w:rsidRPr="00951237">
        <w:t xml:space="preserve"> studies </w:t>
      </w:r>
      <w:r w:rsidR="0040343E" w:rsidRPr="00951237">
        <w:t>of genotype-guided</w:t>
      </w:r>
      <w:r w:rsidR="00757AB1" w:rsidRPr="00951237">
        <w:t xml:space="preserve"> dosing of</w:t>
      </w:r>
      <w:r w:rsidR="00823F1E" w:rsidRPr="00951237">
        <w:t xml:space="preserve"> warfarin</w:t>
      </w:r>
      <w:r w:rsidR="0040343E" w:rsidRPr="00951237">
        <w:t xml:space="preserve"> reported that ethnic disparities</w:t>
      </w:r>
      <w:r w:rsidR="00D15A42" w:rsidRPr="00951237">
        <w:t xml:space="preserve"> </w:t>
      </w:r>
      <w:r w:rsidR="001D11AA" w:rsidRPr="00951237">
        <w:t>in health</w:t>
      </w:r>
      <w:r w:rsidR="001208ED" w:rsidRPr="00951237">
        <w:t xml:space="preserve"> </w:t>
      </w:r>
      <w:r w:rsidR="001D11AA" w:rsidRPr="00951237">
        <w:t xml:space="preserve">care </w:t>
      </w:r>
      <w:r w:rsidR="0040343E" w:rsidRPr="00951237">
        <w:t>may widen</w:t>
      </w:r>
      <w:r w:rsidR="006D4FDB">
        <w:t xml:space="preserve">, two other studies (one on warfarin and on clopidogrel) suggested that </w:t>
      </w:r>
      <w:r w:rsidR="006D4FDB" w:rsidRPr="00951237">
        <w:t>disparities in health care may reduce</w:t>
      </w:r>
      <w:r w:rsidR="0040343E" w:rsidRPr="00951237">
        <w:t xml:space="preserve">. </w:t>
      </w:r>
      <w:r w:rsidR="00D15A42" w:rsidRPr="00951237">
        <w:t>.</w:t>
      </w:r>
      <w:r w:rsidR="00823F1E" w:rsidRPr="00951237">
        <w:t xml:space="preserve"> </w:t>
      </w:r>
    </w:p>
    <w:p w:rsidR="006C4CBE" w:rsidRPr="0057437B" w:rsidRDefault="006C4CBE" w:rsidP="00F40CE5">
      <w:pPr>
        <w:pStyle w:val="LRiGnormal"/>
        <w:spacing w:line="480" w:lineRule="auto"/>
        <w:rPr>
          <w:lang w:eastAsia="en-GB"/>
        </w:rPr>
      </w:pPr>
      <w:r w:rsidRPr="0057437B">
        <w:rPr>
          <w:b/>
          <w:lang w:eastAsia="en-GB"/>
        </w:rPr>
        <w:t>Conclusion</w:t>
      </w:r>
      <w:r w:rsidR="00E453CF" w:rsidRPr="0057437B">
        <w:rPr>
          <w:b/>
          <w:lang w:eastAsia="en-GB"/>
        </w:rPr>
        <w:t>:</w:t>
      </w:r>
      <w:r w:rsidRPr="0057437B">
        <w:rPr>
          <w:b/>
          <w:lang w:eastAsia="en-GB"/>
        </w:rPr>
        <w:t xml:space="preserve"> </w:t>
      </w:r>
      <w:r w:rsidR="00932CCA" w:rsidRPr="0057437B">
        <w:rPr>
          <w:b/>
          <w:lang w:eastAsia="en-GB"/>
        </w:rPr>
        <w:tab/>
      </w:r>
      <w:r w:rsidR="00D3161A" w:rsidRPr="0057437B">
        <w:rPr>
          <w:lang w:eastAsia="en-GB"/>
        </w:rPr>
        <w:t xml:space="preserve">There is a paucity of </w:t>
      </w:r>
      <w:r w:rsidR="00253F9E" w:rsidRPr="0057437B">
        <w:rPr>
          <w:lang w:eastAsia="en-GB"/>
        </w:rPr>
        <w:t>studies which evaluate</w:t>
      </w:r>
      <w:r w:rsidR="00D3161A" w:rsidRPr="0057437B">
        <w:rPr>
          <w:lang w:eastAsia="en-GB"/>
        </w:rPr>
        <w:t xml:space="preserve"> the</w:t>
      </w:r>
      <w:r w:rsidR="00F23DDC" w:rsidRPr="0057437B">
        <w:rPr>
          <w:lang w:eastAsia="en-GB"/>
        </w:rPr>
        <w:t xml:space="preserve"> </w:t>
      </w:r>
      <w:r w:rsidR="00720282" w:rsidRPr="0057437B">
        <w:rPr>
          <w:lang w:eastAsia="en-GB"/>
        </w:rPr>
        <w:t xml:space="preserve">impact </w:t>
      </w:r>
      <w:r w:rsidR="00313FC9" w:rsidRPr="0057437B">
        <w:rPr>
          <w:lang w:eastAsia="en-GB"/>
        </w:rPr>
        <w:t xml:space="preserve">of </w:t>
      </w:r>
      <w:r w:rsidR="00AB14CC" w:rsidRPr="0057437B">
        <w:rPr>
          <w:lang w:eastAsia="en-GB"/>
        </w:rPr>
        <w:t xml:space="preserve">pharmacogenomics </w:t>
      </w:r>
      <w:r w:rsidR="00720282" w:rsidRPr="0057437B">
        <w:rPr>
          <w:lang w:eastAsia="en-GB"/>
        </w:rPr>
        <w:t>on</w:t>
      </w:r>
      <w:r w:rsidR="00724D1B" w:rsidRPr="0057437B">
        <w:rPr>
          <w:lang w:eastAsia="en-GB"/>
        </w:rPr>
        <w:t xml:space="preserve"> health disparities.</w:t>
      </w:r>
      <w:r w:rsidR="00A65F39" w:rsidRPr="0057437B">
        <w:rPr>
          <w:lang w:eastAsia="en-GB"/>
        </w:rPr>
        <w:t xml:space="preserve"> Further work is required not only to evaluate health disparities between ethnic </w:t>
      </w:r>
      <w:r w:rsidR="000525DB" w:rsidRPr="0057437B">
        <w:rPr>
          <w:lang w:eastAsia="en-GB"/>
        </w:rPr>
        <w:t xml:space="preserve">groups </w:t>
      </w:r>
      <w:r w:rsidR="00397921" w:rsidRPr="0057437B">
        <w:rPr>
          <w:lang w:eastAsia="en-GB"/>
        </w:rPr>
        <w:t xml:space="preserve">and countries </w:t>
      </w:r>
      <w:r w:rsidR="000525DB" w:rsidRPr="0057437B">
        <w:rPr>
          <w:lang w:eastAsia="en-GB"/>
        </w:rPr>
        <w:t>but also within ethnic groups</w:t>
      </w:r>
      <w:r w:rsidR="00397921" w:rsidRPr="0057437B">
        <w:rPr>
          <w:lang w:eastAsia="en-GB"/>
        </w:rPr>
        <w:t xml:space="preserve"> in the same country</w:t>
      </w:r>
      <w:r w:rsidR="000525DB" w:rsidRPr="0057437B">
        <w:rPr>
          <w:lang w:eastAsia="en-GB"/>
        </w:rPr>
        <w:t xml:space="preserve">, and solutions </w:t>
      </w:r>
      <w:r w:rsidR="0057437B" w:rsidRPr="0057437B">
        <w:rPr>
          <w:lang w:eastAsia="en-GB"/>
        </w:rPr>
        <w:t xml:space="preserve">need to be </w:t>
      </w:r>
      <w:r w:rsidR="000525DB" w:rsidRPr="0057437B">
        <w:rPr>
          <w:lang w:eastAsia="en-GB"/>
        </w:rPr>
        <w:t>identif</w:t>
      </w:r>
      <w:r w:rsidR="00397921" w:rsidRPr="0057437B">
        <w:rPr>
          <w:lang w:eastAsia="en-GB"/>
        </w:rPr>
        <w:t>ied</w:t>
      </w:r>
      <w:r w:rsidR="000525DB" w:rsidRPr="0057437B">
        <w:rPr>
          <w:lang w:eastAsia="en-GB"/>
        </w:rPr>
        <w:t xml:space="preserve"> to overcome these disparities. </w:t>
      </w:r>
    </w:p>
    <w:p w:rsidR="00C40592" w:rsidRDefault="00C40592" w:rsidP="00C40592">
      <w:pPr>
        <w:pStyle w:val="LRiGnormal"/>
        <w:tabs>
          <w:tab w:val="left" w:pos="2319"/>
        </w:tabs>
        <w:spacing w:line="480" w:lineRule="auto"/>
      </w:pPr>
      <w:r w:rsidRPr="00C335C9">
        <w:rPr>
          <w:b/>
        </w:rPr>
        <w:t>Key</w:t>
      </w:r>
      <w:r>
        <w:rPr>
          <w:b/>
        </w:rPr>
        <w:t xml:space="preserve"> W</w:t>
      </w:r>
      <w:r w:rsidRPr="00C335C9">
        <w:rPr>
          <w:b/>
        </w:rPr>
        <w:t>ords:</w:t>
      </w:r>
      <w:r>
        <w:t xml:space="preserve"> pharmacogenomics; </w:t>
      </w:r>
      <w:r w:rsidR="00264E3C">
        <w:t xml:space="preserve">genetics; </w:t>
      </w:r>
      <w:r>
        <w:t>efficacy; equity; disparities</w:t>
      </w:r>
    </w:p>
    <w:p w:rsidR="00B9283A" w:rsidRPr="00B9283A" w:rsidRDefault="00B9283A" w:rsidP="00F40CE5">
      <w:pPr>
        <w:pStyle w:val="LRiGnormal"/>
        <w:spacing w:line="480" w:lineRule="auto"/>
        <w:rPr>
          <w:b/>
          <w:lang w:eastAsia="en-GB"/>
        </w:rPr>
      </w:pPr>
      <w:r w:rsidRPr="00B9283A">
        <w:rPr>
          <w:b/>
          <w:lang w:eastAsia="en-GB"/>
        </w:rPr>
        <w:t>Registration:</w:t>
      </w:r>
      <w:r w:rsidRPr="00B9283A">
        <w:rPr>
          <w:b/>
          <w:lang w:eastAsia="en-GB"/>
        </w:rPr>
        <w:tab/>
      </w:r>
      <w:r w:rsidR="00500D11" w:rsidRPr="00FC66B1">
        <w:rPr>
          <w:lang w:eastAsia="en-GB"/>
        </w:rPr>
        <w:t>S</w:t>
      </w:r>
      <w:r w:rsidR="00500D11" w:rsidRPr="00500D11">
        <w:rPr>
          <w:lang w:eastAsia="en-GB"/>
        </w:rPr>
        <w:t>ystematic review protocol was registered with PROSPERO, identification number</w:t>
      </w:r>
      <w:r w:rsidR="00500D11">
        <w:rPr>
          <w:lang w:eastAsia="en-GB"/>
        </w:rPr>
        <w:t>: CRD42016032517</w:t>
      </w:r>
    </w:p>
    <w:p w:rsidR="009427AF" w:rsidRDefault="009427AF">
      <w:pPr>
        <w:rPr>
          <w:rFonts w:ascii="Arial" w:eastAsiaTheme="majorEastAsia" w:hAnsi="Arial" w:cstheme="majorBidi"/>
          <w:b/>
          <w:bCs/>
          <w:sz w:val="26"/>
          <w:szCs w:val="26"/>
        </w:rPr>
      </w:pPr>
      <w:r>
        <w:rPr>
          <w:i/>
        </w:rPr>
        <w:br w:type="page"/>
      </w:r>
    </w:p>
    <w:p w:rsidR="006C4CBE" w:rsidRPr="00C45A15" w:rsidRDefault="00057450" w:rsidP="009D0B39">
      <w:pPr>
        <w:pStyle w:val="Heading2"/>
        <w:numPr>
          <w:ilvl w:val="0"/>
          <w:numId w:val="0"/>
        </w:numPr>
        <w:spacing w:line="480" w:lineRule="auto"/>
        <w:ind w:left="576" w:hanging="576"/>
        <w:rPr>
          <w:i w:val="0"/>
        </w:rPr>
      </w:pPr>
      <w:r w:rsidRPr="00C45A15">
        <w:rPr>
          <w:i w:val="0"/>
        </w:rPr>
        <w:lastRenderedPageBreak/>
        <w:t>INTRODUCTION</w:t>
      </w:r>
    </w:p>
    <w:p w:rsidR="006C3805" w:rsidRDefault="006C3805" w:rsidP="00F40CE5">
      <w:pPr>
        <w:pStyle w:val="LRiGnormal"/>
        <w:spacing w:line="480" w:lineRule="auto"/>
        <w:rPr>
          <w:lang w:eastAsia="en-GB"/>
        </w:rPr>
      </w:pPr>
      <w:r>
        <w:rPr>
          <w:lang w:eastAsia="en-GB"/>
        </w:rPr>
        <w:t xml:space="preserve">Minimizing </w:t>
      </w:r>
      <w:r w:rsidR="00E56625">
        <w:rPr>
          <w:lang w:eastAsia="en-GB"/>
        </w:rPr>
        <w:t xml:space="preserve">modifiable </w:t>
      </w:r>
      <w:r>
        <w:rPr>
          <w:lang w:eastAsia="en-GB"/>
        </w:rPr>
        <w:t>health disparities is deemed fundamental for equitable and progressive achieveme</w:t>
      </w:r>
      <w:r w:rsidR="007C53E5">
        <w:rPr>
          <w:lang w:eastAsia="en-GB"/>
        </w:rPr>
        <w:t>nt of universal health coverage</w:t>
      </w:r>
      <w:r w:rsidR="0084020B">
        <w:rPr>
          <w:lang w:eastAsia="en-GB"/>
        </w:rPr>
        <w:t>.</w:t>
      </w:r>
      <w:r w:rsidR="00B545BC">
        <w:rPr>
          <w:lang w:eastAsia="en-GB"/>
        </w:rPr>
        <w:fldChar w:fldCharType="begin" w:fldLock="1"/>
      </w:r>
      <w:r w:rsidR="009427AF">
        <w:rPr>
          <w:lang w:eastAsia="en-GB"/>
        </w:rPr>
        <w:instrText>ADDIN CSL_CITATION { "citationItems" : [ { "id" : "ITEM-1", "itemData" : { "DOI" : "10.1371/journal.pmed.1001727", "ISSN" : "1549-1676", "author" : [ { "dropping-particle" : "", "family" : "Hosseinpoor", "given" : "Ahmad Reza", "non-dropping-particle" : "", "parse-names" : false, "suffix" : "" }, { "dropping-particle" : "", "family" : "Bergen", "given" : "Nicole", "non-dropping-particle" : "", "parse-names" : false, "suffix" : "" }, { "dropping-particle" : "", "family" : "Koller", "given" : "Theadora", "non-dropping-particle" : "", "parse-names" : false, "suffix" : "" }, { "dropping-particle" : "", "family" : "Prasad", "given" : "Amit", "non-dropping-particle" : "", "parse-names" : false, "suffix" : "" }, { "dropping-particle" : "", "family" : "Schlotheuber", "given" : "Anne", "non-dropping-particle" : "", "parse-names" : false, "suffix" : "" }, { "dropping-particle" : "", "family" : "Valentine", "given" : "Nicole", "non-dropping-particle" : "", "parse-names" : false, "suffix" : "" }, { "dropping-particle" : "", "family" : "Lynch", "given" : "John", "non-dropping-particle" : "", "parse-names" : false, "suffix" : "" }, { "dropping-particle" : "", "family" : "Vega", "given" : "Jeanette", "non-dropping-particle" : "", "parse-names" : false, "suffix" : "" } ], "container-title" : "PLoS Medicine", "id" : "ITEM-1", "issue" : "9", "issued" : { "date-parts" : [ [ "2014" ] ] }, "page" : "e1001727", "title" : "Equity-Oriented Monitoring in the Context of Universal Health Coverage", "type" : "article-journal", "volume" : "11" }, "uris" : [ "http://www.mendeley.com/documents/?uuid=adf729a8-ff7f-448a-a5f7-8b7ff3b497c1" ] } ], "mendeley" : { "formattedCitation" : "&lt;sup&gt;1&lt;/sup&gt;", "plainTextFormattedCitation" : "1", "previouslyFormattedCitation" : "&lt;sup&gt;1&lt;/sup&gt;" }, "properties" : { "noteIndex" : 0 }, "schema" : "https://github.com/citation-style-language/schema/raw/master/csl-citation.json" }</w:instrText>
      </w:r>
      <w:r w:rsidR="00B545BC">
        <w:rPr>
          <w:lang w:eastAsia="en-GB"/>
        </w:rPr>
        <w:fldChar w:fldCharType="separate"/>
      </w:r>
      <w:r w:rsidR="009427AF" w:rsidRPr="009427AF">
        <w:rPr>
          <w:noProof/>
          <w:vertAlign w:val="superscript"/>
          <w:lang w:eastAsia="en-GB"/>
        </w:rPr>
        <w:t>1</w:t>
      </w:r>
      <w:r w:rsidR="00B545BC">
        <w:rPr>
          <w:lang w:eastAsia="en-GB"/>
        </w:rPr>
        <w:fldChar w:fldCharType="end"/>
      </w:r>
      <w:r>
        <w:rPr>
          <w:lang w:eastAsia="en-GB"/>
        </w:rPr>
        <w:t xml:space="preserve"> E</w:t>
      </w:r>
      <w:r w:rsidRPr="006A767C">
        <w:rPr>
          <w:lang w:eastAsia="en-GB"/>
        </w:rPr>
        <w:t>quity refers to social justice or fairness; it is an ethical concept which is based on the principles of distributive justice.</w:t>
      </w:r>
      <w:r w:rsidR="00B545BC">
        <w:rPr>
          <w:lang w:eastAsia="en-GB"/>
        </w:rPr>
        <w:fldChar w:fldCharType="begin" w:fldLock="1"/>
      </w:r>
      <w:r w:rsidR="009427AF">
        <w:rPr>
          <w:lang w:eastAsia="en-GB"/>
        </w:rPr>
        <w:instrText>ADDIN CSL_CITATION { "citationItems" : [ { "id" : "ITEM-1", "itemData" : { "DOI" : "10.1093/heapro/6.3.217", "ISBN" : "0020-7314 (Print)\\n0020-7314 (Linking)", "ISSN" : "0020-7314", "PMID" : "1644507", "abstract" : "In 1984, the 32 member states of the World Health Organization European Region took a remarkable step forward in agreeing unanimously on 38 targets for a common health policy for the Region. Not only was equity the subject of the first of these targets, but it was also seen as a fundamental theme running right through the policy as a whole. However, equity can mean different things to different people. This article looks at the concepts and principles of equity as understood in the context of the World Health Organization's Health for All policy. After considering the possible causes of the differences in health observed in populations--some of them inevitable and some unnecessary and unfair--the author discusses equity in relation to health care, concentrating on issues of access to care, utilization, and quality. Lastly, seven principles for action are outlined, stemming from these concepts, to be borne in mind when designing or implementing policies, so that greater equity in health and health care can be promoted.", "author" : [ { "dropping-particle" : "", "family" : "Whitehead", "given" : "M", "non-dropping-particle" : "", "parse-names" : false, "suffix" : "" } ], "container-title" : "Health Promotion International", "id" : "ITEM-1", "issue" : "3", "issued" : { "date-parts" : [ [ "1991" ] ] }, "page" : "217-228", "title" : "The concepts and principles of equity and health", "type" : "article-journal", "volume" : "6" }, "uris" : [ "http://www.mendeley.com/documents/?uuid=e39deaf9-c277-4863-b626-6ca8a9a6f093" ] } ], "mendeley" : { "formattedCitation" : "&lt;sup&gt;2&lt;/sup&gt;", "plainTextFormattedCitation" : "2", "previouslyFormattedCitation" : "&lt;sup&gt;2&lt;/sup&gt;" }, "properties" : { "noteIndex" : 0 }, "schema" : "https://github.com/citation-style-language/schema/raw/master/csl-citation.json" }</w:instrText>
      </w:r>
      <w:r w:rsidR="00B545BC">
        <w:rPr>
          <w:lang w:eastAsia="en-GB"/>
        </w:rPr>
        <w:fldChar w:fldCharType="separate"/>
      </w:r>
      <w:r w:rsidR="009427AF" w:rsidRPr="009427AF">
        <w:rPr>
          <w:noProof/>
          <w:vertAlign w:val="superscript"/>
          <w:lang w:eastAsia="en-GB"/>
        </w:rPr>
        <w:t>2</w:t>
      </w:r>
      <w:r w:rsidR="00B545BC">
        <w:rPr>
          <w:lang w:eastAsia="en-GB"/>
        </w:rPr>
        <w:fldChar w:fldCharType="end"/>
      </w:r>
      <w:r w:rsidRPr="006A767C">
        <w:rPr>
          <w:lang w:eastAsia="en-GB"/>
        </w:rPr>
        <w:t xml:space="preserve"> </w:t>
      </w:r>
      <w:r>
        <w:rPr>
          <w:lang w:eastAsia="en-GB"/>
        </w:rPr>
        <w:t>E</w:t>
      </w:r>
      <w:r w:rsidRPr="006A767C">
        <w:rPr>
          <w:lang w:eastAsia="en-GB"/>
        </w:rPr>
        <w:t>quity in health can largely be defined as the absence of s</w:t>
      </w:r>
      <w:r>
        <w:rPr>
          <w:lang w:eastAsia="en-GB"/>
        </w:rPr>
        <w:t>ystematic disparities in health</w:t>
      </w:r>
      <w:r w:rsidRPr="006A767C">
        <w:rPr>
          <w:lang w:eastAsia="en-GB"/>
        </w:rPr>
        <w:t xml:space="preserve"> between social groups who have different levels of underlying social advantage, or different positions in social hierarchy.</w:t>
      </w:r>
      <w:r w:rsidR="007C53E5">
        <w:rPr>
          <w:lang w:eastAsia="en-GB"/>
        </w:rPr>
        <w:fldChar w:fldCharType="begin" w:fldLock="1"/>
      </w:r>
      <w:r w:rsidR="007C53E5">
        <w:rPr>
          <w:lang w:eastAsia="en-GB"/>
        </w:rPr>
        <w:instrText>ADDIN CSL_CITATION { "citationItems" : [ { "id" : "ITEM-1", "itemData" : { "DOI" : "10.1093/heapro/6.3.217", "ISBN" : "0020-7314 (Print)\\n0020-7314 (Linking)", "ISSN" : "0020-7314", "PMID" : "1644507", "abstract" : "In 1984, the 32 member states of the World Health Organization European Region took a remarkable step forward in agreeing unanimously on 38 targets for a common health policy for the Region. Not only was equity the subject of the first of these targets, but it was also seen as a fundamental theme running right through the policy as a whole. However, equity can mean different things to different people. This article looks at the concepts and principles of equity as understood in the context of the World Health Organization's Health for All policy. After considering the possible causes of the differences in health observed in populations--some of them inevitable and some unnecessary and unfair--the author discusses equity in relation to health care, concentrating on issues of access to care, utilization, and quality. Lastly, seven principles for action are outlined, stemming from these concepts, to be borne in mind when designing or implementing policies, so that greater equity in health and health care can be promoted.", "author" : [ { "dropping-particle" : "", "family" : "Whitehead", "given" : "M", "non-dropping-particle" : "", "parse-names" : false, "suffix" : "" } ], "container-title" : "Health Promotion International", "id" : "ITEM-1", "issue" : "3", "issued" : { "date-parts" : [ [ "1991" ] ] }, "page" : "217-228", "title" : "The concepts and principles of equity and health", "type" : "article-journal", "volume" : "6" }, "uris" : [ "http://www.mendeley.com/documents/?uuid=e39deaf9-c277-4863-b626-6ca8a9a6f093" ] } ], "mendeley" : { "formattedCitation" : "&lt;sup&gt;2&lt;/sup&gt;", "plainTextFormattedCitation" : "2", "previouslyFormattedCitation" : "&lt;sup&gt;2&lt;/sup&gt;" }, "properties" : { "noteIndex" : 0 }, "schema" : "https://github.com/citation-style-language/schema/raw/master/csl-citation.json" }</w:instrText>
      </w:r>
      <w:r w:rsidR="007C53E5">
        <w:rPr>
          <w:lang w:eastAsia="en-GB"/>
        </w:rPr>
        <w:fldChar w:fldCharType="separate"/>
      </w:r>
      <w:r w:rsidR="007C53E5" w:rsidRPr="009427AF">
        <w:rPr>
          <w:noProof/>
          <w:vertAlign w:val="superscript"/>
          <w:lang w:eastAsia="en-GB"/>
        </w:rPr>
        <w:t>2</w:t>
      </w:r>
      <w:r w:rsidR="007C53E5">
        <w:rPr>
          <w:lang w:eastAsia="en-GB"/>
        </w:rPr>
        <w:fldChar w:fldCharType="end"/>
      </w:r>
      <w:r w:rsidR="00001DB8">
        <w:rPr>
          <w:lang w:eastAsia="en-GB"/>
        </w:rPr>
        <w:t xml:space="preserve"> Equity in healthcare relates service provision to need</w:t>
      </w:r>
      <w:r w:rsidR="006D4FDB">
        <w:rPr>
          <w:lang w:eastAsia="en-GB"/>
        </w:rPr>
        <w:t>,</w:t>
      </w:r>
      <w:r w:rsidR="00001DB8">
        <w:rPr>
          <w:lang w:eastAsia="en-GB"/>
        </w:rPr>
        <w:t xml:space="preserve"> and therefore equity which focuses resources on those in greatest need is inherently just.</w:t>
      </w:r>
      <w:r w:rsidR="00397921">
        <w:rPr>
          <w:lang w:eastAsia="en-GB"/>
        </w:rPr>
        <w:t xml:space="preserve"> </w:t>
      </w:r>
      <w:r w:rsidRPr="006A767C">
        <w:rPr>
          <w:lang w:eastAsia="en-GB"/>
        </w:rPr>
        <w:t>Inequities in healt</w:t>
      </w:r>
      <w:r>
        <w:rPr>
          <w:lang w:eastAsia="en-GB"/>
        </w:rPr>
        <w:t>h systematically put people who may already be socially disadvantaged</w:t>
      </w:r>
      <w:r w:rsidRPr="006A767C">
        <w:rPr>
          <w:lang w:eastAsia="en-GB"/>
        </w:rPr>
        <w:t xml:space="preserve"> at further disadvantage in terms of health</w:t>
      </w:r>
      <w:r w:rsidR="006D4FDB">
        <w:rPr>
          <w:lang w:eastAsia="en-GB"/>
        </w:rPr>
        <w:t>, and thus th</w:t>
      </w:r>
      <w:r w:rsidRPr="00595F07">
        <w:rPr>
          <w:lang w:eastAsia="en-GB"/>
        </w:rPr>
        <w:t>e term 'inequity' has a moral and ethical dimension</w:t>
      </w:r>
      <w:r w:rsidR="007C53E5">
        <w:rPr>
          <w:lang w:eastAsia="en-GB"/>
        </w:rPr>
        <w:t>.</w:t>
      </w:r>
      <w:r w:rsidR="007C53E5">
        <w:rPr>
          <w:lang w:eastAsia="en-GB"/>
        </w:rPr>
        <w:fldChar w:fldCharType="begin" w:fldLock="1"/>
      </w:r>
      <w:r w:rsidR="007C53E5">
        <w:rPr>
          <w:lang w:eastAsia="en-GB"/>
        </w:rPr>
        <w:instrText>ADDIN CSL_CITATION { "citationItems" : [ { "id" : "ITEM-1", "itemData" : { "DOI" : "10.1093/heapro/6.3.217", "ISBN" : "0020-7314 (Print)\\n0020-7314 (Linking)", "ISSN" : "0020-7314", "PMID" : "1644507", "abstract" : "In 1984, the 32 member states of the World Health Organization European Region took a remarkable step forward in agreeing unanimously on 38 targets for a common health policy for the Region. Not only was equity the subject of the first of these targets, but it was also seen as a fundamental theme running right through the policy as a whole. However, equity can mean different things to different people. This article looks at the concepts and principles of equity as understood in the context of the World Health Organization's Health for All policy. After considering the possible causes of the differences in health observed in populations--some of them inevitable and some unnecessary and unfair--the author discusses equity in relation to health care, concentrating on issues of access to care, utilization, and quality. Lastly, seven principles for action are outlined, stemming from these concepts, to be borne in mind when designing or implementing policies, so that greater equity in health and health care can be promoted.", "author" : [ { "dropping-particle" : "", "family" : "Whitehead", "given" : "M", "non-dropping-particle" : "", "parse-names" : false, "suffix" : "" } ], "container-title" : "Health Promotion International", "id" : "ITEM-1", "issue" : "3", "issued" : { "date-parts" : [ [ "1991" ] ] }, "page" : "217-228", "title" : "The concepts and principles of equity and health", "type" : "article-journal", "volume" : "6" }, "uris" : [ "http://www.mendeley.com/documents/?uuid=e39deaf9-c277-4863-b626-6ca8a9a6f093" ] } ], "mendeley" : { "formattedCitation" : "&lt;sup&gt;2&lt;/sup&gt;", "plainTextFormattedCitation" : "2", "previouslyFormattedCitation" : "&lt;sup&gt;2&lt;/sup&gt;" }, "properties" : { "noteIndex" : 0 }, "schema" : "https://github.com/citation-style-language/schema/raw/master/csl-citation.json" }</w:instrText>
      </w:r>
      <w:r w:rsidR="007C53E5">
        <w:rPr>
          <w:lang w:eastAsia="en-GB"/>
        </w:rPr>
        <w:fldChar w:fldCharType="separate"/>
      </w:r>
      <w:r w:rsidR="007C53E5" w:rsidRPr="009427AF">
        <w:rPr>
          <w:noProof/>
          <w:vertAlign w:val="superscript"/>
          <w:lang w:eastAsia="en-GB"/>
        </w:rPr>
        <w:t>2</w:t>
      </w:r>
      <w:r w:rsidR="007C53E5">
        <w:rPr>
          <w:lang w:eastAsia="en-GB"/>
        </w:rPr>
        <w:fldChar w:fldCharType="end"/>
      </w:r>
      <w:r w:rsidR="007C53E5">
        <w:rPr>
          <w:lang w:eastAsia="en-GB"/>
        </w:rPr>
        <w:t xml:space="preserve"> Inequity</w:t>
      </w:r>
      <w:r w:rsidRPr="00595F07">
        <w:rPr>
          <w:lang w:eastAsia="en-GB"/>
        </w:rPr>
        <w:t xml:space="preserve"> refers to differences which are unnecessary and avoidable but, in addition</w:t>
      </w:r>
      <w:r>
        <w:rPr>
          <w:lang w:eastAsia="en-GB"/>
        </w:rPr>
        <w:t xml:space="preserve"> these differences may also be considered unfair and unjust</w:t>
      </w:r>
      <w:r w:rsidR="0084020B">
        <w:rPr>
          <w:lang w:eastAsia="en-GB"/>
        </w:rPr>
        <w:t>.</w:t>
      </w:r>
      <w:r w:rsidR="00C4587C">
        <w:rPr>
          <w:lang w:eastAsia="en-GB"/>
        </w:rPr>
        <w:fldChar w:fldCharType="begin" w:fldLock="1"/>
      </w:r>
      <w:r w:rsidR="00B719B4">
        <w:rPr>
          <w:lang w:eastAsia="en-GB"/>
        </w:rPr>
        <w:instrText>ADDIN CSL_CITATION { "citationItems" : [ { "id" : "ITEM-1", "itemData" : { "DOI" : "10.1371/journal.pmed.1001727", "ISSN" : "1549-1676", "author" : [ { "dropping-particle" : "", "family" : "Hosseinpoor", "given" : "Ahmad Reza", "non-dropping-particle" : "", "parse-names" : false, "suffix" : "" }, { "dropping-particle" : "", "family" : "Bergen", "given" : "Nicole", "non-dropping-particle" : "", "parse-names" : false, "suffix" : "" }, { "dropping-particle" : "", "family" : "Koller", "given" : "Theadora", "non-dropping-particle" : "", "parse-names" : false, "suffix" : "" }, { "dropping-particle" : "", "family" : "Prasad", "given" : "Amit", "non-dropping-particle" : "", "parse-names" : false, "suffix" : "" }, { "dropping-particle" : "", "family" : "Schlotheuber", "given" : "Anne", "non-dropping-particle" : "", "parse-names" : false, "suffix" : "" }, { "dropping-particle" : "", "family" : "Valentine", "given" : "Nicole", "non-dropping-particle" : "", "parse-names" : false, "suffix" : "" }, { "dropping-particle" : "", "family" : "Lynch", "given" : "John", "non-dropping-particle" : "", "parse-names" : false, "suffix" : "" }, { "dropping-particle" : "", "family" : "Vega", "given" : "Jeanette", "non-dropping-particle" : "", "parse-names" : false, "suffix" : "" } ], "container-title" : "PLoS Medicine", "id" : "ITEM-1", "issue" : "9", "issued" : { "date-parts" : [ [ "2014" ] ] }, "page" : "e1001727", "title" : "Equity-Oriented Monitoring in the Context of Universal Health Coverage", "type" : "article-journal", "volume" : "11" }, "uris" : [ "http://www.mendeley.com/documents/?uuid=adf729a8-ff7f-448a-a5f7-8b7ff3b497c1" ] }, { "id" : "ITEM-2", "itemData" : { "DOI" : "10.1093/heapro/6.3.217", "ISBN" : "0020-7314 (Print)\\n0020-7314 (Linking)", "ISSN" : "0020-7314", "PMID" : "1644507", "abstract" : "In 1984, the 32 member states of the World Health Organization European Region took a remarkable step forward in agreeing unanimously on 38 targets for a common health policy for the Region. Not only was equity the subject of the first of these targets, but it was also seen as a fundamental theme running right through the policy as a whole. However, equity can mean different things to different people. This article looks at the concepts and principles of equity as understood in the context of the World Health Organization's Health for All policy. After considering the possible causes of the differences in health observed in populations--some of them inevitable and some unnecessary and unfair--the author discusses equity in relation to health care, concentrating on issues of access to care, utilization, and quality. Lastly, seven principles for action are outlined, stemming from these concepts, to be borne in mind when designing or implementing policies, so that greater equity in health and health care can be promoted.", "author" : [ { "dropping-particle" : "", "family" : "Whitehead", "given" : "M", "non-dropping-particle" : "", "parse-names" : false, "suffix" : "" } ], "container-title" : "Health Promotion International", "id" : "ITEM-2", "issue" : "3", "issued" : { "date-parts" : [ [ "1991" ] ] }, "page" : "217-228", "title" : "The concepts and principles of equity and health", "type" : "article-journal", "volume" : "6" }, "uris" : [ "http://www.mendeley.com/documents/?uuid=e39deaf9-c277-4863-b626-6ca8a9a6f093" ] } ], "mendeley" : { "formattedCitation" : "&lt;sup&gt;1,2&lt;/sup&gt;", "plainTextFormattedCitation" : "1,2", "previouslyFormattedCitation" : "&lt;sup&gt;1,2&lt;/sup&gt;" }, "properties" : { "noteIndex" : 0 }, "schema" : "https://github.com/citation-style-language/schema/raw/master/csl-citation.json" }</w:instrText>
      </w:r>
      <w:r w:rsidR="00C4587C">
        <w:rPr>
          <w:lang w:eastAsia="en-GB"/>
        </w:rPr>
        <w:fldChar w:fldCharType="separate"/>
      </w:r>
      <w:r w:rsidR="009427AF" w:rsidRPr="009427AF">
        <w:rPr>
          <w:noProof/>
          <w:vertAlign w:val="superscript"/>
          <w:lang w:eastAsia="en-GB"/>
        </w:rPr>
        <w:t>1,2</w:t>
      </w:r>
      <w:r w:rsidR="00C4587C">
        <w:rPr>
          <w:lang w:eastAsia="en-GB"/>
        </w:rPr>
        <w:fldChar w:fldCharType="end"/>
      </w:r>
      <w:r w:rsidR="00E56625">
        <w:rPr>
          <w:lang w:eastAsia="en-GB"/>
        </w:rPr>
        <w:t xml:space="preserve"> </w:t>
      </w:r>
      <w:r w:rsidR="00001DB8">
        <w:rPr>
          <w:lang w:eastAsia="en-GB"/>
        </w:rPr>
        <w:t xml:space="preserve"> </w:t>
      </w:r>
      <w:r w:rsidR="007C53E5">
        <w:rPr>
          <w:lang w:eastAsia="en-GB"/>
        </w:rPr>
        <w:t xml:space="preserve"> </w:t>
      </w:r>
    </w:p>
    <w:p w:rsidR="0047422B" w:rsidRDefault="006D4FDB" w:rsidP="00F40CE5">
      <w:pPr>
        <w:pStyle w:val="LRiGnormal"/>
        <w:spacing w:line="480" w:lineRule="auto"/>
        <w:rPr>
          <w:lang w:eastAsia="en-GB"/>
        </w:rPr>
      </w:pPr>
      <w:r>
        <w:rPr>
          <w:lang w:eastAsia="en-GB"/>
        </w:rPr>
        <w:t>P</w:t>
      </w:r>
      <w:r w:rsidR="007B4F24">
        <w:rPr>
          <w:lang w:eastAsia="en-GB"/>
        </w:rPr>
        <w:t xml:space="preserve">recision medicine (PM) </w:t>
      </w:r>
      <w:r w:rsidR="003F032F">
        <w:rPr>
          <w:lang w:eastAsia="en-GB"/>
        </w:rPr>
        <w:t xml:space="preserve">has </w:t>
      </w:r>
      <w:r w:rsidR="00605A71" w:rsidRPr="00111482">
        <w:rPr>
          <w:lang w:eastAsia="en-GB"/>
        </w:rPr>
        <w:t xml:space="preserve">the potential to </w:t>
      </w:r>
      <w:r w:rsidR="00A63D22" w:rsidRPr="00A63D22">
        <w:rPr>
          <w:lang w:eastAsia="en-GB"/>
        </w:rPr>
        <w:t>revolutionize</w:t>
      </w:r>
      <w:r w:rsidR="00605A71" w:rsidRPr="00111482">
        <w:rPr>
          <w:lang w:eastAsia="en-GB"/>
        </w:rPr>
        <w:t xml:space="preserve"> the </w:t>
      </w:r>
      <w:r w:rsidR="00605A71">
        <w:rPr>
          <w:lang w:eastAsia="en-GB"/>
        </w:rPr>
        <w:t xml:space="preserve">health </w:t>
      </w:r>
      <w:r w:rsidR="00605A71" w:rsidRPr="00111482">
        <w:rPr>
          <w:lang w:eastAsia="en-GB"/>
        </w:rPr>
        <w:t xml:space="preserve">sector through improving the effectiveness of treatments whilst simultaneously reducing </w:t>
      </w:r>
      <w:r w:rsidR="003F032F">
        <w:rPr>
          <w:lang w:eastAsia="en-GB"/>
        </w:rPr>
        <w:t>adverse</w:t>
      </w:r>
      <w:r w:rsidR="003F032F" w:rsidRPr="00111482">
        <w:rPr>
          <w:lang w:eastAsia="en-GB"/>
        </w:rPr>
        <w:t xml:space="preserve"> </w:t>
      </w:r>
      <w:r w:rsidR="00605A71" w:rsidRPr="00111482">
        <w:rPr>
          <w:lang w:eastAsia="en-GB"/>
        </w:rPr>
        <w:t xml:space="preserve">effects and </w:t>
      </w:r>
      <w:r w:rsidR="00605A71">
        <w:rPr>
          <w:lang w:eastAsia="en-GB"/>
        </w:rPr>
        <w:t xml:space="preserve">avoiding </w:t>
      </w:r>
      <w:r w:rsidR="00605A71" w:rsidRPr="00111482">
        <w:rPr>
          <w:lang w:eastAsia="en-GB"/>
        </w:rPr>
        <w:t xml:space="preserve">inappropriate </w:t>
      </w:r>
      <w:r w:rsidR="00DC3AA8">
        <w:rPr>
          <w:lang w:eastAsia="en-GB"/>
        </w:rPr>
        <w:t>treatment</w:t>
      </w:r>
      <w:r w:rsidR="0084020B">
        <w:rPr>
          <w:lang w:eastAsia="en-GB"/>
        </w:rPr>
        <w:t>.</w:t>
      </w:r>
      <w:r w:rsidR="003B6F6D">
        <w:rPr>
          <w:lang w:eastAsia="en-GB"/>
        </w:rPr>
        <w:fldChar w:fldCharType="begin" w:fldLock="1"/>
      </w:r>
      <w:r w:rsidR="00B719B4">
        <w:rPr>
          <w:lang w:eastAsia="en-GB"/>
        </w:rPr>
        <w:instrText>ADDIN CSL_CITATION { "citationItems" : [ { "id" : "ITEM-1", "itemData" : { "author" : [ { "dropping-particle" : "", "family" : "EPEMED", "given" : "", "non-dropping-particle" : "", "parse-names" : false, "suffix" : "" } ], "container-title" : "European Personalized Medicine Association", "id" : "ITEM-1", "issue" : "November", "issued" : { "date-parts" : [ [ "2014" ] ] }, "number-of-pages" : "51", "title" : "Personalized Medicine in Europe \u2013 Enhancing Patient Access to Pharmaceutical Companion Products", "type" : "report" }, "uris" : [ "http://www.mendeley.com/documents/?uuid=ffce0281-a4b9-455f-bbda-4d94fc46980d" ] } ], "mendeley" : { "formattedCitation" : "&lt;sup&gt;3&lt;/sup&gt;", "plainTextFormattedCitation" : "3", "previouslyFormattedCitation" : "&lt;sup&gt;3&lt;/sup&gt;" }, "properties" : { "noteIndex" : 0 }, "schema" : "https://github.com/citation-style-language/schema/raw/master/csl-citation.json" }</w:instrText>
      </w:r>
      <w:r w:rsidR="003B6F6D">
        <w:rPr>
          <w:lang w:eastAsia="en-GB"/>
        </w:rPr>
        <w:fldChar w:fldCharType="separate"/>
      </w:r>
      <w:r w:rsidR="009427AF" w:rsidRPr="009427AF">
        <w:rPr>
          <w:noProof/>
          <w:vertAlign w:val="superscript"/>
          <w:lang w:eastAsia="en-GB"/>
        </w:rPr>
        <w:t>3</w:t>
      </w:r>
      <w:r w:rsidR="003B6F6D">
        <w:rPr>
          <w:lang w:eastAsia="en-GB"/>
        </w:rPr>
        <w:fldChar w:fldCharType="end"/>
      </w:r>
      <w:r w:rsidR="00605A71">
        <w:rPr>
          <w:lang w:eastAsia="en-GB"/>
        </w:rPr>
        <w:t xml:space="preserve"> </w:t>
      </w:r>
      <w:r w:rsidR="00312740">
        <w:rPr>
          <w:lang w:eastAsia="en-GB"/>
        </w:rPr>
        <w:t>PM</w:t>
      </w:r>
      <w:r w:rsidR="000C382E">
        <w:rPr>
          <w:lang w:eastAsia="en-GB"/>
        </w:rPr>
        <w:t xml:space="preserve"> </w:t>
      </w:r>
      <w:r w:rsidR="00A26958">
        <w:rPr>
          <w:lang w:eastAsia="en-GB"/>
        </w:rPr>
        <w:t xml:space="preserve">tailors </w:t>
      </w:r>
      <w:r w:rsidR="000C382E">
        <w:rPr>
          <w:lang w:eastAsia="en-GB"/>
        </w:rPr>
        <w:t xml:space="preserve">care for each individual patient based on </w:t>
      </w:r>
      <w:r w:rsidR="00634DB4">
        <w:rPr>
          <w:lang w:eastAsia="en-GB"/>
        </w:rPr>
        <w:t>clinical</w:t>
      </w:r>
      <w:r w:rsidR="000C382E">
        <w:rPr>
          <w:lang w:eastAsia="en-GB"/>
        </w:rPr>
        <w:t xml:space="preserve">, environmental, and </w:t>
      </w:r>
      <w:r w:rsidR="00634DB4">
        <w:rPr>
          <w:lang w:eastAsia="en-GB"/>
        </w:rPr>
        <w:t>genetic information</w:t>
      </w:r>
      <w:r w:rsidR="0084020B">
        <w:rPr>
          <w:lang w:eastAsia="en-GB"/>
        </w:rPr>
        <w:t>.</w:t>
      </w:r>
      <w:r w:rsidR="00C574D6">
        <w:rPr>
          <w:lang w:eastAsia="en-GB"/>
        </w:rPr>
        <w:fldChar w:fldCharType="begin" w:fldLock="1"/>
      </w:r>
      <w:r w:rsidR="00C574D6">
        <w:rPr>
          <w:lang w:eastAsia="en-GB"/>
        </w:rPr>
        <w:instrText>ADDIN CSL_CITATION { "citationItems" : [ { "id" : "ITEM-1", "itemData" : { "author" : [ { "dropping-particle" : "", "family" : "EPEMED", "given" : "", "non-dropping-particle" : "", "parse-names" : false, "suffix" : "" } ], "container-title" : "European Personalized Medicine Association", "id" : "ITEM-1", "issue" : "November", "issued" : { "date-parts" : [ [ "2014" ] ] }, "number-of-pages" : "51", "title" : "Personalized Medicine in Europe \u2013 Enhancing Patient Access to Pharmaceutical Companion Products", "type" : "report" }, "uris" : [ "http://www.mendeley.com/documents/?uuid=ffce0281-a4b9-455f-bbda-4d94fc46980d" ] } ], "mendeley" : { "formattedCitation" : "&lt;sup&gt;3&lt;/sup&gt;", "plainTextFormattedCitation" : "3", "previouslyFormattedCitation" : "&lt;sup&gt;3&lt;/sup&gt;" }, "properties" : { "noteIndex" : 0 }, "schema" : "https://github.com/citation-style-language/schema/raw/master/csl-citation.json" }</w:instrText>
      </w:r>
      <w:r w:rsidR="00C574D6">
        <w:rPr>
          <w:lang w:eastAsia="en-GB"/>
        </w:rPr>
        <w:fldChar w:fldCharType="separate"/>
      </w:r>
      <w:r w:rsidR="00C574D6" w:rsidRPr="009427AF">
        <w:rPr>
          <w:noProof/>
          <w:vertAlign w:val="superscript"/>
          <w:lang w:eastAsia="en-GB"/>
        </w:rPr>
        <w:t>3</w:t>
      </w:r>
      <w:r w:rsidR="00C574D6">
        <w:rPr>
          <w:lang w:eastAsia="en-GB"/>
        </w:rPr>
        <w:fldChar w:fldCharType="end"/>
      </w:r>
      <w:r w:rsidR="000C382E">
        <w:rPr>
          <w:lang w:eastAsia="en-GB"/>
        </w:rPr>
        <w:t xml:space="preserve"> </w:t>
      </w:r>
      <w:r>
        <w:rPr>
          <w:lang w:eastAsia="en-GB"/>
        </w:rPr>
        <w:t xml:space="preserve"> In </w:t>
      </w:r>
      <w:r w:rsidR="004D7CE5">
        <w:rPr>
          <w:lang w:eastAsia="en-GB"/>
        </w:rPr>
        <w:t>PM</w:t>
      </w:r>
      <w:r>
        <w:rPr>
          <w:lang w:eastAsia="en-GB"/>
        </w:rPr>
        <w:t>, the</w:t>
      </w:r>
      <w:r w:rsidR="004D7CE5">
        <w:rPr>
          <w:lang w:eastAsia="en-GB"/>
        </w:rPr>
        <w:t xml:space="preserve"> use</w:t>
      </w:r>
      <w:r w:rsidR="004D7CE5" w:rsidRPr="00A850E6">
        <w:rPr>
          <w:lang w:eastAsia="en-GB"/>
        </w:rPr>
        <w:t xml:space="preserve"> </w:t>
      </w:r>
      <w:r>
        <w:rPr>
          <w:lang w:eastAsia="en-GB"/>
        </w:rPr>
        <w:t xml:space="preserve">of </w:t>
      </w:r>
      <w:r w:rsidR="004D7CE5" w:rsidRPr="00A850E6">
        <w:rPr>
          <w:lang w:eastAsia="en-GB"/>
        </w:rPr>
        <w:t>biomarkers</w:t>
      </w:r>
      <w:r w:rsidR="003F032F">
        <w:rPr>
          <w:lang w:eastAsia="en-GB"/>
        </w:rPr>
        <w:t xml:space="preserve"> </w:t>
      </w:r>
      <w:r w:rsidR="003F032F" w:rsidRPr="00A850E6">
        <w:rPr>
          <w:lang w:eastAsia="en-GB"/>
        </w:rPr>
        <w:t>(</w:t>
      </w:r>
      <w:r w:rsidR="003F032F">
        <w:rPr>
          <w:lang w:eastAsia="en-GB"/>
        </w:rPr>
        <w:t xml:space="preserve">which to date have been </w:t>
      </w:r>
      <w:r w:rsidR="003F032F" w:rsidRPr="00A850E6">
        <w:rPr>
          <w:lang w:eastAsia="en-GB"/>
        </w:rPr>
        <w:t xml:space="preserve">mainly molecular) </w:t>
      </w:r>
      <w:r>
        <w:rPr>
          <w:lang w:eastAsia="en-GB"/>
        </w:rPr>
        <w:t xml:space="preserve">can be used </w:t>
      </w:r>
      <w:r w:rsidR="004D7CE5" w:rsidRPr="00A850E6">
        <w:rPr>
          <w:lang w:eastAsia="en-GB"/>
        </w:rPr>
        <w:t xml:space="preserve">for the purpose of risk assessment, diagnosis, prognosis, monitoring and guiding </w:t>
      </w:r>
      <w:r w:rsidR="0030677A">
        <w:rPr>
          <w:lang w:eastAsia="en-GB"/>
        </w:rPr>
        <w:t>therapeutic decisions</w:t>
      </w:r>
      <w:r w:rsidR="0084020B">
        <w:rPr>
          <w:lang w:eastAsia="en-GB"/>
        </w:rPr>
        <w:t>.</w:t>
      </w:r>
      <w:r w:rsidR="00B545BC">
        <w:rPr>
          <w:lang w:eastAsia="en-GB"/>
        </w:rPr>
        <w:fldChar w:fldCharType="begin" w:fldLock="1"/>
      </w:r>
      <w:r w:rsidR="00B719B4">
        <w:rPr>
          <w:lang w:eastAsia="en-GB"/>
        </w:rPr>
        <w:instrText>ADDIN CSL_CITATION { "citationItems" : [ { "id" : "ITEM-1", "itemData" : { "author" : [ { "dropping-particle" : "", "family" : "EPEMED", "given" : "", "non-dropping-particle" : "", "parse-names" : false, "suffix" : "" } ], "container-title" : "European Personalized Medicine Association", "id" : "ITEM-1", "issue" : "November", "issued" : { "date-parts" : [ [ "2014" ] ] }, "number-of-pages" : "51", "title" : "Personalized Medicine in Europe \u2013 Enhancing Patient Access to Pharmaceutical Companion Products", "type" : "report" }, "uris" : [ "http://www.mendeley.com/documents/?uuid=ffce0281-a4b9-455f-bbda-4d94fc46980d" ] } ], "mendeley" : { "formattedCitation" : "&lt;sup&gt;3&lt;/sup&gt;", "plainTextFormattedCitation" : "3", "previouslyFormattedCitation" : "&lt;sup&gt;3&lt;/sup&gt;" }, "properties" : { "noteIndex" : 0 }, "schema" : "https://github.com/citation-style-language/schema/raw/master/csl-citation.json" }</w:instrText>
      </w:r>
      <w:r w:rsidR="00B545BC">
        <w:rPr>
          <w:lang w:eastAsia="en-GB"/>
        </w:rPr>
        <w:fldChar w:fldCharType="separate"/>
      </w:r>
      <w:r w:rsidR="009427AF" w:rsidRPr="009427AF">
        <w:rPr>
          <w:noProof/>
          <w:vertAlign w:val="superscript"/>
          <w:lang w:eastAsia="en-GB"/>
        </w:rPr>
        <w:t>3</w:t>
      </w:r>
      <w:r w:rsidR="00B545BC">
        <w:rPr>
          <w:lang w:eastAsia="en-GB"/>
        </w:rPr>
        <w:fldChar w:fldCharType="end"/>
      </w:r>
      <w:r w:rsidR="004D7CE5">
        <w:rPr>
          <w:lang w:eastAsia="en-GB"/>
        </w:rPr>
        <w:t xml:space="preserve"> </w:t>
      </w:r>
      <w:r w:rsidR="00D31D14">
        <w:rPr>
          <w:lang w:eastAsia="en-GB"/>
        </w:rPr>
        <w:t xml:space="preserve"> Perhaps the most advanced area of PM is pharmacogenomics, </w:t>
      </w:r>
      <w:r w:rsidR="00A26958">
        <w:rPr>
          <w:lang w:eastAsia="en-GB"/>
        </w:rPr>
        <w:t xml:space="preserve">which aims </w:t>
      </w:r>
      <w:r w:rsidR="00D31D14">
        <w:rPr>
          <w:lang w:eastAsia="en-GB"/>
        </w:rPr>
        <w:t>to relate genetic differences in the way drugs are handled (pharmacokinetic determinants) and how they act (pharmacodynamics determinants) to the differences in drug efficacy and safety observed between different individuals</w:t>
      </w:r>
      <w:r w:rsidR="0084020B">
        <w:rPr>
          <w:lang w:eastAsia="en-GB"/>
        </w:rPr>
        <w:t>.</w:t>
      </w:r>
      <w:r w:rsidR="00B545BC">
        <w:rPr>
          <w:lang w:eastAsia="en-GB"/>
        </w:rPr>
        <w:fldChar w:fldCharType="begin" w:fldLock="1"/>
      </w:r>
      <w:r w:rsidR="00B719B4">
        <w:rPr>
          <w:lang w:eastAsia="en-GB"/>
        </w:rPr>
        <w:instrText>ADDIN CSL_CITATION { "citationItems" : [ { "id" : "ITEM-1", "itemData" : { "author" : [ { "dropping-particle" : "", "family" : "Shargel", "given" : "L", "non-dropping-particle" : "", "parse-names" : false, "suffix" : "" }, { "dropping-particle" : "", "family" : "Wu-Pong", "given" : "S", "non-dropping-particle" : "", "parse-names" : false, "suffix" : "" }, { "dropping-particle" : "", "family" : "ABC", "given" : "Yu", "non-dropping-particle" : "", "parse-names" : false, "suffix" : "" } ], "chapter-number" : "12", "edition" : "5th", "id" : "ITEM-1", "issued" : { "date-parts" : [ [ "2005" ] ] }, "page" : "258-267", "publisher" : "McGraw-Hill", "publisher-place" : "New York", "title" : "Applied biopharmaceutics and pharmacokinetics", "type" : "chapter" }, "uris" : [ "http://www.mendeley.com/documents/?uuid=7965d68c-38ed-41e1-a491-511fbcb747cd" ] } ], "mendeley" : { "formattedCitation" : "&lt;sup&gt;4&lt;/sup&gt;", "plainTextFormattedCitation" : "4", "previouslyFormattedCitation" : "&lt;sup&gt;4&lt;/sup&gt;" }, "properties" : { "noteIndex" : 0 }, "schema" : "https://github.com/citation-style-language/schema/raw/master/csl-citation.json" }</w:instrText>
      </w:r>
      <w:r w:rsidR="00B545BC">
        <w:rPr>
          <w:lang w:eastAsia="en-GB"/>
        </w:rPr>
        <w:fldChar w:fldCharType="separate"/>
      </w:r>
      <w:r w:rsidR="009427AF" w:rsidRPr="009427AF">
        <w:rPr>
          <w:noProof/>
          <w:vertAlign w:val="superscript"/>
          <w:lang w:eastAsia="en-GB"/>
        </w:rPr>
        <w:t>4</w:t>
      </w:r>
      <w:r w:rsidR="00B545BC">
        <w:rPr>
          <w:lang w:eastAsia="en-GB"/>
        </w:rPr>
        <w:fldChar w:fldCharType="end"/>
      </w:r>
    </w:p>
    <w:p w:rsidR="00605A71" w:rsidRDefault="00397921" w:rsidP="00F40CE5">
      <w:pPr>
        <w:pStyle w:val="LRiGnormal"/>
        <w:spacing w:line="480" w:lineRule="auto"/>
        <w:rPr>
          <w:lang w:eastAsia="en-GB"/>
        </w:rPr>
      </w:pPr>
      <w:r>
        <w:rPr>
          <w:lang w:eastAsia="en-GB"/>
        </w:rPr>
        <w:t>C</w:t>
      </w:r>
      <w:r w:rsidR="007B5ACB">
        <w:rPr>
          <w:lang w:eastAsia="en-GB"/>
        </w:rPr>
        <w:t xml:space="preserve">oncerns </w:t>
      </w:r>
      <w:r w:rsidR="00B11611">
        <w:rPr>
          <w:lang w:eastAsia="en-GB"/>
        </w:rPr>
        <w:t xml:space="preserve">have been raised by the European </w:t>
      </w:r>
      <w:r>
        <w:rPr>
          <w:lang w:eastAsia="en-GB"/>
        </w:rPr>
        <w:t>Personalized</w:t>
      </w:r>
      <w:r w:rsidR="00B11611">
        <w:rPr>
          <w:lang w:eastAsia="en-GB"/>
        </w:rPr>
        <w:t xml:space="preserve"> Medicine Association (EPEMED) </w:t>
      </w:r>
      <w:r w:rsidR="00DD3930">
        <w:rPr>
          <w:lang w:eastAsia="en-GB"/>
        </w:rPr>
        <w:t xml:space="preserve">and National Institute on Minority Health and Disparities (NIMHD) </w:t>
      </w:r>
      <w:r>
        <w:rPr>
          <w:lang w:eastAsia="en-GB"/>
        </w:rPr>
        <w:t>amongst other</w:t>
      </w:r>
      <w:r w:rsidR="00C574D6">
        <w:rPr>
          <w:lang w:eastAsia="en-GB"/>
        </w:rPr>
        <w:t>s</w:t>
      </w:r>
      <w:r>
        <w:rPr>
          <w:lang w:eastAsia="en-GB"/>
        </w:rPr>
        <w:t xml:space="preserve"> </w:t>
      </w:r>
      <w:r w:rsidR="007B5ACB">
        <w:rPr>
          <w:lang w:eastAsia="en-GB"/>
        </w:rPr>
        <w:t>that the rate at which</w:t>
      </w:r>
      <w:r w:rsidR="007B5ACB" w:rsidRPr="008159BE">
        <w:rPr>
          <w:lang w:eastAsia="en-GB"/>
        </w:rPr>
        <w:t xml:space="preserve"> </w:t>
      </w:r>
      <w:r w:rsidR="007B5ACB">
        <w:rPr>
          <w:lang w:eastAsia="en-GB"/>
        </w:rPr>
        <w:t>PM is implemented may vary</w:t>
      </w:r>
      <w:r w:rsidR="006D4FDB">
        <w:rPr>
          <w:lang w:eastAsia="en-GB"/>
        </w:rPr>
        <w:t>.  I</w:t>
      </w:r>
      <w:r w:rsidR="00271D1F">
        <w:rPr>
          <w:lang w:eastAsia="en-GB"/>
        </w:rPr>
        <w:t>n particular</w:t>
      </w:r>
      <w:r w:rsidR="007B5ACB">
        <w:rPr>
          <w:lang w:eastAsia="en-GB"/>
        </w:rPr>
        <w:t xml:space="preserve"> </w:t>
      </w:r>
      <w:r w:rsidR="007B5ACB" w:rsidRPr="008159BE">
        <w:rPr>
          <w:lang w:eastAsia="en-GB"/>
        </w:rPr>
        <w:t>new therapies or tests may be taken up less quickly and in lower numbers in m</w:t>
      </w:r>
      <w:r w:rsidR="00EE65BC">
        <w:rPr>
          <w:lang w:eastAsia="en-GB"/>
        </w:rPr>
        <w:t xml:space="preserve">ore deprived populations due to </w:t>
      </w:r>
      <w:r w:rsidR="007B5ACB" w:rsidRPr="008159BE">
        <w:rPr>
          <w:lang w:eastAsia="en-GB"/>
        </w:rPr>
        <w:t>challenges in access</w:t>
      </w:r>
      <w:r w:rsidR="007B5ACB">
        <w:rPr>
          <w:lang w:eastAsia="en-GB"/>
        </w:rPr>
        <w:t>, availability</w:t>
      </w:r>
      <w:r w:rsidR="007B5ACB" w:rsidRPr="008159BE">
        <w:rPr>
          <w:lang w:eastAsia="en-GB"/>
        </w:rPr>
        <w:t xml:space="preserve"> and ability to pa</w:t>
      </w:r>
      <w:r w:rsidR="007B5ACB">
        <w:rPr>
          <w:lang w:eastAsia="en-GB"/>
        </w:rPr>
        <w:t xml:space="preserve">y privately </w:t>
      </w:r>
      <w:r w:rsidR="007B5ACB" w:rsidRPr="008159BE">
        <w:rPr>
          <w:lang w:eastAsia="en-GB"/>
        </w:rPr>
        <w:t>and understanding of health</w:t>
      </w:r>
      <w:r w:rsidR="001208ED">
        <w:rPr>
          <w:lang w:eastAsia="en-GB"/>
        </w:rPr>
        <w:t xml:space="preserve"> </w:t>
      </w:r>
      <w:r w:rsidR="007B5ACB" w:rsidRPr="008159BE">
        <w:rPr>
          <w:lang w:eastAsia="en-GB"/>
        </w:rPr>
        <w:t>care information compared to more edu</w:t>
      </w:r>
      <w:r w:rsidR="00E26B77">
        <w:rPr>
          <w:lang w:eastAsia="en-GB"/>
        </w:rPr>
        <w:t>cated and wealthier populations</w:t>
      </w:r>
      <w:r w:rsidR="0084020B">
        <w:rPr>
          <w:lang w:eastAsia="en-GB"/>
        </w:rPr>
        <w:t>.</w:t>
      </w:r>
      <w:r w:rsidR="00DD3930">
        <w:rPr>
          <w:lang w:eastAsia="en-GB"/>
        </w:rPr>
        <w:fldChar w:fldCharType="begin" w:fldLock="1"/>
      </w:r>
      <w:r w:rsidR="00CB755C">
        <w:rPr>
          <w:lang w:eastAsia="en-GB"/>
        </w:rPr>
        <w:instrText>ADDIN CSL_CITATION { "citationItems" : [ { "id" : "ITEM-1", "itemData" : { "author" : [ { "dropping-particle" : "", "family" : "EPEMED", "given" : "", "non-dropping-particle" : "", "parse-names" : false, "suffix" : "" } ], "container-title" : "European Personalized Medicine Association", "id" : "ITEM-1", "issue" : "November", "issued" : { "date-parts" : [ [ "2014" ] ] }, "number-of-pages" : "51", "title" : "Personalized Medicine in Europe \u2013 Enhancing Patient Access to Pharmaceutical Companion Products", "type" : "report" }, "uris" : [ "http://www.mendeley.com/documents/?uuid=ffce0281-a4b9-455f-bbda-4d94fc46980d" ] }, { "id" : "ITEM-2", "itemData" : { "URL" : "https://www.nih.gov/precision-medicine-initiative-cohort-program", "accessed" : { "date-parts" : [ [ "2016", "9", "23" ] ] }, "author" : [ { "dropping-particle" : "", "family" : "NIH", "given" : "", "non-dropping-particle" : "", "parse-names" : false, "suffix" : "" } ], "id" : "ITEM-2", "issued" : { "date-parts" : [ [ "2016" ] ] }, "title" : "Precision Medicine Initiative Cohort Program", "type" : "webpage" }, "uris" : [ "http://www.mendeley.com/documents/?uuid=84c8c179-50c1-4479-8235-e9885abcf94c" ] } ], "mendeley" : { "formattedCitation" : "&lt;sup&gt;3,5&lt;/sup&gt;", "plainTextFormattedCitation" : "3,5", "previouslyFormattedCitation" : "&lt;sup&gt;3,5&lt;/sup&gt;" }, "properties" : { "noteIndex" : 0 }, "schema" : "https://github.com/citation-style-language/schema/raw/master/csl-citation.json" }</w:instrText>
      </w:r>
      <w:r w:rsidR="00DD3930">
        <w:rPr>
          <w:lang w:eastAsia="en-GB"/>
        </w:rPr>
        <w:fldChar w:fldCharType="separate"/>
      </w:r>
      <w:r w:rsidR="00DD3930" w:rsidRPr="00DD3930">
        <w:rPr>
          <w:noProof/>
          <w:vertAlign w:val="superscript"/>
          <w:lang w:eastAsia="en-GB"/>
        </w:rPr>
        <w:t>3,5</w:t>
      </w:r>
      <w:r w:rsidR="00DD3930">
        <w:rPr>
          <w:lang w:eastAsia="en-GB"/>
        </w:rPr>
        <w:fldChar w:fldCharType="end"/>
      </w:r>
      <w:r w:rsidR="007829FF">
        <w:rPr>
          <w:lang w:eastAsia="en-GB"/>
        </w:rPr>
        <w:t xml:space="preserve"> </w:t>
      </w:r>
      <w:r w:rsidR="00C574D6">
        <w:rPr>
          <w:lang w:eastAsia="en-GB"/>
        </w:rPr>
        <w:t xml:space="preserve">In order to address this, as part of the </w:t>
      </w:r>
      <w:r w:rsidR="003F032F">
        <w:rPr>
          <w:lang w:eastAsia="en-GB"/>
        </w:rPr>
        <w:t xml:space="preserve">US </w:t>
      </w:r>
      <w:r w:rsidR="003F032F" w:rsidRPr="00A31A8E">
        <w:rPr>
          <w:lang w:eastAsia="en-GB"/>
        </w:rPr>
        <w:t>Precision Medicine Initiative (PMI)</w:t>
      </w:r>
      <w:r w:rsidR="00C574D6">
        <w:rPr>
          <w:lang w:eastAsia="en-GB"/>
        </w:rPr>
        <w:t xml:space="preserve">, the </w:t>
      </w:r>
      <w:r w:rsidR="00C574D6" w:rsidRPr="00C574D6">
        <w:rPr>
          <w:i/>
          <w:lang w:eastAsia="en-GB"/>
        </w:rPr>
        <w:t xml:space="preserve">All </w:t>
      </w:r>
      <w:r w:rsidR="00C574D6" w:rsidRPr="00C574D6">
        <w:rPr>
          <w:i/>
          <w:lang w:eastAsia="en-GB"/>
        </w:rPr>
        <w:lastRenderedPageBreak/>
        <w:t>of Us</w:t>
      </w:r>
      <w:r w:rsidR="00C574D6">
        <w:rPr>
          <w:lang w:eastAsia="en-GB"/>
        </w:rPr>
        <w:t xml:space="preserve"> research program</w:t>
      </w:r>
      <w:r w:rsidR="003F032F" w:rsidRPr="00A31A8E">
        <w:rPr>
          <w:lang w:eastAsia="en-GB"/>
        </w:rPr>
        <w:t xml:space="preserve"> </w:t>
      </w:r>
      <w:r w:rsidR="00A31A8E" w:rsidRPr="00A31A8E">
        <w:rPr>
          <w:lang w:eastAsia="en-GB"/>
        </w:rPr>
        <w:t xml:space="preserve">aims to reflect the diversity of the U.S. population from </w:t>
      </w:r>
      <w:r w:rsidR="00C574D6" w:rsidRPr="00A31A8E">
        <w:rPr>
          <w:lang w:eastAsia="en-GB"/>
        </w:rPr>
        <w:t>varied</w:t>
      </w:r>
      <w:r w:rsidR="00A31A8E" w:rsidRPr="00A31A8E">
        <w:rPr>
          <w:lang w:eastAsia="en-GB"/>
        </w:rPr>
        <w:t xml:space="preserve"> social, racial/ethnic, and ancestral populations living in a variety of geographies, social environments, economic </w:t>
      </w:r>
      <w:r w:rsidR="00C574D6">
        <w:rPr>
          <w:lang w:eastAsia="en-GB"/>
        </w:rPr>
        <w:t xml:space="preserve">circumstances, </w:t>
      </w:r>
      <w:r w:rsidR="00A31A8E" w:rsidRPr="00A31A8E">
        <w:rPr>
          <w:lang w:eastAsia="en-GB"/>
        </w:rPr>
        <w:t>age groups and health statuses</w:t>
      </w:r>
      <w:r w:rsidR="0084020B">
        <w:rPr>
          <w:lang w:eastAsia="en-GB"/>
        </w:rPr>
        <w:t>.</w:t>
      </w:r>
      <w:r w:rsidR="00B545BC" w:rsidRPr="00A31A8E">
        <w:rPr>
          <w:lang w:eastAsia="en-GB"/>
        </w:rPr>
        <w:fldChar w:fldCharType="begin" w:fldLock="1"/>
      </w:r>
      <w:r w:rsidR="00B719B4">
        <w:rPr>
          <w:lang w:eastAsia="en-GB"/>
        </w:rPr>
        <w:instrText>ADDIN CSL_CITATION { "citationItems" : [ { "id" : "ITEM-1", "itemData" : { "URL" : "https://www.nih.gov/precision-medicine-initiative-cohort-program", "accessed" : { "date-parts" : [ [ "2016", "9", "23" ] ] }, "author" : [ { "dropping-particle" : "", "family" : "NIH", "given" : "", "non-dropping-particle" : "", "parse-names" : false, "suffix" : "" } ], "id" : "ITEM-1", "issued" : { "date-parts" : [ [ "2016" ] ] }, "title" : "Precision Medicine Initiative Cohort Program", "type" : "webpage" }, "uris" : [ "http://www.mendeley.com/documents/?uuid=84c8c179-50c1-4479-8235-e9885abcf94c" ] } ], "mendeley" : { "formattedCitation" : "&lt;sup&gt;5&lt;/sup&gt;", "plainTextFormattedCitation" : "5", "previouslyFormattedCitation" : "&lt;sup&gt;5&lt;/sup&gt;" }, "properties" : { "noteIndex" : 0 }, "schema" : "https://github.com/citation-style-language/schema/raw/master/csl-citation.json" }</w:instrText>
      </w:r>
      <w:r w:rsidR="00B545BC" w:rsidRPr="00A31A8E">
        <w:rPr>
          <w:lang w:eastAsia="en-GB"/>
        </w:rPr>
        <w:fldChar w:fldCharType="separate"/>
      </w:r>
      <w:r w:rsidR="009427AF" w:rsidRPr="009427AF">
        <w:rPr>
          <w:noProof/>
          <w:vertAlign w:val="superscript"/>
          <w:lang w:eastAsia="en-GB"/>
        </w:rPr>
        <w:t>5</w:t>
      </w:r>
      <w:r w:rsidR="00B545BC" w:rsidRPr="00A31A8E">
        <w:rPr>
          <w:lang w:eastAsia="en-GB"/>
        </w:rPr>
        <w:fldChar w:fldCharType="end"/>
      </w:r>
      <w:r w:rsidR="004B79EA">
        <w:rPr>
          <w:lang w:eastAsia="en-GB"/>
        </w:rPr>
        <w:t xml:space="preserve"> </w:t>
      </w:r>
    </w:p>
    <w:p w:rsidR="001E7ED6" w:rsidRDefault="00D67169" w:rsidP="00F40CE5">
      <w:pPr>
        <w:pStyle w:val="LRiGnormal"/>
        <w:spacing w:line="480" w:lineRule="auto"/>
        <w:rPr>
          <w:lang w:eastAsia="en-GB"/>
        </w:rPr>
      </w:pPr>
      <w:r>
        <w:rPr>
          <w:lang w:eastAsia="en-GB"/>
        </w:rPr>
        <w:t xml:space="preserve">Several barriers exist in the delivery of PM, as described in </w:t>
      </w:r>
      <w:r w:rsidR="00B545BC">
        <w:rPr>
          <w:lang w:eastAsia="en-GB"/>
        </w:rPr>
        <w:fldChar w:fldCharType="begin"/>
      </w:r>
      <w:r>
        <w:rPr>
          <w:lang w:eastAsia="en-GB"/>
        </w:rPr>
        <w:instrText xml:space="preserve"> REF _Ref464139971 \h </w:instrText>
      </w:r>
      <w:r w:rsidR="00F40CE5">
        <w:rPr>
          <w:lang w:eastAsia="en-GB"/>
        </w:rPr>
        <w:instrText xml:space="preserve"> \* MERGEFORMAT </w:instrText>
      </w:r>
      <w:r w:rsidR="00B545BC">
        <w:rPr>
          <w:lang w:eastAsia="en-GB"/>
        </w:rPr>
      </w:r>
      <w:r w:rsidR="00B545BC">
        <w:rPr>
          <w:lang w:eastAsia="en-GB"/>
        </w:rPr>
        <w:fldChar w:fldCharType="separate"/>
      </w:r>
      <w:r>
        <w:t xml:space="preserve">Figure </w:t>
      </w:r>
      <w:r>
        <w:rPr>
          <w:noProof/>
        </w:rPr>
        <w:t>1</w:t>
      </w:r>
      <w:r w:rsidR="00B545BC">
        <w:rPr>
          <w:lang w:eastAsia="en-GB"/>
        </w:rPr>
        <w:fldChar w:fldCharType="end"/>
      </w:r>
      <w:r>
        <w:rPr>
          <w:lang w:eastAsia="en-GB"/>
        </w:rPr>
        <w:t xml:space="preserve">. </w:t>
      </w:r>
      <w:r w:rsidR="0051243C">
        <w:rPr>
          <w:lang w:eastAsia="en-GB"/>
        </w:rPr>
        <w:t>B</w:t>
      </w:r>
      <w:r w:rsidR="00A00C31">
        <w:rPr>
          <w:lang w:eastAsia="en-GB"/>
        </w:rPr>
        <w:t xml:space="preserve">arriers </w:t>
      </w:r>
      <w:r w:rsidR="0051243C">
        <w:rPr>
          <w:lang w:eastAsia="en-GB"/>
        </w:rPr>
        <w:t xml:space="preserve">to seeing a provider </w:t>
      </w:r>
      <w:r w:rsidR="00A21F75">
        <w:rPr>
          <w:lang w:eastAsia="en-GB"/>
        </w:rPr>
        <w:t>may occur</w:t>
      </w:r>
      <w:r w:rsidR="00A00C31">
        <w:rPr>
          <w:lang w:eastAsia="en-GB"/>
        </w:rPr>
        <w:t xml:space="preserve"> due to differential awareness of personal risk, </w:t>
      </w:r>
      <w:r w:rsidR="00A52830">
        <w:rPr>
          <w:lang w:eastAsia="en-GB"/>
        </w:rPr>
        <w:t>inability to attend appointment</w:t>
      </w:r>
      <w:r w:rsidR="00397921">
        <w:rPr>
          <w:lang w:eastAsia="en-GB"/>
        </w:rPr>
        <w:t>s</w:t>
      </w:r>
      <w:r w:rsidR="00A52830">
        <w:rPr>
          <w:lang w:eastAsia="en-GB"/>
        </w:rPr>
        <w:t xml:space="preserve"> due to </w:t>
      </w:r>
      <w:r w:rsidR="00A00C31">
        <w:rPr>
          <w:lang w:eastAsia="en-GB"/>
        </w:rPr>
        <w:t>time const</w:t>
      </w:r>
      <w:r w:rsidR="00A52830">
        <w:rPr>
          <w:lang w:eastAsia="en-GB"/>
        </w:rPr>
        <w:t>raints</w:t>
      </w:r>
      <w:r w:rsidR="00326BA1">
        <w:rPr>
          <w:lang w:eastAsia="en-GB"/>
        </w:rPr>
        <w:t>,</w:t>
      </w:r>
      <w:r w:rsidR="00A00C31">
        <w:rPr>
          <w:lang w:eastAsia="en-GB"/>
        </w:rPr>
        <w:t xml:space="preserve"> sociodemographic factors</w:t>
      </w:r>
      <w:r w:rsidR="00326BA1">
        <w:rPr>
          <w:lang w:eastAsia="en-GB"/>
        </w:rPr>
        <w:t xml:space="preserve"> and psychosocial facto</w:t>
      </w:r>
      <w:r w:rsidR="00DF0385">
        <w:rPr>
          <w:lang w:eastAsia="en-GB"/>
        </w:rPr>
        <w:t>r</w:t>
      </w:r>
      <w:r w:rsidR="00326BA1">
        <w:rPr>
          <w:lang w:eastAsia="en-GB"/>
        </w:rPr>
        <w:t>s</w:t>
      </w:r>
      <w:r w:rsidR="00A00C31">
        <w:rPr>
          <w:lang w:eastAsia="en-GB"/>
        </w:rPr>
        <w:t>.</w:t>
      </w:r>
      <w:r w:rsidR="00200EB2">
        <w:rPr>
          <w:lang w:eastAsia="en-GB"/>
        </w:rPr>
        <w:fldChar w:fldCharType="begin" w:fldLock="1"/>
      </w:r>
      <w:r w:rsidR="00B719B4">
        <w:rPr>
          <w:lang w:eastAsia="en-GB"/>
        </w:rPr>
        <w:instrText>ADDIN CSL_CITATION { "citationItems" : [ { "id" : "ITEM-1", "itemData" : { "DOI" : "10.1007/s10897-014-9712-9", "ISBN" : "1089701497", "ISSN" : "15733599", "PMID" : "24719248", "abstract" : "Genetic testing is increasingly available in medical settings and direct-to-consumer. However, the large and growing literature on genetic testing decisions is rife with conflicting findings, inconsistent methodology, and uneven attention across test types and across predictors of genetic testing decisions. Existing reviews of the literature draw broad conclusions but sacrifice nuanced analysis that with a closer look reveals far more inconsistency than homogeny across studies. The goals of this paper are to provide a systematic review of the empirical work on predictors of genetic testing decisions, highlight areas of consistency and inconsistency, and suggest productive directions for future research. We included all studies that provided quantitative analysis of subjective (e.g., perceived risk, perceived benefits of testing) and/or objective (e.g., family history, sociodemographic variables) predictors of genetic testing interest, intentions, or uptake, which produced a sample of 115 studies. From this review, we conclude that self-reported and test-related (as opposed to disorder-related or objective) predictors are relatively consistent across studies but that theoretically-driven efforts to examine testing interest across test types are sorely needed.", "author" : [ { "dropping-particle" : "", "family" : "Sweeny", "given" : "Kate", "non-dropping-particle" : "", "parse-names" : false, "suffix" : "" }, { "dropping-particle" : "", "family" : "Ghane", "given" : "Arezou", "non-dropping-particle" : "", "parse-names" : false, "suffix" : "" }, { "dropping-particle" : "", "family" : "Legg", "given" : "Angela M.", "non-dropping-particle" : "", "parse-names" : false, "suffix" : "" }, { "dropping-particle" : "", "family" : "Huynh", "given" : "Ho Phi", "non-dropping-particle" : "", "parse-names" : false, "suffix" : "" }, { "dropping-particle" : "", "family" : "Andrews", "given" : "Sara E.", "non-dropping-particle" : "", "parse-names" : false, "suffix" : "" } ], "container-title" : "Journal of Genetic Counseling", "id" : "ITEM-1", "issue" : "3", "issued" : { "date-parts" : [ [ "2014" ] ] }, "page" : "263-288", "title" : "Predictors of genetic testing decisions: A systematic review and critique of the literature", "type" : "article-journal", "volume" : "23" }, "uris" : [ "http://www.mendeley.com/documents/?uuid=ad4cc267-f4ee-487e-aa99-9dd0f47287a4" ] } ], "mendeley" : { "formattedCitation" : "&lt;sup&gt;6&lt;/sup&gt;", "plainTextFormattedCitation" : "6", "previouslyFormattedCitation" : "&lt;sup&gt;6&lt;/sup&gt;" }, "properties" : { "noteIndex" : 0 }, "schema" : "https://github.com/citation-style-language/schema/raw/master/csl-citation.json" }</w:instrText>
      </w:r>
      <w:r w:rsidR="00200EB2">
        <w:rPr>
          <w:lang w:eastAsia="en-GB"/>
        </w:rPr>
        <w:fldChar w:fldCharType="separate"/>
      </w:r>
      <w:r w:rsidR="009427AF" w:rsidRPr="009427AF">
        <w:rPr>
          <w:noProof/>
          <w:vertAlign w:val="superscript"/>
          <w:lang w:eastAsia="en-GB"/>
        </w:rPr>
        <w:t>6</w:t>
      </w:r>
      <w:r w:rsidR="00200EB2">
        <w:rPr>
          <w:lang w:eastAsia="en-GB"/>
        </w:rPr>
        <w:fldChar w:fldCharType="end"/>
      </w:r>
      <w:r w:rsidR="00A00C31">
        <w:rPr>
          <w:lang w:eastAsia="en-GB"/>
        </w:rPr>
        <w:t xml:space="preserve"> </w:t>
      </w:r>
      <w:r w:rsidR="005E4860">
        <w:rPr>
          <w:lang w:eastAsia="en-GB"/>
        </w:rPr>
        <w:t>Sociodemographic factors include education level, socioeconomic status, marital status, age, sex</w:t>
      </w:r>
      <w:r w:rsidR="00A26958">
        <w:rPr>
          <w:lang w:eastAsia="en-GB"/>
        </w:rPr>
        <w:t>,</w:t>
      </w:r>
      <w:r w:rsidR="005E4860">
        <w:rPr>
          <w:lang w:eastAsia="en-GB"/>
        </w:rPr>
        <w:t xml:space="preserve"> ethnicity and parenthood. Psychosocial factors include interest in PM, disease-specific stress, perceived risk, knowledge, perceived benefits, perceived limitations, anxiety, d</w:t>
      </w:r>
      <w:r w:rsidR="00414488">
        <w:rPr>
          <w:lang w:eastAsia="en-GB"/>
        </w:rPr>
        <w:t>epression and general distress</w:t>
      </w:r>
      <w:r w:rsidR="0084020B">
        <w:rPr>
          <w:lang w:eastAsia="en-GB"/>
        </w:rPr>
        <w:t>.</w:t>
      </w:r>
      <w:r w:rsidR="00F45FD4">
        <w:rPr>
          <w:lang w:eastAsia="en-GB"/>
        </w:rPr>
        <w:t xml:space="preserve"> </w:t>
      </w:r>
      <w:r w:rsidR="0051243C">
        <w:rPr>
          <w:lang w:eastAsia="en-GB"/>
        </w:rPr>
        <w:t>Additional barriers include a</w:t>
      </w:r>
      <w:r w:rsidR="00A52830">
        <w:rPr>
          <w:lang w:eastAsia="en-GB"/>
        </w:rPr>
        <w:t>ccessibility</w:t>
      </w:r>
      <w:r w:rsidR="00BD14DF">
        <w:rPr>
          <w:lang w:eastAsia="en-GB"/>
        </w:rPr>
        <w:t xml:space="preserve"> to providers with appropriate expertise and </w:t>
      </w:r>
      <w:r w:rsidR="005E4860">
        <w:rPr>
          <w:lang w:eastAsia="en-GB"/>
        </w:rPr>
        <w:t xml:space="preserve">available </w:t>
      </w:r>
      <w:r w:rsidR="00BD14DF">
        <w:rPr>
          <w:lang w:eastAsia="en-GB"/>
        </w:rPr>
        <w:t>resources</w:t>
      </w:r>
      <w:r w:rsidR="0084020B">
        <w:rPr>
          <w:lang w:eastAsia="en-GB"/>
        </w:rPr>
        <w:t>.</w:t>
      </w:r>
      <w:r w:rsidR="00200EB2">
        <w:rPr>
          <w:lang w:eastAsia="en-GB"/>
        </w:rPr>
        <w:fldChar w:fldCharType="begin" w:fldLock="1"/>
      </w:r>
      <w:r w:rsidR="00B719B4">
        <w:rPr>
          <w:lang w:eastAsia="en-GB"/>
        </w:rPr>
        <w:instrText>ADDIN CSL_CITATION { "citationItems" : [ { "id" : "ITEM-1", "itemData" : { "DOI" : "10.1007/s10897-014-9712-9", "ISBN" : "1089701497", "ISSN" : "15733599", "PMID" : "24719248", "abstract" : "Genetic testing is increasingly available in medical settings and direct-to-consumer. However, the large and growing literature on genetic testing decisions is rife with conflicting findings, inconsistent methodology, and uneven attention across test types and across predictors of genetic testing decisions. Existing reviews of the literature draw broad conclusions but sacrifice nuanced analysis that with a closer look reveals far more inconsistency than homogeny across studies. The goals of this paper are to provide a systematic review of the empirical work on predictors of genetic testing decisions, highlight areas of consistency and inconsistency, and suggest productive directions for future research. We included all studies that provided quantitative analysis of subjective (e.g., perceived risk, perceived benefits of testing) and/or objective (e.g., family history, sociodemographic variables) predictors of genetic testing interest, intentions, or uptake, which produced a sample of 115 studies. From this review, we conclude that self-reported and test-related (as opposed to disorder-related or objective) predictors are relatively consistent across studies but that theoretically-driven efforts to examine testing interest across test types are sorely needed.", "author" : [ { "dropping-particle" : "", "family" : "Sweeny", "given" : "Kate", "non-dropping-particle" : "", "parse-names" : false, "suffix" : "" }, { "dropping-particle" : "", "family" : "Ghane", "given" : "Arezou", "non-dropping-particle" : "", "parse-names" : false, "suffix" : "" }, { "dropping-particle" : "", "family" : "Legg", "given" : "Angela M.", "non-dropping-particle" : "", "parse-names" : false, "suffix" : "" }, { "dropping-particle" : "", "family" : "Huynh", "given" : "Ho Phi", "non-dropping-particle" : "", "parse-names" : false, "suffix" : "" }, { "dropping-particle" : "", "family" : "Andrews", "given" : "Sara E.", "non-dropping-particle" : "", "parse-names" : false, "suffix" : "" } ], "container-title" : "Journal of Genetic Counseling", "id" : "ITEM-1", "issue" : "3", "issued" : { "date-parts" : [ [ "2014" ] ] }, "page" : "263-288", "title" : "Predictors of genetic testing decisions: A systematic review and critique of the literature", "type" : "article-journal", "volume" : "23" }, "uris" : [ "http://www.mendeley.com/documents/?uuid=ad4cc267-f4ee-487e-aa99-9dd0f47287a4" ] } ], "mendeley" : { "formattedCitation" : "&lt;sup&gt;6&lt;/sup&gt;", "plainTextFormattedCitation" : "6", "previouslyFormattedCitation" : "&lt;sup&gt;6&lt;/sup&gt;" }, "properties" : { "noteIndex" : 0 }, "schema" : "https://github.com/citation-style-language/schema/raw/master/csl-citation.json" }</w:instrText>
      </w:r>
      <w:r w:rsidR="00200EB2">
        <w:rPr>
          <w:lang w:eastAsia="en-GB"/>
        </w:rPr>
        <w:fldChar w:fldCharType="separate"/>
      </w:r>
      <w:r w:rsidR="009427AF" w:rsidRPr="009427AF">
        <w:rPr>
          <w:noProof/>
          <w:vertAlign w:val="superscript"/>
          <w:lang w:eastAsia="en-GB"/>
        </w:rPr>
        <w:t>6</w:t>
      </w:r>
      <w:r w:rsidR="00200EB2">
        <w:rPr>
          <w:lang w:eastAsia="en-GB"/>
        </w:rPr>
        <w:fldChar w:fldCharType="end"/>
      </w:r>
      <w:r w:rsidR="005E4860">
        <w:rPr>
          <w:lang w:eastAsia="en-GB"/>
        </w:rPr>
        <w:t xml:space="preserve"> </w:t>
      </w:r>
    </w:p>
    <w:p w:rsidR="006B54A5" w:rsidRDefault="00605A71" w:rsidP="00F40CE5">
      <w:pPr>
        <w:pStyle w:val="LRiGnormal"/>
        <w:spacing w:line="480" w:lineRule="auto"/>
        <w:rPr>
          <w:lang w:eastAsia="en-GB"/>
        </w:rPr>
      </w:pPr>
      <w:r w:rsidRPr="00D14F04">
        <w:rPr>
          <w:lang w:eastAsia="en-GB"/>
        </w:rPr>
        <w:t xml:space="preserve">The remit of this review </w:t>
      </w:r>
      <w:r w:rsidR="00D31D14">
        <w:rPr>
          <w:lang w:eastAsia="en-GB"/>
        </w:rPr>
        <w:t>was</w:t>
      </w:r>
      <w:r w:rsidR="00D31D14" w:rsidRPr="00D14F04">
        <w:rPr>
          <w:lang w:eastAsia="en-GB"/>
        </w:rPr>
        <w:t xml:space="preserve"> </w:t>
      </w:r>
      <w:r w:rsidRPr="00D14F04">
        <w:rPr>
          <w:lang w:eastAsia="en-GB"/>
        </w:rPr>
        <w:t xml:space="preserve">to </w:t>
      </w:r>
      <w:r w:rsidR="000A05FF">
        <w:rPr>
          <w:lang w:eastAsia="en-GB"/>
        </w:rPr>
        <w:t xml:space="preserve">systematically review </w:t>
      </w:r>
      <w:r w:rsidR="000A05FF" w:rsidRPr="001E7ED6">
        <w:rPr>
          <w:lang w:eastAsia="en-GB"/>
        </w:rPr>
        <w:t>published</w:t>
      </w:r>
      <w:r w:rsidR="000A6ED6" w:rsidRPr="001E7ED6">
        <w:rPr>
          <w:lang w:eastAsia="en-GB"/>
        </w:rPr>
        <w:t xml:space="preserve"> evidence </w:t>
      </w:r>
      <w:r w:rsidR="00591D90" w:rsidRPr="001E7ED6">
        <w:rPr>
          <w:lang w:eastAsia="en-GB"/>
        </w:rPr>
        <w:t xml:space="preserve">which </w:t>
      </w:r>
      <w:r w:rsidR="000A6ED6" w:rsidRPr="001E7ED6">
        <w:rPr>
          <w:lang w:eastAsia="en-GB"/>
        </w:rPr>
        <w:t>c</w:t>
      </w:r>
      <w:r w:rsidR="001E7ED6" w:rsidRPr="001E7ED6">
        <w:rPr>
          <w:lang w:eastAsia="en-GB"/>
        </w:rPr>
        <w:t>onsiders</w:t>
      </w:r>
      <w:r w:rsidR="000A6ED6" w:rsidRPr="001E7ED6">
        <w:rPr>
          <w:lang w:eastAsia="en-GB"/>
        </w:rPr>
        <w:t xml:space="preserve"> </w:t>
      </w:r>
      <w:r w:rsidR="00BE164A">
        <w:rPr>
          <w:lang w:eastAsia="en-GB"/>
        </w:rPr>
        <w:t>whether</w:t>
      </w:r>
      <w:r w:rsidR="000A6ED6" w:rsidRPr="001E7ED6">
        <w:rPr>
          <w:lang w:eastAsia="en-GB"/>
        </w:rPr>
        <w:t xml:space="preserve"> </w:t>
      </w:r>
      <w:r w:rsidR="001E7ED6" w:rsidRPr="001E7ED6">
        <w:rPr>
          <w:lang w:eastAsia="en-GB"/>
        </w:rPr>
        <w:t>PM</w:t>
      </w:r>
      <w:r w:rsidR="000A6ED6" w:rsidRPr="001E7ED6">
        <w:rPr>
          <w:lang w:eastAsia="en-GB"/>
        </w:rPr>
        <w:t xml:space="preserve"> intervention</w:t>
      </w:r>
      <w:r w:rsidR="001E7ED6" w:rsidRPr="001E7ED6">
        <w:rPr>
          <w:lang w:eastAsia="en-GB"/>
        </w:rPr>
        <w:t>s</w:t>
      </w:r>
      <w:r w:rsidR="000A6ED6" w:rsidRPr="001E7ED6">
        <w:rPr>
          <w:lang w:eastAsia="en-GB"/>
        </w:rPr>
        <w:t xml:space="preserve"> </w:t>
      </w:r>
      <w:r w:rsidR="00BE164A">
        <w:rPr>
          <w:lang w:eastAsia="en-GB"/>
        </w:rPr>
        <w:t>ei</w:t>
      </w:r>
      <w:r w:rsidR="006D05E3">
        <w:rPr>
          <w:lang w:eastAsia="en-GB"/>
        </w:rPr>
        <w:t>ther widen or reduce</w:t>
      </w:r>
      <w:r w:rsidR="001E7ED6" w:rsidRPr="001E7ED6">
        <w:rPr>
          <w:lang w:eastAsia="en-GB"/>
        </w:rPr>
        <w:t xml:space="preserve"> </w:t>
      </w:r>
      <w:r w:rsidRPr="001E7ED6">
        <w:rPr>
          <w:lang w:eastAsia="en-GB"/>
        </w:rPr>
        <w:t>health disparities</w:t>
      </w:r>
      <w:r w:rsidR="0084020B">
        <w:rPr>
          <w:lang w:eastAsia="en-GB"/>
        </w:rPr>
        <w:t>.</w:t>
      </w:r>
      <w:r w:rsidR="00B545BC" w:rsidRPr="001E7ED6">
        <w:rPr>
          <w:lang w:eastAsia="en-GB"/>
        </w:rPr>
        <w:fldChar w:fldCharType="begin" w:fldLock="1"/>
      </w:r>
      <w:r w:rsidR="00B719B4">
        <w:rPr>
          <w:lang w:eastAsia="en-GB"/>
        </w:rPr>
        <w:instrText>ADDIN CSL_CITATION { "citationItems" : [ { "id" : "ITEM-1", "itemData" : { "DOI" : "10.1186/2046-4053-2-43", "ISBN" : "2046-4053 (Electronic)\\r2046-4053 (Linking)", "ISSN" : "2046-4053", "PMID" : "23799964", "abstract" : "BACKGROUND: At the Rio Summit in 2011 on Social Determinants of Health, the global community recognized a pressing need to take action on reducing health inequities. This requires an improved evidence base on the effects of national and international policies on health inequities. Although systematic reviews are recognized as an important source for evidence-informed policy, they have been criticized for failing to assess effects on health equity.\\n\\nMETHODS: This article summarizes guidance on both conducting systematic reviews with a focus on health equity and on methods to translate their findings to different audiences. This guidance was developed based on a series of methodology meetings, previous guidance, a recently developed reporting guideline for equity-focused systematic reviews (PRISMA-Equity 2012) and a systematic review of methods to assess health equity in systematic reviews.\\n\\nRESULTS: We make ten recommendations for conducting equity-focused systematic reviews; and five considerations for knowledge translation. Illustrative examples of equity-focused reviews are provided where these methods have been used.\\n\\nCONCLUSIONS: Implementation of the recommendations in this article is one step toward monitoring the impact of national and international policies and programs on health equity, as recommended by the 2011 World Conference on Social Determinants of Health.", "author" : [ { "dropping-particle" : "", "family" : "Welch", "given" : "Vivian a", "non-dropping-particle" : "", "parse-names" : false, "suffix" : "" }, { "dropping-particle" : "", "family" : "Petticrew", "given" : "Mark", "non-dropping-particle" : "", "parse-names" : false, "suffix" : "" }, { "dropping-particle" : "", "family" : "O'Neill", "given" : "Jennifer", "non-dropping-particle" : "", "parse-names" : false, "suffix" : "" }, { "dropping-particle" : "", "family" : "Waters", "given" : "Elizabeth", "non-dropping-particle" : "", "parse-names" : false, "suffix" : "" }, { "dropping-particle" : "", "family" : "Armstrong", "given" : "Rebecca", "non-dropping-particle" : "", "parse-names" : false, "suffix" : "" }, { "dropping-particle" : "", "family" : "Bhutta", "given" : "Zulfiqar A", "non-dropping-particle" : "", "parse-names" : false, "suffix" : "" }, { "dropping-particle" : "", "family" : "Francis", "given" : "Damian", "non-dropping-particle" : "", "parse-names" : false, "suffix" : "" }, { "dropping-particle" : "", "family" : "Koehlmoos", "given" : "Tracey Perez", "non-dropping-particle" : "", "parse-names" : false, "suffix" : "" }, { "dropping-particle" : "", "family" : "Kristjansson", "given" : "Elizabeth", "non-dropping-particle" : "", "parse-names" : false, "suffix" : "" }, { "dropping-particle" : "", "family" : "Pantoja", "given" : "Tomas", "non-dropping-particle" : "", "parse-names" : false, "suffix" : "" }, { "dropping-particle" : "", "family" : "Tugwell", "given" : "Peter", "non-dropping-particle" : "", "parse-names" : false, "suffix" : "" } ], "container-title" : "Systematic reviews", "id" : "ITEM-1", "issue" : "1", "issued" : { "date-parts" : [ [ "2013" ] ] }, "page" : "43", "publisher" : "Systematic Reviews", "title" : "Health equity: evidence synthesis and knowledge translation methods.", "type" : "article-journal", "volume" : "2" }, "uris" : [ "http://www.mendeley.com/documents/?uuid=b5ea1c6a-5744-4ba6-972d-1b3de4527a8f" ] } ], "mendeley" : { "formattedCitation" : "&lt;sup&gt;7&lt;/sup&gt;", "plainTextFormattedCitation" : "7", "previouslyFormattedCitation" : "&lt;sup&gt;7&lt;/sup&gt;" }, "properties" : { "noteIndex" : 0 }, "schema" : "https://github.com/citation-style-language/schema/raw/master/csl-citation.json" }</w:instrText>
      </w:r>
      <w:r w:rsidR="00B545BC" w:rsidRPr="001E7ED6">
        <w:rPr>
          <w:lang w:eastAsia="en-GB"/>
        </w:rPr>
        <w:fldChar w:fldCharType="separate"/>
      </w:r>
      <w:r w:rsidR="009427AF" w:rsidRPr="009427AF">
        <w:rPr>
          <w:noProof/>
          <w:vertAlign w:val="superscript"/>
          <w:lang w:eastAsia="en-GB"/>
        </w:rPr>
        <w:t>7</w:t>
      </w:r>
      <w:r w:rsidR="00B545BC" w:rsidRPr="001E7ED6">
        <w:rPr>
          <w:lang w:eastAsia="en-GB"/>
        </w:rPr>
        <w:fldChar w:fldCharType="end"/>
      </w:r>
      <w:r w:rsidR="00D31D14">
        <w:rPr>
          <w:lang w:eastAsia="en-GB"/>
        </w:rPr>
        <w:t xml:space="preserve"> Given that PM as an overall area is relatively </w:t>
      </w:r>
      <w:r w:rsidR="00DD3930">
        <w:rPr>
          <w:lang w:eastAsia="en-GB"/>
        </w:rPr>
        <w:t>broad</w:t>
      </w:r>
      <w:r w:rsidR="00D31D14">
        <w:rPr>
          <w:lang w:eastAsia="en-GB"/>
        </w:rPr>
        <w:t xml:space="preserve">, we have focused </w:t>
      </w:r>
      <w:r w:rsidR="00FA2ED2">
        <w:rPr>
          <w:lang w:eastAsia="en-GB"/>
        </w:rPr>
        <w:t xml:space="preserve">the scope of the review </w:t>
      </w:r>
      <w:r w:rsidR="00D31D14">
        <w:rPr>
          <w:lang w:eastAsia="en-GB"/>
        </w:rPr>
        <w:t xml:space="preserve">on pharmacogenomics. </w:t>
      </w:r>
      <w:r w:rsidR="006D05E3">
        <w:rPr>
          <w:lang w:eastAsia="en-GB"/>
        </w:rPr>
        <w:t>Specifically, o</w:t>
      </w:r>
      <w:r w:rsidR="009A72C3">
        <w:rPr>
          <w:lang w:eastAsia="en-GB"/>
        </w:rPr>
        <w:t>ur</w:t>
      </w:r>
      <w:r w:rsidR="00754E0E">
        <w:rPr>
          <w:lang w:eastAsia="en-GB"/>
        </w:rPr>
        <w:t xml:space="preserve"> research question examines</w:t>
      </w:r>
      <w:r w:rsidR="005A1B0E">
        <w:rPr>
          <w:lang w:eastAsia="en-GB"/>
        </w:rPr>
        <w:t xml:space="preserve"> barriers in effectiveness </w:t>
      </w:r>
      <w:r w:rsidR="00D31D14">
        <w:rPr>
          <w:lang w:eastAsia="en-GB"/>
        </w:rPr>
        <w:t>of pharmacogenomics</w:t>
      </w:r>
      <w:r w:rsidR="00754E0E">
        <w:rPr>
          <w:lang w:eastAsia="en-GB"/>
        </w:rPr>
        <w:t xml:space="preserve"> related to </w:t>
      </w:r>
      <w:r w:rsidR="005C041F">
        <w:rPr>
          <w:lang w:eastAsia="en-GB"/>
        </w:rPr>
        <w:t>‘</w:t>
      </w:r>
      <w:r w:rsidR="00754E0E">
        <w:rPr>
          <w:lang w:eastAsia="en-GB"/>
        </w:rPr>
        <w:t>model performance</w:t>
      </w:r>
      <w:r w:rsidR="005C041F">
        <w:rPr>
          <w:lang w:eastAsia="en-GB"/>
        </w:rPr>
        <w:t>’</w:t>
      </w:r>
      <w:r w:rsidR="009A72C3">
        <w:rPr>
          <w:lang w:eastAsia="en-GB"/>
        </w:rPr>
        <w:t xml:space="preserve"> </w:t>
      </w:r>
      <w:r w:rsidR="00754E0E">
        <w:rPr>
          <w:lang w:eastAsia="en-GB"/>
        </w:rPr>
        <w:t xml:space="preserve">in </w:t>
      </w:r>
      <w:r w:rsidR="00CB7E77">
        <w:rPr>
          <w:lang w:eastAsia="en-GB"/>
        </w:rPr>
        <w:t>sub</w:t>
      </w:r>
      <w:r w:rsidR="00754E0E">
        <w:rPr>
          <w:lang w:eastAsia="en-GB"/>
        </w:rPr>
        <w:t>groups of patients</w:t>
      </w:r>
      <w:r w:rsidR="009A72C3">
        <w:rPr>
          <w:lang w:eastAsia="en-GB"/>
        </w:rPr>
        <w:t xml:space="preserve">. </w:t>
      </w:r>
      <w:r w:rsidR="00E52056">
        <w:rPr>
          <w:lang w:eastAsia="en-GB"/>
        </w:rPr>
        <w:t>‘Model performance’ refers to the ability of algorithms including clinical, environmental and genetic information to guide treatment.</w:t>
      </w:r>
      <w:r w:rsidR="00427017">
        <w:rPr>
          <w:lang w:eastAsia="en-GB"/>
        </w:rPr>
        <w:t xml:space="preserve"> O</w:t>
      </w:r>
      <w:r w:rsidR="00CB7E77">
        <w:rPr>
          <w:lang w:eastAsia="en-GB"/>
        </w:rPr>
        <w:t>ur review</w:t>
      </w:r>
      <w:r w:rsidR="003E58B8">
        <w:rPr>
          <w:lang w:eastAsia="en-GB"/>
        </w:rPr>
        <w:t xml:space="preserve"> </w:t>
      </w:r>
      <w:r w:rsidR="00427017">
        <w:rPr>
          <w:lang w:eastAsia="en-GB"/>
        </w:rPr>
        <w:t xml:space="preserve">also </w:t>
      </w:r>
      <w:r w:rsidR="003E58B8">
        <w:rPr>
          <w:lang w:eastAsia="en-GB"/>
        </w:rPr>
        <w:t>a</w:t>
      </w:r>
      <w:r w:rsidR="00CB7E77">
        <w:rPr>
          <w:lang w:eastAsia="en-GB"/>
        </w:rPr>
        <w:t>ims</w:t>
      </w:r>
      <w:r w:rsidR="003E58B8">
        <w:rPr>
          <w:lang w:eastAsia="en-GB"/>
        </w:rPr>
        <w:t xml:space="preserve"> to identify studies which assessed the </w:t>
      </w:r>
      <w:r w:rsidR="00CB7E77">
        <w:rPr>
          <w:lang w:eastAsia="en-GB"/>
        </w:rPr>
        <w:t>‘</w:t>
      </w:r>
      <w:r w:rsidR="003E58B8">
        <w:rPr>
          <w:lang w:eastAsia="en-GB"/>
        </w:rPr>
        <w:t>e</w:t>
      </w:r>
      <w:r w:rsidR="009A72C3">
        <w:rPr>
          <w:lang w:eastAsia="en-GB"/>
        </w:rPr>
        <w:t xml:space="preserve">ffectiveness of </w:t>
      </w:r>
      <w:r w:rsidR="00D31D14">
        <w:rPr>
          <w:lang w:eastAsia="en-GB"/>
        </w:rPr>
        <w:t xml:space="preserve">pharmacogenomic </w:t>
      </w:r>
      <w:r w:rsidR="003E58B8">
        <w:rPr>
          <w:lang w:eastAsia="en-GB"/>
        </w:rPr>
        <w:t>intervention</w:t>
      </w:r>
      <w:r w:rsidR="00CB7E77">
        <w:rPr>
          <w:lang w:eastAsia="en-GB"/>
        </w:rPr>
        <w:t xml:space="preserve">s’ in subgroups of patients and reported impact on </w:t>
      </w:r>
      <w:r w:rsidR="0040495C">
        <w:rPr>
          <w:lang w:eastAsia="en-GB"/>
        </w:rPr>
        <w:t xml:space="preserve">disparities in </w:t>
      </w:r>
      <w:r w:rsidR="003F327A">
        <w:rPr>
          <w:lang w:eastAsia="en-GB"/>
        </w:rPr>
        <w:t>health</w:t>
      </w:r>
      <w:r w:rsidR="001208ED">
        <w:rPr>
          <w:lang w:eastAsia="en-GB"/>
        </w:rPr>
        <w:t xml:space="preserve"> </w:t>
      </w:r>
      <w:r w:rsidR="0040495C">
        <w:rPr>
          <w:lang w:eastAsia="en-GB"/>
        </w:rPr>
        <w:t>care</w:t>
      </w:r>
      <w:r w:rsidR="00CB7E77">
        <w:rPr>
          <w:lang w:eastAsia="en-GB"/>
        </w:rPr>
        <w:t xml:space="preserve">. </w:t>
      </w:r>
      <w:r w:rsidR="00F8460C">
        <w:rPr>
          <w:lang w:eastAsia="en-GB"/>
        </w:rPr>
        <w:t xml:space="preserve">These two factors are highlighted in </w:t>
      </w:r>
      <w:r w:rsidR="00B545BC">
        <w:rPr>
          <w:lang w:eastAsia="en-GB"/>
        </w:rPr>
        <w:fldChar w:fldCharType="begin"/>
      </w:r>
      <w:r w:rsidR="00F8460C">
        <w:rPr>
          <w:lang w:eastAsia="en-GB"/>
        </w:rPr>
        <w:instrText xml:space="preserve"> REF _Ref464139971 \h </w:instrText>
      </w:r>
      <w:r w:rsidR="00F40CE5">
        <w:rPr>
          <w:lang w:eastAsia="en-GB"/>
        </w:rPr>
        <w:instrText xml:space="preserve"> \* MERGEFORMAT </w:instrText>
      </w:r>
      <w:r w:rsidR="00B545BC">
        <w:rPr>
          <w:lang w:eastAsia="en-GB"/>
        </w:rPr>
      </w:r>
      <w:r w:rsidR="00B545BC">
        <w:rPr>
          <w:lang w:eastAsia="en-GB"/>
        </w:rPr>
        <w:fldChar w:fldCharType="separate"/>
      </w:r>
      <w:r w:rsidR="00F8460C">
        <w:t xml:space="preserve">Figure </w:t>
      </w:r>
      <w:r w:rsidR="00F8460C">
        <w:rPr>
          <w:noProof/>
        </w:rPr>
        <w:t>1</w:t>
      </w:r>
      <w:r w:rsidR="00B545BC">
        <w:rPr>
          <w:lang w:eastAsia="en-GB"/>
        </w:rPr>
        <w:fldChar w:fldCharType="end"/>
      </w:r>
      <w:r w:rsidR="00F8460C">
        <w:rPr>
          <w:lang w:eastAsia="en-GB"/>
        </w:rPr>
        <w:t xml:space="preserve">. </w:t>
      </w:r>
    </w:p>
    <w:p w:rsidR="00F27EF7" w:rsidRPr="00C45A15" w:rsidRDefault="00057450" w:rsidP="009D0B39">
      <w:pPr>
        <w:pStyle w:val="Heading2"/>
        <w:numPr>
          <w:ilvl w:val="0"/>
          <w:numId w:val="0"/>
        </w:numPr>
        <w:tabs>
          <w:tab w:val="left" w:pos="4962"/>
        </w:tabs>
        <w:spacing w:line="480" w:lineRule="auto"/>
        <w:ind w:left="576" w:hanging="576"/>
        <w:rPr>
          <w:i w:val="0"/>
        </w:rPr>
      </w:pPr>
      <w:r w:rsidRPr="00C45A15">
        <w:rPr>
          <w:i w:val="0"/>
        </w:rPr>
        <w:t>METHODS</w:t>
      </w:r>
    </w:p>
    <w:p w:rsidR="0030320B" w:rsidRDefault="00BB20FD" w:rsidP="00F40CE5">
      <w:pPr>
        <w:pStyle w:val="LRiGnormal"/>
        <w:tabs>
          <w:tab w:val="left" w:pos="4962"/>
        </w:tabs>
        <w:spacing w:line="480" w:lineRule="auto"/>
        <w:rPr>
          <w:lang w:eastAsia="en-GB"/>
        </w:rPr>
      </w:pPr>
      <w:r>
        <w:t xml:space="preserve">The systematic review protocol was registered with PROSPERO, the international database of prospectively registered systematic reviews (identification number </w:t>
      </w:r>
      <w:r w:rsidRPr="00BB20FD">
        <w:t>CRD42016032517</w:t>
      </w:r>
      <w:r>
        <w:t xml:space="preserve">), conducted according to the Centre for Reviews and Dissemination’s guidance for undertaking reviews in </w:t>
      </w:r>
      <w:r w:rsidR="008569CF">
        <w:t>healthcare</w:t>
      </w:r>
      <w:r w:rsidR="001A1379" w:rsidRPr="00572198">
        <w:t xml:space="preserve"> </w:t>
      </w:r>
      <w:r w:rsidRPr="00572198">
        <w:t>and reported according to the Preferred Reporting Items for Systematic Reviews and Meta-</w:t>
      </w:r>
      <w:r w:rsidRPr="00572198">
        <w:rPr>
          <w:lang w:eastAsia="en-GB"/>
        </w:rPr>
        <w:t xml:space="preserve">Analysis </w:t>
      </w:r>
      <w:r w:rsidR="00572198" w:rsidRPr="00572198">
        <w:rPr>
          <w:lang w:eastAsia="en-GB"/>
        </w:rPr>
        <w:t>with a focus on health equity (PRISMA-E)</w:t>
      </w:r>
      <w:r w:rsidR="00572198" w:rsidRPr="00572198">
        <w:t xml:space="preserve"> guidelines</w:t>
      </w:r>
      <w:r w:rsidR="0084020B">
        <w:t>.</w:t>
      </w:r>
      <w:r w:rsidR="008569CF">
        <w:fldChar w:fldCharType="begin" w:fldLock="1"/>
      </w:r>
      <w:r w:rsidR="00B719B4">
        <w:instrText>ADDIN CSL_CITATION { "citationItems" : [ { "id" : "ITEM-1", "itemData" : { "DOI" : "10.1016/S1473-3099(10)70065-7", "ISBN" : "1900640473", "ISSN" : "14733099", "PMID" : "19591365", "author" : [ { "dropping-particle" : "", "family" : "CRD", "given" : "", "non-dropping-particle" : "", "parse-names" : false, "suffix" : "" } ], "id" : "ITEM-1", "issued" : { "date-parts" : [ [ "0" ] ] }, "title" : "Systematic reviews: CRD's guidance for undertaking reviews in health care", "type" : "book" }, "uris" : [ "http://www.mendeley.com/documents/?uuid=eddf675f-66f3-4e6d-b12d-cbca421e7396" ] }, { "id" : "ITEM-2", "itemData" : { "DOI" : "10.1371/journal.pmed.1001333", "ISBN" : "1549-1676 (Electronic)\\r1549-1277 (Linking)", "ISSN" : "15491277", "PMID" : "23222917", "abstract" : "We therefore developed reporting guidelines for equity-focused systematic reviews, and had two main goals: (1) to provide structured guidance on transparently reporting these methods and results, and (2) to legitimize and emphasize the importance of reporting health equity results. We aim to contribute to improving the evidence base for evidence-informed, equity-oriented policy through wide dissemination of these reporting guidelines", "author" : [ { "dropping-particle" : "", "family" : "Welch", "given" : "Vivian", "non-dropping-particle" : "", "parse-names" : false, "suffix" : "" }, { "dropping-particle" : "", "family" : "Petticrew", "given" : "Mark", "non-dropping-particle" : "", "parse-names" : false, "suffix" : "" }, { "dropping-particle" : "", "family" : "Tugwell", "given" : "Peter", "non-dropping-particle" : "", "parse-names" : false, "suffix" : "" }, { "dropping-particle" : "", "family" : "Moher", "given" : "David", "non-dropping-particle" : "", "parse-names" : false, "suffix" : "" }, { "dropping-particle" : "", "family" : "O'Neill", "given" : "Jennifer", "non-dropping-particle" : "", "parse-names" : false, "suffix" : "" }, { "dropping-particle" : "", "family" : "Waters", "given" : "Elizabeth", "non-dropping-particle" : "", "parse-names" : false, "suffix" : "" }, { "dropping-particle" : "", "family" : "White", "given" : "Howard", "non-dropping-particle" : "", "parse-names" : false, "suffix" : "" }, { "dropping-particle" : "", "family" : "Atun", "given" : "Rifat", "non-dropping-particle" : "", "parse-names" : false, "suffix" : "" }, { "dropping-particle" : "", "family" : "Awasthi", "given" : "Shally", "non-dropping-particle" : "", "parse-names" : false, "suffix" : "" }, { "dropping-particle" : "", "family" : "Barbour", "given" : "Virginia", "non-dropping-particle" : "", "parse-names" : false, "suffix" : "" }, { "dropping-particle" : "", "family" : "Bhutta", "given" : "Zulfiqar", "non-dropping-particle" : "", "parse-names" : false, "suffix" : "" }, { "dropping-particle" : "", "family" : "Cuervo", "given" : "Luis Gabriel", "non-dropping-particle" : "", "parse-names" : false, "suffix" : "" }, { "dropping-particle" : "", "family" : "Grimshaw", "given" : "Jeremy", "non-dropping-particle" : "", "parse-names" : false, "suffix" : "" }, { "dropping-particle" : "", "family" : "Groves", "given" : "Trish", "non-dropping-particle" : "", "parse-names" : false, "suffix" : "" }, { "dropping-particle" : "", "family" : "Koehlmoos-Perez", "given" : "Tracey", "non-dropping-particle" : "", "parse-names" : false, "suffix" : "" }, { "dropping-particle" : "", "family" : "Kristjansson", "given" : "Elizabeth", "non-dropping-particle" : "", "parse-names" : false, "suffix" : "" }, { "dropping-particle" : "", "family" : "Moher", "given" : "David", "non-dropping-particle" : "", "parse-names" : false, "suffix" : "" }, { "dropping-particle" : "", "family" : "O'Neill", "given" : "Jennifer", "non-dropping-particle" : "", "parse-names" : false, "suffix" : "" }, { "dropping-particle" : "", "family" : "Oxman", "given" : "Andy", "non-dropping-particle" : "", "parse-names" : false, "suffix" : "" }, { "dropping-particle" : "", "family" : "Pantoja", "given" : "Tomas", "non-dropping-particle" : "", "parse-names" : false, "suffix" : "" }, { "dropping-particle" : "", "family" : "Petticrew", "given" : "Mark", "non-dropping-particle" : "", "parse-names" : false, "suffix" : "" }, { "dropping-particle" : "", "family" : "Pigott", "given" : "Terri", "non-dropping-particle" : "", "parse-names" : false, "suffix" : "" }, { "dropping-particle" : "", "family" : "Ranson", "given" : "Kent", "non-dropping-particle" : "", "parse-names" : false, "suffix" : "" }, { "dropping-particle" : "", "family" : "TanTorres", "given" : "Tessa", "non-dropping-particle" : "", "parse-names" : false, "suffix" : "" }, { "dropping-particle" : "", "family" : "Tharyan", "given" : "Prathap", "non-dropping-particle" : "", "parse-names" : false, "suffix" : "" }, { "dropping-particle" : "", "family" : "Tovey", "given" : "David", "non-dropping-particle" : "", "parse-names" : false, "suffix" : "" }, { "dropping-particle" : "", "family" : "Tugwell", "given" : "Peter", "non-dropping-particle" : "", "parse-names" : false, "suffix" : "" }, { "dropping-particle" : "", "family" : "Volmink", "given" : "Jimmy", "non-dropping-particle" : "", "parse-names" : false, "suffix" : "" }, { "dropping-particle" : "", "family" : "Wager", "given" : "Liz", "non-dropping-particle" : "", "parse-names" : false, "suffix" : "" }, { "dropping-particle" : "", "family" : "Waters", "given" : "Elizabeth", "non-dropping-particle" : "", "parse-names" : false, "suffix" : "" }, { "dropping-particle" : "", "family" : "Welch", "given" : "Vivian", "non-dropping-particle" : "", "parse-names" : false, "suffix" : "" }, { "dropping-particle" : "", "family" : "Wells", "given" : "George", "non-dropping-particle" : "", "parse-names" : false, "suffix" : "" }, { "dropping-particle" : "", "family" : "White", "given" : "Howard", "non-dropping-particle" : "", "parse-names" : false, "suffix" : "" } ], "container-title" : "PLoS Medicine", "id" : "ITEM-2", "issue" : "10", "issued" : { "date-parts" : [ [ "2012", "1", "30" ] ] }, "page" : "1-2", "publisher" : "Public Library of Science", "title" : "PRISMA-Equity 2012 Extension: Reporting Guidelines for Systematic Reviews with a Focus on Health Equity", "type" : "article-journal", "volume" : "9" }, "uris" : [ "http://www.mendeley.com/documents/?uuid=fdc368f0-50d8-469a-9f04-2f68417c1d1f" ] } ], "mendeley" : { "formattedCitation" : "&lt;sup&gt;8,9&lt;/sup&gt;", "plainTextFormattedCitation" : "8,9", "previouslyFormattedCitation" : "&lt;sup&gt;8,9&lt;/sup&gt;" }, "properties" : { "noteIndex" : 0 }, "schema" : "https://github.com/citation-style-language/schema/raw/master/csl-citation.json" }</w:instrText>
      </w:r>
      <w:r w:rsidR="008569CF">
        <w:fldChar w:fldCharType="separate"/>
      </w:r>
      <w:r w:rsidR="009427AF" w:rsidRPr="009427AF">
        <w:rPr>
          <w:noProof/>
          <w:vertAlign w:val="superscript"/>
        </w:rPr>
        <w:t>8,9</w:t>
      </w:r>
      <w:r w:rsidR="008569CF">
        <w:fldChar w:fldCharType="end"/>
      </w:r>
      <w:r w:rsidR="00572198" w:rsidRPr="00572198">
        <w:rPr>
          <w:lang w:eastAsia="en-GB"/>
        </w:rPr>
        <w:t xml:space="preserve"> </w:t>
      </w:r>
    </w:p>
    <w:p w:rsidR="0030320B" w:rsidRPr="0030320B" w:rsidRDefault="0030320B" w:rsidP="00F40CE5">
      <w:pPr>
        <w:pStyle w:val="LRiGnormal"/>
        <w:spacing w:line="480" w:lineRule="auto"/>
        <w:rPr>
          <w:lang w:eastAsia="en-GB"/>
        </w:rPr>
      </w:pPr>
      <w:r>
        <w:rPr>
          <w:lang w:eastAsia="en-GB"/>
        </w:rPr>
        <w:lastRenderedPageBreak/>
        <w:t xml:space="preserve">The scope of the research question was informed by the Campbell and Cochrane Equity Methods Group and the Cochrane Public Health Group </w:t>
      </w:r>
      <w:r w:rsidRPr="006A767C">
        <w:rPr>
          <w:lang w:eastAsia="en-GB"/>
        </w:rPr>
        <w:t xml:space="preserve">who </w:t>
      </w:r>
      <w:r>
        <w:rPr>
          <w:lang w:eastAsia="en-GB"/>
        </w:rPr>
        <w:t xml:space="preserve">recommend the PROGRESS-Plus approach to </w:t>
      </w:r>
      <w:r w:rsidR="00A63D22">
        <w:rPr>
          <w:lang w:eastAsia="en-GB"/>
        </w:rPr>
        <w:t>analyses</w:t>
      </w:r>
      <w:r>
        <w:rPr>
          <w:lang w:eastAsia="en-GB"/>
        </w:rPr>
        <w:t xml:space="preserve"> </w:t>
      </w:r>
      <w:r w:rsidR="00D31D14">
        <w:rPr>
          <w:lang w:eastAsia="en-GB"/>
        </w:rPr>
        <w:t xml:space="preserve">of </w:t>
      </w:r>
      <w:r>
        <w:rPr>
          <w:lang w:eastAsia="en-GB"/>
        </w:rPr>
        <w:t>health inequality information. PROGRESS-Plus is an acronym for place of residence, race/ethnicity</w:t>
      </w:r>
      <w:r w:rsidR="000B5A1F">
        <w:rPr>
          <w:lang w:eastAsia="en-GB"/>
        </w:rPr>
        <w:t xml:space="preserve">, </w:t>
      </w:r>
      <w:r>
        <w:rPr>
          <w:lang w:eastAsia="en-GB"/>
        </w:rPr>
        <w:t>culture/language</w:t>
      </w:r>
      <w:r w:rsidR="000B5A1F">
        <w:rPr>
          <w:lang w:eastAsia="en-GB"/>
        </w:rPr>
        <w:t xml:space="preserve">, </w:t>
      </w:r>
      <w:r>
        <w:rPr>
          <w:lang w:eastAsia="en-GB"/>
        </w:rPr>
        <w:t xml:space="preserve">occupation, gender/sex, religion, socioeconomic status and social capital and “Plus” captures other characteristics which may indicate a disadvantage, such as age and </w:t>
      </w:r>
      <w:r w:rsidR="00A21F75">
        <w:rPr>
          <w:lang w:eastAsia="en-GB"/>
        </w:rPr>
        <w:t>disability</w:t>
      </w:r>
      <w:r w:rsidR="008569CF">
        <w:rPr>
          <w:lang w:eastAsia="en-GB"/>
        </w:rPr>
        <w:t>.</w:t>
      </w:r>
      <w:r w:rsidR="00B545BC" w:rsidRPr="00F31684">
        <w:rPr>
          <w:lang w:eastAsia="en-GB"/>
        </w:rPr>
        <w:fldChar w:fldCharType="begin" w:fldLock="1"/>
      </w:r>
      <w:r w:rsidR="00B719B4">
        <w:rPr>
          <w:lang w:eastAsia="en-GB"/>
        </w:rPr>
        <w:instrText>ADDIN CSL_CITATION { "citationItems" : [ { "id" : "ITEM-1", "itemData" : { "DOI" : "10.1186/2046-4053-2-43", "ISBN" : "2046-4053 (Electronic)\\r2046-4053 (Linking)", "ISSN" : "2046-4053", "PMID" : "23799964", "abstract" : "BACKGROUND: At the Rio Summit in 2011 on Social Determinants of Health, the global community recognized a pressing need to take action on reducing health inequities. This requires an improved evidence base on the effects of national and international policies on health inequities. Although systematic reviews are recognized as an important source for evidence-informed policy, they have been criticized for failing to assess effects on health equity.\\n\\nMETHODS: This article summarizes guidance on both conducting systematic reviews with a focus on health equity and on methods to translate their findings to different audiences. This guidance was developed based on a series of methodology meetings, previous guidance, a recently developed reporting guideline for equity-focused systematic reviews (PRISMA-Equity 2012) and a systematic review of methods to assess health equity in systematic reviews.\\n\\nRESULTS: We make ten recommendations for conducting equity-focused systematic reviews; and five considerations for knowledge translation. Illustrative examples of equity-focused reviews are provided where these methods have been used.\\n\\nCONCLUSIONS: Implementation of the recommendations in this article is one step toward monitoring the impact of national and international policies and programs on health equity, as recommended by the 2011 World Conference on Social Determinants of Health.", "author" : [ { "dropping-particle" : "", "family" : "Welch", "given" : "Vivian a", "non-dropping-particle" : "", "parse-names" : false, "suffix" : "" }, { "dropping-particle" : "", "family" : "Petticrew", "given" : "Mark", "non-dropping-particle" : "", "parse-names" : false, "suffix" : "" }, { "dropping-particle" : "", "family" : "O'Neill", "given" : "Jennifer", "non-dropping-particle" : "", "parse-names" : false, "suffix" : "" }, { "dropping-particle" : "", "family" : "Waters", "given" : "Elizabeth", "non-dropping-particle" : "", "parse-names" : false, "suffix" : "" }, { "dropping-particle" : "", "family" : "Armstrong", "given" : "Rebecca", "non-dropping-particle" : "", "parse-names" : false, "suffix" : "" }, { "dropping-particle" : "", "family" : "Bhutta", "given" : "Zulfiqar A", "non-dropping-particle" : "", "parse-names" : false, "suffix" : "" }, { "dropping-particle" : "", "family" : "Francis", "given" : "Damian", "non-dropping-particle" : "", "parse-names" : false, "suffix" : "" }, { "dropping-particle" : "", "family" : "Koehlmoos", "given" : "Tracey Perez", "non-dropping-particle" : "", "parse-names" : false, "suffix" : "" }, { "dropping-particle" : "", "family" : "Kristjansson", "given" : "Elizabeth", "non-dropping-particle" : "", "parse-names" : false, "suffix" : "" }, { "dropping-particle" : "", "family" : "Pantoja", "given" : "Tomas", "non-dropping-particle" : "", "parse-names" : false, "suffix" : "" }, { "dropping-particle" : "", "family" : "Tugwell", "given" : "Peter", "non-dropping-particle" : "", "parse-names" : false, "suffix" : "" } ], "container-title" : "Systematic reviews", "id" : "ITEM-1", "issue" : "1", "issued" : { "date-parts" : [ [ "2013" ] ] }, "page" : "43", "publisher" : "Systematic Reviews", "title" : "Health equity: evidence synthesis and knowledge translation methods.", "type" : "article-journal", "volume" : "2" }, "uris" : [ "http://www.mendeley.com/documents/?uuid=b5ea1c6a-5744-4ba6-972d-1b3de4527a8f" ] } ], "mendeley" : { "formattedCitation" : "&lt;sup&gt;7&lt;/sup&gt;", "plainTextFormattedCitation" : "7", "previouslyFormattedCitation" : "&lt;sup&gt;7&lt;/sup&gt;" }, "properties" : { "noteIndex" : 0 }, "schema" : "https://github.com/citation-style-language/schema/raw/master/csl-citation.json" }</w:instrText>
      </w:r>
      <w:r w:rsidR="00B545BC" w:rsidRPr="00F31684">
        <w:rPr>
          <w:lang w:eastAsia="en-GB"/>
        </w:rPr>
        <w:fldChar w:fldCharType="separate"/>
      </w:r>
      <w:r w:rsidR="009427AF" w:rsidRPr="009427AF">
        <w:rPr>
          <w:noProof/>
          <w:vertAlign w:val="superscript"/>
          <w:lang w:eastAsia="en-GB"/>
        </w:rPr>
        <w:t>7</w:t>
      </w:r>
      <w:r w:rsidR="00B545BC" w:rsidRPr="00F31684">
        <w:rPr>
          <w:lang w:eastAsia="en-GB"/>
        </w:rPr>
        <w:fldChar w:fldCharType="end"/>
      </w:r>
      <w:r w:rsidR="00895E89">
        <w:rPr>
          <w:lang w:eastAsia="en-GB"/>
        </w:rPr>
        <w:t xml:space="preserve"> </w:t>
      </w:r>
      <w:r w:rsidR="00737E62">
        <w:rPr>
          <w:lang w:eastAsia="en-GB"/>
        </w:rPr>
        <w:t xml:space="preserve"> </w:t>
      </w:r>
      <w:r w:rsidR="00895E89">
        <w:rPr>
          <w:lang w:eastAsia="en-GB"/>
        </w:rPr>
        <w:t xml:space="preserve">This </w:t>
      </w:r>
      <w:r w:rsidR="00B04516">
        <w:rPr>
          <w:lang w:eastAsia="en-GB"/>
        </w:rPr>
        <w:t>approach</w:t>
      </w:r>
      <w:r w:rsidR="00895E89">
        <w:rPr>
          <w:lang w:eastAsia="en-GB"/>
        </w:rPr>
        <w:t xml:space="preserve"> summarizes a number of social stratification factors understood to influence health opportunities, including the chance to p</w:t>
      </w:r>
      <w:r w:rsidR="00A21F75">
        <w:rPr>
          <w:lang w:eastAsia="en-GB"/>
        </w:rPr>
        <w:t xml:space="preserve">articipate and benefit from PM </w:t>
      </w:r>
      <w:r w:rsidR="009D6577">
        <w:rPr>
          <w:lang w:eastAsia="en-GB"/>
        </w:rPr>
        <w:t xml:space="preserve">(see </w:t>
      </w:r>
      <w:r w:rsidR="00DD3930" w:rsidRPr="00DD3930">
        <w:rPr>
          <w:b/>
          <w:lang w:eastAsia="en-GB"/>
        </w:rPr>
        <w:t>Supplementary Table S1</w:t>
      </w:r>
      <w:r w:rsidR="00DD3930" w:rsidRPr="00DD3930">
        <w:rPr>
          <w:lang w:eastAsia="en-GB"/>
        </w:rPr>
        <w:t xml:space="preserve"> </w:t>
      </w:r>
      <w:r w:rsidR="006765BF">
        <w:rPr>
          <w:lang w:eastAsia="en-GB"/>
        </w:rPr>
        <w:t>online</w:t>
      </w:r>
      <w:r w:rsidR="00D31D14">
        <w:rPr>
          <w:lang w:eastAsia="en-GB"/>
        </w:rPr>
        <w:t xml:space="preserve"> </w:t>
      </w:r>
      <w:r w:rsidR="009D6577">
        <w:rPr>
          <w:lang w:eastAsia="en-GB"/>
        </w:rPr>
        <w:t>for definition</w:t>
      </w:r>
      <w:r w:rsidR="00E326DD">
        <w:rPr>
          <w:lang w:eastAsia="en-GB"/>
        </w:rPr>
        <w:t xml:space="preserve"> of</w:t>
      </w:r>
      <w:r w:rsidR="009D6577">
        <w:rPr>
          <w:lang w:eastAsia="en-GB"/>
        </w:rPr>
        <w:t xml:space="preserve"> PROGRESS-Plus factors)</w:t>
      </w:r>
      <w:r w:rsidR="00E326DD">
        <w:rPr>
          <w:lang w:eastAsia="en-GB"/>
        </w:rPr>
        <w:t>.</w:t>
      </w:r>
    </w:p>
    <w:p w:rsidR="00F27EF7" w:rsidRPr="00FB52CA" w:rsidRDefault="00805C73" w:rsidP="00C45A15">
      <w:pPr>
        <w:pStyle w:val="Heading3"/>
        <w:numPr>
          <w:ilvl w:val="0"/>
          <w:numId w:val="0"/>
        </w:numPr>
        <w:spacing w:line="480" w:lineRule="auto"/>
        <w:ind w:left="720" w:hanging="720"/>
      </w:pPr>
      <w:r>
        <w:t>Data Sources and Searches</w:t>
      </w:r>
      <w:r w:rsidR="00F27EF7">
        <w:t xml:space="preserve"> </w:t>
      </w:r>
    </w:p>
    <w:p w:rsidR="004153CA" w:rsidRDefault="00261CC4" w:rsidP="00F40CE5">
      <w:pPr>
        <w:pStyle w:val="LRiGnormal"/>
        <w:spacing w:line="480" w:lineRule="auto"/>
        <w:rPr>
          <w:lang w:eastAsia="en-GB"/>
        </w:rPr>
      </w:pPr>
      <w:r>
        <w:rPr>
          <w:lang w:eastAsia="en-GB"/>
        </w:rPr>
        <w:t>The website of PharmGKB was searched to identify a</w:t>
      </w:r>
      <w:r w:rsidR="004153CA" w:rsidRPr="00B203F6">
        <w:rPr>
          <w:lang w:eastAsia="en-GB"/>
        </w:rPr>
        <w:t xml:space="preserve"> total of 201 </w:t>
      </w:r>
      <w:r w:rsidR="004153CA">
        <w:rPr>
          <w:lang w:eastAsia="en-GB"/>
        </w:rPr>
        <w:t xml:space="preserve">drugs </w:t>
      </w:r>
      <w:r w:rsidR="00B058A7">
        <w:rPr>
          <w:lang w:eastAsia="en-GB"/>
        </w:rPr>
        <w:t xml:space="preserve">that </w:t>
      </w:r>
      <w:r w:rsidR="004153CA">
        <w:rPr>
          <w:lang w:eastAsia="en-GB"/>
        </w:rPr>
        <w:t>had labels containing pharmacogenetic information with</w:t>
      </w:r>
      <w:r w:rsidR="004153CA" w:rsidRPr="00B203F6">
        <w:rPr>
          <w:lang w:eastAsia="en-GB"/>
        </w:rPr>
        <w:t xml:space="preserve"> differing approvals between European Medicines Agency (EMA), US Food and Drug Administration (FDA), Pharmaceuticals and Medical Device Agency</w:t>
      </w:r>
      <w:r w:rsidR="004153CA">
        <w:rPr>
          <w:lang w:eastAsia="en-GB"/>
        </w:rPr>
        <w:t>, Japan</w:t>
      </w:r>
      <w:r w:rsidR="004153CA" w:rsidRPr="00B203F6">
        <w:rPr>
          <w:lang w:eastAsia="en-GB"/>
        </w:rPr>
        <w:t xml:space="preserve"> (PMDA) and Health Canada, Santé Canada (HCSC)</w:t>
      </w:r>
      <w:r w:rsidR="0084020B">
        <w:rPr>
          <w:lang w:eastAsia="en-GB"/>
        </w:rPr>
        <w:t>.</w:t>
      </w:r>
      <w:r w:rsidR="00B545BC" w:rsidRPr="003C194F">
        <w:rPr>
          <w:lang w:eastAsia="en-GB"/>
        </w:rPr>
        <w:fldChar w:fldCharType="begin" w:fldLock="1"/>
      </w:r>
      <w:r w:rsidR="000406C5">
        <w:rPr>
          <w:lang w:eastAsia="en-GB"/>
        </w:rPr>
        <w:instrText>ADDIN CSL_CITATION { "citationItems" : [ { "id" : "ITEM-1", "itemData" : { "URL" : "https://www.pharmgkb.org/view/drug-labels.do", "abstract" : "PharmGKB annotates drug labels containing pharmacogenetic information approved by the US Food and Drug Administration (FDA), European Medicines Agency (EMA), the Pharmaceuticals and Medical Devices Agency, Japan (PMDA), and Health Canada (Sant\u00e9 Canada) (HCSC). PharmGKB annotations provide a brief summary of the PGx in the label, an excerpt from the label and a downloadable highlighted label PDF file. A list of genes and phenotypes found within the label is mapped to label section headers and listed at the end of each annotation. PharmGKB also attempts to interpret the level of action implied in each label with the \"PGx Level\" tag.", "accessed" : { "date-parts" : [ [ "2016", "12", "28" ] ] }, "author" : [ { "dropping-particle" : "", "family" : "PharmGKB", "given" : "", "non-dropping-particle" : "", "parse-names" : false, "suffix" : "" } ], "id" : "ITEM-1", "issued" : { "date-parts" : [ [ "2015" ] ] }, "note" : "https://www.pharmgkb.org/view/drug-labels.do", "page" : "1", "title" : "Drug Labels", "type" : "webpage" }, "uris" : [ "http://www.mendeley.com/documents/?uuid=95861e81-0be9-432a-9a29-e8e7c23a054c" ] } ], "mendeley" : { "formattedCitation" : "&lt;sup&gt;10&lt;/sup&gt;", "plainTextFormattedCitation" : "10", "previouslyFormattedCitation" : "&lt;sup&gt;10&lt;/sup&gt;" }, "properties" : { "noteIndex" : 0 }, "schema" : "https://github.com/citation-style-language/schema/raw/master/csl-citation.json" }</w:instrText>
      </w:r>
      <w:r w:rsidR="00B545BC" w:rsidRPr="003C194F">
        <w:rPr>
          <w:lang w:eastAsia="en-GB"/>
        </w:rPr>
        <w:fldChar w:fldCharType="separate"/>
      </w:r>
      <w:r w:rsidR="009427AF" w:rsidRPr="009427AF">
        <w:rPr>
          <w:noProof/>
          <w:vertAlign w:val="superscript"/>
          <w:lang w:eastAsia="en-GB"/>
        </w:rPr>
        <w:t>10</w:t>
      </w:r>
      <w:r w:rsidR="00B545BC" w:rsidRPr="003C194F">
        <w:rPr>
          <w:lang w:eastAsia="en-GB"/>
        </w:rPr>
        <w:fldChar w:fldCharType="end"/>
      </w:r>
      <w:r w:rsidR="004153CA">
        <w:rPr>
          <w:lang w:eastAsia="en-GB"/>
        </w:rPr>
        <w:t xml:space="preserve"> The types of regulatory recommendations provided </w:t>
      </w:r>
      <w:r w:rsidR="00B058A7">
        <w:rPr>
          <w:lang w:eastAsia="en-GB"/>
        </w:rPr>
        <w:t xml:space="preserve">were </w:t>
      </w:r>
      <w:r w:rsidR="004153CA">
        <w:rPr>
          <w:lang w:eastAsia="en-GB"/>
        </w:rPr>
        <w:t xml:space="preserve">split into informative pharmacogenetic test (PGx), actionable PGx, genetic testing recommended, </w:t>
      </w:r>
      <w:r w:rsidR="00B058A7">
        <w:rPr>
          <w:lang w:eastAsia="en-GB"/>
        </w:rPr>
        <w:t xml:space="preserve">and </w:t>
      </w:r>
      <w:r w:rsidR="004153CA">
        <w:rPr>
          <w:lang w:eastAsia="en-GB"/>
        </w:rPr>
        <w:t>genetic testing required.</w:t>
      </w:r>
      <w:r w:rsidR="004153CA" w:rsidRPr="00011E81">
        <w:rPr>
          <w:lang w:eastAsia="en-GB"/>
        </w:rPr>
        <w:t xml:space="preserve"> </w:t>
      </w:r>
    </w:p>
    <w:p w:rsidR="005B7B59" w:rsidRDefault="00085C25" w:rsidP="00F40CE5">
      <w:pPr>
        <w:pStyle w:val="LRiGnormal"/>
        <w:spacing w:line="480" w:lineRule="auto"/>
        <w:rPr>
          <w:lang w:eastAsia="en-GB"/>
        </w:rPr>
      </w:pPr>
      <w:r>
        <w:rPr>
          <w:lang w:eastAsia="en-GB"/>
        </w:rPr>
        <w:t xml:space="preserve">We searched </w:t>
      </w:r>
      <w:r w:rsidR="00B058A7">
        <w:rPr>
          <w:lang w:eastAsia="en-GB"/>
        </w:rPr>
        <w:t xml:space="preserve">the following databases </w:t>
      </w:r>
      <w:r w:rsidR="00F45B87">
        <w:rPr>
          <w:lang w:eastAsia="en-GB"/>
        </w:rPr>
        <w:t xml:space="preserve">(via Ovid) </w:t>
      </w:r>
      <w:r w:rsidR="00A63D22">
        <w:rPr>
          <w:lang w:eastAsia="en-GB"/>
        </w:rPr>
        <w:t>between January 2006 and</w:t>
      </w:r>
      <w:r w:rsidR="00E326DD">
        <w:rPr>
          <w:lang w:eastAsia="en-GB"/>
        </w:rPr>
        <w:t xml:space="preserve"> January 2016</w:t>
      </w:r>
      <w:r w:rsidR="00B058A7">
        <w:rPr>
          <w:lang w:eastAsia="en-GB"/>
        </w:rPr>
        <w:t>:</w:t>
      </w:r>
      <w:r w:rsidR="00E326DD">
        <w:rPr>
          <w:lang w:eastAsia="en-GB"/>
        </w:rPr>
        <w:t xml:space="preserve"> </w:t>
      </w:r>
      <w:r>
        <w:rPr>
          <w:lang w:eastAsia="en-GB"/>
        </w:rPr>
        <w:t xml:space="preserve">Embase, MEDLINE, PubMed, </w:t>
      </w:r>
      <w:r w:rsidRPr="005B7B59">
        <w:rPr>
          <w:lang w:eastAsia="en-GB"/>
        </w:rPr>
        <w:t>The Cochrane Library and Cochrane Central Register of Controlled Trials (CENTRAL)</w:t>
      </w:r>
      <w:r>
        <w:rPr>
          <w:lang w:eastAsia="en-GB"/>
        </w:rPr>
        <w:t xml:space="preserve"> and Web of Science. The search terms consisted of two clauses combined with the Boolean ‘AND’ operator. </w:t>
      </w:r>
      <w:r w:rsidR="00524553">
        <w:rPr>
          <w:lang w:eastAsia="en-GB"/>
        </w:rPr>
        <w:t xml:space="preserve">These pertained to a list of </w:t>
      </w:r>
      <w:r w:rsidR="00261CC4">
        <w:rPr>
          <w:lang w:eastAsia="en-GB"/>
        </w:rPr>
        <w:t xml:space="preserve">drugs identified from the PharmGKB website </w:t>
      </w:r>
      <w:r w:rsidR="00524553">
        <w:rPr>
          <w:lang w:eastAsia="en-GB"/>
        </w:rPr>
        <w:t xml:space="preserve">and health disparity terms. The search was restricted to studies of human subjects and written in the English language. </w:t>
      </w:r>
      <w:r w:rsidR="00EC7B59">
        <w:rPr>
          <w:lang w:eastAsia="en-GB"/>
        </w:rPr>
        <w:t>Further articles were i</w:t>
      </w:r>
      <w:r w:rsidR="00423E5F">
        <w:rPr>
          <w:lang w:eastAsia="en-GB"/>
        </w:rPr>
        <w:t>dentified from searching the gre</w:t>
      </w:r>
      <w:r w:rsidR="00EC7B59">
        <w:rPr>
          <w:lang w:eastAsia="en-GB"/>
        </w:rPr>
        <w:t xml:space="preserve">y literature and </w:t>
      </w:r>
      <w:r w:rsidR="00497195">
        <w:rPr>
          <w:lang w:eastAsia="en-GB"/>
        </w:rPr>
        <w:t>b</w:t>
      </w:r>
      <w:r w:rsidR="00A03109">
        <w:rPr>
          <w:lang w:eastAsia="en-GB"/>
        </w:rPr>
        <w:t xml:space="preserve">ackward citation searching </w:t>
      </w:r>
      <w:r w:rsidR="00737E62">
        <w:rPr>
          <w:lang w:eastAsia="en-GB"/>
        </w:rPr>
        <w:t>of</w:t>
      </w:r>
      <w:r w:rsidR="00A03109">
        <w:rPr>
          <w:lang w:eastAsia="en-GB"/>
        </w:rPr>
        <w:t xml:space="preserve"> </w:t>
      </w:r>
      <w:r w:rsidR="00497195">
        <w:rPr>
          <w:lang w:eastAsia="en-GB"/>
        </w:rPr>
        <w:t xml:space="preserve">the </w:t>
      </w:r>
      <w:r w:rsidR="00EC7B59">
        <w:rPr>
          <w:lang w:eastAsia="en-GB"/>
        </w:rPr>
        <w:t>reference lists</w:t>
      </w:r>
      <w:r w:rsidR="00497195">
        <w:rPr>
          <w:lang w:eastAsia="en-GB"/>
        </w:rPr>
        <w:t xml:space="preserve"> of included studies and from forward citation searching using google scholar</w:t>
      </w:r>
      <w:r w:rsidR="00EC7B59">
        <w:rPr>
          <w:lang w:eastAsia="en-GB"/>
        </w:rPr>
        <w:t xml:space="preserve">. </w:t>
      </w:r>
      <w:r w:rsidR="00AB3E46">
        <w:rPr>
          <w:lang w:eastAsia="en-GB"/>
        </w:rPr>
        <w:t xml:space="preserve">The full search strategy is detailed in </w:t>
      </w:r>
      <w:r w:rsidR="00DD3930" w:rsidRPr="00DD3930">
        <w:rPr>
          <w:b/>
          <w:lang w:eastAsia="en-GB"/>
        </w:rPr>
        <w:t>Supplementary Table S2</w:t>
      </w:r>
      <w:r w:rsidR="00DD3930">
        <w:rPr>
          <w:lang w:eastAsia="en-GB"/>
        </w:rPr>
        <w:t xml:space="preserve"> </w:t>
      </w:r>
      <w:r w:rsidR="006765BF">
        <w:rPr>
          <w:lang w:eastAsia="en-GB"/>
        </w:rPr>
        <w:t>online</w:t>
      </w:r>
      <w:r w:rsidR="00AB3E46">
        <w:rPr>
          <w:lang w:eastAsia="en-GB"/>
        </w:rPr>
        <w:t>.</w:t>
      </w:r>
      <w:r w:rsidR="00C940D8">
        <w:rPr>
          <w:lang w:eastAsia="en-GB"/>
        </w:rPr>
        <w:t xml:space="preserve"> </w:t>
      </w:r>
    </w:p>
    <w:p w:rsidR="00F27EF7" w:rsidRPr="00FB52CA" w:rsidRDefault="00805C73" w:rsidP="00C45A15">
      <w:pPr>
        <w:pStyle w:val="Heading3"/>
        <w:numPr>
          <w:ilvl w:val="0"/>
          <w:numId w:val="0"/>
        </w:numPr>
        <w:spacing w:line="480" w:lineRule="auto"/>
        <w:ind w:left="720" w:hanging="720"/>
      </w:pPr>
      <w:r>
        <w:lastRenderedPageBreak/>
        <w:t>Study S</w:t>
      </w:r>
      <w:r w:rsidR="00F27EF7" w:rsidRPr="00F27EF7">
        <w:t xml:space="preserve">election </w:t>
      </w:r>
    </w:p>
    <w:p w:rsidR="0012203B" w:rsidRDefault="00C940D8" w:rsidP="00F40CE5">
      <w:pPr>
        <w:pStyle w:val="LRiGnormal"/>
        <w:spacing w:line="480" w:lineRule="auto"/>
        <w:rPr>
          <w:lang w:eastAsia="en-GB"/>
        </w:rPr>
      </w:pPr>
      <w:r>
        <w:rPr>
          <w:lang w:eastAsia="en-GB"/>
        </w:rPr>
        <w:t xml:space="preserve">Studies </w:t>
      </w:r>
      <w:r w:rsidR="00AB3E46">
        <w:rPr>
          <w:lang w:eastAsia="en-GB"/>
        </w:rPr>
        <w:t xml:space="preserve">published </w:t>
      </w:r>
      <w:r w:rsidR="002A02FB">
        <w:rPr>
          <w:lang w:eastAsia="en-GB"/>
        </w:rPr>
        <w:t xml:space="preserve">over the past 10 years </w:t>
      </w:r>
      <w:r>
        <w:rPr>
          <w:lang w:eastAsia="en-GB"/>
        </w:rPr>
        <w:t>were</w:t>
      </w:r>
      <w:r w:rsidR="00AB3E46">
        <w:rPr>
          <w:lang w:eastAsia="en-GB"/>
        </w:rPr>
        <w:t xml:space="preserve"> reviewed</w:t>
      </w:r>
      <w:r w:rsidR="002A02FB">
        <w:rPr>
          <w:lang w:eastAsia="en-GB"/>
        </w:rPr>
        <w:t xml:space="preserve"> to assess the most relevant evidence</w:t>
      </w:r>
      <w:r w:rsidR="00AB3E46">
        <w:rPr>
          <w:lang w:eastAsia="en-GB"/>
        </w:rPr>
        <w:t xml:space="preserve">. </w:t>
      </w:r>
      <w:r w:rsidR="005B234F">
        <w:t>Randomized</w:t>
      </w:r>
      <w:r w:rsidR="00D15B0D">
        <w:t xml:space="preserve"> controlled trials (RCTs)</w:t>
      </w:r>
      <w:r w:rsidR="00053C74">
        <w:t>, prospective and retrospective cohort studies</w:t>
      </w:r>
      <w:r w:rsidR="00B058A7">
        <w:t>,</w:t>
      </w:r>
      <w:r w:rsidR="00053C74">
        <w:t xml:space="preserve"> case-control studies and cross-sectional studies were included if they </w:t>
      </w:r>
      <w:r w:rsidR="00D15B0D">
        <w:t>considered</w:t>
      </w:r>
      <w:r w:rsidR="00053C74">
        <w:t xml:space="preserve"> the impact of </w:t>
      </w:r>
      <w:r w:rsidR="00B058A7">
        <w:t xml:space="preserve">pharmacogenomic </w:t>
      </w:r>
      <w:r w:rsidR="00497195">
        <w:t xml:space="preserve">interventions </w:t>
      </w:r>
      <w:r w:rsidR="00053C74">
        <w:t xml:space="preserve">on health disparities. </w:t>
      </w:r>
      <w:r w:rsidR="002301B7">
        <w:t xml:space="preserve">It </w:t>
      </w:r>
      <w:r w:rsidR="00737E62">
        <w:t xml:space="preserve">has been </w:t>
      </w:r>
      <w:r w:rsidR="002301B7">
        <w:t xml:space="preserve">recommended </w:t>
      </w:r>
      <w:r w:rsidR="00737E62">
        <w:t xml:space="preserve">that </w:t>
      </w:r>
      <w:r w:rsidR="008D741C">
        <w:t>a wider array of evidence</w:t>
      </w:r>
      <w:r w:rsidR="002301B7">
        <w:t xml:space="preserve"> </w:t>
      </w:r>
      <w:r w:rsidR="00737E62">
        <w:t xml:space="preserve">is </w:t>
      </w:r>
      <w:r w:rsidR="002301B7">
        <w:t>included in review</w:t>
      </w:r>
      <w:r w:rsidR="00737E62">
        <w:t>s</w:t>
      </w:r>
      <w:r w:rsidR="008D741C">
        <w:t xml:space="preserve"> (such as non-randomized studies) </w:t>
      </w:r>
      <w:r w:rsidR="002301B7">
        <w:t>as</w:t>
      </w:r>
      <w:r w:rsidR="008D741C">
        <w:t xml:space="preserve"> systematic reviews which have a focus on health equity </w:t>
      </w:r>
      <w:r w:rsidR="002301B7">
        <w:t>may</w:t>
      </w:r>
      <w:r w:rsidR="008D741C">
        <w:t xml:space="preserve"> </w:t>
      </w:r>
      <w:r w:rsidR="002301B7">
        <w:t>fail to identify assessments of effects on health equity due to strict inclusion criteria.</w:t>
      </w:r>
      <w:r w:rsidR="00B81478" w:rsidRPr="001E7ED6">
        <w:rPr>
          <w:lang w:eastAsia="en-GB"/>
        </w:rPr>
        <w:fldChar w:fldCharType="begin" w:fldLock="1"/>
      </w:r>
      <w:r w:rsidR="00B719B4">
        <w:rPr>
          <w:lang w:eastAsia="en-GB"/>
        </w:rPr>
        <w:instrText>ADDIN CSL_CITATION { "citationItems" : [ { "id" : "ITEM-1", "itemData" : { "DOI" : "10.1186/2046-4053-2-43", "ISBN" : "2046-4053 (Electronic)\\r2046-4053 (Linking)", "ISSN" : "2046-4053", "PMID" : "23799964", "abstract" : "BACKGROUND: At the Rio Summit in 2011 on Social Determinants of Health, the global community recognized a pressing need to take action on reducing health inequities. This requires an improved evidence base on the effects of national and international policies on health inequities. Although systematic reviews are recognized as an important source for evidence-informed policy, they have been criticized for failing to assess effects on health equity.\\n\\nMETHODS: This article summarizes guidance on both conducting systematic reviews with a focus on health equity and on methods to translate their findings to different audiences. This guidance was developed based on a series of methodology meetings, previous guidance, a recently developed reporting guideline for equity-focused systematic reviews (PRISMA-Equity 2012) and a systematic review of methods to assess health equity in systematic reviews.\\n\\nRESULTS: We make ten recommendations for conducting equity-focused systematic reviews; and five considerations for knowledge translation. Illustrative examples of equity-focused reviews are provided where these methods have been used.\\n\\nCONCLUSIONS: Implementation of the recommendations in this article is one step toward monitoring the impact of national and international policies and programs on health equity, as recommended by the 2011 World Conference on Social Determinants of Health.", "author" : [ { "dropping-particle" : "", "family" : "Welch", "given" : "Vivian a", "non-dropping-particle" : "", "parse-names" : false, "suffix" : "" }, { "dropping-particle" : "", "family" : "Petticrew", "given" : "Mark", "non-dropping-particle" : "", "parse-names" : false, "suffix" : "" }, { "dropping-particle" : "", "family" : "O'Neill", "given" : "Jennifer", "non-dropping-particle" : "", "parse-names" : false, "suffix" : "" }, { "dropping-particle" : "", "family" : "Waters", "given" : "Elizabeth", "non-dropping-particle" : "", "parse-names" : false, "suffix" : "" }, { "dropping-particle" : "", "family" : "Armstrong", "given" : "Rebecca", "non-dropping-particle" : "", "parse-names" : false, "suffix" : "" }, { "dropping-particle" : "", "family" : "Bhutta", "given" : "Zulfiqar A", "non-dropping-particle" : "", "parse-names" : false, "suffix" : "" }, { "dropping-particle" : "", "family" : "Francis", "given" : "Damian", "non-dropping-particle" : "", "parse-names" : false, "suffix" : "" }, { "dropping-particle" : "", "family" : "Koehlmoos", "given" : "Tracey Perez", "non-dropping-particle" : "", "parse-names" : false, "suffix" : "" }, { "dropping-particle" : "", "family" : "Kristjansson", "given" : "Elizabeth", "non-dropping-particle" : "", "parse-names" : false, "suffix" : "" }, { "dropping-particle" : "", "family" : "Pantoja", "given" : "Tomas", "non-dropping-particle" : "", "parse-names" : false, "suffix" : "" }, { "dropping-particle" : "", "family" : "Tugwell", "given" : "Peter", "non-dropping-particle" : "", "parse-names" : false, "suffix" : "" } ], "container-title" : "Systematic reviews", "id" : "ITEM-1", "issue" : "1", "issued" : { "date-parts" : [ [ "2013" ] ] }, "page" : "43", "publisher" : "Systematic Reviews", "title" : "Health equity: evidence synthesis and knowledge translation methods.", "type" : "article-journal", "volume" : "2" }, "uris" : [ "http://www.mendeley.com/documents/?uuid=b5ea1c6a-5744-4ba6-972d-1b3de4527a8f" ] } ], "mendeley" : { "formattedCitation" : "&lt;sup&gt;7&lt;/sup&gt;", "plainTextFormattedCitation" : "7", "previouslyFormattedCitation" : "&lt;sup&gt;7&lt;/sup&gt;" }, "properties" : { "noteIndex" : 0 }, "schema" : "https://github.com/citation-style-language/schema/raw/master/csl-citation.json" }</w:instrText>
      </w:r>
      <w:r w:rsidR="00B81478" w:rsidRPr="001E7ED6">
        <w:rPr>
          <w:lang w:eastAsia="en-GB"/>
        </w:rPr>
        <w:fldChar w:fldCharType="separate"/>
      </w:r>
      <w:r w:rsidR="009427AF" w:rsidRPr="009427AF">
        <w:rPr>
          <w:noProof/>
          <w:vertAlign w:val="superscript"/>
          <w:lang w:eastAsia="en-GB"/>
        </w:rPr>
        <w:t>7</w:t>
      </w:r>
      <w:r w:rsidR="00B81478" w:rsidRPr="001E7ED6">
        <w:rPr>
          <w:lang w:eastAsia="en-GB"/>
        </w:rPr>
        <w:fldChar w:fldCharType="end"/>
      </w:r>
      <w:r w:rsidR="0012203B">
        <w:t xml:space="preserve"> </w:t>
      </w:r>
      <w:r w:rsidR="002301B7">
        <w:t>However, w</w:t>
      </w:r>
      <w:r w:rsidR="00053C74">
        <w:rPr>
          <w:lang w:eastAsia="en-GB"/>
        </w:rPr>
        <w:t>e excluded editorials, letters, historical a</w:t>
      </w:r>
      <w:r w:rsidR="00D864F6">
        <w:rPr>
          <w:lang w:eastAsia="en-GB"/>
        </w:rPr>
        <w:t>rticles, reviews and abstracts</w:t>
      </w:r>
      <w:r w:rsidR="00053C74">
        <w:rPr>
          <w:lang w:eastAsia="en-GB"/>
        </w:rPr>
        <w:t xml:space="preserve">. </w:t>
      </w:r>
    </w:p>
    <w:p w:rsidR="00AB3E46" w:rsidRDefault="005B234F" w:rsidP="00F40CE5">
      <w:pPr>
        <w:pStyle w:val="LRiGnormal"/>
        <w:spacing w:line="480" w:lineRule="auto"/>
      </w:pPr>
      <w:r>
        <w:rPr>
          <w:lang w:eastAsia="en-GB"/>
        </w:rPr>
        <w:t xml:space="preserve">We included </w:t>
      </w:r>
      <w:r w:rsidR="004153CA">
        <w:rPr>
          <w:lang w:eastAsia="en-GB"/>
        </w:rPr>
        <w:t>English-language</w:t>
      </w:r>
      <w:r w:rsidR="00894BB2">
        <w:rPr>
          <w:lang w:eastAsia="en-GB"/>
        </w:rPr>
        <w:t xml:space="preserve"> studies only</w:t>
      </w:r>
      <w:r w:rsidR="004153CA">
        <w:rPr>
          <w:lang w:eastAsia="en-GB"/>
        </w:rPr>
        <w:t xml:space="preserve"> </w:t>
      </w:r>
      <w:r w:rsidR="005060E2">
        <w:rPr>
          <w:lang w:eastAsia="en-GB"/>
        </w:rPr>
        <w:t xml:space="preserve">because </w:t>
      </w:r>
      <w:r w:rsidR="004153CA">
        <w:rPr>
          <w:lang w:eastAsia="en-GB"/>
        </w:rPr>
        <w:t xml:space="preserve">no evidence of a systematic bias </w:t>
      </w:r>
      <w:r w:rsidR="00B058A7">
        <w:rPr>
          <w:lang w:eastAsia="en-GB"/>
        </w:rPr>
        <w:t xml:space="preserve">exists </w:t>
      </w:r>
      <w:r w:rsidR="004153CA">
        <w:rPr>
          <w:lang w:eastAsia="en-GB"/>
        </w:rPr>
        <w:t xml:space="preserve">from the use of </w:t>
      </w:r>
      <w:r w:rsidR="005060E2">
        <w:rPr>
          <w:lang w:eastAsia="en-GB"/>
        </w:rPr>
        <w:t>English-</w:t>
      </w:r>
      <w:r w:rsidR="004153CA">
        <w:rPr>
          <w:lang w:eastAsia="en-GB"/>
        </w:rPr>
        <w:t>language restrictions in systematic</w:t>
      </w:r>
      <w:r w:rsidR="005060E2">
        <w:rPr>
          <w:lang w:eastAsia="en-GB"/>
        </w:rPr>
        <w:t xml:space="preserve"> review-based meta-analyses in conventional medicine</w:t>
      </w:r>
      <w:r w:rsidR="0084020B">
        <w:rPr>
          <w:lang w:eastAsia="en-GB"/>
        </w:rPr>
        <w:t>.</w:t>
      </w:r>
      <w:r w:rsidR="00B545BC">
        <w:rPr>
          <w:lang w:eastAsia="en-GB"/>
        </w:rPr>
        <w:fldChar w:fldCharType="begin" w:fldLock="1"/>
      </w:r>
      <w:r w:rsidR="00B719B4">
        <w:rPr>
          <w:lang w:eastAsia="en-GB"/>
        </w:rPr>
        <w:instrText>ADDIN CSL_CITATION { "citationItems" : [ { "id" : "ITEM-1", "itemData" : { "DOI" : "10.1017/S0266462312000086", "ISBN" : "0266462312000", "ISSN" : "0266-4623", "abstract" : "Objectives: The English language is generally perceived to be the universal language of science. However, the exclusive reliance on English-language studies may not represent all of the evidence. Excluding languages other than English (LOE) may introduce a language bias and lead to erroneous conclusions.", "author" : [ { "dropping-particle" : "", "family" : "Morrison", "given" : "Andra", "non-dropping-particle" : "", "parse-names" : false, "suffix" : "" }, { "dropping-particle" : "", "family" : "Polisena", "given" : "Julie", "non-dropping-particle" : "", "parse-names" : false, "suffix" : "" }, { "dropping-particle" : "", "family" : "Husereau", "given" : "Don", "non-dropping-particle" : "", "parse-names" : false, "suffix" : "" }, { "dropping-particle" : "", "family" : "Moulton", "given" : "Kristen", "non-dropping-particle" : "", "parse-names" : false, "suffix" : "" }, { "dropping-particle" : "", "family" : "Clark", "given" : "Michelle", "non-dropping-particle" : "", "parse-names" : false, "suffix" : "" }, { "dropping-particle" : "", "family" : "Fiander", "given" : "Michelle", "non-dropping-particle" : "", "parse-names" : false, "suffix" : "" }, { "dropping-particle" : "", "family" : "Mierzwinski-Urban", "given" : "Monika", "non-dropping-particle" : "", "parse-names" : false, "suffix" : "" }, { "dropping-particle" : "", "family" : "Clifford", "given" : "Tammy", "non-dropping-particle" : "", "parse-names" : false, "suffix" : "" }, { "dropping-particle" : "", "family" : "Hutton", "given" : "Brian", "non-dropping-particle" : "", "parse-names" : false, "suffix" : "" }, { "dropping-particle" : "", "family" : "Rabb", "given" : "Danielle", "non-dropping-particle" : "", "parse-names" : false, "suffix" : "" }, { "dropping-particle" : "", "family" : "Downs", "given" : "S. H.", "non-dropping-particle" : "", "parse-names" : false, "suffix" : "" }, { "dropping-particle" : "", "family" : "Black", "given" : "N.", "non-dropping-particle" : "", "parse-names" : false, "suffix" : "" }, { "dropping-particle" : "", "family" : "Egger", "given" : "Matthias", "non-dropping-particle" : "", "parse-names" : false, "suffix" : "" }, { "dropping-particle" : "", "family" : "Zellweger-Z\u00e4hner", "given" : "Tanja", "non-dropping-particle" : "", "parse-names" : false, "suffix" : "" }, { "dropping-particle" : "", "family" : "Schneider", "given" : "Martin", "non-dropping-particle" : "", "parse-names" : false, "suffix" : "" }, { "dropping-particle" : "", "family" : "Junker", "given" : "Christoph", "non-dropping-particle" : "", "parse-names" : false, "suffix" : "" }, { "dropping-particle" : "", "family" : "Lengeler", "given" : "Christian", "non-dropping-particle" : "", "parse-names" : false, "suffix" : "" }, { "dropping-particle" : "", "family" : "Antes", "given" : "Gerd", "non-dropping-particle" : "", "parse-names" : false, "suffix" : "" }, { "dropping-particle" : "", "family" : "Fung", "given" : "Isaac CH", "non-dropping-particle" : "", "parse-names" : false, "suffix" : "" }, { "dropping-particle" : "", "family" : "Gr\u00e9goire", "given" : "Genevi\u00e8ve", "non-dropping-particle" : "", "parse-names" : false, "suffix" : "" }, { "dropping-particle" : "", "family" : "Derderian", "given" : "Fran\u00e7ois", "non-dropping-particle" : "", "parse-names" : false, "suffix" : "" }, { "dropping-particle" : "", "family" : "Lorier", "given" : "Jacques", "non-dropping-particle" : "Le", "parse-names" : false, "suffix" : "" }, { "dropping-particle" : "", "family" : "Juni", "given" : "P.", "non-dropping-particle" : "", "parse-names" : false, "suffix" : "" }, { "dropping-particle" : "", "family" : "Moher", "given" : "D", "non-dropping-particle" : "", "parse-names" : false, "suffix" : "" }, { "dropping-particle" : "", "family" : "Pham", "given" : "B", "non-dropping-particle" : "", "parse-names" : false, "suffix" : "" }, { "dropping-particle" : "", "family" : "Lawson", "given" : "M", "non-dropping-particle" : "", "parse-names" : false, "suffix" : "" }, { "dropping-particle" : "", "family" : "Klassen", "given" : "T", "non-dropping-particle" : "", "parse-names" : false, "suffix" : "" }, { "dropping-particle" : "", "family" : "Moher", "given" : "David", "non-dropping-particle" : "", "parse-names" : false, "suffix" : "" }, { "dropping-particle" : "", "family" : "Pham", "given" : "Ba&amp;#39", "non-dropping-particle" : "", "parse-names" : false, "suffix" : "" }, { "dropping-particle" : "", "family" : "Jones", "given" : "Alison", "non-dropping-particle" : "", "parse-names" : false, "suffix" : "" }, { "dropping-particle" : "", "family" : "Cook", "given" : "Deborah J", "non-dropping-particle" : "", "parse-names" : false, "suffix" : "" }, { "dropping-particle" : "", "family" : "Jadad", "given" : "Alejandro R", "non-dropping-particle" : "", "parse-names" : false, "suffix" : "" }, { "dropping-particle" : "", "family" : "Moher", "given" : "Michael", "non-dropping-particle" : "", "parse-names" : false, "suffix" : "" }, { "dropping-particle" : "", "family" : "Tugwell", "given" : "Peter", "non-dropping-particle" : "", "parse-names" : false, "suffix" : "" }, { "dropping-particle" : "", "family" : "Klassen", "given" : "Terry P", "non-dropping-particle" : "", "parse-names" : false, "suffix" : "" }, { "dropping-particle" : "", "family" : "Moher", "given" : "David", "non-dropping-particle" : "", "parse-names" : false, "suffix" : "" }, { "dropping-particle" : "", "family" : "Pham", "given" : "", "non-dropping-particle" : "", "parse-names" : false, "suffix" : "" }, { "dropping-particle" : "", "family" : "Klassen", "given" : "Terry P", "non-dropping-particle" : "", "parse-names" : false, "suffix" : "" }, { "dropping-particle" : "", "family" : "Schulz", "given" : "Kenneth F", "non-dropping-particle" : "", "parse-names" : false, "suffix" : "" }, { "dropping-particle" : "", "family" : "Berlin", "given" : "Jesse A", "non-dropping-particle" : "", "parse-names" : false, "suffix" : "" }, { "dropping-particle" : "", "family" : "Jadad", "given" : "Alejandro R", "non-dropping-particle" : "", "parse-names" : false, "suffix" : "" }, { "dropping-particle" : "", "family" : "Liberati", "given" : "Alessandro", "non-dropping-particle" : "", "parse-names" : false, "suffix" : "" }, { "dropping-particle" : "", "family" : "Pan", "given" : "Zhenglun", "non-dropping-particle" : "", "parse-names" : false, "suffix" : "" }, { "dropping-particle" : "", "family" : "Trikalinos", "given" : "Thomas A", "non-dropping-particle" : "", "parse-names" : false, "suffix" : "" }, { "dropping-particle" : "", "family" : "Kavvoura", "given" : "Fotini K", "non-dropping-particle" : "", "parse-names" : false, "suffix" : "" }, { "dropping-particle" : "", "family" : "Lau", "given" : "Joseph", "non-dropping-particle" : "", "parse-names" : false, "suffix" : "" }, { "dropping-particle" : "", "family" : "Ioannidis", "given" : "John P.A", "non-dropping-particle" : "", "parse-names" : false, "suffix" : "" }, { "dropping-particle" : "", "family" : "Pham", "given" : "Ba&amp;#39", "non-dropping-particle" : "", "parse-names" : false, "suffix" : "" }, { "dropping-particle" : "", "family" : "Klassen", "given" : "Terry P.", "non-dropping-particle" : "", "parse-names" : false, "suffix" : "" }, { "dropping-particle" : "", "family" : "Lawson", "given" : "Margaret L.", "non-dropping-particle" : "", "parse-names" : false, "suffix" : "" }, { "dropping-particle" : "", "family" : "Moher", "given" : "David", "non-dropping-particle" : "", "parse-names" : false, "suffix" : "" } ], "container-title" : "International Journal of Technology Assessment in Health Care", "id" : "ITEM-1", "issue" : "02", "issued" : { "date-parts" : [ [ "2012" ] ] }, "page" : "138-144", "title" : "The Effect of English-Language Restriction on Systematic Review-Based Meta-Analyses: a Systematic Review of Empirical Studies", "type" : "article-journal", "volume" : "28" }, "uris" : [ "http://www.mendeley.com/documents/?uuid=311e0aa1-6d33-4147-96a2-b69fd6275be9" ] } ], "mendeley" : { "formattedCitation" : "&lt;sup&gt;11&lt;/sup&gt;", "plainTextFormattedCitation" : "11", "previouslyFormattedCitation" : "&lt;sup&gt;11&lt;/sup&gt;" }, "properties" : { "noteIndex" : 0 }, "schema" : "https://github.com/citation-style-language/schema/raw/master/csl-citation.json" }</w:instrText>
      </w:r>
      <w:r w:rsidR="00B545BC">
        <w:rPr>
          <w:lang w:eastAsia="en-GB"/>
        </w:rPr>
        <w:fldChar w:fldCharType="separate"/>
      </w:r>
      <w:r w:rsidR="009427AF" w:rsidRPr="009427AF">
        <w:rPr>
          <w:noProof/>
          <w:vertAlign w:val="superscript"/>
          <w:lang w:eastAsia="en-GB"/>
        </w:rPr>
        <w:t>11</w:t>
      </w:r>
      <w:r w:rsidR="00B545BC">
        <w:rPr>
          <w:lang w:eastAsia="en-GB"/>
        </w:rPr>
        <w:fldChar w:fldCharType="end"/>
      </w:r>
      <w:r w:rsidR="00020A05">
        <w:rPr>
          <w:lang w:eastAsia="en-GB"/>
        </w:rPr>
        <w:t xml:space="preserve"> </w:t>
      </w:r>
      <w:r w:rsidR="00737E62">
        <w:rPr>
          <w:lang w:eastAsia="en-GB"/>
        </w:rPr>
        <w:t xml:space="preserve"> </w:t>
      </w:r>
      <w:r w:rsidR="00020A05">
        <w:rPr>
          <w:lang w:eastAsia="en-GB"/>
        </w:rPr>
        <w:t xml:space="preserve">We included studies </w:t>
      </w:r>
      <w:r w:rsidR="004153CA">
        <w:rPr>
          <w:lang w:eastAsia="en-GB"/>
        </w:rPr>
        <w:t xml:space="preserve">on persons aged 16 </w:t>
      </w:r>
      <w:r w:rsidR="00B058A7">
        <w:rPr>
          <w:lang w:eastAsia="en-GB"/>
        </w:rPr>
        <w:t xml:space="preserve">years </w:t>
      </w:r>
      <w:r w:rsidR="004153CA">
        <w:rPr>
          <w:lang w:eastAsia="en-GB"/>
        </w:rPr>
        <w:t xml:space="preserve">and above </w:t>
      </w:r>
      <w:r w:rsidR="00020A05">
        <w:rPr>
          <w:lang w:eastAsia="en-GB"/>
        </w:rPr>
        <w:t xml:space="preserve">that measured outcomes directly and indirectly (e.g. self-reported). </w:t>
      </w:r>
      <w:r w:rsidR="0012203B">
        <w:rPr>
          <w:lang w:eastAsia="en-GB"/>
        </w:rPr>
        <w:t>S</w:t>
      </w:r>
      <w:r w:rsidR="00020A05">
        <w:t>tudies that focus</w:t>
      </w:r>
      <w:r w:rsidR="00AB3E46">
        <w:t>ed on genotyping to guide efficacy and discuss</w:t>
      </w:r>
      <w:r w:rsidR="00CE33EF">
        <w:t>ed</w:t>
      </w:r>
      <w:r w:rsidR="00AB3E46">
        <w:t xml:space="preserve"> health equity issues</w:t>
      </w:r>
      <w:r w:rsidR="0012203B">
        <w:t xml:space="preserve"> were </w:t>
      </w:r>
      <w:r w:rsidR="00CE33EF">
        <w:t>included</w:t>
      </w:r>
      <w:r w:rsidR="00EA6AC2">
        <w:t>.</w:t>
      </w:r>
      <w:r w:rsidR="00EA6AC2" w:rsidRPr="00EA6AC2">
        <w:t xml:space="preserve"> </w:t>
      </w:r>
      <w:r w:rsidR="00EA6AC2">
        <w:t xml:space="preserve">Studies were included if </w:t>
      </w:r>
      <w:r w:rsidR="00EA6AC2" w:rsidRPr="00EA6AC2">
        <w:t>terms relating to impact on health disparities were stated in the title, abstract or keywords of the publication</w:t>
      </w:r>
      <w:r w:rsidR="00EA6AC2">
        <w:t>.</w:t>
      </w:r>
      <w:r w:rsidR="00EA6AC2" w:rsidRPr="00EA6AC2">
        <w:t xml:space="preserve"> </w:t>
      </w:r>
      <w:r w:rsidR="00B058A7">
        <w:t>S</w:t>
      </w:r>
      <w:r w:rsidR="00AB3E46" w:rsidRPr="00390792">
        <w:t xml:space="preserve">tudies which discussed </w:t>
      </w:r>
      <w:r w:rsidR="00AB3E46">
        <w:t xml:space="preserve">equity issues related to </w:t>
      </w:r>
      <w:r w:rsidR="00EE0863">
        <w:t xml:space="preserve">uptake rates associated with </w:t>
      </w:r>
      <w:r w:rsidR="00CE33EF">
        <w:t xml:space="preserve">sociodemographic and psychosocial factors </w:t>
      </w:r>
      <w:r w:rsidR="00AB3E46" w:rsidRPr="00390792">
        <w:t>were ou</w:t>
      </w:r>
      <w:r w:rsidR="006765BF">
        <w:t>tside the scope of this review (f</w:t>
      </w:r>
      <w:r w:rsidR="0024071F">
        <w:t xml:space="preserve">urther information about </w:t>
      </w:r>
      <w:r w:rsidR="00D11355">
        <w:t>our</w:t>
      </w:r>
      <w:r w:rsidR="0024071F">
        <w:t xml:space="preserve"> incl</w:t>
      </w:r>
      <w:r w:rsidR="00D11355">
        <w:t xml:space="preserve">usion criteria is provided in </w:t>
      </w:r>
      <w:r w:rsidR="00DD3930" w:rsidRPr="00DD3930">
        <w:rPr>
          <w:b/>
        </w:rPr>
        <w:t>Supplementary Table S3</w:t>
      </w:r>
      <w:r w:rsidR="00DD3930" w:rsidRPr="00DD3930">
        <w:t xml:space="preserve"> </w:t>
      </w:r>
      <w:r w:rsidR="006765BF">
        <w:t>online)</w:t>
      </w:r>
      <w:r w:rsidR="00D11355">
        <w:t xml:space="preserve">. </w:t>
      </w:r>
      <w:r w:rsidR="00DD3930">
        <w:t xml:space="preserve"> </w:t>
      </w:r>
    </w:p>
    <w:p w:rsidR="00BF454A" w:rsidRDefault="00EA6AC2" w:rsidP="00C45A15">
      <w:pPr>
        <w:pStyle w:val="Heading3"/>
        <w:numPr>
          <w:ilvl w:val="0"/>
          <w:numId w:val="0"/>
        </w:numPr>
        <w:spacing w:line="480" w:lineRule="auto"/>
        <w:ind w:left="720" w:hanging="720"/>
      </w:pPr>
      <w:r>
        <w:t xml:space="preserve">Screening, </w:t>
      </w:r>
      <w:r w:rsidR="00BF454A" w:rsidRPr="00BF454A">
        <w:t>D</w:t>
      </w:r>
      <w:r w:rsidR="00805C73">
        <w:t>ata E</w:t>
      </w:r>
      <w:r w:rsidR="00BF454A" w:rsidRPr="00F27EF7">
        <w:t>xtraction</w:t>
      </w:r>
      <w:r w:rsidR="00805C73">
        <w:t xml:space="preserve"> and Quality Assessment</w:t>
      </w:r>
    </w:p>
    <w:p w:rsidR="00053C74" w:rsidRDefault="001F02CA" w:rsidP="00F40CE5">
      <w:pPr>
        <w:pStyle w:val="LRiGnormal"/>
        <w:spacing w:line="480" w:lineRule="auto"/>
        <w:rPr>
          <w:lang w:eastAsia="en-GB"/>
        </w:rPr>
      </w:pPr>
      <w:r w:rsidRPr="00B976B4">
        <w:rPr>
          <w:lang w:eastAsia="en-GB"/>
        </w:rPr>
        <w:t xml:space="preserve">Titles </w:t>
      </w:r>
      <w:r>
        <w:rPr>
          <w:lang w:eastAsia="en-GB"/>
        </w:rPr>
        <w:t xml:space="preserve">and abstracts </w:t>
      </w:r>
      <w:r w:rsidRPr="00B976B4">
        <w:rPr>
          <w:lang w:eastAsia="en-GB"/>
        </w:rPr>
        <w:t>were screened</w:t>
      </w:r>
      <w:r>
        <w:rPr>
          <w:lang w:eastAsia="en-GB"/>
        </w:rPr>
        <w:t xml:space="preserve"> by one reviewer </w:t>
      </w:r>
      <w:r w:rsidR="00225C41">
        <w:rPr>
          <w:lang w:eastAsia="en-GB"/>
        </w:rPr>
        <w:t>(A</w:t>
      </w:r>
      <w:r w:rsidR="008D725B">
        <w:rPr>
          <w:lang w:eastAsia="en-GB"/>
        </w:rPr>
        <w:t xml:space="preserve">M) </w:t>
      </w:r>
      <w:r w:rsidR="00675DE0">
        <w:rPr>
          <w:lang w:eastAsia="en-GB"/>
        </w:rPr>
        <w:t xml:space="preserve">and 30% were double </w:t>
      </w:r>
      <w:r>
        <w:rPr>
          <w:lang w:eastAsia="en-GB"/>
        </w:rPr>
        <w:t>screened</w:t>
      </w:r>
      <w:r w:rsidRPr="00B976B4">
        <w:rPr>
          <w:lang w:eastAsia="en-GB"/>
        </w:rPr>
        <w:t xml:space="preserve"> by </w:t>
      </w:r>
      <w:r>
        <w:rPr>
          <w:lang w:eastAsia="en-GB"/>
        </w:rPr>
        <w:t>a second</w:t>
      </w:r>
      <w:r w:rsidRPr="00B976B4">
        <w:rPr>
          <w:lang w:eastAsia="en-GB"/>
        </w:rPr>
        <w:t xml:space="preserve"> </w:t>
      </w:r>
      <w:r>
        <w:rPr>
          <w:lang w:eastAsia="en-GB"/>
        </w:rPr>
        <w:t xml:space="preserve">independent </w:t>
      </w:r>
      <w:r w:rsidRPr="00B976B4">
        <w:rPr>
          <w:lang w:eastAsia="en-GB"/>
        </w:rPr>
        <w:t>reviewer</w:t>
      </w:r>
      <w:r w:rsidR="008D725B">
        <w:rPr>
          <w:lang w:eastAsia="en-GB"/>
        </w:rPr>
        <w:t xml:space="preserve"> (JD)</w:t>
      </w:r>
      <w:r w:rsidRPr="00B976B4">
        <w:rPr>
          <w:lang w:eastAsia="en-GB"/>
        </w:rPr>
        <w:t>.</w:t>
      </w:r>
      <w:r w:rsidR="00053C74">
        <w:rPr>
          <w:lang w:eastAsia="en-GB"/>
        </w:rPr>
        <w:t xml:space="preserve"> Full texts were retrieved wh</w:t>
      </w:r>
      <w:r w:rsidR="008D725B">
        <w:rPr>
          <w:lang w:eastAsia="en-GB"/>
        </w:rPr>
        <w:t xml:space="preserve">ere reviewers were in agreement </w:t>
      </w:r>
      <w:r w:rsidR="00053C74">
        <w:rPr>
          <w:lang w:eastAsia="en-GB"/>
        </w:rPr>
        <w:t>that the article met the inclusion criteria</w:t>
      </w:r>
      <w:r w:rsidR="008D725B">
        <w:rPr>
          <w:lang w:eastAsia="en-GB"/>
        </w:rPr>
        <w:t xml:space="preserve"> (</w:t>
      </w:r>
      <w:r w:rsidR="00675DE0">
        <w:rPr>
          <w:lang w:eastAsia="en-GB"/>
        </w:rPr>
        <w:t>99.4</w:t>
      </w:r>
      <w:r w:rsidR="008D725B">
        <w:rPr>
          <w:lang w:eastAsia="en-GB"/>
        </w:rPr>
        <w:t>%</w:t>
      </w:r>
      <w:r w:rsidR="006E7DF3">
        <w:rPr>
          <w:lang w:eastAsia="en-GB"/>
        </w:rPr>
        <w:t xml:space="preserve"> agreement</w:t>
      </w:r>
      <w:r w:rsidR="008D725B">
        <w:rPr>
          <w:lang w:eastAsia="en-GB"/>
        </w:rPr>
        <w:t>)</w:t>
      </w:r>
      <w:r w:rsidR="00675DE0">
        <w:rPr>
          <w:lang w:eastAsia="en-GB"/>
        </w:rPr>
        <w:t xml:space="preserve"> and consensus was reached </w:t>
      </w:r>
      <w:r w:rsidR="00932A0D">
        <w:rPr>
          <w:lang w:eastAsia="en-GB"/>
        </w:rPr>
        <w:t xml:space="preserve">by discussion between </w:t>
      </w:r>
      <w:r w:rsidR="00675DE0">
        <w:rPr>
          <w:lang w:eastAsia="en-GB"/>
        </w:rPr>
        <w:t xml:space="preserve">the </w:t>
      </w:r>
      <w:r w:rsidR="008D725B">
        <w:rPr>
          <w:lang w:eastAsia="en-GB"/>
        </w:rPr>
        <w:t xml:space="preserve">two reviewers. </w:t>
      </w:r>
      <w:r w:rsidR="00E40459">
        <w:rPr>
          <w:lang w:eastAsia="en-GB"/>
        </w:rPr>
        <w:t xml:space="preserve">After determining article inclusion, one reviewer entered </w:t>
      </w:r>
      <w:r w:rsidR="003D4E85">
        <w:rPr>
          <w:lang w:eastAsia="en-GB"/>
        </w:rPr>
        <w:t>study data into evidence tables</w:t>
      </w:r>
      <w:r w:rsidR="00932A0D">
        <w:rPr>
          <w:lang w:eastAsia="en-GB"/>
        </w:rPr>
        <w:t xml:space="preserve"> (AM)</w:t>
      </w:r>
      <w:r w:rsidR="003D4E85">
        <w:rPr>
          <w:lang w:eastAsia="en-GB"/>
        </w:rPr>
        <w:t>; a second senior reviewer checked the information for accuracy and completeness</w:t>
      </w:r>
      <w:r w:rsidR="00932A0D">
        <w:rPr>
          <w:lang w:eastAsia="en-GB"/>
        </w:rPr>
        <w:t xml:space="preserve"> (JD)</w:t>
      </w:r>
      <w:r w:rsidR="003D4E85">
        <w:rPr>
          <w:lang w:eastAsia="en-GB"/>
        </w:rPr>
        <w:t xml:space="preserve">. </w:t>
      </w:r>
    </w:p>
    <w:p w:rsidR="00B840F8" w:rsidRPr="00B840F8" w:rsidRDefault="00E90968" w:rsidP="00F40CE5">
      <w:pPr>
        <w:pStyle w:val="LRiGnormal"/>
        <w:spacing w:line="480" w:lineRule="auto"/>
      </w:pPr>
      <w:r>
        <w:lastRenderedPageBreak/>
        <w:t xml:space="preserve">Data were extracted on the following study characteristics: year of publication, setting, </w:t>
      </w:r>
      <w:r w:rsidR="000B7801">
        <w:t>study type, sample population</w:t>
      </w:r>
      <w:r w:rsidR="0094354B">
        <w:t>, genetic test and</w:t>
      </w:r>
      <w:r>
        <w:t xml:space="preserve"> </w:t>
      </w:r>
      <w:r w:rsidR="000B7801">
        <w:t>health equity comment</w:t>
      </w:r>
      <w:r w:rsidR="0094354B">
        <w:t xml:space="preserve">. </w:t>
      </w:r>
      <w:r w:rsidR="00ED0E7A">
        <w:t>We classified the included studies based on PROGRESS-Plus items</w:t>
      </w:r>
      <w:r w:rsidR="00EA5D26">
        <w:t xml:space="preserve"> </w:t>
      </w:r>
      <w:r w:rsidR="00716A81" w:rsidRPr="00716A81">
        <w:t xml:space="preserve">(see </w:t>
      </w:r>
      <w:r w:rsidR="00CB755C" w:rsidRPr="00CB755C">
        <w:rPr>
          <w:b/>
        </w:rPr>
        <w:t>Supplementary Table S2</w:t>
      </w:r>
      <w:r w:rsidR="00CB755C">
        <w:rPr>
          <w:b/>
        </w:rPr>
        <w:t xml:space="preserve"> </w:t>
      </w:r>
      <w:r w:rsidR="006765BF">
        <w:t>online</w:t>
      </w:r>
      <w:r w:rsidR="00716A81" w:rsidRPr="00716A81">
        <w:t xml:space="preserve"> for PROGRESS-Plus definitions of measures)</w:t>
      </w:r>
      <w:r w:rsidR="0084020B">
        <w:t>.</w:t>
      </w:r>
      <w:r w:rsidR="00894BB2" w:rsidRPr="00320B93">
        <w:rPr>
          <w:noProof/>
          <w:vertAlign w:val="superscript"/>
        </w:rPr>
        <w:t>21</w:t>
      </w:r>
      <w:r w:rsidR="001B3074">
        <w:t xml:space="preserve"> </w:t>
      </w:r>
    </w:p>
    <w:p w:rsidR="006C4CBE" w:rsidRDefault="00932A0D" w:rsidP="00F40CE5">
      <w:pPr>
        <w:pStyle w:val="LRiGnormal"/>
        <w:spacing w:line="480" w:lineRule="auto"/>
      </w:pPr>
      <w:r>
        <w:t xml:space="preserve">AM </w:t>
      </w:r>
      <w:r w:rsidR="006C4CBE" w:rsidRPr="00274465">
        <w:t xml:space="preserve">graded </w:t>
      </w:r>
      <w:r w:rsidR="00D95302">
        <w:t xml:space="preserve">the </w:t>
      </w:r>
      <w:r w:rsidR="006C4CBE" w:rsidRPr="00274465">
        <w:t xml:space="preserve">strength of the evidence </w:t>
      </w:r>
      <w:r w:rsidR="00D95302">
        <w:t>using the</w:t>
      </w:r>
      <w:r w:rsidR="006C4CBE" w:rsidRPr="00274465">
        <w:t xml:space="preserve"> </w:t>
      </w:r>
      <w:r w:rsidR="002A28B6" w:rsidRPr="002A28B6">
        <w:t>Grading of Recommendations, Assessment, Development and Evaluations</w:t>
      </w:r>
      <w:r w:rsidR="002A28B6">
        <w:t xml:space="preserve"> (</w:t>
      </w:r>
      <w:r w:rsidR="006C4CBE" w:rsidRPr="00274465">
        <w:t>GRADE</w:t>
      </w:r>
      <w:r w:rsidR="002A28B6">
        <w:t>)</w:t>
      </w:r>
      <w:r w:rsidR="00B058A7">
        <w:t>,</w:t>
      </w:r>
      <w:r w:rsidR="006C4CBE" w:rsidRPr="00274465">
        <w:t xml:space="preserve"> </w:t>
      </w:r>
      <w:r w:rsidR="00504B22">
        <w:t xml:space="preserve">quality assessment </w:t>
      </w:r>
      <w:r w:rsidR="006C4CBE" w:rsidRPr="00274465">
        <w:t>method</w:t>
      </w:r>
      <w:r w:rsidR="00504B22">
        <w:t xml:space="preserve"> (see </w:t>
      </w:r>
      <w:r w:rsidR="00CB755C" w:rsidRPr="00CB755C">
        <w:rPr>
          <w:b/>
        </w:rPr>
        <w:t xml:space="preserve">Supplementary Table S4 </w:t>
      </w:r>
      <w:r w:rsidR="006765BF" w:rsidRPr="006765BF">
        <w:t>online</w:t>
      </w:r>
      <w:r w:rsidR="00504B22">
        <w:t>)</w:t>
      </w:r>
      <w:r w:rsidR="006C4CBE" w:rsidRPr="00274465">
        <w:t xml:space="preserve">. There </w:t>
      </w:r>
      <w:r w:rsidR="00AE3C69">
        <w:t>were</w:t>
      </w:r>
      <w:r w:rsidR="006C4CBE" w:rsidRPr="00274465">
        <w:t xml:space="preserve"> four categories of quality ratings in GRADE – ‘high’, ‘moderate’, ‘low’ and ‘very low’. Briefly, the defaul</w:t>
      </w:r>
      <w:r w:rsidR="00AE3C69">
        <w:t>t quality rating was</w:t>
      </w:r>
      <w:r w:rsidR="006C4CBE" w:rsidRPr="00274465">
        <w:t xml:space="preserve"> ‘high’ for evidence from </w:t>
      </w:r>
      <w:r w:rsidR="00A63D22" w:rsidRPr="00274465">
        <w:t>randomized</w:t>
      </w:r>
      <w:r w:rsidR="006C4CBE" w:rsidRPr="00274465">
        <w:t xml:space="preserve"> controlled (including cluster) trials and ‘low’ for evidence from observational studi</w:t>
      </w:r>
      <w:r w:rsidR="00AE3C69">
        <w:t xml:space="preserve">es. Evidence for each </w:t>
      </w:r>
      <w:r w:rsidR="00A03109">
        <w:t>study</w:t>
      </w:r>
      <w:r w:rsidR="00AE3C69">
        <w:t xml:space="preserve"> was</w:t>
      </w:r>
      <w:r w:rsidR="006C4CBE" w:rsidRPr="00274465">
        <w:t xml:space="preserve"> examined for risks of bias, inconsistency, indirectness, imprecision and publication bias. Quality may be rated down if there is evidence of any of these five factors</w:t>
      </w:r>
      <w:r w:rsidR="009069D6">
        <w:t>;</w:t>
      </w:r>
      <w:r w:rsidR="006C4CBE" w:rsidRPr="00274465">
        <w:t xml:space="preserve"> for example, an observational study where risk of bias is judged to be serious would be rated down by 1 point from ‘low’ to ‘very low’. Alternatively, quality may be modified upward if there </w:t>
      </w:r>
      <w:r w:rsidR="00C901A4">
        <w:t xml:space="preserve">is a large magnitude of effect </w:t>
      </w:r>
      <w:r w:rsidR="006C4CBE" w:rsidRPr="00274465">
        <w:t xml:space="preserve">or if any plausible confounders </w:t>
      </w:r>
      <w:r w:rsidR="00AE3C69">
        <w:t>were</w:t>
      </w:r>
      <w:r w:rsidR="006C4CBE" w:rsidRPr="00274465">
        <w:t xml:space="preserve"> likely to </w:t>
      </w:r>
      <w:r w:rsidR="00A63D22" w:rsidRPr="00274465">
        <w:t>minimize</w:t>
      </w:r>
      <w:r w:rsidR="006C4CBE" w:rsidRPr="00274465">
        <w:t xml:space="preserve"> the observed effect. </w:t>
      </w:r>
      <w:r w:rsidR="00AE3C69" w:rsidRPr="00041311">
        <w:t xml:space="preserve">The quality of reporting of individual studies </w:t>
      </w:r>
      <w:r w:rsidR="009069D6">
        <w:t>was</w:t>
      </w:r>
      <w:r w:rsidR="009069D6" w:rsidRPr="00041311">
        <w:t xml:space="preserve"> </w:t>
      </w:r>
      <w:r w:rsidR="00AE3C69" w:rsidRPr="00041311">
        <w:t>expanded further in the narrative and a</w:t>
      </w:r>
      <w:r w:rsidR="006C4CBE" w:rsidRPr="00041311">
        <w:t xml:space="preserve">dditional information on how ratings were determined for each </w:t>
      </w:r>
      <w:r w:rsidR="00CE1D13" w:rsidRPr="00041311">
        <w:t>study</w:t>
      </w:r>
      <w:r w:rsidR="006C4CBE" w:rsidRPr="00041311">
        <w:t xml:space="preserve"> </w:t>
      </w:r>
      <w:r w:rsidR="009069D6">
        <w:t>was</w:t>
      </w:r>
      <w:r w:rsidR="009069D6" w:rsidRPr="00041311">
        <w:t xml:space="preserve"> </w:t>
      </w:r>
      <w:r w:rsidR="00041311" w:rsidRPr="00041311">
        <w:t>provided</w:t>
      </w:r>
      <w:r w:rsidR="0084020B">
        <w:t>.</w:t>
      </w:r>
      <w:r w:rsidR="00B545BC" w:rsidRPr="00041311">
        <w:fldChar w:fldCharType="begin" w:fldLock="1"/>
      </w:r>
      <w:r w:rsidR="00B719B4">
        <w:instrText>ADDIN CSL_CITATION { "citationItems" : [ { "id" : "ITEM-1", "itemData" : { "DOI" : "10.1016/j.jclinepi.2010.04.026", "ISBN" : "9055243841", "ISSN" : "08954356", "PMID" : "22818160", "abstract" : "This article is the first of a series providing guidance for use of the Grading of Recommendations Assessment, Development, and Evaluation (GRADE) system of rating quality of evidence and grading strength of recommendations in systematic reviews, health technology assessments (HTAs), and clinical practice guidelines addressing alternative management options. The GRADE process begins with asking an explicit question, including specification of all important outcomes. After the evidence is collected and summarized, GRADE provides explicit criteria for rating the quality of evidence that include study design, risk of bias, imprecision, inconsistency, indirectness, and magnitude of effect. Recommendations are characterized as strong or weak (alternative terms conditional or discretionary) according to the quality of the supporting evidence and the balance between desirable and undesirable consequences of the alternative management options. GRADE suggests summarizing evidence in succinct, transparent, and informative summary of findings tables that show the quality of evidence and the magnitude of relative and absolute effects for each important outcome and/or as evidence profiles that provide, in addition, detailed information about the reason for the quality of evidence rating. Subsequent articles in this series will address GRADE's approach to formulating questions, assessing quality of evidence, and developing recommendations. ?? 2011 Elsevier Inc. All rights reserved.", "author" : [ { "dropping-particle" : "", "family" : "Guyatt", "given" : "Gordon", "non-dropping-particle" : "", "parse-names" : false, "suffix" : "" }, { "dropping-particle" : "", "family" : "Oxman", "given" : "Andrew D.", "non-dropping-particle" : "", "parse-names" : false, "suffix" : "" }, { "dropping-particle" : "", "family" : "Akl", "given" : "Elie A.", "non-dropping-particle" : "", "parse-names" : false, "suffix" : "" }, { "dropping-particle" : "", "family" : "Kunz", "given" : "Regina", "non-dropping-particle" : "", "parse-names" : false, "suffix" : "" }, { "dropping-particle" : "", "family" : "Vist", "given" : "Gunn", "non-dropping-particle" : "", "parse-names" : false, "suffix" : "" }, { "dropping-particle" : "", "family" : "Brozek", "given" : "Jan", "non-dropping-particle" : "", "parse-names" : false, "suffix" : "" }, { "dropping-particle" : "", "family" : "Norris", "given" : "Susan", "non-dropping-particle" : "", "parse-names" : false, "suffix" : "" }, { "dropping-particle" : "", "family" : "Falck-Ytter", "given" : "Yngve", "non-dropping-particle" : "", "parse-names" : false, "suffix" : "" }, { "dropping-particle" : "", "family" : "Glasziou", "given" : "Paul", "non-dropping-particle" : "", "parse-names" : false, "suffix" : "" }, { "dropping-particle" : "", "family" : "Debeer", "given" : "Hans", "non-dropping-particle" : "", "parse-names" : false, "suffix" : "" }, { "dropping-particle" : "", "family" : "Jaeschke", "given" : "Roman", "non-dropping-particle" : "", "parse-names" : false, "suffix" : "" }, { "dropping-particle" : "", "family" : "Rind", "given" : "David", "non-dropping-particle" : "", "parse-names" : false, "suffix" : "" }, { "dropping-particle" : "", "family" : "Meerpohl", "given" : "Joerg", "non-dropping-particle" : "", "parse-names" : false, "suffix" : "" }, { "dropping-particle" : "", "family" : "Dahm", "given" : "Philipp", "non-dropping-particle" : "", "parse-names" : false, "suffix" : "" }, { "dropping-particle" : "", "family" : "Sch??nemann", "given" : "Holger J.", "non-dropping-particle" : "", "parse-names" : false, "suffix" : "" } ], "container-title" : "Journal of Clinical Epidemiology", "id" : "ITEM-1", "issue" : "4", "issued" : { "date-parts" : [ [ "2011" ] ] }, "page" : "383-394", "title" : "GRADE guidelines: 1. Introduction - GRADE evidence profiles and summary of findings tables", "type" : "article-journal", "volume" : "64" }, "uris" : [ "http://www.mendeley.com/documents/?uuid=81b1b1b9-8882-45c9-bf08-e88ba557bdc6" ] } ], "mendeley" : { "formattedCitation" : "&lt;sup&gt;12&lt;/sup&gt;", "plainTextFormattedCitation" : "12", "previouslyFormattedCitation" : "&lt;sup&gt;12&lt;/sup&gt;" }, "properties" : { "noteIndex" : 0 }, "schema" : "https://github.com/citation-style-language/schema/raw/master/csl-citation.json" }</w:instrText>
      </w:r>
      <w:r w:rsidR="00B545BC" w:rsidRPr="00041311">
        <w:fldChar w:fldCharType="separate"/>
      </w:r>
      <w:r w:rsidR="009427AF" w:rsidRPr="009427AF">
        <w:rPr>
          <w:noProof/>
          <w:vertAlign w:val="superscript"/>
        </w:rPr>
        <w:t>12</w:t>
      </w:r>
      <w:r w:rsidR="00B545BC" w:rsidRPr="00041311">
        <w:fldChar w:fldCharType="end"/>
      </w:r>
    </w:p>
    <w:p w:rsidR="00E4430A" w:rsidRDefault="00805C73" w:rsidP="00C45A15">
      <w:pPr>
        <w:pStyle w:val="Heading3"/>
        <w:numPr>
          <w:ilvl w:val="0"/>
          <w:numId w:val="0"/>
        </w:numPr>
        <w:spacing w:line="480" w:lineRule="auto"/>
        <w:ind w:left="720" w:hanging="720"/>
      </w:pPr>
      <w:r>
        <w:t>Data Synthesis and Analysis</w:t>
      </w:r>
    </w:p>
    <w:p w:rsidR="009069D6" w:rsidRDefault="007B4401" w:rsidP="00F40CE5">
      <w:pPr>
        <w:spacing w:line="480" w:lineRule="auto"/>
        <w:jc w:val="both"/>
        <w:rPr>
          <w:sz w:val="22"/>
        </w:rPr>
      </w:pPr>
      <w:r w:rsidRPr="00CF3E16">
        <w:rPr>
          <w:sz w:val="22"/>
        </w:rPr>
        <w:t>Results are presented as summaries of individual studies</w:t>
      </w:r>
      <w:r w:rsidR="00FB09BE" w:rsidRPr="00CF3E16">
        <w:rPr>
          <w:sz w:val="22"/>
        </w:rPr>
        <w:t xml:space="preserve"> and</w:t>
      </w:r>
      <w:r w:rsidR="002033EB" w:rsidRPr="00CF3E16">
        <w:rPr>
          <w:sz w:val="22"/>
        </w:rPr>
        <w:t xml:space="preserve"> reported in the context of </w:t>
      </w:r>
      <w:r w:rsidR="0094354B">
        <w:rPr>
          <w:sz w:val="22"/>
        </w:rPr>
        <w:t xml:space="preserve">the </w:t>
      </w:r>
      <w:r w:rsidR="002033EB" w:rsidRPr="00CF3E16">
        <w:rPr>
          <w:sz w:val="22"/>
        </w:rPr>
        <w:t xml:space="preserve">impact </w:t>
      </w:r>
      <w:r w:rsidR="0094354B">
        <w:rPr>
          <w:sz w:val="22"/>
        </w:rPr>
        <w:t xml:space="preserve">of </w:t>
      </w:r>
      <w:r w:rsidR="00225C41">
        <w:rPr>
          <w:sz w:val="22"/>
        </w:rPr>
        <w:t>pharmacogenomics</w:t>
      </w:r>
      <w:r w:rsidR="001C3328">
        <w:rPr>
          <w:sz w:val="22"/>
        </w:rPr>
        <w:t xml:space="preserve"> on</w:t>
      </w:r>
      <w:r w:rsidR="002033EB" w:rsidRPr="00CF3E16">
        <w:rPr>
          <w:sz w:val="22"/>
        </w:rPr>
        <w:t xml:space="preserve"> </w:t>
      </w:r>
      <w:r w:rsidR="001C3328">
        <w:rPr>
          <w:sz w:val="22"/>
        </w:rPr>
        <w:t>health disparities</w:t>
      </w:r>
      <w:r w:rsidR="002033EB" w:rsidRPr="00CF3E16">
        <w:rPr>
          <w:sz w:val="22"/>
        </w:rPr>
        <w:t xml:space="preserve">. </w:t>
      </w:r>
      <w:r w:rsidR="00BA0B00" w:rsidRPr="00CF3E16">
        <w:rPr>
          <w:sz w:val="22"/>
        </w:rPr>
        <w:t>A</w:t>
      </w:r>
      <w:r w:rsidR="00006491" w:rsidRPr="00CF3E16">
        <w:rPr>
          <w:sz w:val="22"/>
        </w:rPr>
        <w:t xml:space="preserve">n overview of study quality </w:t>
      </w:r>
      <w:r w:rsidR="00BA0B00" w:rsidRPr="00CF3E16">
        <w:rPr>
          <w:sz w:val="22"/>
        </w:rPr>
        <w:t xml:space="preserve">using the GRADE method </w:t>
      </w:r>
      <w:r w:rsidR="00006491" w:rsidRPr="00CF3E16">
        <w:rPr>
          <w:sz w:val="22"/>
        </w:rPr>
        <w:t>and equity consideration</w:t>
      </w:r>
      <w:r w:rsidR="00BA0B00" w:rsidRPr="00CF3E16">
        <w:rPr>
          <w:sz w:val="22"/>
        </w:rPr>
        <w:t>s is provided</w:t>
      </w:r>
      <w:r w:rsidR="00006491" w:rsidRPr="00CF3E16">
        <w:rPr>
          <w:sz w:val="22"/>
        </w:rPr>
        <w:t xml:space="preserve">. </w:t>
      </w:r>
      <w:r w:rsidR="001D1FAA" w:rsidRPr="00CF3E16">
        <w:rPr>
          <w:sz w:val="22"/>
        </w:rPr>
        <w:t>Evidence of equity impact was classified as</w:t>
      </w:r>
      <w:r w:rsidR="009069D6">
        <w:rPr>
          <w:sz w:val="22"/>
        </w:rPr>
        <w:t>:</w:t>
      </w:r>
    </w:p>
    <w:p w:rsidR="009069D6" w:rsidRDefault="001D1FAA" w:rsidP="00F40CE5">
      <w:pPr>
        <w:pStyle w:val="ListParagraph"/>
        <w:numPr>
          <w:ilvl w:val="0"/>
          <w:numId w:val="34"/>
        </w:numPr>
        <w:spacing w:line="480" w:lineRule="auto"/>
        <w:rPr>
          <w:lang w:eastAsia="en-GB"/>
        </w:rPr>
      </w:pPr>
      <w:r w:rsidRPr="009069D6">
        <w:t>p</w:t>
      </w:r>
      <w:r w:rsidR="00006491" w:rsidRPr="009069D6">
        <w:t xml:space="preserve">ro-equity </w:t>
      </w:r>
      <w:r w:rsidRPr="009069D6">
        <w:t xml:space="preserve">(symbol: +) which </w:t>
      </w:r>
      <w:r w:rsidR="00006491" w:rsidRPr="009069D6">
        <w:t xml:space="preserve">refers to </w:t>
      </w:r>
      <w:r w:rsidRPr="009069D6">
        <w:t>reduction in health disparities</w:t>
      </w:r>
      <w:r w:rsidR="00006491" w:rsidRPr="009069D6">
        <w:t xml:space="preserve"> compared with the general population</w:t>
      </w:r>
      <w:r w:rsidRPr="00A84994">
        <w:t xml:space="preserve">, </w:t>
      </w:r>
    </w:p>
    <w:p w:rsidR="009069D6" w:rsidRDefault="001D1FAA" w:rsidP="00F40CE5">
      <w:pPr>
        <w:pStyle w:val="ListParagraph"/>
        <w:numPr>
          <w:ilvl w:val="0"/>
          <w:numId w:val="34"/>
        </w:numPr>
        <w:spacing w:line="480" w:lineRule="auto"/>
        <w:rPr>
          <w:lang w:eastAsia="en-GB"/>
        </w:rPr>
      </w:pPr>
      <w:r w:rsidRPr="009069D6">
        <w:t>a</w:t>
      </w:r>
      <w:r w:rsidR="00006491" w:rsidRPr="009069D6">
        <w:t xml:space="preserve">nti-equity </w:t>
      </w:r>
      <w:r w:rsidRPr="009069D6">
        <w:t xml:space="preserve">(symbol: -) which </w:t>
      </w:r>
      <w:r w:rsidR="00006491" w:rsidRPr="009069D6">
        <w:t>refers to an increase in health disparities</w:t>
      </w:r>
      <w:r w:rsidRPr="009069D6">
        <w:t xml:space="preserve">, </w:t>
      </w:r>
      <w:r w:rsidR="009069D6">
        <w:t xml:space="preserve">and </w:t>
      </w:r>
    </w:p>
    <w:p w:rsidR="009069D6" w:rsidRDefault="001D1FAA" w:rsidP="00F40CE5">
      <w:pPr>
        <w:pStyle w:val="ListParagraph"/>
        <w:numPr>
          <w:ilvl w:val="0"/>
          <w:numId w:val="34"/>
        </w:numPr>
        <w:spacing w:line="480" w:lineRule="auto"/>
        <w:rPr>
          <w:lang w:eastAsia="en-GB"/>
        </w:rPr>
      </w:pPr>
      <w:r w:rsidRPr="009069D6">
        <w:t>m</w:t>
      </w:r>
      <w:r w:rsidR="00006491" w:rsidRPr="009069D6">
        <w:t xml:space="preserve">ixed equity </w:t>
      </w:r>
      <w:r w:rsidRPr="009069D6">
        <w:t xml:space="preserve">(symbol: ?) which </w:t>
      </w:r>
      <w:r w:rsidR="00006491" w:rsidRPr="009069D6">
        <w:t>refers to some improvement in an outcome for a vulnerable group but health disparities still persist and increase in other areas.</w:t>
      </w:r>
      <w:r w:rsidR="0094354B" w:rsidRPr="009069D6">
        <w:t xml:space="preserve"> </w:t>
      </w:r>
    </w:p>
    <w:p w:rsidR="00024036" w:rsidRPr="0014048F" w:rsidRDefault="00024036" w:rsidP="00F40CE5">
      <w:pPr>
        <w:spacing w:line="480" w:lineRule="auto"/>
        <w:rPr>
          <w:sz w:val="22"/>
          <w:lang w:eastAsia="en-GB"/>
        </w:rPr>
      </w:pPr>
    </w:p>
    <w:p w:rsidR="00F27EF7" w:rsidRPr="00C45A15" w:rsidRDefault="00F27EF7" w:rsidP="009D0B39">
      <w:pPr>
        <w:pStyle w:val="Heading2"/>
        <w:numPr>
          <w:ilvl w:val="0"/>
          <w:numId w:val="0"/>
        </w:numPr>
        <w:spacing w:line="480" w:lineRule="auto"/>
        <w:ind w:left="576" w:hanging="576"/>
        <w:rPr>
          <w:i w:val="0"/>
        </w:rPr>
      </w:pPr>
      <w:r w:rsidRPr="00C45A15">
        <w:rPr>
          <w:i w:val="0"/>
        </w:rPr>
        <w:t>R</w:t>
      </w:r>
      <w:r w:rsidR="00057450" w:rsidRPr="00C45A15">
        <w:rPr>
          <w:i w:val="0"/>
        </w:rPr>
        <w:t>ESULTS</w:t>
      </w:r>
      <w:r w:rsidRPr="00C45A15">
        <w:rPr>
          <w:i w:val="0"/>
        </w:rPr>
        <w:t xml:space="preserve"> </w:t>
      </w:r>
    </w:p>
    <w:p w:rsidR="00E6034E" w:rsidRDefault="00D32267" w:rsidP="00C45A15">
      <w:pPr>
        <w:pStyle w:val="Heading3"/>
        <w:numPr>
          <w:ilvl w:val="0"/>
          <w:numId w:val="0"/>
        </w:numPr>
        <w:spacing w:line="480" w:lineRule="auto"/>
        <w:ind w:left="720" w:hanging="720"/>
        <w:jc w:val="both"/>
      </w:pPr>
      <w:r>
        <w:t>Study Selection and Characteristics</w:t>
      </w:r>
    </w:p>
    <w:p w:rsidR="00E6034E" w:rsidRDefault="00E6034E" w:rsidP="00F40CE5">
      <w:pPr>
        <w:pStyle w:val="LRiGnormal"/>
        <w:spacing w:line="480" w:lineRule="auto"/>
      </w:pPr>
      <w:r>
        <w:t>A total of 4978 papers were identified</w:t>
      </w:r>
      <w:r w:rsidR="00A03109">
        <w:t xml:space="preserve"> by the search of electronic databases</w:t>
      </w:r>
      <w:r>
        <w:t>. We ret</w:t>
      </w:r>
      <w:r w:rsidR="000A5B51">
        <w:t xml:space="preserve">rieved 80 </w:t>
      </w:r>
      <w:r w:rsidR="004F57F6">
        <w:t xml:space="preserve">full-text </w:t>
      </w:r>
      <w:r w:rsidR="00453008">
        <w:t>articles</w:t>
      </w:r>
      <w:r w:rsidR="000A5B51">
        <w:t>, of which</w:t>
      </w:r>
      <w:r w:rsidR="00453008">
        <w:t xml:space="preserve"> four</w:t>
      </w:r>
      <w:r>
        <w:t xml:space="preserve"> met the inclusi</w:t>
      </w:r>
      <w:r w:rsidR="00453008">
        <w:t>on criteria for the review and one</w:t>
      </w:r>
      <w:r>
        <w:t xml:space="preserve"> additional article was identified from a hand search of reference lists</w:t>
      </w:r>
      <w:r w:rsidR="00453008">
        <w:t xml:space="preserve"> and therefore five studies</w:t>
      </w:r>
      <w:r>
        <w:t xml:space="preserve"> which met the inclusion criteria</w:t>
      </w:r>
      <w:r w:rsidR="0084020B">
        <w:t>.</w:t>
      </w:r>
      <w:r w:rsidR="00B545BC">
        <w:fldChar w:fldCharType="begin" w:fldLock="1"/>
      </w:r>
      <w:r w:rsidR="00CB755C">
        <w:instrText>ADDIN CSL_CITATION { "citationItems" : [ { "id" : "ITEM-1", "itemData" : { "DOI" : "10.2217/14622416.8.3.217", "ISSN" : "1462-2416", "abstract" : "Introduction: Warfarin is a widely prescribed, efficacious oral anticoagulant. S-warfarin, the more active form, is metabolized by the cytochrome P450 (CYP)2C9 enzyme. The aim was to evaluate the- influence of two CYP2C9 functional polymorphisms (*2 and *3) on warfarin dose in African-Americans, an unstudied population and Caucasians, and also to assess the effect of these polymorphisms on anticoagulation response after accounting for nongenetic factors and genetic factors that might also impact the dose-response relationship of warfarin. Patients and methods: A prospective cohort of 362 patients with a target international normalized ratio of between 2.0 and 3.0 were genotyped. Warfarin sensitivity stratified by genotype was investigated using univariate, and multivariate analyses. Results: The maintenance dose of warfarin was significantly related to genotype (p &lt; 0.01) (variant carriers: 31.25 mg/week; wild-type: 37.5 mg/ week), even after adjustment for possible confounding factors (p = 0.046). However, the effect of genotype was restricted to Caucasians, in whom variant carriers had a significantly lower maintenance dose compared with wild-type homozygotes (unadjusted: p &lt; 0.01; adjusted: p = 0.02). There was a greater risk of over-anticoagulation among Caucasian variant carriers, although this was only observed prior to reaching maintenance dose. For African-American variant carriers, there was no difference in warfarin response based on CYP2C9 genotype. Discussion: CYP2C9 *2 and *3 variants provide predictive information in anticoagulation response. However, these variants may not be useful in African-Americans or as a marker of long-term over-anticoagulation once a stable dose is reached. \u00a9 2007 Future Medicine Ltd.", "author" : [ { "dropping-particle" : "", "family" : "Kealey", "given" : "Carmel", "non-dropping-particle" : "", "parse-names" : false, "suffix" : "" }, { "dropping-particle" : "", "family" : "Chen", "given" : "Zhen", "non-dropping-particle" : "", "parse-names" : false, "suffix" : "" }, { "dropping-particle" : "", "family" : "Christie", "given" : "Jason", "non-dropping-particle" : "", "parse-names" : false, "suffix" : "" }, { "dropping-particle" : "", "family" : "Thorn", "given" : "Caroline F", "non-dropping-particle" : "", "parse-names" : false, "suffix" : "" }, { "dropping-particle" : "", "family" : "Whitehead", "given" : "Alexander S", "non-dropping-particle" : "", "parse-names" : false, "suffix" : "" }, { "dropping-particle" : "", "family" : "Price", "given" : "Maureen", "non-dropping-particle" : "", "parse-names" : false, "suffix" : "" }, { "dropping-particle" : "", "family" : "Samaha", "given" : "Frederick", "non-dropping-particle" : "", "parse-names" : false, "suffix" : "" }, { "dropping-particle" : "", "family" : "Kimmel", "given" : "Stephen", "non-dropping-particle" : "", "parse-names" : false, "suffix" : "" } ], "container-title" : "Pharmacogenomics", "id" : "ITEM-1", "issue" : "3", "issued" : { "date-parts" : [ [ "2007" ] ] }, "page" : "217-225", "title" : "Warafin and cytochrome P450 2C9 genotype: Possible ethic variation in warafin sensitivity", "type" : "article-journal", "volume" : "8" }, "uris" : [ "http://www.mendeley.com/documents/?uuid=7f920805-47fa-4e01-aed3-8e10551bfc62" ] }, { "id" : "ITEM-2", "itemData" : { "DOI" : "10.2217/14622416.9.5.511", "ISBN" : "1744-8042", "ISSN" : "1462-2416", "PMID" : "18466099", "abstract" : "AIMS: The influence of CYP2C9 and VKORC1 on warfarin dose, time to target International Normalized Ratio (INR), time to stabilization, and risk of over-anticoagulation (INR: &gt; 4) was assessed after adjustment for clinical factors, intraindividual variation in environmental factors and unobserved heterogeneity.MATERIALS &amp; METHODS: Common CYP2C9 and VKORC1 polymorphisms were assessed in 302 European-Americans and 273 African-Americans receiving warfarin. Race-stratified multivariable analyses evaluated the influence of CYP2C9 and VKORC1 on warfarin response.RESULTS &amp; CONCLUSION: CYP2C9 and VKORC1 accounted for up to 30% of the variability in warfarin dose among European-Americans and 10% among African-Americans. Neither CYP2C9 nor VKORC1 influenced the time to target INR or stabilization among patients of either race, and neither influenced the risk of over-anticoagulation among African-Americans. The risk of over-anticoagulation was higher among European-Americans with variant VKORC1 1173C/T (p &lt; 0.01) and marginally significant among those with variant CYP2C9 (p = 0.08) genotype. Although CYP2C9 and VKORC1 genotyping can facilitate individualized initiation of warfarin dose in African and European-Americans, the ability to predict the risk of over-anticoagulation is inconsistent across race. Identification of other factors that can predict such risk consistently in a racially diverse group will facilitate individualized maintenance of warfarin therapy", "author" : [ { "dropping-particle" : "", "family" : "Limdi", "given" : "Nita A", "non-dropping-particle" : "", "parse-names" : false, "suffix" : "" }, { "dropping-particle" : "", "family" : "Arnett", "given" : "Donna K", "non-dropping-particle" : "", "parse-names" : false, "suffix" : "" }, { "dropping-particle" : "", "family" : "Goldstein", "given" : "Joyce A", "non-dropping-particle" : "", "parse-names" : false, "suffix" : "" }, { "dropping-particle" : "", "family" : "Beasley", "given" : "T Mark", "non-dropping-particle" : "", "parse-names" : false, "suffix" : "" }, { "dropping-particle" : "", "family" : "McGwin", "given" : "Gerald", "non-dropping-particle" : "", "parse-names" : false, "suffix" : "" }, { "dropping-particle" : "", "family" : "Adler", "given" : "Brian K", "non-dropping-particle" : "", "parse-names" : false, "suffix" : "" }, { "dropping-particle" : "", "family" : "Acton", "given" : "Ronald T", "non-dropping-particle" : "", "parse-names" : false, "suffix" : "" } ], "container-title" : "Pharmacogenomics", "id" : "ITEM-2", "issue" : "5", "issued" : { "date-parts" : [ [ "2008" ] ] }, "page" : "511-526", "title" : "Influence of CYP2C9 and VKORC1 on warfarin dose, anticoagulation attainment and maintenance among European-Americans and African-Americans.", "type" : "article-journal", "volume" : "9" }, "uris" : [ "http://www.mendeley.com/documents/?uuid=cda3da47-0a03-48db-9ee4-a58722b85cdd" ] }, { "id" : "ITEM-3", "itemData" : { "DOI" : "10.1016/j.hlc.2009.04.026", "ISBN" : "1741-0541", "ISSN" : "14439506", "abstract" : "Patient demographics and variant alleles in the CYP2C9 and VKORC1 genes account for 50% of the population variability in warfarin maintenance doses. These variant alleles occur in varying frequencies between racial groups and contribute to differences in mean dose requirements between these groups. We used a pharmacogenetic simulation to estimate warfarin maintenance doses in an ethnically diverse cohort. Materials &amp; methods: In total, 366 individuals with coronary disease, of mixed South Pacific and European ethnicity, were genotyped for the CYP2C9*2 (rs1799853), *3 (rs1057910) and the VKORC1*2 haplotype, -1639 G&gt;A, (rs9923231). The cohort contained New Zealand Europeans (n = 287), Maori (n = 49), Pacific Islanders (n = 21) and Chinese subjects (n = 9). SNPs were genotyped using the Sequenom (CA, USA) mass spectrometer. Body surface area, age, smoking status and genotype were entered into a modified pharmacogenetic algorithm with a target international normalized ratio of 2.5. Bootstrap analysis using the @RISK software v5.0, (Palisade Co., NY, USA) was performed to simulate a population of 1000 for each ethnic group. Results: Simulated warfarin doses were lower in Chinese subjects than New Zealand Europeans (1.39 mg; 95% CI: 0.4-2.4; p = 0.006) owing to the high prevalence of the VKORC1*2 haplotype in Chinese subjects. Doses were higher in Pacific Islanders compared with New Zealand Europeans (1.26 mg; 95% CI: 0.6-1.9; p = 0.0002) owing to the near absence of the CYP2C9 variant alleles. Simulated warfarin doses in Maori patients were similar to those in European patients. Conclusion: This simulation study demonstrated differences in mean warfarin maintenance doses between ethnic groups in this cohort. Individualizing treatment regimens, using pharmacogenetics, may reduce ethnic disparities in treatment outcomes, particularly if differences can be appreciated at the genomic level. 2010 Future Medicine Ltd", "author" : [ { "dropping-particle" : "", "family" : "Gladding", "given" : "PA", "non-dropping-particle" : "", "parse-names" : false, "suffix" : "" }, { "dropping-particle" : "", "family" : "Stewart", "given" : "R", "non-dropping-particle" : "", "parse-names" : false, "suffix" : "" }, { "dropping-particle" : "", "family" : "Webster", "given" : "M", "non-dropping-particle" : "", "parse-names" : false, "suffix" : "" }, { "dropping-particle" : "", "family" : "White", "given" : "H", "non-dropping-particle" : "", "parse-names" : false, "suffix" : "" } ], "container-title" : "Heart, Lung and Circulation", "id" : "ITEM-3", "issued" : { "date-parts" : [ [ "2009" ] ] }, "page" : "S11", "title" : "A Simulation of Warfarin Maintenance Dose Requirement Using a Pharmacogenomic Algorithm in an Ethnically Diverse Cohort", "type" : "article-journal", "volume" : "18" }, "uris" : [ "http://www.mendeley.com/documents/?uuid=5912caf9-c303-4307-8b5d-8326a7ea2c1b" ] }, { "id" : "ITEM-4", "itemData" : { "DOI" : "10.2217/pgs.12.104", "ISBN" : "1744-8042", "ISSN" : "1462-2416", "PMID" : "22920395", "abstract" : "AIM: We aimed to estimate the population impact of warfarin pharmacogenetic testing (WPGT) across multiple populations.MATERIALS &amp; METHODS: We used the expanded International Warfarin Pharmacogenetics Consortium data set and genotype frequencies from HapMap to simulate dose distributions for each CYP2C9/VKORC1 genotype combination in the different races, and calculated the population attributable fraction as a measure of population impact of WPGT. WPGT was compared to both clinical and fixed-dose algorithms to estimate the benefits of WPGT.RESULTS: Our dose simulation revealed different dose requirements in difference races and considerable overlap in dose distributions of different genotype combinations. Population attributable fraction calculations suggest that complete implementation of WPGT can reduce inaccurate dosing by 18-24% in white individuals. However black, Japanese and Chinese patients do not benefit from WPGT, especially when compared against a race-specific fixed dose.CONCLUSION: Our findings support WPGT in white individuals but not in black, Japanese and Chinese individuals", "author" : [ { "dropping-particle" : "", "family" : "Chan", "given" : "Sze Ling", "non-dropping-particle" : "", "parse-names" : false, "suffix" : "" }, { "dropping-particle" : "", "family" : "Suo", "given" : "Chen", "non-dropping-particle" : "", "parse-names" : false, "suffix" : "" }, { "dropping-particle" : "", "family" : "Chia", "given" : "Kee Seng", "non-dropping-particle" : "", "parse-names" : false, "suffix" : "" }, { "dropping-particle" : "", "family" : "Teo", "given" : "Yik Ying", "non-dropping-particle" : "", "parse-names" : false, "suffix" : "" } ], "container-title" : "Pharmacogenomics", "id" : "ITEM-4", "issue" : "11", "issued" : { "date-parts" : [ [ "2012" ] ] }, "page" : "1247-1256", "title" : "The population attributable fraction as a measure of the impact of warfarin pharmacogenetic testing.", "type" : "article-journal", "volume" : "13" }, "uris" : [ "http://www.mendeley.com/documents/?uuid=dffd9ab6-5a31-4a9c-987a-d97f6fcbf740" ] }, { "id" : "ITEM-5", "itemData" : { "DOI" : "10.2165/11595080-000000000-00000", "ISBN" : "1170-7690", "ISSN" : "11707690", "PMID" : "22974536", "abstract" : "BACKGROUND: A recent clinical trial has demonstrated that patients with acute coronary syndromes (ACS) and the reduced function allele CYP2C19*2 (*2 allele), who are treated with thienopyridines, have an increased risk of adverse cardiac events with clopidogrel, but not with prasugrel. The frequency of the *2 allele varies by ethnicity and the Maoris, Asians and Pacific Islanders of New Zealand have a relatively high incidence.\\n\\nOBJECTIVE: Our objective was to evaluate, from a New Zealand health system perspective, the cost effectiveness of treating all ACS patients with generic clopidogrel compared with prasugrel, and also compared with the genetically guided strategy that *2 allele carriers receive prasugrel and non-carriers receive clopidogrel.\\n\\nMETHODS: A decision-tree model consisting of five health states (myocardial infarction, stroke, bleeding, stent thrombosis and cardiovascular death) was developed. Clinical outcome data (two TRITON-TIMI 38 genetic sub-studies) comparing clopidogrel and prasugrel for both *2 allele carriers and non-carriers were combined with the prevalence of the heterozygosity for the *2 allele in New Zealand Europeans (15%), Maoris (24%), Asians (29%) and Pacific Islanders (45%) to determine the predicted adverse event rate for the New Zealand population. National hospital diagnosis-related group (DRG) discharge codes were used to determine alternative adverse event rates, along with the costs of hospitalizations during the 15 months after patients presented with an ACS. The primary outcome measure was the incremental cost per QALY (calculated using literature-reported weights). Monte Carlo simulations and alternative scenario analysis based on both clinical trial and national hospital incidence were used. Additional analysis considered the overall TRITON-TIMI 38 rates. Costs (in New Zealand dollars [$NZ], year 2009 values) and benefits were discounted at 3% per annum.\\n\\nRESULTS: Actual hospital-based adverse event rates were higher than those reported in the TRITON-TIMI 38 randomized controlled trial and the genetic sub-studies, especially for myocardial infarction and cardiovascular death, and for Maoris and Pacific Islanders. For both sources of adverse event rates, treating the population with prasugrel was associated with worse outcomes (QALYs) than clopidogrel. However, prasugrel became cost effective ($NZ31\u2009751/QALY) when the overall TRITON-TIMI 38 rates were used. A genetic test to guide the selected use of pra\u2026", "author" : [ { "dropping-particle" : "", "family" : "Panattoni", "given" : "Laura", "non-dropping-particle" : "", "parse-names" : false, "suffix" : "" }, { "dropping-particle" : "", "family" : "Brown", "given" : "Paul M.", "non-dropping-particle" : "", "parse-names" : false, "suffix" : "" }, { "dropping-particle" : "Te", "family" : "Ao", "given" : "Braden", "non-dropping-particle" : "", "parse-names" : false, "suffix" : "" }, { "dropping-particle" : "", "family" : "Webster", "given" : "Mark", "non-dropping-particle" : "", "parse-names" : false, "suffix" : "" }, { "dropping-particle" : "", "family" : "Gladding", "given" : "Patrick", "non-dropping-particle" : "", "parse-names" : false, "suffix" : "" } ], "container-title" : "PharmacoEconomics", "id" : "ITEM-5", "issue" : "11", "issued" : { "date-parts" : [ [ "2012" ] ] }, "page" : "1067-1084", "title" : "The cost effectiveness of genetic testing for CYP2C19 Variants to Guide Thienopyridine Treatment in Patients with Acute Coronary Syndromes: A New Zealand Evaluation", "type" : "article-journal", "volume" : "30" }, "uris" : [ "http://www.mendeley.com/documents/?uuid=4076d3cd-0fd6-43ab-93f9-f91fd2070a57" ] } ], "mendeley" : { "formattedCitation" : "&lt;sup&gt;13\u201317&lt;/sup&gt;", "plainTextFormattedCitation" : "13\u201317", "previouslyFormattedCitation" : "&lt;sup&gt;13\u201317&lt;/sup&gt;" }, "properties" : { "noteIndex" : 0 }, "schema" : "https://github.com/citation-style-language/schema/raw/master/csl-citation.json" }</w:instrText>
      </w:r>
      <w:r w:rsidR="00B545BC">
        <w:fldChar w:fldCharType="separate"/>
      </w:r>
      <w:r w:rsidR="009427AF" w:rsidRPr="009427AF">
        <w:rPr>
          <w:noProof/>
          <w:vertAlign w:val="superscript"/>
        </w:rPr>
        <w:t>13–17</w:t>
      </w:r>
      <w:r w:rsidR="00B545BC">
        <w:fldChar w:fldCharType="end"/>
      </w:r>
      <w:r>
        <w:t xml:space="preserve"> Reasons for exclusion are presented in</w:t>
      </w:r>
      <w:r w:rsidR="00CB755C">
        <w:t xml:space="preserve"> </w:t>
      </w:r>
      <w:r w:rsidR="00CB755C" w:rsidRPr="00CB755C">
        <w:t>Figure 2</w:t>
      </w:r>
      <w:r w:rsidR="00920034">
        <w:t>.</w:t>
      </w:r>
      <w:r w:rsidR="0063071F">
        <w:t xml:space="preserve"> </w:t>
      </w:r>
      <w:r w:rsidR="0063071F" w:rsidRPr="0014048F">
        <w:t xml:space="preserve">The heterogeneity in outcomes, methodologies and settings precluded meta-analysis. </w:t>
      </w:r>
    </w:p>
    <w:p w:rsidR="00C7395C" w:rsidRDefault="00E6034E" w:rsidP="00F40CE5">
      <w:pPr>
        <w:pStyle w:val="LRiGnormal"/>
        <w:spacing w:line="480" w:lineRule="auto"/>
      </w:pPr>
      <w:r w:rsidRPr="00453008">
        <w:t>The characteristics of the</w:t>
      </w:r>
      <w:r w:rsidR="00453008">
        <w:t xml:space="preserve"> included</w:t>
      </w:r>
      <w:r w:rsidRPr="00453008">
        <w:t xml:space="preserve"> studies are presented in</w:t>
      </w:r>
      <w:r w:rsidR="00CB755C">
        <w:t xml:space="preserve"> </w:t>
      </w:r>
      <w:r w:rsidR="00CB755C" w:rsidRPr="00CB755C">
        <w:t>Table 1</w:t>
      </w:r>
      <w:r w:rsidRPr="00453008">
        <w:t>.</w:t>
      </w:r>
      <w:r>
        <w:t xml:space="preserve"> </w:t>
      </w:r>
      <w:r w:rsidR="00453008">
        <w:t>Of</w:t>
      </w:r>
      <w:r>
        <w:t xml:space="preserve"> studies </w:t>
      </w:r>
      <w:r w:rsidR="004F57F6">
        <w:t xml:space="preserve">that </w:t>
      </w:r>
      <w:r w:rsidR="00010E9B">
        <w:t>were identified</w:t>
      </w:r>
      <w:r w:rsidR="00395B23">
        <w:t>: four</w:t>
      </w:r>
      <w:r w:rsidR="00911146">
        <w:t xml:space="preserve"> </w:t>
      </w:r>
      <w:r w:rsidR="00395B23">
        <w:t>studies were based</w:t>
      </w:r>
      <w:r w:rsidR="00911146">
        <w:t xml:space="preserve"> on</w:t>
      </w:r>
      <w:r w:rsidR="00395B23">
        <w:t xml:space="preserve"> evaluating</w:t>
      </w:r>
      <w:r w:rsidR="00911146">
        <w:t xml:space="preserve"> </w:t>
      </w:r>
      <w:r w:rsidR="00B26810">
        <w:t>genotype-</w:t>
      </w:r>
      <w:r>
        <w:t xml:space="preserve">guided </w:t>
      </w:r>
      <w:r w:rsidR="00491D39">
        <w:t xml:space="preserve">dosing of </w:t>
      </w:r>
      <w:r>
        <w:t>warfarin to provide predictive information on anticoagulation response</w:t>
      </w:r>
      <w:r w:rsidR="0084020B">
        <w:t>,</w:t>
      </w:r>
      <w:r w:rsidR="00B545BC">
        <w:fldChar w:fldCharType="begin" w:fldLock="1"/>
      </w:r>
      <w:r w:rsidR="0033232C">
        <w:instrText>ADDIN CSL_CITATION { "citationItems" : [ { "id" : "ITEM-1", "itemData" : { "DOI" : "10.2217/14622416.8.3.217", "ISSN" : "1462-2416", "abstract" : "Introduction: Warfarin is a widely prescribed, efficacious oral anticoagulant. S-warfarin, the more active form, is metabolized by the cytochrome P450 (CYP)2C9 enzyme. The aim was to evaluate the- influence of two CYP2C9 functional polymorphisms (*2 and *3) on warfarin dose in African-Americans, an unstudied population and Caucasians, and also to assess the effect of these polymorphisms on anticoagulation response after accounting for nongenetic factors and genetic factors that might also impact the dose-response relationship of warfarin. Patients and methods: A prospective cohort of 362 patients with a target international normalized ratio of between 2.0 and 3.0 were genotyped. Warfarin sensitivity stratified by genotype was investigated using univariate, and multivariate analyses. Results: The maintenance dose of warfarin was significantly related to genotype (p &lt; 0.01) (variant carriers: 31.25 mg/week; wild-type: 37.5 mg/ week), even after adjustment for possible confounding factors (p = 0.046). However, the effect of genotype was restricted to Caucasians, in whom variant carriers had a significantly lower maintenance dose compared with wild-type homozygotes (unadjusted: p &lt; 0.01; adjusted: p = 0.02). There was a greater risk of over-anticoagulation among Caucasian variant carriers, although this was only observed prior to reaching maintenance dose. For African-American variant carriers, there was no difference in warfarin response based on CYP2C9 genotype. Discussion: CYP2C9 *2 and *3 variants provide predictive information in anticoagulation response. However, these variants may not be useful in African-Americans or as a marker of long-term over-anticoagulation once a stable dose is reached. \u00a9 2007 Future Medicine Ltd.", "author" : [ { "dropping-particle" : "", "family" : "Kealey", "given" : "Carmel", "non-dropping-particle" : "", "parse-names" : false, "suffix" : "" }, { "dropping-particle" : "", "family" : "Chen", "given" : "Zhen", "non-dropping-particle" : "", "parse-names" : false, "suffix" : "" }, { "dropping-particle" : "", "family" : "Christie", "given" : "Jason", "non-dropping-particle" : "", "parse-names" : false, "suffix" : "" }, { "dropping-particle" : "", "family" : "Thorn", "given" : "Caroline F", "non-dropping-particle" : "", "parse-names" : false, "suffix" : "" }, { "dropping-particle" : "", "family" : "Whitehead", "given" : "Alexander S", "non-dropping-particle" : "", "parse-names" : false, "suffix" : "" }, { "dropping-particle" : "", "family" : "Price", "given" : "Maureen", "non-dropping-particle" : "", "parse-names" : false, "suffix" : "" }, { "dropping-particle" : "", "family" : "Samaha", "given" : "Frederick", "non-dropping-particle" : "", "parse-names" : false, "suffix" : "" }, { "dropping-particle" : "", "family" : "Kimmel", "given" : "Stephen", "non-dropping-particle" : "", "parse-names" : false, "suffix" : "" } ], "container-title" : "Pharmacogenomics", "id" : "ITEM-1", "issue" : "3", "issued" : { "date-parts" : [ [ "2007" ] ] }, "page" : "217-225", "title" : "Warafin and cytochrome P450 2C9 genotype: Possible ethic variation in warafin sensitivity", "type" : "article-journal", "volume" : "8" }, "uris" : [ "http://www.mendeley.com/documents/?uuid=7f920805-47fa-4e01-aed3-8e10551bfc62" ] }, { "id" : "ITEM-2", "itemData" : { "DOI" : "10.2217/14622416.9.5.511", "ISBN" : "1744-8042", "ISSN" : "1462-2416", "PMID" : "18466099", "abstract" : "AIMS: The influence of CYP2C9 and VKORC1 on warfarin dose, time to target International Normalized Ratio (INR), time to stabilization, and risk of over-anticoagulation (INR: &gt; 4) was assessed after adjustment for clinical factors, intraindividual variation in environmental factors and unobserved heterogeneity.MATERIALS &amp; METHODS: Common CYP2C9 and VKORC1 polymorphisms were assessed in 302 European-Americans and 273 African-Americans receiving warfarin. Race-stratified multivariable analyses evaluated the influence of CYP2C9 and VKORC1 on warfarin response.RESULTS &amp; CONCLUSION: CYP2C9 and VKORC1 accounted for up to 30% of the variability in warfarin dose among European-Americans and 10% among African-Americans. Neither CYP2C9 nor VKORC1 influenced the time to target INR or stabilization among patients of either race, and neither influenced the risk of over-anticoagulation among African-Americans. The risk of over-anticoagulation was higher among European-Americans with variant VKORC1 1173C/T (p &lt; 0.01) and marginally significant among those with variant CYP2C9 (p = 0.08) genotype. Although CYP2C9 and VKORC1 genotyping can facilitate individualized initiation of warfarin dose in African and European-Americans, the ability to predict the risk of over-anticoagulation is inconsistent across race. Identification of other factors that can predict such risk consistently in a racially diverse group will facilitate individualized maintenance of warfarin therapy", "author" : [ { "dropping-particle" : "", "family" : "Limdi", "given" : "Nita A", "non-dropping-particle" : "", "parse-names" : false, "suffix" : "" }, { "dropping-particle" : "", "family" : "Arnett", "given" : "Donna K", "non-dropping-particle" : "", "parse-names" : false, "suffix" : "" }, { "dropping-particle" : "", "family" : "Goldstein", "given" : "Joyce A", "non-dropping-particle" : "", "parse-names" : false, "suffix" : "" }, { "dropping-particle" : "", "family" : "Beasley", "given" : "T Mark", "non-dropping-particle" : "", "parse-names" : false, "suffix" : "" }, { "dropping-particle" : "", "family" : "McGwin", "given" : "Gerald", "non-dropping-particle" : "", "parse-names" : false, "suffix" : "" }, { "dropping-particle" : "", "family" : "Adler", "given" : "Brian K", "non-dropping-particle" : "", "parse-names" : false, "suffix" : "" }, { "dropping-particle" : "", "family" : "Acton", "given" : "Ronald T", "non-dropping-particle" : "", "parse-names" : false, "suffix" : "" } ], "container-title" : "Pharmacogenomics", "id" : "ITEM-2", "issue" : "5", "issued" : { "date-parts" : [ [ "2008" ] ] }, "page" : "511-526", "title" : "Influence of CYP2C9 and VKORC1 on warfarin dose, anticoagulation attainment and maintenance among European-Americans and African-Americans.", "type" : "article-journal", "volume" : "9" }, "uris" : [ "http://www.mendeley.com/documents/?uuid=cda3da47-0a03-48db-9ee4-a58722b85cdd" ] }, { "id" : "ITEM-3", "itemData" : { "DOI" : "10.1016/j.hlc.2009.04.026", "ISBN" : "1741-0541", "ISSN" : "14439506", "abstract" : "Patient demographics and variant alleles in the CYP2C9 and VKORC1 genes account for 50% of the population variability in warfarin maintenance doses. These variant alleles occur in varying frequencies between racial groups and contribute to differences in mean dose requirements between these groups. We used a pharmacogenetic simulation to estimate warfarin maintenance doses in an ethnically diverse cohort. Materials &amp; methods: In total, 366 individuals with coronary disease, of mixed South Pacific and European ethnicity, were genotyped for the CYP2C9*2 (rs1799853), *3 (rs1057910) and the VKORC1*2 haplotype, -1639 G&gt;A, (rs9923231). The cohort contained New Zealand Europeans (n = 287), Maori (n = 49), Pacific Islanders (n = 21) and Chinese subjects (n = 9). SNPs were genotyped using the Sequenom (CA, USA) mass spectrometer. Body surface area, age, smoking status and genotype were entered into a modified pharmacogenetic algorithm with a target international normalized ratio of 2.5. Bootstrap analysis using the @RISK software v5.0, (Palisade Co., NY, USA) was performed to simulate a population of 1000 for each ethnic group. Results: Simulated warfarin doses were lower in Chinese subjects than New Zealand Europeans (1.39 mg; 95% CI: 0.4-2.4; p = 0.006) owing to the high prevalence of the VKORC1*2 haplotype in Chinese subjects. Doses were higher in Pacific Islanders compared with New Zealand Europeans (1.26 mg; 95% CI: 0.6-1.9; p = 0.0002) owing to the near absence of the CYP2C9 variant alleles. Simulated warfarin doses in Maori patients were similar to those in European patients. Conclusion: This simulation study demonstrated differences in mean warfarin maintenance doses between ethnic groups in this cohort. Individualizing treatment regimens, using pharmacogenetics, may reduce ethnic disparities in treatment outcomes, particularly if differences can be appreciated at the genomic level. 2010 Future Medicine Ltd", "author" : [ { "dropping-particle" : "", "family" : "Gladding", "given" : "PA", "non-dropping-particle" : "", "parse-names" : false, "suffix" : "" }, { "dropping-particle" : "", "family" : "Stewart", "given" : "R", "non-dropping-particle" : "", "parse-names" : false, "suffix" : "" }, { "dropping-particle" : "", "family" : "Webster", "given" : "M", "non-dropping-particle" : "", "parse-names" : false, "suffix" : "" }, { "dropping-particle" : "", "family" : "White", "given" : "H", "non-dropping-particle" : "", "parse-names" : false, "suffix" : "" } ], "container-title" : "Heart, Lung and Circulation", "id" : "ITEM-3", "issued" : { "date-parts" : [ [ "2009" ] ] }, "page" : "S11", "title" : "A Simulation of Warfarin Maintenance Dose Requirement Using a Pharmacogenomic Algorithm in an Ethnically Diverse Cohort", "type" : "article-journal", "volume" : "18" }, "uris" : [ "http://www.mendeley.com/documents/?uuid=5912caf9-c303-4307-8b5d-8326a7ea2c1b" ] }, { "id" : "ITEM-4", "itemData" : { "DOI" : "10.2217/pgs.12.104", "ISBN" : "1744-8042", "ISSN" : "1462-2416", "PMID" : "22920395", "abstract" : "AIM: We aimed to estimate the population impact of warfarin pharmacogenetic testing (WPGT) across multiple populations.MATERIALS &amp; METHODS: We used the expanded International Warfarin Pharmacogenetics Consortium data set and genotype frequencies from HapMap to simulate dose distributions for each CYP2C9/VKORC1 genotype combination in the different races, and calculated the population attributable fraction as a measure of population impact of WPGT. WPGT was compared to both clinical and fixed-dose algorithms to estimate the benefits of WPGT.RESULTS: Our dose simulation revealed different dose requirements in difference races and considerable overlap in dose distributions of different genotype combinations. Population attributable fraction calculations suggest that complete implementation of WPGT can reduce inaccurate dosing by 18-24% in white individuals. However black, Japanese and Chinese patients do not benefit from WPGT, especially when compared against a race-specific fixed dose.CONCLUSION: Our findings support WPGT in white individuals but not in black, Japanese and Chinese individuals", "author" : [ { "dropping-particle" : "", "family" : "Chan", "given" : "Sze Ling", "non-dropping-particle" : "", "parse-names" : false, "suffix" : "" }, { "dropping-particle" : "", "family" : "Suo", "given" : "Chen", "non-dropping-particle" : "", "parse-names" : false, "suffix" : "" }, { "dropping-particle" : "", "family" : "Chia", "given" : "Kee Seng", "non-dropping-particle" : "", "parse-names" : false, "suffix" : "" }, { "dropping-particle" : "", "family" : "Teo", "given" : "Yik Ying", "non-dropping-particle" : "", "parse-names" : false, "suffix" : "" } ], "container-title" : "Pharmacogenomics", "id" : "ITEM-4", "issue" : "11", "issued" : { "date-parts" : [ [ "2012" ] ] }, "page" : "1247-1256", "title" : "The population attributable fraction as a measure of the impact of warfarin pharmacogenetic testing.", "type" : "article-journal", "volume" : "13" }, "uris" : [ "http://www.mendeley.com/documents/?uuid=dffd9ab6-5a31-4a9c-987a-d97f6fcbf740" ] } ], "mendeley" : { "formattedCitation" : "&lt;sup&gt;13\u201316&lt;/sup&gt;", "plainTextFormattedCitation" : "13\u201316", "previouslyFormattedCitation" : "&lt;sup&gt;13\u201316&lt;/sup&gt;" }, "properties" : { "noteIndex" : 0 }, "schema" : "https://github.com/citation-style-language/schema/raw/master/csl-citation.json" }</w:instrText>
      </w:r>
      <w:r w:rsidR="00B545BC">
        <w:fldChar w:fldCharType="separate"/>
      </w:r>
      <w:r w:rsidR="00CB755C" w:rsidRPr="00CB755C">
        <w:rPr>
          <w:noProof/>
          <w:vertAlign w:val="superscript"/>
        </w:rPr>
        <w:t>13–16</w:t>
      </w:r>
      <w:r w:rsidR="00B545BC">
        <w:fldChar w:fldCharType="end"/>
      </w:r>
      <w:r w:rsidR="00911146">
        <w:t xml:space="preserve"> while the fifth focused on the use of genotyping to </w:t>
      </w:r>
      <w:r w:rsidR="009C5155">
        <w:t>guide treatment</w:t>
      </w:r>
      <w:r w:rsidR="00911146">
        <w:t xml:space="preserve"> of the antiplatelet drug clopidogrel</w:t>
      </w:r>
      <w:r w:rsidR="00CB755C">
        <w:t>.</w:t>
      </w:r>
      <w:r w:rsidR="00CB755C">
        <w:fldChar w:fldCharType="begin" w:fldLock="1"/>
      </w:r>
      <w:r w:rsidR="0033232C">
        <w:instrText>ADDIN CSL_CITATION { "citationItems" : [ { "id" : "ITEM-1", "itemData" : { "DOI" : "10.2165/11595080-000000000-00000", "ISBN" : "1170-7690", "ISSN" : "11707690", "PMID" : "22974536", "abstract" : "BACKGROUND: A recent clinical trial has demonstrated that patients with acute coronary syndromes (ACS) and the reduced function allele CYP2C19*2 (*2 allele), who are treated with thienopyridines, have an increased risk of adverse cardiac events with clopidogrel, but not with prasugrel. The frequency of the *2 allele varies by ethnicity and the Maoris, Asians and Pacific Islanders of New Zealand have a relatively high incidence.\\n\\nOBJECTIVE: Our objective was to evaluate, from a New Zealand health system perspective, the cost effectiveness of treating all ACS patients with generic clopidogrel compared with prasugrel, and also compared with the genetically guided strategy that *2 allele carriers receive prasugrel and non-carriers receive clopidogrel.\\n\\nMETHODS: A decision-tree model consisting of five health states (myocardial infarction, stroke, bleeding, stent thrombosis and cardiovascular death) was developed. Clinical outcome data (two TRITON-TIMI 38 genetic sub-studies) comparing clopidogrel and prasugrel for both *2 allele carriers and non-carriers were combined with the prevalence of the heterozygosity for the *2 allele in New Zealand Europeans (15%), Maoris (24%), Asians (29%) and Pacific Islanders (45%) to determine the predicted adverse event rate for the New Zealand population. National hospital diagnosis-related group (DRG) discharge codes were used to determine alternative adverse event rates, along with the costs of hospitalizations during the 15 months after patients presented with an ACS. The primary outcome measure was the incremental cost per QALY (calculated using literature-reported weights). Monte Carlo simulations and alternative scenario analysis based on both clinical trial and national hospital incidence were used. Additional analysis considered the overall TRITON-TIMI 38 rates. Costs (in New Zealand dollars [$NZ], year 2009 values) and benefits were discounted at 3% per annum.\\n\\nRESULTS: Actual hospital-based adverse event rates were higher than those reported in the TRITON-TIMI 38 randomized controlled trial and the genetic sub-studies, especially for myocardial infarction and cardiovascular death, and for Maoris and Pacific Islanders. For both sources of adverse event rates, treating the population with prasugrel was associated with worse outcomes (QALYs) than clopidogrel. However, prasugrel became cost effective ($NZ31\u2009751/QALY) when the overall TRITON-TIMI 38 rates were used. A genetic test to guide the selected use of pra\u2026", "author" : [ { "dropping-particle" : "", "family" : "Panattoni", "given" : "Laura", "non-dropping-particle" : "", "parse-names" : false, "suffix" : "" }, { "dropping-particle" : "", "family" : "Brown", "given" : "Paul M.", "non-dropping-particle" : "", "parse-names" : false, "suffix" : "" }, { "dropping-particle" : "Te", "family" : "Ao", "given" : "Braden", "non-dropping-particle" : "", "parse-names" : false, "suffix" : "" }, { "dropping-particle" : "", "family" : "Webster", "given" : "Mark", "non-dropping-particle" : "", "parse-names" : false, "suffix" : "" }, { "dropping-particle" : "", "family" : "Gladding", "given" : "Patrick", "non-dropping-particle" : "", "parse-names" : false, "suffix" : "" } ], "container-title" : "PharmacoEconomics", "id" : "ITEM-1", "issue" : "11", "issued" : { "date-parts" : [ [ "2012" ] ] }, "page" : "1067-1084", "title" : "The cost effectiveness of genetic testing for CYP2C19 Variants to Guide Thienopyridine Treatment in Patients with Acute Coronary Syndromes: A New Zealand Evaluation", "type" : "article-journal", "volume" : "30" }, "uris" : [ "http://www.mendeley.com/documents/?uuid=4076d3cd-0fd6-43ab-93f9-f91fd2070a57" ] } ], "mendeley" : { "formattedCitation" : "&lt;sup&gt;17&lt;/sup&gt;", "plainTextFormattedCitation" : "17", "previouslyFormattedCitation" : "&lt;sup&gt;17&lt;/sup&gt;" }, "properties" : { "noteIndex" : 0 }, "schema" : "https://github.com/citation-style-language/schema/raw/master/csl-citation.json" }</w:instrText>
      </w:r>
      <w:r w:rsidR="00CB755C">
        <w:fldChar w:fldCharType="separate"/>
      </w:r>
      <w:r w:rsidR="00CB755C" w:rsidRPr="00CB755C">
        <w:rPr>
          <w:noProof/>
          <w:vertAlign w:val="superscript"/>
        </w:rPr>
        <w:t>17</w:t>
      </w:r>
      <w:r w:rsidR="00CB755C">
        <w:fldChar w:fldCharType="end"/>
      </w:r>
      <w:r>
        <w:t xml:space="preserve"> </w:t>
      </w:r>
      <w:r w:rsidR="00911146">
        <w:t xml:space="preserve">No other drug-gene studies met our inclusion criteria.  </w:t>
      </w:r>
    </w:p>
    <w:p w:rsidR="00E6034E" w:rsidRPr="00E6034E" w:rsidRDefault="00E6034E" w:rsidP="00F40CE5">
      <w:pPr>
        <w:pStyle w:val="LRiGnormal"/>
        <w:spacing w:line="480" w:lineRule="auto"/>
      </w:pPr>
      <w:r>
        <w:t>Our final</w:t>
      </w:r>
      <w:r w:rsidR="00F32124">
        <w:t xml:space="preserve"> included studies</w:t>
      </w:r>
      <w:r>
        <w:t xml:space="preserve"> </w:t>
      </w:r>
      <w:r w:rsidR="00F32124">
        <w:t xml:space="preserve">were comprised of </w:t>
      </w:r>
      <w:r w:rsidR="002E2A36">
        <w:t>two</w:t>
      </w:r>
      <w:r>
        <w:t xml:space="preserve"> from the US</w:t>
      </w:r>
      <w:r w:rsidR="006F1820">
        <w:t>A</w:t>
      </w:r>
      <w:r w:rsidR="0084020B">
        <w:t>,</w:t>
      </w:r>
      <w:r w:rsidR="00B545BC">
        <w:fldChar w:fldCharType="begin" w:fldLock="1"/>
      </w:r>
      <w:r w:rsidR="00B719B4">
        <w:instrText>ADDIN CSL_CITATION { "citationItems" : [ { "id" : "ITEM-1", "itemData" : { "DOI" : "10.2217/14622416.8.3.217", "ISSN" : "1462-2416", "abstract" : "Introduction: Warfarin is a widely prescribed, efficacious oral anticoagulant. S-warfarin, the more active form, is metabolized by the cytochrome P450 (CYP)2C9 enzyme. The aim was to evaluate the- influence of two CYP2C9 functional polymorphisms (*2 and *3) on warfarin dose in African-Americans, an unstudied population and Caucasians, and also to assess the effect of these polymorphisms on anticoagulation response after accounting for nongenetic factors and genetic factors that might also impact the dose-response relationship of warfarin. Patients and methods: A prospective cohort of 362 patients with a target international normalized ratio of between 2.0 and 3.0 were genotyped. Warfarin sensitivity stratified by genotype was investigated using univariate, and multivariate analyses. Results: The maintenance dose of warfarin was significantly related to genotype (p &lt; 0.01) (variant carriers: 31.25 mg/week; wild-type: 37.5 mg/ week), even after adjustment for possible confounding factors (p = 0.046). However, the effect of genotype was restricted to Caucasians, in whom variant carriers had a significantly lower maintenance dose compared with wild-type homozygotes (unadjusted: p &lt; 0.01; adjusted: p = 0.02). There was a greater risk of over-anticoagulation among Caucasian variant carriers, although this was only observed prior to reaching maintenance dose. For African-American variant carriers, there was no difference in warfarin response based on CYP2C9 genotype. Discussion: CYP2C9 *2 and *3 variants provide predictive information in anticoagulation response. However, these variants may not be useful in African-Americans or as a marker of long-term over-anticoagulation once a stable dose is reached. \u00a9 2007 Future Medicine Ltd.", "author" : [ { "dropping-particle" : "", "family" : "Kealey", "given" : "Carmel", "non-dropping-particle" : "", "parse-names" : false, "suffix" : "" }, { "dropping-particle" : "", "family" : "Chen", "given" : "Zhen", "non-dropping-particle" : "", "parse-names" : false, "suffix" : "" }, { "dropping-particle" : "", "family" : "Christie", "given" : "Jason", "non-dropping-particle" : "", "parse-names" : false, "suffix" : "" }, { "dropping-particle" : "", "family" : "Thorn", "given" : "Caroline F", "non-dropping-particle" : "", "parse-names" : false, "suffix" : "" }, { "dropping-particle" : "", "family" : "Whitehead", "given" : "Alexander S", "non-dropping-particle" : "", "parse-names" : false, "suffix" : "" }, { "dropping-particle" : "", "family" : "Price", "given" : "Maureen", "non-dropping-particle" : "", "parse-names" : false, "suffix" : "" }, { "dropping-particle" : "", "family" : "Samaha", "given" : "Frederick", "non-dropping-particle" : "", "parse-names" : false, "suffix" : "" }, { "dropping-particle" : "", "family" : "Kimmel", "given" : "Stephen", "non-dropping-particle" : "", "parse-names" : false, "suffix" : "" } ], "container-title" : "Pharmacogenomics", "id" : "ITEM-1", "issue" : "3", "issued" : { "date-parts" : [ [ "2007" ] ] }, "page" : "217-225", "title" : "Warafin and cytochrome P450 2C9 genotype: Possible ethic variation in warafin sensitivity", "type" : "article-journal", "volume" : "8" }, "uris" : [ "http://www.mendeley.com/documents/?uuid=7f920805-47fa-4e01-aed3-8e10551bfc62" ] }, { "id" : "ITEM-2", "itemData" : { "DOI" : "10.2217/14622416.9.5.511", "ISBN" : "1744-8042", "ISSN" : "1462-2416", "PMID" : "18466099", "abstract" : "AIMS: The influence of CYP2C9 and VKORC1 on warfarin dose, time to target International Normalized Ratio (INR), time to stabilization, and risk of over-anticoagulation (INR: &gt; 4) was assessed after adjustment for clinical factors, intraindividual variation in environmental factors and unobserved heterogeneity.MATERIALS &amp; METHODS: Common CYP2C9 and VKORC1 polymorphisms were assessed in 302 European-Americans and 273 African-Americans receiving warfarin. Race-stratified multivariable analyses evaluated the influence of CYP2C9 and VKORC1 on warfarin response.RESULTS &amp; CONCLUSION: CYP2C9 and VKORC1 accounted for up to 30% of the variability in warfarin dose among European-Americans and 10% among African-Americans. Neither CYP2C9 nor VKORC1 influenced the time to target INR or stabilization among patients of either race, and neither influenced the risk of over-anticoagulation among African-Americans. The risk of over-anticoagulation was higher among European-Americans with variant VKORC1 1173C/T (p &lt; 0.01) and marginally significant among those with variant CYP2C9 (p = 0.08) genotype. Although CYP2C9 and VKORC1 genotyping can facilitate individualized initiation of warfarin dose in African and European-Americans, the ability to predict the risk of over-anticoagulation is inconsistent across race. Identification of other factors that can predict such risk consistently in a racially diverse group will facilitate individualized maintenance of warfarin therapy", "author" : [ { "dropping-particle" : "", "family" : "Limdi", "given" : "Nita A", "non-dropping-particle" : "", "parse-names" : false, "suffix" : "" }, { "dropping-particle" : "", "family" : "Arnett", "given" : "Donna K", "non-dropping-particle" : "", "parse-names" : false, "suffix" : "" }, { "dropping-particle" : "", "family" : "Goldstein", "given" : "Joyce A", "non-dropping-particle" : "", "parse-names" : false, "suffix" : "" }, { "dropping-particle" : "", "family" : "Beasley", "given" : "T Mark", "non-dropping-particle" : "", "parse-names" : false, "suffix" : "" }, { "dropping-particle" : "", "family" : "McGwin", "given" : "Gerald", "non-dropping-particle" : "", "parse-names" : false, "suffix" : "" }, { "dropping-particle" : "", "family" : "Adler", "given" : "Brian K", "non-dropping-particle" : "", "parse-names" : false, "suffix" : "" }, { "dropping-particle" : "", "family" : "Acton", "given" : "Ronald T", "non-dropping-particle" : "", "parse-names" : false, "suffix" : "" } ], "container-title" : "Pharmacogenomics", "id" : "ITEM-2", "issue" : "5", "issued" : { "date-parts" : [ [ "2008" ] ] }, "page" : "511-526", "title" : "Influence of CYP2C9 and VKORC1 on warfarin dose, anticoagulation attainment and maintenance among European-Americans and African-Americans.", "type" : "article-journal", "volume" : "9" }, "uris" : [ "http://www.mendeley.com/documents/?uuid=cda3da47-0a03-48db-9ee4-a58722b85cdd" ] } ], "mendeley" : { "formattedCitation" : "&lt;sup&gt;13,14&lt;/sup&gt;", "plainTextFormattedCitation" : "13,14", "previouslyFormattedCitation" : "&lt;sup&gt;13,14&lt;/sup&gt;" }, "properties" : { "noteIndex" : 0 }, "schema" : "https://github.com/citation-style-language/schema/raw/master/csl-citation.json" }</w:instrText>
      </w:r>
      <w:r w:rsidR="00B545BC">
        <w:fldChar w:fldCharType="separate"/>
      </w:r>
      <w:r w:rsidR="009427AF" w:rsidRPr="009427AF">
        <w:rPr>
          <w:noProof/>
          <w:vertAlign w:val="superscript"/>
        </w:rPr>
        <w:t>13,14</w:t>
      </w:r>
      <w:r w:rsidR="00B545BC">
        <w:fldChar w:fldCharType="end"/>
      </w:r>
      <w:r>
        <w:t xml:space="preserve"> two studies from New Zealand</w:t>
      </w:r>
      <w:r w:rsidR="00B545BC">
        <w:fldChar w:fldCharType="begin" w:fldLock="1"/>
      </w:r>
      <w:r w:rsidR="0033232C">
        <w:instrText>ADDIN CSL_CITATION { "citationItems" : [ { "id" : "ITEM-1", "itemData" : { "DOI" : "10.2165/11595080-000000000-00000", "ISBN" : "1170-7690", "ISSN" : "11707690", "PMID" : "22974536", "abstract" : "BACKGROUND: A recent clinical trial has demonstrated that patients with acute coronary syndromes (ACS) and the reduced function allele CYP2C19*2 (*2 allele), who are treated with thienopyridines, have an increased risk of adverse cardiac events with clopidogrel, but not with prasugrel. The frequency of the *2 allele varies by ethnicity and the Maoris, Asians and Pacific Islanders of New Zealand have a relatively high incidence.\\n\\nOBJECTIVE: Our objective was to evaluate, from a New Zealand health system perspective, the cost effectiveness of treating all ACS patients with generic clopidogrel compared with prasugrel, and also compared with the genetically guided strategy that *2 allele carriers receive prasugrel and non-carriers receive clopidogrel.\\n\\nMETHODS: A decision-tree model consisting of five health states (myocardial infarction, stroke, bleeding, stent thrombosis and cardiovascular death) was developed. Clinical outcome data (two TRITON-TIMI 38 genetic sub-studies) comparing clopidogrel and prasugrel for both *2 allele carriers and non-carriers were combined with the prevalence of the heterozygosity for the *2 allele in New Zealand Europeans (15%), Maoris (24%), Asians (29%) and Pacific Islanders (45%) to determine the predicted adverse event rate for the New Zealand population. National hospital diagnosis-related group (DRG) discharge codes were used to determine alternative adverse event rates, along with the costs of hospitalizations during the 15 months after patients presented with an ACS. The primary outcome measure was the incremental cost per QALY (calculated using literature-reported weights). Monte Carlo simulations and alternative scenario analysis based on both clinical trial and national hospital incidence were used. Additional analysis considered the overall TRITON-TIMI 38 rates. Costs (in New Zealand dollars [$NZ], year 2009 values) and benefits were discounted at 3% per annum.\\n\\nRESULTS: Actual hospital-based adverse event rates were higher than those reported in the TRITON-TIMI 38 randomized controlled trial and the genetic sub-studies, especially for myocardial infarction and cardiovascular death, and for Maoris and Pacific Islanders. For both sources of adverse event rates, treating the population with prasugrel was associated with worse outcomes (QALYs) than clopidogrel. However, prasugrel became cost effective ($NZ31\u2009751/QALY) when the overall TRITON-TIMI 38 rates were used. A genetic test to guide the selected use of pra\u2026", "author" : [ { "dropping-particle" : "", "family" : "Panattoni", "given" : "Laura", "non-dropping-particle" : "", "parse-names" : false, "suffix" : "" }, { "dropping-particle" : "", "family" : "Brown", "given" : "Paul M.", "non-dropping-particle" : "", "parse-names" : false, "suffix" : "" }, { "dropping-particle" : "Te", "family" : "Ao", "given" : "Braden", "non-dropping-particle" : "", "parse-names" : false, "suffix" : "" }, { "dropping-particle" : "", "family" : "Webster", "given" : "Mark", "non-dropping-particle" : "", "parse-names" : false, "suffix" : "" }, { "dropping-particle" : "", "family" : "Gladding", "given" : "Patrick", "non-dropping-particle" : "", "parse-names" : false, "suffix" : "" } ], "container-title" : "PharmacoEconomics", "id" : "ITEM-1", "issue" : "11", "issued" : { "date-parts" : [ [ "2012" ] ] }, "page" : "1067-1084", "title" : "The cost effectiveness of genetic testing for CYP2C19 Variants to Guide Thienopyridine Treatment in Patients with Acute Coronary Syndromes: A New Zealand Evaluation", "type" : "article-journal", "volume" : "30" }, "uris" : [ "http://www.mendeley.com/documents/?uuid=4076d3cd-0fd6-43ab-93f9-f91fd2070a57" ] }, { "id" : "ITEM-2", "itemData" : { "DOI" : "10.1016/j.hlc.2009.04.026", "ISBN" : "1741-0541", "ISSN" : "14439506", "abstract" : "Patient demographics and variant alleles in the CYP2C9 and VKORC1 genes account for 50% of the population variability in warfarin maintenance doses. These variant alleles occur in varying frequencies between racial groups and contribute to differences in mean dose requirements between these groups. We used a pharmacogenetic simulation to estimate warfarin maintenance doses in an ethnically diverse cohort. Materials &amp; methods: In total, 366 individuals with coronary disease, of mixed South Pacific and European ethnicity, were genotyped for the CYP2C9*2 (rs1799853), *3 (rs1057910) and the VKORC1*2 haplotype, -1639 G&gt;A, (rs9923231). The cohort contained New Zealand Europeans (n = 287), Maori (n = 49), Pacific Islanders (n = 21) and Chinese subjects (n = 9). SNPs were genotyped using the Sequenom (CA, USA) mass spectrometer. Body surface area, age, smoking status and genotype were entered into a modified pharmacogenetic algorithm with a target international normalized ratio of 2.5. Bootstrap analysis using the @RISK software v5.0, (Palisade Co., NY, USA) was performed to simulate a population of 1000 for each ethnic group. Results: Simulated warfarin doses were lower in Chinese subjects than New Zealand Europeans (1.39 mg; 95% CI: 0.4-2.4; p = 0.006) owing to the high prevalence of the VKORC1*2 haplotype in Chinese subjects. Doses were higher in Pacific Islanders compared with New Zealand Europeans (1.26 mg; 95% CI: 0.6-1.9; p = 0.0002) owing to the near absence of the CYP2C9 variant alleles. Simulated warfarin doses in Maori patients were similar to those in European patients. Conclusion: This simulation study demonstrated differences in mean warfarin maintenance doses between ethnic groups in this cohort. Individualizing treatment regimens, using pharmacogenetics, may reduce ethnic disparities in treatment outcomes, particularly if differences can be appreciated at the genomic level. 2010 Future Medicine Ltd", "author" : [ { "dropping-particle" : "", "family" : "Gladding", "given" : "PA", "non-dropping-particle" : "", "parse-names" : false, "suffix" : "" }, { "dropping-particle" : "", "family" : "Stewart", "given" : "R", "non-dropping-particle" : "", "parse-names" : false, "suffix" : "" }, { "dropping-particle" : "", "family" : "Webster", "given" : "M", "non-dropping-particle" : "", "parse-names" : false, "suffix" : "" }, { "dropping-particle" : "", "family" : "White", "given" : "H", "non-dropping-particle" : "", "parse-names" : false, "suffix" : "" } ], "container-title" : "Heart, Lung and Circulation", "id" : "ITEM-2", "issued" : { "date-parts" : [ [ "2009" ] ] }, "page" : "S11", "title" : "A Simulation of Warfarin Maintenance Dose Requirement Using a Pharmacogenomic Algorithm in an Ethnically Diverse Cohort", "type" : "article-journal", "volume" : "18" }, "uris" : [ "http://www.mendeley.com/documents/?uuid=5912caf9-c303-4307-8b5d-8326a7ea2c1b" ] } ], "mendeley" : { "formattedCitation" : "&lt;sup&gt;15,17&lt;/sup&gt;", "plainTextFormattedCitation" : "15,17", "previouslyFormattedCitation" : "&lt;sup&gt;15,17&lt;/sup&gt;" }, "properties" : { "noteIndex" : 0 }, "schema" : "https://github.com/citation-style-language/schema/raw/master/csl-citation.json" }</w:instrText>
      </w:r>
      <w:r w:rsidR="00B545BC">
        <w:fldChar w:fldCharType="separate"/>
      </w:r>
      <w:r w:rsidR="0033232C" w:rsidRPr="0033232C">
        <w:rPr>
          <w:noProof/>
          <w:vertAlign w:val="superscript"/>
        </w:rPr>
        <w:t>15,17</w:t>
      </w:r>
      <w:r w:rsidR="00B545BC">
        <w:fldChar w:fldCharType="end"/>
      </w:r>
      <w:r>
        <w:t xml:space="preserve"> and one study from Singapore</w:t>
      </w:r>
      <w:r w:rsidR="0084020B">
        <w:t>.</w:t>
      </w:r>
      <w:r w:rsidR="00B545BC">
        <w:fldChar w:fldCharType="begin" w:fldLock="1"/>
      </w:r>
      <w:r w:rsidR="0033232C">
        <w:instrText>ADDIN CSL_CITATION { "citationItems" : [ { "id" : "ITEM-1", "itemData" : { "DOI" : "10.2217/pgs.12.104", "ISBN" : "1744-8042", "ISSN" : "1462-2416", "PMID" : "22920395", "abstract" : "AIM: We aimed to estimate the population impact of warfarin pharmacogenetic testing (WPGT) across multiple populations.MATERIALS &amp; METHODS: We used the expanded International Warfarin Pharmacogenetics Consortium data set and genotype frequencies from HapMap to simulate dose distributions for each CYP2C9/VKORC1 genotype combination in the different races, and calculated the population attributable fraction as a measure of population impact of WPGT. WPGT was compared to both clinical and fixed-dose algorithms to estimate the benefits of WPGT.RESULTS: Our dose simulation revealed different dose requirements in difference races and considerable overlap in dose distributions of different genotype combinations. Population attributable fraction calculations suggest that complete implementation of WPGT can reduce inaccurate dosing by 18-24% in white individuals. However black, Japanese and Chinese patients do not benefit from WPGT, especially when compared against a race-specific fixed dose.CONCLUSION: Our findings support WPGT in white individuals but not in black, Japanese and Chinese individuals", "author" : [ { "dropping-particle" : "", "family" : "Chan", "given" : "Sze Ling", "non-dropping-particle" : "", "parse-names" : false, "suffix" : "" }, { "dropping-particle" : "", "family" : "Suo", "given" : "Chen", "non-dropping-particle" : "", "parse-names" : false, "suffix" : "" }, { "dropping-particle" : "", "family" : "Chia", "given" : "Kee Seng", "non-dropping-particle" : "", "parse-names" : false, "suffix" : "" }, { "dropping-particle" : "", "family" : "Teo", "given" : "Yik Ying", "non-dropping-particle" : "", "parse-names" : false, "suffix" : "" } ], "container-title" : "Pharmacogenomics", "id" : "ITEM-1", "issue" : "11", "issued" : { "date-parts" : [ [ "2012" ] ] }, "page" : "1247-1256", "title" : "The population attributable fraction as a measure of the impact of warfarin pharmacogenetic testing.", "type" : "article-journal", "volume" : "13" }, "uris" : [ "http://www.mendeley.com/documents/?uuid=dffd9ab6-5a31-4a9c-987a-d97f6fcbf740" ] } ], "mendeley" : { "formattedCitation" : "&lt;sup&gt;16&lt;/sup&gt;", "plainTextFormattedCitation" : "16", "previouslyFormattedCitation" : "&lt;sup&gt;16&lt;/sup&gt;" }, "properties" : { "noteIndex" : 0 }, "schema" : "https://github.com/citation-style-language/schema/raw/master/csl-citation.json" }</w:instrText>
      </w:r>
      <w:r w:rsidR="00B545BC">
        <w:fldChar w:fldCharType="separate"/>
      </w:r>
      <w:r w:rsidR="00CB755C" w:rsidRPr="00CB755C">
        <w:rPr>
          <w:noProof/>
          <w:vertAlign w:val="superscript"/>
        </w:rPr>
        <w:t>16</w:t>
      </w:r>
      <w:r w:rsidR="00B545BC">
        <w:fldChar w:fldCharType="end"/>
      </w:r>
      <w:r w:rsidR="00010E9B">
        <w:t xml:space="preserve"> </w:t>
      </w:r>
      <w:r w:rsidR="007905C7">
        <w:t xml:space="preserve">Of </w:t>
      </w:r>
      <w:r w:rsidR="00BB2F21">
        <w:t xml:space="preserve">the </w:t>
      </w:r>
      <w:r w:rsidR="007905C7">
        <w:t xml:space="preserve">included </w:t>
      </w:r>
      <w:r>
        <w:t>studies</w:t>
      </w:r>
      <w:r w:rsidR="007905C7">
        <w:t>,</w:t>
      </w:r>
      <w:r>
        <w:t xml:space="preserve"> </w:t>
      </w:r>
      <w:r w:rsidR="002E2A36">
        <w:t>four</w:t>
      </w:r>
      <w:r w:rsidR="007905C7">
        <w:t xml:space="preserve"> </w:t>
      </w:r>
      <w:r>
        <w:t>were prospective cohort studies</w:t>
      </w:r>
      <w:r w:rsidR="00B545BC">
        <w:fldChar w:fldCharType="begin" w:fldLock="1"/>
      </w:r>
      <w:r w:rsidR="006D5E0B">
        <w:instrText>ADDIN CSL_CITATION { "citationItems" : [ { "id" : "ITEM-1", "itemData" : { "DOI" : "10.2217/14622416.8.3.217", "ISSN" : "1462-2416", "abstract" : "Introduction: Warfarin is a widely prescribed, efficacious oral anticoagulant. S-warfarin, the more active form, is metabolized by the cytochrome P450 (CYP)2C9 enzyme. The aim was to evaluate the- influence of two CYP2C9 functional polymorphisms (*2 and *3) on warfarin dose in African-Americans, an unstudied population and Caucasians, and also to assess the effect of these polymorphisms on anticoagulation response after accounting for nongenetic factors and genetic factors that might also impact the dose-response relationship of warfarin. Patients and methods: A prospective cohort of 362 patients with a target international normalized ratio of between 2.0 and 3.0 were genotyped. Warfarin sensitivity stratified by genotype was investigated using univariate, and multivariate analyses. Results: The maintenance dose of warfarin was significantly related to genotype (p &lt; 0.01) (variant carriers: 31.25 mg/week; wild-type: 37.5 mg/ week), even after adjustment for possible confounding factors (p = 0.046). However, the effect of genotype was restricted to Caucasians, in whom variant carriers had a significantly lower maintenance dose compared with wild-type homozygotes (unadjusted: p &lt; 0.01; adjusted: p = 0.02). There was a greater risk of over-anticoagulation among Caucasian variant carriers, although this was only observed prior to reaching maintenance dose. For African-American variant carriers, there was no difference in warfarin response based on CYP2C9 genotype. Discussion: CYP2C9 *2 and *3 variants provide predictive information in anticoagulation response. However, these variants may not be useful in African-Americans or as a marker of long-term over-anticoagulation once a stable dose is reached. \u00a9 2007 Future Medicine Ltd.", "author" : [ { "dropping-particle" : "", "family" : "Kealey", "given" : "Carmel", "non-dropping-particle" : "", "parse-names" : false, "suffix" : "" }, { "dropping-particle" : "", "family" : "Chen", "given" : "Zhen", "non-dropping-particle" : "", "parse-names" : false, "suffix" : "" }, { "dropping-particle" : "", "family" : "Christie", "given" : "Jason", "non-dropping-particle" : "", "parse-names" : false, "suffix" : "" }, { "dropping-particle" : "", "family" : "Thorn", "given" : "Caroline F", "non-dropping-particle" : "", "parse-names" : false, "suffix" : "" }, { "dropping-particle" : "", "family" : "Whitehead", "given" : "Alexander S", "non-dropping-particle" : "", "parse-names" : false, "suffix" : "" }, { "dropping-particle" : "", "family" : "Price", "given" : "Maureen", "non-dropping-particle" : "", "parse-names" : false, "suffix" : "" }, { "dropping-particle" : "", "family" : "Samaha", "given" : "Frederick", "non-dropping-particle" : "", "parse-names" : false, "suffix" : "" }, { "dropping-particle" : "", "family" : "Kimmel", "given" : "Stephen", "non-dropping-particle" : "", "parse-names" : false, "suffix" : "" } ], "container-title" : "Pharmacogenomics", "id" : "ITEM-1", "issue" : "3", "issued" : { "date-parts" : [ [ "2007" ] ] }, "page" : "217-225", "title" : "Warafin and cytochrome P450 2C9 genotype: Possible ethic variation in warafin sensitivity", "type" : "article-journal", "volume" : "8" }, "uris" : [ "http://www.mendeley.com/documents/?uuid=7f920805-47fa-4e01-aed3-8e10551bfc62" ] }, { "id" : "ITEM-2", "itemData" : { "DOI" : "10.2217/14622416.9.5.511", "ISBN" : "1744-8042", "ISSN" : "1462-2416", "PMID" : "18466099", "abstract" : "AIMS: The influence of CYP2C9 and VKORC1 on warfarin dose, time to target International Normalized Ratio (INR), time to stabilization, and risk of over-anticoagulation (INR: &gt; 4) was assessed after adjustment for clinical factors, intraindividual variation in environmental factors and unobserved heterogeneity.MATERIALS &amp; METHODS: Common CYP2C9 and VKORC1 polymorphisms were assessed in 302 European-Americans and 273 African-Americans receiving warfarin. Race-stratified multivariable analyses evaluated the influence of CYP2C9 and VKORC1 on warfarin response.RESULTS &amp; CONCLUSION: CYP2C9 and VKORC1 accounted for up to 30% of the variability in warfarin dose among European-Americans and 10% among African-Americans. Neither CYP2C9 nor VKORC1 influenced the time to target INR or stabilization among patients of either race, and neither influenced the risk of over-anticoagulation among African-Americans. The risk of over-anticoagulation was higher among European-Americans with variant VKORC1 1173C/T (p &lt; 0.01) and marginally significant among those with variant CYP2C9 (p = 0.08) genotype. Although CYP2C9 and VKORC1 genotyping can facilitate individualized initiation of warfarin dose in African and European-Americans, the ability to predict the risk of over-anticoagulation is inconsistent across race. Identification of other factors that can predict such risk consistently in a racially diverse group will facilitate individualized maintenance of warfarin therapy", "author" : [ { "dropping-particle" : "", "family" : "Limdi", "given" : "Nita A", "non-dropping-particle" : "", "parse-names" : false, "suffix" : "" }, { "dropping-particle" : "", "family" : "Arnett", "given" : "Donna K", "non-dropping-particle" : "", "parse-names" : false, "suffix" : "" }, { "dropping-particle" : "", "family" : "Goldstein", "given" : "Joyce A", "non-dropping-particle" : "", "parse-names" : false, "suffix" : "" }, { "dropping-particle" : "", "family" : "Beasley", "given" : "T Mark", "non-dropping-particle" : "", "parse-names" : false, "suffix" : "" }, { "dropping-particle" : "", "family" : "McGwin", "given" : "Gerald", "non-dropping-particle" : "", "parse-names" : false, "suffix" : "" }, { "dropping-particle" : "", "family" : "Adler", "given" : "Brian K", "non-dropping-particle" : "", "parse-names" : false, "suffix" : "" }, { "dropping-particle" : "", "family" : "Acton", "given" : "Ronald T", "non-dropping-particle" : "", "parse-names" : false, "suffix" : "" } ], "container-title" : "Pharmacogenomics", "id" : "ITEM-2", "issue" : "5", "issued" : { "date-parts" : [ [ "2008" ] ] }, "page" : "511-526", "title" : "Influence of CYP2C9 and VKORC1 on warfarin dose, anticoagulation attainment and maintenance among European-Americans and African-Americans.", "type" : "article-journal", "volume" : "9" }, "uris" : [ "http://www.mendeley.com/documents/?uuid=cda3da47-0a03-48db-9ee4-a58722b85cdd" ] }, { "id" : "ITEM-3", "itemData" : { "DOI" : "10.1016/j.hlc.2009.04.026", "ISBN" : "1741-0541", "ISSN" : "14439506", "abstract" : "Patient demographics and variant alleles in the CYP2C9 and VKORC1 genes account for 50% of the population variability in warfarin maintenance doses. These variant alleles occur in varying frequencies between racial groups and contribute to differences in mean dose requirements between these groups. We used a pharmacogenetic simulation to estimate warfarin maintenance doses in an ethnically diverse cohort. Materials &amp; methods: In total, 366 individuals with coronary disease, of mixed South Pacific and European ethnicity, were genotyped for the CYP2C9*2 (rs1799853), *3 (rs1057910) and the VKORC1*2 haplotype, -1639 G&gt;A, (rs9923231). The cohort contained New Zealand Europeans (n = 287), Maori (n = 49), Pacific Islanders (n = 21) and Chinese subjects (n = 9). SNPs were genotyped using the Sequenom (CA, USA) mass spectrometer. Body surface area, age, smoking status and genotype were entered into a modified pharmacogenetic algorithm with a target international normalized ratio of 2.5. Bootstrap analysis using the @RISK software v5.0, (Palisade Co., NY, USA) was performed to simulate a population of 1000 for each ethnic group. Results: Simulated warfarin doses were lower in Chinese subjects than New Zealand Europeans (1.39 mg; 95% CI: 0.4-2.4; p = 0.006) owing to the high prevalence of the VKORC1*2 haplotype in Chinese subjects. Doses were higher in Pacific Islanders compared with New Zealand Europeans (1.26 mg; 95% CI: 0.6-1.9; p = 0.0002) owing to the near absence of the CYP2C9 variant alleles. Simulated warfarin doses in Maori patients were similar to those in European patients. Conclusion: This simulation study demonstrated differences in mean warfarin maintenance doses between ethnic groups in this cohort. Individualizing treatment regimens, using pharmacogenetics, may reduce ethnic disparities in treatment outcomes, particularly if differences can be appreciated at the genomic level. 2010 Future Medicine Ltd", "author" : [ { "dropping-particle" : "", "family" : "Gladding", "given" : "PA", "non-dropping-particle" : "", "parse-names" : false, "suffix" : "" }, { "dropping-particle" : "", "family" : "Stewart", "given" : "R", "non-dropping-particle" : "", "parse-names" : false, "suffix" : "" }, { "dropping-particle" : "", "family" : "Webster", "given" : "M", "non-dropping-particle" : "", "parse-names" : false, "suffix" : "" }, { "dropping-particle" : "", "family" : "White", "given" : "H", "non-dropping-particle" : "", "parse-names" : false, "suffix" : "" } ], "container-title" : "Heart, Lung and Circulation", "id" : "ITEM-3", "issued" : { "date-parts" : [ [ "2009" ] ] }, "page" : "S11", "title" : "A Simulation of Warfarin Maintenance Dose Requirement Using a Pharmacogenomic Algorithm in an Ethnically Diverse Cohort", "type" : "article-journal", "volume" : "18" }, "uris" : [ "http://www.mendeley.com/documents/?uuid=5912caf9-c303-4307-8b5d-8326a7ea2c1b" ] }, { "id" : "ITEM-4", "itemData" : { "DOI" : "10.2217/pgs.12.104", "ISBN" : "1744-8042", "ISSN" : "1462-2416", "PMID" : "22920395", "abstract" : "AIM: We aimed to estimate the population impact of warfarin pharmacogenetic testing (WPGT) across multiple populations.MATERIALS &amp; METHODS: We used the expanded International Warfarin Pharmacogenetics Consortium data set and genotype frequencies from HapMap to simulate dose distributions for each CYP2C9/VKORC1 genotype combination in the different races, and calculated the population attributable fraction as a measure of population impact of WPGT. WPGT was compared to both clinical and fixed-dose algorithms to estimate the benefits of WPGT.RESULTS: Our dose simulation revealed different dose requirements in difference races and considerable overlap in dose distributions of different genotype combinations. Population attributable fraction calculations suggest that complete implementation of WPGT can reduce inaccurate dosing by 18-24% in white individuals. However black, Japanese and Chinese patients do not benefit from WPGT, especially when compared against a race-specific fixed dose.CONCLUSION: Our findings support WPGT in white individuals but not in black, Japanese and Chinese individuals", "author" : [ { "dropping-particle" : "", "family" : "Chan", "given" : "Sze Ling", "non-dropping-particle" : "", "parse-names" : false, "suffix" : "" }, { "dropping-particle" : "", "family" : "Suo", "given" : "Chen", "non-dropping-particle" : "", "parse-names" : false, "suffix" : "" }, { "dropping-particle" : "", "family" : "Chia", "given" : "Kee Seng", "non-dropping-particle" : "", "parse-names" : false, "suffix" : "" }, { "dropping-particle" : "", "family" : "Teo", "given" : "Yik Ying", "non-dropping-particle" : "", "parse-names" : false, "suffix" : "" } ], "container-title" : "Pharmacogenomics", "id" : "ITEM-4", "issue" : "11", "issued" : { "date-parts" : [ [ "2012" ] ] }, "page" : "1247-1256", "title" : "The population attributable fraction as a measure of the impact of warfarin pharmacogenetic testing.", "type" : "article-journal", "volume" : "13" }, "uris" : [ "http://www.mendeley.com/documents/?uuid=dffd9ab6-5a31-4a9c-987a-d97f6fcbf740" ] } ], "mendeley" : { "formattedCitation" : "&lt;sup&gt;13\u201316&lt;/sup&gt;", "plainTextFormattedCitation" : "13\u201316", "previouslyFormattedCitation" : "&lt;sup&gt;13\u201316&lt;/sup&gt;" }, "properties" : { "noteIndex" : 0 }, "schema" : "https://github.com/citation-style-language/schema/raw/master/csl-citation.json" }</w:instrText>
      </w:r>
      <w:r w:rsidR="00B545BC">
        <w:fldChar w:fldCharType="separate"/>
      </w:r>
      <w:r w:rsidR="006D5E0B" w:rsidRPr="006D5E0B">
        <w:rPr>
          <w:noProof/>
          <w:vertAlign w:val="superscript"/>
        </w:rPr>
        <w:t>13–16</w:t>
      </w:r>
      <w:r w:rsidR="00B545BC">
        <w:fldChar w:fldCharType="end"/>
      </w:r>
      <w:r w:rsidR="000A5B51">
        <w:t xml:space="preserve"> and o</w:t>
      </w:r>
      <w:r w:rsidR="00CD4785">
        <w:t>ne study by Panattoni et al.</w:t>
      </w:r>
      <w:r w:rsidR="00B545BC">
        <w:fldChar w:fldCharType="begin" w:fldLock="1"/>
      </w:r>
      <w:r w:rsidR="0033232C">
        <w:instrText>ADDIN CSL_CITATION { "citationItems" : [ { "id" : "ITEM-1", "itemData" : { "DOI" : "10.2165/11595080-000000000-00000", "ISBN" : "1170-7690", "ISSN" : "11707690", "PMID" : "22974536", "abstract" : "BACKGROUND: A recent clinical trial has demonstrated that patients with acute coronary syndromes (ACS) and the reduced function allele CYP2C19*2 (*2 allele), who are treated with thienopyridines, have an increased risk of adverse cardiac events with clopidogrel, but not with prasugrel. The frequency of the *2 allele varies by ethnicity and the Maoris, Asians and Pacific Islanders of New Zealand have a relatively high incidence.\\n\\nOBJECTIVE: Our objective was to evaluate, from a New Zealand health system perspective, the cost effectiveness of treating all ACS patients with generic clopidogrel compared with prasugrel, and also compared with the genetically guided strategy that *2 allele carriers receive prasugrel and non-carriers receive clopidogrel.\\n\\nMETHODS: A decision-tree model consisting of five health states (myocardial infarction, stroke, bleeding, stent thrombosis and cardiovascular death) was developed. Clinical outcome data (two TRITON-TIMI 38 genetic sub-studies) comparing clopidogrel and prasugrel for both *2 allele carriers and non-carriers were combined with the prevalence of the heterozygosity for the *2 allele in New Zealand Europeans (15%), Maoris (24%), Asians (29%) and Pacific Islanders (45%) to determine the predicted adverse event rate for the New Zealand population. National hospital diagnosis-related group (DRG) discharge codes were used to determine alternative adverse event rates, along with the costs of hospitalizations during the 15 months after patients presented with an ACS. The primary outcome measure was the incremental cost per QALY (calculated using literature-reported weights). Monte Carlo simulations and alternative scenario analysis based on both clinical trial and national hospital incidence were used. Additional analysis considered the overall TRITON-TIMI 38 rates. Costs (in New Zealand dollars [$NZ], year 2009 values) and benefits were discounted at 3% per annum.\\n\\nRESULTS: Actual hospital-based adverse event rates were higher than those reported in the TRITON-TIMI 38 randomized controlled trial and the genetic sub-studies, especially for myocardial infarction and cardiovascular death, and for Maoris and Pacific Islanders. For both sources of adverse event rates, treating the population with prasugrel was associated with worse outcomes (QALYs) than clopidogrel. However, prasugrel became cost effective ($NZ31\u2009751/QALY) when the overall TRITON-TIMI 38 rates were used. A genetic test to guide the selected use of pra\u2026", "author" : [ { "dropping-particle" : "", "family" : "Panattoni", "given" : "Laura", "non-dropping-particle" : "", "parse-names" : false, "suffix" : "" }, { "dropping-particle" : "", "family" : "Brown", "given" : "Paul M.", "non-dropping-particle" : "", "parse-names" : false, "suffix" : "" }, { "dropping-particle" : "Te", "family" : "Ao", "given" : "Braden", "non-dropping-particle" : "", "parse-names" : false, "suffix" : "" }, { "dropping-particle" : "", "family" : "Webster", "given" : "Mark", "non-dropping-particle" : "", "parse-names" : false, "suffix" : "" }, { "dropping-particle" : "", "family" : "Gladding", "given" : "Patrick", "non-dropping-particle" : "", "parse-names" : false, "suffix" : "" } ], "container-title" : "PharmacoEconomics", "id" : "ITEM-1", "issue" : "11", "issued" : { "date-parts" : [ [ "2012" ] ] }, "page" : "1067-1084", "title" : "The cost effectiveness of genetic testing for CYP2C19 Variants to Guide Thienopyridine Treatment in Patients with Acute Coronary Syndromes: A New Zealand Evaluation", "type" : "article-journal", "volume" : "30" }, "uris" : [ "http://www.mendeley.com/documents/?uuid=4076d3cd-0fd6-43ab-93f9-f91fd2070a57" ] } ], "mendeley" : { "formattedCitation" : "&lt;sup&gt;17&lt;/sup&gt;", "plainTextFormattedCitation" : "17", "previouslyFormattedCitation" : "&lt;sup&gt;17&lt;/sup&gt;" }, "properties" : { "noteIndex" : 0 }, "schema" : "https://github.com/citation-style-language/schema/raw/master/csl-citation.json" }</w:instrText>
      </w:r>
      <w:r w:rsidR="00B545BC">
        <w:fldChar w:fldCharType="separate"/>
      </w:r>
      <w:r w:rsidR="0033232C" w:rsidRPr="0033232C">
        <w:rPr>
          <w:noProof/>
          <w:vertAlign w:val="superscript"/>
        </w:rPr>
        <w:t>17</w:t>
      </w:r>
      <w:r w:rsidR="00B545BC">
        <w:fldChar w:fldCharType="end"/>
      </w:r>
      <w:r>
        <w:t xml:space="preserve"> wa</w:t>
      </w:r>
      <w:r w:rsidR="002E2A36">
        <w:t>s a cost-effectiveness analysis</w:t>
      </w:r>
      <w:r>
        <w:t xml:space="preserve">. The quality of reporting is shown in </w:t>
      </w:r>
      <w:r w:rsidR="00CB755C" w:rsidRPr="00CB755C">
        <w:t>Table 1</w:t>
      </w:r>
      <w:r w:rsidR="00CB755C">
        <w:t xml:space="preserve"> </w:t>
      </w:r>
      <w:r>
        <w:t>according to the GRADE criteria</w:t>
      </w:r>
      <w:r w:rsidR="0035369F">
        <w:t xml:space="preserve">. Initially, </w:t>
      </w:r>
      <w:r w:rsidR="00D62743">
        <w:t>four of the</w:t>
      </w:r>
      <w:r w:rsidR="0035369F">
        <w:t xml:space="preserve"> studies</w:t>
      </w:r>
      <w:r w:rsidR="00E65878">
        <w:fldChar w:fldCharType="begin" w:fldLock="1"/>
      </w:r>
      <w:r w:rsidR="00E65878">
        <w:instrText>ADDIN CSL_CITATION { "citationItems" : [ { "id" : "ITEM-1", "itemData" : { "DOI" : "10.2217/14622416.8.3.217", "ISSN" : "1462-2416", "abstract" : "Introduction: Warfarin is a widely prescribed, efficacious oral anticoagulant. S-warfarin, the more active form, is metabolized by the cytochrome P450 (CYP)2C9 enzyme. The aim was to evaluate the- influence of two CYP2C9 functional polymorphisms (*2 and *3) on warfarin dose in African-Americans, an unstudied population and Caucasians, and also to assess the effect of these polymorphisms on anticoagulation response after accounting for nongenetic factors and genetic factors that might also impact the dose-response relationship of warfarin. Patients and methods: A prospective cohort of 362 patients with a target international normalized ratio of between 2.0 and 3.0 were genotyped. Warfarin sensitivity stratified by genotype was investigated using univariate, and multivariate analyses. Results: The maintenance dose of warfarin was significantly related to genotype (p &lt; 0.01) (variant carriers: 31.25 mg/week; wild-type: 37.5 mg/ week), even after adjustment for possible confounding factors (p = 0.046). However, the effect of genotype was restricted to Caucasians, in whom variant carriers had a significantly lower maintenance dose compared with wild-type homozygotes (unadjusted: p &lt; 0.01; adjusted: p = 0.02). There was a greater risk of over-anticoagulation among Caucasian variant carriers, although this was only observed prior to reaching maintenance dose. For African-American variant carriers, there was no difference in warfarin response based on CYP2C9 genotype. Discussion: CYP2C9 *2 and *3 variants provide predictive information in anticoagulation response. However, these variants may not be useful in African-Americans or as a marker of long-term over-anticoagulation once a stable dose is reached. \u00a9 2007 Future Medicine Ltd.", "author" : [ { "dropping-particle" : "", "family" : "Kealey", "given" : "Carmel", "non-dropping-particle" : "", "parse-names" : false, "suffix" : "" }, { "dropping-particle" : "", "family" : "Chen", "given" : "Zhen", "non-dropping-particle" : "", "parse-names" : false, "suffix" : "" }, { "dropping-particle" : "", "family" : "Christie", "given" : "Jason", "non-dropping-particle" : "", "parse-names" : false, "suffix" : "" }, { "dropping-particle" : "", "family" : "Thorn", "given" : "Caroline F", "non-dropping-particle" : "", "parse-names" : false, "suffix" : "" }, { "dropping-particle" : "", "family" : "Whitehead", "given" : "Alexander S", "non-dropping-particle" : "", "parse-names" : false, "suffix" : "" }, { "dropping-particle" : "", "family" : "Price", "given" : "Maureen", "non-dropping-particle" : "", "parse-names" : false, "suffix" : "" }, { "dropping-particle" : "", "family" : "Samaha", "given" : "Frederick", "non-dropping-particle" : "", "parse-names" : false, "suffix" : "" }, { "dropping-particle" : "", "family" : "Kimmel", "given" : "Stephen", "non-dropping-particle" : "", "parse-names" : false, "suffix" : "" } ], "container-title" : "Pharmacogenomics", "id" : "ITEM-1", "issue" : "3", "issued" : { "date-parts" : [ [ "2007" ] ] }, "page" : "217-225", "title" : "Warafin and cytochrome P450 2C9 genotype: Possible ethic variation in warafin sensitivity", "type" : "article-journal", "volume" : "8" }, "uris" : [ "http://www.mendeley.com/documents/?uuid=7f920805-47fa-4e01-aed3-8e10551bfc62" ] }, { "id" : "ITEM-2", "itemData" : { "DOI" : "10.2217/14622416.9.5.511", "ISBN" : "1744-8042", "ISSN" : "1462-2416", "PMID" : "18466099", "abstract" : "AIMS: The influence of CYP2C9 and VKORC1 on warfarin dose, time to target International Normalized Ratio (INR), time to stabilization, and risk of over-anticoagulation (INR: &gt; 4) was assessed after adjustment for clinical factors, intraindividual variation in environmental factors and unobserved heterogeneity.MATERIALS &amp; METHODS: Common CYP2C9 and VKORC1 polymorphisms were assessed in 302 European-Americans and 273 African-Americans receiving warfarin. Race-stratified multivariable analyses evaluated the influence of CYP2C9 and VKORC1 on warfarin response.RESULTS &amp; CONCLUSION: CYP2C9 and VKORC1 accounted for up to 30% of the variability in warfarin dose among European-Americans and 10% among African-Americans. Neither CYP2C9 nor VKORC1 influenced the time to target INR or stabilization among patients of either race, and neither influenced the risk of over-anticoagulation among African-Americans. The risk of over-anticoagulation was higher among European-Americans with variant VKORC1 1173C/T (p &lt; 0.01) and marginally significant among those with variant CYP2C9 (p = 0.08) genotype. Although CYP2C9 and VKORC1 genotyping can facilitate individualized initiation of warfarin dose in African and European-Americans, the ability to predict the risk of over-anticoagulation is inconsistent across race. Identification of other factors that can predict such risk consistently in a racially diverse group will facilitate individualized maintenance of warfarin therapy", "author" : [ { "dropping-particle" : "", "family" : "Limdi", "given" : "Nita A", "non-dropping-particle" : "", "parse-names" : false, "suffix" : "" }, { "dropping-particle" : "", "family" : "Arnett", "given" : "Donna K", "non-dropping-particle" : "", "parse-names" : false, "suffix" : "" }, { "dropping-particle" : "", "family" : "Goldstein", "given" : "Joyce A", "non-dropping-particle" : "", "parse-names" : false, "suffix" : "" }, { "dropping-particle" : "", "family" : "Beasley", "given" : "T Mark", "non-dropping-particle" : "", "parse-names" : false, "suffix" : "" }, { "dropping-particle" : "", "family" : "McGwin", "given" : "Gerald", "non-dropping-particle" : "", "parse-names" : false, "suffix" : "" }, { "dropping-particle" : "", "family" : "Adler", "given" : "Brian K", "non-dropping-particle" : "", "parse-names" : false, "suffix" : "" }, { "dropping-particle" : "", "family" : "Acton", "given" : "Ronald T", "non-dropping-particle" : "", "parse-names" : false, "suffix" : "" } ], "container-title" : "Pharmacogenomics", "id" : "ITEM-2", "issue" : "5", "issued" : { "date-parts" : [ [ "2008" ] ] }, "page" : "511-526", "title" : "Influence of CYP2C9 and VKORC1 on warfarin dose, anticoagulation attainment and maintenance among European-Americans and African-Americans.", "type" : "article-journal", "volume" : "9" }, "uris" : [ "http://www.mendeley.com/documents/?uuid=cda3da47-0a03-48db-9ee4-a58722b85cdd" ] }, { "id" : "ITEM-3", "itemData" : { "DOI" : "10.1016/j.hlc.2009.04.026", "ISBN" : "1741-0541", "ISSN" : "14439506", "abstract" : "Patient demographics and variant alleles in the CYP2C9 and VKORC1 genes account for 50% of the population variability in warfarin maintenance doses. These variant alleles occur in varying frequencies between racial groups and contribute to differences in mean dose requirements between these groups. We used a pharmacogenetic simulation to estimate warfarin maintenance doses in an ethnically diverse cohort. Materials &amp; methods: In total, 366 individuals with coronary disease, of mixed South Pacific and European ethnicity, were genotyped for the CYP2C9*2 (rs1799853), *3 (rs1057910) and the VKORC1*2 haplotype, -1639 G&gt;A, (rs9923231). The cohort contained New Zealand Europeans (n = 287), Maori (n = 49), Pacific Islanders (n = 21) and Chinese subjects (n = 9). SNPs were genotyped using the Sequenom (CA, USA) mass spectrometer. Body surface area, age, smoking status and genotype were entered into a modified pharmacogenetic algorithm with a target international normalized ratio of 2.5. Bootstrap analysis using the @RISK software v5.0, (Palisade Co., NY, USA) was performed to simulate a population of 1000 for each ethnic group. Results: Simulated warfarin doses were lower in Chinese subjects than New Zealand Europeans (1.39 mg; 95% CI: 0.4-2.4; p = 0.006) owing to the high prevalence of the VKORC1*2 haplotype in Chinese subjects. Doses were higher in Pacific Islanders compared with New Zealand Europeans (1.26 mg; 95% CI: 0.6-1.9; p = 0.0002) owing to the near absence of the CYP2C9 variant alleles. Simulated warfarin doses in Maori patients were similar to those in European patients. Conclusion: This simulation study demonstrated differences in mean warfarin maintenance doses between ethnic groups in this cohort. Individualizing treatment regimens, using pharmacogenetics, may reduce ethnic disparities in treatment outcomes, particularly if differences can be appreciated at the genomic level. 2010 Future Medicine Ltd", "author" : [ { "dropping-particle" : "", "family" : "Gladding", "given" : "PA", "non-dropping-particle" : "", "parse-names" : false, "suffix" : "" }, { "dropping-particle" : "", "family" : "Stewart", "given" : "R", "non-dropping-particle" : "", "parse-names" : false, "suffix" : "" }, { "dropping-particle" : "", "family" : "Webster", "given" : "M", "non-dropping-particle" : "", "parse-names" : false, "suffix" : "" }, { "dropping-particle" : "", "family" : "White", "given" : "H", "non-dropping-particle" : "", "parse-names" : false, "suffix" : "" } ], "container-title" : "Heart, Lung and Circulation", "id" : "ITEM-3", "issued" : { "date-parts" : [ [ "2009" ] ] }, "page" : "S11", "title" : "A Simulation of Warfarin Maintenance Dose Requirement Using a Pharmacogenomic Algorithm in an Ethnically Diverse Cohort", "type" : "article-journal", "volume" : "18" }, "uris" : [ "http://www.mendeley.com/documents/?uuid=5912caf9-c303-4307-8b5d-8326a7ea2c1b" ] }, { "id" : "ITEM-4", "itemData" : { "DOI" : "10.2217/pgs.12.104", "ISBN" : "1744-8042", "ISSN" : "1462-2416", "PMID" : "22920395", "abstract" : "AIM: We aimed to estimate the population impact of warfarin pharmacogenetic testing (WPGT) across multiple populations.MATERIALS &amp; METHODS: We used the expanded International Warfarin Pharmacogenetics Consortium data set and genotype frequencies from HapMap to simulate dose distributions for each CYP2C9/VKORC1 genotype combination in the different races, and calculated the population attributable fraction as a measure of population impact of WPGT. WPGT was compared to both clinical and fixed-dose algorithms to estimate the benefits of WPGT.RESULTS: Our dose simulation revealed different dose requirements in difference races and considerable overlap in dose distributions of different genotype combinations. Population attributable fraction calculations suggest that complete implementation of WPGT can reduce inaccurate dosing by 18-24% in white individuals. However black, Japanese and Chinese patients do not benefit from WPGT, especially when compared against a race-specific fixed dose.CONCLUSION: Our findings support WPGT in white individuals but not in black, Japanese and Chinese individuals", "author" : [ { "dropping-particle" : "", "family" : "Chan", "given" : "Sze Ling", "non-dropping-particle" : "", "parse-names" : false, "suffix" : "" }, { "dropping-particle" : "", "family" : "Suo", "given" : "Chen", "non-dropping-particle" : "", "parse-names" : false, "suffix" : "" }, { "dropping-particle" : "", "family" : "Chia", "given" : "Kee Seng", "non-dropping-particle" : "", "parse-names" : false, "suffix" : "" }, { "dropping-particle" : "", "family" : "Teo", "given" : "Yik Ying", "non-dropping-particle" : "", "parse-names" : false, "suffix" : "" } ], "container-title" : "Pharmacogenomics", "id" : "ITEM-4", "issue" : "11", "issued" : { "date-parts" : [ [ "2012" ] ] }, "page" : "1247-1256", "title" : "The population attributable fraction as a measure of the impact of warfarin pharmacogenetic testing.", "type" : "article-journal", "volume" : "13" }, "uris" : [ "http://www.mendeley.com/documents/?uuid=dffd9ab6-5a31-4a9c-987a-d97f6fcbf740" ] } ], "mendeley" : { "formattedCitation" : "&lt;sup&gt;13\u201316&lt;/sup&gt;", "plainTextFormattedCitation" : "13\u201316", "previouslyFormattedCitation" : "&lt;sup&gt;13\u201316&lt;/sup&gt;" }, "properties" : { "noteIndex" : 0 }, "schema" : "https://github.com/citation-style-language/schema/raw/master/csl-citation.json" }</w:instrText>
      </w:r>
      <w:r w:rsidR="00E65878">
        <w:fldChar w:fldCharType="separate"/>
      </w:r>
      <w:r w:rsidR="00E65878" w:rsidRPr="00CB755C">
        <w:rPr>
          <w:noProof/>
          <w:vertAlign w:val="superscript"/>
        </w:rPr>
        <w:t>13–16</w:t>
      </w:r>
      <w:r w:rsidR="00E65878">
        <w:fldChar w:fldCharType="end"/>
      </w:r>
      <w:r w:rsidR="0035369F">
        <w:t xml:space="preserve"> were rated up due to consistent identification of association between </w:t>
      </w:r>
      <w:r w:rsidR="005616F2" w:rsidRPr="005616F2">
        <w:t>cytochrome P450 (CYP)</w:t>
      </w:r>
      <w:r w:rsidR="004F57F6">
        <w:t xml:space="preserve"> </w:t>
      </w:r>
      <w:r w:rsidR="005616F2" w:rsidRPr="005616F2">
        <w:t xml:space="preserve">2C9 </w:t>
      </w:r>
      <w:r w:rsidR="005616F2">
        <w:t>(</w:t>
      </w:r>
      <w:r w:rsidR="0035369F">
        <w:t>CYP2C9</w:t>
      </w:r>
      <w:r w:rsidR="005616F2">
        <w:t>)</w:t>
      </w:r>
      <w:r w:rsidR="004F57F6">
        <w:t xml:space="preserve"> </w:t>
      </w:r>
      <w:r w:rsidR="004F57F6" w:rsidRPr="005616F2">
        <w:t>enzyme</w:t>
      </w:r>
      <w:r w:rsidR="0035369F">
        <w:t xml:space="preserve"> and </w:t>
      </w:r>
      <w:r w:rsidR="00D62743" w:rsidRPr="00D62743">
        <w:t xml:space="preserve">vitamin K epoxide reductase complex 1 </w:t>
      </w:r>
      <w:r w:rsidR="00D62743">
        <w:t xml:space="preserve">(VKORC1) gene and </w:t>
      </w:r>
      <w:r w:rsidR="0035369F">
        <w:t xml:space="preserve">warfarin dose requirements </w:t>
      </w:r>
      <w:r w:rsidR="00F12D35">
        <w:t>to achieve</w:t>
      </w:r>
      <w:r w:rsidR="0035369F">
        <w:t xml:space="preserve"> anticoagulation control. </w:t>
      </w:r>
      <w:r w:rsidR="00E27CCD">
        <w:t>While, the fifth study</w:t>
      </w:r>
      <w:r w:rsidR="00A55951">
        <w:fldChar w:fldCharType="begin" w:fldLock="1"/>
      </w:r>
      <w:r w:rsidR="00A55951">
        <w:instrText>ADDIN CSL_CITATION { "citationItems" : [ { "id" : "ITEM-1", "itemData" : { "DOI" : "10.2165/11595080-000000000-00000", "ISBN" : "1170-7690", "ISSN" : "11707690", "PMID" : "22974536", "abstract" : "BACKGROUND: A recent clinical trial has demonstrated that patients with acute coronary syndromes (ACS) and the reduced function allele CYP2C19*2 (*2 allele), who are treated with thienopyridines, have an increased risk of adverse cardiac events with clopidogrel, but not with prasugrel. The frequency of the *2 allele varies by ethnicity and the Maoris, Asians and Pacific Islanders of New Zealand have a relatively high incidence.\\n\\nOBJECTIVE: Our objective was to evaluate, from a New Zealand health system perspective, the cost effectiveness of treating all ACS patients with generic clopidogrel compared with prasugrel, and also compared with the genetically guided strategy that *2 allele carriers receive prasugrel and non-carriers receive clopidogrel.\\n\\nMETHODS: A decision-tree model consisting of five health states (myocardial infarction, stroke, bleeding, stent thrombosis and cardiovascular death) was developed. Clinical outcome data (two TRITON-TIMI 38 genetic sub-studies) comparing clopidogrel and prasugrel for both *2 allele carriers and non-carriers were combined with the prevalence of the heterozygosity for the *2 allele in New Zealand Europeans (15%), Maoris (24%), Asians (29%) and Pacific Islanders (45%) to determine the predicted adverse event rate for the New Zealand population. National hospital diagnosis-related group (DRG) discharge codes were used to determine alternative adverse event rates, along with the costs of hospitalizations during the 15 months after patients presented with an ACS. The primary outcome measure was the incremental cost per QALY (calculated using literature-reported weights). Monte Carlo simulations and alternative scenario analysis based on both clinical trial and national hospital incidence were used. Additional analysis considered the overall TRITON-TIMI 38 rates. Costs (in New Zealand dollars [$NZ], year 2009 values) and benefits were discounted at 3% per annum.\\n\\nRESULTS: Actual hospital-based adverse event rates were higher than those reported in the TRITON-TIMI 38 randomized controlled trial and the genetic sub-studies, especially for myocardial infarction and cardiovascular death, and for Maoris and Pacific Islanders. For both sources of adverse event rates, treating the population with prasugrel was associated with worse outcomes (QALYs) than clopidogrel. However, prasugrel became cost effective ($NZ31\u2009751/QALY) when the overall TRITON-TIMI 38 rates were used. A genetic test to guide the selected use of pra\u2026", "author" : [ { "dropping-particle" : "", "family" : "Panattoni", "given" : "Laura", "non-dropping-particle" : "", "parse-names" : false, "suffix" : "" }, { "dropping-particle" : "", "family" : "Brown", "given" : "Paul M.", "non-dropping-particle" : "", "parse-names" : false, "suffix" : "" }, { "dropping-particle" : "Te", "family" : "Ao", "given" : "Braden", "non-dropping-particle" : "", "parse-names" : false, "suffix" : "" }, { "dropping-particle" : "", "family" : "Webster", "given" : "Mark", "non-dropping-particle" : "", "parse-names" : false, "suffix" : "" }, { "dropping-particle" : "", "family" : "Gladding", "given" : "Patrick", "non-dropping-particle" : "", "parse-names" : false, "suffix" : "" } ], "container-title" : "PharmacoEconomics", "id" : "ITEM-1", "issue" : "11", "issued" : { "date-parts" : [ [ "2012" ] ] }, "page" : "1067-1084", "title" : "The cost effectiveness of genetic testing for CYP2C19 Variants to Guide Thienopyridine Treatment in Patients with Acute Coronary Syndromes: A New Zealand Evaluation", "type" : "article-journal", "volume" : "30" }, "uris" : [ "http://www.mendeley.com/documents/?uuid=4076d3cd-0fd6-43ab-93f9-f91fd2070a57" ] } ], "mendeley" : { "formattedCitation" : "&lt;sup&gt;17&lt;/sup&gt;", "plainTextFormattedCitation" : "17", "previouslyFormattedCitation" : "&lt;sup&gt;17&lt;/sup&gt;" }, "properties" : { "noteIndex" : 0 }, "schema" : "https://github.com/citation-style-language/schema/raw/master/csl-citation.json" }</w:instrText>
      </w:r>
      <w:r w:rsidR="00A55951">
        <w:fldChar w:fldCharType="separate"/>
      </w:r>
      <w:r w:rsidR="00A55951" w:rsidRPr="00CB755C">
        <w:rPr>
          <w:noProof/>
          <w:vertAlign w:val="superscript"/>
        </w:rPr>
        <w:t>17</w:t>
      </w:r>
      <w:r w:rsidR="00A55951">
        <w:fldChar w:fldCharType="end"/>
      </w:r>
      <w:r w:rsidR="00E27CCD">
        <w:t xml:space="preserve"> was rated up due to consistent identification of association between </w:t>
      </w:r>
      <w:r w:rsidR="004F57F6">
        <w:t>CYP</w:t>
      </w:r>
      <w:r w:rsidR="00E27CCD">
        <w:t xml:space="preserve">2C19 </w:t>
      </w:r>
      <w:r w:rsidR="00E2130C">
        <w:t xml:space="preserve">enzyme </w:t>
      </w:r>
      <w:r w:rsidR="00E27CCD">
        <w:t xml:space="preserve">and metabolism rates of clopidogrel. </w:t>
      </w:r>
      <w:r>
        <w:t>There was limited risk of bias due to study design, importance of recruitment setting, presence of self-reported</w:t>
      </w:r>
      <w:r w:rsidR="00AB3FFA">
        <w:t xml:space="preserve"> information and response rate. </w:t>
      </w:r>
      <w:r w:rsidR="00A55951">
        <w:t>However, of the five studies, t</w:t>
      </w:r>
      <w:r w:rsidR="004A7F09">
        <w:t>wo studies</w:t>
      </w:r>
      <w:r w:rsidR="00E65878">
        <w:fldChar w:fldCharType="begin" w:fldLock="1"/>
      </w:r>
      <w:r w:rsidR="00E65878">
        <w:instrText>ADDIN CSL_CITATION { "citationItems" : [ { "id" : "ITEM-1", "itemData" : { "DOI" : "10.2165/11595080-000000000-00000", "ISBN" : "1170-7690", "ISSN" : "11707690", "PMID" : "22974536", "abstract" : "BACKGROUND: A recent clinical trial has demonstrated that patients with acute coronary syndromes (ACS) and the reduced function allele CYP2C19*2 (*2 allele), who are treated with thienopyridines, have an increased risk of adverse cardiac events with clopidogrel, but not with prasugrel. The frequency of the *2 allele varies by ethnicity and the Maoris, Asians and Pacific Islanders of New Zealand have a relatively high incidence.\\n\\nOBJECTIVE: Our objective was to evaluate, from a New Zealand health system perspective, the cost effectiveness of treating all ACS patients with generic clopidogrel compared with prasugrel, and also compared with the genetically guided strategy that *2 allele carriers receive prasugrel and non-carriers receive clopidogrel.\\n\\nMETHODS: A decision-tree model consisting of five health states (myocardial infarction, stroke, bleeding, stent thrombosis and cardiovascular death) was developed. Clinical outcome data (two TRITON-TIMI 38 genetic sub-studies) comparing clopidogrel and prasugrel for both *2 allele carriers and non-carriers were combined with the prevalence of the heterozygosity for the *2 allele in New Zealand Europeans (15%), Maoris (24%), Asians (29%) and Pacific Islanders (45%) to determine the predicted adverse event rate for the New Zealand population. National hospital diagnosis-related group (DRG) discharge codes were used to determine alternative adverse event rates, along with the costs of hospitalizations during the 15 months after patients presented with an ACS. The primary outcome measure was the incremental cost per QALY (calculated using literature-reported weights). Monte Carlo simulations and alternative scenario analysis based on both clinical trial and national hospital incidence were used. Additional analysis considered the overall TRITON-TIMI 38 rates. Costs (in New Zealand dollars [$NZ], year 2009 values) and benefits were discounted at 3% per annum.\\n\\nRESULTS: Actual hospital-based adverse event rates were higher than those reported in the TRITON-TIMI 38 randomized controlled trial and the genetic sub-studies, especially for myocardial infarction and cardiovascular death, and for Maoris and Pacific Islanders. For both sources of adverse event rates, treating the population with prasugrel was associated with worse outcomes (QALYs) than clopidogrel. However, prasugrel became cost effective ($NZ31\u2009751/QALY) when the overall TRITON-TIMI 38 rates were used. A genetic test to guide the selected use of pra\u2026", "author" : [ { "dropping-particle" : "", "family" : "Panattoni", "given" : "Laura", "non-dropping-particle" : "", "parse-names" : false, "suffix" : "" }, { "dropping-particle" : "", "family" : "Brown", "given" : "Paul M.", "non-dropping-particle" : "", "parse-names" : false, "suffix" : "" }, { "dropping-particle" : "Te", "family" : "Ao", "given" : "Braden", "non-dropping-particle" : "", "parse-names" : false, "suffix" : "" }, { "dropping-particle" : "", "family" : "Webster", "given" : "Mark", "non-dropping-particle" : "", "parse-names" : false, "suffix" : "" }, { "dropping-particle" : "", "family" : "Gladding", "given" : "Patrick", "non-dropping-particle" : "", "parse-names" : false, "suffix" : "" } ], "container-title" : "PharmacoEconomics", "id" : "ITEM-1", "issue" : "11", "issued" : { "date-parts" : [ [ "2012" ] ] }, "page" : "1067-1084", "title" : "The cost effectiveness of genetic testing for CYP2C19 Variants to Guide Thienopyridine Treatment in Patients with Acute Coronary Syndromes: A New Zealand Evaluation", "type" : "article-journal", "volume" : "30" }, "uris" : [ "http://www.mendeley.com/documents/?uuid=4076d3cd-0fd6-43ab-93f9-f91fd2070a57" ] }, { "id" : "ITEM-2", "itemData" : { "DOI" : "10.1016/j.hlc.2009.04.026", "ISBN" : "1741-0541", "ISSN" : "14439506", "abstract" : "Patient demographics and variant alleles in the CYP2C9 and VKORC1 genes account for 50% of the population variability in warfarin maintenance doses. These variant alleles occur in varying frequencies between racial groups and contribute to differences in mean dose requirements between these groups. We used a pharmacogenetic simulation to estimate warfarin maintenance doses in an ethnically diverse cohort. Materials &amp; methods: In total, 366 individuals with coronary disease, of mixed South Pacific and European ethnicity, were genotyped for the CYP2C9*2 (rs1799853), *3 (rs1057910) and the VKORC1*2 haplotype, -1639 G&gt;A, (rs9923231). The cohort contained New Zealand Europeans (n = 287), Maori (n = 49), Pacific Islanders (n = 21) and Chinese subjects (n = 9). SNPs were genotyped using the Sequenom (CA, USA) mass spectrometer. Body surface area, age, smoking status and genotype were entered into a modified pharmacogenetic algorithm with a target international normalized ratio of 2.5. Bootstrap analysis using the @RISK software v5.0, (Palisade Co., NY, USA) was performed to simulate a population of 1000 for each ethnic group. Results: Simulated warfarin doses were lower in Chinese subjects than New Zealand Europeans (1.39 mg; 95% CI: 0.4-2.4; p = 0.006) owing to the high prevalence of the VKORC1*2 haplotype in Chinese subjects. Doses were higher in Pacific Islanders compared with New Zealand Europeans (1.26 mg; 95% CI: 0.6-1.9; p = 0.0002) owing to the near absence of the CYP2C9 variant alleles. Simulated warfarin doses in Maori patients were similar to those in European patients. Conclusion: This simulation study demonstrated differences in mean warfarin maintenance doses between ethnic groups in this cohort. Individualizing treatment regimens, using pharmacogenetics, may reduce ethnic disparities in treatment outcomes, particularly if differences can be appreciated at the genomic level. 2010 Future Medicine Ltd", "author" : [ { "dropping-particle" : "", "family" : "Gladding", "given" : "PA", "non-dropping-particle" : "", "parse-names" : false, "suffix" : "" }, { "dropping-particle" : "", "family" : "Stewart", "given" : "R", "non-dropping-particle" : "", "parse-names" : false, "suffix" : "" }, { "dropping-particle" : "", "family" : "Webster", "given" : "M", "non-dropping-particle" : "", "parse-names" : false, "suffix" : "" }, { "dropping-particle" : "", "family" : "White", "given" : "H", "non-dropping-particle" : "", "parse-names" : false, "suffix" : "" } ], "container-title" : "Heart, Lung and Circulation", "id" : "ITEM-2", "issued" : { "date-parts" : [ [ "2009" ] ] }, "page" : "S11", "title" : "A Simulation of Warfarin Maintenance Dose Requirement Using a Pharmacogenomic Algorithm in an Ethnically Diverse Cohort", "type" : "article-journal", "volume" : "18" }, "uris" : [ "http://www.mendeley.com/documents/?uuid=5912caf9-c303-4307-8b5d-8326a7ea2c1b" ] } ], "mendeley" : { "formattedCitation" : "&lt;sup&gt;15,17&lt;/sup&gt;", "plainTextFormattedCitation" : "15,17", "previouslyFormattedCitation" : "&lt;sup&gt;15,17&lt;/sup&gt;" }, "properties" : { "noteIndex" : 0 }, "schema" : "https://github.com/citation-style-language/schema/raw/master/csl-citation.json" }</w:instrText>
      </w:r>
      <w:r w:rsidR="00E65878">
        <w:fldChar w:fldCharType="separate"/>
      </w:r>
      <w:r w:rsidR="00E65878" w:rsidRPr="0033232C">
        <w:rPr>
          <w:noProof/>
          <w:vertAlign w:val="superscript"/>
        </w:rPr>
        <w:t>15,17</w:t>
      </w:r>
      <w:r w:rsidR="00E65878">
        <w:fldChar w:fldCharType="end"/>
      </w:r>
      <w:r w:rsidR="004A7F09">
        <w:t xml:space="preserve"> were </w:t>
      </w:r>
      <w:r w:rsidR="00A55951">
        <w:t xml:space="preserve">subsequently </w:t>
      </w:r>
      <w:r w:rsidR="004A7F09">
        <w:t xml:space="preserve">rated </w:t>
      </w:r>
      <w:r w:rsidR="00F12D35">
        <w:t xml:space="preserve">down </w:t>
      </w:r>
      <w:r w:rsidR="00CE0A49">
        <w:t xml:space="preserve">due to use of </w:t>
      </w:r>
      <w:r w:rsidR="002A28B6">
        <w:t xml:space="preserve">prediction modelling </w:t>
      </w:r>
      <w:r w:rsidR="00CE0A49">
        <w:t>simulation and possible indirectness issues</w:t>
      </w:r>
      <w:r w:rsidR="0033232C">
        <w:t>.</w:t>
      </w:r>
      <w:r w:rsidR="00CE0A49">
        <w:t xml:space="preserve"> </w:t>
      </w:r>
      <w:r w:rsidR="00911146">
        <w:t>B</w:t>
      </w:r>
      <w:r>
        <w:t xml:space="preserve">oth indirectness </w:t>
      </w:r>
      <w:r w:rsidR="002A28B6">
        <w:t xml:space="preserve">(e.g. comparators used) </w:t>
      </w:r>
      <w:r>
        <w:t xml:space="preserve">and imprecision </w:t>
      </w:r>
      <w:r w:rsidR="002A28B6">
        <w:t xml:space="preserve">(e.g. due to inaccuracies in measurement) </w:t>
      </w:r>
      <w:r>
        <w:t xml:space="preserve">were not </w:t>
      </w:r>
      <w:r w:rsidR="00E2130C">
        <w:t>substantial</w:t>
      </w:r>
      <w:r>
        <w:t xml:space="preserve"> </w:t>
      </w:r>
      <w:r w:rsidR="007905C7">
        <w:t>concerns</w:t>
      </w:r>
      <w:r>
        <w:t xml:space="preserve"> for </w:t>
      </w:r>
      <w:r w:rsidR="00CE0A49">
        <w:t xml:space="preserve">other </w:t>
      </w:r>
      <w:r>
        <w:t>included studies.</w:t>
      </w:r>
      <w:r w:rsidR="00B14E7A">
        <w:t xml:space="preserve"> </w:t>
      </w:r>
      <w:r w:rsidR="0033232C">
        <w:t xml:space="preserve"> </w:t>
      </w:r>
      <w:r w:rsidR="00DB3A63">
        <w:t xml:space="preserve">Overall, three studies were </w:t>
      </w:r>
      <w:r w:rsidR="00DB3A63">
        <w:lastRenderedPageBreak/>
        <w:t>deemed to be of ‘moderate quality’</w:t>
      </w:r>
      <w:r w:rsidR="00DB3A63">
        <w:fldChar w:fldCharType="begin" w:fldLock="1"/>
      </w:r>
      <w:r w:rsidR="00DB3A63">
        <w:instrText>ADDIN CSL_CITATION { "citationItems" : [ { "id" : "ITEM-1", "itemData" : { "DOI" : "10.2217/14622416.9.5.511", "ISBN" : "1744-8042", "ISSN" : "1462-2416", "PMID" : "18466099", "abstract" : "AIMS: The influence of CYP2C9 and VKORC1 on warfarin dose, time to target International Normalized Ratio (INR), time to stabilization, and risk of over-anticoagulation (INR: &gt; 4) was assessed after adjustment for clinical factors, intraindividual variation in environmental factors and unobserved heterogeneity.MATERIALS &amp; METHODS: Common CYP2C9 and VKORC1 polymorphisms were assessed in 302 European-Americans and 273 African-Americans receiving warfarin. Race-stratified multivariable analyses evaluated the influence of CYP2C9 and VKORC1 on warfarin response.RESULTS &amp; CONCLUSION: CYP2C9 and VKORC1 accounted for up to 30% of the variability in warfarin dose among European-Americans and 10% among African-Americans. Neither CYP2C9 nor VKORC1 influenced the time to target INR or stabilization among patients of either race, and neither influenced the risk of over-anticoagulation among African-Americans. The risk of over-anticoagulation was higher among European-Americans with variant VKORC1 1173C/T (p &lt; 0.01) and marginally significant among those with variant CYP2C9 (p = 0.08) genotype. Although CYP2C9 and VKORC1 genotyping can facilitate individualized initiation of warfarin dose in African and European-Americans, the ability to predict the risk of over-anticoagulation is inconsistent across race. Identification of other factors that can predict such risk consistently in a racially diverse group will facilitate individualized maintenance of warfarin therapy", "author" : [ { "dropping-particle" : "", "family" : "Limdi", "given" : "Nita A", "non-dropping-particle" : "", "parse-names" : false, "suffix" : "" }, { "dropping-particle" : "", "family" : "Arnett", "given" : "Donna K", "non-dropping-particle" : "", "parse-names" : false, "suffix" : "" }, { "dropping-particle" : "", "family" : "Goldstein", "given" : "Joyce A", "non-dropping-particle" : "", "parse-names" : false, "suffix" : "" }, { "dropping-particle" : "", "family" : "Beasley", "given" : "T Mark", "non-dropping-particle" : "", "parse-names" : false, "suffix" : "" }, { "dropping-particle" : "", "family" : "McGwin", "given" : "Gerald", "non-dropping-particle" : "", "parse-names" : false, "suffix" : "" }, { "dropping-particle" : "", "family" : "Adler", "given" : "Brian K", "non-dropping-particle" : "", "parse-names" : false, "suffix" : "" }, { "dropping-particle" : "", "family" : "Acton", "given" : "Ronald T", "non-dropping-particle" : "", "parse-names" : false, "suffix" : "" } ], "container-title" : "Pharmacogenomics", "id" : "ITEM-1", "issue" : "5", "issued" : { "date-parts" : [ [ "2008" ] ] }, "page" : "511-526", "title" : "Influence of CYP2C9 and VKORC1 on warfarin dose, anticoagulation attainment and maintenance among European-Americans and African-Americans.", "type" : "article-journal", "volume" : "9" }, "uris" : [ "http://www.mendeley.com/documents/?uuid=cda3da47-0a03-48db-9ee4-a58722b85cdd" ] }, { "id" : "ITEM-2", "itemData" : { "DOI" : "10.2217/pgs.12.104", "ISBN" : "1744-8042", "ISSN" : "1462-2416", "PMID" : "22920395", "abstract" : "AIM: We aimed to estimate the population impact of warfarin pharmacogenetic testing (WPGT) across multiple populations.MATERIALS &amp; METHODS: We used the expanded International Warfarin Pharmacogenetics Consortium data set and genotype frequencies from HapMap to simulate dose distributions for each CYP2C9/VKORC1 genotype combination in the different races, and calculated the population attributable fraction as a measure of population impact of WPGT. WPGT was compared to both clinical and fixed-dose algorithms to estimate the benefits of WPGT.RESULTS: Our dose simulation revealed different dose requirements in difference races and considerable overlap in dose distributions of different genotype combinations. Population attributable fraction calculations suggest that complete implementation of WPGT can reduce inaccurate dosing by 18-24% in white individuals. However black, Japanese and Chinese patients do not benefit from WPGT, especially when compared against a race-specific fixed dose.CONCLUSION: Our findings support WPGT in white individuals but not in black, Japanese and Chinese individuals", "author" : [ { "dropping-particle" : "", "family" : "Chan", "given" : "Sze Ling", "non-dropping-particle" : "", "parse-names" : false, "suffix" : "" }, { "dropping-particle" : "", "family" : "Suo", "given" : "Chen", "non-dropping-particle" : "", "parse-names" : false, "suffix" : "" }, { "dropping-particle" : "", "family" : "Chia", "given" : "Kee Seng", "non-dropping-particle" : "", "parse-names" : false, "suffix" : "" }, { "dropping-particle" : "", "family" : "Teo", "given" : "Yik Ying", "non-dropping-particle" : "", "parse-names" : false, "suffix" : "" } ], "container-title" : "Pharmacogenomics", "id" : "ITEM-2", "issue" : "11", "issued" : { "date-parts" : [ [ "2012" ] ] }, "page" : "1247-1256", "title" : "The population attributable fraction as a measure of the impact of warfarin pharmacogenetic testing.", "type" : "article-journal", "volume" : "13" }, "uris" : [ "http://www.mendeley.com/documents/?uuid=dffd9ab6-5a31-4a9c-987a-d97f6fcbf740" ] }, { "id" : "ITEM-3", "itemData" : { "DOI" : "10.2217/14622416.8.3.217", "ISSN" : "1462-2416", "abstract" : "Introduction: Warfarin is a widely prescribed, efficacious oral anticoagulant. S-warfarin, the more active form, is metabolized by the cytochrome P450 (CYP)2C9 enzyme. The aim was to evaluate the- influence of two CYP2C9 functional polymorphisms (*2 and *3) on warfarin dose in African-Americans, an unstudied population and Caucasians, and also to assess the effect of these polymorphisms on anticoagulation response after accounting for nongenetic factors and genetic factors that might also impact the dose-response relationship of warfarin. Patients and methods: A prospective cohort of 362 patients with a target international normalized ratio of between 2.0 and 3.0 were genotyped. Warfarin sensitivity stratified by genotype was investigated using univariate, and multivariate analyses. Results: The maintenance dose of warfarin was significantly related to genotype (p &lt; 0.01) (variant carriers: 31.25 mg/week; wild-type: 37.5 mg/ week), even after adjustment for possible confounding factors (p = 0.046). However, the effect of genotype was restricted to Caucasians, in whom variant carriers had a significantly lower maintenance dose compared with wild-type homozygotes (unadjusted: p &lt; 0.01; adjusted: p = 0.02). There was a greater risk of over-anticoagulation among Caucasian variant carriers, although this was only observed prior to reaching maintenance dose. For African-American variant carriers, there was no difference in warfarin response based on CYP2C9 genotype. Discussion: CYP2C9 *2 and *3 variants provide predictive information in anticoagulation response. However, these variants may not be useful in African-Americans or as a marker of long-term over-anticoagulation once a stable dose is reached. \u00a9 2007 Future Medicine Ltd.", "author" : [ { "dropping-particle" : "", "family" : "Kealey", "given" : "Carmel", "non-dropping-particle" : "", "parse-names" : false, "suffix" : "" }, { "dropping-particle" : "", "family" : "Chen", "given" : "Zhen", "non-dropping-particle" : "", "parse-names" : false, "suffix" : "" }, { "dropping-particle" : "", "family" : "Christie", "given" : "Jason", "non-dropping-particle" : "", "parse-names" : false, "suffix" : "" }, { "dropping-particle" : "", "family" : "Thorn", "given" : "Caroline F", "non-dropping-particle" : "", "parse-names" : false, "suffix" : "" }, { "dropping-particle" : "", "family" : "Whitehead", "given" : "Alexander S", "non-dropping-particle" : "", "parse-names" : false, "suffix" : "" }, { "dropping-particle" : "", "family" : "Price", "given" : "Maureen", "non-dropping-particle" : "", "parse-names" : false, "suffix" : "" }, { "dropping-particle" : "", "family" : "Samaha", "given" : "Frederick", "non-dropping-particle" : "", "parse-names" : false, "suffix" : "" }, { "dropping-particle" : "", "family" : "Kimmel", "given" : "Stephen", "non-dropping-particle" : "", "parse-names" : false, "suffix" : "" } ], "container-title" : "Pharmacogenomics", "id" : "ITEM-3", "issue" : "3", "issued" : { "date-parts" : [ [ "2007" ] ] }, "page" : "217-225", "title" : "Warafin and cytochrome P450 2C9 genotype: Possible ethic variation in warafin sensitivity", "type" : "article-journal", "volume" : "8" }, "uris" : [ "http://www.mendeley.com/documents/?uuid=7f920805-47fa-4e01-aed3-8e10551bfc62" ] } ], "mendeley" : { "formattedCitation" : "&lt;sup&gt;13,14,16&lt;/sup&gt;", "plainTextFormattedCitation" : "13,14,16", "previouslyFormattedCitation" : "&lt;sup&gt;13,14,16&lt;/sup&gt;" }, "properties" : { "noteIndex" : 0 }, "schema" : "https://github.com/citation-style-language/schema/raw/master/csl-citation.json" }</w:instrText>
      </w:r>
      <w:r w:rsidR="00DB3A63">
        <w:fldChar w:fldCharType="separate"/>
      </w:r>
      <w:r w:rsidR="00DB3A63" w:rsidRPr="00CB755C">
        <w:rPr>
          <w:noProof/>
          <w:vertAlign w:val="superscript"/>
        </w:rPr>
        <w:t>13,14,16</w:t>
      </w:r>
      <w:r w:rsidR="00DB3A63">
        <w:fldChar w:fldCharType="end"/>
      </w:r>
      <w:r w:rsidR="00DB3A63">
        <w:t xml:space="preserve"> and the remaining two studies were deemed of ‘low quality’</w:t>
      </w:r>
      <w:r w:rsidR="00DB3A63">
        <w:fldChar w:fldCharType="begin" w:fldLock="1"/>
      </w:r>
      <w:r w:rsidR="00DB3A63">
        <w:instrText>ADDIN CSL_CITATION { "citationItems" : [ { "id" : "ITEM-1", "itemData" : { "DOI" : "10.1016/j.hlc.2009.04.026", "ISBN" : "1741-0541", "ISSN" : "14439506", "abstract" : "Patient demographics and variant alleles in the CYP2C9 and VKORC1 genes account for 50% of the population variability in warfarin maintenance doses. These variant alleles occur in varying frequencies between racial groups and contribute to differences in mean dose requirements between these groups. We used a pharmacogenetic simulation to estimate warfarin maintenance doses in an ethnically diverse cohort. Materials &amp; methods: In total, 366 individuals with coronary disease, of mixed South Pacific and European ethnicity, were genotyped for the CYP2C9*2 (rs1799853), *3 (rs1057910) and the VKORC1*2 haplotype, -1639 G&gt;A, (rs9923231). The cohort contained New Zealand Europeans (n = 287), Maori (n = 49), Pacific Islanders (n = 21) and Chinese subjects (n = 9). SNPs were genotyped using the Sequenom (CA, USA) mass spectrometer. Body surface area, age, smoking status and genotype were entered into a modified pharmacogenetic algorithm with a target international normalized ratio of 2.5. Bootstrap analysis using the @RISK software v5.0, (Palisade Co., NY, USA) was performed to simulate a population of 1000 for each ethnic group. Results: Simulated warfarin doses were lower in Chinese subjects than New Zealand Europeans (1.39 mg; 95% CI: 0.4-2.4; p = 0.006) owing to the high prevalence of the VKORC1*2 haplotype in Chinese subjects. Doses were higher in Pacific Islanders compared with New Zealand Europeans (1.26 mg; 95% CI: 0.6-1.9; p = 0.0002) owing to the near absence of the CYP2C9 variant alleles. Simulated warfarin doses in Maori patients were similar to those in European patients. Conclusion: This simulation study demonstrated differences in mean warfarin maintenance doses between ethnic groups in this cohort. Individualizing treatment regimens, using pharmacogenetics, may reduce ethnic disparities in treatment outcomes, particularly if differences can be appreciated at the genomic level. 2010 Future Medicine Ltd", "author" : [ { "dropping-particle" : "", "family" : "Gladding", "given" : "PA", "non-dropping-particle" : "", "parse-names" : false, "suffix" : "" }, { "dropping-particle" : "", "family" : "Stewart", "given" : "R", "non-dropping-particle" : "", "parse-names" : false, "suffix" : "" }, { "dropping-particle" : "", "family" : "Webster", "given" : "M", "non-dropping-particle" : "", "parse-names" : false, "suffix" : "" }, { "dropping-particle" : "", "family" : "White", "given" : "H", "non-dropping-particle" : "", "parse-names" : false, "suffix" : "" } ], "container-title" : "Heart, Lung and Circulation", "id" : "ITEM-1", "issued" : { "date-parts" : [ [ "2009" ] ] }, "page" : "S11", "title" : "A Simulation of Warfarin Maintenance Dose Requirement Using a Pharmacogenomic Algorithm in an Ethnically Diverse Cohort", "type" : "article-journal", "volume" : "18" }, "uris" : [ "http://www.mendeley.com/documents/?uuid=5912caf9-c303-4307-8b5d-8326a7ea2c1b" ] }, { "id" : "ITEM-2", "itemData" : { "DOI" : "10.2165/11595080-000000000-00000", "ISBN" : "1170-7690", "ISSN" : "11707690", "PMID" : "22974536", "abstract" : "BACKGROUND: A recent clinical trial has demonstrated that patients with acute coronary syndromes (ACS) and the reduced function allele CYP2C19*2 (*2 allele), who are treated with thienopyridines, have an increased risk of adverse cardiac events with clopidogrel, but not with prasugrel. The frequency of the *2 allele varies by ethnicity and the Maoris, Asians and Pacific Islanders of New Zealand have a relatively high incidence.\\n\\nOBJECTIVE: Our objective was to evaluate, from a New Zealand health system perspective, the cost effectiveness of treating all ACS patients with generic clopidogrel compared with prasugrel, and also compared with the genetically guided strategy that *2 allele carriers receive prasugrel and non-carriers receive clopidogrel.\\n\\nMETHODS: A decision-tree model consisting of five health states (myocardial infarction, stroke, bleeding, stent thrombosis and cardiovascular death) was developed. Clinical outcome data (two TRITON-TIMI 38 genetic sub-studies) comparing clopidogrel and prasugrel for both *2 allele carriers and non-carriers were combined with the prevalence of the heterozygosity for the *2 allele in New Zealand Europeans (15%), Maoris (24%), Asians (29%) and Pacific Islanders (45%) to determine the predicted adverse event rate for the New Zealand population. National hospital diagnosis-related group (DRG) discharge codes were used to determine alternative adverse event rates, along with the costs of hospitalizations during the 15 months after patients presented with an ACS. The primary outcome measure was the incremental cost per QALY (calculated using literature-reported weights). Monte Carlo simulations and alternative scenario analysis based on both clinical trial and national hospital incidence were used. Additional analysis considered the overall TRITON-TIMI 38 rates. Costs (in New Zealand dollars [$NZ], year 2009 values) and benefits were discounted at 3% per annum.\\n\\nRESULTS: Actual hospital-based adverse event rates were higher than those reported in the TRITON-TIMI 38 randomized controlled trial and the genetic sub-studies, especially for myocardial infarction and cardiovascular death, and for Maoris and Pacific Islanders. For both sources of adverse event rates, treating the population with prasugrel was associated with worse outcomes (QALYs) than clopidogrel. However, prasugrel became cost effective ($NZ31\u2009751/QALY) when the overall TRITON-TIMI 38 rates were used. A genetic test to guide the selected use of pra\u2026", "author" : [ { "dropping-particle" : "", "family" : "Panattoni", "given" : "Laura", "non-dropping-particle" : "", "parse-names" : false, "suffix" : "" }, { "dropping-particle" : "", "family" : "Brown", "given" : "Paul M.", "non-dropping-particle" : "", "parse-names" : false, "suffix" : "" }, { "dropping-particle" : "Te", "family" : "Ao", "given" : "Braden", "non-dropping-particle" : "", "parse-names" : false, "suffix" : "" }, { "dropping-particle" : "", "family" : "Webster", "given" : "Mark", "non-dropping-particle" : "", "parse-names" : false, "suffix" : "" }, { "dropping-particle" : "", "family" : "Gladding", "given" : "Patrick", "non-dropping-particle" : "", "parse-names" : false, "suffix" : "" } ], "container-title" : "PharmacoEconomics", "id" : "ITEM-2", "issue" : "11", "issued" : { "date-parts" : [ [ "2012" ] ] }, "page" : "1067-1084", "title" : "The cost effectiveness of genetic testing for CYP2C19 Variants to Guide Thienopyridine Treatment in Patients with Acute Coronary Syndromes: A New Zealand Evaluation", "type" : "article-journal", "volume" : "30" }, "uris" : [ "http://www.mendeley.com/documents/?uuid=4076d3cd-0fd6-43ab-93f9-f91fd2070a57" ] } ], "mendeley" : { "formattedCitation" : "&lt;sup&gt;15,17&lt;/sup&gt;", "plainTextFormattedCitation" : "15,17", "previouslyFormattedCitation" : "&lt;sup&gt;15,17&lt;/sup&gt;" }, "properties" : { "noteIndex" : 0 }, "schema" : "https://github.com/citation-style-language/schema/raw/master/csl-citation.json" }</w:instrText>
      </w:r>
      <w:r w:rsidR="00DB3A63">
        <w:fldChar w:fldCharType="separate"/>
      </w:r>
      <w:r w:rsidR="00DB3A63" w:rsidRPr="006D5E0B">
        <w:rPr>
          <w:noProof/>
          <w:vertAlign w:val="superscript"/>
        </w:rPr>
        <w:t>15,17</w:t>
      </w:r>
      <w:r w:rsidR="00DB3A63">
        <w:fldChar w:fldCharType="end"/>
      </w:r>
      <w:r w:rsidR="00DB3A63">
        <w:t>.</w:t>
      </w:r>
    </w:p>
    <w:p w:rsidR="005454EB" w:rsidRDefault="003C610E" w:rsidP="00F40CE5">
      <w:pPr>
        <w:pStyle w:val="LRiGnormal"/>
        <w:spacing w:line="480" w:lineRule="auto"/>
        <w:ind w:firstLine="720"/>
      </w:pPr>
      <w:r>
        <w:rPr>
          <w:lang w:eastAsia="en-GB"/>
        </w:rPr>
        <w:t>Of five studies</w:t>
      </w:r>
      <w:r w:rsidR="002B40B9">
        <w:rPr>
          <w:lang w:eastAsia="en-GB"/>
        </w:rPr>
        <w:t xml:space="preserve"> identified</w:t>
      </w:r>
      <w:r>
        <w:rPr>
          <w:lang w:eastAsia="en-GB"/>
        </w:rPr>
        <w:t>, t</w:t>
      </w:r>
      <w:r w:rsidR="00882A68">
        <w:t>hree</w:t>
      </w:r>
      <w:r w:rsidR="00882A68" w:rsidRPr="00D15A42">
        <w:t xml:space="preserve"> </w:t>
      </w:r>
      <w:r w:rsidR="00962BBC">
        <w:t>s</w:t>
      </w:r>
      <w:r w:rsidR="00882A68" w:rsidRPr="00D15A42">
        <w:t xml:space="preserve">tudies </w:t>
      </w:r>
      <w:r w:rsidR="00882A68">
        <w:t>of genotype-guided dosing of warfarin reported that ethnic disparities</w:t>
      </w:r>
      <w:r w:rsidR="00882A68" w:rsidRPr="00D15A42">
        <w:t xml:space="preserve"> </w:t>
      </w:r>
      <w:r w:rsidR="00882A68">
        <w:t>in health</w:t>
      </w:r>
      <w:r w:rsidR="001208ED">
        <w:t xml:space="preserve"> </w:t>
      </w:r>
      <w:r w:rsidR="00882A68">
        <w:t>care may widen</w:t>
      </w:r>
      <w:r w:rsidR="0084020B">
        <w:t>.</w:t>
      </w:r>
      <w:r w:rsidR="00B545BC">
        <w:fldChar w:fldCharType="begin" w:fldLock="1"/>
      </w:r>
      <w:r w:rsidR="0033232C">
        <w:instrText>ADDIN CSL_CITATION { "citationItems" : [ { "id" : "ITEM-1", "itemData" : { "DOI" : "10.2217/14622416.8.3.217", "ISSN" : "1462-2416", "abstract" : "Introduction: Warfarin is a widely prescribed, efficacious oral anticoagulant. S-warfarin, the more active form, is metabolized by the cytochrome P450 (CYP)2C9 enzyme. The aim was to evaluate the- influence of two CYP2C9 functional polymorphisms (*2 and *3) on warfarin dose in African-Americans, an unstudied population and Caucasians, and also to assess the effect of these polymorphisms on anticoagulation response after accounting for nongenetic factors and genetic factors that might also impact the dose-response relationship of warfarin. Patients and methods: A prospective cohort of 362 patients with a target international normalized ratio of between 2.0 and 3.0 were genotyped. Warfarin sensitivity stratified by genotype was investigated using univariate, and multivariate analyses. Results: The maintenance dose of warfarin was significantly related to genotype (p &lt; 0.01) (variant carriers: 31.25 mg/week; wild-type: 37.5 mg/ week), even after adjustment for possible confounding factors (p = 0.046). However, the effect of genotype was restricted to Caucasians, in whom variant carriers had a significantly lower maintenance dose compared with wild-type homozygotes (unadjusted: p &lt; 0.01; adjusted: p = 0.02). There was a greater risk of over-anticoagulation among Caucasian variant carriers, although this was only observed prior to reaching maintenance dose. For African-American variant carriers, there was no difference in warfarin response based on CYP2C9 genotype. Discussion: CYP2C9 *2 and *3 variants provide predictive information in anticoagulation response. However, these variants may not be useful in African-Americans or as a marker of long-term over-anticoagulation once a stable dose is reached. \u00a9 2007 Future Medicine Ltd.", "author" : [ { "dropping-particle" : "", "family" : "Kealey", "given" : "Carmel", "non-dropping-particle" : "", "parse-names" : false, "suffix" : "" }, { "dropping-particle" : "", "family" : "Chen", "given" : "Zhen", "non-dropping-particle" : "", "parse-names" : false, "suffix" : "" }, { "dropping-particle" : "", "family" : "Christie", "given" : "Jason", "non-dropping-particle" : "", "parse-names" : false, "suffix" : "" }, { "dropping-particle" : "", "family" : "Thorn", "given" : "Caroline F", "non-dropping-particle" : "", "parse-names" : false, "suffix" : "" }, { "dropping-particle" : "", "family" : "Whitehead", "given" : "Alexander S", "non-dropping-particle" : "", "parse-names" : false, "suffix" : "" }, { "dropping-particle" : "", "family" : "Price", "given" : "Maureen", "non-dropping-particle" : "", "parse-names" : false, "suffix" : "" }, { "dropping-particle" : "", "family" : "Samaha", "given" : "Frederick", "non-dropping-particle" : "", "parse-names" : false, "suffix" : "" }, { "dropping-particle" : "", "family" : "Kimmel", "given" : "Stephen", "non-dropping-particle" : "", "parse-names" : false, "suffix" : "" } ], "container-title" : "Pharmacogenomics", "id" : "ITEM-1", "issue" : "3", "issued" : { "date-parts" : [ [ "2007" ] ] }, "page" : "217-225", "title" : "Warafin and cytochrome P450 2C9 genotype: Possible ethic variation in warafin sensitivity", "type" : "article-journal", "volume" : "8" }, "uris" : [ "http://www.mendeley.com/documents/?uuid=7f920805-47fa-4e01-aed3-8e10551bfc62" ] }, { "id" : "ITEM-2", "itemData" : { "DOI" : "10.2217/14622416.9.5.511", "ISBN" : "1744-8042", "ISSN" : "1462-2416", "PMID" : "18466099", "abstract" : "AIMS: The influence of CYP2C9 and VKORC1 on warfarin dose, time to target International Normalized Ratio (INR), time to stabilization, and risk of over-anticoagulation (INR: &gt; 4) was assessed after adjustment for clinical factors, intraindividual variation in environmental factors and unobserved heterogeneity.MATERIALS &amp; METHODS: Common CYP2C9 and VKORC1 polymorphisms were assessed in 302 European-Americans and 273 African-Americans receiving warfarin. Race-stratified multivariable analyses evaluated the influence of CYP2C9 and VKORC1 on warfarin response.RESULTS &amp; CONCLUSION: CYP2C9 and VKORC1 accounted for up to 30% of the variability in warfarin dose among European-Americans and 10% among African-Americans. Neither CYP2C9 nor VKORC1 influenced the time to target INR or stabilization among patients of either race, and neither influenced the risk of over-anticoagulation among African-Americans. The risk of over-anticoagulation was higher among European-Americans with variant VKORC1 1173C/T (p &lt; 0.01) and marginally significant among those with variant CYP2C9 (p = 0.08) genotype. Although CYP2C9 and VKORC1 genotyping can facilitate individualized initiation of warfarin dose in African and European-Americans, the ability to predict the risk of over-anticoagulation is inconsistent across race. Identification of other factors that can predict such risk consistently in a racially diverse group will facilitate individualized maintenance of warfarin therapy", "author" : [ { "dropping-particle" : "", "family" : "Limdi", "given" : "Nita A", "non-dropping-particle" : "", "parse-names" : false, "suffix" : "" }, { "dropping-particle" : "", "family" : "Arnett", "given" : "Donna K", "non-dropping-particle" : "", "parse-names" : false, "suffix" : "" }, { "dropping-particle" : "", "family" : "Goldstein", "given" : "Joyce A", "non-dropping-particle" : "", "parse-names" : false, "suffix" : "" }, { "dropping-particle" : "", "family" : "Beasley", "given" : "T Mark", "non-dropping-particle" : "", "parse-names" : false, "suffix" : "" }, { "dropping-particle" : "", "family" : "McGwin", "given" : "Gerald", "non-dropping-particle" : "", "parse-names" : false, "suffix" : "" }, { "dropping-particle" : "", "family" : "Adler", "given" : "Brian K", "non-dropping-particle" : "", "parse-names" : false, "suffix" : "" }, { "dropping-particle" : "", "family" : "Acton", "given" : "Ronald T", "non-dropping-particle" : "", "parse-names" : false, "suffix" : "" } ], "container-title" : "Pharmacogenomics", "id" : "ITEM-2", "issue" : "5", "issued" : { "date-parts" : [ [ "2008" ] ] }, "page" : "511-526", "title" : "Influence of CYP2C9 and VKORC1 on warfarin dose, anticoagulation attainment and maintenance among European-Americans and African-Americans.", "type" : "article-journal", "volume" : "9" }, "uris" : [ "http://www.mendeley.com/documents/?uuid=cda3da47-0a03-48db-9ee4-a58722b85cdd" ] }, { "id" : "ITEM-3", "itemData" : { "DOI" : "10.2217/pgs.12.104", "ISBN" : "1744-8042", "ISSN" : "1462-2416", "PMID" : "22920395", "abstract" : "AIM: We aimed to estimate the population impact of warfarin pharmacogenetic testing (WPGT) across multiple populations.MATERIALS &amp; METHODS: We used the expanded International Warfarin Pharmacogenetics Consortium data set and genotype frequencies from HapMap to simulate dose distributions for each CYP2C9/VKORC1 genotype combination in the different races, and calculated the population attributable fraction as a measure of population impact of WPGT. WPGT was compared to both clinical and fixed-dose algorithms to estimate the benefits of WPGT.RESULTS: Our dose simulation revealed different dose requirements in difference races and considerable overlap in dose distributions of different genotype combinations. Population attributable fraction calculations suggest that complete implementation of WPGT can reduce inaccurate dosing by 18-24% in white individuals. However black, Japanese and Chinese patients do not benefit from WPGT, especially when compared against a race-specific fixed dose.CONCLUSION: Our findings support WPGT in white individuals but not in black, Japanese and Chinese individuals", "author" : [ { "dropping-particle" : "", "family" : "Chan", "given" : "Sze Ling", "non-dropping-particle" : "", "parse-names" : false, "suffix" : "" }, { "dropping-particle" : "", "family" : "Suo", "given" : "Chen", "non-dropping-particle" : "", "parse-names" : false, "suffix" : "" }, { "dropping-particle" : "", "family" : "Chia", "given" : "Kee Seng", "non-dropping-particle" : "", "parse-names" : false, "suffix" : "" }, { "dropping-particle" : "", "family" : "Teo", "given" : "Yik Ying", "non-dropping-particle" : "", "parse-names" : false, "suffix" : "" } ], "container-title" : "Pharmacogenomics", "id" : "ITEM-3", "issue" : "11", "issued" : { "date-parts" : [ [ "2012" ] ] }, "page" : "1247-1256", "title" : "The population attributable fraction as a measure of the impact of warfarin pharmacogenetic testing.", "type" : "article-journal", "volume" : "13" }, "uris" : [ "http://www.mendeley.com/documents/?uuid=dffd9ab6-5a31-4a9c-987a-d97f6fcbf740" ] } ], "mendeley" : { "formattedCitation" : "&lt;sup&gt;13,14,16&lt;/sup&gt;", "plainTextFormattedCitation" : "13,14,16", "previouslyFormattedCitation" : "&lt;sup&gt;13,14,16&lt;/sup&gt;" }, "properties" : { "noteIndex" : 0 }, "schema" : "https://github.com/citation-style-language/schema/raw/master/csl-citation.json" }</w:instrText>
      </w:r>
      <w:r w:rsidR="00B545BC">
        <w:fldChar w:fldCharType="separate"/>
      </w:r>
      <w:r w:rsidR="00CB755C" w:rsidRPr="00CB755C">
        <w:rPr>
          <w:noProof/>
          <w:vertAlign w:val="superscript"/>
        </w:rPr>
        <w:t>13,14,16</w:t>
      </w:r>
      <w:r w:rsidR="00B545BC">
        <w:fldChar w:fldCharType="end"/>
      </w:r>
      <w:r w:rsidR="00882A68">
        <w:t xml:space="preserve"> In contrast, one study of genotype-guided dosing of warfarin and one study of genotype-guided anti-platelet therapy reported t</w:t>
      </w:r>
      <w:r w:rsidR="00882A68" w:rsidRPr="00D15A42">
        <w:t xml:space="preserve">hat </w:t>
      </w:r>
      <w:r w:rsidR="00882A68">
        <w:t xml:space="preserve">ethnic </w:t>
      </w:r>
      <w:r w:rsidR="00882A68" w:rsidRPr="00D15A42">
        <w:t>disparities</w:t>
      </w:r>
      <w:r w:rsidR="00882A68">
        <w:t xml:space="preserve"> in health</w:t>
      </w:r>
      <w:r w:rsidR="001208ED">
        <w:t xml:space="preserve"> </w:t>
      </w:r>
      <w:r w:rsidR="00882A68">
        <w:t>care</w:t>
      </w:r>
      <w:r w:rsidR="00882A68" w:rsidRPr="00D15A42">
        <w:t xml:space="preserve"> </w:t>
      </w:r>
      <w:r w:rsidR="00882A68">
        <w:t>may</w:t>
      </w:r>
      <w:r w:rsidR="00882A68" w:rsidRPr="00D15A42">
        <w:t xml:space="preserve"> </w:t>
      </w:r>
      <w:r w:rsidR="00882A68">
        <w:t>reduce</w:t>
      </w:r>
      <w:r w:rsidR="0084020B">
        <w:t>.</w:t>
      </w:r>
      <w:r w:rsidR="00B545BC">
        <w:fldChar w:fldCharType="begin" w:fldLock="1"/>
      </w:r>
      <w:r w:rsidR="0033232C">
        <w:instrText>ADDIN CSL_CITATION { "citationItems" : [ { "id" : "ITEM-1", "itemData" : { "DOI" : "10.1016/j.hlc.2009.04.026", "ISBN" : "1741-0541", "ISSN" : "14439506", "abstract" : "Patient demographics and variant alleles in the CYP2C9 and VKORC1 genes account for 50% of the population variability in warfarin maintenance doses. These variant alleles occur in varying frequencies between racial groups and contribute to differences in mean dose requirements between these groups. We used a pharmacogenetic simulation to estimate warfarin maintenance doses in an ethnically diverse cohort. Materials &amp; methods: In total, 366 individuals with coronary disease, of mixed South Pacific and European ethnicity, were genotyped for the CYP2C9*2 (rs1799853), *3 (rs1057910) and the VKORC1*2 haplotype, -1639 G&gt;A, (rs9923231). The cohort contained New Zealand Europeans (n = 287), Maori (n = 49), Pacific Islanders (n = 21) and Chinese subjects (n = 9). SNPs were genotyped using the Sequenom (CA, USA) mass spectrometer. Body surface area, age, smoking status and genotype were entered into a modified pharmacogenetic algorithm with a target international normalized ratio of 2.5. Bootstrap analysis using the @RISK software v5.0, (Palisade Co., NY, USA) was performed to simulate a population of 1000 for each ethnic group. Results: Simulated warfarin doses were lower in Chinese subjects than New Zealand Europeans (1.39 mg; 95% CI: 0.4-2.4; p = 0.006) owing to the high prevalence of the VKORC1*2 haplotype in Chinese subjects. Doses were higher in Pacific Islanders compared with New Zealand Europeans (1.26 mg; 95% CI: 0.6-1.9; p = 0.0002) owing to the near absence of the CYP2C9 variant alleles. Simulated warfarin doses in Maori patients were similar to those in European patients. Conclusion: This simulation study demonstrated differences in mean warfarin maintenance doses between ethnic groups in this cohort. Individualizing treatment regimens, using pharmacogenetics, may reduce ethnic disparities in treatment outcomes, particularly if differences can be appreciated at the genomic level. 2010 Future Medicine Ltd", "author" : [ { "dropping-particle" : "", "family" : "Gladding", "given" : "PA", "non-dropping-particle" : "", "parse-names" : false, "suffix" : "" }, { "dropping-particle" : "", "family" : "Stewart", "given" : "R", "non-dropping-particle" : "", "parse-names" : false, "suffix" : "" }, { "dropping-particle" : "", "family" : "Webster", "given" : "M", "non-dropping-particle" : "", "parse-names" : false, "suffix" : "" }, { "dropping-particle" : "", "family" : "White", "given" : "H", "non-dropping-particle" : "", "parse-names" : false, "suffix" : "" } ], "container-title" : "Heart, Lung and Circulation", "id" : "ITEM-1", "issued" : { "date-parts" : [ [ "2009" ] ] }, "page" : "S11", "title" : "A Simulation of Warfarin Maintenance Dose Requirement Using a Pharmacogenomic Algorithm in an Ethnically Diverse Cohort", "type" : "article-journal", "volume" : "18" }, "uris" : [ "http://www.mendeley.com/documents/?uuid=5912caf9-c303-4307-8b5d-8326a7ea2c1b" ] }, { "id" : "ITEM-2", "itemData" : { "DOI" : "10.2165/11595080-000000000-00000", "ISBN" : "1170-7690", "ISSN" : "11707690", "PMID" : "22974536", "abstract" : "BACKGROUND: A recent clinical trial has demonstrated that patients with acute coronary syndromes (ACS) and the reduced function allele CYP2C19*2 (*2 allele), who are treated with thienopyridines, have an increased risk of adverse cardiac events with clopidogrel, but not with prasugrel. The frequency of the *2 allele varies by ethnicity and the Maoris, Asians and Pacific Islanders of New Zealand have a relatively high incidence.\\n\\nOBJECTIVE: Our objective was to evaluate, from a New Zealand health system perspective, the cost effectiveness of treating all ACS patients with generic clopidogrel compared with prasugrel, and also compared with the genetically guided strategy that *2 allele carriers receive prasugrel and non-carriers receive clopidogrel.\\n\\nMETHODS: A decision-tree model consisting of five health states (myocardial infarction, stroke, bleeding, stent thrombosis and cardiovascular death) was developed. Clinical outcome data (two TRITON-TIMI 38 genetic sub-studies) comparing clopidogrel and prasugrel for both *2 allele carriers and non-carriers were combined with the prevalence of the heterozygosity for the *2 allele in New Zealand Europeans (15%), Maoris (24%), Asians (29%) and Pacific Islanders (45%) to determine the predicted adverse event rate for the New Zealand population. National hospital diagnosis-related group (DRG) discharge codes were used to determine alternative adverse event rates, along with the costs of hospitalizations during the 15 months after patients presented with an ACS. The primary outcome measure was the incremental cost per QALY (calculated using literature-reported weights). Monte Carlo simulations and alternative scenario analysis based on both clinical trial and national hospital incidence were used. Additional analysis considered the overall TRITON-TIMI 38 rates. Costs (in New Zealand dollars [$NZ], year 2009 values) and benefits were discounted at 3% per annum.\\n\\nRESULTS: Actual hospital-based adverse event rates were higher than those reported in the TRITON-TIMI 38 randomized controlled trial and the genetic sub-studies, especially for myocardial infarction and cardiovascular death, and for Maoris and Pacific Islanders. For both sources of adverse event rates, treating the population with prasugrel was associated with worse outcomes (QALYs) than clopidogrel. However, prasugrel became cost effective ($NZ31\u2009751/QALY) when the overall TRITON-TIMI 38 rates were used. A genetic test to guide the selected use of pra\u2026", "author" : [ { "dropping-particle" : "", "family" : "Panattoni", "given" : "Laura", "non-dropping-particle" : "", "parse-names" : false, "suffix" : "" }, { "dropping-particle" : "", "family" : "Brown", "given" : "Paul M.", "non-dropping-particle" : "", "parse-names" : false, "suffix" : "" }, { "dropping-particle" : "Te", "family" : "Ao", "given" : "Braden", "non-dropping-particle" : "", "parse-names" : false, "suffix" : "" }, { "dropping-particle" : "", "family" : "Webster", "given" : "Mark", "non-dropping-particle" : "", "parse-names" : false, "suffix" : "" }, { "dropping-particle" : "", "family" : "Gladding", "given" : "Patrick", "non-dropping-particle" : "", "parse-names" : false, "suffix" : "" } ], "container-title" : "PharmacoEconomics", "id" : "ITEM-2", "issue" : "11", "issued" : { "date-parts" : [ [ "2012" ] ] }, "page" : "1067-1084", "title" : "The cost effectiveness of genetic testing for CYP2C19 Variants to Guide Thienopyridine Treatment in Patients with Acute Coronary Syndromes: A New Zealand Evaluation", "type" : "article-journal", "volume" : "30" }, "uris" : [ "http://www.mendeley.com/documents/?uuid=4076d3cd-0fd6-43ab-93f9-f91fd2070a57" ] } ], "mendeley" : { "formattedCitation" : "&lt;sup&gt;15,17&lt;/sup&gt;", "plainTextFormattedCitation" : "15,17", "previouslyFormattedCitation" : "&lt;sup&gt;15,17&lt;/sup&gt;" }, "properties" : { "noteIndex" : 0 }, "schema" : "https://github.com/citation-style-language/schema/raw/master/csl-citation.json" }</w:instrText>
      </w:r>
      <w:r w:rsidR="00B545BC">
        <w:fldChar w:fldCharType="separate"/>
      </w:r>
      <w:r w:rsidR="0033232C" w:rsidRPr="0033232C">
        <w:rPr>
          <w:noProof/>
          <w:vertAlign w:val="superscript"/>
        </w:rPr>
        <w:t>15,17</w:t>
      </w:r>
      <w:r w:rsidR="00B545BC">
        <w:fldChar w:fldCharType="end"/>
      </w:r>
      <w:r w:rsidR="00882A68">
        <w:t xml:space="preserve"> In all </w:t>
      </w:r>
      <w:r w:rsidR="003774A4">
        <w:t>five</w:t>
      </w:r>
      <w:r w:rsidR="00882A68">
        <w:t xml:space="preserve"> studies, </w:t>
      </w:r>
      <w:r w:rsidR="001F0B36">
        <w:t>the</w:t>
      </w:r>
      <w:r w:rsidR="00882A68">
        <w:t xml:space="preserve"> impact</w:t>
      </w:r>
      <w:r w:rsidR="005454EB">
        <w:t xml:space="preserve"> on disparities</w:t>
      </w:r>
      <w:r w:rsidR="00882A68">
        <w:t xml:space="preserve"> in health</w:t>
      </w:r>
      <w:r w:rsidR="001208ED">
        <w:t xml:space="preserve"> </w:t>
      </w:r>
      <w:r w:rsidR="00882A68">
        <w:t>care</w:t>
      </w:r>
      <w:r w:rsidR="005454EB">
        <w:t xml:space="preserve"> </w:t>
      </w:r>
      <w:r w:rsidR="001F0B36">
        <w:t>was</w:t>
      </w:r>
      <w:r w:rsidR="005454EB">
        <w:t xml:space="preserve"> discussed but</w:t>
      </w:r>
      <w:r>
        <w:t xml:space="preserve"> none of the studies quantified </w:t>
      </w:r>
      <w:r w:rsidR="003774A4">
        <w:t xml:space="preserve">the </w:t>
      </w:r>
      <w:r w:rsidR="0062523E">
        <w:t xml:space="preserve">resulting </w:t>
      </w:r>
      <w:r>
        <w:t xml:space="preserve">predicted </w:t>
      </w:r>
      <w:r w:rsidR="0062523E">
        <w:t xml:space="preserve">increase </w:t>
      </w:r>
      <w:r w:rsidR="003774A4">
        <w:t xml:space="preserve">or </w:t>
      </w:r>
      <w:r w:rsidR="0062523E">
        <w:t xml:space="preserve">reduction </w:t>
      </w:r>
      <w:r w:rsidR="003774A4">
        <w:t xml:space="preserve">in </w:t>
      </w:r>
      <w:r w:rsidR="0062523E">
        <w:t>disparities in health</w:t>
      </w:r>
      <w:r w:rsidR="001208ED">
        <w:t xml:space="preserve"> </w:t>
      </w:r>
      <w:r w:rsidR="0062523E">
        <w:t>care</w:t>
      </w:r>
      <w:r w:rsidR="005454EB">
        <w:t xml:space="preserve">.  </w:t>
      </w:r>
    </w:p>
    <w:p w:rsidR="0052216D" w:rsidRDefault="001258E7" w:rsidP="00C45A15">
      <w:pPr>
        <w:pStyle w:val="Heading3"/>
        <w:numPr>
          <w:ilvl w:val="0"/>
          <w:numId w:val="0"/>
        </w:numPr>
        <w:spacing w:line="480" w:lineRule="auto"/>
        <w:jc w:val="both"/>
      </w:pPr>
      <w:r>
        <w:t>Predicted impact of g</w:t>
      </w:r>
      <w:r w:rsidR="006C4204">
        <w:t xml:space="preserve">enotype-guided </w:t>
      </w:r>
      <w:r w:rsidR="0062523E">
        <w:t xml:space="preserve">dosing of </w:t>
      </w:r>
      <w:r w:rsidR="006C4204">
        <w:t>warfarin</w:t>
      </w:r>
      <w:r w:rsidR="00E6034E">
        <w:t xml:space="preserve"> </w:t>
      </w:r>
      <w:r w:rsidR="00A47B60">
        <w:t>and</w:t>
      </w:r>
      <w:r w:rsidR="00E6034E">
        <w:t xml:space="preserve"> health disparities</w:t>
      </w:r>
      <w:r w:rsidR="00A67A0B">
        <w:t xml:space="preserve"> </w:t>
      </w:r>
    </w:p>
    <w:p w:rsidR="00F26231" w:rsidRPr="001807E8" w:rsidRDefault="004A7F09" w:rsidP="00F40CE5">
      <w:pPr>
        <w:pStyle w:val="LRiGnormal"/>
        <w:spacing w:line="480" w:lineRule="auto"/>
      </w:pPr>
      <w:r>
        <w:t>A study by Gladding et al.</w:t>
      </w:r>
      <w:r w:rsidR="00CD4785">
        <w:fldChar w:fldCharType="begin" w:fldLock="1"/>
      </w:r>
      <w:r w:rsidR="0033232C">
        <w:instrText>ADDIN CSL_CITATION { "citationItems" : [ { "id" : "ITEM-1", "itemData" : { "DOI" : "10.1016/j.hlc.2009.04.026", "ISBN" : "1741-0541", "ISSN" : "14439506", "abstract" : "Patient demographics and variant alleles in the CYP2C9 and VKORC1 genes account for 50% of the population variability in warfarin maintenance doses. These variant alleles occur in varying frequencies between racial groups and contribute to differences in mean dose requirements between these groups. We used a pharmacogenetic simulation to estimate warfarin maintenance doses in an ethnically diverse cohort. Materials &amp; methods: In total, 366 individuals with coronary disease, of mixed South Pacific and European ethnicity, were genotyped for the CYP2C9*2 (rs1799853), *3 (rs1057910) and the VKORC1*2 haplotype, -1639 G&gt;A, (rs9923231). The cohort contained New Zealand Europeans (n = 287), Maori (n = 49), Pacific Islanders (n = 21) and Chinese subjects (n = 9). SNPs were genotyped using the Sequenom (CA, USA) mass spectrometer. Body surface area, age, smoking status and genotype were entered into a modified pharmacogenetic algorithm with a target international normalized ratio of 2.5. Bootstrap analysis using the @RISK software v5.0, (Palisade Co., NY, USA) was performed to simulate a population of 1000 for each ethnic group. Results: Simulated warfarin doses were lower in Chinese subjects than New Zealand Europeans (1.39 mg; 95% CI: 0.4-2.4; p = 0.006) owing to the high prevalence of the VKORC1*2 haplotype in Chinese subjects. Doses were higher in Pacific Islanders compared with New Zealand Europeans (1.26 mg; 95% CI: 0.6-1.9; p = 0.0002) owing to the near absence of the CYP2C9 variant alleles. Simulated warfarin doses in Maori patients were similar to those in European patients. Conclusion: This simulation study demonstrated differences in mean warfarin maintenance doses between ethnic groups in this cohort. Individualizing treatment regimens, using pharmacogenetics, may reduce ethnic disparities in treatment outcomes, particularly if differences can be appreciated at the genomic level. 2010 Future Medicine Ltd", "author" : [ { "dropping-particle" : "", "family" : "Gladding", "given" : "PA", "non-dropping-particle" : "", "parse-names" : false, "suffix" : "" }, { "dropping-particle" : "", "family" : "Stewart", "given" : "R", "non-dropping-particle" : "", "parse-names" : false, "suffix" : "" }, { "dropping-particle" : "", "family" : "Webster", "given" : "M", "non-dropping-particle" : "", "parse-names" : false, "suffix" : "" }, { "dropping-particle" : "", "family" : "White", "given" : "H", "non-dropping-particle" : "", "parse-names" : false, "suffix" : "" } ], "container-title" : "Heart, Lung and Circulation", "id" : "ITEM-1", "issued" : { "date-parts" : [ [ "2009" ] ] }, "page" : "S11", "title" : "A Simulation of Warfarin Maintenance Dose Requirement Using a Pharmacogenomic Algorithm in an Ethnically Diverse Cohort", "type" : "article-journal", "volume" : "18" }, "uris" : [ "http://www.mendeley.com/documents/?uuid=5912caf9-c303-4307-8b5d-8326a7ea2c1b" ] } ], "mendeley" : { "formattedCitation" : "&lt;sup&gt;15&lt;/sup&gt;", "plainTextFormattedCitation" : "15", "previouslyFormattedCitation" : "&lt;sup&gt;15&lt;/sup&gt;" }, "properties" : { "noteIndex" : 0 }, "schema" : "https://github.com/citation-style-language/schema/raw/master/csl-citation.json" }</w:instrText>
      </w:r>
      <w:r w:rsidR="00CD4785">
        <w:fldChar w:fldCharType="separate"/>
      </w:r>
      <w:r w:rsidR="00CB755C" w:rsidRPr="00CB755C">
        <w:rPr>
          <w:noProof/>
          <w:vertAlign w:val="superscript"/>
        </w:rPr>
        <w:t>15</w:t>
      </w:r>
      <w:r w:rsidR="00CD4785">
        <w:fldChar w:fldCharType="end"/>
      </w:r>
      <w:r w:rsidR="00F26231">
        <w:t xml:space="preserve"> reported that genotype-guided </w:t>
      </w:r>
      <w:r w:rsidR="0062523E">
        <w:t xml:space="preserve">dosing of </w:t>
      </w:r>
      <w:r w:rsidR="00F26231">
        <w:t xml:space="preserve">warfarin </w:t>
      </w:r>
      <w:r w:rsidR="00207B21">
        <w:t>could theoretically</w:t>
      </w:r>
      <w:r w:rsidR="00F26231">
        <w:t xml:space="preserve"> reduce ethnic health disparities as personalizing treatment using pharmacogenetics enables improved treatment </w:t>
      </w:r>
      <w:r w:rsidR="00207B21">
        <w:t>by addressing</w:t>
      </w:r>
      <w:r w:rsidR="00F26231">
        <w:t xml:space="preserve"> underlying genetic differences between individuals</w:t>
      </w:r>
      <w:r w:rsidR="0084020B">
        <w:t>.</w:t>
      </w:r>
      <w:r w:rsidR="00F26231">
        <w:t xml:space="preserve"> </w:t>
      </w:r>
      <w:r w:rsidR="00BC0E3E">
        <w:t>The study</w:t>
      </w:r>
      <w:r w:rsidR="000612A5">
        <w:t xml:space="preserve"> </w:t>
      </w:r>
      <w:r w:rsidR="00CF0C33">
        <w:t xml:space="preserve">tested the frequency of known important variants within the VKORC1 </w:t>
      </w:r>
      <w:r w:rsidR="00A67A0B" w:rsidRPr="00A67A0B">
        <w:t xml:space="preserve">(1639G/A) </w:t>
      </w:r>
      <w:r w:rsidR="00CF0C33">
        <w:t>and CYP2C9</w:t>
      </w:r>
      <w:r w:rsidR="00A67A0B">
        <w:t xml:space="preserve"> </w:t>
      </w:r>
      <w:r w:rsidR="00A67A0B" w:rsidRPr="00A67A0B">
        <w:t>(*2 and *3)</w:t>
      </w:r>
      <w:r w:rsidR="00A67A0B">
        <w:t xml:space="preserve"> </w:t>
      </w:r>
      <w:r w:rsidR="00CF0C33">
        <w:t xml:space="preserve">genes </w:t>
      </w:r>
      <w:r w:rsidR="00A67A0B">
        <w:t xml:space="preserve"> </w:t>
      </w:r>
      <w:r w:rsidR="00CF0C33">
        <w:t xml:space="preserve">in a population of cardiac patients </w:t>
      </w:r>
      <w:r w:rsidR="00207B21">
        <w:t>and then performed a simulation, based on genetic and personal factors, to estimate the mean dose of warfarin for different South Pacific ethnic groups</w:t>
      </w:r>
      <w:r w:rsidR="00BC0E3E">
        <w:t>.</w:t>
      </w:r>
      <w:r w:rsidR="00BC0E3E">
        <w:fldChar w:fldCharType="begin" w:fldLock="1"/>
      </w:r>
      <w:r w:rsidR="0033232C">
        <w:instrText>ADDIN CSL_CITATION { "citationItems" : [ { "id" : "ITEM-1", "itemData" : { "DOI" : "10.1016/j.hlc.2009.04.026", "ISBN" : "1741-0541", "ISSN" : "14439506", "abstract" : "Patient demographics and variant alleles in the CYP2C9 and VKORC1 genes account for 50% of the population variability in warfarin maintenance doses. These variant alleles occur in varying frequencies between racial groups and contribute to differences in mean dose requirements between these groups. We used a pharmacogenetic simulation to estimate warfarin maintenance doses in an ethnically diverse cohort. Materials &amp; methods: In total, 366 individuals with coronary disease, of mixed South Pacific and European ethnicity, were genotyped for the CYP2C9*2 (rs1799853), *3 (rs1057910) and the VKORC1*2 haplotype, -1639 G&gt;A, (rs9923231). The cohort contained New Zealand Europeans (n = 287), Maori (n = 49), Pacific Islanders (n = 21) and Chinese subjects (n = 9). SNPs were genotyped using the Sequenom (CA, USA) mass spectrometer. Body surface area, age, smoking status and genotype were entered into a modified pharmacogenetic algorithm with a target international normalized ratio of 2.5. Bootstrap analysis using the @RISK software v5.0, (Palisade Co., NY, USA) was performed to simulate a population of 1000 for each ethnic group. Results: Simulated warfarin doses were lower in Chinese subjects than New Zealand Europeans (1.39 mg; 95% CI: 0.4-2.4; p = 0.006) owing to the high prevalence of the VKORC1*2 haplotype in Chinese subjects. Doses were higher in Pacific Islanders compared with New Zealand Europeans (1.26 mg; 95% CI: 0.6-1.9; p = 0.0002) owing to the near absence of the CYP2C9 variant alleles. Simulated warfarin doses in Maori patients were similar to those in European patients. Conclusion: This simulation study demonstrated differences in mean warfarin maintenance doses between ethnic groups in this cohort. Individualizing treatment regimens, using pharmacogenetics, may reduce ethnic disparities in treatment outcomes, particularly if differences can be appreciated at the genomic level. 2010 Future Medicine Ltd", "author" : [ { "dropping-particle" : "", "family" : "Gladding", "given" : "PA", "non-dropping-particle" : "", "parse-names" : false, "suffix" : "" }, { "dropping-particle" : "", "family" : "Stewart", "given" : "R", "non-dropping-particle" : "", "parse-names" : false, "suffix" : "" }, { "dropping-particle" : "", "family" : "Webster", "given" : "M", "non-dropping-particle" : "", "parse-names" : false, "suffix" : "" }, { "dropping-particle" : "", "family" : "White", "given" : "H", "non-dropping-particle" : "", "parse-names" : false, "suffix" : "" } ], "container-title" : "Heart, Lung and Circulation", "id" : "ITEM-1", "issued" : { "date-parts" : [ [ "2009" ] ] }, "page" : "S11", "title" : "A Simulation of Warfarin Maintenance Dose Requirement Using a Pharmacogenomic Algorithm in an Ethnically Diverse Cohort", "type" : "article-journal", "volume" : "18" }, "uris" : [ "http://www.mendeley.com/documents/?uuid=5912caf9-c303-4307-8b5d-8326a7ea2c1b" ] } ], "mendeley" : { "formattedCitation" : "&lt;sup&gt;15&lt;/sup&gt;", "plainTextFormattedCitation" : "15", "previouslyFormattedCitation" : "&lt;sup&gt;15&lt;/sup&gt;" }, "properties" : { "noteIndex" : 0 }, "schema" : "https://github.com/citation-style-language/schema/raw/master/csl-citation.json" }</w:instrText>
      </w:r>
      <w:r w:rsidR="00BC0E3E">
        <w:fldChar w:fldCharType="separate"/>
      </w:r>
      <w:r w:rsidR="00CB755C" w:rsidRPr="00CB755C">
        <w:rPr>
          <w:noProof/>
          <w:vertAlign w:val="superscript"/>
        </w:rPr>
        <w:t>15</w:t>
      </w:r>
      <w:r w:rsidR="00BC0E3E">
        <w:fldChar w:fldCharType="end"/>
      </w:r>
      <w:r w:rsidR="00207B21">
        <w:t xml:space="preserve"> </w:t>
      </w:r>
      <w:r w:rsidR="00CF0C33">
        <w:t xml:space="preserve">The authors </w:t>
      </w:r>
      <w:r w:rsidR="000612A5">
        <w:t xml:space="preserve">report </w:t>
      </w:r>
      <w:r w:rsidR="00CF0C33">
        <w:t xml:space="preserve">that while genetic variability within an ethnic group can be greater than between ethnic groups, </w:t>
      </w:r>
      <w:r w:rsidR="000612A5">
        <w:t xml:space="preserve">no data existed for dose requirements in populations of Maori or </w:t>
      </w:r>
      <w:r w:rsidR="00BF6ADB">
        <w:t>Pacific Islander in New Zealand</w:t>
      </w:r>
      <w:r w:rsidR="000612A5">
        <w:t xml:space="preserve">, nor have these groups been studied extensively in terms of pharmacogenetics. </w:t>
      </w:r>
      <w:r w:rsidR="006E7D7F">
        <w:t xml:space="preserve">Gladding </w:t>
      </w:r>
      <w:r w:rsidR="00BC0E3E">
        <w:t xml:space="preserve">and colleagues </w:t>
      </w:r>
      <w:r w:rsidR="006E7D7F">
        <w:t xml:space="preserve">highlight </w:t>
      </w:r>
      <w:r w:rsidR="00F26231">
        <w:t>the importance of trial participation and long-term data collection for potentially under-served groups</w:t>
      </w:r>
      <w:r w:rsidR="0084020B">
        <w:t>.</w:t>
      </w:r>
      <w:r w:rsidR="00B12358">
        <w:fldChar w:fldCharType="begin" w:fldLock="1"/>
      </w:r>
      <w:r w:rsidR="0033232C">
        <w:instrText>ADDIN CSL_CITATION { "citationItems" : [ { "id" : "ITEM-1", "itemData" : { "DOI" : "10.1016/j.hlc.2009.04.026", "ISBN" : "1741-0541", "ISSN" : "14439506", "abstract" : "Patient demographics and variant alleles in the CYP2C9 and VKORC1 genes account for 50% of the population variability in warfarin maintenance doses. These variant alleles occur in varying frequencies between racial groups and contribute to differences in mean dose requirements between these groups. We used a pharmacogenetic simulation to estimate warfarin maintenance doses in an ethnically diverse cohort. Materials &amp; methods: In total, 366 individuals with coronary disease, of mixed South Pacific and European ethnicity, were genotyped for the CYP2C9*2 (rs1799853), *3 (rs1057910) and the VKORC1*2 haplotype, -1639 G&gt;A, (rs9923231). The cohort contained New Zealand Europeans (n = 287), Maori (n = 49), Pacific Islanders (n = 21) and Chinese subjects (n = 9). SNPs were genotyped using the Sequenom (CA, USA) mass spectrometer. Body surface area, age, smoking status and genotype were entered into a modified pharmacogenetic algorithm with a target international normalized ratio of 2.5. Bootstrap analysis using the @RISK software v5.0, (Palisade Co., NY, USA) was performed to simulate a population of 1000 for each ethnic group. Results: Simulated warfarin doses were lower in Chinese subjects than New Zealand Europeans (1.39 mg; 95% CI: 0.4-2.4; p = 0.006) owing to the high prevalence of the VKORC1*2 haplotype in Chinese subjects. Doses were higher in Pacific Islanders compared with New Zealand Europeans (1.26 mg; 95% CI: 0.6-1.9; p = 0.0002) owing to the near absence of the CYP2C9 variant alleles. Simulated warfarin doses in Maori patients were similar to those in European patients. Conclusion: This simulation study demonstrated differences in mean warfarin maintenance doses between ethnic groups in this cohort. Individualizing treatment regimens, using pharmacogenetics, may reduce ethnic disparities in treatment outcomes, particularly if differences can be appreciated at the genomic level. 2010 Future Medicine Ltd", "author" : [ { "dropping-particle" : "", "family" : "Gladding", "given" : "PA", "non-dropping-particle" : "", "parse-names" : false, "suffix" : "" }, { "dropping-particle" : "", "family" : "Stewart", "given" : "R", "non-dropping-particle" : "", "parse-names" : false, "suffix" : "" }, { "dropping-particle" : "", "family" : "Webster", "given" : "M", "non-dropping-particle" : "", "parse-names" : false, "suffix" : "" }, { "dropping-particle" : "", "family" : "White", "given" : "H", "non-dropping-particle" : "", "parse-names" : false, "suffix" : "" } ], "container-title" : "Heart, Lung and Circulation", "id" : "ITEM-1", "issued" : { "date-parts" : [ [ "2009" ] ] }, "page" : "S11", "title" : "A Simulation of Warfarin Maintenance Dose Requirement Using a Pharmacogenomic Algorithm in an Ethnically Diverse Cohort", "type" : "article-journal", "volume" : "18" }, "uris" : [ "http://www.mendeley.com/documents/?uuid=5912caf9-c303-4307-8b5d-8326a7ea2c1b" ] } ], "mendeley" : { "formattedCitation" : "&lt;sup&gt;15&lt;/sup&gt;", "plainTextFormattedCitation" : "15", "previouslyFormattedCitation" : "&lt;sup&gt;15&lt;/sup&gt;" }, "properties" : { "noteIndex" : 0 }, "schema" : "https://github.com/citation-style-language/schema/raw/master/csl-citation.json" }</w:instrText>
      </w:r>
      <w:r w:rsidR="00B12358">
        <w:fldChar w:fldCharType="separate"/>
      </w:r>
      <w:r w:rsidR="00CB755C" w:rsidRPr="00CB755C">
        <w:rPr>
          <w:noProof/>
          <w:vertAlign w:val="superscript"/>
        </w:rPr>
        <w:t>15</w:t>
      </w:r>
      <w:r w:rsidR="00B12358">
        <w:fldChar w:fldCharType="end"/>
      </w:r>
      <w:r w:rsidR="00F26231">
        <w:t xml:space="preserve"> Moreover, lack of trial participation and data collection can lead to mistreatment for understudied groups</w:t>
      </w:r>
      <w:r w:rsidR="00F26231" w:rsidRPr="00BC74D8">
        <w:t xml:space="preserve"> </w:t>
      </w:r>
      <w:r w:rsidR="00F26231">
        <w:t>and therefore the potential treatment benefits may not be fully generalizable</w:t>
      </w:r>
      <w:r w:rsidR="0084020B">
        <w:t>.</w:t>
      </w:r>
      <w:r w:rsidR="00B545BC">
        <w:fldChar w:fldCharType="begin" w:fldLock="1"/>
      </w:r>
      <w:r w:rsidR="006D5E0B">
        <w:instrText>ADDIN CSL_CITATION { "citationItems" : [ { "id" : "ITEM-1", "itemData" : { "DOI" : "10.1056/NEJMsa1507092", "ISSN" : "0028-4793", "author" : [ { "dropping-particle" : "", "family" : "Manrai", "given" : "Arjun K.", "non-dropping-particle" : "", "parse-names" : false, "suffix" : "" }, { "dropping-particle" : "", "family" : "Funke", "given" : "Birgit H.", "non-dropping-particle" : "", "parse-names" : false, "suffix" : "" }, { "dropping-particle" : "", "family" : "Rehm", "given" : "Heidi L.", "non-dropping-particle" : "", "parse-names" : false, "suffix" : "" }, { "dropping-particle" : "", "family" : "Olesen", "given" : "Morten S.", "non-dropping-particle" : "", "parse-names" : false, "suffix" : "" }, { "dropping-particle" : "", "family" : "Maron", "given" : "Bradley A.", "non-dropping-particle" : "", "parse-names" : false, "suffix" : "" }, { "dropping-particle" : "", "family" : "Szolovits", "given" : "Peter", "non-dropping-particle" : "", "parse-names" : false, "suffix" : "" }, { "dropping-particle" : "", "family" : "Margulies", "given" : "David M.", "non-dropping-particle" : "", "parse-names" : false, "suffix" : "" }, { "dropping-particle" : "", "family" : "Loscalzo", "given" : "Joseph", "non-dropping-particle" : "", "parse-names" : false, "suffix" : "" }, { "dropping-particle" : "", "family" : "Kohane", "given" : "Isaac S.", "non-dropping-particle" : "", "parse-names" : false, "suffix" : "" } ], "container-title" : "New England Journal of Medicine", "id" : "ITEM-1", "issue" : "7", "issued" : { "date-parts" : [ [ "2016" ] ] }, "page" : "655-665", "title" : "Genetic Misdiagnoses and the Potential for Health Disparities", "type" : "article-journal", "volume" : "375" }, "uris" : [ "http://www.mendeley.com/documents/?uuid=d241a666-4678-4fbb-9da8-de061e13d3e2" ] } ], "mendeley" : { "formattedCitation" : "&lt;sup&gt;18&lt;/sup&gt;", "plainTextFormattedCitation" : "18", "previouslyFormattedCitation" : "&lt;sup&gt;18&lt;/sup&gt;" }, "properties" : { "noteIndex" : 0 }, "schema" : "https://github.com/citation-style-language/schema/raw/master/csl-citation.json" }</w:instrText>
      </w:r>
      <w:r w:rsidR="00B545BC">
        <w:fldChar w:fldCharType="separate"/>
      </w:r>
      <w:r w:rsidR="006D5E0B" w:rsidRPr="006D5E0B">
        <w:rPr>
          <w:noProof/>
          <w:vertAlign w:val="superscript"/>
        </w:rPr>
        <w:t>18</w:t>
      </w:r>
      <w:r w:rsidR="00B545BC">
        <w:fldChar w:fldCharType="end"/>
      </w:r>
      <w:r w:rsidR="00F26231">
        <w:t xml:space="preserve"> </w:t>
      </w:r>
      <w:r w:rsidR="00B12358">
        <w:t xml:space="preserve"> </w:t>
      </w:r>
    </w:p>
    <w:p w:rsidR="0031371D" w:rsidRDefault="00BC0E3E" w:rsidP="00F40CE5">
      <w:pPr>
        <w:pStyle w:val="LRiGnormal"/>
        <w:spacing w:line="480" w:lineRule="auto"/>
      </w:pPr>
      <w:r>
        <w:t>In studies by Kealey et al.,</w:t>
      </w:r>
      <w:r w:rsidR="00B545BC">
        <w:fldChar w:fldCharType="begin" w:fldLock="1"/>
      </w:r>
      <w:r w:rsidR="00B719B4">
        <w:instrText>ADDIN CSL_CITATION { "citationItems" : [ { "id" : "ITEM-1", "itemData" : { "DOI" : "10.2217/14622416.8.3.217", "ISSN" : "1462-2416", "abstract" : "Introduction: Warfarin is a widely prescribed, efficacious oral anticoagulant. S-warfarin, the more active form, is metabolized by the cytochrome P450 (CYP)2C9 enzyme. The aim was to evaluate the- influence of two CYP2C9 functional polymorphisms (*2 and *3) on warfarin dose in African-Americans, an unstudied population and Caucasians, and also to assess the effect of these polymorphisms on anticoagulation response after accounting for nongenetic factors and genetic factors that might also impact the dose-response relationship of warfarin. Patients and methods: A prospective cohort of 362 patients with a target international normalized ratio of between 2.0 and 3.0 were genotyped. Warfarin sensitivity stratified by genotype was investigated using univariate, and multivariate analyses. Results: The maintenance dose of warfarin was significantly related to genotype (p &lt; 0.01) (variant carriers: 31.25 mg/week; wild-type: 37.5 mg/ week), even after adjustment for possible confounding factors (p = 0.046). However, the effect of genotype was restricted to Caucasians, in whom variant carriers had a significantly lower maintenance dose compared with wild-type homozygotes (unadjusted: p &lt; 0.01; adjusted: p = 0.02). There was a greater risk of over-anticoagulation among Caucasian variant carriers, although this was only observed prior to reaching maintenance dose. For African-American variant carriers, there was no difference in warfarin response based on CYP2C9 genotype. Discussion: CYP2C9 *2 and *3 variants provide predictive information in anticoagulation response. However, these variants may not be useful in African-Americans or as a marker of long-term over-anticoagulation once a stable dose is reached. \u00a9 2007 Future Medicine Ltd.", "author" : [ { "dropping-particle" : "", "family" : "Kealey", "given" : "Carmel", "non-dropping-particle" : "", "parse-names" : false, "suffix" : "" }, { "dropping-particle" : "", "family" : "Chen", "given" : "Zhen", "non-dropping-particle" : "", "parse-names" : false, "suffix" : "" }, { "dropping-particle" : "", "family" : "Christie", "given" : "Jason", "non-dropping-particle" : "", "parse-names" : false, "suffix" : "" }, { "dropping-particle" : "", "family" : "Thorn", "given" : "Caroline F", "non-dropping-particle" : "", "parse-names" : false, "suffix" : "" }, { "dropping-particle" : "", "family" : "Whitehead", "given" : "Alexander S", "non-dropping-particle" : "", "parse-names" : false, "suffix" : "" }, { "dropping-particle" : "", "family" : "Price", "given" : "Maureen", "non-dropping-particle" : "", "parse-names" : false, "suffix" : "" }, { "dropping-particle" : "", "family" : "Samaha", "given" : "Frederick", "non-dropping-particle" : "", "parse-names" : false, "suffix" : "" }, { "dropping-particle" : "", "family" : "Kimmel", "given" : "Stephen", "non-dropping-particle" : "", "parse-names" : false, "suffix" : "" } ], "container-title" : "Pharmacogenomics", "id" : "ITEM-1", "issue" : "3", "issued" : { "date-parts" : [ [ "2007" ] ] }, "page" : "217-225", "title" : "Warafin and cytochrome P450 2C9 genotype: Possible ethic variation in warafin sensitivity", "type" : "article-journal", "volume" : "8" }, "uris" : [ "http://www.mendeley.com/documents/?uuid=7f920805-47fa-4e01-aed3-8e10551bfc62" ] } ], "mendeley" : { "formattedCitation" : "&lt;sup&gt;13&lt;/sup&gt;", "plainTextFormattedCitation" : "13", "previouslyFormattedCitation" : "&lt;sup&gt;13&lt;/sup&gt;" }, "properties" : { "noteIndex" : 0 }, "schema" : "https://github.com/citation-style-language/schema/raw/master/csl-citation.json" }</w:instrText>
      </w:r>
      <w:r w:rsidR="00B545BC">
        <w:fldChar w:fldCharType="separate"/>
      </w:r>
      <w:r w:rsidR="009427AF" w:rsidRPr="009427AF">
        <w:rPr>
          <w:noProof/>
          <w:vertAlign w:val="superscript"/>
        </w:rPr>
        <w:t>13</w:t>
      </w:r>
      <w:r w:rsidR="00B545BC">
        <w:fldChar w:fldCharType="end"/>
      </w:r>
      <w:r w:rsidR="0006589A">
        <w:t xml:space="preserve"> Limdi et al</w:t>
      </w:r>
      <w:r w:rsidR="00072FB9">
        <w:t>.</w:t>
      </w:r>
      <w:r w:rsidR="00B545BC">
        <w:fldChar w:fldCharType="begin" w:fldLock="1"/>
      </w:r>
      <w:r w:rsidR="00B719B4">
        <w:instrText>ADDIN CSL_CITATION { "citationItems" : [ { "id" : "ITEM-1", "itemData" : { "DOI" : "10.2217/14622416.9.5.511", "ISBN" : "1744-8042", "ISSN" : "1462-2416", "PMID" : "18466099", "abstract" : "AIMS: The influence of CYP2C9 and VKORC1 on warfarin dose, time to target International Normalized Ratio (INR), time to stabilization, and risk of over-anticoagulation (INR: &gt; 4) was assessed after adjustment for clinical factors, intraindividual variation in environmental factors and unobserved heterogeneity.MATERIALS &amp; METHODS: Common CYP2C9 and VKORC1 polymorphisms were assessed in 302 European-Americans and 273 African-Americans receiving warfarin. Race-stratified multivariable analyses evaluated the influence of CYP2C9 and VKORC1 on warfarin response.RESULTS &amp; CONCLUSION: CYP2C9 and VKORC1 accounted for up to 30% of the variability in warfarin dose among European-Americans and 10% among African-Americans. Neither CYP2C9 nor VKORC1 influenced the time to target INR or stabilization among patients of either race, and neither influenced the risk of over-anticoagulation among African-Americans. The risk of over-anticoagulation was higher among European-Americans with variant VKORC1 1173C/T (p &lt; 0.01) and marginally significant among those with variant CYP2C9 (p = 0.08) genotype. Although CYP2C9 and VKORC1 genotyping can facilitate individualized initiation of warfarin dose in African and European-Americans, the ability to predict the risk of over-anticoagulation is inconsistent across race. Identification of other factors that can predict such risk consistently in a racially diverse group will facilitate individualized maintenance of warfarin therapy", "author" : [ { "dropping-particle" : "", "family" : "Limdi", "given" : "Nita A", "non-dropping-particle" : "", "parse-names" : false, "suffix" : "" }, { "dropping-particle" : "", "family" : "Arnett", "given" : "Donna K", "non-dropping-particle" : "", "parse-names" : false, "suffix" : "" }, { "dropping-particle" : "", "family" : "Goldstein", "given" : "Joyce A", "non-dropping-particle" : "", "parse-names" : false, "suffix" : "" }, { "dropping-particle" : "", "family" : "Beasley", "given" : "T Mark", "non-dropping-particle" : "", "parse-names" : false, "suffix" : "" }, { "dropping-particle" : "", "family" : "McGwin", "given" : "Gerald", "non-dropping-particle" : "", "parse-names" : false, "suffix" : "" }, { "dropping-particle" : "", "family" : "Adler", "given" : "Brian K", "non-dropping-particle" : "", "parse-names" : false, "suffix" : "" }, { "dropping-particle" : "", "family" : "Acton", "given" : "Ronald T", "non-dropping-particle" : "", "parse-names" : false, "suffix" : "" } ], "container-title" : "Pharmacogenomics", "id" : "ITEM-1", "issue" : "5", "issued" : { "date-parts" : [ [ "2008" ] ] }, "page" : "511-526", "title" : "Influence of CYP2C9 and VKORC1 on warfarin dose, anticoagulation attainment and maintenance among European-Americans and African-Americans.", "type" : "article-journal", "volume" : "9" }, "uris" : [ "http://www.mendeley.com/documents/?uuid=cda3da47-0a03-48db-9ee4-a58722b85cdd" ] } ], "mendeley" : { "formattedCitation" : "&lt;sup&gt;14&lt;/sup&gt;", "plainTextFormattedCitation" : "14", "previouslyFormattedCitation" : "&lt;sup&gt;14&lt;/sup&gt;" }, "properties" : { "noteIndex" : 0 }, "schema" : "https://github.com/citation-style-language/schema/raw/master/csl-citation.json" }</w:instrText>
      </w:r>
      <w:r w:rsidR="00B545BC">
        <w:fldChar w:fldCharType="separate"/>
      </w:r>
      <w:r w:rsidR="009427AF" w:rsidRPr="009427AF">
        <w:rPr>
          <w:noProof/>
          <w:vertAlign w:val="superscript"/>
        </w:rPr>
        <w:t>14</w:t>
      </w:r>
      <w:r w:rsidR="00B545BC">
        <w:fldChar w:fldCharType="end"/>
      </w:r>
      <w:r>
        <w:t xml:space="preserve"> and Chan et al.</w:t>
      </w:r>
      <w:r w:rsidR="00B545BC">
        <w:fldChar w:fldCharType="begin" w:fldLock="1"/>
      </w:r>
      <w:r w:rsidR="0033232C">
        <w:instrText>ADDIN CSL_CITATION { "citationItems" : [ { "id" : "ITEM-1", "itemData" : { "DOI" : "10.2217/pgs.12.104", "ISBN" : "1744-8042", "ISSN" : "1462-2416", "PMID" : "22920395", "abstract" : "AIM: We aimed to estimate the population impact of warfarin pharmacogenetic testing (WPGT) across multiple populations.MATERIALS &amp; METHODS: We used the expanded International Warfarin Pharmacogenetics Consortium data set and genotype frequencies from HapMap to simulate dose distributions for each CYP2C9/VKORC1 genotype combination in the different races, and calculated the population attributable fraction as a measure of population impact of WPGT. WPGT was compared to both clinical and fixed-dose algorithms to estimate the benefits of WPGT.RESULTS: Our dose simulation revealed different dose requirements in difference races and considerable overlap in dose distributions of different genotype combinations. Population attributable fraction calculations suggest that complete implementation of WPGT can reduce inaccurate dosing by 18-24% in white individuals. However black, Japanese and Chinese patients do not benefit from WPGT, especially when compared against a race-specific fixed dose.CONCLUSION: Our findings support WPGT in white individuals but not in black, Japanese and Chinese individuals", "author" : [ { "dropping-particle" : "", "family" : "Chan", "given" : "Sze Ling", "non-dropping-particle" : "", "parse-names" : false, "suffix" : "" }, { "dropping-particle" : "", "family" : "Suo", "given" : "Chen", "non-dropping-particle" : "", "parse-names" : false, "suffix" : "" }, { "dropping-particle" : "", "family" : "Chia", "given" : "Kee Seng", "non-dropping-particle" : "", "parse-names" : false, "suffix" : "" }, { "dropping-particle" : "", "family" : "Teo", "given" : "Yik Ying", "non-dropping-particle" : "", "parse-names" : false, "suffix" : "" } ], "container-title" : "Pharmacogenomics", "id" : "ITEM-1", "issue" : "11", "issued" : { "date-parts" : [ [ "2012" ] ] }, "page" : "1247-1256", "title" : "The population attributable fraction as a measure of the impact of warfarin pharmacogenetic testing.", "type" : "article-journal", "volume" : "13" }, "uris" : [ "http://www.mendeley.com/documents/?uuid=dffd9ab6-5a31-4a9c-987a-d97f6fcbf740" ] } ], "mendeley" : { "formattedCitation" : "&lt;sup&gt;16&lt;/sup&gt;", "plainTextFormattedCitation" : "16", "previouslyFormattedCitation" : "&lt;sup&gt;16&lt;/sup&gt;" }, "properties" : { "noteIndex" : 0 }, "schema" : "https://github.com/citation-style-language/schema/raw/master/csl-citation.json" }</w:instrText>
      </w:r>
      <w:r w:rsidR="00B545BC">
        <w:fldChar w:fldCharType="separate"/>
      </w:r>
      <w:r w:rsidR="00CB755C" w:rsidRPr="00CB755C">
        <w:rPr>
          <w:noProof/>
          <w:vertAlign w:val="superscript"/>
        </w:rPr>
        <w:t>16</w:t>
      </w:r>
      <w:r w:rsidR="00B545BC">
        <w:fldChar w:fldCharType="end"/>
      </w:r>
      <w:r w:rsidR="001B5CD4">
        <w:t xml:space="preserve"> </w:t>
      </w:r>
      <w:r w:rsidR="00C4393C">
        <w:t xml:space="preserve">the authors highlighted </w:t>
      </w:r>
      <w:r w:rsidR="001B5CD4">
        <w:t>inconsistencies in</w:t>
      </w:r>
      <w:r w:rsidR="00C4393C">
        <w:t xml:space="preserve"> the</w:t>
      </w:r>
      <w:r w:rsidR="001B5CD4">
        <w:t xml:space="preserve"> ability to provide predictive information for anticoagulation response with </w:t>
      </w:r>
      <w:r w:rsidR="00F64847">
        <w:t>genotype-guided</w:t>
      </w:r>
      <w:r w:rsidR="00BF6ADB">
        <w:t xml:space="preserve"> dosing of</w:t>
      </w:r>
      <w:r w:rsidR="00F64847">
        <w:t xml:space="preserve"> </w:t>
      </w:r>
      <w:r w:rsidR="001B5CD4">
        <w:t>warfarin for certain ethnic groups compared to Caucasians. Moreover, these studies report</w:t>
      </w:r>
      <w:r w:rsidR="00911146">
        <w:t>ed</w:t>
      </w:r>
      <w:r w:rsidR="001B5CD4">
        <w:t xml:space="preserve"> </w:t>
      </w:r>
      <w:r w:rsidR="001B5CD4">
        <w:lastRenderedPageBreak/>
        <w:t xml:space="preserve">that health disparities widen due to poor characterization of genetic variants for certain groups of patients. </w:t>
      </w:r>
      <w:r>
        <w:t>Kealey et al.</w:t>
      </w:r>
      <w:r w:rsidR="00462561">
        <w:t xml:space="preserve"> reported that at the time, </w:t>
      </w:r>
      <w:r w:rsidR="00C4393C">
        <w:t>no</w:t>
      </w:r>
      <w:r w:rsidR="00462561">
        <w:t xml:space="preserve"> studies had been completed to evaluate whether genetic </w:t>
      </w:r>
      <w:r w:rsidR="00962BBC">
        <w:t xml:space="preserve">variation in </w:t>
      </w:r>
      <w:r w:rsidR="00462561">
        <w:t xml:space="preserve">CYP2C9 </w:t>
      </w:r>
      <w:r w:rsidR="00962BBC">
        <w:t xml:space="preserve">was </w:t>
      </w:r>
      <w:r w:rsidR="00462561">
        <w:t>useful in predicting warfarin response in African-Americans</w:t>
      </w:r>
      <w:r w:rsidR="0084020B">
        <w:t>.</w:t>
      </w:r>
      <w:r w:rsidR="00B545BC">
        <w:fldChar w:fldCharType="begin" w:fldLock="1"/>
      </w:r>
      <w:r w:rsidR="00B719B4">
        <w:instrText>ADDIN CSL_CITATION { "citationItems" : [ { "id" : "ITEM-1", "itemData" : { "DOI" : "10.2217/14622416.8.3.217", "ISSN" : "1462-2416", "abstract" : "Introduction: Warfarin is a widely prescribed, efficacious oral anticoagulant. S-warfarin, the more active form, is metabolized by the cytochrome P450 (CYP)2C9 enzyme. The aim was to evaluate the- influence of two CYP2C9 functional polymorphisms (*2 and *3) on warfarin dose in African-Americans, an unstudied population and Caucasians, and also to assess the effect of these polymorphisms on anticoagulation response after accounting for nongenetic factors and genetic factors that might also impact the dose-response relationship of warfarin. Patients and methods: A prospective cohort of 362 patients with a target international normalized ratio of between 2.0 and 3.0 were genotyped. Warfarin sensitivity stratified by genotype was investigated using univariate, and multivariate analyses. Results: The maintenance dose of warfarin was significantly related to genotype (p &lt; 0.01) (variant carriers: 31.25 mg/week; wild-type: 37.5 mg/ week), even after adjustment for possible confounding factors (p = 0.046). However, the effect of genotype was restricted to Caucasians, in whom variant carriers had a significantly lower maintenance dose compared with wild-type homozygotes (unadjusted: p &lt; 0.01; adjusted: p = 0.02). There was a greater risk of over-anticoagulation among Caucasian variant carriers, although this was only observed prior to reaching maintenance dose. For African-American variant carriers, there was no difference in warfarin response based on CYP2C9 genotype. Discussion: CYP2C9 *2 and *3 variants provide predictive information in anticoagulation response. However, these variants may not be useful in African-Americans or as a marker of long-term over-anticoagulation once a stable dose is reached. \u00a9 2007 Future Medicine Ltd.", "author" : [ { "dropping-particle" : "", "family" : "Kealey", "given" : "Carmel", "non-dropping-particle" : "", "parse-names" : false, "suffix" : "" }, { "dropping-particle" : "", "family" : "Chen", "given" : "Zhen", "non-dropping-particle" : "", "parse-names" : false, "suffix" : "" }, { "dropping-particle" : "", "family" : "Christie", "given" : "Jason", "non-dropping-particle" : "", "parse-names" : false, "suffix" : "" }, { "dropping-particle" : "", "family" : "Thorn", "given" : "Caroline F", "non-dropping-particle" : "", "parse-names" : false, "suffix" : "" }, { "dropping-particle" : "", "family" : "Whitehead", "given" : "Alexander S", "non-dropping-particle" : "", "parse-names" : false, "suffix" : "" }, { "dropping-particle" : "", "family" : "Price", "given" : "Maureen", "non-dropping-particle" : "", "parse-names" : false, "suffix" : "" }, { "dropping-particle" : "", "family" : "Samaha", "given" : "Frederick", "non-dropping-particle" : "", "parse-names" : false, "suffix" : "" }, { "dropping-particle" : "", "family" : "Kimmel", "given" : "Stephen", "non-dropping-particle" : "", "parse-names" : false, "suffix" : "" } ], "container-title" : "Pharmacogenomics", "id" : "ITEM-1", "issue" : "3", "issued" : { "date-parts" : [ [ "2007" ] ] }, "page" : "217-225", "title" : "Warafin and cytochrome P450 2C9 genotype: Possible ethic variation in warafin sensitivity", "type" : "article-journal", "volume" : "8" }, "uris" : [ "http://www.mendeley.com/documents/?uuid=7f920805-47fa-4e01-aed3-8e10551bfc62" ] } ], "mendeley" : { "formattedCitation" : "&lt;sup&gt;13&lt;/sup&gt;", "plainTextFormattedCitation" : "13", "previouslyFormattedCitation" : "&lt;sup&gt;13&lt;/sup&gt;" }, "properties" : { "noteIndex" : 0 }, "schema" : "https://github.com/citation-style-language/schema/raw/master/csl-citation.json" }</w:instrText>
      </w:r>
      <w:r w:rsidR="00B545BC">
        <w:fldChar w:fldCharType="separate"/>
      </w:r>
      <w:r w:rsidR="009427AF" w:rsidRPr="009427AF">
        <w:rPr>
          <w:noProof/>
          <w:vertAlign w:val="superscript"/>
        </w:rPr>
        <w:t>13</w:t>
      </w:r>
      <w:r w:rsidR="00B545BC">
        <w:fldChar w:fldCharType="end"/>
      </w:r>
      <w:r w:rsidR="00C4393C">
        <w:t xml:space="preserve"> </w:t>
      </w:r>
      <w:r w:rsidR="00462561" w:rsidRPr="001D3392">
        <w:t>A later study by Limdi et al</w:t>
      </w:r>
      <w:r>
        <w:t>.</w:t>
      </w:r>
      <w:r w:rsidR="00B545BC" w:rsidRPr="001D3392">
        <w:fldChar w:fldCharType="begin" w:fldLock="1"/>
      </w:r>
      <w:r w:rsidR="00B719B4">
        <w:instrText>ADDIN CSL_CITATION { "citationItems" : [ { "id" : "ITEM-1", "itemData" : { "DOI" : "10.2217/14622416.9.5.511", "ISBN" : "1744-8042", "ISSN" : "1462-2416", "PMID" : "18466099", "abstract" : "AIMS: The influence of CYP2C9 and VKORC1 on warfarin dose, time to target International Normalized Ratio (INR), time to stabilization, and risk of over-anticoagulation (INR: &gt; 4) was assessed after adjustment for clinical factors, intraindividual variation in environmental factors and unobserved heterogeneity.MATERIALS &amp; METHODS: Common CYP2C9 and VKORC1 polymorphisms were assessed in 302 European-Americans and 273 African-Americans receiving warfarin. Race-stratified multivariable analyses evaluated the influence of CYP2C9 and VKORC1 on warfarin response.RESULTS &amp; CONCLUSION: CYP2C9 and VKORC1 accounted for up to 30% of the variability in warfarin dose among European-Americans and 10% among African-Americans. Neither CYP2C9 nor VKORC1 influenced the time to target INR or stabilization among patients of either race, and neither influenced the risk of over-anticoagulation among African-Americans. The risk of over-anticoagulation was higher among European-Americans with variant VKORC1 1173C/T (p &lt; 0.01) and marginally significant among those with variant CYP2C9 (p = 0.08) genotype. Although CYP2C9 and VKORC1 genotyping can facilitate individualized initiation of warfarin dose in African and European-Americans, the ability to predict the risk of over-anticoagulation is inconsistent across race. Identification of other factors that can predict such risk consistently in a racially diverse group will facilitate individualized maintenance of warfarin therapy", "author" : [ { "dropping-particle" : "", "family" : "Limdi", "given" : "Nita A", "non-dropping-particle" : "", "parse-names" : false, "suffix" : "" }, { "dropping-particle" : "", "family" : "Arnett", "given" : "Donna K", "non-dropping-particle" : "", "parse-names" : false, "suffix" : "" }, { "dropping-particle" : "", "family" : "Goldstein", "given" : "Joyce A", "non-dropping-particle" : "", "parse-names" : false, "suffix" : "" }, { "dropping-particle" : "", "family" : "Beasley", "given" : "T Mark", "non-dropping-particle" : "", "parse-names" : false, "suffix" : "" }, { "dropping-particle" : "", "family" : "McGwin", "given" : "Gerald", "non-dropping-particle" : "", "parse-names" : false, "suffix" : "" }, { "dropping-particle" : "", "family" : "Adler", "given" : "Brian K", "non-dropping-particle" : "", "parse-names" : false, "suffix" : "" }, { "dropping-particle" : "", "family" : "Acton", "given" : "Ronald T", "non-dropping-particle" : "", "parse-names" : false, "suffix" : "" } ], "container-title" : "Pharmacogenomics", "id" : "ITEM-1", "issue" : "5", "issued" : { "date-parts" : [ [ "2008" ] ] }, "page" : "511-526", "title" : "Influence of CYP2C9 and VKORC1 on warfarin dose, anticoagulation attainment and maintenance among European-Americans and African-Americans.", "type" : "article-journal", "volume" : "9" }, "uris" : [ "http://www.mendeley.com/documents/?uuid=cda3da47-0a03-48db-9ee4-a58722b85cdd" ] } ], "mendeley" : { "formattedCitation" : "&lt;sup&gt;14&lt;/sup&gt;", "plainTextFormattedCitation" : "14", "previouslyFormattedCitation" : "&lt;sup&gt;14&lt;/sup&gt;" }, "properties" : { "noteIndex" : 0 }, "schema" : "https://github.com/citation-style-language/schema/raw/master/csl-citation.json" }</w:instrText>
      </w:r>
      <w:r w:rsidR="00B545BC" w:rsidRPr="001D3392">
        <w:fldChar w:fldCharType="separate"/>
      </w:r>
      <w:r w:rsidR="009427AF" w:rsidRPr="009427AF">
        <w:rPr>
          <w:noProof/>
          <w:vertAlign w:val="superscript"/>
        </w:rPr>
        <w:t>14</w:t>
      </w:r>
      <w:r w:rsidR="00B545BC" w:rsidRPr="001D3392">
        <w:fldChar w:fldCharType="end"/>
      </w:r>
      <w:r w:rsidR="00462561" w:rsidRPr="001D3392">
        <w:t xml:space="preserve"> found that </w:t>
      </w:r>
      <w:r w:rsidR="00EE6A26" w:rsidRPr="001D3392">
        <w:t>CYP2C9 and VKORC1</w:t>
      </w:r>
      <w:r w:rsidR="00EE6A26">
        <w:t xml:space="preserve"> accounted for up to 30% of the variability in warfarin dose among </w:t>
      </w:r>
      <w:r w:rsidR="00EE6A26" w:rsidRPr="001D3392">
        <w:t xml:space="preserve">European-Americans </w:t>
      </w:r>
      <w:r w:rsidR="00EE6A26">
        <w:t>and 10% among</w:t>
      </w:r>
      <w:r w:rsidR="00EE6A26" w:rsidRPr="001D3392">
        <w:t xml:space="preserve"> African-Americans</w:t>
      </w:r>
      <w:r>
        <w:t>. Limdi and colleagues</w:t>
      </w:r>
      <w:r w:rsidR="00EE6A26">
        <w:t xml:space="preserve"> concluded that although </w:t>
      </w:r>
      <w:r w:rsidR="00EE6A26" w:rsidRPr="001D3392">
        <w:t>CYP2C9 and VKORC1 genotyping ha</w:t>
      </w:r>
      <w:r w:rsidR="00962BBC">
        <w:t>s</w:t>
      </w:r>
      <w:r w:rsidR="00EE6A26" w:rsidRPr="001D3392">
        <w:t xml:space="preserve"> the potential to facilitate the development of individually tailored warfarin</w:t>
      </w:r>
      <w:r w:rsidR="00EE6A26">
        <w:t xml:space="preserve"> dose in both </w:t>
      </w:r>
      <w:r w:rsidR="00EE6A26" w:rsidRPr="001D3392">
        <w:t>African-Americans</w:t>
      </w:r>
      <w:r w:rsidR="00EE6A26">
        <w:t xml:space="preserve"> and European-Americans</w:t>
      </w:r>
      <w:r w:rsidR="00EE6A26" w:rsidRPr="001D3392">
        <w:t>,</w:t>
      </w:r>
      <w:r w:rsidR="001D3392" w:rsidRPr="001D3392">
        <w:t xml:space="preserve"> </w:t>
      </w:r>
      <w:r w:rsidR="00EE6A26">
        <w:t xml:space="preserve">the ability to predict </w:t>
      </w:r>
      <w:r w:rsidR="00693B6B" w:rsidRPr="001D3392">
        <w:t xml:space="preserve">over-anticoagulation risk </w:t>
      </w:r>
      <w:r w:rsidR="00EE6A26">
        <w:t>was</w:t>
      </w:r>
      <w:r w:rsidR="00693B6B" w:rsidRPr="001D3392">
        <w:t xml:space="preserve"> limited to European-Americans.</w:t>
      </w:r>
      <w:r w:rsidRPr="001D3392">
        <w:fldChar w:fldCharType="begin" w:fldLock="1"/>
      </w:r>
      <w:r w:rsidR="00B719B4">
        <w:instrText>ADDIN CSL_CITATION { "citationItems" : [ { "id" : "ITEM-1", "itemData" : { "DOI" : "10.2217/14622416.9.5.511", "ISBN" : "1744-8042", "ISSN" : "1462-2416", "PMID" : "18466099", "abstract" : "AIMS: The influence of CYP2C9 and VKORC1 on warfarin dose, time to target International Normalized Ratio (INR), time to stabilization, and risk of over-anticoagulation (INR: &gt; 4) was assessed after adjustment for clinical factors, intraindividual variation in environmental factors and unobserved heterogeneity.MATERIALS &amp; METHODS: Common CYP2C9 and VKORC1 polymorphisms were assessed in 302 European-Americans and 273 African-Americans receiving warfarin. Race-stratified multivariable analyses evaluated the influence of CYP2C9 and VKORC1 on warfarin response.RESULTS &amp; CONCLUSION: CYP2C9 and VKORC1 accounted for up to 30% of the variability in warfarin dose among European-Americans and 10% among African-Americans. Neither CYP2C9 nor VKORC1 influenced the time to target INR or stabilization among patients of either race, and neither influenced the risk of over-anticoagulation among African-Americans. The risk of over-anticoagulation was higher among European-Americans with variant VKORC1 1173C/T (p &lt; 0.01) and marginally significant among those with variant CYP2C9 (p = 0.08) genotype. Although CYP2C9 and VKORC1 genotyping can facilitate individualized initiation of warfarin dose in African and European-Americans, the ability to predict the risk of over-anticoagulation is inconsistent across race. Identification of other factors that can predict such risk consistently in a racially diverse group will facilitate individualized maintenance of warfarin therapy", "author" : [ { "dropping-particle" : "", "family" : "Limdi", "given" : "Nita A", "non-dropping-particle" : "", "parse-names" : false, "suffix" : "" }, { "dropping-particle" : "", "family" : "Arnett", "given" : "Donna K", "non-dropping-particle" : "", "parse-names" : false, "suffix" : "" }, { "dropping-particle" : "", "family" : "Goldstein", "given" : "Joyce A", "non-dropping-particle" : "", "parse-names" : false, "suffix" : "" }, { "dropping-particle" : "", "family" : "Beasley", "given" : "T Mark", "non-dropping-particle" : "", "parse-names" : false, "suffix" : "" }, { "dropping-particle" : "", "family" : "McGwin", "given" : "Gerald", "non-dropping-particle" : "", "parse-names" : false, "suffix" : "" }, { "dropping-particle" : "", "family" : "Adler", "given" : "Brian K", "non-dropping-particle" : "", "parse-names" : false, "suffix" : "" }, { "dropping-particle" : "", "family" : "Acton", "given" : "Ronald T", "non-dropping-particle" : "", "parse-names" : false, "suffix" : "" } ], "container-title" : "Pharmacogenomics", "id" : "ITEM-1", "issue" : "5", "issued" : { "date-parts" : [ [ "2008" ] ] }, "page" : "511-526", "title" : "Influence of CYP2C9 and VKORC1 on warfarin dose, anticoagulation attainment and maintenance among European-Americans and African-Americans.", "type" : "article-journal", "volume" : "9" }, "uris" : [ "http://www.mendeley.com/documents/?uuid=cda3da47-0a03-48db-9ee4-a58722b85cdd" ] } ], "mendeley" : { "formattedCitation" : "&lt;sup&gt;14&lt;/sup&gt;", "plainTextFormattedCitation" : "14", "previouslyFormattedCitation" : "&lt;sup&gt;14&lt;/sup&gt;" }, "properties" : { "noteIndex" : 0 }, "schema" : "https://github.com/citation-style-language/schema/raw/master/csl-citation.json" }</w:instrText>
      </w:r>
      <w:r w:rsidRPr="001D3392">
        <w:fldChar w:fldCharType="separate"/>
      </w:r>
      <w:r w:rsidR="009427AF" w:rsidRPr="009427AF">
        <w:rPr>
          <w:noProof/>
          <w:vertAlign w:val="superscript"/>
        </w:rPr>
        <w:t>14</w:t>
      </w:r>
      <w:r w:rsidRPr="001D3392">
        <w:fldChar w:fldCharType="end"/>
      </w:r>
      <w:r w:rsidR="00693B6B" w:rsidRPr="001D3392">
        <w:t xml:space="preserve"> </w:t>
      </w:r>
      <w:r w:rsidR="006C0BCA">
        <w:t xml:space="preserve">A further study by </w:t>
      </w:r>
      <w:r>
        <w:t>Chan et al.</w:t>
      </w:r>
      <w:r w:rsidRPr="001D3392">
        <w:fldChar w:fldCharType="begin" w:fldLock="1"/>
      </w:r>
      <w:r w:rsidR="0033232C">
        <w:instrText>ADDIN CSL_CITATION { "citationItems" : [ { "id" : "ITEM-1", "itemData" : { "DOI" : "10.2217/pgs.12.104", "ISBN" : "1744-8042", "ISSN" : "1462-2416", "PMID" : "22920395", "abstract" : "AIM: We aimed to estimate the population impact of warfarin pharmacogenetic testing (WPGT) across multiple populations.MATERIALS &amp; METHODS: We used the expanded International Warfarin Pharmacogenetics Consortium data set and genotype frequencies from HapMap to simulate dose distributions for each CYP2C9/VKORC1 genotype combination in the different races, and calculated the population attributable fraction as a measure of population impact of WPGT. WPGT was compared to both clinical and fixed-dose algorithms to estimate the benefits of WPGT.RESULTS: Our dose simulation revealed different dose requirements in difference races and considerable overlap in dose distributions of different genotype combinations. Population attributable fraction calculations suggest that complete implementation of WPGT can reduce inaccurate dosing by 18-24% in white individuals. However black, Japanese and Chinese patients do not benefit from WPGT, especially when compared against a race-specific fixed dose.CONCLUSION: Our findings support WPGT in white individuals but not in black, Japanese and Chinese individuals", "author" : [ { "dropping-particle" : "", "family" : "Chan", "given" : "Sze Ling", "non-dropping-particle" : "", "parse-names" : false, "suffix" : "" }, { "dropping-particle" : "", "family" : "Suo", "given" : "Chen", "non-dropping-particle" : "", "parse-names" : false, "suffix" : "" }, { "dropping-particle" : "", "family" : "Chia", "given" : "Kee Seng", "non-dropping-particle" : "", "parse-names" : false, "suffix" : "" }, { "dropping-particle" : "", "family" : "Teo", "given" : "Yik Ying", "non-dropping-particle" : "", "parse-names" : false, "suffix" : "" } ], "container-title" : "Pharmacogenomics", "id" : "ITEM-1", "issue" : "11", "issued" : { "date-parts" : [ [ "2012" ] ] }, "page" : "1247-1256", "title" : "The population attributable fraction as a measure of the impact of warfarin pharmacogenetic testing.", "type" : "article-journal", "volume" : "13" }, "uris" : [ "http://www.mendeley.com/documents/?uuid=dffd9ab6-5a31-4a9c-987a-d97f6fcbf740" ] } ], "mendeley" : { "formattedCitation" : "&lt;sup&gt;16&lt;/sup&gt;", "plainTextFormattedCitation" : "16", "previouslyFormattedCitation" : "&lt;sup&gt;16&lt;/sup&gt;" }, "properties" : { "noteIndex" : 0 }, "schema" : "https://github.com/citation-style-language/schema/raw/master/csl-citation.json" }</w:instrText>
      </w:r>
      <w:r w:rsidRPr="001D3392">
        <w:fldChar w:fldCharType="separate"/>
      </w:r>
      <w:r w:rsidR="00CB755C" w:rsidRPr="00CB755C">
        <w:rPr>
          <w:noProof/>
          <w:vertAlign w:val="superscript"/>
        </w:rPr>
        <w:t>16</w:t>
      </w:r>
      <w:r w:rsidRPr="001D3392">
        <w:fldChar w:fldCharType="end"/>
      </w:r>
      <w:r w:rsidR="0031371D" w:rsidRPr="001D3392">
        <w:t xml:space="preserve"> </w:t>
      </w:r>
      <w:r w:rsidR="00CB755C">
        <w:t>also found</w:t>
      </w:r>
      <w:r w:rsidR="00BE65B2">
        <w:t xml:space="preserve"> that there are different dose requirements between different races and there was considerable overlap in dose distributions depending on genotype combinations. Chan </w:t>
      </w:r>
      <w:r>
        <w:t>and colleagues</w:t>
      </w:r>
      <w:r w:rsidR="00BE65B2">
        <w:t xml:space="preserve"> </w:t>
      </w:r>
      <w:r w:rsidR="00CB755C">
        <w:t>revealed</w:t>
      </w:r>
      <w:r w:rsidR="00BE65B2">
        <w:t xml:space="preserve"> that</w:t>
      </w:r>
      <w:r w:rsidR="0031371D" w:rsidRPr="001D3392">
        <w:t xml:space="preserve"> genotype-guided </w:t>
      </w:r>
      <w:r w:rsidR="00BF6ADB" w:rsidRPr="001D3392">
        <w:t xml:space="preserve">dosing of </w:t>
      </w:r>
      <w:r w:rsidR="0031371D" w:rsidRPr="001D3392">
        <w:t xml:space="preserve">warfarin </w:t>
      </w:r>
      <w:r w:rsidR="003F7679" w:rsidRPr="001D3392">
        <w:t>can reduce inaccurate dosing by 18-24% in white individuals, whereas black, Japanese and Chinese individuals were not found to benefit</w:t>
      </w:r>
      <w:r w:rsidR="00BE65B2">
        <w:t xml:space="preserve"> from genotype-guided dosing of warfarin over </w:t>
      </w:r>
      <w:r w:rsidR="002B44F0">
        <w:t>standard dosing algorithms</w:t>
      </w:r>
      <w:r>
        <w:t>.</w:t>
      </w:r>
      <w:r w:rsidRPr="001D3392">
        <w:fldChar w:fldCharType="begin" w:fldLock="1"/>
      </w:r>
      <w:r w:rsidR="0033232C">
        <w:instrText>ADDIN CSL_CITATION { "citationItems" : [ { "id" : "ITEM-1", "itemData" : { "DOI" : "10.2217/pgs.12.104", "ISBN" : "1744-8042", "ISSN" : "1462-2416", "PMID" : "22920395", "abstract" : "AIM: We aimed to estimate the population impact of warfarin pharmacogenetic testing (WPGT) across multiple populations.MATERIALS &amp; METHODS: We used the expanded International Warfarin Pharmacogenetics Consortium data set and genotype frequencies from HapMap to simulate dose distributions for each CYP2C9/VKORC1 genotype combination in the different races, and calculated the population attributable fraction as a measure of population impact of WPGT. WPGT was compared to both clinical and fixed-dose algorithms to estimate the benefits of WPGT.RESULTS: Our dose simulation revealed different dose requirements in difference races and considerable overlap in dose distributions of different genotype combinations. Population attributable fraction calculations suggest that complete implementation of WPGT can reduce inaccurate dosing by 18-24% in white individuals. However black, Japanese and Chinese patients do not benefit from WPGT, especially when compared against a race-specific fixed dose.CONCLUSION: Our findings support WPGT in white individuals but not in black, Japanese and Chinese individuals", "author" : [ { "dropping-particle" : "", "family" : "Chan", "given" : "Sze Ling", "non-dropping-particle" : "", "parse-names" : false, "suffix" : "" }, { "dropping-particle" : "", "family" : "Suo", "given" : "Chen", "non-dropping-particle" : "", "parse-names" : false, "suffix" : "" }, { "dropping-particle" : "", "family" : "Chia", "given" : "Kee Seng", "non-dropping-particle" : "", "parse-names" : false, "suffix" : "" }, { "dropping-particle" : "", "family" : "Teo", "given" : "Yik Ying", "non-dropping-particle" : "", "parse-names" : false, "suffix" : "" } ], "container-title" : "Pharmacogenomics", "id" : "ITEM-1", "issue" : "11", "issued" : { "date-parts" : [ [ "2012" ] ] }, "page" : "1247-1256", "title" : "The population attributable fraction as a measure of the impact of warfarin pharmacogenetic testing.", "type" : "article-journal", "volume" : "13" }, "uris" : [ "http://www.mendeley.com/documents/?uuid=dffd9ab6-5a31-4a9c-987a-d97f6fcbf740" ] } ], "mendeley" : { "formattedCitation" : "&lt;sup&gt;16&lt;/sup&gt;", "plainTextFormattedCitation" : "16", "previouslyFormattedCitation" : "&lt;sup&gt;16&lt;/sup&gt;" }, "properties" : { "noteIndex" : 0 }, "schema" : "https://github.com/citation-style-language/schema/raw/master/csl-citation.json" }</w:instrText>
      </w:r>
      <w:r w:rsidRPr="001D3392">
        <w:fldChar w:fldCharType="separate"/>
      </w:r>
      <w:r w:rsidR="00CB755C" w:rsidRPr="00CB755C">
        <w:rPr>
          <w:noProof/>
          <w:vertAlign w:val="superscript"/>
        </w:rPr>
        <w:t>16</w:t>
      </w:r>
      <w:r w:rsidRPr="001D3392">
        <w:fldChar w:fldCharType="end"/>
      </w:r>
      <w:r w:rsidR="003F7679">
        <w:t xml:space="preserve"> </w:t>
      </w:r>
      <w:r>
        <w:t xml:space="preserve"> </w:t>
      </w:r>
    </w:p>
    <w:p w:rsidR="00221D7A" w:rsidRDefault="00A47B60" w:rsidP="00C45A15">
      <w:pPr>
        <w:pStyle w:val="Heading3"/>
        <w:numPr>
          <w:ilvl w:val="0"/>
          <w:numId w:val="0"/>
        </w:numPr>
        <w:spacing w:line="480" w:lineRule="auto"/>
        <w:jc w:val="both"/>
      </w:pPr>
      <w:r>
        <w:t>G</w:t>
      </w:r>
      <w:r w:rsidR="00221D7A">
        <w:t xml:space="preserve">enotype-guided treatment compared with treatment of clopidogrel or prasugrel alone </w:t>
      </w:r>
      <w:r>
        <w:t>and</w:t>
      </w:r>
      <w:r w:rsidR="00221D7A">
        <w:t xml:space="preserve"> health disparities</w:t>
      </w:r>
    </w:p>
    <w:p w:rsidR="00EB5310" w:rsidRPr="0061413C" w:rsidRDefault="00D95779" w:rsidP="002E603B">
      <w:pPr>
        <w:pStyle w:val="LRiGnormal"/>
        <w:spacing w:line="480" w:lineRule="auto"/>
        <w:rPr>
          <w:rFonts w:ascii="Calibri" w:hAnsi="Calibri" w:cs="Calibri"/>
          <w:bCs/>
          <w:color w:val="000000"/>
          <w:sz w:val="16"/>
          <w:szCs w:val="16"/>
        </w:rPr>
        <w:sectPr w:rsidR="00EB5310" w:rsidRPr="0061413C" w:rsidSect="002E603B">
          <w:footerReference w:type="default" r:id="rId8"/>
          <w:pgSz w:w="11906" w:h="16838"/>
          <w:pgMar w:top="1440" w:right="1440" w:bottom="1440" w:left="1440" w:header="709" w:footer="510" w:gutter="0"/>
          <w:cols w:space="708"/>
          <w:docGrid w:linePitch="360"/>
        </w:sectPr>
      </w:pPr>
      <w:r>
        <w:t>A clinical trial found that patients with acute coronary syndromes (</w:t>
      </w:r>
      <w:r w:rsidR="006E7D7F">
        <w:t>A</w:t>
      </w:r>
      <w:r>
        <w:t>CS) and reduced function allele</w:t>
      </w:r>
      <w:r w:rsidR="006E7D7F">
        <w:t xml:space="preserve"> </w:t>
      </w:r>
      <w:r>
        <w:t>CYP2C19*2 (*2 allele) who are treated with thienopyridines (anti-platelet</w:t>
      </w:r>
      <w:r w:rsidR="000122A7">
        <w:t xml:space="preserve"> medications</w:t>
      </w:r>
      <w:r>
        <w:t>), have an increased risk of adverse cardiac events with clopidogrel, but not prasugrel</w:t>
      </w:r>
      <w:r w:rsidR="00BB2E74">
        <w:t xml:space="preserve"> because prasugrel activation </w:t>
      </w:r>
      <w:r w:rsidR="0097173E">
        <w:t>is not predominantly dependent on</w:t>
      </w:r>
      <w:r w:rsidR="00BB2E74">
        <w:t xml:space="preserve"> oxidation by the enzyme CYP2C19</w:t>
      </w:r>
      <w:r>
        <w:t xml:space="preserve">. A </w:t>
      </w:r>
      <w:r w:rsidR="008E253F">
        <w:t>study by</w:t>
      </w:r>
      <w:r w:rsidR="00072FB9">
        <w:t xml:space="preserve"> Panattoni et al.</w:t>
      </w:r>
      <w:r w:rsidR="00991F9F">
        <w:fldChar w:fldCharType="begin" w:fldLock="1"/>
      </w:r>
      <w:r w:rsidR="0033232C">
        <w:instrText>ADDIN CSL_CITATION { "citationItems" : [ { "id" : "ITEM-1", "itemData" : { "DOI" : "10.2165/11595080-000000000-00000", "ISBN" : "1170-7690", "ISSN" : "11707690", "PMID" : "22974536", "abstract" : "BACKGROUND: A recent clinical trial has demonstrated that patients with acute coronary syndromes (ACS) and the reduced function allele CYP2C19*2 (*2 allele), who are treated with thienopyridines, have an increased risk of adverse cardiac events with clopidogrel, but not with prasugrel. The frequency of the *2 allele varies by ethnicity and the Maoris, Asians and Pacific Islanders of New Zealand have a relatively high incidence.\\n\\nOBJECTIVE: Our objective was to evaluate, from a New Zealand health system perspective, the cost effectiveness of treating all ACS patients with generic clopidogrel compared with prasugrel, and also compared with the genetically guided strategy that *2 allele carriers receive prasugrel and non-carriers receive clopidogrel.\\n\\nMETHODS: A decision-tree model consisting of five health states (myocardial infarction, stroke, bleeding, stent thrombosis and cardiovascular death) was developed. Clinical outcome data (two TRITON-TIMI 38 genetic sub-studies) comparing clopidogrel and prasugrel for both *2 allele carriers and non-carriers were combined with the prevalence of the heterozygosity for the *2 allele in New Zealand Europeans (15%), Maoris (24%), Asians (29%) and Pacific Islanders (45%) to determine the predicted adverse event rate for the New Zealand population. National hospital diagnosis-related group (DRG) discharge codes were used to determine alternative adverse event rates, along with the costs of hospitalizations during the 15 months after patients presented with an ACS. The primary outcome measure was the incremental cost per QALY (calculated using literature-reported weights). Monte Carlo simulations and alternative scenario analysis based on both clinical trial and national hospital incidence were used. Additional analysis considered the overall TRITON-TIMI 38 rates. Costs (in New Zealand dollars [$NZ], year 2009 values) and benefits were discounted at 3% per annum.\\n\\nRESULTS: Actual hospital-based adverse event rates were higher than those reported in the TRITON-TIMI 38 randomized controlled trial and the genetic sub-studies, especially for myocardial infarction and cardiovascular death, and for Maoris and Pacific Islanders. For both sources of adverse event rates, treating the population with prasugrel was associated with worse outcomes (QALYs) than clopidogrel. However, prasugrel became cost effective ($NZ31\u2009751/QALY) when the overall TRITON-TIMI 38 rates were used. A genetic test to guide the selected use of pra\u2026", "author" : [ { "dropping-particle" : "", "family" : "Panattoni", "given" : "Laura", "non-dropping-particle" : "", "parse-names" : false, "suffix" : "" }, { "dropping-particle" : "", "family" : "Brown", "given" : "Paul M.", "non-dropping-particle" : "", "parse-names" : false, "suffix" : "" }, { "dropping-particle" : "Te", "family" : "Ao", "given" : "Braden", "non-dropping-particle" : "", "parse-names" : false, "suffix" : "" }, { "dropping-particle" : "", "family" : "Webster", "given" : "Mark", "non-dropping-particle" : "", "parse-names" : false, "suffix" : "" }, { "dropping-particle" : "", "family" : "Gladding", "given" : "Patrick", "non-dropping-particle" : "", "parse-names" : false, "suffix" : "" } ], "container-title" : "PharmacoEconomics", "id" : "ITEM-1", "issue" : "11", "issued" : { "date-parts" : [ [ "2012" ] ] }, "page" : "1067-1084", "title" : "The cost effectiveness of genetic testing for CYP2C19 Variants to Guide Thienopyridine Treatment in Patients with Acute Coronary Syndromes: A New Zealand Evaluation", "type" : "article-journal", "volume" : "30" }, "uris" : [ "http://www.mendeley.com/documents/?uuid=4076d3cd-0fd6-43ab-93f9-f91fd2070a57" ] } ], "mendeley" : { "formattedCitation" : "&lt;sup&gt;17&lt;/sup&gt;", "plainTextFormattedCitation" : "17", "previouslyFormattedCitation" : "&lt;sup&gt;17&lt;/sup&gt;" }, "properties" : { "noteIndex" : 0 }, "schema" : "https://github.com/citation-style-language/schema/raw/master/csl-citation.json" }</w:instrText>
      </w:r>
      <w:r w:rsidR="00991F9F">
        <w:fldChar w:fldCharType="separate"/>
      </w:r>
      <w:r w:rsidR="0033232C" w:rsidRPr="0033232C">
        <w:rPr>
          <w:noProof/>
          <w:vertAlign w:val="superscript"/>
        </w:rPr>
        <w:t>17</w:t>
      </w:r>
      <w:r w:rsidR="00991F9F">
        <w:fldChar w:fldCharType="end"/>
      </w:r>
      <w:r w:rsidR="008E253F">
        <w:t xml:space="preserve"> found that genotype-guided </w:t>
      </w:r>
      <w:r w:rsidR="004654A2">
        <w:t xml:space="preserve">treatment compared with </w:t>
      </w:r>
      <w:r w:rsidR="00BB2E74">
        <w:t xml:space="preserve">standard </w:t>
      </w:r>
      <w:r w:rsidR="004654A2">
        <w:t xml:space="preserve">treatment of clopidogrel </w:t>
      </w:r>
      <w:r w:rsidR="008E253F">
        <w:t xml:space="preserve">is a potentially cost-effective strategy for the entire New Zealand population and </w:t>
      </w:r>
      <w:r w:rsidR="005153BC">
        <w:t xml:space="preserve">in particular </w:t>
      </w:r>
      <w:r w:rsidR="008E253F">
        <w:t xml:space="preserve">for </w:t>
      </w:r>
      <w:r w:rsidR="005153BC">
        <w:t>Maoris and Pacific Islander patients</w:t>
      </w:r>
      <w:r w:rsidR="008E253F">
        <w:t xml:space="preserve">. </w:t>
      </w:r>
      <w:r w:rsidR="004E1616">
        <w:t>It was</w:t>
      </w:r>
      <w:r w:rsidR="005153BC">
        <w:t xml:space="preserve"> reported that Maori and Pacific Islander ethn</w:t>
      </w:r>
      <w:r w:rsidR="00157F25">
        <w:t>icities have a relatively high</w:t>
      </w:r>
      <w:r w:rsidR="005153BC">
        <w:t xml:space="preserve"> </w:t>
      </w:r>
      <w:r w:rsidR="004E1616">
        <w:t>incidence</w:t>
      </w:r>
      <w:r w:rsidR="005153BC">
        <w:t xml:space="preserve"> of CYP2C19*2 allele</w:t>
      </w:r>
      <w:r w:rsidR="00F25204">
        <w:t xml:space="preserve"> and therefore poor metabolizers of clopid</w:t>
      </w:r>
      <w:r w:rsidR="004E1616">
        <w:t xml:space="preserve">ogrel were more </w:t>
      </w:r>
      <w:r w:rsidR="00962BBC">
        <w:t xml:space="preserve">commonly </w:t>
      </w:r>
      <w:r w:rsidR="00F25204">
        <w:t>identified</w:t>
      </w:r>
      <w:r w:rsidR="006A3A45">
        <w:t xml:space="preserve">. </w:t>
      </w:r>
      <w:r w:rsidR="008E253F">
        <w:t xml:space="preserve">Increased cost-effectiveness was found </w:t>
      </w:r>
      <w:r w:rsidR="006A3A45">
        <w:t xml:space="preserve">in Maori and Pacific Islander ethnicities due to </w:t>
      </w:r>
      <w:r w:rsidR="001021ED">
        <w:t>enhanced efficacy</w:t>
      </w:r>
      <w:r w:rsidR="006A3A45">
        <w:t>.</w:t>
      </w:r>
      <w:r w:rsidR="00072FB9">
        <w:fldChar w:fldCharType="begin" w:fldLock="1"/>
      </w:r>
      <w:r w:rsidR="006D5E0B">
        <w:instrText>ADDIN CSL_CITATION { "citationItems" : [ { "id" : "ITEM-1", "itemData" : { "DOI" : "10.2165/11595080-000000000-00000", "ISBN" : "1170-7690", "ISSN" : "11707690", "PMID" : "22974536", "abstract" : "BACKGROUND: A recent clinical trial has demonstrated that patients with acute coronary syndromes (ACS) and the reduced function allele CYP2C19*2 (*2 allele), who are treated with thienopyridines, have an increased risk of adverse cardiac events with clopidogrel, but not with prasugrel. The frequency of the *2 allele varies by ethnicity and the Maoris, Asians and Pacific Islanders of New Zealand have a relatively high incidence.\\n\\nOBJECTIVE: Our objective was to evaluate, from a New Zealand health system perspective, the cost effectiveness of treating all ACS patients with generic clopidogrel compared with prasugrel, and also compared with the genetically guided strategy that *2 allele carriers receive prasugrel and non-carriers receive clopidogrel.\\n\\nMETHODS: A decision-tree model consisting of five health states (myocardial infarction, stroke, bleeding, stent thrombosis and cardiovascular death) was developed. Clinical outcome data (two TRITON-TIMI 38 genetic sub-studies) comparing clopidogrel and prasugrel for both *2 allele carriers and non-carriers were combined with the prevalence of the heterozygosity for the *2 allele in New Zealand Europeans (15%), Maoris (24%), Asians (29%) and Pacific Islanders (45%) to determine the predicted adverse event rate for the New Zealand population. National hospital diagnosis-related group (DRG) discharge codes were used to determine alternative adverse event rates, along with the costs of hospitalizations during the 15 months after patients presented with an ACS. The primary outcome measure was the incremental cost per QALY (calculated using literature-reported weights). Monte Carlo simulations and alternative scenario analysis based on both clinical trial and national hospital incidence were used. Additional analysis considered the overall TRITON-TIMI 38 rates. Costs (in New Zealand dollars [$NZ], year 2009 values) and benefits were discounted at 3% per annum.\\n\\nRESULTS: Actual hospital-based adverse event rates were higher than those reported in the TRITON-TIMI 38 randomized controlled trial and the genetic sub-studies, especially for myocardial infarction and cardiovascular death, and for Maoris and Pacific Islanders. For both sources of adverse event rates, treating the population with prasugrel was associated with worse outcomes (QALYs) than clopidogrel. However, prasugrel became cost effective ($NZ31 751/QALY) when the overall TRITON-TIMI 38 rates were used. A genetic test to guide the selected use of pra\u2026", "author" : [ { "dropping-particle" : "", "family" : "Panattoni", "given" : "Laura", "non-dropping-particle" : "", "parse-names" : false, "suffix" : "" }, { "dropping-particle" : "", "family" : "Brown", "given" : "Paul M.", "non-dropping-particle" : "", "parse-names" : false, "suffix" : "" }, { "dropping-particle" : "Te", "family" : "Ao", "given" : "Braden", "non-dropping-particle" : "", "parse-names" : false, "suffix" : "" }, { "dropping-particle" : "", "family" : "Webster", "given" : "Mark", "non-dropping-particle" : "", "parse-names" : false, "suffix" : "" }, { "dropping-particle" : "", "family" : "Gladding", "given" : "Patrick", "non-dropping-particle" : "", "parse-names" : false, "suffix" : "" } ], "container-title" : "PharmacoEconomics", "id" : "ITEM-1", "issue" : "11", "issued" : { "date-parts" : [ [ "2012" ] ] }, "page" : "1067-1084", "title" : "The cost effectiveness of genetic testing for CYP2C19 Variants to Guide Thienopyridine Treatment in Patients with Acute Coronary Syndromes: A New Zealand Evaluation", "type" : "article-journal", "volume" : "30" }, "uris" : [ "http://www.mendeley.com/documents/?uuid=77a81b51-89fc-4fcc-8a8f-ddb96a3326e9" ] } ], "mendeley" : { "formattedCitation" : "&lt;sup&gt;19&lt;/sup&gt;", "plainTextFormattedCitation" : "19", "previouslyFormattedCitation" : "&lt;sup&gt;19&lt;/sup&gt;" }, "properties" : { "noteIndex" : 0 }, "schema" : "https://github.com/citation-style-language/schema/raw/master/csl-citation.json" }</w:instrText>
      </w:r>
      <w:r w:rsidR="00072FB9">
        <w:fldChar w:fldCharType="separate"/>
      </w:r>
      <w:r w:rsidR="006D5E0B" w:rsidRPr="006D5E0B">
        <w:rPr>
          <w:noProof/>
          <w:vertAlign w:val="superscript"/>
        </w:rPr>
        <w:t>19</w:t>
      </w:r>
      <w:r w:rsidR="00072FB9">
        <w:fldChar w:fldCharType="end"/>
      </w:r>
      <w:r w:rsidR="006A3A45">
        <w:t xml:space="preserve"> </w:t>
      </w:r>
      <w:r w:rsidR="00C15382">
        <w:t>Therefore, the</w:t>
      </w:r>
      <w:r w:rsidR="00911146">
        <w:t xml:space="preserve"> </w:t>
      </w:r>
      <w:r w:rsidR="001021ED">
        <w:t xml:space="preserve">authors </w:t>
      </w:r>
      <w:r w:rsidR="00911146">
        <w:t>concluded that</w:t>
      </w:r>
      <w:r w:rsidR="001021ED">
        <w:t xml:space="preserve"> the</w:t>
      </w:r>
      <w:r w:rsidR="00C15382">
        <w:t xml:space="preserve"> </w:t>
      </w:r>
      <w:r w:rsidR="00C15382">
        <w:lastRenderedPageBreak/>
        <w:t xml:space="preserve">introduction of genotype-guided </w:t>
      </w:r>
      <w:r w:rsidR="00FC29B3">
        <w:t xml:space="preserve">clopidogrel </w:t>
      </w:r>
      <w:r w:rsidR="00BB2E74">
        <w:t xml:space="preserve">dosing </w:t>
      </w:r>
      <w:r w:rsidR="00C15382">
        <w:t xml:space="preserve">has the potential to reduce </w:t>
      </w:r>
      <w:r w:rsidR="004E1616">
        <w:t xml:space="preserve">ethnic </w:t>
      </w:r>
      <w:r w:rsidR="00C15382">
        <w:t xml:space="preserve">disparities </w:t>
      </w:r>
      <w:r w:rsidR="004E1616">
        <w:t>in health</w:t>
      </w:r>
      <w:r w:rsidR="001208ED">
        <w:t xml:space="preserve"> </w:t>
      </w:r>
      <w:r w:rsidR="004E1616">
        <w:t xml:space="preserve">care </w:t>
      </w:r>
      <w:r w:rsidR="0040495C">
        <w:t>as a result of</w:t>
      </w:r>
      <w:r w:rsidR="001021ED">
        <w:t xml:space="preserve"> en</w:t>
      </w:r>
      <w:r w:rsidR="00FA3E64">
        <w:t xml:space="preserve">hanced treatment efficacy within a </w:t>
      </w:r>
      <w:r w:rsidR="00D42461">
        <w:t xml:space="preserve">disadvantaged </w:t>
      </w:r>
      <w:r w:rsidR="00FA3E64">
        <w:t>population group</w:t>
      </w:r>
      <w:r w:rsidR="0084020B">
        <w:t>.</w:t>
      </w:r>
      <w:r w:rsidR="0033232C">
        <w:fldChar w:fldCharType="begin" w:fldLock="1"/>
      </w:r>
      <w:r w:rsidR="0033232C">
        <w:instrText>ADDIN CSL_CITATION { "citationItems" : [ { "id" : "ITEM-1", "itemData" : { "DOI" : "10.2165/11595080-000000000-00000", "ISBN" : "1170-7690", "ISSN" : "11707690", "PMID" : "22974536", "abstract" : "BACKGROUND: A recent clinical trial has demonstrated that patients with acute coronary syndromes (ACS) and the reduced function allele CYP2C19*2 (*2 allele), who are treated with thienopyridines, have an increased risk of adverse cardiac events with clopidogrel, but not with prasugrel. The frequency of the *2 allele varies by ethnicity and the Maoris, Asians and Pacific Islanders of New Zealand have a relatively high incidence.\\n\\nOBJECTIVE: Our objective was to evaluate, from a New Zealand health system perspective, the cost effectiveness of treating all ACS patients with generic clopidogrel compared with prasugrel, and also compared with the genetically guided strategy that *2 allele carriers receive prasugrel and non-carriers receive clopidogrel.\\n\\nMETHODS: A decision-tree model consisting of five health states (myocardial infarction, stroke, bleeding, stent thrombosis and cardiovascular death) was developed. Clinical outcome data (two TRITON-TIMI 38 genetic sub-studies) comparing clopidogrel and prasugrel for both *2 allele carriers and non-carriers were combined with the prevalence of the heterozygosity for the *2 allele in New Zealand Europeans (15%), Maoris (24%), Asians (29%) and Pacific Islanders (45%) to determine the predicted adverse event rate for the New Zealand population. National hospital diagnosis-related group (DRG) discharge codes were used to determine alternative adverse event rates, along with the costs of hospitalizations during the 15 months after patients presented with an ACS. The primary outcome measure was the incremental cost per QALY (calculated using literature-reported weights). Monte Carlo simulations and alternative scenario analysis based on both clinical trial and national hospital incidence were used. Additional analysis considered the overall TRITON-TIMI 38 rates. Costs (in New Zealand dollars [$NZ], year 2009 values) and benefits were discounted at 3% per annum.\\n\\nRESULTS: Actual hospital-based adverse event rates were higher than those reported in the TRITON-TIMI 38 randomized controlled trial and the genetic sub-studies, especially for myocardial infarction and cardiovascular death, and for Maoris and Pacific Islanders. For both sources of adverse event rates, treating the population with prasugrel was associated with worse outcomes (QALYs) than clopidogrel. However, prasugrel became cost effective ($NZ31\u2009751/QALY) when the overall TRITON-TIMI 38 rates were used. A genetic test to guide the selected use of pra\u2026", "author" : [ { "dropping-particle" : "", "family" : "Panattoni", "given" : "Laura", "non-dropping-particle" : "", "parse-names" : false, "suffix" : "" }, { "dropping-particle" : "", "family" : "Brown", "given" : "Paul M.", "non-dropping-particle" : "", "parse-names" : false, "suffix" : "" }, { "dropping-particle" : "Te", "family" : "Ao", "given" : "Braden", "non-dropping-particle" : "", "parse-names" : false, "suffix" : "" }, { "dropping-particle" : "", "family" : "Webster", "given" : "Mark", "non-dropping-particle" : "", "parse-names" : false, "suffix" : "" }, { "dropping-particle" : "", "family" : "Gladding", "given" : "Patrick", "non-dropping-particle" : "", "parse-names" : false, "suffix" : "" } ], "container-title" : "PharmacoEconomics", "id" : "ITEM-1", "issue" : "11", "issued" : { "date-parts" : [ [ "2012" ] ] }, "page" : "1067-1084", "title" : "The cost effectiveness of genetic testing for CYP2C19 Variants to Guide Thienopyridine Treatment in Patients with Acute Coronary Syndromes: A New Zealand Evaluation", "type" : "article-journal", "volume" : "30" }, "uris" : [ "http://www.mendeley.com/documents/?uuid=4076d3cd-0fd6-43ab-93f9-f91fd2070a57" ] } ], "mendeley" : { "formattedCitation" : "&lt;sup&gt;17&lt;/sup&gt;", "plainTextFormattedCitation" : "17", "previouslyFormattedCitation" : "&lt;sup&gt;17&lt;/sup&gt;" }, "properties" : { "noteIndex" : 0 }, "schema" : "https://github.com/citation-style-language/schema/raw/master/csl-citation.json" }</w:instrText>
      </w:r>
      <w:r w:rsidR="0033232C">
        <w:fldChar w:fldCharType="separate"/>
      </w:r>
      <w:r w:rsidR="0033232C" w:rsidRPr="0033232C">
        <w:rPr>
          <w:noProof/>
          <w:vertAlign w:val="superscript"/>
        </w:rPr>
        <w:t>17</w:t>
      </w:r>
      <w:r w:rsidR="0033232C">
        <w:fldChar w:fldCharType="end"/>
      </w:r>
    </w:p>
    <w:p w:rsidR="009A50CD" w:rsidRPr="00C45A15" w:rsidRDefault="00F27EF7" w:rsidP="00D4086F">
      <w:pPr>
        <w:pStyle w:val="Heading2"/>
        <w:numPr>
          <w:ilvl w:val="0"/>
          <w:numId w:val="0"/>
        </w:numPr>
        <w:jc w:val="both"/>
        <w:rPr>
          <w:i w:val="0"/>
        </w:rPr>
      </w:pPr>
      <w:r w:rsidRPr="00C45A15">
        <w:rPr>
          <w:i w:val="0"/>
        </w:rPr>
        <w:lastRenderedPageBreak/>
        <w:t>D</w:t>
      </w:r>
      <w:r w:rsidR="00057450" w:rsidRPr="00C45A15">
        <w:rPr>
          <w:i w:val="0"/>
        </w:rPr>
        <w:t>ISCUSSION</w:t>
      </w:r>
      <w:r w:rsidRPr="00C45A15">
        <w:rPr>
          <w:i w:val="0"/>
        </w:rPr>
        <w:t xml:space="preserve"> </w:t>
      </w:r>
    </w:p>
    <w:p w:rsidR="007D0B50" w:rsidRDefault="001A09EE" w:rsidP="00057450">
      <w:pPr>
        <w:pStyle w:val="LRiGnormal"/>
        <w:spacing w:line="480" w:lineRule="auto"/>
      </w:pPr>
      <w:r>
        <w:t xml:space="preserve">Our review </w:t>
      </w:r>
      <w:r w:rsidR="00AC7681">
        <w:t>to explore the impact of differing treatment responses on disparities in health</w:t>
      </w:r>
      <w:r w:rsidR="001208ED">
        <w:t xml:space="preserve"> </w:t>
      </w:r>
      <w:r w:rsidR="00AC7681">
        <w:t>care has highlighted</w:t>
      </w:r>
      <w:r>
        <w:t xml:space="preserve"> a paucity of evidence</w:t>
      </w:r>
      <w:r w:rsidR="0097173E">
        <w:t xml:space="preserve"> with only 5 studies identified</w:t>
      </w:r>
      <w:r w:rsidR="00990F1D">
        <w:t xml:space="preserve">. </w:t>
      </w:r>
      <w:r w:rsidR="00384D74">
        <w:rPr>
          <w:lang w:eastAsia="en-GB"/>
        </w:rPr>
        <w:t xml:space="preserve">The data that </w:t>
      </w:r>
      <w:r w:rsidR="00BB2E74">
        <w:rPr>
          <w:lang w:eastAsia="en-GB"/>
        </w:rPr>
        <w:t xml:space="preserve">were </w:t>
      </w:r>
      <w:r w:rsidR="00384D74">
        <w:rPr>
          <w:lang w:eastAsia="en-GB"/>
        </w:rPr>
        <w:t xml:space="preserve">available </w:t>
      </w:r>
      <w:r w:rsidR="00AC7681">
        <w:t xml:space="preserve">centered </w:t>
      </w:r>
      <w:r w:rsidR="00552725">
        <w:t>on</w:t>
      </w:r>
      <w:r w:rsidR="00384D74">
        <w:t xml:space="preserve"> </w:t>
      </w:r>
      <w:r w:rsidR="00AC7681">
        <w:t xml:space="preserve">differing pharmacogenomic </w:t>
      </w:r>
      <w:r w:rsidR="00B839F2">
        <w:t>treatment response</w:t>
      </w:r>
      <w:r w:rsidR="00AC7681">
        <w:t xml:space="preserve">s </w:t>
      </w:r>
      <w:r w:rsidR="00384D74">
        <w:t xml:space="preserve">in different </w:t>
      </w:r>
      <w:r w:rsidR="00B839F2">
        <w:t xml:space="preserve">ethnic </w:t>
      </w:r>
      <w:r w:rsidR="00384D74">
        <w:t xml:space="preserve">groups and how this may lead to </w:t>
      </w:r>
      <w:r w:rsidR="0040495C">
        <w:t xml:space="preserve">disparities in </w:t>
      </w:r>
      <w:r w:rsidR="001208ED">
        <w:t xml:space="preserve">health </w:t>
      </w:r>
      <w:r w:rsidR="00033EB3">
        <w:t>care. The case-studies of genot</w:t>
      </w:r>
      <w:r w:rsidR="00033EB3" w:rsidRPr="00125CAA">
        <w:t>y</w:t>
      </w:r>
      <w:r w:rsidR="00033EB3">
        <w:t>pe-</w:t>
      </w:r>
      <w:r w:rsidR="00033EB3" w:rsidRPr="00125CAA">
        <w:t xml:space="preserve">guided </w:t>
      </w:r>
      <w:r w:rsidR="00033EB3">
        <w:t xml:space="preserve">dosing of </w:t>
      </w:r>
      <w:r w:rsidR="00033EB3" w:rsidRPr="00125CAA">
        <w:t>warfarin</w:t>
      </w:r>
      <w:r w:rsidR="00033EB3">
        <w:t xml:space="preserve"> and genotype guided treatment of clopidogrel r</w:t>
      </w:r>
      <w:r w:rsidR="007822BA">
        <w:t>evealed</w:t>
      </w:r>
      <w:r w:rsidR="00033EB3">
        <w:t xml:space="preserve"> several barriers which need to be overcome in order to </w:t>
      </w:r>
      <w:r w:rsidR="00837E46">
        <w:t>fully realize potential treatment benefits</w:t>
      </w:r>
      <w:r w:rsidR="0084020B">
        <w:t>.</w:t>
      </w:r>
      <w:r w:rsidR="00B545BC">
        <w:fldChar w:fldCharType="begin" w:fldLock="1"/>
      </w:r>
      <w:r w:rsidR="006D5E0B">
        <w:instrText>ADDIN CSL_CITATION { "citationItems" : [ { "id" : "ITEM-1", "itemData" : { "DOI" : "10.1056/NEJMsa1507092", "ISSN" : "0028-4793", "author" : [ { "dropping-particle" : "", "family" : "Manrai", "given" : "Arjun K.", "non-dropping-particle" : "", "parse-names" : false, "suffix" : "" }, { "dropping-particle" : "", "family" : "Funke", "given" : "Birgit H.", "non-dropping-particle" : "", "parse-names" : false, "suffix" : "" }, { "dropping-particle" : "", "family" : "Rehm", "given" : "Heidi L.", "non-dropping-particle" : "", "parse-names" : false, "suffix" : "" }, { "dropping-particle" : "", "family" : "Olesen", "given" : "Morten S.", "non-dropping-particle" : "", "parse-names" : false, "suffix" : "" }, { "dropping-particle" : "", "family" : "Maron", "given" : "Bradley A.", "non-dropping-particle" : "", "parse-names" : false, "suffix" : "" }, { "dropping-particle" : "", "family" : "Szolovits", "given" : "Peter", "non-dropping-particle" : "", "parse-names" : false, "suffix" : "" }, { "dropping-particle" : "", "family" : "Margulies", "given" : "David M.", "non-dropping-particle" : "", "parse-names" : false, "suffix" : "" }, { "dropping-particle" : "", "family" : "Loscalzo", "given" : "Joseph", "non-dropping-particle" : "", "parse-names" : false, "suffix" : "" }, { "dropping-particle" : "", "family" : "Kohane", "given" : "Isaac S.", "non-dropping-particle" : "", "parse-names" : false, "suffix" : "" } ], "container-title" : "New England Journal of Medicine", "id" : "ITEM-1", "issue" : "7", "issued" : { "date-parts" : [ [ "2016" ] ] }, "page" : "655-665", "title" : "Genetic Misdiagnoses and the Potential for Health Disparities", "type" : "article-journal", "volume" : "375" }, "uris" : [ "http://www.mendeley.com/documents/?uuid=d241a666-4678-4fbb-9da8-de061e13d3e2" ] } ], "mendeley" : { "formattedCitation" : "&lt;sup&gt;18&lt;/sup&gt;", "plainTextFormattedCitation" : "18", "previouslyFormattedCitation" : "&lt;sup&gt;18&lt;/sup&gt;" }, "properties" : { "noteIndex" : 0 }, "schema" : "https://github.com/citation-style-language/schema/raw/master/csl-citation.json" }</w:instrText>
      </w:r>
      <w:r w:rsidR="00B545BC">
        <w:fldChar w:fldCharType="separate"/>
      </w:r>
      <w:r w:rsidR="006D5E0B" w:rsidRPr="006D5E0B">
        <w:rPr>
          <w:noProof/>
          <w:vertAlign w:val="superscript"/>
        </w:rPr>
        <w:t>18</w:t>
      </w:r>
      <w:r w:rsidR="00B545BC">
        <w:fldChar w:fldCharType="end"/>
      </w:r>
      <w:r w:rsidR="001208ED">
        <w:t xml:space="preserve">  </w:t>
      </w:r>
      <w:r w:rsidR="00384D74">
        <w:t xml:space="preserve">Most striking from our analysis is that no papers were identified which determined whether there were health disparities in the same ethnic group within the same country. Inequalities in health are determined by many different factors including socioeconomic, and more work will be needed in this area as precision medicine approaches become </w:t>
      </w:r>
      <w:r w:rsidR="0089444F">
        <w:t>implemented into practice.</w:t>
      </w:r>
    </w:p>
    <w:p w:rsidR="001C0F1A" w:rsidRDefault="001C0F1A" w:rsidP="00057450">
      <w:pPr>
        <w:pStyle w:val="LRiGnormal"/>
        <w:spacing w:line="480" w:lineRule="auto"/>
      </w:pPr>
      <w:r>
        <w:rPr>
          <w:lang w:eastAsia="en-GB"/>
        </w:rPr>
        <w:t xml:space="preserve">Research on the impact of pharmacogenomics on disparities in health care may have been hindered by the relative lack of implementation into clinical practice due to associated lack of cost effectiveness evidence. </w:t>
      </w:r>
      <w:r>
        <w:t>A</w:t>
      </w:r>
      <w:r>
        <w:rPr>
          <w:lang w:eastAsia="en-GB"/>
        </w:rPr>
        <w:t xml:space="preserve"> systematic review found robust evidence of cost-effectiveness for pharmacogenomic testing for prevention of adverse drug reactions only for a limited number of drugs (</w:t>
      </w:r>
      <w:r w:rsidRPr="00B621F1">
        <w:rPr>
          <w:lang w:eastAsia="en-GB"/>
        </w:rPr>
        <w:t>abacavir, allopurinol, carbamazepine, clopidogrel and irinotecan</w:t>
      </w:r>
      <w:r>
        <w:rPr>
          <w:lang w:eastAsia="en-GB"/>
        </w:rPr>
        <w:t xml:space="preserve">) even though </w:t>
      </w:r>
      <w:r>
        <w:t>over</w:t>
      </w:r>
      <w:r w:rsidRPr="00B203F6">
        <w:rPr>
          <w:lang w:eastAsia="en-GB"/>
        </w:rPr>
        <w:t xml:space="preserve"> 20</w:t>
      </w:r>
      <w:r>
        <w:rPr>
          <w:lang w:eastAsia="en-GB"/>
        </w:rPr>
        <w:t>0</w:t>
      </w:r>
      <w:r w:rsidRPr="00B203F6">
        <w:rPr>
          <w:lang w:eastAsia="en-GB"/>
        </w:rPr>
        <w:t xml:space="preserve"> </w:t>
      </w:r>
      <w:r>
        <w:rPr>
          <w:lang w:eastAsia="en-GB"/>
        </w:rPr>
        <w:t>drugs were identified with labels containing pharmacogenetic information.</w:t>
      </w:r>
      <w:r>
        <w:rPr>
          <w:lang w:eastAsia="en-GB"/>
        </w:rPr>
        <w:fldChar w:fldCharType="begin" w:fldLock="1"/>
      </w:r>
      <w:r>
        <w:rPr>
          <w:lang w:eastAsia="en-GB"/>
        </w:rPr>
        <w:instrText>ADDIN CSL_CITATION { "citationItems" : [ { "id" : "ITEM-1", "itemData" : { "DOI" : "10.1007/s40273-016-0397-9", "ISBN" : "4201401367", "ISSN" : "1170-7690", "PMID" : "26984520", "author" : [ { "dropping-particle" : "", "family" : "Plumpton", "given" : "Catrin O.", "non-dropping-particle" : "", "parse-names" : false, "suffix" : "" }, { "dropping-particle" : "", "family" : "Roberts", "given" : "Daniel", "non-dropping-particle" : "", "parse-names" : false, "suffix" : "" }, { "dropping-particle" : "", "family" : "Pirmohamed", "given" : "Munir", "non-dropping-particle" : "", "parse-names" : false, "suffix" : "" }, { "dropping-particle" : "", "family" : "Hughes", "given" : "Dyfrig A.", "non-dropping-particle" : "", "parse-names" : false, "suffix" : "" } ], "container-title" : "PharmacoEconomics", "id" : "ITEM-1", "issued" : { "date-parts" : [ [ "2016" ] ] }, "publisher" : "Springer International Publishing", "title" : "A Systematic Review of Economic Evaluations of Pharmacogenetic Testing for Prevention of Adverse Drug Reactions", "type" : "article-journal" }, "uris" : [ "http://www.mendeley.com/documents/?uuid=fd1368c5-576f-44a0-bc6b-27f783bb109c" ] } ], "mendeley" : { "formattedCitation" : "&lt;sup&gt;20&lt;/sup&gt;", "plainTextFormattedCitation" : "20", "previouslyFormattedCitation" : "&lt;sup&gt;20&lt;/sup&gt;" }, "properties" : { "noteIndex" : 0 }, "schema" : "https://github.com/citation-style-language/schema/raw/master/csl-citation.json" }</w:instrText>
      </w:r>
      <w:r>
        <w:rPr>
          <w:lang w:eastAsia="en-GB"/>
        </w:rPr>
        <w:fldChar w:fldCharType="separate"/>
      </w:r>
      <w:r w:rsidRPr="00CB755C">
        <w:rPr>
          <w:noProof/>
          <w:vertAlign w:val="superscript"/>
          <w:lang w:eastAsia="en-GB"/>
        </w:rPr>
        <w:t>20</w:t>
      </w:r>
      <w:r>
        <w:rPr>
          <w:lang w:eastAsia="en-GB"/>
        </w:rPr>
        <w:fldChar w:fldCharType="end"/>
      </w:r>
      <w:r>
        <w:rPr>
          <w:lang w:eastAsia="en-GB"/>
        </w:rPr>
        <w:t xml:space="preserve"> </w:t>
      </w:r>
    </w:p>
    <w:p w:rsidR="00333E12" w:rsidRDefault="005B126C" w:rsidP="00057450">
      <w:pPr>
        <w:pStyle w:val="LRiGnormal"/>
        <w:spacing w:line="480" w:lineRule="auto"/>
      </w:pPr>
      <w:r>
        <w:t>W</w:t>
      </w:r>
      <w:r w:rsidR="00837E46">
        <w:t xml:space="preserve">arfarin </w:t>
      </w:r>
      <w:r w:rsidR="007D0B50" w:rsidRPr="0040495C">
        <w:t xml:space="preserve">has a narrow therapeutic index and </w:t>
      </w:r>
      <w:r>
        <w:t>thus getting the dose correct is crucial to prevent either ex</w:t>
      </w:r>
      <w:r w:rsidR="007D0B50" w:rsidRPr="0040495C">
        <w:t>cessive or insufficient anticoagulation</w:t>
      </w:r>
      <w:r w:rsidR="00200EB2">
        <w:t>.</w:t>
      </w:r>
      <w:r w:rsidR="00200EB2">
        <w:fldChar w:fldCharType="begin" w:fldLock="1"/>
      </w:r>
      <w:r w:rsidR="00CB755C">
        <w:instrText>ADDIN CSL_CITATION { "citationItems" : [ { "id" : "ITEM-1", "itemData" : { "DOI" : "10.1056/NEJMoa1310669", "author" : [ { "dropping-particle" : "", "family" : "Anderson", "given" : "Jeffrey L", "non-dropping-particle" : "", "parse-names" : false, "suffix" : "" }, { "dropping-particle" : "", "family" : "Gage", "given" : "Brian F", "non-dropping-particle" : "", "parse-names" : false, "suffix" : "" }, { "dropping-particle" : "", "family" : "Rosenberg", "given" : "Yves D", "non-dropping-particle" : "", "parse-names" : false, "suffix" : "" }, { "dropping-particle" : "", "family" : "Eby", "given" : "Charles S", "non-dropping-particle" : "", "parse-names" : false, "suffix" : "" }, { "dropping-particle" : "", "family" : "Horenstein", "given" : "Richard B", "non-dropping-particle" : "", "parse-names" : false, "suffix" : "" }, { "dropping-particle" : "", "family" : "Limdi", "given" : "Nita A", "non-dropping-particle" : "", "parse-names" : false, "suffix" : "" }, { "dropping-particle" : "", "family" : "Pharm", "given" : "D", "non-dropping-particle" : "", "parse-names" : false, "suffix" : "" }, { "dropping-particle" : "", "family" : "Ph", "given" : "D", "non-dropping-particle" : "", "parse-names" : false, "suffix" : "" }, { "dropping-particle" : "", "family" : "Iii", "given" : "James A S Muldowney", "non-dropping-particle" : "", "parse-names" : false, "suffix" : "" }, { "dropping-particle" : "", "family" : "Goldhaber", "given" : "Samuel Z", "non-dropping-particle" : "", "parse-names" : false, "suffix" : "" }, { "dropping-particle" : "", "family" : "Caldwell", "given" : "Michael D", "non-dropping-particle" : "", "parse-names" : false, "suffix" : "" }, { "dropping-particle" : "", "family" : "Ph", "given" : "D", "non-dropping-particle" : "", "parse-names" : false, "suffix" : "" }, { "dropping-particle" : "", "family" : "Califf", "given" : "Robert M", "non-dropping-particle" : "", "parse-names" : false, "suffix" : "" } ], "container-title" : "New England Journal of Medicine", "id" : "ITEM-1", "issue" : "24", "issued" : { "date-parts" : [ [ "2013" ] ] }, "page" : "2283-2293", "title" : "A Pharmacogenetic versus a Clinical Algorithm for Warfarin Dosin", "type" : "article-journal", "volume" : "369" }, "uris" : [ "http://www.mendeley.com/documents/?uuid=b55251fb-826e-4523-a0db-a01958902006" ] }, { "id" : "ITEM-2", "itemData" : { "DOI" : "10.1056/NEJMoa1310669", "author" : [ { "dropping-particle" : "", "family" : "Kimmel", "given" : "Stephen E.", "non-dropping-particle" : "", "parse-names" : false, "suffix" : "" }, { "dropping-particle" : "", "family" : "French", "given" : "Benjamin F.", "non-dropping-particle" : "", "parse-names" : false, "suffix" : "" }, { "dropping-particle" : "", "family" : "Kasner", "given" : "Scott E.", "non-dropping-particle" : "", "parse-names" : false, "suffix" : "" }, { "dropping-particle" : "", "family" : "Johnson", "given" : "Julie A.", "non-dropping-particle" : "", "parse-names" : false, "suffix" : "" }, { "dropping-particle" : "", "family" : "Anderson", "given" : "Jeffrey L.", "non-dropping-particle" : "", "parse-names" : false, "suffix" : "" }, { "dropping-particle" : "", "family" : "Gage", "given" : "Brian F.", "non-dropping-particle" : "", "parse-names" : false, "suffix" : "" }, { "dropping-particle" : "", "family" : "Rosenberg", "given" : "Yves D.", "non-dropping-particle" : "", "parse-names" : false, "suffix" : "" }, { "dropping-particle" : "", "family" : "Eby", "given" : "Charles S.", "non-dropping-particle" : "", "parse-names" : false, "suffix" : "" }, { "dropping-particle" : "", "family" : "Madigan", "given" : "Rosemary A.", "non-dropping-particle" : "", "parse-names" : false, "suffix" : "" }, { "dropping-particle" : "", "family" : "McBane", "given" : "Robert B.", "non-dropping-particle" : "", "parse-names" : false, "suffix" : "" }, { "dropping-particle" : "", "family" : "Abdel-Rahman", "given" : "Sherif Z.", "non-dropping-particle" : "", "parse-names" : false, "suffix" : "" }, { "dropping-particle" : "", "family" : "Stevens", "given" : "Scott M.", "non-dropping-particle" : "", "parse-names" : false, "suffix" : "" }, { "dropping-particle" : "", "family" : "Yale", "given" : "Steven", "non-dropping-particle" : "", "parse-names" : false, "suffix" : "" }, { "dropping-particle" : "", "family" : "Mohler III", "given" : "Emile R.", "non-dropping-particle" : "", "parse-names" : false, "suffix" : "" }, { "dropping-particle" : "", "family" : "Fang", "given" : "Margret C.", "non-dropping-particle" : "", "parse-names" : false, "suffix" : "" }, { "dropping-particle" : "", "family" : "Vinay", "given" : "Shah", "non-dropping-particle" : "", "parse-names" : false, "suffix" : "" }, { "dropping-particle" : "", "family" : "Horenstein", "given" : "Richard B.", "non-dropping-particle" : "", "parse-names" : false, "suffix" : "" }, { "dropping-particle" : "", "family" : "Limdi", "given" : "Nita A.", "non-dropping-particle" : "", "parse-names" : false, "suffix" : "" }, { "dropping-particle" : "", "family" : "Muldowney III", "given" : "James AS.", "non-dropping-particle" : "", "parse-names" : false, "suffix" : "" }, { "dropping-particle" : "", "family" : "Gujral", "given" : "Jaspal", "non-dropping-particle" : "", "parse-names" : false, "suffix" : "" }, { "dropping-particle" : "", "family" : "Delafontaine", "given" : "Patrice", "non-dropping-particle" : "", "parse-names" : false, "suffix" : "" }, { "dropping-particle" : "", "family" : "Desnick", "given" : "Robert J.", "non-dropping-particle" : "", "parse-names" : false, "suffix" : "" }, { "dropping-particle" : "", "family" : "Ortel", "given" : "Thomas L.", "non-dropping-particle" : "", "parse-names" : false, "suffix" : "" }, { "dropping-particle" : "", "family" : "Billet", "given" : "Henny H.", "non-dropping-particle" : "", "parse-names" : false, "suffix" : "" }, { "dropping-particle" : "", "family" : "Pendleton", "given" : "Robert C.", "non-dropping-particle" : "", "parse-names" : false, "suffix" : "" }, { "dropping-particle" : "", "family" : "Geller", "given" : "Nancy L.", "non-dropping-particle" : "", "parse-names" : false, "suffix" : "" }, { "dropping-particle" : "", "family" : "Halperin", "given" : "Jonathan L.", "non-dropping-particle" : "", "parse-names" : false, "suffix" : "" }, { "dropping-particle" : "", "family" : "Goldhaber", "given" : "Samuel Z.", "non-dropping-particle" : "", "parse-names" : false, "suffix" : "" }, { "dropping-particle" : "", "family" : "Caldwell", "given" : "Michael D.", "non-dropping-particle" : "", "parse-names" : false, "suffix" : "" }, { "dropping-particle" : "", "family" : "Califf", "given" : "Robert M.", "non-dropping-particle" : "", "parse-names" : false, "suffix" : "" }, { "dropping-particle" : "", "family" : "Ellenberg", "given" : "Jonas H.", "non-dropping-particle" : "", "parse-names" : false, "suffix" : "" } ], "container-title" : "New England Journal of Medicine", "id" : "ITEM-2", "issue" : "24", "issued" : { "date-parts" : [ [ "2013" ] ] }, "page" : "2283-2293", "title" : "A pharmacogenetic versus a clinical algorithm for warfarin dosing", "type" : "article-journal", "volume" : "369" }, "uris" : [ "http://www.mendeley.com/documents/?uuid=90dd3c97-3e29-4395-8384-cbddf4d9b881" ] } ], "mendeley" : { "formattedCitation" : "&lt;sup&gt;21,22&lt;/sup&gt;", "plainTextFormattedCitation" : "21,22", "previouslyFormattedCitation" : "&lt;sup&gt;21,22&lt;/sup&gt;" }, "properties" : { "noteIndex" : 0 }, "schema" : "https://github.com/citation-style-language/schema/raw/master/csl-citation.json" }</w:instrText>
      </w:r>
      <w:r w:rsidR="00200EB2">
        <w:fldChar w:fldCharType="separate"/>
      </w:r>
      <w:r w:rsidR="00CB755C" w:rsidRPr="00CB755C">
        <w:rPr>
          <w:noProof/>
          <w:vertAlign w:val="superscript"/>
        </w:rPr>
        <w:t>21,22</w:t>
      </w:r>
      <w:r w:rsidR="00200EB2">
        <w:fldChar w:fldCharType="end"/>
      </w:r>
      <w:r w:rsidR="007D0B50" w:rsidRPr="0040495C">
        <w:t xml:space="preserve"> </w:t>
      </w:r>
      <w:r w:rsidR="003D1229">
        <w:t>I</w:t>
      </w:r>
      <w:r w:rsidR="002C2A29">
        <w:t xml:space="preserve">t </w:t>
      </w:r>
      <w:r w:rsidR="00C24FF0">
        <w:t>was</w:t>
      </w:r>
      <w:r w:rsidR="002C2A29">
        <w:t xml:space="preserve"> estimated </w:t>
      </w:r>
      <w:r w:rsidR="00C24FF0">
        <w:t>in the US that</w:t>
      </w:r>
      <w:r w:rsidR="002C2A29">
        <w:t xml:space="preserve"> hospital admissions related to warfarin complications were estimated to cost </w:t>
      </w:r>
      <w:r w:rsidR="003D1229">
        <w:t xml:space="preserve">on average </w:t>
      </w:r>
      <w:r w:rsidR="002C2A29">
        <w:t>US$10</w:t>
      </w:r>
      <w:r w:rsidR="00F40CE5">
        <w:t xml:space="preserve"> </w:t>
      </w:r>
      <w:r w:rsidR="002C2A29">
        <w:t>819</w:t>
      </w:r>
      <w:r w:rsidR="003D1229">
        <w:t xml:space="preserve"> per patient</w:t>
      </w:r>
      <w:r w:rsidR="00C24FF0">
        <w:t xml:space="preserve"> and that the cost of drug-related morbidity and mortality exceeded US$177 billion</w:t>
      </w:r>
      <w:r w:rsidR="0084020B">
        <w:t>.</w:t>
      </w:r>
      <w:r w:rsidR="00B545BC">
        <w:fldChar w:fldCharType="begin" w:fldLock="1"/>
      </w:r>
      <w:r w:rsidR="00CB755C">
        <w:instrText>ADDIN CSL_CITATION { "citationItems" : [ { "id" : "ITEM-1", "itemData" : { "DOI" : "10.1258/jrsm.2012.120193", "ISSN" : "1758-1095", "PMID" : "23401634", "author" : [ { "dropping-particle" : "", "family" : "Finlayson", "given" : "a E", "non-dropping-particle" : "", "parse-names" : false, "suffix" : "" }, { "dropping-particle" : "", "family" : "Godman", "given" : "B", "non-dropping-particle" : "", "parse-names" : false, "suffix" : "" }, { "dropping-particle" : "", "family" : "Paterson", "given" : "K", "non-dropping-particle" : "", "parse-names" : false, "suffix" : "" }, { "dropping-particle" : "", "family" : "Aston", "given" : "E", "non-dropping-particle" : "", "parse-names" : false, "suffix" : "" }, { "dropping-particle" : "", "family" : "Haycox", "given" : "a", "non-dropping-particle" : "", "parse-names" : false, "suffix" : "" }, { "dropping-particle" : "", "family" : "Gustafsson", "given" : "L L", "non-dropping-particle" : "", "parse-names" : false, "suffix" : "" }, { "dropping-particle" : "", "family" : "Ali", "given" : "R", "non-dropping-particle" : "", "parse-names" : false, "suffix" : "" } ], "container-title" : "Journal of the Royal Society of Medicine", "id" : "ITEM-1", "issue" : "2", "issued" : { "date-parts" : [ [ "2013" ] ] }, "page" : "41-4", "title" : "Personalizing healthcare: from genetics through payment to improving care?", "type" : "article-journal", "volume" : "106" }, "uris" : [ "http://www.mendeley.com/documents/?uuid=c82b2281-bdb3-4503-bd8c-8f1067f898b7" ] } ], "mendeley" : { "formattedCitation" : "&lt;sup&gt;23&lt;/sup&gt;", "plainTextFormattedCitation" : "23", "previouslyFormattedCitation" : "&lt;sup&gt;23&lt;/sup&gt;" }, "properties" : { "noteIndex" : 0 }, "schema" : "https://github.com/citation-style-language/schema/raw/master/csl-citation.json" }</w:instrText>
      </w:r>
      <w:r w:rsidR="00B545BC">
        <w:fldChar w:fldCharType="separate"/>
      </w:r>
      <w:r w:rsidR="00CB755C" w:rsidRPr="00CB755C">
        <w:rPr>
          <w:noProof/>
          <w:vertAlign w:val="superscript"/>
        </w:rPr>
        <w:t>23</w:t>
      </w:r>
      <w:r w:rsidR="00B545BC">
        <w:fldChar w:fldCharType="end"/>
      </w:r>
      <w:r w:rsidR="002C2A29">
        <w:t xml:space="preserve"> </w:t>
      </w:r>
      <w:r>
        <w:t>Re</w:t>
      </w:r>
      <w:r w:rsidR="00BE4010">
        <w:t>cently the results of two large RCTs which evaluated genotype-guided dosing of warfarin were published, one which was conducted in Europe (EU-PACT)</w:t>
      </w:r>
      <w:r w:rsidR="00B545BC">
        <w:fldChar w:fldCharType="begin" w:fldLock="1"/>
      </w:r>
      <w:r w:rsidR="00CB755C">
        <w:instrText>ADDIN CSL_CITATION { "citationItems" : [ { "id" : "ITEM-1", "itemData" : { "DOI" : "10.1056/NEJMoa1310669", "author" : [ { "dropping-particle" : "", "family" : "Anderson", "given" : "Jeffrey L", "non-dropping-particle" : "", "parse-names" : false, "suffix" : "" }, { "dropping-particle" : "", "family" : "Gage", "given" : "Brian F", "non-dropping-particle" : "", "parse-names" : false, "suffix" : "" }, { "dropping-particle" : "", "family" : "Rosenberg", "given" : "Yves D", "non-dropping-particle" : "", "parse-names" : false, "suffix" : "" }, { "dropping-particle" : "", "family" : "Eby", "given" : "Charles S", "non-dropping-particle" : "", "parse-names" : false, "suffix" : "" }, { "dropping-particle" : "", "family" : "Horenstein", "given" : "Richard B", "non-dropping-particle" : "", "parse-names" : false, "suffix" : "" }, { "dropping-particle" : "", "family" : "Limdi", "given" : "Nita A", "non-dropping-particle" : "", "parse-names" : false, "suffix" : "" }, { "dropping-particle" : "", "family" : "Pharm", "given" : "D", "non-dropping-particle" : "", "parse-names" : false, "suffix" : "" }, { "dropping-particle" : "", "family" : "Ph", "given" : "D", "non-dropping-particle" : "", "parse-names" : false, "suffix" : "" }, { "dropping-particle" : "", "family" : "Iii", "given" : "James A S Muldowney", "non-dropping-particle" : "", "parse-names" : false, "suffix" : "" }, { "dropping-particle" : "", "family" : "Goldhaber", "given" : "Samuel Z", "non-dropping-particle" : "", "parse-names" : false, "suffix" : "" }, { "dropping-particle" : "", "family" : "Caldwell", "given" : "Michael D", "non-dropping-particle" : "", "parse-names" : false, "suffix" : "" }, { "dropping-particle" : "", "family" : "Ph", "given" : "D", "non-dropping-particle" : "", "parse-names" : false, "suffix" : "" }, { "dropping-particle" : "", "family" : "Califf", "given" : "Robert M", "non-dropping-particle" : "", "parse-names" : false, "suffix" : "" } ], "container-title" : "New England Journal of Medicine", "id" : "ITEM-1", "issue" : "24", "issued" : { "date-parts" : [ [ "2013" ] ] }, "page" : "2283-2293", "title" : "A Pharmacogenetic versus a Clinical Algorithm for Warfarin Dosin", "type" : "article-journal", "volume" : "369" }, "uris" : [ "http://www.mendeley.com/documents/?uuid=b55251fb-826e-4523-a0db-a01958902006" ] } ], "mendeley" : { "formattedCitation" : "&lt;sup&gt;21&lt;/sup&gt;", "plainTextFormattedCitation" : "21", "previouslyFormattedCitation" : "&lt;sup&gt;21&lt;/sup&gt;" }, "properties" : { "noteIndex" : 0 }, "schema" : "https://github.com/citation-style-language/schema/raw/master/csl-citation.json" }</w:instrText>
      </w:r>
      <w:r w:rsidR="00B545BC">
        <w:fldChar w:fldCharType="separate"/>
      </w:r>
      <w:r w:rsidR="00CB755C" w:rsidRPr="00CB755C">
        <w:rPr>
          <w:noProof/>
          <w:vertAlign w:val="superscript"/>
        </w:rPr>
        <w:t>21</w:t>
      </w:r>
      <w:r w:rsidR="00B545BC">
        <w:fldChar w:fldCharType="end"/>
      </w:r>
      <w:r w:rsidR="00BE4010">
        <w:t xml:space="preserve"> and the other in the USA (COAG)</w:t>
      </w:r>
      <w:r w:rsidR="0084020B">
        <w:t>.</w:t>
      </w:r>
      <w:r w:rsidR="00B545BC">
        <w:fldChar w:fldCharType="begin" w:fldLock="1"/>
      </w:r>
      <w:r w:rsidR="00CB755C">
        <w:instrText>ADDIN CSL_CITATION { "citationItems" : [ { "id" : "ITEM-1", "itemData" : { "DOI" : "10.1056/NEJMoa1310669", "author" : [ { "dropping-particle" : "", "family" : "Kimmel", "given" : "Stephen E.", "non-dropping-particle" : "", "parse-names" : false, "suffix" : "" }, { "dropping-particle" : "", "family" : "French", "given" : "Benjamin F.", "non-dropping-particle" : "", "parse-names" : false, "suffix" : "" }, { "dropping-particle" : "", "family" : "Kasner", "given" : "Scott E.", "non-dropping-particle" : "", "parse-names" : false, "suffix" : "" }, { "dropping-particle" : "", "family" : "Johnson", "given" : "Julie A.", "non-dropping-particle" : "", "parse-names" : false, "suffix" : "" }, { "dropping-particle" : "", "family" : "Anderson", "given" : "Jeffrey L.", "non-dropping-particle" : "", "parse-names" : false, "suffix" : "" }, { "dropping-particle" : "", "family" : "Gage", "given" : "Brian F.", "non-dropping-particle" : "", "parse-names" : false, "suffix" : "" }, { "dropping-particle" : "", "family" : "Rosenberg", "given" : "Yves D.", "non-dropping-particle" : "", "parse-names" : false, "suffix" : "" }, { "dropping-particle" : "", "family" : "Eby", "given" : "Charles S.", "non-dropping-particle" : "", "parse-names" : false, "suffix" : "" }, { "dropping-particle" : "", "family" : "Madigan", "given" : "Rosemary A.", "non-dropping-particle" : "", "parse-names" : false, "suffix" : "" }, { "dropping-particle" : "", "family" : "McBane", "given" : "Robert B.", "non-dropping-particle" : "", "parse-names" : false, "suffix" : "" }, { "dropping-particle" : "", "family" : "Abdel-Rahman", "given" : "Sherif Z.", "non-dropping-particle" : "", "parse-names" : false, "suffix" : "" }, { "dropping-particle" : "", "family" : "Stevens", "given" : "Scott M.", "non-dropping-particle" : "", "parse-names" : false, "suffix" : "" }, { "dropping-particle" : "", "family" : "Yale", "given" : "Steven", "non-dropping-particle" : "", "parse-names" : false, "suffix" : "" }, { "dropping-particle" : "", "family" : "Mohler III", "given" : "Emile R.", "non-dropping-particle" : "", "parse-names" : false, "suffix" : "" }, { "dropping-particle" : "", "family" : "Fang", "given" : "Margret C.", "non-dropping-particle" : "", "parse-names" : false, "suffix" : "" }, { "dropping-particle" : "", "family" : "Vinay", "given" : "Shah", "non-dropping-particle" : "", "parse-names" : false, "suffix" : "" }, { "dropping-particle" : "", "family" : "Horenstein", "given" : "Richard B.", "non-dropping-particle" : "", "parse-names" : false, "suffix" : "" }, { "dropping-particle" : "", "family" : "Limdi", "given" : "Nita A.", "non-dropping-particle" : "", "parse-names" : false, "suffix" : "" }, { "dropping-particle" : "", "family" : "Muldowney III", "given" : "James AS.", "non-dropping-particle" : "", "parse-names" : false, "suffix" : "" }, { "dropping-particle" : "", "family" : "Gujral", "given" : "Jaspal", "non-dropping-particle" : "", "parse-names" : false, "suffix" : "" }, { "dropping-particle" : "", "family" : "Delafontaine", "given" : "Patrice", "non-dropping-particle" : "", "parse-names" : false, "suffix" : "" }, { "dropping-particle" : "", "family" : "Desnick", "given" : "Robert J.", "non-dropping-particle" : "", "parse-names" : false, "suffix" : "" }, { "dropping-particle" : "", "family" : "Ortel", "given" : "Thomas L.", "non-dropping-particle" : "", "parse-names" : false, "suffix" : "" }, { "dropping-particle" : "", "family" : "Billet", "given" : "Henny H.", "non-dropping-particle" : "", "parse-names" : false, "suffix" : "" }, { "dropping-particle" : "", "family" : "Pendleton", "given" : "Robert C.", "non-dropping-particle" : "", "parse-names" : false, "suffix" : "" }, { "dropping-particle" : "", "family" : "Geller", "given" : "Nancy L.", "non-dropping-particle" : "", "parse-names" : false, "suffix" : "" }, { "dropping-particle" : "", "family" : "Halperin", "given" : "Jonathan L.", "non-dropping-particle" : "", "parse-names" : false, "suffix" : "" }, { "dropping-particle" : "", "family" : "Goldhaber", "given" : "Samuel Z.", "non-dropping-particle" : "", "parse-names" : false, "suffix" : "" }, { "dropping-particle" : "", "family" : "Caldwell", "given" : "Michael D.", "non-dropping-particle" : "", "parse-names" : false, "suffix" : "" }, { "dropping-particle" : "", "family" : "Califf", "given" : "Robert M.", "non-dropping-particle" : "", "parse-names" : false, "suffix" : "" }, { "dropping-particle" : "", "family" : "Ellenberg", "given" : "Jonas H.", "non-dropping-particle" : "", "parse-names" : false, "suffix" : "" } ], "container-title" : "New England Journal of Medicine", "id" : "ITEM-1", "issue" : "24", "issued" : { "date-parts" : [ [ "2013" ] ] }, "page" : "2283-2293", "title" : "A pharmacogenetic versus a clinical algorithm for warfarin dosing", "type" : "article-journal", "volume" : "369" }, "uris" : [ "http://www.mendeley.com/documents/?uuid=90dd3c97-3e29-4395-8384-cbddf4d9b881" ] } ], "mendeley" : { "formattedCitation" : "&lt;sup&gt;22&lt;/sup&gt;", "plainTextFormattedCitation" : "22", "previouslyFormattedCitation" : "&lt;sup&gt;22&lt;/sup&gt;" }, "properties" : { "noteIndex" : 0 }, "schema" : "https://github.com/citation-style-language/schema/raw/master/csl-citation.json" }</w:instrText>
      </w:r>
      <w:r w:rsidR="00B545BC">
        <w:fldChar w:fldCharType="separate"/>
      </w:r>
      <w:r w:rsidR="00CB755C" w:rsidRPr="00CB755C">
        <w:rPr>
          <w:noProof/>
          <w:vertAlign w:val="superscript"/>
        </w:rPr>
        <w:t>22</w:t>
      </w:r>
      <w:r w:rsidR="00B545BC">
        <w:fldChar w:fldCharType="end"/>
      </w:r>
      <w:r w:rsidR="00362C61">
        <w:t xml:space="preserve"> EU-PACT </w:t>
      </w:r>
      <w:r w:rsidR="00F5153D">
        <w:t>demonstrated</w:t>
      </w:r>
      <w:r w:rsidR="00362C61">
        <w:t xml:space="preserve"> that genotype-guided dosing compared to fixed loading dose regimen in newly diagnosed patients with thrombo</w:t>
      </w:r>
      <w:r w:rsidR="00F5153D">
        <w:t xml:space="preserve">embolic disorder in the UK and Sweden found an improved achievement of the primary outcome of </w:t>
      </w:r>
      <w:r w:rsidR="00362C61">
        <w:t>percentage time within target INR (TTR) evaluated over 3 months</w:t>
      </w:r>
      <w:r w:rsidR="0084020B">
        <w:t>.</w:t>
      </w:r>
      <w:r w:rsidR="00B545BC">
        <w:fldChar w:fldCharType="begin" w:fldLock="1"/>
      </w:r>
      <w:r w:rsidR="00CB755C">
        <w:instrText>ADDIN CSL_CITATION { "citationItems" : [ { "id" : "ITEM-1", "itemData" : { "DOI" : "10.1056/NEJMoa1310669", "author" : [ { "dropping-particle" : "", "family" : "Anderson", "given" : "Jeffrey L", "non-dropping-particle" : "", "parse-names" : false, "suffix" : "" }, { "dropping-particle" : "", "family" : "Gage", "given" : "Brian F", "non-dropping-particle" : "", "parse-names" : false, "suffix" : "" }, { "dropping-particle" : "", "family" : "Rosenberg", "given" : "Yves D", "non-dropping-particle" : "", "parse-names" : false, "suffix" : "" }, { "dropping-particle" : "", "family" : "Eby", "given" : "Charles S", "non-dropping-particle" : "", "parse-names" : false, "suffix" : "" }, { "dropping-particle" : "", "family" : "Horenstein", "given" : "Richard B", "non-dropping-particle" : "", "parse-names" : false, "suffix" : "" }, { "dropping-particle" : "", "family" : "Limdi", "given" : "Nita A", "non-dropping-particle" : "", "parse-names" : false, "suffix" : "" }, { "dropping-particle" : "", "family" : "Pharm", "given" : "D", "non-dropping-particle" : "", "parse-names" : false, "suffix" : "" }, { "dropping-particle" : "", "family" : "Ph", "given" : "D", "non-dropping-particle" : "", "parse-names" : false, "suffix" : "" }, { "dropping-particle" : "", "family" : "Iii", "given" : "James A S Muldowney", "non-dropping-particle" : "", "parse-names" : false, "suffix" : "" }, { "dropping-particle" : "", "family" : "Goldhaber", "given" : "Samuel Z", "non-dropping-particle" : "", "parse-names" : false, "suffix" : "" }, { "dropping-particle" : "", "family" : "Caldwell", "given" : "Michael D", "non-dropping-particle" : "", "parse-names" : false, "suffix" : "" }, { "dropping-particle" : "", "family" : "Ph", "given" : "D", "non-dropping-particle" : "", "parse-names" : false, "suffix" : "" }, { "dropping-particle" : "", "family" : "Califf", "given" : "Robert M", "non-dropping-particle" : "", "parse-names" : false, "suffix" : "" } ], "container-title" : "New England Journal of Medicine", "id" : "ITEM-1", "issue" : "24", "issued" : { "date-parts" : [ [ "2013" ] ] }, "page" : "2283-2293", "title" : "A Pharmacogenetic versus a Clinical Algorithm for Warfarin Dosin", "type" : "article-journal", "volume" : "369" }, "uris" : [ "http://www.mendeley.com/documents/?uuid=b55251fb-826e-4523-a0db-a01958902006" ] } ], "mendeley" : { "formattedCitation" : "&lt;sup&gt;21&lt;/sup&gt;", "plainTextFormattedCitation" : "21", "previouslyFormattedCitation" : "&lt;sup&gt;21&lt;/sup&gt;" }, "properties" : { "noteIndex" : 0 }, "schema" : "https://github.com/citation-style-language/schema/raw/master/csl-citation.json" }</w:instrText>
      </w:r>
      <w:r w:rsidR="00B545BC">
        <w:fldChar w:fldCharType="separate"/>
      </w:r>
      <w:r w:rsidR="00CB755C" w:rsidRPr="00CB755C">
        <w:rPr>
          <w:noProof/>
          <w:vertAlign w:val="superscript"/>
        </w:rPr>
        <w:t>21</w:t>
      </w:r>
      <w:r w:rsidR="00B545BC">
        <w:fldChar w:fldCharType="end"/>
      </w:r>
      <w:r w:rsidR="00F5153D">
        <w:t xml:space="preserve"> COAG failed to show an improvement in TTR compared to a clinical algorithm</w:t>
      </w:r>
      <w:r w:rsidR="00312740">
        <w:t>.</w:t>
      </w:r>
      <w:r w:rsidR="00B545BC">
        <w:fldChar w:fldCharType="begin" w:fldLock="1"/>
      </w:r>
      <w:r w:rsidR="00CB755C">
        <w:instrText>ADDIN CSL_CITATION { "citationItems" : [ { "id" : "ITEM-1", "itemData" : { "DOI" : "10.1056/NEJMoa1310669", "author" : [ { "dropping-particle" : "", "family" : "Kimmel", "given" : "Stephen E.", "non-dropping-particle" : "", "parse-names" : false, "suffix" : "" }, { "dropping-particle" : "", "family" : "French", "given" : "Benjamin F.", "non-dropping-particle" : "", "parse-names" : false, "suffix" : "" }, { "dropping-particle" : "", "family" : "Kasner", "given" : "Scott E.", "non-dropping-particle" : "", "parse-names" : false, "suffix" : "" }, { "dropping-particle" : "", "family" : "Johnson", "given" : "Julie A.", "non-dropping-particle" : "", "parse-names" : false, "suffix" : "" }, { "dropping-particle" : "", "family" : "Anderson", "given" : "Jeffrey L.", "non-dropping-particle" : "", "parse-names" : false, "suffix" : "" }, { "dropping-particle" : "", "family" : "Gage", "given" : "Brian F.", "non-dropping-particle" : "", "parse-names" : false, "suffix" : "" }, { "dropping-particle" : "", "family" : "Rosenberg", "given" : "Yves D.", "non-dropping-particle" : "", "parse-names" : false, "suffix" : "" }, { "dropping-particle" : "", "family" : "Eby", "given" : "Charles S.", "non-dropping-particle" : "", "parse-names" : false, "suffix" : "" }, { "dropping-particle" : "", "family" : "Madigan", "given" : "Rosemary A.", "non-dropping-particle" : "", "parse-names" : false, "suffix" : "" }, { "dropping-particle" : "", "family" : "McBane", "given" : "Robert B.", "non-dropping-particle" : "", "parse-names" : false, "suffix" : "" }, { "dropping-particle" : "", "family" : "Abdel-Rahman", "given" : "Sherif Z.", "non-dropping-particle" : "", "parse-names" : false, "suffix" : "" }, { "dropping-particle" : "", "family" : "Stevens", "given" : "Scott M.", "non-dropping-particle" : "", "parse-names" : false, "suffix" : "" }, { "dropping-particle" : "", "family" : "Yale", "given" : "Steven", "non-dropping-particle" : "", "parse-names" : false, "suffix" : "" }, { "dropping-particle" : "", "family" : "Mohler III", "given" : "Emile R.", "non-dropping-particle" : "", "parse-names" : false, "suffix" : "" }, { "dropping-particle" : "", "family" : "Fang", "given" : "Margret C.", "non-dropping-particle" : "", "parse-names" : false, "suffix" : "" }, { "dropping-particle" : "", "family" : "Vinay", "given" : "Shah", "non-dropping-particle" : "", "parse-names" : false, "suffix" : "" }, { "dropping-particle" : "", "family" : "Horenstein", "given" : "Richard B.", "non-dropping-particle" : "", "parse-names" : false, "suffix" : "" }, { "dropping-particle" : "", "family" : "Limdi", "given" : "Nita A.", "non-dropping-particle" : "", "parse-names" : false, "suffix" : "" }, { "dropping-particle" : "", "family" : "Muldowney III", "given" : "James AS.", "non-dropping-particle" : "", "parse-names" : false, "suffix" : "" }, { "dropping-particle" : "", "family" : "Gujral", "given" : "Jaspal", "non-dropping-particle" : "", "parse-names" : false, "suffix" : "" }, { "dropping-particle" : "", "family" : "Delafontaine", "given" : "Patrice", "non-dropping-particle" : "", "parse-names" : false, "suffix" : "" }, { "dropping-particle" : "", "family" : "Desnick", "given" : "Robert J.", "non-dropping-particle" : "", "parse-names" : false, "suffix" : "" }, { "dropping-particle" : "", "family" : "Ortel", "given" : "Thomas L.", "non-dropping-particle" : "", "parse-names" : false, "suffix" : "" }, { "dropping-particle" : "", "family" : "Billet", "given" : "Henny H.", "non-dropping-particle" : "", "parse-names" : false, "suffix" : "" }, { "dropping-particle" : "", "family" : "Pendleton", "given" : "Robert C.", "non-dropping-particle" : "", "parse-names" : false, "suffix" : "" }, { "dropping-particle" : "", "family" : "Geller", "given" : "Nancy L.", "non-dropping-particle" : "", "parse-names" : false, "suffix" : "" }, { "dropping-particle" : "", "family" : "Halperin", "given" : "Jonathan L.", "non-dropping-particle" : "", "parse-names" : false, "suffix" : "" }, { "dropping-particle" : "", "family" : "Goldhaber", "given" : "Samuel Z.", "non-dropping-particle" : "", "parse-names" : false, "suffix" : "" }, { "dropping-particle" : "", "family" : "Caldwell", "given" : "Michael D.", "non-dropping-particle" : "", "parse-names" : false, "suffix" : "" }, { "dropping-particle" : "", "family" : "Califf", "given" : "Robert M.", "non-dropping-particle" : "", "parse-names" : false, "suffix" : "" }, { "dropping-particle" : "", "family" : "Ellenberg", "given" : "Jonas H.", "non-dropping-particle" : "", "parse-names" : false, "suffix" : "" } ], "container-title" : "New England Journal of Medicine", "id" : "ITEM-1", "issue" : "24", "issued" : { "date-parts" : [ [ "2013" ] ] }, "page" : "2283-2293", "title" : "A pharmacogenetic versus a clinical algorithm for warfarin dosing", "type" : "article-journal", "volume" : "369" }, "uris" : [ "http://www.mendeley.com/documents/?uuid=90dd3c97-3e29-4395-8384-cbddf4d9b881" ] } ], "mendeley" : { "formattedCitation" : "&lt;sup&gt;22&lt;/sup&gt;", "plainTextFormattedCitation" : "22", "previouslyFormattedCitation" : "&lt;sup&gt;22&lt;/sup&gt;" }, "properties" : { "noteIndex" : 0 }, "schema" : "https://github.com/citation-style-language/schema/raw/master/csl-citation.json" }</w:instrText>
      </w:r>
      <w:r w:rsidR="00B545BC">
        <w:fldChar w:fldCharType="separate"/>
      </w:r>
      <w:r w:rsidR="00CB755C" w:rsidRPr="00CB755C">
        <w:rPr>
          <w:noProof/>
          <w:vertAlign w:val="superscript"/>
        </w:rPr>
        <w:t>22</w:t>
      </w:r>
      <w:r w:rsidR="00B545BC">
        <w:fldChar w:fldCharType="end"/>
      </w:r>
      <w:r w:rsidR="00A124D7">
        <w:t xml:space="preserve"> African-American patients in </w:t>
      </w:r>
      <w:r w:rsidR="00A124D7">
        <w:lastRenderedPageBreak/>
        <w:t>COAG were less likely to achieve TTR in the genotyped arm compared with the control arm</w:t>
      </w:r>
      <w:r w:rsidR="00B545BC">
        <w:fldChar w:fldCharType="begin" w:fldLock="1"/>
      </w:r>
      <w:r w:rsidR="00CB755C">
        <w:instrText>ADDIN CSL_CITATION { "citationItems" : [ { "id" : "ITEM-1", "itemData" : { "DOI" : "10.1056/NEJMoa1310669", "author" : [ { "dropping-particle" : "", "family" : "Kimmel", "given" : "Stephen E.", "non-dropping-particle" : "", "parse-names" : false, "suffix" : "" }, { "dropping-particle" : "", "family" : "French", "given" : "Benjamin F.", "non-dropping-particle" : "", "parse-names" : false, "suffix" : "" }, { "dropping-particle" : "", "family" : "Kasner", "given" : "Scott E.", "non-dropping-particle" : "", "parse-names" : false, "suffix" : "" }, { "dropping-particle" : "", "family" : "Johnson", "given" : "Julie A.", "non-dropping-particle" : "", "parse-names" : false, "suffix" : "" }, { "dropping-particle" : "", "family" : "Anderson", "given" : "Jeffrey L.", "non-dropping-particle" : "", "parse-names" : false, "suffix" : "" }, { "dropping-particle" : "", "family" : "Gage", "given" : "Brian F.", "non-dropping-particle" : "", "parse-names" : false, "suffix" : "" }, { "dropping-particle" : "", "family" : "Rosenberg", "given" : "Yves D.", "non-dropping-particle" : "", "parse-names" : false, "suffix" : "" }, { "dropping-particle" : "", "family" : "Eby", "given" : "Charles S.", "non-dropping-particle" : "", "parse-names" : false, "suffix" : "" }, { "dropping-particle" : "", "family" : "Madigan", "given" : "Rosemary A.", "non-dropping-particle" : "", "parse-names" : false, "suffix" : "" }, { "dropping-particle" : "", "family" : "McBane", "given" : "Robert B.", "non-dropping-particle" : "", "parse-names" : false, "suffix" : "" }, { "dropping-particle" : "", "family" : "Abdel-Rahman", "given" : "Sherif Z.", "non-dropping-particle" : "", "parse-names" : false, "suffix" : "" }, { "dropping-particle" : "", "family" : "Stevens", "given" : "Scott M.", "non-dropping-particle" : "", "parse-names" : false, "suffix" : "" }, { "dropping-particle" : "", "family" : "Yale", "given" : "Steven", "non-dropping-particle" : "", "parse-names" : false, "suffix" : "" }, { "dropping-particle" : "", "family" : "Mohler III", "given" : "Emile R.", "non-dropping-particle" : "", "parse-names" : false, "suffix" : "" }, { "dropping-particle" : "", "family" : "Fang", "given" : "Margret C.", "non-dropping-particle" : "", "parse-names" : false, "suffix" : "" }, { "dropping-particle" : "", "family" : "Vinay", "given" : "Shah", "non-dropping-particle" : "", "parse-names" : false, "suffix" : "" }, { "dropping-particle" : "", "family" : "Horenstein", "given" : "Richard B.", "non-dropping-particle" : "", "parse-names" : false, "suffix" : "" }, { "dropping-particle" : "", "family" : "Limdi", "given" : "Nita A.", "non-dropping-particle" : "", "parse-names" : false, "suffix" : "" }, { "dropping-particle" : "", "family" : "Muldowney III", "given" : "James AS.", "non-dropping-particle" : "", "parse-names" : false, "suffix" : "" }, { "dropping-particle" : "", "family" : "Gujral", "given" : "Jaspal", "non-dropping-particle" : "", "parse-names" : false, "suffix" : "" }, { "dropping-particle" : "", "family" : "Delafontaine", "given" : "Patrice", "non-dropping-particle" : "", "parse-names" : false, "suffix" : "" }, { "dropping-particle" : "", "family" : "Desnick", "given" : "Robert J.", "non-dropping-particle" : "", "parse-names" : false, "suffix" : "" }, { "dropping-particle" : "", "family" : "Ortel", "given" : "Thomas L.", "non-dropping-particle" : "", "parse-names" : false, "suffix" : "" }, { "dropping-particle" : "", "family" : "Billet", "given" : "Henny H.", "non-dropping-particle" : "", "parse-names" : false, "suffix" : "" }, { "dropping-particle" : "", "family" : "Pendleton", "given" : "Robert C.", "non-dropping-particle" : "", "parse-names" : false, "suffix" : "" }, { "dropping-particle" : "", "family" : "Geller", "given" : "Nancy L.", "non-dropping-particle" : "", "parse-names" : false, "suffix" : "" }, { "dropping-particle" : "", "family" : "Halperin", "given" : "Jonathan L.", "non-dropping-particle" : "", "parse-names" : false, "suffix" : "" }, { "dropping-particle" : "", "family" : "Goldhaber", "given" : "Samuel Z.", "non-dropping-particle" : "", "parse-names" : false, "suffix" : "" }, { "dropping-particle" : "", "family" : "Caldwell", "given" : "Michael D.", "non-dropping-particle" : "", "parse-names" : false, "suffix" : "" }, { "dropping-particle" : "", "family" : "Califf", "given" : "Robert M.", "non-dropping-particle" : "", "parse-names" : false, "suffix" : "" }, { "dropping-particle" : "", "family" : "Ellenberg", "given" : "Jonas H.", "non-dropping-particle" : "", "parse-names" : false, "suffix" : "" } ], "container-title" : "New England Journal of Medicine", "id" : "ITEM-1", "issue" : "24", "issued" : { "date-parts" : [ [ "2013" ] ] }, "page" : "2283-2293", "title" : "A pharmacogenetic versus a clinical algorithm for warfarin dosing", "type" : "article-journal", "volume" : "369" }, "uris" : [ "http://www.mendeley.com/documents/?uuid=90dd3c97-3e29-4395-8384-cbddf4d9b881" ] } ], "mendeley" : { "formattedCitation" : "&lt;sup&gt;22&lt;/sup&gt;", "plainTextFormattedCitation" : "22", "previouslyFormattedCitation" : "&lt;sup&gt;22&lt;/sup&gt;" }, "properties" : { "noteIndex" : 0 }, "schema" : "https://github.com/citation-style-language/schema/raw/master/csl-citation.json" }</w:instrText>
      </w:r>
      <w:r w:rsidR="00B545BC">
        <w:fldChar w:fldCharType="separate"/>
      </w:r>
      <w:r w:rsidR="00CB755C" w:rsidRPr="00CB755C">
        <w:rPr>
          <w:noProof/>
          <w:vertAlign w:val="superscript"/>
        </w:rPr>
        <w:t>22</w:t>
      </w:r>
      <w:r w:rsidR="00B545BC">
        <w:fldChar w:fldCharType="end"/>
      </w:r>
      <w:r w:rsidR="0046489F">
        <w:t xml:space="preserve"> </w:t>
      </w:r>
      <w:r w:rsidR="00A36537">
        <w:t xml:space="preserve">While </w:t>
      </w:r>
      <w:r w:rsidR="0046489F">
        <w:t>EU-PACT consisted of a</w:t>
      </w:r>
      <w:r w:rsidR="005D572E">
        <w:t>n</w:t>
      </w:r>
      <w:r w:rsidR="0046489F">
        <w:t xml:space="preserve"> </w:t>
      </w:r>
      <w:r w:rsidR="005D572E">
        <w:t xml:space="preserve">ethnically homogenous cohort </w:t>
      </w:r>
      <w:r w:rsidR="00A36537">
        <w:t xml:space="preserve">(97% white), </w:t>
      </w:r>
      <w:r w:rsidR="005D572E">
        <w:t xml:space="preserve">COAG was an ethnically heterogeneous cohort (67% white, 27% black, 6% Hispanic). </w:t>
      </w:r>
      <w:r w:rsidR="00010CD9">
        <w:t>CYP2C9</w:t>
      </w:r>
      <w:r w:rsidR="0009520F">
        <w:t xml:space="preserve"> </w:t>
      </w:r>
      <w:r w:rsidR="00010CD9">
        <w:t xml:space="preserve">*2 and *3 </w:t>
      </w:r>
      <w:r w:rsidR="005D572E">
        <w:t>allele frequencies are lower in African Americans than European Americans (1% and 2%, respectively and 6% and 10%, respectively)</w:t>
      </w:r>
      <w:r w:rsidR="00010CD9">
        <w:t>, while ot</w:t>
      </w:r>
      <w:r w:rsidR="00015624">
        <w:t xml:space="preserve">her SNPs </w:t>
      </w:r>
      <w:r w:rsidR="00C338EA">
        <w:t xml:space="preserve">are present </w:t>
      </w:r>
      <w:r w:rsidR="00015624">
        <w:t xml:space="preserve">in African Americans </w:t>
      </w:r>
      <w:r w:rsidR="00C338EA">
        <w:t>but are rare in Caucasians (</w:t>
      </w:r>
      <w:r w:rsidR="0009520F">
        <w:t>CYP2C9</w:t>
      </w:r>
      <w:r w:rsidR="00C338EA">
        <w:t>*8 and *11)</w:t>
      </w:r>
      <w:r w:rsidR="00010CD9">
        <w:t xml:space="preserve">. The latter SNPs however were </w:t>
      </w:r>
      <w:r w:rsidR="00C338EA">
        <w:t>not assessed to inform dosing Af</w:t>
      </w:r>
      <w:r w:rsidR="0084020B">
        <w:t>rican American patients in COAG.</w:t>
      </w:r>
      <w:r w:rsidR="00B545BC">
        <w:fldChar w:fldCharType="begin" w:fldLock="1"/>
      </w:r>
      <w:r w:rsidR="00CB755C">
        <w:instrText>ADDIN CSL_CITATION { "citationItems" : [ { "id" : "ITEM-1", "itemData" : { "DOI" : "10.1056/NEJMoa1310669", "author" : [ { "dropping-particle" : "", "family" : "Anderson", "given" : "Jeffrey L", "non-dropping-particle" : "", "parse-names" : false, "suffix" : "" }, { "dropping-particle" : "", "family" : "Gage", "given" : "Brian F", "non-dropping-particle" : "", "parse-names" : false, "suffix" : "" }, { "dropping-particle" : "", "family" : "Rosenberg", "given" : "Yves D", "non-dropping-particle" : "", "parse-names" : false, "suffix" : "" }, { "dropping-particle" : "", "family" : "Eby", "given" : "Charles S", "non-dropping-particle" : "", "parse-names" : false, "suffix" : "" }, { "dropping-particle" : "", "family" : "Horenstein", "given" : "Richard B", "non-dropping-particle" : "", "parse-names" : false, "suffix" : "" }, { "dropping-particle" : "", "family" : "Limdi", "given" : "Nita A", "non-dropping-particle" : "", "parse-names" : false, "suffix" : "" }, { "dropping-particle" : "", "family" : "Pharm", "given" : "D", "non-dropping-particle" : "", "parse-names" : false, "suffix" : "" }, { "dropping-particle" : "", "family" : "Ph", "given" : "D", "non-dropping-particle" : "", "parse-names" : false, "suffix" : "" }, { "dropping-particle" : "", "family" : "Iii", "given" : "James A S Muldowney", "non-dropping-particle" : "", "parse-names" : false, "suffix" : "" }, { "dropping-particle" : "", "family" : "Goldhaber", "given" : "Samuel Z", "non-dropping-particle" : "", "parse-names" : false, "suffix" : "" }, { "dropping-particle" : "", "family" : "Caldwell", "given" : "Michael D", "non-dropping-particle" : "", "parse-names" : false, "suffix" : "" }, { "dropping-particle" : "", "family" : "Ph", "given" : "D", "non-dropping-particle" : "", "parse-names" : false, "suffix" : "" }, { "dropping-particle" : "", "family" : "Califf", "given" : "Robert M", "non-dropping-particle" : "", "parse-names" : false, "suffix" : "" } ], "container-title" : "New England Journal of Medicine", "id" : "ITEM-1", "issue" : "24", "issued" : { "date-parts" : [ [ "2013" ] ] }, "page" : "2283-2293", "title" : "A Pharmacogenetic versus a Clinical Algorithm for Warfarin Dosin", "type" : "article-journal", "volume" : "369" }, "uris" : [ "http://www.mendeley.com/documents/?uuid=b55251fb-826e-4523-a0db-a01958902006" ] }, { "id" : "ITEM-2", "itemData" : { "DOI" : "10.1056/NEJMoa1310669", "author" : [ { "dropping-particle" : "", "family" : "Kimmel", "given" : "Stephen E.", "non-dropping-particle" : "", "parse-names" : false, "suffix" : "" }, { "dropping-particle" : "", "family" : "French", "given" : "Benjamin F.", "non-dropping-particle" : "", "parse-names" : false, "suffix" : "" }, { "dropping-particle" : "", "family" : "Kasner", "given" : "Scott E.", "non-dropping-particle" : "", "parse-names" : false, "suffix" : "" }, { "dropping-particle" : "", "family" : "Johnson", "given" : "Julie A.", "non-dropping-particle" : "", "parse-names" : false, "suffix" : "" }, { "dropping-particle" : "", "family" : "Anderson", "given" : "Jeffrey L.", "non-dropping-particle" : "", "parse-names" : false, "suffix" : "" }, { "dropping-particle" : "", "family" : "Gage", "given" : "Brian F.", "non-dropping-particle" : "", "parse-names" : false, "suffix" : "" }, { "dropping-particle" : "", "family" : "Rosenberg", "given" : "Yves D.", "non-dropping-particle" : "", "parse-names" : false, "suffix" : "" }, { "dropping-particle" : "", "family" : "Eby", "given" : "Charles S.", "non-dropping-particle" : "", "parse-names" : false, "suffix" : "" }, { "dropping-particle" : "", "family" : "Madigan", "given" : "Rosemary A.", "non-dropping-particle" : "", "parse-names" : false, "suffix" : "" }, { "dropping-particle" : "", "family" : "McBane", "given" : "Robert B.", "non-dropping-particle" : "", "parse-names" : false, "suffix" : "" }, { "dropping-particle" : "", "family" : "Abdel-Rahman", "given" : "Sherif Z.", "non-dropping-particle" : "", "parse-names" : false, "suffix" : "" }, { "dropping-particle" : "", "family" : "Stevens", "given" : "Scott M.", "non-dropping-particle" : "", "parse-names" : false, "suffix" : "" }, { "dropping-particle" : "", "family" : "Yale", "given" : "Steven", "non-dropping-particle" : "", "parse-names" : false, "suffix" : "" }, { "dropping-particle" : "", "family" : "Mohler III", "given" : "Emile R.", "non-dropping-particle" : "", "parse-names" : false, "suffix" : "" }, { "dropping-particle" : "", "family" : "Fang", "given" : "Margret C.", "non-dropping-particle" : "", "parse-names" : false, "suffix" : "" }, { "dropping-particle" : "", "family" : "Vinay", "given" : "Shah", "non-dropping-particle" : "", "parse-names" : false, "suffix" : "" }, { "dropping-particle" : "", "family" : "Horenstein", "given" : "Richard B.", "non-dropping-particle" : "", "parse-names" : false, "suffix" : "" }, { "dropping-particle" : "", "family" : "Limdi", "given" : "Nita A.", "non-dropping-particle" : "", "parse-names" : false, "suffix" : "" }, { "dropping-particle" : "", "family" : "Muldowney III", "given" : "James AS.", "non-dropping-particle" : "", "parse-names" : false, "suffix" : "" }, { "dropping-particle" : "", "family" : "Gujral", "given" : "Jaspal", "non-dropping-particle" : "", "parse-names" : false, "suffix" : "" }, { "dropping-particle" : "", "family" : "Delafontaine", "given" : "Patrice", "non-dropping-particle" : "", "parse-names" : false, "suffix" : "" }, { "dropping-particle" : "", "family" : "Desnick", "given" : "Robert J.", "non-dropping-particle" : "", "parse-names" : false, "suffix" : "" }, { "dropping-particle" : "", "family" : "Ortel", "given" : "Thomas L.", "non-dropping-particle" : "", "parse-names" : false, "suffix" : "" }, { "dropping-particle" : "", "family" : "Billet", "given" : "Henny H.", "non-dropping-particle" : "", "parse-names" : false, "suffix" : "" }, { "dropping-particle" : "", "family" : "Pendleton", "given" : "Robert C.", "non-dropping-particle" : "", "parse-names" : false, "suffix" : "" }, { "dropping-particle" : "", "family" : "Geller", "given" : "Nancy L.", "non-dropping-particle" : "", "parse-names" : false, "suffix" : "" }, { "dropping-particle" : "", "family" : "Halperin", "given" : "Jonathan L.", "non-dropping-particle" : "", "parse-names" : false, "suffix" : "" }, { "dropping-particle" : "", "family" : "Goldhaber", "given" : "Samuel Z.", "non-dropping-particle" : "", "parse-names" : false, "suffix" : "" }, { "dropping-particle" : "", "family" : "Caldwell", "given" : "Michael D.", "non-dropping-particle" : "", "parse-names" : false, "suffix" : "" }, { "dropping-particle" : "", "family" : "Califf", "given" : "Robert M.", "non-dropping-particle" : "", "parse-names" : false, "suffix" : "" }, { "dropping-particle" : "", "family" : "Ellenberg", "given" : "Jonas H.", "non-dropping-particle" : "", "parse-names" : false, "suffix" : "" } ], "container-title" : "New England Journal of Medicine", "id" : "ITEM-2", "issue" : "24", "issued" : { "date-parts" : [ [ "2013" ] ] }, "page" : "2283-2293", "title" : "A pharmacogenetic versus a clinical algorithm for warfarin dosing", "type" : "article-journal", "volume" : "369" }, "uris" : [ "http://www.mendeley.com/documents/?uuid=90dd3c97-3e29-4395-8384-cbddf4d9b881" ] } ], "mendeley" : { "formattedCitation" : "&lt;sup&gt;21,22&lt;/sup&gt;", "plainTextFormattedCitation" : "21,22", "previouslyFormattedCitation" : "&lt;sup&gt;21,22&lt;/sup&gt;" }, "properties" : { "noteIndex" : 0 }, "schema" : "https://github.com/citation-style-language/schema/raw/master/csl-citation.json" }</w:instrText>
      </w:r>
      <w:r w:rsidR="00B545BC">
        <w:fldChar w:fldCharType="separate"/>
      </w:r>
      <w:r w:rsidR="00CB755C" w:rsidRPr="00CB755C">
        <w:rPr>
          <w:noProof/>
          <w:vertAlign w:val="superscript"/>
        </w:rPr>
        <w:t>21,22</w:t>
      </w:r>
      <w:r w:rsidR="00B545BC">
        <w:fldChar w:fldCharType="end"/>
      </w:r>
      <w:r w:rsidR="00010CD9">
        <w:t xml:space="preserve">  </w:t>
      </w:r>
      <w:r w:rsidR="00F21E79">
        <w:t xml:space="preserve">A cost-effectiveness </w:t>
      </w:r>
      <w:r w:rsidR="005E0DA1">
        <w:t xml:space="preserve">analysis </w:t>
      </w:r>
      <w:r w:rsidR="00F21E79">
        <w:t>of the EU-PACT trial showed that genotype-guided dosing in the UK and Swedish populations was cost-effective when compared with current standard clinical care.</w:t>
      </w:r>
      <w:r w:rsidR="00D4086F">
        <w:fldChar w:fldCharType="begin" w:fldLock="1"/>
      </w:r>
      <w:r w:rsidR="009E1991">
        <w:instrText>ADDIN CSL_CITATION { "citationItems" : [ { "id" : "ITEM-1", "itemData" : { "DOI" : "10.1038/tpj.2016.41", "ISSN" : "1470-269X", "author" : [ { "dropping-particle" : "", "family" : "Verhoef", "given" : "T I", "non-dropping-particle" : "", "parse-names" : false, "suffix" : "" }, { "dropping-particle" : "", "family" : "Redekop", "given" : "W K", "non-dropping-particle" : "", "parse-names" : false, "suffix" : "" }, { "dropping-particle" : "", "family" : "Langenskiold", "given" : "S", "non-dropping-particle" : "", "parse-names" : false, "suffix" : "" }, { "dropping-particle" : "", "family" : "Kamali", "given" : "F", "non-dropping-particle" : "", "parse-names" : false, "suffix" : "" }, { "dropping-particle" : "", "family" : "Wadelius", "given" : "M", "non-dropping-particle" : "", "parse-names" : false, "suffix" : "" }, { "dropping-particle" : "", "family" : "Burnside", "given" : "G", "non-dropping-particle" : "", "parse-names" : false, "suffix" : "" }, { "dropping-particle" : "Der", "family" : "Zee", "given" : "A-h Maitland-van", "non-dropping-particle" : "", "parse-names" : false, "suffix" : "" }, { "dropping-particle" : "", "family" : "Hughes", "given" : "D A", "non-dropping-particle" : "", "parse-names" : false, "suffix" : "" } ], "container-title" : "The Pharmacogenomics Journal", "id" : "ITEM-1", "issue" : "5", "issued" : { "date-parts" : [ [ "2016" ] ] }, "page" : "478-484", "publisher" : "Nature Publishing Group", "title" : "Cost-effectiveness of pharmacogenetic-guided dosing of warfarin in the United Kingdom and Sweden", "type" : "article-journal", "volume" : "16" }, "uris" : [ "http://www.mendeley.com/documents/?uuid=021f10ba-55c7-418c-9dce-f0ae2083fe69" ] } ], "mendeley" : { "formattedCitation" : "&lt;sup&gt;24&lt;/sup&gt;", "plainTextFormattedCitation" : "24", "previouslyFormattedCitation" : "&lt;sup&gt;24&lt;/sup&gt;" }, "properties" : { "noteIndex" : 0 }, "schema" : "https://github.com/citation-style-language/schema/raw/master/csl-citation.json" }</w:instrText>
      </w:r>
      <w:r w:rsidR="00D4086F">
        <w:fldChar w:fldCharType="separate"/>
      </w:r>
      <w:r w:rsidR="00D4086F" w:rsidRPr="00D4086F">
        <w:rPr>
          <w:noProof/>
          <w:vertAlign w:val="superscript"/>
        </w:rPr>
        <w:t>24</w:t>
      </w:r>
      <w:r w:rsidR="00D4086F">
        <w:fldChar w:fldCharType="end"/>
      </w:r>
      <w:r w:rsidR="00F21E79">
        <w:t xml:space="preserve">  </w:t>
      </w:r>
      <w:r w:rsidR="00010CD9">
        <w:t>It is now clear that</w:t>
      </w:r>
      <w:r w:rsidR="00982265">
        <w:t xml:space="preserve"> </w:t>
      </w:r>
      <w:r w:rsidR="00144E44">
        <w:t>ethnicity</w:t>
      </w:r>
      <w:r w:rsidR="004F3AD0">
        <w:t xml:space="preserve">-stratified analysis </w:t>
      </w:r>
      <w:r w:rsidR="00010CD9">
        <w:t xml:space="preserve">can </w:t>
      </w:r>
      <w:r w:rsidR="004F3AD0">
        <w:t>improve dose prediction</w:t>
      </w:r>
      <w:r w:rsidR="008F5AED">
        <w:t xml:space="preserve"> across ethnic</w:t>
      </w:r>
      <w:r w:rsidR="004F3AD0">
        <w:t xml:space="preserve"> groups </w:t>
      </w:r>
      <w:r w:rsidR="00010CD9">
        <w:t xml:space="preserve">when </w:t>
      </w:r>
      <w:r w:rsidR="004F3AD0">
        <w:t xml:space="preserve">compared to </w:t>
      </w:r>
      <w:r w:rsidR="00144E44">
        <w:t>ethnicity</w:t>
      </w:r>
      <w:r w:rsidR="004F3AD0">
        <w:t>-combined analysis</w:t>
      </w:r>
      <w:r w:rsidR="0084020B">
        <w:t>.</w:t>
      </w:r>
      <w:r w:rsidR="00B545BC">
        <w:fldChar w:fldCharType="begin" w:fldLock="1"/>
      </w:r>
      <w:r w:rsidR="009E1991">
        <w:instrText>ADDIN CSL_CITATION { "citationItems" : [ { "id" : "ITEM-1", "itemData" : { "DOI" : "10.1016/S0140-6736(13)60681-9", "ISSN" : "0140-6736", "author" : [ { "dropping-particle" : "", "family" : "Perera", "given" : "Minoli A", "non-dropping-particle" : "", "parse-names" : false, "suffix" : "" }, { "dropping-particle" : "", "family" : "Cavallari", "given" : "Larisa H", "non-dropping-particle" : "", "parse-names" : false, "suffix" : "" }, { "dropping-particle" : "", "family" : "Limdi", "given" : "Nita A", "non-dropping-particle" : "", "parse-names" : false, "suffix" : "" }, { "dropping-particle" : "", "family" : "Gamazon", "given" : "Eric R", "non-dropping-particle" : "", "parse-names" : false, "suffix" : "" }, { "dropping-particle" : "", "family" : "Konkashbaev", "given" : "Anuar", "non-dropping-particle" : "", "parse-names" : false, "suffix" : "" }, { "dropping-particle" : "", "family" : "Daneshjou", "given" : "Roxana", "non-dropping-particle" : "", "parse-names" : false, "suffix" : "" }, { "dropping-particle" : "", "family" : "Pluzhnikov", "given" : "Anna", "non-dropping-particle" : "", "parse-names" : false, "suffix" : "" }, { "dropping-particle" : "", "family" : "Crawford", "given" : "Dana C", "non-dropping-particle" : "", "parse-names" : false, "suffix" : "" }, { "dropping-particle" : "", "family" : "Wang", "given" : "Jelai", "non-dropping-particle" : "", "parse-names" : false, "suffix" : "" }, { "dropping-particle" : "", "family" : "Liu", "given" : "Nianjun", "non-dropping-particle" : "", "parse-names" : false, "suffix" : "" }, { "dropping-particle" : "", "family" : "Tatonetti", "given" : "Nicholas", "non-dropping-particle" : "", "parse-names" : false, "suffix" : "" }, { "dropping-particle" : "", "family" : "Bourgeois", "given" : "Stephane", "non-dropping-particle" : "", "parse-names" : false, "suffix" : "" }, { "dropping-particle" : "", "family" : "Takahashi", "given" : "Harumi", "non-dropping-particle" : "", "parse-names" : false, "suffix" : "" }, { "dropping-particle" : "", "family" : "Bradford", "given" : "Yukiko", "non-dropping-particle" : "", "parse-names" : false, "suffix" : "" }, { "dropping-particle" : "", "family" : "Burkley", "given" : "Benjamin M", "non-dropping-particle" : "", "parse-names" : false, "suffix" : "" }, { "dropping-particle" : "", "family" : "Altman", "given" : "Russ B", "non-dropping-particle" : "", "parse-names" : false, "suffix" : "" }, { "dropping-particle" : "", "family" : "Klein", "given" : "Teri E", "non-dropping-particle" : "", "parse-names" : false, "suffix" : "" }, { "dropping-particle" : "", "family" : "Nakamura", "given" : "Yusuke", "non-dropping-particle" : "", "parse-names" : false, "suffix" : "" }, { "dropping-particle" : "", "family" : "Johnson", "given" : "Julie A", "non-dropping-particle" : "", "parse-names" : false, "suffix" : "" } ], "container-title" : "The Lancet", "id" : "ITEM-1", "issue" : "9894", "issued" : { "date-parts" : [ [ "2013" ] ] }, "page" : "790-796", "publisher" : "Elsevier Ltd", "title" : "Genetic variants associated with warfarin dose in African- American individuals : a genome-wide association study", "type" : "article-journal", "volume" : "382" }, "uris" : [ "http://www.mendeley.com/documents/?uuid=3b0ae9fc-85bd-4279-ad8c-388c27f16d10" ] } ], "mendeley" : { "formattedCitation" : "&lt;sup&gt;25&lt;/sup&gt;", "plainTextFormattedCitation" : "25", "previouslyFormattedCitation" : "&lt;sup&gt;25&lt;/sup&gt;" }, "properties" : { "noteIndex" : 0 }, "schema" : "https://github.com/citation-style-language/schema/raw/master/csl-citation.json" }</w:instrText>
      </w:r>
      <w:r w:rsidR="00B545BC">
        <w:fldChar w:fldCharType="separate"/>
      </w:r>
      <w:r w:rsidR="00D4086F" w:rsidRPr="00D4086F">
        <w:rPr>
          <w:noProof/>
          <w:vertAlign w:val="superscript"/>
        </w:rPr>
        <w:t>25</w:t>
      </w:r>
      <w:r w:rsidR="00B545BC">
        <w:fldChar w:fldCharType="end"/>
      </w:r>
      <w:r w:rsidR="00333E12">
        <w:t xml:space="preserve"> Such</w:t>
      </w:r>
      <w:r w:rsidR="008F5AED">
        <w:t xml:space="preserve"> </w:t>
      </w:r>
      <w:r w:rsidR="00D32DCB">
        <w:t xml:space="preserve">population-specific warfarin pharmacogenomic dosing algorithms </w:t>
      </w:r>
      <w:r w:rsidR="00294FDF">
        <w:t xml:space="preserve">are </w:t>
      </w:r>
      <w:r w:rsidR="00010CD9">
        <w:t xml:space="preserve">likely </w:t>
      </w:r>
      <w:r w:rsidR="00294FDF">
        <w:t xml:space="preserve">to </w:t>
      </w:r>
      <w:r w:rsidR="00D32DCB">
        <w:t>address</w:t>
      </w:r>
      <w:r w:rsidR="00010CD9">
        <w:t>, at least in part,</w:t>
      </w:r>
      <w:r w:rsidR="00D32DCB">
        <w:t xml:space="preserve"> a source of health disparities </w:t>
      </w:r>
      <w:r w:rsidR="00144E44">
        <w:t>in pharmacogenetically under</w:t>
      </w:r>
      <w:r w:rsidR="00010CD9">
        <w:t>-</w:t>
      </w:r>
      <w:r w:rsidR="00144E44">
        <w:t>served group</w:t>
      </w:r>
      <w:r w:rsidR="008F5AED">
        <w:t>s</w:t>
      </w:r>
      <w:r w:rsidR="00312740">
        <w:t>.</w:t>
      </w:r>
      <w:r w:rsidR="00B545BC">
        <w:fldChar w:fldCharType="begin" w:fldLock="1"/>
      </w:r>
      <w:r w:rsidR="009E1991">
        <w:instrText>ADDIN CSL_CITATION { "citationItems" : [ { "id" : "ITEM-1", "itemData" : { "DOI" : "10.1016/S0140-6736(13)60681-9", "ISSN" : "0140-6736", "author" : [ { "dropping-particle" : "", "family" : "Perera", "given" : "Minoli A", "non-dropping-particle" : "", "parse-names" : false, "suffix" : "" }, { "dropping-particle" : "", "family" : "Cavallari", "given" : "Larisa H", "non-dropping-particle" : "", "parse-names" : false, "suffix" : "" }, { "dropping-particle" : "", "family" : "Limdi", "given" : "Nita A", "non-dropping-particle" : "", "parse-names" : false, "suffix" : "" }, { "dropping-particle" : "", "family" : "Gamazon", "given" : "Eric R", "non-dropping-particle" : "", "parse-names" : false, "suffix" : "" }, { "dropping-particle" : "", "family" : "Konkashbaev", "given" : "Anuar", "non-dropping-particle" : "", "parse-names" : false, "suffix" : "" }, { "dropping-particle" : "", "family" : "Daneshjou", "given" : "Roxana", "non-dropping-particle" : "", "parse-names" : false, "suffix" : "" }, { "dropping-particle" : "", "family" : "Pluzhnikov", "given" : "Anna", "non-dropping-particle" : "", "parse-names" : false, "suffix" : "" }, { "dropping-particle" : "", "family" : "Crawford", "given" : "Dana C", "non-dropping-particle" : "", "parse-names" : false, "suffix" : "" }, { "dropping-particle" : "", "family" : "Wang", "given" : "Jelai", "non-dropping-particle" : "", "parse-names" : false, "suffix" : "" }, { "dropping-particle" : "", "family" : "Liu", "given" : "Nianjun", "non-dropping-particle" : "", "parse-names" : false, "suffix" : "" }, { "dropping-particle" : "", "family" : "Tatonetti", "given" : "Nicholas", "non-dropping-particle" : "", "parse-names" : false, "suffix" : "" }, { "dropping-particle" : "", "family" : "Bourgeois", "given" : "Stephane", "non-dropping-particle" : "", "parse-names" : false, "suffix" : "" }, { "dropping-particle" : "", "family" : "Takahashi", "given" : "Harumi", "non-dropping-particle" : "", "parse-names" : false, "suffix" : "" }, { "dropping-particle" : "", "family" : "Bradford", "given" : "Yukiko", "non-dropping-particle" : "", "parse-names" : false, "suffix" : "" }, { "dropping-particle" : "", "family" : "Burkley", "given" : "Benjamin M", "non-dropping-particle" : "", "parse-names" : false, "suffix" : "" }, { "dropping-particle" : "", "family" : "Altman", "given" : "Russ B", "non-dropping-particle" : "", "parse-names" : false, "suffix" : "" }, { "dropping-particle" : "", "family" : "Klein", "given" : "Teri E", "non-dropping-particle" : "", "parse-names" : false, "suffix" : "" }, { "dropping-particle" : "", "family" : "Nakamura", "given" : "Yusuke", "non-dropping-particle" : "", "parse-names" : false, "suffix" : "" }, { "dropping-particle" : "", "family" : "Johnson", "given" : "Julie A", "non-dropping-particle" : "", "parse-names" : false, "suffix" : "" } ], "container-title" : "The Lancet", "id" : "ITEM-1", "issue" : "9894", "issued" : { "date-parts" : [ [ "2013" ] ] }, "page" : "790-796", "publisher" : "Elsevier Ltd", "title" : "Genetic variants associated with warfarin dose in African- American individuals : a genome-wide association study", "type" : "article-journal", "volume" : "382" }, "uris" : [ "http://www.mendeley.com/documents/?uuid=3b0ae9fc-85bd-4279-ad8c-388c27f16d10" ] }, { "id" : "ITEM-2", "itemData" : { "DOI" : "10.1038/tpj.2016.57", "author" : [ { "dropping-particle" : "", "family" : "Kubo", "given" : "K", "non-dropping-particle" : "", "parse-names" : false, "suffix" : "" }, { "dropping-particle" : "", "family" : "Ohara", "given" : "M", "non-dropping-particle" : "", "parse-names" : false, "suffix" : "" }, { "dropping-particle" : "", "family" : "Tachikawa", "given" : "M", "non-dropping-particle" : "", "parse-names" : false, "suffix" : "" }, { "dropping-particle" : "", "family" : "Cavallari", "given" : "L H", "non-dropping-particle" : "", "parse-names" : false, "suffix" : "" }, { "dropping-particle" : "", "family" : "Lee", "given" : "M T M", "non-dropping-particle" : "", "parse-names" : false, "suffix" : "" }, { "dropping-particle" : "", "family" : "Wen", "given" : "M S", "non-dropping-particle" : "", "parse-names" : false, "suffix" : "" }, { "dropping-particle" : "", "family" : "Scordo", "given" : "M G", "non-dropping-particle" : "", "parse-names" : false, "suffix" : "" }, { "dropping-particle" : "", "family" : "Nutescu", "given" : "E A", "non-dropping-particle" : "", "parse-names" : false, "suffix" : "" }, { "dropping-particle" : "", "family" : "Perera", "given" : "M A", "non-dropping-particle" : "", "parse-names" : false, "suffix" : "" }, { "dropping-particle" : "", "family" : "Miyajima", "given" : "A", "non-dropping-particle" : "", "parse-names" : false, "suffix" : "" } ], "container-title" : "The Pharmacogenomics Journal", "id" : "ITEM-2", "issued" : { "date-parts" : [ [ "2016" ] ] }, "page" : "1-7", "publisher" : "Nature Publishing Group", "title" : "Population differences in S -warfarin pharmacokinetics among African Americans , Asians and whites : their in fl uence on pharmacogenetic dosing algorithms", "type" : "article-journal", "volume" : "00" }, "uris" : [ "http://www.mendeley.com/documents/?uuid=adb34870-1274-45ba-a0b2-a7e379339bea" ] }, { "id" : "ITEM-3", "itemData" : { "DOI" : "10.1182/blood-2014-04-568436.R.D.", "author" : [ { "dropping-particle" : "", "family" : "Daneshjou", "given" : "Roxana", "non-dropping-particle" : "", "parse-names" : false, "suffix" : "" }, { "dropping-particle" : "", "family" : "Gamazon", "given" : "Eric R", "non-dropping-particle" : "", "parse-names" : false, "suffix" : "" }, { "dropping-particle" : "", "family" : "Burkley", "given" : "Ben", "non-dropping-particle" : "", "parse-names" : false, "suffix" : "" }, { "dropping-particle" : "", "family" : "Cavallari", "given" : "Larisa H", "non-dropping-particle" : "", "parse-names" : false, "suffix" : "" }, { "dropping-particle" : "", "family" : "Johnson", "given" : "Julie A", "non-dropping-particle" : "", "parse-names" : false, "suffix" : "" }, { "dropping-particle" : "", "family" : "Klein", "given" : "Teri E", "non-dropping-particle" : "", "parse-names" : false, "suffix" : "" }, { "dropping-particle" : "", "family" : "Limdi", "given" : "Nita", "non-dropping-particle" : "", "parse-names" : false, "suffix" : "" }, { "dropping-particle" : "", "family" : "Hillenmeyer", "given" : "Sara", "non-dropping-particle" : "", "parse-names" : false, "suffix" : "" }, { "dropping-particle" : "", "family" : "Percha", "given" : "Bethany", "non-dropping-particle" : "", "parse-names" : false, "suffix" : "" }, { "dropping-particle" : "", "family" : "Karczewski", "given" : "Konrad J", "non-dropping-particle" : "", "parse-names" : false, "suffix" : "" }, { "dropping-particle" : "", "family" : "Langaee", "given" : "Taimour", "non-dropping-particle" : "", "parse-names" : false, "suffix" : "" }, { "dropping-particle" : "", "family" : "Patel", "given" : "Shitalben R", "non-dropping-particle" : "", "parse-names" : false, "suffix" : "" }, { "dropping-particle" : "", "family" : "Bustamante", "given" : "Carlos D", "non-dropping-particle" : "", "parse-names" : false, "suffix" : "" }, { "dropping-particle" : "", "family" : "Altman", "given" : "Russ B", "non-dropping-particle" : "", "parse-names" : false, "suffix" : "" }, { "dropping-particle" : "", "family" : "Perera", "given" : "Minoli A", "non-dropping-particle" : "", "parse-names" : false, "suffix" : "" } ], "container-title" : "Blood", "id" : "ITEM-3", "issue" : "14", "issued" : { "date-parts" : [ [ "2014" ] ] }, "page" : "2298-2306", "title" : "Genetic variant in folate homeostasis is associated with lower warfarin dose in African Americans", "type" : "article-journal", "volume" : "124" }, "uris" : [ "http://www.mendeley.com/documents/?uuid=8fa21b4c-a440-4756-84f0-d6f55bcac755" ] } ], "mendeley" : { "formattedCitation" : "&lt;sup&gt;25\u201327&lt;/sup&gt;", "plainTextFormattedCitation" : "25\u201327", "previouslyFormattedCitation" : "&lt;sup&gt;25\u201327&lt;/sup&gt;" }, "properties" : { "noteIndex" : 0 }, "schema" : "https://github.com/citation-style-language/schema/raw/master/csl-citation.json" }</w:instrText>
      </w:r>
      <w:r w:rsidR="00B545BC">
        <w:fldChar w:fldCharType="separate"/>
      </w:r>
      <w:r w:rsidR="00D4086F" w:rsidRPr="00D4086F">
        <w:rPr>
          <w:noProof/>
          <w:vertAlign w:val="superscript"/>
        </w:rPr>
        <w:t>25–27</w:t>
      </w:r>
      <w:r w:rsidR="00B545BC">
        <w:fldChar w:fldCharType="end"/>
      </w:r>
      <w:r w:rsidR="00D32DCB">
        <w:t xml:space="preserve">  </w:t>
      </w:r>
    </w:p>
    <w:p w:rsidR="0073208F" w:rsidRDefault="00DA001F" w:rsidP="00057450">
      <w:pPr>
        <w:pStyle w:val="LRiGnormal"/>
        <w:spacing w:line="480" w:lineRule="auto"/>
      </w:pPr>
      <w:r>
        <w:t>Clopidogrel is a commonly pre</w:t>
      </w:r>
      <w:r w:rsidR="00D94DB0">
        <w:t>scribed antiplatelet</w:t>
      </w:r>
      <w:r w:rsidR="001C0F1A">
        <w:t xml:space="preserve"> drug</w:t>
      </w:r>
      <w:r w:rsidR="00010CD9">
        <w:t>.</w:t>
      </w:r>
      <w:r w:rsidR="001C0F1A">
        <w:t xml:space="preserve"> Clopidogrel is a prodrug</w:t>
      </w:r>
      <w:r w:rsidR="00F21E79">
        <w:t xml:space="preserve"> which is metabolized by</w:t>
      </w:r>
      <w:r w:rsidR="001C0F1A">
        <w:t xml:space="preserve"> CYP2C19</w:t>
      </w:r>
      <w:r w:rsidR="00010CD9">
        <w:t xml:space="preserve"> </w:t>
      </w:r>
      <w:r w:rsidR="001C0F1A">
        <w:t>to bec</w:t>
      </w:r>
      <w:r w:rsidR="00F21E79">
        <w:t>o</w:t>
      </w:r>
      <w:r w:rsidR="001C0F1A">
        <w:t>me active. While p</w:t>
      </w:r>
      <w:r w:rsidR="00D94DB0">
        <w:t xml:space="preserve">atients with reduced-function </w:t>
      </w:r>
      <w:r w:rsidR="00E221C5">
        <w:t xml:space="preserve">variants </w:t>
      </w:r>
      <w:r w:rsidR="0005631A">
        <w:t>(</w:t>
      </w:r>
      <w:r w:rsidR="00F21E79">
        <w:t>*</w:t>
      </w:r>
      <w:r w:rsidR="00E221C5">
        <w:t xml:space="preserve">2, </w:t>
      </w:r>
      <w:r w:rsidR="00F21E79">
        <w:t>*</w:t>
      </w:r>
      <w:r w:rsidR="00E221C5">
        <w:t xml:space="preserve">3, </w:t>
      </w:r>
      <w:r w:rsidR="00F21E79">
        <w:t>*</w:t>
      </w:r>
      <w:r w:rsidR="00E221C5">
        <w:t xml:space="preserve">4 and </w:t>
      </w:r>
      <w:r w:rsidR="00F21E79">
        <w:t>*</w:t>
      </w:r>
      <w:r w:rsidR="00E221C5">
        <w:t>8</w:t>
      </w:r>
      <w:r w:rsidR="0005631A">
        <w:t>)</w:t>
      </w:r>
      <w:r w:rsidR="001C0F1A">
        <w:t xml:space="preserve"> require </w:t>
      </w:r>
      <w:r w:rsidR="00D616C7">
        <w:t>higher doses of the drug</w:t>
      </w:r>
      <w:r w:rsidR="008C166D">
        <w:t>,</w:t>
      </w:r>
      <w:r w:rsidR="00E221C5">
        <w:t xml:space="preserve"> </w:t>
      </w:r>
      <w:r w:rsidR="00D616C7">
        <w:t xml:space="preserve">patients with </w:t>
      </w:r>
      <w:r w:rsidR="00010CD9">
        <w:t xml:space="preserve">a gain-of-function variant </w:t>
      </w:r>
      <w:r w:rsidR="0005631A">
        <w:t>(</w:t>
      </w:r>
      <w:r w:rsidR="00F21E79">
        <w:t>*</w:t>
      </w:r>
      <w:r w:rsidR="00E221C5">
        <w:t>17</w:t>
      </w:r>
      <w:r w:rsidR="0005631A">
        <w:t>)</w:t>
      </w:r>
      <w:r w:rsidR="00E221C5">
        <w:t xml:space="preserve"> </w:t>
      </w:r>
      <w:r w:rsidR="00D616C7">
        <w:t>require lower dose</w:t>
      </w:r>
      <w:r w:rsidR="00312740">
        <w:t>.</w:t>
      </w:r>
      <w:r w:rsidR="00B545BC">
        <w:fldChar w:fldCharType="begin" w:fldLock="1"/>
      </w:r>
      <w:r w:rsidR="009E1991">
        <w:instrText>ADDIN CSL_CITATION { "citationItems" : [ { "id" : "ITEM-1", "itemData" : { "author" : [ { "dropping-particle" : "", "family" : "Simon", "given" : "Tabassome", "non-dropping-particle" : "", "parse-names" : false, "suffix" : "" }, { "dropping-particle" : "", "family" : "Verstuyft", "given" : "Celine", "non-dropping-particle" : "", "parse-names" : false, "suffix" : "" }, { "dropping-particle" : "", "family" : "Mary-Krause", "given" : "Murielle", "non-dropping-particle" : "", "parse-names" : false, "suffix" : "" }, { "dropping-particle" : "", "family" : "Quteineh", "given" : "Lina", "non-dropping-particle" : "", "parse-names" : false, "suffix" : "" }, { "dropping-particle" : "", "family" : "Drouet", "given" : "Elodie", "non-dropping-particle" : "", "parse-names" : false, "suffix" : "" }, { "dropping-particle" : "", "family" : "Meeneveau", "given" : "Nicolas", "non-dropping-particle" : "", "parse-names" : false, "suffix" : "" }, { "dropping-particle" : "", "family" : "Stef", "given" : "Gabriel", "non-dropping-particle" : "", "parse-names" : false, "suffix" : "" }, { "dropping-particle" : "", "family" : "Ferrieres", "given" : "Jean", "non-dropping-particle" : "", "parse-names" : false, "suffix" : "" }, { "dropping-particle" : "", "family" : "Danchin", "given" : "Nicolas", "non-dropping-particle" : "", "parse-names" : false, "suffix" : "" }, { "dropping-particle" : "", "family" : "Becquemont", "given" : "Laurent", "non-dropping-particle" : "", "parse-names" : false, "suffix" : "" } ], "container-title" : "New England Journal of Medicine", "id" : "ITEM-1", "issue" : "4", "issued" : { "date-parts" : [ [ "2009" ] ] }, "page" : "363-375", "title" : "Genetic Determinants of Response to Clopidogrel and Cardiovascular Events", "type" : "article-journal", "volume" : "360" }, "uris" : [ "http://www.mendeley.com/documents/?uuid=34d9d1ac-ea97-471d-b7df-12074d68ae1d" ] } ], "mendeley" : { "formattedCitation" : "&lt;sup&gt;28&lt;/sup&gt;", "plainTextFormattedCitation" : "28", "previouslyFormattedCitation" : "&lt;sup&gt;28&lt;/sup&gt;" }, "properties" : { "noteIndex" : 0 }, "schema" : "https://github.com/citation-style-language/schema/raw/master/csl-citation.json" }</w:instrText>
      </w:r>
      <w:r w:rsidR="00B545BC">
        <w:fldChar w:fldCharType="separate"/>
      </w:r>
      <w:r w:rsidR="00D4086F" w:rsidRPr="00D4086F">
        <w:rPr>
          <w:noProof/>
          <w:vertAlign w:val="superscript"/>
        </w:rPr>
        <w:t>28</w:t>
      </w:r>
      <w:r w:rsidR="00B545BC">
        <w:fldChar w:fldCharType="end"/>
      </w:r>
      <w:r w:rsidR="00E221C5">
        <w:t xml:space="preserve"> Individuals may have a combination of variants and the </w:t>
      </w:r>
      <w:r w:rsidR="004B25CB">
        <w:t xml:space="preserve">Clinical Pharmacogenetics Implementation Consortium (CPIC) </w:t>
      </w:r>
      <w:r w:rsidR="00F21E79">
        <w:t xml:space="preserve">has </w:t>
      </w:r>
      <w:r w:rsidR="004B25CB">
        <w:t>developed guidelines for differing metabolism rates to inform treatment strategies</w:t>
      </w:r>
      <w:r w:rsidR="0084020B">
        <w:t>.</w:t>
      </w:r>
      <w:r w:rsidR="00B545BC">
        <w:fldChar w:fldCharType="begin" w:fldLock="1"/>
      </w:r>
      <w:r w:rsidR="009E1991">
        <w:instrText>ADDIN CSL_CITATION { "citationItems" : [ { "id" : "ITEM-1", "itemData" : { "DOI" : "10.1038/clpt.2013.105", "author" : [ { "dropping-particle" : "", "family" : "Scott", "given" : "S A", "non-dropping-particle" : "", "parse-names" : false, "suffix" : "" }, { "dropping-particle" : "", "family" : "Sangkuhl", "given" : "K", "non-dropping-particle" : "", "parse-names" : false, "suffix" : "" }, { "dropping-particle" : "", "family" : "Stein", "given" : "C M", "non-dropping-particle" : "", "parse-names" : false, "suffix" : "" }, { "dropping-particle" : "", "family" : "Hulot", "given" : "J-s", "non-dropping-particle" : "", "parse-names" : false, "suffix" : "" }, { "dropping-particle" : "", "family" : "Mega", "given" : "J L", "non-dropping-particle" : "", "parse-names" : false, "suffix" : "" }, { "dropping-particle" : "", "family" : "Roden", "given" : "D M", "non-dropping-particle" : "", "parse-names" : false, "suffix" : "" }, { "dropping-particle" : "", "family" : "Klein", "given" : "T E", "non-dropping-particle" : "", "parse-names" : false, "suffix" : "" }, { "dropping-particle" : "", "family" : "Sabatine", "given" : "M S", "non-dropping-particle" : "", "parse-names" : false, "suffix" : "" } ], "container-title" : "Clinical Pharmacology &amp; Therapeutics", "id" : "ITEM-1", "issue" : "3", "issued" : { "date-parts" : [ [ "2013" ] ] }, "page" : "317-323", "title" : "Clinical Pharmacogenetics Implementation Consortium Guidelines for CYP2C19 Genotype and Clopidogrel Therapy : 2013 Update", "type" : "article-journal", "volume" : "94" }, "uris" : [ "http://www.mendeley.com/documents/?uuid=9a88a577-b9fd-4a5b-8fb5-f21fd1ebd96c" ] } ], "mendeley" : { "formattedCitation" : "&lt;sup&gt;29&lt;/sup&gt;", "plainTextFormattedCitation" : "29", "previouslyFormattedCitation" : "&lt;sup&gt;29&lt;/sup&gt;" }, "properties" : { "noteIndex" : 0 }, "schema" : "https://github.com/citation-style-language/schema/raw/master/csl-citation.json" }</w:instrText>
      </w:r>
      <w:r w:rsidR="00B545BC">
        <w:fldChar w:fldCharType="separate"/>
      </w:r>
      <w:r w:rsidR="00D4086F" w:rsidRPr="00D4086F">
        <w:rPr>
          <w:noProof/>
          <w:vertAlign w:val="superscript"/>
        </w:rPr>
        <w:t>29</w:t>
      </w:r>
      <w:r w:rsidR="00B545BC">
        <w:fldChar w:fldCharType="end"/>
      </w:r>
      <w:r w:rsidR="004B25CB">
        <w:t xml:space="preserve"> The prevalence of variants </w:t>
      </w:r>
      <w:r w:rsidR="0005631A">
        <w:t>differs</w:t>
      </w:r>
      <w:r w:rsidR="004B25CB">
        <w:t xml:space="preserve"> by ethnicity</w:t>
      </w:r>
      <w:r w:rsidR="00B76B45">
        <w:t>; t</w:t>
      </w:r>
      <w:r w:rsidR="0005631A">
        <w:t xml:space="preserve">he most common CYP2C19 </w:t>
      </w:r>
      <w:r w:rsidR="008C166D">
        <w:t>loss-of-</w:t>
      </w:r>
      <w:r w:rsidR="0005631A">
        <w:t xml:space="preserve">function </w:t>
      </w:r>
      <w:r w:rsidR="00712AF7">
        <w:t xml:space="preserve">(LOF) </w:t>
      </w:r>
      <w:r w:rsidR="0005631A">
        <w:t xml:space="preserve">allele </w:t>
      </w:r>
      <w:r w:rsidR="008C166D">
        <w:t xml:space="preserve">is </w:t>
      </w:r>
      <w:r w:rsidR="00F21E79">
        <w:t>*</w:t>
      </w:r>
      <w:r w:rsidR="008C166D">
        <w:t>2</w:t>
      </w:r>
      <w:r w:rsidR="00B76B45">
        <w:t xml:space="preserve"> </w:t>
      </w:r>
      <w:r w:rsidR="008C166D">
        <w:t>with allele frequencies of 29-35% in Asians and only ~15% in Caucasians and Africans</w:t>
      </w:r>
      <w:r w:rsidR="0084020B">
        <w:t>.</w:t>
      </w:r>
      <w:r w:rsidR="00B545BC">
        <w:fldChar w:fldCharType="begin" w:fldLock="1"/>
      </w:r>
      <w:r w:rsidR="009E1991">
        <w:instrText>ADDIN CSL_CITATION { "citationItems" : [ { "id" : "ITEM-1", "itemData" : { "DOI" : "10.1038/clpt.2013.105", "author" : [ { "dropping-particle" : "", "family" : "Scott", "given" : "S A", "non-dropping-particle" : "", "parse-names" : false, "suffix" : "" }, { "dropping-particle" : "", "family" : "Sangkuhl", "given" : "K", "non-dropping-particle" : "", "parse-names" : false, "suffix" : "" }, { "dropping-particle" : "", "family" : "Stein", "given" : "C M", "non-dropping-particle" : "", "parse-names" : false, "suffix" : "" }, { "dropping-particle" : "", "family" : "Hulot", "given" : "J-s", "non-dropping-particle" : "", "parse-names" : false, "suffix" : "" }, { "dropping-particle" : "", "family" : "Mega", "given" : "J L", "non-dropping-particle" : "", "parse-names" : false, "suffix" : "" }, { "dropping-particle" : "", "family" : "Roden", "given" : "D M", "non-dropping-particle" : "", "parse-names" : false, "suffix" : "" }, { "dropping-particle" : "", "family" : "Klein", "given" : "T E", "non-dropping-particle" : "", "parse-names" : false, "suffix" : "" }, { "dropping-particle" : "", "family" : "Sabatine", "given" : "M S", "non-dropping-particle" : "", "parse-names" : false, "suffix" : "" } ], "container-title" : "Clinical Pharmacology &amp; Therapeutics", "id" : "ITEM-1", "issue" : "3", "issued" : { "date-parts" : [ [ "2013" ] ] }, "page" : "317-323", "title" : "Clinical Pharmacogenetics Implementation Consortium Guidelines for CYP2C19 Genotype and Clopidogrel Therapy : 2013 Update", "type" : "article-journal", "volume" : "94" }, "uris" : [ "http://www.mendeley.com/documents/?uuid=9a88a577-b9fd-4a5b-8fb5-f21fd1ebd96c" ] } ], "mendeley" : { "formattedCitation" : "&lt;sup&gt;29&lt;/sup&gt;", "plainTextFormattedCitation" : "29", "previouslyFormattedCitation" : "&lt;sup&gt;29&lt;/sup&gt;" }, "properties" : { "noteIndex" : 0 }, "schema" : "https://github.com/citation-style-language/schema/raw/master/csl-citation.json" }</w:instrText>
      </w:r>
      <w:r w:rsidR="00B545BC">
        <w:fldChar w:fldCharType="separate"/>
      </w:r>
      <w:r w:rsidR="00D4086F" w:rsidRPr="00D4086F">
        <w:rPr>
          <w:noProof/>
          <w:vertAlign w:val="superscript"/>
        </w:rPr>
        <w:t>29</w:t>
      </w:r>
      <w:r w:rsidR="00B545BC">
        <w:fldChar w:fldCharType="end"/>
      </w:r>
      <w:r w:rsidR="008C166D">
        <w:t xml:space="preserve"> </w:t>
      </w:r>
      <w:r w:rsidR="00010CD9">
        <w:t>The study by Panattoni et al</w:t>
      </w:r>
      <w:r w:rsidR="00991F9F">
        <w:fldChar w:fldCharType="begin" w:fldLock="1"/>
      </w:r>
      <w:r w:rsidR="006D5E0B">
        <w:instrText>ADDIN CSL_CITATION { "citationItems" : [ { "id" : "ITEM-1", "itemData" : { "DOI" : "10.2165/11595080-000000000-00000", "ISBN" : "1170-7690", "ISSN" : "11707690", "PMID" : "22974536", "abstract" : "BACKGROUND: A recent clinical trial has demonstrated that patients with acute coronary syndromes (ACS) and the reduced function allele CYP2C19*2 (*2 allele), who are treated with thienopyridines, have an increased risk of adverse cardiac events with clopidogrel, but not with prasugrel. The frequency of the *2 allele varies by ethnicity and the Maoris, Asians and Pacific Islanders of New Zealand have a relatively high incidence.\\n\\nOBJECTIVE: Our objective was to evaluate, from a New Zealand health system perspective, the cost effectiveness of treating all ACS patients with generic clopidogrel compared with prasugrel, and also compared with the genetically guided strategy that *2 allele carriers receive prasugrel and non-carriers receive clopidogrel.\\n\\nMETHODS: A decision-tree model consisting of five health states (myocardial infarction, stroke, bleeding, stent thrombosis and cardiovascular death) was developed. Clinical outcome data (two TRITON-TIMI 38 genetic sub-studies) comparing clopidogrel and prasugrel for both *2 allele carriers and non-carriers were combined with the prevalence of the heterozygosity for the *2 allele in New Zealand Europeans (15%), Maoris (24%), Asians (29%) and Pacific Islanders (45%) to determine the predicted adverse event rate for the New Zealand population. National hospital diagnosis-related group (DRG) discharge codes were used to determine alternative adverse event rates, along with the costs of hospitalizations during the 15 months after patients presented with an ACS. The primary outcome measure was the incremental cost per QALY (calculated using literature-reported weights). Monte Carlo simulations and alternative scenario analysis based on both clinical trial and national hospital incidence were used. Additional analysis considered the overall TRITON-TIMI 38 rates. Costs (in New Zealand dollars [$NZ], year 2009 values) and benefits were discounted at 3% per annum.\\n\\nRESULTS: Actual hospital-based adverse event rates were higher than those reported in the TRITON-TIMI 38 randomized controlled trial and the genetic sub-studies, especially for myocardial infarction and cardiovascular death, and for Maoris and Pacific Islanders. For both sources of adverse event rates, treating the population with prasugrel was associated with worse outcomes (QALYs) than clopidogrel. However, prasugrel became cost effective ($NZ31 751/QALY) when the overall TRITON-TIMI 38 rates were used. A genetic test to guide the selected use of pra\u2026", "author" : [ { "dropping-particle" : "", "family" : "Panattoni", "given" : "Laura", "non-dropping-particle" : "", "parse-names" : false, "suffix" : "" }, { "dropping-particle" : "", "family" : "Brown", "given" : "Paul M.", "non-dropping-particle" : "", "parse-names" : false, "suffix" : "" }, { "dropping-particle" : "Te", "family" : "Ao", "given" : "Braden", "non-dropping-particle" : "", "parse-names" : false, "suffix" : "" }, { "dropping-particle" : "", "family" : "Webster", "given" : "Mark", "non-dropping-particle" : "", "parse-names" : false, "suffix" : "" }, { "dropping-particle" : "", "family" : "Gladding", "given" : "Patrick", "non-dropping-particle" : "", "parse-names" : false, "suffix" : "" } ], "container-title" : "PharmacoEconomics", "id" : "ITEM-1", "issue" : "11", "issued" : { "date-parts" : [ [ "2012" ] ] }, "page" : "1067-1084", "title" : "The cost effectiveness of genetic testing for CYP2C19 Variants to Guide Thienopyridine Treatment in Patients with Acute Coronary Syndromes: A New Zealand Evaluation", "type" : "article-journal", "volume" : "30" }, "uris" : [ "http://www.mendeley.com/documents/?uuid=77a81b51-89fc-4fcc-8a8f-ddb96a3326e9" ] } ], "mendeley" : { "formattedCitation" : "&lt;sup&gt;19&lt;/sup&gt;", "plainTextFormattedCitation" : "19", "previouslyFormattedCitation" : "&lt;sup&gt;19&lt;/sup&gt;" }, "properties" : { "noteIndex" : 0 }, "schema" : "https://github.com/citation-style-language/schema/raw/master/csl-citation.json" }</w:instrText>
      </w:r>
      <w:r w:rsidR="00991F9F">
        <w:fldChar w:fldCharType="separate"/>
      </w:r>
      <w:r w:rsidR="006D5E0B" w:rsidRPr="006D5E0B">
        <w:rPr>
          <w:noProof/>
          <w:vertAlign w:val="superscript"/>
        </w:rPr>
        <w:t>19</w:t>
      </w:r>
      <w:r w:rsidR="00991F9F">
        <w:fldChar w:fldCharType="end"/>
      </w:r>
      <w:r w:rsidR="00010CD9">
        <w:t xml:space="preserve"> highlights how variation in the frequency of the variant allele in certain ethnic populations can </w:t>
      </w:r>
      <w:r w:rsidR="009B02AC">
        <w:t>con</w:t>
      </w:r>
      <w:r w:rsidR="00362E3D">
        <w:t>fer benefits in that population</w:t>
      </w:r>
      <w:r w:rsidR="009B02AC">
        <w:t xml:space="preserve"> and potentially reduce health inequalities</w:t>
      </w:r>
      <w:r w:rsidR="00362E3D">
        <w:t xml:space="preserve">. </w:t>
      </w:r>
    </w:p>
    <w:p w:rsidR="000B2722" w:rsidRDefault="00D616C7" w:rsidP="00057450">
      <w:pPr>
        <w:pStyle w:val="LRiGnormal"/>
        <w:spacing w:line="480" w:lineRule="auto"/>
      </w:pPr>
      <w:r>
        <w:t>It is important to note that c</w:t>
      </w:r>
      <w:r w:rsidR="00797996">
        <w:t xml:space="preserve">lopidogrel treatment failure </w:t>
      </w:r>
      <w:r>
        <w:t>is</w:t>
      </w:r>
      <w:r w:rsidR="00797996">
        <w:t xml:space="preserve"> multi-factorial as non-compliance, drug-drug interactions and comorbidities may also have a clinically significant impact on health outcomes.</w:t>
      </w:r>
      <w:r w:rsidR="007722A9" w:rsidRPr="00AB2543">
        <w:fldChar w:fldCharType="begin" w:fldLock="1"/>
      </w:r>
      <w:r w:rsidR="009E1991">
        <w:instrText>ADDIN CSL_CITATION { "citationItems" : [ { "id" : "ITEM-1", "itemData" : { "DOI" : "10.1161/CIRCGENETICS.115.001318", "ISBN" : "1873-4286 (Electronic)\\r1381-6128 (Linking)", "ISSN" : "19423268", "PMID" : "22724417", "abstract" : "Clopidogrel used in conjunction with aspirin has a central role in the treatment of patients with an acute coronary syndrome (ACS) and/or undergoing percutaneous coronary intervention (PCI). The pharmacokinetic and pharmacodynamic responses to this drug are highly variable leaving up to one third of patients with inadequate platelet inhibition or high on-treatment platelet reactivity (HPR), and subsequent increased ischemic cardiovascular events. Genetic variability in drug absorption and metabolism is a key factor responsible for the inefficient generation of the active drug metabolite. The two-step hepatic cytochrome P450 (CYP)-dependant oxidative metabolism of the prodrug appears to be of particular importance. Pharmacogenomic analyses have identified loss-of-function variant alleles of CYP 2C19 and specifically the 2C19*2 allele, to be the predominant genetic mediators of the antiplatelet effect of clopidogrel. Carriers were have been shown to have lower active metabolite levels of clopidogrel, higher platelet reactivity and associated poorer outcomes. Rapid and accurate point-of-care genetic tests to identify these alleles are currently in development but several questions about the role of such testing remain such as patient selection and whether personalized treatment based on genotype has a positive impact on clinical outcome. At present, genetic testing cannot be recommended in routine clinical practice due to insufficient prospective data. However, the significant body of research published to date suggests a likely role when used in combination with platelet function analysis in ACS patients undergoing stenting who have other known risk factors for recurrent ischemic events. \u00a9 2012 Bentham Science Publishers.", "author" : [ { "dropping-particle" : "", "family" : "Pereira", "given" : "Naveen L.", "non-dropping-particle" : "", "parse-names" : false, "suffix" : "" }, { "dropping-particle" : "", "family" : "Geske", "given" : "Jeffrey B.", "non-dropping-particle" : "", "parse-names" : false, "suffix" : "" }, { "dropping-particle" : "", "family" : "Mayr", "given" : "Manuel", "non-dropping-particle" : "", "parse-names" : false, "suffix" : "" }, { "dropping-particle" : "", "family" : "Shah", "given" : "Svati H.", "non-dropping-particle" : "", "parse-names" : false, "suffix" : "" }, { "dropping-particle" : "", "family" : "Rihal", "given" : "Charanjit S.", "non-dropping-particle" : "", "parse-names" : false, "suffix" : "" } ], "container-title" : "Circulation: Cardiovascular Genetics", "id" : "ITEM-1", "issue" : "2", "issued" : { "date-parts" : [ [ "2016" ] ] }, "page" : "185-188", "title" : "Pharmacogenetics of clopidogrel", "type" : "article-journal", "volume" : "9" }, "uris" : [ "http://www.mendeley.com/documents/?uuid=d6297941-f765-4881-bc38-07094ea7a617" ] } ], "mendeley" : { "formattedCitation" : "&lt;sup&gt;30&lt;/sup&gt;", "plainTextFormattedCitation" : "30", "previouslyFormattedCitation" : "&lt;sup&gt;30&lt;/sup&gt;" }, "properties" : { "noteIndex" : 0 }, "schema" : "https://github.com/citation-style-language/schema/raw/master/csl-citation.json" }</w:instrText>
      </w:r>
      <w:r w:rsidR="007722A9" w:rsidRPr="00AB2543">
        <w:fldChar w:fldCharType="separate"/>
      </w:r>
      <w:r w:rsidR="00D4086F" w:rsidRPr="00D4086F">
        <w:rPr>
          <w:noProof/>
          <w:vertAlign w:val="superscript"/>
        </w:rPr>
        <w:t>30</w:t>
      </w:r>
      <w:r w:rsidR="007722A9" w:rsidRPr="00AB2543">
        <w:fldChar w:fldCharType="end"/>
      </w:r>
      <w:r w:rsidR="00797996">
        <w:t xml:space="preserve"> </w:t>
      </w:r>
      <w:r w:rsidR="007722A9">
        <w:t>Therefore to date, d</w:t>
      </w:r>
      <w:r w:rsidR="00797996">
        <w:t xml:space="preserve">ue to a </w:t>
      </w:r>
      <w:r w:rsidR="000B2722">
        <w:t xml:space="preserve">lack of prospective data from RCTs </w:t>
      </w:r>
      <w:r w:rsidR="007722A9">
        <w:t>which would adjust for confounding factors</w:t>
      </w:r>
      <w:r w:rsidR="000B2722">
        <w:t>,</w:t>
      </w:r>
      <w:r w:rsidR="00797996">
        <w:t xml:space="preserve"> </w:t>
      </w:r>
      <w:r w:rsidR="007722A9">
        <w:t>g</w:t>
      </w:r>
      <w:r w:rsidR="0012785E">
        <w:t xml:space="preserve">enotyping </w:t>
      </w:r>
      <w:r w:rsidR="00712AF7">
        <w:t xml:space="preserve">to identify </w:t>
      </w:r>
      <w:r w:rsidR="0012785E">
        <w:t xml:space="preserve">CYP2C19 </w:t>
      </w:r>
      <w:r w:rsidR="00712AF7">
        <w:t xml:space="preserve">LOF alleles is not yet </w:t>
      </w:r>
      <w:r w:rsidR="00CB755C">
        <w:t xml:space="preserve">widely </w:t>
      </w:r>
      <w:r w:rsidR="00712AF7">
        <w:t xml:space="preserve">recommended </w:t>
      </w:r>
      <w:r w:rsidR="0073208F">
        <w:t xml:space="preserve">as </w:t>
      </w:r>
      <w:r w:rsidR="0073208F">
        <w:lastRenderedPageBreak/>
        <w:t>part of routine clinic</w:t>
      </w:r>
      <w:r w:rsidR="000B2722">
        <w:t>al</w:t>
      </w:r>
      <w:r w:rsidR="0073208F">
        <w:t xml:space="preserve"> care</w:t>
      </w:r>
      <w:r w:rsidR="00712AF7">
        <w:t>.</w:t>
      </w:r>
      <w:r w:rsidR="00CA4B1A" w:rsidRPr="00AB2543">
        <w:fldChar w:fldCharType="begin" w:fldLock="1"/>
      </w:r>
      <w:r w:rsidR="009E1991">
        <w:instrText>ADDIN CSL_CITATION { "citationItems" : [ { "id" : "ITEM-1", "itemData" : { "DOI" : "10.1161/CIRCGENETICS.115.001318", "ISBN" : "1873-4286 (Electronic)\\r1381-6128 (Linking)", "ISSN" : "19423268", "PMID" : "22724417", "abstract" : "Clopidogrel used in conjunction with aspirin has a central role in the treatment of patients with an acute coronary syndrome (ACS) and/or undergoing percutaneous coronary intervention (PCI). The pharmacokinetic and pharmacodynamic responses to this drug are highly variable leaving up to one third of patients with inadequate platelet inhibition or high on-treatment platelet reactivity (HPR), and subsequent increased ischemic cardiovascular events. Genetic variability in drug absorption and metabolism is a key factor responsible for the inefficient generation of the active drug metabolite. The two-step hepatic cytochrome P450 (CYP)-dependant oxidative metabolism of the prodrug appears to be of particular importance. Pharmacogenomic analyses have identified loss-of-function variant alleles of CYP 2C19 and specifically the 2C19*2 allele, to be the predominant genetic mediators of the antiplatelet effect of clopidogrel. Carriers were have been shown to have lower active metabolite levels of clopidogrel, higher platelet reactivity and associated poorer outcomes. Rapid and accurate point-of-care genetic tests to identify these alleles are currently in development but several questions about the role of such testing remain such as patient selection and whether personalized treatment based on genotype has a positive impact on clinical outcome. At present, genetic testing cannot be recommended in routine clinical practice due to insufficient prospective data. However, the significant body of research published to date suggests a likely role when used in combination with platelet function analysis in ACS patients undergoing stenting who have other known risk factors for recurrent ischemic events. \u00a9 2012 Bentham Science Publishers.", "author" : [ { "dropping-particle" : "", "family" : "Pereira", "given" : "Naveen L.", "non-dropping-particle" : "", "parse-names" : false, "suffix" : "" }, { "dropping-particle" : "", "family" : "Geske", "given" : "Jeffrey B.", "non-dropping-particle" : "", "parse-names" : false, "suffix" : "" }, { "dropping-particle" : "", "family" : "Mayr", "given" : "Manuel", "non-dropping-particle" : "", "parse-names" : false, "suffix" : "" }, { "dropping-particle" : "", "family" : "Shah", "given" : "Svati H.", "non-dropping-particle" : "", "parse-names" : false, "suffix" : "" }, { "dropping-particle" : "", "family" : "Rihal", "given" : "Charanjit S.", "non-dropping-particle" : "", "parse-names" : false, "suffix" : "" } ], "container-title" : "Circulation: Cardiovascular Genetics", "id" : "ITEM-1", "issue" : "2", "issued" : { "date-parts" : [ [ "2016" ] ] }, "page" : "185-188", "title" : "Pharmacogenetics of clopidogrel", "type" : "article-journal", "volume" : "9" }, "uris" : [ "http://www.mendeley.com/documents/?uuid=d6297941-f765-4881-bc38-07094ea7a617" ] } ], "mendeley" : { "formattedCitation" : "&lt;sup&gt;30&lt;/sup&gt;", "plainTextFormattedCitation" : "30", "previouslyFormattedCitation" : "&lt;sup&gt;30&lt;/sup&gt;" }, "properties" : { "noteIndex" : 0 }, "schema" : "https://github.com/citation-style-language/schema/raw/master/csl-citation.json" }</w:instrText>
      </w:r>
      <w:r w:rsidR="00CA4B1A" w:rsidRPr="00AB2543">
        <w:fldChar w:fldCharType="separate"/>
      </w:r>
      <w:r w:rsidR="00D4086F" w:rsidRPr="00D4086F">
        <w:rPr>
          <w:noProof/>
          <w:vertAlign w:val="superscript"/>
        </w:rPr>
        <w:t>30</w:t>
      </w:r>
      <w:r w:rsidR="00CA4B1A" w:rsidRPr="00AB2543">
        <w:fldChar w:fldCharType="end"/>
      </w:r>
      <w:r w:rsidR="007722A9">
        <w:t xml:space="preserve"> </w:t>
      </w:r>
      <w:r w:rsidR="000B2722">
        <w:t>However, two large prospective RCTs (TAILOR-PCI and POPular Genetics study) are underway to address this gap in clinical evidence.</w:t>
      </w:r>
      <w:r w:rsidR="000B2722" w:rsidRPr="00AB2543">
        <w:fldChar w:fldCharType="begin" w:fldLock="1"/>
      </w:r>
      <w:r w:rsidR="009E1991">
        <w:instrText>ADDIN CSL_CITATION { "citationItems" : [ { "id" : "ITEM-1", "itemData" : { "DOI" : "10.1161/CIRCGENETICS.115.001318", "ISBN" : "1873-4286 (Electronic)\\r1381-6128 (Linking)", "ISSN" : "19423268", "PMID" : "22724417", "abstract" : "Clopidogrel used in conjunction with aspirin has a central role in the treatment of patients with an acute coronary syndrome (ACS) and/or undergoing percutaneous coronary intervention (PCI). The pharmacokinetic and pharmacodynamic responses to this drug are highly variable leaving up to one third of patients with inadequate platelet inhibition or high on-treatment platelet reactivity (HPR), and subsequent increased ischemic cardiovascular events. Genetic variability in drug absorption and metabolism is a key factor responsible for the inefficient generation of the active drug metabolite. The two-step hepatic cytochrome P450 (CYP)-dependant oxidative metabolism of the prodrug appears to be of particular importance. Pharmacogenomic analyses have identified loss-of-function variant alleles of CYP 2C19 and specifically the 2C19*2 allele, to be the predominant genetic mediators of the antiplatelet effect of clopidogrel. Carriers were have been shown to have lower active metabolite levels of clopidogrel, higher platelet reactivity and associated poorer outcomes. Rapid and accurate point-of-care genetic tests to identify these alleles are currently in development but several questions about the role of such testing remain such as patient selection and whether personalized treatment based on genotype has a positive impact on clinical outcome. At present, genetic testing cannot be recommended in routine clinical practice due to insufficient prospective data. However, the significant body of research published to date suggests a likely role when used in combination with platelet function analysis in ACS patients undergoing stenting who have other known risk factors for recurrent ischemic events. \u00a9 2012 Bentham Science Publishers.", "author" : [ { "dropping-particle" : "", "family" : "Pereira", "given" : "Naveen L.", "non-dropping-particle" : "", "parse-names" : false, "suffix" : "" }, { "dropping-particle" : "", "family" : "Geske", "given" : "Jeffrey B.", "non-dropping-particle" : "", "parse-names" : false, "suffix" : "" }, { "dropping-particle" : "", "family" : "Mayr", "given" : "Manuel", "non-dropping-particle" : "", "parse-names" : false, "suffix" : "" }, { "dropping-particle" : "", "family" : "Shah", "given" : "Svati H.", "non-dropping-particle" : "", "parse-names" : false, "suffix" : "" }, { "dropping-particle" : "", "family" : "Rihal", "given" : "Charanjit S.", "non-dropping-particle" : "", "parse-names" : false, "suffix" : "" } ], "container-title" : "Circulation: Cardiovascular Genetics", "id" : "ITEM-1", "issue" : "2", "issued" : { "date-parts" : [ [ "2016" ] ] }, "page" : "185-188", "title" : "Pharmacogenetics of clopidogrel", "type" : "article-journal", "volume" : "9" }, "uris" : [ "http://www.mendeley.com/documents/?uuid=d6297941-f765-4881-bc38-07094ea7a617" ] } ], "mendeley" : { "formattedCitation" : "&lt;sup&gt;30&lt;/sup&gt;", "plainTextFormattedCitation" : "30", "previouslyFormattedCitation" : "&lt;sup&gt;30&lt;/sup&gt;" }, "properties" : { "noteIndex" : 0 }, "schema" : "https://github.com/citation-style-language/schema/raw/master/csl-citation.json" }</w:instrText>
      </w:r>
      <w:r w:rsidR="000B2722" w:rsidRPr="00AB2543">
        <w:fldChar w:fldCharType="separate"/>
      </w:r>
      <w:r w:rsidR="00D4086F" w:rsidRPr="00D4086F">
        <w:rPr>
          <w:noProof/>
          <w:vertAlign w:val="superscript"/>
        </w:rPr>
        <w:t>30</w:t>
      </w:r>
      <w:r w:rsidR="000B2722" w:rsidRPr="00AB2543">
        <w:fldChar w:fldCharType="end"/>
      </w:r>
    </w:p>
    <w:p w:rsidR="00420C88" w:rsidRDefault="00EE189D" w:rsidP="00057450">
      <w:pPr>
        <w:pStyle w:val="LRiGnormal"/>
        <w:spacing w:line="480" w:lineRule="auto"/>
        <w:rPr>
          <w:lang w:eastAsia="en-GB"/>
        </w:rPr>
      </w:pPr>
      <w:r>
        <w:t xml:space="preserve">From both pharmacogenomic </w:t>
      </w:r>
      <w:r w:rsidR="00D616C7">
        <w:t>examples</w:t>
      </w:r>
      <w:r>
        <w:t xml:space="preserve">, it is apparent that </w:t>
      </w:r>
      <w:r w:rsidR="007F11AA">
        <w:t xml:space="preserve">identifying </w:t>
      </w:r>
      <w:r w:rsidR="00D616C7">
        <w:t xml:space="preserve">genetic variants </w:t>
      </w:r>
      <w:r w:rsidR="007F11AA">
        <w:t>in gene</w:t>
      </w:r>
      <w:r w:rsidR="00420C88">
        <w:t>s</w:t>
      </w:r>
      <w:r>
        <w:t xml:space="preserve"> </w:t>
      </w:r>
      <w:r w:rsidR="00420C88">
        <w:t xml:space="preserve">across an </w:t>
      </w:r>
      <w:r w:rsidR="009B02AC">
        <w:t>eth</w:t>
      </w:r>
      <w:r w:rsidR="00420C88">
        <w:t>nically diverse</w:t>
      </w:r>
      <w:r w:rsidR="009B02AC">
        <w:t xml:space="preserve"> </w:t>
      </w:r>
      <w:r w:rsidR="00420C88">
        <w:t xml:space="preserve">population </w:t>
      </w:r>
      <w:r w:rsidR="007F11AA">
        <w:t>can improve</w:t>
      </w:r>
      <w:r>
        <w:t xml:space="preserve"> treatment algorithms </w:t>
      </w:r>
      <w:r w:rsidR="007F11AA">
        <w:t>to optimize care</w:t>
      </w:r>
      <w:r>
        <w:t xml:space="preserve">. </w:t>
      </w:r>
      <w:r w:rsidR="008E1B22">
        <w:t xml:space="preserve">A report by the </w:t>
      </w:r>
      <w:r w:rsidR="007C4E30">
        <w:t>P</w:t>
      </w:r>
      <w:r w:rsidR="00175C71">
        <w:t xml:space="preserve">MI </w:t>
      </w:r>
      <w:r w:rsidR="007C4E30">
        <w:t>W</w:t>
      </w:r>
      <w:r w:rsidR="008E1B22">
        <w:t xml:space="preserve">orking </w:t>
      </w:r>
      <w:r w:rsidR="007C4E30">
        <w:t>G</w:t>
      </w:r>
      <w:r w:rsidR="008E1B22">
        <w:t xml:space="preserve">roup further explains that knowledge of genetic </w:t>
      </w:r>
      <w:r w:rsidR="00D616C7">
        <w:t xml:space="preserve">variability </w:t>
      </w:r>
      <w:r w:rsidR="008E1B22">
        <w:t xml:space="preserve">in different </w:t>
      </w:r>
      <w:r w:rsidR="009B02AC">
        <w:t xml:space="preserve">ethnic </w:t>
      </w:r>
      <w:r w:rsidR="008E1B22">
        <w:t>groups is necessary to identify variations in disease etiology and course</w:t>
      </w:r>
      <w:r w:rsidR="0084020B">
        <w:t>.</w:t>
      </w:r>
      <w:r w:rsidR="005F18AA" w:rsidRPr="00A31A8E">
        <w:rPr>
          <w:lang w:eastAsia="en-GB"/>
        </w:rPr>
        <w:fldChar w:fldCharType="begin" w:fldLock="1"/>
      </w:r>
      <w:r w:rsidR="00B719B4">
        <w:rPr>
          <w:lang w:eastAsia="en-GB"/>
        </w:rPr>
        <w:instrText>ADDIN CSL_CITATION { "citationItems" : [ { "id" : "ITEM-1", "itemData" : { "URL" : "https://www.nih.gov/precision-medicine-initiative-cohort-program", "accessed" : { "date-parts" : [ [ "2016", "9", "23" ] ] }, "author" : [ { "dropping-particle" : "", "family" : "NIH", "given" : "", "non-dropping-particle" : "", "parse-names" : false, "suffix" : "" } ], "id" : "ITEM-1", "issued" : { "date-parts" : [ [ "2016" ] ] }, "title" : "Precision Medicine Initiative Cohort Program", "type" : "webpage" }, "uris" : [ "http://www.mendeley.com/documents/?uuid=84c8c179-50c1-4479-8235-e9885abcf94c" ] } ], "mendeley" : { "formattedCitation" : "&lt;sup&gt;5&lt;/sup&gt;", "plainTextFormattedCitation" : "5", "previouslyFormattedCitation" : "&lt;sup&gt;5&lt;/sup&gt;" }, "properties" : { "noteIndex" : 0 }, "schema" : "https://github.com/citation-style-language/schema/raw/master/csl-citation.json" }</w:instrText>
      </w:r>
      <w:r w:rsidR="005F18AA" w:rsidRPr="00A31A8E">
        <w:rPr>
          <w:lang w:eastAsia="en-GB"/>
        </w:rPr>
        <w:fldChar w:fldCharType="separate"/>
      </w:r>
      <w:r w:rsidR="009427AF" w:rsidRPr="009427AF">
        <w:rPr>
          <w:noProof/>
          <w:vertAlign w:val="superscript"/>
          <w:lang w:eastAsia="en-GB"/>
        </w:rPr>
        <w:t>5</w:t>
      </w:r>
      <w:r w:rsidR="005F18AA" w:rsidRPr="00A31A8E">
        <w:rPr>
          <w:lang w:eastAsia="en-GB"/>
        </w:rPr>
        <w:fldChar w:fldCharType="end"/>
      </w:r>
      <w:r w:rsidR="00B02B72">
        <w:t xml:space="preserve"> </w:t>
      </w:r>
      <w:r w:rsidR="00CE1532">
        <w:t xml:space="preserve">The results of this review </w:t>
      </w:r>
      <w:r w:rsidR="007C4E30">
        <w:t xml:space="preserve">identified </w:t>
      </w:r>
      <w:r w:rsidR="00FC189D">
        <w:t xml:space="preserve">a small number of studies which have focused on </w:t>
      </w:r>
      <w:r w:rsidR="00B02B72">
        <w:t xml:space="preserve">the impact of pharmacogenomics on </w:t>
      </w:r>
      <w:r w:rsidR="00FC189D">
        <w:t xml:space="preserve">health disparities. </w:t>
      </w:r>
      <w:r w:rsidR="00420C88">
        <w:t xml:space="preserve">However, from </w:t>
      </w:r>
      <w:r w:rsidR="00D616C7">
        <w:t xml:space="preserve">our </w:t>
      </w:r>
      <w:r w:rsidR="00420C88">
        <w:t>findings</w:t>
      </w:r>
      <w:r w:rsidR="00FC189D">
        <w:t xml:space="preserve"> it is difficult to state with any degree of certainty as to whether health </w:t>
      </w:r>
      <w:r w:rsidR="00E36BEB">
        <w:t>disparities</w:t>
      </w:r>
      <w:r w:rsidR="00FC189D">
        <w:t xml:space="preserve"> have been widened or reduced by pharmacogenomics. Indeed, the r</w:t>
      </w:r>
      <w:r w:rsidR="00CE1532">
        <w:t xml:space="preserve">esults from this review should be </w:t>
      </w:r>
      <w:r w:rsidR="00FC189D">
        <w:t xml:space="preserve">treated </w:t>
      </w:r>
      <w:r w:rsidR="00175C71">
        <w:t>with caution as ‘</w:t>
      </w:r>
      <w:r w:rsidR="00CE1532">
        <w:t>absence of evidence is not evidence of absence’</w:t>
      </w:r>
      <w:r w:rsidR="0084020B">
        <w:t>.</w:t>
      </w:r>
      <w:r w:rsidR="00CE1532">
        <w:rPr>
          <w:lang w:eastAsia="en-GB"/>
        </w:rPr>
        <w:t xml:space="preserve"> </w:t>
      </w:r>
    </w:p>
    <w:p w:rsidR="0091637A" w:rsidRDefault="00420C88" w:rsidP="00057450">
      <w:pPr>
        <w:pStyle w:val="LRiGnormal"/>
        <w:spacing w:line="480" w:lineRule="auto"/>
      </w:pPr>
      <w:r>
        <w:rPr>
          <w:lang w:eastAsia="en-GB"/>
        </w:rPr>
        <w:t>A</w:t>
      </w:r>
      <w:r w:rsidR="007E6EFB">
        <w:t xml:space="preserve">ccess </w:t>
      </w:r>
      <w:r w:rsidR="00F21E79">
        <w:t xml:space="preserve">to, </w:t>
      </w:r>
      <w:r w:rsidR="007E6EFB">
        <w:t>and knowledge-based disparities in</w:t>
      </w:r>
      <w:r w:rsidR="00F21E79">
        <w:t>,</w:t>
      </w:r>
      <w:r w:rsidR="007E6EFB">
        <w:t xml:space="preserve"> implementation</w:t>
      </w:r>
      <w:r w:rsidR="00D616C7">
        <w:t xml:space="preserve"> of pharmacogenomics in clinical practice</w:t>
      </w:r>
      <w:r w:rsidR="007E6EFB">
        <w:t xml:space="preserve"> may be compounded by a paucity of evidence of clinical effectiveness in underserved groups</w:t>
      </w:r>
      <w:r w:rsidR="0084020B">
        <w:t>.</w:t>
      </w:r>
      <w:r w:rsidR="007E6EFB">
        <w:t xml:space="preserve"> </w:t>
      </w:r>
      <w:r w:rsidR="00FC189D">
        <w:rPr>
          <w:lang w:eastAsia="en-GB"/>
        </w:rPr>
        <w:t xml:space="preserve">Furthermore, </w:t>
      </w:r>
      <w:r w:rsidR="001B5F8C">
        <w:rPr>
          <w:lang w:eastAsia="en-GB"/>
        </w:rPr>
        <w:t xml:space="preserve">provider and patient relations are paramount for the </w:t>
      </w:r>
      <w:r w:rsidR="00557C5A">
        <w:rPr>
          <w:lang w:eastAsia="en-GB"/>
        </w:rPr>
        <w:t xml:space="preserve">potential </w:t>
      </w:r>
      <w:r w:rsidR="001B5F8C">
        <w:rPr>
          <w:lang w:eastAsia="en-GB"/>
        </w:rPr>
        <w:t xml:space="preserve">realization of PM. </w:t>
      </w:r>
      <w:r>
        <w:rPr>
          <w:lang w:eastAsia="en-GB"/>
        </w:rPr>
        <w:t xml:space="preserve">There is known </w:t>
      </w:r>
      <w:r w:rsidR="00557C5A">
        <w:rPr>
          <w:lang w:eastAsia="en-GB"/>
        </w:rPr>
        <w:t>substantial</w:t>
      </w:r>
      <w:r w:rsidR="001B5F8C">
        <w:rPr>
          <w:lang w:eastAsia="en-GB"/>
        </w:rPr>
        <w:t xml:space="preserve"> disparit</w:t>
      </w:r>
      <w:r w:rsidR="00FC189D">
        <w:rPr>
          <w:lang w:eastAsia="en-GB"/>
        </w:rPr>
        <w:t>y</w:t>
      </w:r>
      <w:r w:rsidR="001B5F8C">
        <w:rPr>
          <w:lang w:eastAsia="en-GB"/>
        </w:rPr>
        <w:t xml:space="preserve"> in uptake of genetic tests</w:t>
      </w:r>
      <w:r w:rsidR="00FC189D">
        <w:rPr>
          <w:lang w:eastAsia="en-GB"/>
        </w:rPr>
        <w:t xml:space="preserve">, which </w:t>
      </w:r>
      <w:r w:rsidR="001B5F8C">
        <w:rPr>
          <w:lang w:eastAsia="en-GB"/>
        </w:rPr>
        <w:t>has been found to be associated with a range of psychosocial, sociodemographic factors and clinical factors</w:t>
      </w:r>
      <w:r w:rsidR="0084020B">
        <w:rPr>
          <w:lang w:eastAsia="en-GB"/>
        </w:rPr>
        <w:t>.</w:t>
      </w:r>
      <w:r w:rsidR="00B545BC">
        <w:rPr>
          <w:lang w:eastAsia="en-GB"/>
        </w:rPr>
        <w:fldChar w:fldCharType="begin" w:fldLock="1"/>
      </w:r>
      <w:r w:rsidR="00B719B4">
        <w:rPr>
          <w:lang w:eastAsia="en-GB"/>
        </w:rPr>
        <w:instrText>ADDIN CSL_CITATION { "citationItems" : [ { "id" : "ITEM-1", "itemData" : { "DOI" : "10.1007/s10897-014-9712-9", "ISBN" : "1089701497", "ISSN" : "15733599", "PMID" : "24719248", "abstract" : "Genetic testing is increasingly available in medical settings and direct-to-consumer. However, the large and growing literature on genetic testing decisions is rife with conflicting findings, inconsistent methodology, and uneven attention across test types and across predictors of genetic testing decisions. Existing reviews of the literature draw broad conclusions but sacrifice nuanced analysis that with a closer look reveals far more inconsistency than homogeny across studies. The goals of this paper are to provide a systematic review of the empirical work on predictors of genetic testing decisions, highlight areas of consistency and inconsistency, and suggest productive directions for future research. We included all studies that provided quantitative analysis of subjective (e.g., perceived risk, perceived benefits of testing) and/or objective (e.g., family history, sociodemographic variables) predictors of genetic testing interest, intentions, or uptake, which produced a sample of 115 studies. From this review, we conclude that self-reported and test-related (as opposed to disorder-related or objective) predictors are relatively consistent across studies but that theoretically-driven efforts to examine testing interest across test types are sorely needed.", "author" : [ { "dropping-particle" : "", "family" : "Sweeny", "given" : "Kate", "non-dropping-particle" : "", "parse-names" : false, "suffix" : "" }, { "dropping-particle" : "", "family" : "Ghane", "given" : "Arezou", "non-dropping-particle" : "", "parse-names" : false, "suffix" : "" }, { "dropping-particle" : "", "family" : "Legg", "given" : "Angela M.", "non-dropping-particle" : "", "parse-names" : false, "suffix" : "" }, { "dropping-particle" : "", "family" : "Huynh", "given" : "Ho Phi", "non-dropping-particle" : "", "parse-names" : false, "suffix" : "" }, { "dropping-particle" : "", "family" : "Andrews", "given" : "Sara E.", "non-dropping-particle" : "", "parse-names" : false, "suffix" : "" } ], "container-title" : "Journal of Genetic Counseling", "id" : "ITEM-1", "issue" : "3", "issued" : { "date-parts" : [ [ "2014" ] ] }, "page" : "263-288", "title" : "Predictors of genetic testing decisions: A systematic review and critique of the literature", "type" : "article-journal", "volume" : "23" }, "uris" : [ "http://www.mendeley.com/documents/?uuid=ad4cc267-f4ee-487e-aa99-9dd0f47287a4" ] } ], "mendeley" : { "formattedCitation" : "&lt;sup&gt;6&lt;/sup&gt;", "plainTextFormattedCitation" : "6", "previouslyFormattedCitation" : "&lt;sup&gt;6&lt;/sup&gt;" }, "properties" : { "noteIndex" : 0 }, "schema" : "https://github.com/citation-style-language/schema/raw/master/csl-citation.json" }</w:instrText>
      </w:r>
      <w:r w:rsidR="00B545BC">
        <w:rPr>
          <w:lang w:eastAsia="en-GB"/>
        </w:rPr>
        <w:fldChar w:fldCharType="separate"/>
      </w:r>
      <w:r w:rsidR="009427AF" w:rsidRPr="009427AF">
        <w:rPr>
          <w:noProof/>
          <w:vertAlign w:val="superscript"/>
          <w:lang w:eastAsia="en-GB"/>
        </w:rPr>
        <w:t>6</w:t>
      </w:r>
      <w:r w:rsidR="00B545BC">
        <w:rPr>
          <w:lang w:eastAsia="en-GB"/>
        </w:rPr>
        <w:fldChar w:fldCharType="end"/>
      </w:r>
      <w:r w:rsidR="001B5F8C">
        <w:rPr>
          <w:lang w:eastAsia="en-GB"/>
        </w:rPr>
        <w:t xml:space="preserve"> Therefore, proactive initiatives to minimize and prevent disparities caused by these factors</w:t>
      </w:r>
      <w:r w:rsidR="00FC189D">
        <w:rPr>
          <w:lang w:eastAsia="en-GB"/>
        </w:rPr>
        <w:t xml:space="preserve"> should be encouraged</w:t>
      </w:r>
      <w:r w:rsidR="001B5F8C">
        <w:rPr>
          <w:lang w:eastAsia="en-GB"/>
        </w:rPr>
        <w:t>.</w:t>
      </w:r>
      <w:r w:rsidR="001B5F8C" w:rsidRPr="00B77941">
        <w:t xml:space="preserve"> </w:t>
      </w:r>
      <w:r w:rsidR="00FC189D">
        <w:t xml:space="preserve">This should include conscious decisions to ensure that there is </w:t>
      </w:r>
      <w:r w:rsidR="00FC189D">
        <w:rPr>
          <w:lang w:eastAsia="en-GB"/>
        </w:rPr>
        <w:t xml:space="preserve">participation across sociodemographic groups during the </w:t>
      </w:r>
      <w:r w:rsidR="00557C5A">
        <w:rPr>
          <w:lang w:eastAsia="en-GB"/>
        </w:rPr>
        <w:t>development phase</w:t>
      </w:r>
      <w:r w:rsidR="00FC189D">
        <w:rPr>
          <w:lang w:eastAsia="en-GB"/>
        </w:rPr>
        <w:t xml:space="preserve"> t</w:t>
      </w:r>
      <w:r w:rsidR="00557C5A">
        <w:rPr>
          <w:lang w:eastAsia="en-GB"/>
        </w:rPr>
        <w:t>o ensure</w:t>
      </w:r>
      <w:r w:rsidR="00FC189D">
        <w:rPr>
          <w:lang w:eastAsia="en-GB"/>
        </w:rPr>
        <w:t xml:space="preserve"> that</w:t>
      </w:r>
      <w:r w:rsidR="00557C5A">
        <w:rPr>
          <w:lang w:eastAsia="en-GB"/>
        </w:rPr>
        <w:t xml:space="preserve"> </w:t>
      </w:r>
      <w:r w:rsidR="00894EC4">
        <w:rPr>
          <w:lang w:eastAsia="en-GB"/>
        </w:rPr>
        <w:t xml:space="preserve">the potential </w:t>
      </w:r>
      <w:r w:rsidR="00557C5A">
        <w:rPr>
          <w:lang w:eastAsia="en-GB"/>
        </w:rPr>
        <w:t xml:space="preserve">benefits from </w:t>
      </w:r>
      <w:r w:rsidR="00294FDF">
        <w:rPr>
          <w:lang w:eastAsia="en-GB"/>
        </w:rPr>
        <w:t xml:space="preserve">pharmacogenomic research </w:t>
      </w:r>
      <w:r w:rsidR="004D20C0">
        <w:rPr>
          <w:lang w:eastAsia="en-GB"/>
        </w:rPr>
        <w:t xml:space="preserve">are </w:t>
      </w:r>
      <w:r w:rsidR="00894EC4">
        <w:rPr>
          <w:lang w:eastAsia="en-GB"/>
        </w:rPr>
        <w:t>fully realiz</w:t>
      </w:r>
      <w:r w:rsidR="00557C5A">
        <w:rPr>
          <w:lang w:eastAsia="en-GB"/>
        </w:rPr>
        <w:t>ed</w:t>
      </w:r>
      <w:r w:rsidR="0084020B">
        <w:rPr>
          <w:lang w:eastAsia="en-GB"/>
        </w:rPr>
        <w:t>.</w:t>
      </w:r>
      <w:r w:rsidR="00B545BC">
        <w:rPr>
          <w:lang w:eastAsia="en-GB"/>
        </w:rPr>
        <w:fldChar w:fldCharType="begin" w:fldLock="1"/>
      </w:r>
      <w:r w:rsidR="009E1991">
        <w:rPr>
          <w:lang w:eastAsia="en-GB"/>
        </w:rPr>
        <w:instrText>ADDIN CSL_CITATION { "citationItems" : [ { "id" : "ITEM-1", "itemData" : { "DOI" : "10.1056/NEJMsa1507092", "ISSN" : "0028-4793", "author" : [ { "dropping-particle" : "", "family" : "Manrai", "given" : "Arjun K.", "non-dropping-particle" : "", "parse-names" : false, "suffix" : "" }, { "dropping-particle" : "", "family" : "Funke", "given" : "Birgit H.", "non-dropping-particle" : "", "parse-names" : false, "suffix" : "" }, { "dropping-particle" : "", "family" : "Rehm", "given" : "Heidi L.", "non-dropping-particle" : "", "parse-names" : false, "suffix" : "" }, { "dropping-particle" : "", "family" : "Olesen", "given" : "Morten S.", "non-dropping-particle" : "", "parse-names" : false, "suffix" : "" }, { "dropping-particle" : "", "family" : "Maron", "given" : "Bradley A.", "non-dropping-particle" : "", "parse-names" : false, "suffix" : "" }, { "dropping-particle" : "", "family" : "Szolovits", "given" : "Peter", "non-dropping-particle" : "", "parse-names" : false, "suffix" : "" }, { "dropping-particle" : "", "family" : "Margulies", "given" : "David M.", "non-dropping-particle" : "", "parse-names" : false, "suffix" : "" }, { "dropping-particle" : "", "family" : "Loscalzo", "given" : "Joseph", "non-dropping-particle" : "", "parse-names" : false, "suffix" : "" }, { "dropping-particle" : "", "family" : "Kohane", "given" : "Isaac S.", "non-dropping-particle" : "", "parse-names" : false, "suffix" : "" } ], "container-title" : "New England Journal of Medicine", "id" : "ITEM-1", "issue" : "7", "issued" : { "date-parts" : [ [ "2016" ] ] }, "page" : "655-665", "title" : "Genetic Misdiagnoses and the Potential for Health Disparities", "type" : "article-journal", "volume" : "375" }, "uris" : [ "http://www.mendeley.com/documents/?uuid=d241a666-4678-4fbb-9da8-de061e13d3e2" ] }, { "id" : "ITEM-2", "itemData" : { "DOI" : "10.1200/JCO.2015.62.0096", "ISSN" : "15277755", "PMID" : "26578615", "abstract" : "Ethnic and geographic differences in cancer incidence, prognosis, and treatment outcomes can be attributed to diversity in the inherited (germline) and somatic genome. Although international large-scale sequencing efforts are beginning to unravel the genomic underpinnings of cancer traits, much remains to be known about the underlying mechanisms and determinants of genomic diversity. Carcinogenesis is a dynamic, complex phenomenon representing the interplay between genetic and environmental factors that results in divergent phenotypes across ethnicities and geography. For example, compared with whites, there is a higher incidence of prostate cancer among Africans and African Americans, and the disease is generally more aggressive and fatal. Genome-wide association studies have identified germline susceptibility loci that may account for differences between the African and non-African patients, but the lack of availability of appropriate cohorts for replication studies and the incomplete understanding of genomic architecture across populations pose major limitations. We further discuss the transformative potential of routine diagnostic evaluation for actionable somatic alterations, using lung cancer as an example, highlighting implications of population disparities, current hurdles in implementation, and the far-reaching potential of clinical genomics in enhancing cancer prevention, diagnosis, and treatment. As we enter the era of precision cancer medicine, a concerted multinational effort is key to addressing population and genomic diversity as well as overcoming barriers and geographical disparities in research and health care delivery.", "author" : [ { "dropping-particle" : "", "family" : "Tan", "given" : "Daniel S W", "non-dropping-particle" : "", "parse-names" : false, "suffix" : "" }, { "dropping-particle" : "", "family" : "Mok", "given" : "Tony S K", "non-dropping-particle" : "", "parse-names" : false, "suffix" : "" }, { "dropping-particle" : "", "family" : "Rebbeck", "given" : "Timothy R.", "non-dropping-particle" : "", "parse-names" : false, "suffix" : "" } ], "container-title" : "Journal of Clinical Oncology", "id" : "ITEM-2", "issue" : "1", "issued" : { "date-parts" : [ [ "2016" ] ] }, "page" : "91-101", "title" : "Cancer genomics: Diversity and disparity across ethnicity and geography", "type" : "article-journal", "volume" : "34" }, "uris" : [ "http://www.mendeley.com/documents/?uuid=da69a769-98e9-490f-9185-ffcd74f26ef5" ] } ], "mendeley" : { "formattedCitation" : "&lt;sup&gt;18,31&lt;/sup&gt;", "plainTextFormattedCitation" : "18,31", "previouslyFormattedCitation" : "&lt;sup&gt;18,31&lt;/sup&gt;" }, "properties" : { "noteIndex" : 0 }, "schema" : "https://github.com/citation-style-language/schema/raw/master/csl-citation.json" }</w:instrText>
      </w:r>
      <w:r w:rsidR="00B545BC">
        <w:rPr>
          <w:lang w:eastAsia="en-GB"/>
        </w:rPr>
        <w:fldChar w:fldCharType="separate"/>
      </w:r>
      <w:r w:rsidR="00D4086F" w:rsidRPr="00D4086F">
        <w:rPr>
          <w:noProof/>
          <w:vertAlign w:val="superscript"/>
          <w:lang w:eastAsia="en-GB"/>
        </w:rPr>
        <w:t>18,31</w:t>
      </w:r>
      <w:r w:rsidR="00B545BC">
        <w:rPr>
          <w:lang w:eastAsia="en-GB"/>
        </w:rPr>
        <w:fldChar w:fldCharType="end"/>
      </w:r>
      <w:r w:rsidR="00CE1532">
        <w:rPr>
          <w:lang w:eastAsia="en-GB"/>
        </w:rPr>
        <w:t xml:space="preserve"> </w:t>
      </w:r>
      <w:r w:rsidR="004B6878">
        <w:rPr>
          <w:lang w:eastAsia="en-GB"/>
        </w:rPr>
        <w:t xml:space="preserve"> </w:t>
      </w:r>
    </w:p>
    <w:p w:rsidR="000406C5" w:rsidRDefault="009E2CD8" w:rsidP="00057450">
      <w:pPr>
        <w:pStyle w:val="LRiGnormal"/>
        <w:spacing w:line="480" w:lineRule="auto"/>
        <w:rPr>
          <w:lang w:eastAsia="en-GB"/>
        </w:rPr>
      </w:pPr>
      <w:r>
        <w:rPr>
          <w:lang w:eastAsia="en-GB"/>
        </w:rPr>
        <w:t>A limitation of the scope of this</w:t>
      </w:r>
      <w:r w:rsidRPr="00E24AB0">
        <w:rPr>
          <w:lang w:eastAsia="en-GB"/>
        </w:rPr>
        <w:t xml:space="preserve"> review is</w:t>
      </w:r>
      <w:r>
        <w:rPr>
          <w:lang w:eastAsia="en-GB"/>
        </w:rPr>
        <w:t xml:space="preserve"> that impact on health disparities</w:t>
      </w:r>
      <w:r w:rsidRPr="00E24AB0">
        <w:rPr>
          <w:lang w:eastAsia="en-GB"/>
        </w:rPr>
        <w:t xml:space="preserve"> </w:t>
      </w:r>
      <w:r>
        <w:rPr>
          <w:lang w:eastAsia="en-GB"/>
        </w:rPr>
        <w:t xml:space="preserve">is rarely reported in primary clinical studies. </w:t>
      </w:r>
      <w:r w:rsidR="00B102F3">
        <w:rPr>
          <w:lang w:eastAsia="en-GB"/>
        </w:rPr>
        <w:t>Moreover, the electronic search may have failed to identif</w:t>
      </w:r>
      <w:r w:rsidR="00040FB2">
        <w:rPr>
          <w:lang w:eastAsia="en-GB"/>
        </w:rPr>
        <w:t>y p</w:t>
      </w:r>
      <w:r w:rsidR="00420C88">
        <w:rPr>
          <w:lang w:eastAsia="en-GB"/>
        </w:rPr>
        <w:t>otential sources of evidence if</w:t>
      </w:r>
      <w:r w:rsidR="00B102F3">
        <w:rPr>
          <w:lang w:eastAsia="en-GB"/>
        </w:rPr>
        <w:t xml:space="preserve"> </w:t>
      </w:r>
      <w:r w:rsidR="004D20C0">
        <w:rPr>
          <w:lang w:eastAsia="en-GB"/>
        </w:rPr>
        <w:t xml:space="preserve">terms </w:t>
      </w:r>
      <w:r w:rsidR="00B102F3">
        <w:rPr>
          <w:lang w:eastAsia="en-GB"/>
        </w:rPr>
        <w:t>relating to impact on health disparities were not stated in the title, abstract or keywords of the publication. Furthermore</w:t>
      </w:r>
      <w:r w:rsidR="001B5F8C">
        <w:rPr>
          <w:lang w:eastAsia="en-GB"/>
        </w:rPr>
        <w:t>, n</w:t>
      </w:r>
      <w:r w:rsidR="001B5F8C" w:rsidRPr="00125CAA">
        <w:t xml:space="preserve">one of the included studies </w:t>
      </w:r>
      <w:r w:rsidR="001B5F8C">
        <w:t>attempted</w:t>
      </w:r>
      <w:r w:rsidR="001B5F8C" w:rsidRPr="00125CAA">
        <w:t xml:space="preserve"> t</w:t>
      </w:r>
      <w:r w:rsidR="001B5F8C">
        <w:t xml:space="preserve">o quantify the impact of </w:t>
      </w:r>
      <w:r w:rsidR="004F792E">
        <w:t>pharmacogenomic</w:t>
      </w:r>
      <w:r w:rsidR="001B5F8C">
        <w:t xml:space="preserve">-guided </w:t>
      </w:r>
      <w:r w:rsidR="004F792E">
        <w:t xml:space="preserve">treatment </w:t>
      </w:r>
      <w:r w:rsidR="001B5F8C" w:rsidRPr="00125CAA">
        <w:t>on health disparities</w:t>
      </w:r>
      <w:r w:rsidR="0084020B">
        <w:t>.</w:t>
      </w:r>
      <w:r w:rsidR="00B545BC" w:rsidRPr="00125CAA">
        <w:fldChar w:fldCharType="begin" w:fldLock="1"/>
      </w:r>
      <w:r w:rsidR="00FB4EEB">
        <w:instrText>ADDIN CSL_CITATION { "citationItems" : [ { "id" : "ITEM-1", "itemData" : { "DOI" : "10.2217/14622416.8.3.217", "ISSN" : "1462-2416", "abstract" : "Introduction: Warfarin is a widely prescribed, efficacious oral anticoagulant. S-warfarin, the more active form, is metabolized by the cytochrome P450 (CYP)2C9 enzyme. The aim was to evaluate the- influence of two CYP2C9 functional polymorphisms (*2 and *3) on warfarin dose in African-Americans, an unstudied population and Caucasians, and also to assess the effect of these polymorphisms on anticoagulation response after accounting for nongenetic factors and genetic factors that might also impact the dose-response relationship of warfarin. Patients and methods: A prospective cohort of 362 patients with a target international normalized ratio of between 2.0 and 3.0 were genotyped. Warfarin sensitivity stratified by genotype was investigated using univariate, and multivariate analyses. Results: The maintenance dose of warfarin was significantly related to genotype (p &lt; 0.01) (variant carriers: 31.25 mg/week; wild-type: 37.5 mg/ week), even after adjustment for possible confounding factors (p = 0.046). However, the effect of genotype was restricted to Caucasians, in whom variant carriers had a significantly lower maintenance dose compared with wild-type homozygotes (unadjusted: p &lt; 0.01; adjusted: p = 0.02). There was a greater risk of over-anticoagulation among Caucasian variant carriers, although this was only observed prior to reaching maintenance dose. For African-American variant carriers, there was no difference in warfarin response based on CYP2C9 genotype. Discussion: CYP2C9 *2 and *3 variants provide predictive information in anticoagulation response. However, these variants may not be useful in African-Americans or as a marker of long-term over-anticoagulation once a stable dose is reached. \u00a9 2007 Future Medicine Ltd.", "author" : [ { "dropping-particle" : "", "family" : "Kealey", "given" : "Carmel", "non-dropping-particle" : "", "parse-names" : false, "suffix" : "" }, { "dropping-particle" : "", "family" : "Chen", "given" : "Zhen", "non-dropping-particle" : "", "parse-names" : false, "suffix" : "" }, { "dropping-particle" : "", "family" : "Christie", "given" : "Jason", "non-dropping-particle" : "", "parse-names" : false, "suffix" : "" }, { "dropping-particle" : "", "family" : "Thorn", "given" : "Caroline F", "non-dropping-particle" : "", "parse-names" : false, "suffix" : "" }, { "dropping-particle" : "", "family" : "Whitehead", "given" : "Alexander S", "non-dropping-particle" : "", "parse-names" : false, "suffix" : "" }, { "dropping-particle" : "", "family" : "Price", "given" : "Maureen", "non-dropping-particle" : "", "parse-names" : false, "suffix" : "" }, { "dropping-particle" : "", "family" : "Samaha", "given" : "Frederick", "non-dropping-particle" : "", "parse-names" : false, "suffix" : "" }, { "dropping-particle" : "", "family" : "Kimmel", "given" : "Stephen", "non-dropping-particle" : "", "parse-names" : false, "suffix" : "" } ], "container-title" : "Pharmacogenomics", "id" : "ITEM-1", "issue" : "3", "issued" : { "date-parts" : [ [ "2007" ] ] }, "page" : "217-225", "title" : "Warafin and cytochrome P450 2C9 genotype: Possible ethic variation in warafin sensitivity", "type" : "article-journal", "volume" : "8" }, "uris" : [ "http://www.mendeley.com/documents/?uuid=7f920805-47fa-4e01-aed3-8e10551bfc62" ] }, { "id" : "ITEM-2", "itemData" : { "DOI" : "10.2217/14622416.9.5.511", "ISBN" : "1744-8042", "ISSN" : "1462-2416", "PMID" : "18466099", "abstract" : "AIMS: The influence of CYP2C9 and VKORC1 on warfarin dose, time to target International Normalized Ratio (INR), time to stabilization, and risk of over-anticoagulation (INR: &gt; 4) was assessed after adjustment for clinical factors, intraindividual variation in environmental factors and unobserved heterogeneity.MATERIALS &amp; METHODS: Common CYP2C9 and VKORC1 polymorphisms were assessed in 302 European-Americans and 273 African-Americans receiving warfarin. Race-stratified multivariable analyses evaluated the influence of CYP2C9 and VKORC1 on warfarin response.RESULTS &amp; CONCLUSION: CYP2C9 and VKORC1 accounted for up to 30% of the variability in warfarin dose among European-Americans and 10% among African-Americans. Neither CYP2C9 nor VKORC1 influenced the time to target INR or stabilization among patients of either race, and neither influenced the risk of over-anticoagulation among African-Americans. The risk of over-anticoagulation was higher among European-Americans with variant VKORC1 1173C/T (p &lt; 0.01) and marginally significant among those with variant CYP2C9 (p = 0.08) genotype. Although CYP2C9 and VKORC1 genotyping can facilitate individualized initiation of warfarin dose in African and European-Americans, the ability to predict the risk of over-anticoagulation is inconsistent across race. Identification of other factors that can predict such risk consistently in a racially diverse group will facilitate individualized maintenance of warfarin therapy", "author" : [ { "dropping-particle" : "", "family" : "Limdi", "given" : "Nita A", "non-dropping-particle" : "", "parse-names" : false, "suffix" : "" }, { "dropping-particle" : "", "family" : "Arnett", "given" : "Donna K", "non-dropping-particle" : "", "parse-names" : false, "suffix" : "" }, { "dropping-particle" : "", "family" : "Goldstein", "given" : "Joyce A", "non-dropping-particle" : "", "parse-names" : false, "suffix" : "" }, { "dropping-particle" : "", "family" : "Beasley", "given" : "T Mark", "non-dropping-particle" : "", "parse-names" : false, "suffix" : "" }, { "dropping-particle" : "", "family" : "McGwin", "given" : "Gerald", "non-dropping-particle" : "", "parse-names" : false, "suffix" : "" }, { "dropping-particle" : "", "family" : "Adler", "given" : "Brian K", "non-dropping-particle" : "", "parse-names" : false, "suffix" : "" }, { "dropping-particle" : "", "family" : "Acton", "given" : "Ronald T", "non-dropping-particle" : "", "parse-names" : false, "suffix" : "" } ], "container-title" : "Pharmacogenomics", "id" : "ITEM-2", "issue" : "5", "issued" : { "date-parts" : [ [ "2008" ] ] }, "page" : "511-526", "title" : "Influence of CYP2C9 and VKORC1 on warfarin dose, anticoagulation attainment and maintenance among European-Americans and African-Americans.", "type" : "article-journal", "volume" : "9" }, "uris" : [ "http://www.mendeley.com/documents/?uuid=cda3da47-0a03-48db-9ee4-a58722b85cdd" ] }, { "id" : "ITEM-3", "itemData" : { "DOI" : "10.1016/j.hlc.2009.04.026", "ISBN" : "1741-0541", "ISSN" : "14439506", "abstract" : "Patient demographics and variant alleles in the CYP2C9 and VKORC1 genes account for 50% of the population variability in warfarin maintenance doses. These variant alleles occur in varying frequencies between racial groups and contribute to differences in mean dose requirements between these groups. We used a pharmacogenetic simulation to estimate warfarin maintenance doses in an ethnically diverse cohort. Materials &amp; methods: In total, 366 individuals with coronary disease, of mixed South Pacific and European ethnicity, were genotyped for the CYP2C9*2 (rs1799853), *3 (rs1057910) and the VKORC1*2 haplotype, -1639 G&gt;A, (rs9923231). The cohort contained New Zealand Europeans (n = 287), Maori (n = 49), Pacific Islanders (n = 21) and Chinese subjects (n = 9). SNPs were genotyped using the Sequenom (CA, USA) mass spectrometer. Body surface area, age, smoking status and genotype were entered into a modified pharmacogenetic algorithm with a target international normalized ratio of 2.5. Bootstrap analysis using the @RISK software v5.0, (Palisade Co., NY, USA) was performed to simulate a population of 1000 for each ethnic group. Results: Simulated warfarin doses were lower in Chinese subjects than New Zealand Europeans (1.39 mg; 95% CI: 0.4-2.4; p = 0.006) owing to the high prevalence of the VKORC1*2 haplotype in Chinese subjects. Doses were higher in Pacific Islanders compared with New Zealand Europeans (1.26 mg; 95% CI: 0.6-1.9; p = 0.0002) owing to the near absence of the CYP2C9 variant alleles. Simulated warfarin doses in Maori patients were similar to those in European patients. Conclusion: This simulation study demonstrated differences in mean warfarin maintenance doses between ethnic groups in this cohort. Individualizing treatment regimens, using pharmacogenetics, may reduce ethnic disparities in treatment outcomes, particularly if differences can be appreciated at the genomic level. 2010 Future Medicine Ltd", "author" : [ { "dropping-particle" : "", "family" : "Gladding", "given" : "PA", "non-dropping-particle" : "", "parse-names" : false, "suffix" : "" }, { "dropping-particle" : "", "family" : "Stewart", "given" : "R", "non-dropping-particle" : "", "parse-names" : false, "suffix" : "" }, { "dropping-particle" : "", "family" : "Webster", "given" : "M", "non-dropping-particle" : "", "parse-names" : false, "suffix" : "" }, { "dropping-particle" : "", "family" : "White", "given" : "H", "non-dropping-particle" : "", "parse-names" : false, "suffix" : "" } ], "container-title" : "Heart, Lung and Circulation", "id" : "ITEM-3", "issued" : { "date-parts" : [ [ "2009" ] ] }, "page" : "S11", "title" : "A Simulation of Warfarin Maintenance Dose Requirement Using a Pharmacogenomic Algorithm in an Ethnically Diverse Cohort", "type" : "article-journal", "volume" : "18" }, "uris" : [ "http://www.mendeley.com/documents/?uuid=5912caf9-c303-4307-8b5d-8326a7ea2c1b" ] }, { "id" : "ITEM-4", "itemData" : { "DOI" : "10.2217/pgs.12.104", "ISBN" : "1744-8042", "ISSN" : "1462-2416", "PMID" : "22920395", "abstract" : "AIM: We aimed to estimate the population impact of warfarin pharmacogenetic testing (WPGT) across multiple populations.MATERIALS &amp; METHODS: We used the expanded International Warfarin Pharmacogenetics Consortium data set and genotype frequencies from HapMap to simulate dose distributions for each CYP2C9/VKORC1 genotype combination in the different races, and calculated the population attributable fraction as a measure of population impact of WPGT. WPGT was compared to both clinical and fixed-dose algorithms to estimate the benefits of WPGT.RESULTS: Our dose simulation revealed different dose requirements in difference races and considerable overlap in dose distributions of different genotype combinations. Population attributable fraction calculations suggest that complete implementation of WPGT can reduce inaccurate dosing by 18-24% in white individuals. However black, Japanese and Chinese patients do not benefit from WPGT, especially when compared against a race-specific fixed dose.CONCLUSION: Our findings support WPGT in white individuals but not in black, Japanese and Chinese individuals", "author" : [ { "dropping-particle" : "", "family" : "Chan", "given" : "Sze Ling", "non-dropping-particle" : "", "parse-names" : false, "suffix" : "" }, { "dropping-particle" : "", "family" : "Suo", "given" : "Chen", "non-dropping-particle" : "", "parse-names" : false, "suffix" : "" }, { "dropping-particle" : "", "family" : "Chia", "given" : "Kee Seng", "non-dropping-particle" : "", "parse-names" : false, "suffix" : "" }, { "dropping-particle" : "", "family" : "Teo", "given" : "Yik Ying", "non-dropping-particle" : "", "parse-names" : false, "suffix" : "" } ], "container-title" : "Pharmacogenomics", "id" : "ITEM-4", "issue" : "11", "issued" : { "date-parts" : [ [ "2012" ] ] }, "page" : "1247-1256", "title" : "The population attributable fraction as a measure of the impact of warfarin pharmacogenetic testing.", "type" : "article-journal", "volume" : "13" }, "uris" : [ "http://www.mendeley.com/documents/?uuid=dffd9ab6-5a31-4a9c-987a-d97f6fcbf740" ] }, { "id" : "ITEM-5", "itemData" : { "DOI" : "10.2165/11595080-000000000-00000", "ISBN" : "1170-7690", "ISSN" : "11707690", "PMID" : "22974536", "abstract" : "BACKGROUND: A recent clinical trial has demonstrated that patients with acute coronary syndromes (ACS) and the reduced function allele CYP2C19*2 (*2 allele), who are treated with thienopyridines, have an increased risk of adverse cardiac events with clopidogrel, but not with prasugrel. The frequency of the *2 allele varies by ethnicity and the Maoris, Asians and Pacific Islanders of New Zealand have a relatively high incidence.\\n\\nOBJECTIVE: Our objective was to evaluate, from a New Zealand health system perspective, the cost effectiveness of treating all ACS patients with generic clopidogrel compared with prasugrel, and also compared with the genetically guided strategy that *2 allele carriers receive prasugrel and non-carriers receive clopidogrel.\\n\\nMETHODS: A decision-tree model consisting of five health states (myocardial infarction, stroke, bleeding, stent thrombosis and cardiovascular death) was developed. Clinical outcome data (two TRITON-TIMI 38 genetic sub-studies) comparing clopidogrel and prasugrel for both *2 allele carriers and non-carriers were combined with the prevalence of the heterozygosity for the *2 allele in New Zealand Europeans (15%), Maoris (24%), Asians (29%) and Pacific Islanders (45%) to determine the predicted adverse event rate for the New Zealand population. National hospital diagnosis-related group (DRG) discharge codes were used to determine alternative adverse event rates, along with the costs of hospitalizations during the 15 months after patients presented with an ACS. The primary outcome measure was the incremental cost per QALY (calculated using literature-reported weights). Monte Carlo simulations and alternative scenario analysis based on both clinical trial and national hospital incidence were used. Additional analysis considered the overall TRITON-TIMI 38 rates. Costs (in New Zealand dollars [$NZ], year 2009 values) and benefits were discounted at 3% per annum.\\n\\nRESULTS: Actual hospital-based adverse event rates were higher than those reported in the TRITON-TIMI 38 randomized controlled trial and the genetic sub-studies, especially for myocardial infarction and cardiovascular death, and for Maoris and Pacific Islanders. For both sources of adverse event rates, treating the population with prasugrel was associated with worse outcomes (QALYs) than clopidogrel. However, prasugrel became cost effective ($NZ31 751/QALY) when the overall TRITON-TIMI 38 rates were used. A genetic test to guide the selected use of pra\u2026", "author" : [ { "dropping-particle" : "", "family" : "Panattoni", "given" : "Laura", "non-dropping-particle" : "", "parse-names" : false, "suffix" : "" }, { "dropping-particle" : "", "family" : "Brown", "given" : "Paul M.", "non-dropping-particle" : "", "parse-names" : false, "suffix" : "" }, { "dropping-particle" : "Te", "family" : "Ao", "given" : "Braden", "non-dropping-particle" : "", "parse-names" : false, "suffix" : "" }, { "dropping-particle" : "", "family" : "Webster", "given" : "Mark", "non-dropping-particle" : "", "parse-names" : false, "suffix" : "" }, { "dropping-particle" : "", "family" : "Gladding", "given" : "Patrick", "non-dropping-particle" : "", "parse-names" : false, "suffix" : "" } ], "container-title" : "PharmacoEconomics", "id" : "ITEM-5", "issue" : "11", "issued" : { "date-parts" : [ [ "2012" ] ] }, "page" : "1067-1084", "title" : "The cost effectiveness of genetic testing for CYP2C19 Variants to Guide Thienopyridine Treatment in Patients with Acute Coronary Syndromes: A New Zealand Evaluation", "type" : "article-journal", "volume" : "30" }, "uris" : [ "http://www.mendeley.com/documents/?uuid=77a81b51-89fc-4fcc-8a8f-ddb96a3326e9" ] } ], "mendeley" : { "formattedCitation" : "&lt;sup&gt;13\u201316,19&lt;/sup&gt;", "plainTextFormattedCitation" : "13\u201316,19", "previouslyFormattedCitation" : "&lt;sup&gt;13\u201316,19&lt;/sup&gt;" }, "properties" : { "noteIndex" : 0 }, "schema" : "https://github.com/citation-style-language/schema/raw/master/csl-citation.json" }</w:instrText>
      </w:r>
      <w:r w:rsidR="00B545BC" w:rsidRPr="00125CAA">
        <w:fldChar w:fldCharType="separate"/>
      </w:r>
      <w:r w:rsidR="00FB4EEB" w:rsidRPr="00FB4EEB">
        <w:rPr>
          <w:noProof/>
          <w:vertAlign w:val="superscript"/>
        </w:rPr>
        <w:t>13–16,19</w:t>
      </w:r>
      <w:r w:rsidR="00B545BC" w:rsidRPr="00125CAA">
        <w:fldChar w:fldCharType="end"/>
      </w:r>
      <w:r w:rsidR="001B5F8C">
        <w:t xml:space="preserve"> </w:t>
      </w:r>
      <w:r w:rsidR="00FC189D">
        <w:t xml:space="preserve"> Despite these limitations it is important to emphasize again that we did not </w:t>
      </w:r>
      <w:r w:rsidR="00E36BEB">
        <w:t xml:space="preserve">identify </w:t>
      </w:r>
      <w:r w:rsidR="00FC189D">
        <w:t xml:space="preserve">any studies that specifically evaluated health disparities caused by pharmacogenomics within the same ethnic group in the same country.  </w:t>
      </w:r>
      <w:r w:rsidR="000406C5">
        <w:t xml:space="preserve">A report </w:t>
      </w:r>
      <w:r w:rsidR="000406C5">
        <w:lastRenderedPageBreak/>
        <w:t>by t</w:t>
      </w:r>
      <w:r w:rsidR="00B102F3">
        <w:t>he WHO Commission on Social Determinant</w:t>
      </w:r>
      <w:r w:rsidR="004D20C0">
        <w:t>s</w:t>
      </w:r>
      <w:r w:rsidR="00B102F3">
        <w:t xml:space="preserve"> of Health (2008) highlighted the overarching importance of improving daily living conditions and combating the inequitable distribution of money, power and resour</w:t>
      </w:r>
      <w:r w:rsidR="00F33C93">
        <w:t>ces in reducing health disparities</w:t>
      </w:r>
      <w:r w:rsidR="0084020B">
        <w:t>.</w:t>
      </w:r>
      <w:r w:rsidR="00B545BC">
        <w:fldChar w:fldCharType="begin" w:fldLock="1"/>
      </w:r>
      <w:r w:rsidR="009E1991">
        <w:instrText>ADDIN CSL_CITATION { "citationItems" : [ { "id" : "ITEM-1", "itemData" : { "DOI" : "10.1080/17441692.2010.514617", "ISBN" : "9789241563703", "ISSN" : "1744-1706", "PMID" : "20960361", "abstract" : "Page 1. Closing the gap in a generation Michael Marmot UCL Chair of WHO Commission on Social Determinants of Health Santiago, Chile September 2008 Page 2. Social Justice Empowerment \u2022Material \u2022Psychosocial \u2022political Creating conditions for people to lead flourishing ...", "author" : [ { "dropping-particle" : "", "family" : "World Health Organization", "given" : "", "non-dropping-particle" : "", "parse-names" : false, "suffix" : "" } ], "container-title" : "Closing the gap in a generation. Health Equity Through Action on the Social Determinants of Health.", "id" : "ITEM-1", "issued" : { "date-parts" : [ [ "2008" ] ] }, "number-of-pages" : "246", "title" : "Closing the gap in a generation", "type" : "report" }, "uris" : [ "http://www.mendeley.com/documents/?uuid=d80bf000-48dd-4128-b735-9a94cbece30c" ] } ], "mendeley" : { "formattedCitation" : "&lt;sup&gt;32&lt;/sup&gt;", "plainTextFormattedCitation" : "32", "previouslyFormattedCitation" : "&lt;sup&gt;32&lt;/sup&gt;" }, "properties" : { "noteIndex" : 0 }, "schema" : "https://github.com/citation-style-language/schema/raw/master/csl-citation.json" }</w:instrText>
      </w:r>
      <w:r w:rsidR="00B545BC">
        <w:fldChar w:fldCharType="separate"/>
      </w:r>
      <w:r w:rsidR="00D4086F" w:rsidRPr="00D4086F">
        <w:rPr>
          <w:noProof/>
          <w:vertAlign w:val="superscript"/>
        </w:rPr>
        <w:t>32</w:t>
      </w:r>
      <w:r w:rsidR="00B545BC">
        <w:fldChar w:fldCharType="end"/>
      </w:r>
      <w:r w:rsidR="00B102F3">
        <w:t xml:space="preserve"> </w:t>
      </w:r>
      <w:r w:rsidR="000406C5">
        <w:t>While</w:t>
      </w:r>
      <w:r w:rsidR="00315F20">
        <w:t xml:space="preserve"> </w:t>
      </w:r>
      <w:r w:rsidR="00292C5E">
        <w:rPr>
          <w:lang w:eastAsia="en-GB"/>
        </w:rPr>
        <w:t>pharmacogenomics</w:t>
      </w:r>
      <w:r w:rsidR="00CE0353" w:rsidRPr="00B102F3">
        <w:rPr>
          <w:lang w:eastAsia="en-GB"/>
        </w:rPr>
        <w:t xml:space="preserve"> is not </w:t>
      </w:r>
      <w:r w:rsidR="00525F6E" w:rsidRPr="00B102F3">
        <w:rPr>
          <w:lang w:eastAsia="en-GB"/>
        </w:rPr>
        <w:t>a</w:t>
      </w:r>
      <w:r w:rsidR="00CE0353" w:rsidRPr="00B102F3">
        <w:rPr>
          <w:lang w:eastAsia="en-GB"/>
        </w:rPr>
        <w:t xml:space="preserve"> main determinant for population health</w:t>
      </w:r>
      <w:r w:rsidR="00525F6E" w:rsidRPr="00B102F3">
        <w:rPr>
          <w:lang w:eastAsia="en-GB"/>
        </w:rPr>
        <w:t xml:space="preserve">, </w:t>
      </w:r>
      <w:r w:rsidR="00315F20">
        <w:rPr>
          <w:lang w:eastAsia="en-GB"/>
        </w:rPr>
        <w:t>since</w:t>
      </w:r>
      <w:r w:rsidR="00315F20" w:rsidRPr="00B102F3">
        <w:rPr>
          <w:lang w:eastAsia="en-GB"/>
        </w:rPr>
        <w:t xml:space="preserve"> </w:t>
      </w:r>
      <w:r w:rsidR="00525F6E" w:rsidRPr="00B102F3">
        <w:rPr>
          <w:lang w:eastAsia="en-GB"/>
        </w:rPr>
        <w:t xml:space="preserve">translation of </w:t>
      </w:r>
      <w:r w:rsidR="00292C5E">
        <w:rPr>
          <w:lang w:eastAsia="en-GB"/>
        </w:rPr>
        <w:t>research</w:t>
      </w:r>
      <w:r w:rsidR="00CE0353" w:rsidRPr="00B102F3">
        <w:rPr>
          <w:lang w:eastAsia="en-GB"/>
        </w:rPr>
        <w:t xml:space="preserve"> is </w:t>
      </w:r>
      <w:r w:rsidR="00525F6E" w:rsidRPr="00B102F3">
        <w:rPr>
          <w:lang w:eastAsia="en-GB"/>
        </w:rPr>
        <w:t>at</w:t>
      </w:r>
      <w:r w:rsidR="00433D03" w:rsidRPr="00B102F3">
        <w:rPr>
          <w:lang w:eastAsia="en-GB"/>
        </w:rPr>
        <w:t xml:space="preserve"> </w:t>
      </w:r>
      <w:r w:rsidR="00315F20">
        <w:rPr>
          <w:lang w:eastAsia="en-GB"/>
        </w:rPr>
        <w:t xml:space="preserve">such </w:t>
      </w:r>
      <w:r w:rsidR="00433D03" w:rsidRPr="00B102F3">
        <w:rPr>
          <w:lang w:eastAsia="en-GB"/>
        </w:rPr>
        <w:t>an early stage</w:t>
      </w:r>
      <w:r w:rsidR="00CE0353" w:rsidRPr="00B102F3">
        <w:rPr>
          <w:lang w:eastAsia="en-GB"/>
        </w:rPr>
        <w:t xml:space="preserve">, </w:t>
      </w:r>
      <w:r w:rsidR="00315F20">
        <w:rPr>
          <w:lang w:eastAsia="en-GB"/>
        </w:rPr>
        <w:t xml:space="preserve">a proactive approach provides an </w:t>
      </w:r>
      <w:r w:rsidR="00CE0353" w:rsidRPr="00B102F3">
        <w:rPr>
          <w:lang w:eastAsia="en-GB"/>
        </w:rPr>
        <w:t>oppo</w:t>
      </w:r>
      <w:r w:rsidR="00433D03" w:rsidRPr="00B102F3">
        <w:rPr>
          <w:lang w:eastAsia="en-GB"/>
        </w:rPr>
        <w:t xml:space="preserve">rtunity </w:t>
      </w:r>
      <w:r w:rsidR="00CE0353" w:rsidRPr="00B102F3">
        <w:rPr>
          <w:lang w:eastAsia="en-GB"/>
        </w:rPr>
        <w:t xml:space="preserve">to </w:t>
      </w:r>
      <w:r w:rsidR="00292C5E">
        <w:rPr>
          <w:lang w:eastAsia="en-GB"/>
        </w:rPr>
        <w:t>ensure</w:t>
      </w:r>
      <w:r w:rsidR="00CE0353" w:rsidRPr="00B102F3">
        <w:rPr>
          <w:lang w:eastAsia="en-GB"/>
        </w:rPr>
        <w:t xml:space="preserve"> future advancements benefit </w:t>
      </w:r>
      <w:r w:rsidR="00292C5E">
        <w:rPr>
          <w:lang w:eastAsia="en-GB"/>
        </w:rPr>
        <w:t>disadvantaged</w:t>
      </w:r>
      <w:r w:rsidR="00CE0353" w:rsidRPr="00B102F3">
        <w:rPr>
          <w:lang w:eastAsia="en-GB"/>
        </w:rPr>
        <w:t xml:space="preserve"> populations</w:t>
      </w:r>
      <w:r w:rsidR="00506E63" w:rsidRPr="00B102F3">
        <w:rPr>
          <w:lang w:eastAsia="en-GB"/>
        </w:rPr>
        <w:t>.</w:t>
      </w:r>
      <w:r w:rsidR="00292C5E">
        <w:rPr>
          <w:lang w:eastAsia="en-GB"/>
        </w:rPr>
        <w:t xml:space="preserve"> </w:t>
      </w:r>
    </w:p>
    <w:p w:rsidR="00057450" w:rsidRDefault="00261E38" w:rsidP="00057450">
      <w:pPr>
        <w:pStyle w:val="LRiGnormal"/>
        <w:spacing w:line="480" w:lineRule="auto"/>
      </w:pPr>
      <w:r>
        <w:t>In summary, our rev</w:t>
      </w:r>
      <w:r w:rsidR="00D13AF0">
        <w:t>iew has highlighted that t</w:t>
      </w:r>
      <w:r w:rsidR="004F792E">
        <w:t xml:space="preserve">here is limited </w:t>
      </w:r>
      <w:r w:rsidR="00772656">
        <w:t xml:space="preserve">analysis and </w:t>
      </w:r>
      <w:r w:rsidR="004F792E">
        <w:t xml:space="preserve">reporting of </w:t>
      </w:r>
      <w:r w:rsidR="00954ED4">
        <w:t xml:space="preserve">impact on health disparities in </w:t>
      </w:r>
      <w:r w:rsidR="004F792E">
        <w:t>pharmacogenomics studies</w:t>
      </w:r>
      <w:r>
        <w:t>. I</w:t>
      </w:r>
      <w:r w:rsidR="00CB04EF">
        <w:t>n the literature, i</w:t>
      </w:r>
      <w:r w:rsidR="00315F20">
        <w:t>t</w:t>
      </w:r>
      <w:r>
        <w:t xml:space="preserve"> is widely </w:t>
      </w:r>
      <w:r w:rsidR="00315F20">
        <w:t xml:space="preserve">acknowledged </w:t>
      </w:r>
      <w:r>
        <w:t xml:space="preserve">that </w:t>
      </w:r>
      <w:r w:rsidR="00C23007">
        <w:t xml:space="preserve">concerted </w:t>
      </w:r>
      <w:r w:rsidR="0016102E">
        <w:t>e</w:t>
      </w:r>
      <w:r w:rsidR="005A4D34" w:rsidRPr="000B5B7B">
        <w:t>ffort</w:t>
      </w:r>
      <w:r w:rsidR="00C23007">
        <w:t>s are</w:t>
      </w:r>
      <w:r w:rsidR="005A4D34" w:rsidRPr="000B5B7B">
        <w:t xml:space="preserve"> required to ensure that the </w:t>
      </w:r>
      <w:r>
        <w:t>underserved and vulnerable populations</w:t>
      </w:r>
      <w:r w:rsidR="005A4D34" w:rsidRPr="000B5B7B">
        <w:t xml:space="preserve"> </w:t>
      </w:r>
      <w:r>
        <w:t xml:space="preserve">also </w:t>
      </w:r>
      <w:r w:rsidR="005A4D34" w:rsidRPr="000B5B7B">
        <w:t xml:space="preserve">have </w:t>
      </w:r>
      <w:r>
        <w:t xml:space="preserve">future </w:t>
      </w:r>
      <w:r w:rsidR="005A4D34" w:rsidRPr="000B5B7B">
        <w:t xml:space="preserve">access to clinical innovations. </w:t>
      </w:r>
      <w:r w:rsidR="00315F20">
        <w:t xml:space="preserve">However, whether this is happening is unclear at present, and thus </w:t>
      </w:r>
      <w:r w:rsidR="003A3D07">
        <w:t>f</w:t>
      </w:r>
      <w:r w:rsidR="00CF4163">
        <w:t xml:space="preserve">uture </w:t>
      </w:r>
      <w:r w:rsidR="00225AC2">
        <w:t>pharmacogenomics</w:t>
      </w:r>
      <w:r w:rsidR="00CF4163">
        <w:t xml:space="preserve"> studies </w:t>
      </w:r>
      <w:r w:rsidR="00315F20">
        <w:t>should</w:t>
      </w:r>
      <w:r w:rsidR="00CF4163">
        <w:t xml:space="preserve"> incorporate equity assessment</w:t>
      </w:r>
      <w:r w:rsidR="003A3D07">
        <w:t>s</w:t>
      </w:r>
      <w:r w:rsidR="001C4EBF">
        <w:t xml:space="preserve"> to </w:t>
      </w:r>
      <w:r w:rsidR="0093760D">
        <w:t>address</w:t>
      </w:r>
      <w:r w:rsidR="003A3D07">
        <w:t xml:space="preserve"> the </w:t>
      </w:r>
      <w:r w:rsidR="0093760D">
        <w:t xml:space="preserve">existing </w:t>
      </w:r>
      <w:r w:rsidR="00DB29F2">
        <w:t>gap in evidence</w:t>
      </w:r>
      <w:r w:rsidR="001C4EBF">
        <w:t>.</w:t>
      </w:r>
      <w:r w:rsidR="00C45A15">
        <w:t xml:space="preserve"> </w:t>
      </w:r>
    </w:p>
    <w:p w:rsidR="009D0B39" w:rsidRDefault="009D0B39">
      <w:pPr>
        <w:rPr>
          <w:rFonts w:ascii="Arial" w:eastAsiaTheme="majorEastAsia" w:hAnsi="Arial" w:cstheme="majorBidi"/>
          <w:b/>
          <w:bCs/>
          <w:i/>
          <w:sz w:val="26"/>
          <w:szCs w:val="26"/>
        </w:rPr>
      </w:pPr>
      <w:r>
        <w:br w:type="page"/>
      </w:r>
    </w:p>
    <w:p w:rsidR="00057450" w:rsidRPr="00C45A15" w:rsidRDefault="00057450" w:rsidP="00057450">
      <w:pPr>
        <w:pStyle w:val="Heading2"/>
        <w:numPr>
          <w:ilvl w:val="0"/>
          <w:numId w:val="0"/>
        </w:numPr>
        <w:ind w:left="576" w:hanging="576"/>
        <w:rPr>
          <w:i w:val="0"/>
        </w:rPr>
      </w:pPr>
      <w:r w:rsidRPr="00C45A15">
        <w:rPr>
          <w:i w:val="0"/>
        </w:rPr>
        <w:lastRenderedPageBreak/>
        <w:t>DISCLOSURE</w:t>
      </w:r>
    </w:p>
    <w:p w:rsidR="00057450" w:rsidRPr="00B9283A" w:rsidRDefault="00057450" w:rsidP="00057450">
      <w:pPr>
        <w:pStyle w:val="LRiGnormal"/>
        <w:spacing w:line="480" w:lineRule="auto"/>
        <w:rPr>
          <w:lang w:eastAsia="en-GB"/>
        </w:rPr>
      </w:pPr>
      <w:r w:rsidRPr="00786A85">
        <w:rPr>
          <w:lang w:eastAsia="en-GB"/>
        </w:rPr>
        <w:t xml:space="preserve">This study was supported by the National Institute of Health Research Collaboration for Leadership in Applied Health Research and Care North West Coast (NIHR CLAHRC NWC). </w:t>
      </w:r>
      <w:r>
        <w:rPr>
          <w:lang w:eastAsia="en-GB"/>
        </w:rPr>
        <w:t xml:space="preserve">The investigators were solely responsible for the content and the decision to submit the manuscript for publication. The funding source had no role in the selection, critical appraisal, or synthesis of evidence. </w:t>
      </w:r>
      <w:r w:rsidRPr="00786A85">
        <w:rPr>
          <w:lang w:eastAsia="en-GB"/>
        </w:rPr>
        <w:t>The views expressed are those of the authors and not necessarily those of the NHS, the NIHR or the Department of Health.</w:t>
      </w:r>
    </w:p>
    <w:p w:rsidR="007D4759" w:rsidRPr="00187E61" w:rsidRDefault="007D4759" w:rsidP="00700245">
      <w:pPr>
        <w:pStyle w:val="LRiGnormal"/>
        <w:rPr>
          <w:lang w:eastAsia="en-GB"/>
        </w:rPr>
      </w:pPr>
      <w:r>
        <w:rPr>
          <w:lang w:eastAsia="en-GB"/>
        </w:rPr>
        <w:br w:type="page"/>
      </w:r>
    </w:p>
    <w:p w:rsidR="00A60956" w:rsidRDefault="00A60956" w:rsidP="00700245">
      <w:pPr>
        <w:pStyle w:val="LRiGnormal"/>
        <w:rPr>
          <w:lang w:eastAsia="en-GB"/>
        </w:rPr>
        <w:sectPr w:rsidR="00A60956" w:rsidSect="009D254C">
          <w:pgSz w:w="11906" w:h="16838"/>
          <w:pgMar w:top="1440" w:right="1440" w:bottom="1440" w:left="1440" w:header="708" w:footer="510" w:gutter="0"/>
          <w:cols w:space="708"/>
          <w:docGrid w:linePitch="360"/>
        </w:sectPr>
      </w:pPr>
    </w:p>
    <w:p w:rsidR="00EA123B" w:rsidRDefault="008A2B64" w:rsidP="004321E7">
      <w:pPr>
        <w:pStyle w:val="Heading2"/>
        <w:numPr>
          <w:ilvl w:val="0"/>
          <w:numId w:val="0"/>
        </w:numPr>
        <w:ind w:left="360"/>
        <w:rPr>
          <w:lang w:eastAsia="en-GB"/>
        </w:rPr>
      </w:pPr>
      <w:r>
        <w:rPr>
          <w:lang w:eastAsia="en-GB"/>
        </w:rPr>
        <w:lastRenderedPageBreak/>
        <w:t>R</w:t>
      </w:r>
      <w:r w:rsidR="006D5E0B">
        <w:rPr>
          <w:lang w:eastAsia="en-GB"/>
        </w:rPr>
        <w:t>EFERENCES</w:t>
      </w:r>
    </w:p>
    <w:p w:rsidR="005E0BE7" w:rsidRPr="00717247" w:rsidRDefault="005E0BE7" w:rsidP="00261E38">
      <w:pPr>
        <w:widowControl w:val="0"/>
        <w:autoSpaceDE w:val="0"/>
        <w:autoSpaceDN w:val="0"/>
        <w:adjustRightInd w:val="0"/>
        <w:spacing w:after="140"/>
        <w:ind w:left="640" w:hanging="640"/>
        <w:rPr>
          <w:lang w:eastAsia="en-GB"/>
        </w:rPr>
      </w:pPr>
    </w:p>
    <w:p w:rsidR="009E1991" w:rsidRPr="009E1991" w:rsidRDefault="00590D24" w:rsidP="009E1991">
      <w:pPr>
        <w:widowControl w:val="0"/>
        <w:autoSpaceDE w:val="0"/>
        <w:autoSpaceDN w:val="0"/>
        <w:adjustRightInd w:val="0"/>
        <w:spacing w:after="140"/>
        <w:ind w:left="640" w:hanging="640"/>
        <w:rPr>
          <w:noProof/>
          <w:sz w:val="22"/>
        </w:rPr>
      </w:pPr>
      <w:r w:rsidRPr="00717247">
        <w:rPr>
          <w:sz w:val="22"/>
          <w:lang w:eastAsia="en-GB"/>
        </w:rPr>
        <w:fldChar w:fldCharType="begin" w:fldLock="1"/>
      </w:r>
      <w:r w:rsidRPr="00717247">
        <w:rPr>
          <w:sz w:val="22"/>
          <w:lang w:eastAsia="en-GB"/>
        </w:rPr>
        <w:instrText xml:space="preserve">ADDIN Mendeley Bibliography CSL_BIBLIOGRAPHY </w:instrText>
      </w:r>
      <w:r w:rsidRPr="00717247">
        <w:rPr>
          <w:sz w:val="22"/>
          <w:lang w:eastAsia="en-GB"/>
        </w:rPr>
        <w:fldChar w:fldCharType="separate"/>
      </w:r>
      <w:r w:rsidR="009E1991" w:rsidRPr="009E1991">
        <w:rPr>
          <w:noProof/>
          <w:sz w:val="22"/>
        </w:rPr>
        <w:t xml:space="preserve">1. </w:t>
      </w:r>
      <w:r w:rsidR="009E1991" w:rsidRPr="009E1991">
        <w:rPr>
          <w:noProof/>
          <w:sz w:val="22"/>
        </w:rPr>
        <w:tab/>
        <w:t xml:space="preserve">Hosseinpoor AR, Bergen N, Koller T, et al. Equity-Oriented Monitoring in the Context of Universal Health Coverage. </w:t>
      </w:r>
      <w:r w:rsidR="009E1991" w:rsidRPr="009E1991">
        <w:rPr>
          <w:i/>
          <w:iCs/>
          <w:noProof/>
          <w:sz w:val="22"/>
        </w:rPr>
        <w:t>PLoS Med</w:t>
      </w:r>
      <w:r w:rsidR="009E1991" w:rsidRPr="009E1991">
        <w:rPr>
          <w:noProof/>
          <w:sz w:val="22"/>
        </w:rPr>
        <w:t>. 2014;11(9):e1001727. doi:10.1371/journal.pmed.1001727.</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2. </w:t>
      </w:r>
      <w:r w:rsidRPr="009E1991">
        <w:rPr>
          <w:noProof/>
          <w:sz w:val="22"/>
        </w:rPr>
        <w:tab/>
        <w:t xml:space="preserve">Whitehead M. The concepts and principles of equity and health. </w:t>
      </w:r>
      <w:r w:rsidRPr="009E1991">
        <w:rPr>
          <w:i/>
          <w:iCs/>
          <w:noProof/>
          <w:sz w:val="22"/>
        </w:rPr>
        <w:t>Health Promot Int</w:t>
      </w:r>
      <w:r w:rsidRPr="009E1991">
        <w:rPr>
          <w:noProof/>
          <w:sz w:val="22"/>
        </w:rPr>
        <w:t>. 1991;6(3):217-228. doi:10.1093/heapro/6.3.217.</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3. </w:t>
      </w:r>
      <w:r w:rsidRPr="009E1991">
        <w:rPr>
          <w:noProof/>
          <w:sz w:val="22"/>
        </w:rPr>
        <w:tab/>
        <w:t xml:space="preserve">EPEMED. </w:t>
      </w:r>
      <w:r w:rsidRPr="009E1991">
        <w:rPr>
          <w:i/>
          <w:iCs/>
          <w:noProof/>
          <w:sz w:val="22"/>
        </w:rPr>
        <w:t>Personalized Medicine in Europe – Enhancing Patient Access to Pharmaceutical Companion Products</w:t>
      </w:r>
      <w:r w:rsidRPr="009E1991">
        <w:rPr>
          <w:noProof/>
          <w:sz w:val="22"/>
        </w:rPr>
        <w:t>.; 2014.</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4. </w:t>
      </w:r>
      <w:r w:rsidRPr="009E1991">
        <w:rPr>
          <w:noProof/>
          <w:sz w:val="22"/>
        </w:rPr>
        <w:tab/>
        <w:t>Shargel L, Wu-Pong S, ABC Y. Applied biopharmaceutics and pharmacokinetics. In: 5th ed. New York: McGraw-Hill; 2005:258-267.</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5. </w:t>
      </w:r>
      <w:r w:rsidRPr="009E1991">
        <w:rPr>
          <w:noProof/>
          <w:sz w:val="22"/>
        </w:rPr>
        <w:tab/>
        <w:t>NIH. Precision Medicine Initiative Cohort Program. https://www.nih.gov/precision-medicine-initiative-cohort-program. Published 2016. Accessed September 23, 2016.</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6. </w:t>
      </w:r>
      <w:r w:rsidRPr="009E1991">
        <w:rPr>
          <w:noProof/>
          <w:sz w:val="22"/>
        </w:rPr>
        <w:tab/>
        <w:t xml:space="preserve">Sweeny K, Ghane A, Legg AM, Huynh HP, Andrews SE. Predictors of genetic testing decisions: A systematic review and critique of the literature. </w:t>
      </w:r>
      <w:r w:rsidRPr="009E1991">
        <w:rPr>
          <w:i/>
          <w:iCs/>
          <w:noProof/>
          <w:sz w:val="22"/>
        </w:rPr>
        <w:t>J Genet Couns</w:t>
      </w:r>
      <w:r w:rsidRPr="009E1991">
        <w:rPr>
          <w:noProof/>
          <w:sz w:val="22"/>
        </w:rPr>
        <w:t>. 2014;23(3):263-288. doi:10.1007/s10897-014-9712-9.</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7. </w:t>
      </w:r>
      <w:r w:rsidRPr="009E1991">
        <w:rPr>
          <w:noProof/>
          <w:sz w:val="22"/>
        </w:rPr>
        <w:tab/>
        <w:t xml:space="preserve">Welch V a, Petticrew M, O’Neill J, et al. Health equity: evidence synthesis and knowledge translation methods. </w:t>
      </w:r>
      <w:r w:rsidRPr="009E1991">
        <w:rPr>
          <w:i/>
          <w:iCs/>
          <w:noProof/>
          <w:sz w:val="22"/>
        </w:rPr>
        <w:t>Syst Rev</w:t>
      </w:r>
      <w:r w:rsidRPr="009E1991">
        <w:rPr>
          <w:noProof/>
          <w:sz w:val="22"/>
        </w:rPr>
        <w:t>. 2013;2(1):43. doi:10.1186/2046-4053-2-43.</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8. </w:t>
      </w:r>
      <w:r w:rsidRPr="009E1991">
        <w:rPr>
          <w:noProof/>
          <w:sz w:val="22"/>
        </w:rPr>
        <w:tab/>
        <w:t xml:space="preserve">CRD. </w:t>
      </w:r>
      <w:r w:rsidRPr="009E1991">
        <w:rPr>
          <w:i/>
          <w:iCs/>
          <w:noProof/>
          <w:sz w:val="22"/>
        </w:rPr>
        <w:t>Systematic Reviews: CRD’s Guidance for Undertaking Reviews in Health Care</w:t>
      </w:r>
      <w:r w:rsidRPr="009E1991">
        <w:rPr>
          <w:noProof/>
          <w:sz w:val="22"/>
        </w:rPr>
        <w:t>. doi:10.1016/S1473-3099(10)70065-7.</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9. </w:t>
      </w:r>
      <w:r w:rsidRPr="009E1991">
        <w:rPr>
          <w:noProof/>
          <w:sz w:val="22"/>
        </w:rPr>
        <w:tab/>
        <w:t xml:space="preserve">Welch V, Petticrew M, Tugwell P, et al. PRISMA-Equity 2012 Extension: Reporting Guidelines for Systematic Reviews with a Focus on Health Equity. </w:t>
      </w:r>
      <w:r w:rsidRPr="009E1991">
        <w:rPr>
          <w:i/>
          <w:iCs/>
          <w:noProof/>
          <w:sz w:val="22"/>
        </w:rPr>
        <w:t>PLoS Med</w:t>
      </w:r>
      <w:r w:rsidRPr="009E1991">
        <w:rPr>
          <w:noProof/>
          <w:sz w:val="22"/>
        </w:rPr>
        <w:t>. 2012;9(10):1-2. doi:10.1371/journal.pmed.1001333.</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10. </w:t>
      </w:r>
      <w:r w:rsidRPr="009E1991">
        <w:rPr>
          <w:noProof/>
          <w:sz w:val="22"/>
        </w:rPr>
        <w:tab/>
        <w:t>PharmGKB. Drug Labels. https://www.pharmgkb.org/view/drug-labels.do. Published 2015. Accessed December 28, 2016.</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11. </w:t>
      </w:r>
      <w:r w:rsidRPr="009E1991">
        <w:rPr>
          <w:noProof/>
          <w:sz w:val="22"/>
        </w:rPr>
        <w:tab/>
        <w:t xml:space="preserve">Morrison A, Polisena J, Husereau D, et al. The Effect of English-Language Restriction on Systematic Review-Based Meta-Analyses: a Systematic Review of Empirical Studies. </w:t>
      </w:r>
      <w:r w:rsidRPr="009E1991">
        <w:rPr>
          <w:i/>
          <w:iCs/>
          <w:noProof/>
          <w:sz w:val="22"/>
        </w:rPr>
        <w:t>Int J Technol Assess Health Care</w:t>
      </w:r>
      <w:r w:rsidRPr="009E1991">
        <w:rPr>
          <w:noProof/>
          <w:sz w:val="22"/>
        </w:rPr>
        <w:t>. 2012;28(2):138-144. doi:10.1017/S0266462312000086.</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12. </w:t>
      </w:r>
      <w:r w:rsidRPr="009E1991">
        <w:rPr>
          <w:noProof/>
          <w:sz w:val="22"/>
        </w:rPr>
        <w:tab/>
        <w:t xml:space="preserve">Guyatt G, Oxman AD, Akl EA, et al. GRADE guidelines: 1. Introduction - GRADE evidence profiles and summary of findings tables. </w:t>
      </w:r>
      <w:r w:rsidRPr="009E1991">
        <w:rPr>
          <w:i/>
          <w:iCs/>
          <w:noProof/>
          <w:sz w:val="22"/>
        </w:rPr>
        <w:t>J Clin Epidemiol</w:t>
      </w:r>
      <w:r w:rsidRPr="009E1991">
        <w:rPr>
          <w:noProof/>
          <w:sz w:val="22"/>
        </w:rPr>
        <w:t>. 2011;64(4):383-394. doi:10.1016/j.jclinepi.2010.04.026.</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13. </w:t>
      </w:r>
      <w:r w:rsidRPr="009E1991">
        <w:rPr>
          <w:noProof/>
          <w:sz w:val="22"/>
        </w:rPr>
        <w:tab/>
        <w:t xml:space="preserve">Kealey C, Chen Z, Christie J, et al. Warafin and cytochrome P450 2C9 genotype: Possible ethic variation in warafin sensitivity. </w:t>
      </w:r>
      <w:r w:rsidRPr="009E1991">
        <w:rPr>
          <w:i/>
          <w:iCs/>
          <w:noProof/>
          <w:sz w:val="22"/>
        </w:rPr>
        <w:t>Pharmacogenomics</w:t>
      </w:r>
      <w:r w:rsidRPr="009E1991">
        <w:rPr>
          <w:noProof/>
          <w:sz w:val="22"/>
        </w:rPr>
        <w:t>. 2007;8(3):217-225. doi:10.2217/14622416.8.3.217.</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14. </w:t>
      </w:r>
      <w:r w:rsidRPr="009E1991">
        <w:rPr>
          <w:noProof/>
          <w:sz w:val="22"/>
        </w:rPr>
        <w:tab/>
        <w:t xml:space="preserve">Limdi NA, Arnett DK, Goldstein JA, et al. Influence of CYP2C9 and VKORC1 on warfarin dose, anticoagulation attainment and maintenance among European-Americans and African-Americans. </w:t>
      </w:r>
      <w:r w:rsidRPr="009E1991">
        <w:rPr>
          <w:i/>
          <w:iCs/>
          <w:noProof/>
          <w:sz w:val="22"/>
        </w:rPr>
        <w:t>Pharmacogenomics</w:t>
      </w:r>
      <w:r w:rsidRPr="009E1991">
        <w:rPr>
          <w:noProof/>
          <w:sz w:val="22"/>
        </w:rPr>
        <w:t>. 2008;9(5):511-526. doi:10.2217/14622416.9.5.511.</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15. </w:t>
      </w:r>
      <w:r w:rsidRPr="009E1991">
        <w:rPr>
          <w:noProof/>
          <w:sz w:val="22"/>
        </w:rPr>
        <w:tab/>
        <w:t xml:space="preserve">Gladding P, Stewart R, Webster M, White H. A Simulation of Warfarin Maintenance Dose Requirement Using a Pharmacogenomic Algorithm in an Ethnically Diverse Cohort. </w:t>
      </w:r>
      <w:r w:rsidRPr="009E1991">
        <w:rPr>
          <w:i/>
          <w:iCs/>
          <w:noProof/>
          <w:sz w:val="22"/>
        </w:rPr>
        <w:t>Hear Lung Circ</w:t>
      </w:r>
      <w:r w:rsidRPr="009E1991">
        <w:rPr>
          <w:noProof/>
          <w:sz w:val="22"/>
        </w:rPr>
        <w:t>. 2009;18:S11. doi:10.1016/j.hlc.2009.04.026.</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16. </w:t>
      </w:r>
      <w:r w:rsidRPr="009E1991">
        <w:rPr>
          <w:noProof/>
          <w:sz w:val="22"/>
        </w:rPr>
        <w:tab/>
        <w:t xml:space="preserve">Chan SL, Suo C, Chia KS, Teo YY. The population attributable fraction as a measure of the impact of warfarin pharmacogenetic testing. </w:t>
      </w:r>
      <w:r w:rsidRPr="009E1991">
        <w:rPr>
          <w:i/>
          <w:iCs/>
          <w:noProof/>
          <w:sz w:val="22"/>
        </w:rPr>
        <w:t>Pharmacogenomics</w:t>
      </w:r>
      <w:r w:rsidRPr="009E1991">
        <w:rPr>
          <w:noProof/>
          <w:sz w:val="22"/>
        </w:rPr>
        <w:t>. 2012;13(11):1247-1256. doi:10.2217/pgs.12.104.</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17. </w:t>
      </w:r>
      <w:r w:rsidRPr="009E1991">
        <w:rPr>
          <w:noProof/>
          <w:sz w:val="22"/>
        </w:rPr>
        <w:tab/>
        <w:t xml:space="preserve">Panattoni L, Brown PM, Ao B Te, Webster M, Gladding P. The cost effectiveness of genetic testing for CYP2C19 Variants to Guide Thienopyridine Treatment in Patients with Acute </w:t>
      </w:r>
      <w:r w:rsidRPr="009E1991">
        <w:rPr>
          <w:noProof/>
          <w:sz w:val="22"/>
        </w:rPr>
        <w:lastRenderedPageBreak/>
        <w:t xml:space="preserve">Coronary Syndromes: A New Zealand Evaluation. </w:t>
      </w:r>
      <w:r w:rsidRPr="009E1991">
        <w:rPr>
          <w:i/>
          <w:iCs/>
          <w:noProof/>
          <w:sz w:val="22"/>
        </w:rPr>
        <w:t>Pharmacoeconomics</w:t>
      </w:r>
      <w:r w:rsidRPr="009E1991">
        <w:rPr>
          <w:noProof/>
          <w:sz w:val="22"/>
        </w:rPr>
        <w:t>. 2012;30(11):1067-1084. doi:10.2165/11595080-000000000-00000.</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18. </w:t>
      </w:r>
      <w:r w:rsidRPr="009E1991">
        <w:rPr>
          <w:noProof/>
          <w:sz w:val="22"/>
        </w:rPr>
        <w:tab/>
        <w:t xml:space="preserve">Manrai AK, Funke BH, Rehm HL, et al. Genetic Misdiagnoses and the Potential for Health Disparities. </w:t>
      </w:r>
      <w:r w:rsidRPr="009E1991">
        <w:rPr>
          <w:i/>
          <w:iCs/>
          <w:noProof/>
          <w:sz w:val="22"/>
        </w:rPr>
        <w:t>N Engl J Med</w:t>
      </w:r>
      <w:r w:rsidRPr="009E1991">
        <w:rPr>
          <w:noProof/>
          <w:sz w:val="22"/>
        </w:rPr>
        <w:t>. 2016;375(7):655-665. doi:10.1056/NEJMsa1507092.</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19. </w:t>
      </w:r>
      <w:r w:rsidRPr="009E1991">
        <w:rPr>
          <w:noProof/>
          <w:sz w:val="22"/>
        </w:rPr>
        <w:tab/>
        <w:t xml:space="preserve">Panattoni L, Brown PM, Ao B Te, Webster M, Gladding P. The cost effectiveness of genetic testing for CYP2C19 Variants to Guide Thienopyridine Treatment in Patients with Acute Coronary Syndromes: A New Zealand Evaluation. </w:t>
      </w:r>
      <w:r w:rsidRPr="009E1991">
        <w:rPr>
          <w:i/>
          <w:iCs/>
          <w:noProof/>
          <w:sz w:val="22"/>
        </w:rPr>
        <w:t>Pharmacoeconomics</w:t>
      </w:r>
      <w:r w:rsidRPr="009E1991">
        <w:rPr>
          <w:noProof/>
          <w:sz w:val="22"/>
        </w:rPr>
        <w:t>. 2012;30(11):1067-1084. doi:10.2165/11595080-000000000-00000.</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20. </w:t>
      </w:r>
      <w:r w:rsidRPr="009E1991">
        <w:rPr>
          <w:noProof/>
          <w:sz w:val="22"/>
        </w:rPr>
        <w:tab/>
        <w:t xml:space="preserve">Plumpton CO, Roberts D, Pirmohamed M, Hughes DA. A Systematic Review of Economic Evaluations of Pharmacogenetic Testing for Prevention of Adverse Drug Reactions. </w:t>
      </w:r>
      <w:r w:rsidRPr="009E1991">
        <w:rPr>
          <w:i/>
          <w:iCs/>
          <w:noProof/>
          <w:sz w:val="22"/>
        </w:rPr>
        <w:t>Pharmacoeconomics</w:t>
      </w:r>
      <w:r w:rsidRPr="009E1991">
        <w:rPr>
          <w:noProof/>
          <w:sz w:val="22"/>
        </w:rPr>
        <w:t>. 2016. doi:10.1007/s40273-016-0397-9.</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21. </w:t>
      </w:r>
      <w:r w:rsidRPr="009E1991">
        <w:rPr>
          <w:noProof/>
          <w:sz w:val="22"/>
        </w:rPr>
        <w:tab/>
        <w:t xml:space="preserve">Anderson JL, Gage BF, Rosenberg YD, et al. A Pharmacogenetic versus a Clinical Algorithm for Warfarin Dosin. </w:t>
      </w:r>
      <w:r w:rsidRPr="009E1991">
        <w:rPr>
          <w:i/>
          <w:iCs/>
          <w:noProof/>
          <w:sz w:val="22"/>
        </w:rPr>
        <w:t>N Engl J Med</w:t>
      </w:r>
      <w:r w:rsidRPr="009E1991">
        <w:rPr>
          <w:noProof/>
          <w:sz w:val="22"/>
        </w:rPr>
        <w:t>. 2013;369(24):2283-2293. doi:10.1056/NEJMoa1310669.</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22. </w:t>
      </w:r>
      <w:r w:rsidRPr="009E1991">
        <w:rPr>
          <w:noProof/>
          <w:sz w:val="22"/>
        </w:rPr>
        <w:tab/>
        <w:t xml:space="preserve">Kimmel SE, French BF, Kasner SE, et al. A pharmacogenetic versus a clinical algorithm for warfarin dosing. </w:t>
      </w:r>
      <w:r w:rsidRPr="009E1991">
        <w:rPr>
          <w:i/>
          <w:iCs/>
          <w:noProof/>
          <w:sz w:val="22"/>
        </w:rPr>
        <w:t>N Engl J Med</w:t>
      </w:r>
      <w:r w:rsidRPr="009E1991">
        <w:rPr>
          <w:noProof/>
          <w:sz w:val="22"/>
        </w:rPr>
        <w:t>. 2013;369(24):2283-2293. doi:10.1056/NEJMoa1310669.</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23. </w:t>
      </w:r>
      <w:r w:rsidRPr="009E1991">
        <w:rPr>
          <w:noProof/>
          <w:sz w:val="22"/>
        </w:rPr>
        <w:tab/>
        <w:t xml:space="preserve">Finlayson  a E, Godman B, Paterson K, et al. Personalizing healthcare: from genetics through payment to improving care? </w:t>
      </w:r>
      <w:r w:rsidRPr="009E1991">
        <w:rPr>
          <w:i/>
          <w:iCs/>
          <w:noProof/>
          <w:sz w:val="22"/>
        </w:rPr>
        <w:t>J R Soc Med</w:t>
      </w:r>
      <w:r w:rsidRPr="009E1991">
        <w:rPr>
          <w:noProof/>
          <w:sz w:val="22"/>
        </w:rPr>
        <w:t>. 2013;106(2):41-44. doi:10.1258/jrsm.2012.120193.</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24. </w:t>
      </w:r>
      <w:r w:rsidRPr="009E1991">
        <w:rPr>
          <w:noProof/>
          <w:sz w:val="22"/>
        </w:rPr>
        <w:tab/>
        <w:t xml:space="preserve">Verhoef TI, Redekop WK, Langenskiold S, et al. Cost-effectiveness of pharmacogenetic-guided dosing of warfarin in the United Kingdom and Sweden. </w:t>
      </w:r>
      <w:r w:rsidRPr="009E1991">
        <w:rPr>
          <w:i/>
          <w:iCs/>
          <w:noProof/>
          <w:sz w:val="22"/>
        </w:rPr>
        <w:t>Pharmacogenomics J</w:t>
      </w:r>
      <w:r w:rsidRPr="009E1991">
        <w:rPr>
          <w:noProof/>
          <w:sz w:val="22"/>
        </w:rPr>
        <w:t>. 2016;16(5):478-484. doi:10.1038/tpj.2016.41.</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25. </w:t>
      </w:r>
      <w:r w:rsidRPr="009E1991">
        <w:rPr>
          <w:noProof/>
          <w:sz w:val="22"/>
        </w:rPr>
        <w:tab/>
        <w:t xml:space="preserve">Perera MA, Cavallari LH, Limdi NA, et al. Genetic variants associated with warfarin dose in African- American individuals : a genome-wide association study. </w:t>
      </w:r>
      <w:r w:rsidRPr="009E1991">
        <w:rPr>
          <w:i/>
          <w:iCs/>
          <w:noProof/>
          <w:sz w:val="22"/>
        </w:rPr>
        <w:t>Lancet</w:t>
      </w:r>
      <w:r w:rsidRPr="009E1991">
        <w:rPr>
          <w:noProof/>
          <w:sz w:val="22"/>
        </w:rPr>
        <w:t>. 2013;382(9894):790-796. doi:10.1016/S0140-6736(13)60681-9.</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26. </w:t>
      </w:r>
      <w:r w:rsidRPr="009E1991">
        <w:rPr>
          <w:noProof/>
          <w:sz w:val="22"/>
        </w:rPr>
        <w:tab/>
        <w:t xml:space="preserve">Kubo K, Ohara M, Tachikawa M, et al. Population differences in S -warfarin pharmacokinetics among African Americans , Asians and whites : their in fl uence on pharmacogenetic dosing algorithms. </w:t>
      </w:r>
      <w:r w:rsidRPr="009E1991">
        <w:rPr>
          <w:i/>
          <w:iCs/>
          <w:noProof/>
          <w:sz w:val="22"/>
        </w:rPr>
        <w:t>Pharmacogenomics J</w:t>
      </w:r>
      <w:r w:rsidRPr="009E1991">
        <w:rPr>
          <w:noProof/>
          <w:sz w:val="22"/>
        </w:rPr>
        <w:t>. 2016;0:1-7. doi:10.1038/tpj.2016.57.</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27. </w:t>
      </w:r>
      <w:r w:rsidRPr="009E1991">
        <w:rPr>
          <w:noProof/>
          <w:sz w:val="22"/>
        </w:rPr>
        <w:tab/>
        <w:t xml:space="preserve">Daneshjou R, Gamazon ER, Burkley B, et al. Genetic variant in folate homeostasis is associated with lower warfarin dose in African Americans. </w:t>
      </w:r>
      <w:r w:rsidRPr="009E1991">
        <w:rPr>
          <w:i/>
          <w:iCs/>
          <w:noProof/>
          <w:sz w:val="22"/>
        </w:rPr>
        <w:t>Blood</w:t>
      </w:r>
      <w:r w:rsidRPr="009E1991">
        <w:rPr>
          <w:noProof/>
          <w:sz w:val="22"/>
        </w:rPr>
        <w:t>. 2014;124(14):2298-2306. doi:10.1182/blood-2014-04-568436.R.D.</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28. </w:t>
      </w:r>
      <w:r w:rsidRPr="009E1991">
        <w:rPr>
          <w:noProof/>
          <w:sz w:val="22"/>
        </w:rPr>
        <w:tab/>
        <w:t xml:space="preserve">Simon T, Verstuyft C, Mary-Krause M, et al. Genetic Determinants of Response to Clopidogrel and Cardiovascular Events. </w:t>
      </w:r>
      <w:r w:rsidRPr="009E1991">
        <w:rPr>
          <w:i/>
          <w:iCs/>
          <w:noProof/>
          <w:sz w:val="22"/>
        </w:rPr>
        <w:t>N Engl J Med</w:t>
      </w:r>
      <w:r w:rsidRPr="009E1991">
        <w:rPr>
          <w:noProof/>
          <w:sz w:val="22"/>
        </w:rPr>
        <w:t>. 2009;360(4):363-375.</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29. </w:t>
      </w:r>
      <w:r w:rsidRPr="009E1991">
        <w:rPr>
          <w:noProof/>
          <w:sz w:val="22"/>
        </w:rPr>
        <w:tab/>
        <w:t xml:space="preserve">Scott SA, Sangkuhl K, Stein CM, et al. Clinical Pharmacogenetics Implementation Consortium Guidelines for CYP2C19 Genotype and Clopidogrel Therapy : 2013 Update. </w:t>
      </w:r>
      <w:r w:rsidRPr="009E1991">
        <w:rPr>
          <w:i/>
          <w:iCs/>
          <w:noProof/>
          <w:sz w:val="22"/>
        </w:rPr>
        <w:t>Clin Pharmacol Ther</w:t>
      </w:r>
      <w:r w:rsidRPr="009E1991">
        <w:rPr>
          <w:noProof/>
          <w:sz w:val="22"/>
        </w:rPr>
        <w:t>. 2013;94(3):317-323. doi:10.1038/clpt.2013.105.</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30. </w:t>
      </w:r>
      <w:r w:rsidRPr="009E1991">
        <w:rPr>
          <w:noProof/>
          <w:sz w:val="22"/>
        </w:rPr>
        <w:tab/>
        <w:t xml:space="preserve">Pereira NL, Geske JB, Mayr M, Shah SH, Rihal CS. Pharmacogenetics of clopidogrel. </w:t>
      </w:r>
      <w:r w:rsidRPr="009E1991">
        <w:rPr>
          <w:i/>
          <w:iCs/>
          <w:noProof/>
          <w:sz w:val="22"/>
        </w:rPr>
        <w:t>Circ Cardiovasc Genet</w:t>
      </w:r>
      <w:r w:rsidRPr="009E1991">
        <w:rPr>
          <w:noProof/>
          <w:sz w:val="22"/>
        </w:rPr>
        <w:t>. 2016;9(2):185-188. doi:10.1161/CIRCGENETICS.115.001318.</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31. </w:t>
      </w:r>
      <w:r w:rsidRPr="009E1991">
        <w:rPr>
          <w:noProof/>
          <w:sz w:val="22"/>
        </w:rPr>
        <w:tab/>
        <w:t xml:space="preserve">Tan DSW, Mok TSK, Rebbeck TR. Cancer genomics: Diversity and disparity across ethnicity and geography. </w:t>
      </w:r>
      <w:r w:rsidRPr="009E1991">
        <w:rPr>
          <w:i/>
          <w:iCs/>
          <w:noProof/>
          <w:sz w:val="22"/>
        </w:rPr>
        <w:t>J Clin Oncol</w:t>
      </w:r>
      <w:r w:rsidRPr="009E1991">
        <w:rPr>
          <w:noProof/>
          <w:sz w:val="22"/>
        </w:rPr>
        <w:t>. 2016;34(1):91-101. doi:10.1200/JCO.2015.62.0096.</w:t>
      </w:r>
    </w:p>
    <w:p w:rsidR="009E1991" w:rsidRPr="009E1991" w:rsidRDefault="009E1991" w:rsidP="009E1991">
      <w:pPr>
        <w:widowControl w:val="0"/>
        <w:autoSpaceDE w:val="0"/>
        <w:autoSpaceDN w:val="0"/>
        <w:adjustRightInd w:val="0"/>
        <w:spacing w:after="140"/>
        <w:ind w:left="640" w:hanging="640"/>
        <w:rPr>
          <w:noProof/>
          <w:sz w:val="22"/>
        </w:rPr>
      </w:pPr>
      <w:r w:rsidRPr="009E1991">
        <w:rPr>
          <w:noProof/>
          <w:sz w:val="22"/>
        </w:rPr>
        <w:t xml:space="preserve">32. </w:t>
      </w:r>
      <w:r w:rsidRPr="009E1991">
        <w:rPr>
          <w:noProof/>
          <w:sz w:val="22"/>
        </w:rPr>
        <w:tab/>
        <w:t xml:space="preserve">World Health Organization. </w:t>
      </w:r>
      <w:r w:rsidRPr="009E1991">
        <w:rPr>
          <w:i/>
          <w:iCs/>
          <w:noProof/>
          <w:sz w:val="22"/>
        </w:rPr>
        <w:t>Closing the Gap in a Generation</w:t>
      </w:r>
      <w:r w:rsidRPr="009E1991">
        <w:rPr>
          <w:noProof/>
          <w:sz w:val="22"/>
        </w:rPr>
        <w:t>.; 2008. doi:10.1080/17441692.2010.514617.</w:t>
      </w:r>
    </w:p>
    <w:p w:rsidR="001C7C56" w:rsidRDefault="00590D24" w:rsidP="009E1991">
      <w:pPr>
        <w:widowControl w:val="0"/>
        <w:autoSpaceDE w:val="0"/>
        <w:autoSpaceDN w:val="0"/>
        <w:adjustRightInd w:val="0"/>
        <w:spacing w:after="140"/>
        <w:ind w:left="640" w:hanging="640"/>
        <w:rPr>
          <w:lang w:eastAsia="en-GB"/>
        </w:rPr>
        <w:sectPr w:rsidR="001C7C56" w:rsidSect="009D254C">
          <w:pgSz w:w="11906" w:h="16838"/>
          <w:pgMar w:top="1440" w:right="1440" w:bottom="1440" w:left="1440" w:header="708" w:footer="510" w:gutter="0"/>
          <w:cols w:space="708"/>
          <w:docGrid w:linePitch="360"/>
        </w:sectPr>
      </w:pPr>
      <w:r w:rsidRPr="00717247">
        <w:rPr>
          <w:sz w:val="22"/>
          <w:lang w:eastAsia="en-GB"/>
        </w:rPr>
        <w:fldChar w:fldCharType="end"/>
      </w:r>
    </w:p>
    <w:p w:rsidR="009D0B39" w:rsidRDefault="004A6054" w:rsidP="004A6054">
      <w:pPr>
        <w:pStyle w:val="Heading2"/>
        <w:numPr>
          <w:ilvl w:val="0"/>
          <w:numId w:val="0"/>
        </w:numPr>
        <w:ind w:left="576" w:hanging="576"/>
        <w:rPr>
          <w:lang w:eastAsia="en-GB"/>
        </w:rPr>
      </w:pPr>
      <w:bookmarkStart w:id="0" w:name="_Ref469422549"/>
      <w:bookmarkStart w:id="1" w:name="_Ref460106246"/>
      <w:r>
        <w:rPr>
          <w:lang w:eastAsia="en-GB"/>
        </w:rPr>
        <w:lastRenderedPageBreak/>
        <w:t>FIGURE</w:t>
      </w:r>
      <w:r w:rsidR="0033232C">
        <w:rPr>
          <w:lang w:eastAsia="en-GB"/>
        </w:rPr>
        <w:t>S</w:t>
      </w:r>
    </w:p>
    <w:p w:rsidR="002E603B" w:rsidRPr="003C7049" w:rsidRDefault="002E603B" w:rsidP="002E603B">
      <w:pPr>
        <w:pStyle w:val="Caption"/>
        <w:spacing w:line="480" w:lineRule="auto"/>
        <w:rPr>
          <w:sz w:val="22"/>
          <w:szCs w:val="24"/>
        </w:rPr>
      </w:pPr>
      <w:bookmarkStart w:id="2" w:name="_Ref464139971"/>
      <w:r w:rsidRPr="003C7049">
        <w:rPr>
          <w:sz w:val="22"/>
          <w:szCs w:val="24"/>
        </w:rPr>
        <w:t xml:space="preserve">Figure </w:t>
      </w:r>
      <w:r w:rsidRPr="003C7049">
        <w:rPr>
          <w:sz w:val="22"/>
          <w:szCs w:val="24"/>
        </w:rPr>
        <w:fldChar w:fldCharType="begin"/>
      </w:r>
      <w:r w:rsidRPr="003C7049">
        <w:rPr>
          <w:sz w:val="22"/>
          <w:szCs w:val="24"/>
        </w:rPr>
        <w:instrText xml:space="preserve"> SEQ Figure \* ARABIC </w:instrText>
      </w:r>
      <w:r w:rsidRPr="003C7049">
        <w:rPr>
          <w:sz w:val="22"/>
          <w:szCs w:val="24"/>
        </w:rPr>
        <w:fldChar w:fldCharType="separate"/>
      </w:r>
      <w:r w:rsidRPr="003C7049">
        <w:rPr>
          <w:noProof/>
          <w:sz w:val="22"/>
          <w:szCs w:val="24"/>
        </w:rPr>
        <w:t>1</w:t>
      </w:r>
      <w:r w:rsidRPr="003C7049">
        <w:rPr>
          <w:sz w:val="22"/>
          <w:szCs w:val="24"/>
        </w:rPr>
        <w:fldChar w:fldCharType="end"/>
      </w:r>
      <w:bookmarkEnd w:id="2"/>
      <w:r w:rsidR="0033232C">
        <w:rPr>
          <w:sz w:val="22"/>
          <w:szCs w:val="24"/>
        </w:rPr>
        <w:t xml:space="preserve"> Barriers to</w:t>
      </w:r>
      <w:r w:rsidRPr="003C7049">
        <w:rPr>
          <w:sz w:val="22"/>
          <w:szCs w:val="24"/>
        </w:rPr>
        <w:t xml:space="preserve"> the delivery of pharmacogenomic interventions </w:t>
      </w:r>
    </w:p>
    <w:p w:rsidR="002E603B" w:rsidRPr="009F49C7" w:rsidRDefault="002E603B" w:rsidP="002E603B">
      <w:pPr>
        <w:spacing w:line="480" w:lineRule="auto"/>
      </w:pPr>
      <w:r>
        <w:rPr>
          <w:noProof/>
          <w:lang w:val="en-GB" w:eastAsia="en-GB"/>
        </w:rPr>
        <mc:AlternateContent>
          <mc:Choice Requires="wps">
            <w:drawing>
              <wp:anchor distT="0" distB="0" distL="114300" distR="114300" simplePos="0" relativeHeight="251660288" behindDoc="0" locked="0" layoutInCell="1" allowOverlap="1" wp14:anchorId="16606C21" wp14:editId="0C20EFC7">
                <wp:simplePos x="0" y="0"/>
                <wp:positionH relativeFrom="column">
                  <wp:posOffset>3948430</wp:posOffset>
                </wp:positionH>
                <wp:positionV relativeFrom="paragraph">
                  <wp:posOffset>1909074</wp:posOffset>
                </wp:positionV>
                <wp:extent cx="1328420" cy="301625"/>
                <wp:effectExtent l="0" t="0" r="24130" b="2222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8420" cy="3016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2F9785" id="Oval 16" o:spid="_x0000_s1026" style="position:absolute;margin-left:310.9pt;margin-top:150.3pt;width:104.6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" filled="f" strokecolor="red" strokeweight="2pt">
                <v:path arrowok="t"/>
              </v:oval>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69B6B33" wp14:editId="736C6F6C">
                <wp:simplePos x="0" y="0"/>
                <wp:positionH relativeFrom="column">
                  <wp:posOffset>2672344</wp:posOffset>
                </wp:positionH>
                <wp:positionV relativeFrom="paragraph">
                  <wp:posOffset>1503045</wp:posOffset>
                </wp:positionV>
                <wp:extent cx="1190625" cy="172720"/>
                <wp:effectExtent l="0" t="0" r="28575" b="1778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1727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D9875" id="Oval 15" o:spid="_x0000_s1026" style="position:absolute;margin-left:210.4pt;margin-top:118.35pt;width:93.75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" filled="f" strokecolor="red" strokeweight="2pt">
                <v:path arrowok="t"/>
              </v:oval>
            </w:pict>
          </mc:Fallback>
        </mc:AlternateContent>
      </w:r>
      <w:r>
        <w:rPr>
          <w:noProof/>
          <w:lang w:val="en-GB" w:eastAsia="en-GB"/>
        </w:rPr>
        <w:drawing>
          <wp:inline distT="0" distB="0" distL="0" distR="0" wp14:anchorId="21FB71A8" wp14:editId="4643F167">
            <wp:extent cx="5469147" cy="3200400"/>
            <wp:effectExtent l="0" t="0" r="1778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E603B" w:rsidRDefault="002E603B">
      <w:pPr>
        <w:rPr>
          <w:b/>
          <w:bCs/>
          <w:color w:val="4F81BD" w:themeColor="accent1"/>
          <w:sz w:val="22"/>
          <w:szCs w:val="22"/>
        </w:rPr>
      </w:pPr>
      <w:r>
        <w:rPr>
          <w:sz w:val="22"/>
          <w:szCs w:val="22"/>
        </w:rPr>
        <w:br w:type="page"/>
      </w:r>
    </w:p>
    <w:p w:rsidR="002E603B" w:rsidRPr="00F40CE5" w:rsidRDefault="002E603B" w:rsidP="002E603B">
      <w:pPr>
        <w:pStyle w:val="Caption"/>
        <w:spacing w:line="480" w:lineRule="auto"/>
        <w:rPr>
          <w:noProof/>
          <w:sz w:val="22"/>
          <w:szCs w:val="22"/>
          <w:lang w:eastAsia="en-GB"/>
        </w:rPr>
      </w:pPr>
      <w:r w:rsidRPr="00F40CE5">
        <w:rPr>
          <w:sz w:val="22"/>
          <w:szCs w:val="22"/>
        </w:rPr>
        <w:lastRenderedPageBreak/>
        <w:t xml:space="preserve">Figure </w:t>
      </w:r>
      <w:r w:rsidRPr="00F40CE5">
        <w:rPr>
          <w:sz w:val="22"/>
          <w:szCs w:val="22"/>
        </w:rPr>
        <w:fldChar w:fldCharType="begin"/>
      </w:r>
      <w:r w:rsidRPr="00F40CE5">
        <w:rPr>
          <w:sz w:val="22"/>
          <w:szCs w:val="22"/>
        </w:rPr>
        <w:instrText xml:space="preserve"> SEQ Figure \* ARABIC </w:instrText>
      </w:r>
      <w:r w:rsidRPr="00F40CE5">
        <w:rPr>
          <w:sz w:val="22"/>
          <w:szCs w:val="22"/>
        </w:rPr>
        <w:fldChar w:fldCharType="separate"/>
      </w:r>
      <w:r w:rsidRPr="00F40CE5">
        <w:rPr>
          <w:noProof/>
          <w:sz w:val="22"/>
          <w:szCs w:val="22"/>
        </w:rPr>
        <w:t>2</w:t>
      </w:r>
      <w:r w:rsidRPr="00F40CE5">
        <w:rPr>
          <w:noProof/>
          <w:sz w:val="22"/>
          <w:szCs w:val="22"/>
        </w:rPr>
        <w:fldChar w:fldCharType="end"/>
      </w:r>
      <w:r>
        <w:rPr>
          <w:sz w:val="22"/>
          <w:szCs w:val="22"/>
        </w:rPr>
        <w:t xml:space="preserve"> PRISMA flow diagram displaying articles included and excluded in this review</w:t>
      </w:r>
    </w:p>
    <w:p w:rsidR="002E603B" w:rsidRDefault="00A20C4B" w:rsidP="002E603B">
      <w:pPr>
        <w:pStyle w:val="LRiGnormal"/>
        <w:spacing w:line="480" w:lineRule="auto"/>
      </w:pPr>
      <w:r>
        <w:rPr>
          <w:noProof/>
          <w:lang w:val="en-GB" w:eastAsia="en-GB"/>
        </w:rPr>
        <w:drawing>
          <wp:inline distT="0" distB="0" distL="0" distR="0" wp14:anchorId="3790DF2D" wp14:editId="4BCE8442">
            <wp:extent cx="5529580" cy="427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9580" cy="4273550"/>
                    </a:xfrm>
                    <a:prstGeom prst="rect">
                      <a:avLst/>
                    </a:prstGeom>
                    <a:noFill/>
                  </pic:spPr>
                </pic:pic>
              </a:graphicData>
            </a:graphic>
          </wp:inline>
        </w:drawing>
      </w:r>
    </w:p>
    <w:p w:rsidR="002E603B" w:rsidRDefault="002E603B">
      <w:pPr>
        <w:rPr>
          <w:b/>
          <w:bCs/>
          <w:color w:val="4F81BD" w:themeColor="accent1"/>
          <w:sz w:val="18"/>
          <w:szCs w:val="18"/>
        </w:rPr>
      </w:pPr>
      <w:bookmarkStart w:id="3" w:name="_Ref464492231"/>
      <w:bookmarkStart w:id="4" w:name="_Ref464492212"/>
      <w:r>
        <w:br w:type="page"/>
      </w:r>
    </w:p>
    <w:p w:rsidR="002E603B" w:rsidRDefault="002E603B" w:rsidP="002E603B">
      <w:pPr>
        <w:pStyle w:val="Caption"/>
        <w:sectPr w:rsidR="002E603B" w:rsidSect="002E603B">
          <w:pgSz w:w="11906" w:h="16838"/>
          <w:pgMar w:top="1440" w:right="1440" w:bottom="1440" w:left="1440" w:header="709" w:footer="510" w:gutter="0"/>
          <w:cols w:space="708"/>
          <w:docGrid w:linePitch="360"/>
        </w:sectPr>
      </w:pPr>
    </w:p>
    <w:p w:rsidR="002E603B" w:rsidRPr="00717247" w:rsidRDefault="002E603B" w:rsidP="002E603B">
      <w:pPr>
        <w:pStyle w:val="Caption"/>
        <w:rPr>
          <w:sz w:val="22"/>
        </w:rPr>
      </w:pPr>
      <w:r w:rsidRPr="00717247">
        <w:rPr>
          <w:sz w:val="22"/>
        </w:rPr>
        <w:lastRenderedPageBreak/>
        <w:t xml:space="preserve">Table </w:t>
      </w:r>
      <w:r w:rsidRPr="00717247">
        <w:rPr>
          <w:sz w:val="22"/>
        </w:rPr>
        <w:fldChar w:fldCharType="begin"/>
      </w:r>
      <w:r w:rsidRPr="00717247">
        <w:rPr>
          <w:sz w:val="22"/>
        </w:rPr>
        <w:instrText xml:space="preserve"> SEQ Table \* ARABIC </w:instrText>
      </w:r>
      <w:r w:rsidRPr="00717247">
        <w:rPr>
          <w:sz w:val="22"/>
        </w:rPr>
        <w:fldChar w:fldCharType="separate"/>
      </w:r>
      <w:r w:rsidRPr="00717247">
        <w:rPr>
          <w:noProof/>
          <w:sz w:val="22"/>
        </w:rPr>
        <w:t>1</w:t>
      </w:r>
      <w:r w:rsidRPr="00717247">
        <w:rPr>
          <w:noProof/>
          <w:sz w:val="22"/>
        </w:rPr>
        <w:fldChar w:fldCharType="end"/>
      </w:r>
      <w:bookmarkEnd w:id="3"/>
      <w:r w:rsidRPr="00717247">
        <w:rPr>
          <w:sz w:val="22"/>
        </w:rPr>
        <w:t xml:space="preserve"> Summary</w:t>
      </w:r>
      <w:bookmarkEnd w:id="4"/>
      <w:r w:rsidRPr="00717247">
        <w:rPr>
          <w:sz w:val="22"/>
        </w:rPr>
        <w:t xml:space="preserve"> of included s</w:t>
      </w:r>
      <w:r w:rsidR="0046194F" w:rsidRPr="00717247">
        <w:rPr>
          <w:sz w:val="22"/>
        </w:rPr>
        <w:t>tudies</w:t>
      </w:r>
    </w:p>
    <w:tbl>
      <w:tblPr>
        <w:tblStyle w:val="LightShading-Accent1"/>
        <w:tblW w:w="0" w:type="auto"/>
        <w:tblLayout w:type="fixed"/>
        <w:tblLook w:val="04A0" w:firstRow="1" w:lastRow="0" w:firstColumn="1" w:lastColumn="0" w:noHBand="0" w:noVBand="1"/>
      </w:tblPr>
      <w:tblGrid>
        <w:gridCol w:w="1526"/>
        <w:gridCol w:w="850"/>
        <w:gridCol w:w="1276"/>
        <w:gridCol w:w="851"/>
        <w:gridCol w:w="992"/>
        <w:gridCol w:w="850"/>
        <w:gridCol w:w="3119"/>
        <w:gridCol w:w="992"/>
        <w:gridCol w:w="2146"/>
        <w:gridCol w:w="899"/>
        <w:gridCol w:w="673"/>
      </w:tblGrid>
      <w:tr w:rsidR="002E603B" w:rsidRPr="00295580" w:rsidTr="00455C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rsidR="002E603B" w:rsidRPr="00295580" w:rsidRDefault="002E603B" w:rsidP="0073208F">
            <w:pPr>
              <w:rPr>
                <w:rFonts w:ascii="Calibri" w:hAnsi="Calibri" w:cs="Calibri"/>
                <w:color w:val="000000"/>
                <w:sz w:val="16"/>
                <w:szCs w:val="16"/>
              </w:rPr>
            </w:pPr>
            <w:r w:rsidRPr="00295580">
              <w:rPr>
                <w:rFonts w:ascii="Calibri" w:hAnsi="Calibri" w:cs="Calibri"/>
                <w:b w:val="0"/>
                <w:bCs w:val="0"/>
                <w:color w:val="000000"/>
                <w:sz w:val="16"/>
                <w:szCs w:val="16"/>
              </w:rPr>
              <w:t>Reference</w:t>
            </w:r>
          </w:p>
        </w:tc>
        <w:tc>
          <w:tcPr>
            <w:tcW w:w="850" w:type="dxa"/>
            <w:noWrap/>
            <w:hideMark/>
          </w:tcPr>
          <w:p w:rsidR="002E603B" w:rsidRPr="00295580" w:rsidRDefault="002E603B" w:rsidP="0073208F">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b w:val="0"/>
                <w:bCs w:val="0"/>
                <w:color w:val="000000"/>
                <w:sz w:val="16"/>
                <w:szCs w:val="16"/>
              </w:rPr>
              <w:t>N</w:t>
            </w:r>
          </w:p>
        </w:tc>
        <w:tc>
          <w:tcPr>
            <w:tcW w:w="1276" w:type="dxa"/>
            <w:noWrap/>
            <w:hideMark/>
          </w:tcPr>
          <w:p w:rsidR="002E603B" w:rsidRPr="00295580" w:rsidRDefault="002E603B" w:rsidP="0073208F">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b w:val="0"/>
                <w:bCs w:val="0"/>
                <w:color w:val="000000"/>
                <w:sz w:val="16"/>
                <w:szCs w:val="16"/>
              </w:rPr>
              <w:t>Test type</w:t>
            </w:r>
          </w:p>
        </w:tc>
        <w:tc>
          <w:tcPr>
            <w:tcW w:w="851" w:type="dxa"/>
            <w:noWrap/>
            <w:hideMark/>
          </w:tcPr>
          <w:p w:rsidR="002E603B" w:rsidRPr="00295580" w:rsidRDefault="002E603B" w:rsidP="0073208F">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b w:val="0"/>
                <w:bCs w:val="0"/>
                <w:color w:val="000000"/>
                <w:sz w:val="16"/>
                <w:szCs w:val="16"/>
              </w:rPr>
              <w:t>Average age</w:t>
            </w:r>
          </w:p>
        </w:tc>
        <w:tc>
          <w:tcPr>
            <w:tcW w:w="992" w:type="dxa"/>
            <w:noWrap/>
            <w:hideMark/>
          </w:tcPr>
          <w:p w:rsidR="002E603B" w:rsidRPr="00295580" w:rsidRDefault="002E603B" w:rsidP="0073208F">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b w:val="0"/>
                <w:bCs w:val="0"/>
                <w:color w:val="000000"/>
                <w:sz w:val="16"/>
                <w:szCs w:val="16"/>
              </w:rPr>
              <w:t>Age Range</w:t>
            </w:r>
            <w:r>
              <w:rPr>
                <w:rFonts w:ascii="Calibri" w:hAnsi="Calibri" w:cs="Calibri"/>
                <w:b w:val="0"/>
                <w:bCs w:val="0"/>
                <w:color w:val="000000"/>
                <w:sz w:val="16"/>
                <w:szCs w:val="16"/>
              </w:rPr>
              <w:t xml:space="preserve"> or SD</w:t>
            </w:r>
          </w:p>
        </w:tc>
        <w:tc>
          <w:tcPr>
            <w:tcW w:w="850" w:type="dxa"/>
            <w:noWrap/>
            <w:hideMark/>
          </w:tcPr>
          <w:p w:rsidR="002E603B" w:rsidRPr="00295580" w:rsidRDefault="002E603B" w:rsidP="0073208F">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b w:val="0"/>
                <w:bCs w:val="0"/>
                <w:color w:val="000000"/>
                <w:sz w:val="16"/>
                <w:szCs w:val="16"/>
              </w:rPr>
              <w:t>%</w:t>
            </w:r>
            <w:r>
              <w:rPr>
                <w:rFonts w:ascii="Calibri" w:hAnsi="Calibri" w:cs="Calibri"/>
                <w:b w:val="0"/>
                <w:bCs w:val="0"/>
                <w:color w:val="000000"/>
                <w:sz w:val="16"/>
                <w:szCs w:val="16"/>
              </w:rPr>
              <w:t xml:space="preserve"> </w:t>
            </w:r>
            <w:r w:rsidRPr="00295580">
              <w:rPr>
                <w:rFonts w:ascii="Calibri" w:hAnsi="Calibri" w:cs="Calibri"/>
                <w:b w:val="0"/>
                <w:bCs w:val="0"/>
                <w:color w:val="000000"/>
                <w:sz w:val="16"/>
                <w:szCs w:val="16"/>
              </w:rPr>
              <w:t>Women</w:t>
            </w:r>
          </w:p>
        </w:tc>
        <w:tc>
          <w:tcPr>
            <w:tcW w:w="3119" w:type="dxa"/>
            <w:noWrap/>
            <w:hideMark/>
          </w:tcPr>
          <w:p w:rsidR="002E603B" w:rsidRPr="00295580" w:rsidRDefault="002E603B" w:rsidP="0073208F">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b w:val="0"/>
                <w:bCs w:val="0"/>
                <w:color w:val="000000"/>
                <w:sz w:val="16"/>
                <w:szCs w:val="16"/>
              </w:rPr>
              <w:t>Description of sample</w:t>
            </w:r>
          </w:p>
        </w:tc>
        <w:tc>
          <w:tcPr>
            <w:tcW w:w="992" w:type="dxa"/>
            <w:noWrap/>
            <w:hideMark/>
          </w:tcPr>
          <w:p w:rsidR="002E603B" w:rsidRPr="00295580" w:rsidRDefault="002E603B" w:rsidP="0073208F">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b w:val="0"/>
                <w:bCs w:val="0"/>
                <w:color w:val="000000"/>
                <w:sz w:val="16"/>
                <w:szCs w:val="16"/>
              </w:rPr>
              <w:t>Country</w:t>
            </w:r>
          </w:p>
        </w:tc>
        <w:tc>
          <w:tcPr>
            <w:tcW w:w="2146" w:type="dxa"/>
            <w:noWrap/>
            <w:hideMark/>
          </w:tcPr>
          <w:p w:rsidR="002E603B" w:rsidRPr="00295580" w:rsidRDefault="002E603B" w:rsidP="0073208F">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b w:val="0"/>
                <w:bCs w:val="0"/>
                <w:color w:val="000000"/>
                <w:sz w:val="16"/>
                <w:szCs w:val="16"/>
              </w:rPr>
              <w:t>Equity comment</w:t>
            </w:r>
          </w:p>
        </w:tc>
        <w:tc>
          <w:tcPr>
            <w:tcW w:w="899" w:type="dxa"/>
            <w:noWrap/>
            <w:hideMark/>
          </w:tcPr>
          <w:p w:rsidR="002E603B" w:rsidRPr="00295580" w:rsidRDefault="002E603B" w:rsidP="0073208F">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673" w:type="dxa"/>
            <w:noWrap/>
            <w:hideMark/>
          </w:tcPr>
          <w:p w:rsidR="002E603B" w:rsidRPr="00295580" w:rsidRDefault="002E603B" w:rsidP="0073208F">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b w:val="0"/>
                <w:bCs w:val="0"/>
                <w:color w:val="000000"/>
                <w:sz w:val="16"/>
                <w:szCs w:val="16"/>
              </w:rPr>
              <w:t>GRADE</w:t>
            </w:r>
          </w:p>
        </w:tc>
      </w:tr>
      <w:tr w:rsidR="002E603B" w:rsidRPr="00295580" w:rsidTr="00455CAC">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526" w:type="dxa"/>
            <w:noWrap/>
            <w:hideMark/>
          </w:tcPr>
          <w:p w:rsidR="002E603B" w:rsidRPr="00CA6F1D" w:rsidRDefault="002E603B" w:rsidP="00FB4EEB">
            <w:pPr>
              <w:rPr>
                <w:rFonts w:ascii="Calibri" w:hAnsi="Calibri" w:cs="Calibri"/>
                <w:b w:val="0"/>
                <w:color w:val="000000"/>
                <w:sz w:val="16"/>
                <w:szCs w:val="16"/>
              </w:rPr>
            </w:pPr>
            <w:r w:rsidRPr="00CA6F1D">
              <w:rPr>
                <w:rFonts w:ascii="Calibri" w:hAnsi="Calibri" w:cs="Calibri"/>
                <w:b w:val="0"/>
                <w:color w:val="000000"/>
                <w:sz w:val="16"/>
                <w:szCs w:val="16"/>
              </w:rPr>
              <w:t>Kealey et al (2007</w:t>
            </w:r>
            <w:r w:rsidRPr="00FB4EEB">
              <w:rPr>
                <w:rFonts w:asciiTheme="minorHAnsi" w:hAnsiTheme="minorHAnsi" w:cstheme="minorHAnsi"/>
                <w:b w:val="0"/>
                <w:color w:val="000000"/>
                <w:sz w:val="16"/>
                <w:szCs w:val="16"/>
              </w:rPr>
              <w:t>)</w:t>
            </w:r>
            <w:r w:rsidR="00FB4EEB" w:rsidRPr="00FB4EEB">
              <w:rPr>
                <w:rFonts w:asciiTheme="minorHAnsi" w:hAnsiTheme="minorHAnsi" w:cstheme="minorHAnsi"/>
                <w:sz w:val="16"/>
                <w:szCs w:val="16"/>
              </w:rPr>
              <w:fldChar w:fldCharType="begin" w:fldLock="1"/>
            </w:r>
            <w:r w:rsidR="00FB4EEB">
              <w:rPr>
                <w:rFonts w:asciiTheme="minorHAnsi" w:hAnsiTheme="minorHAnsi" w:cstheme="minorHAnsi"/>
                <w:sz w:val="16"/>
                <w:szCs w:val="16"/>
              </w:rPr>
              <w:instrText>ADDIN CSL_CITATION { "citationItems" : [ { "id" : "ITEM-1", "itemData" : { "DOI" : "10.2217/14622416.8.3.217", "ISSN" : "1462-2416", "abstract" : "Introduction: Warfarin is a widely prescribed, efficacious oral anticoagulant. S-warfarin, the more active form, is metabolized by the cytochrome P450 (CYP)2C9 enzyme. The aim was to evaluate the- influence of two CYP2C9 functional polymorphisms (*2 and *3) on warfarin dose in African-Americans, an unstudied population and Caucasians, and also to assess the effect of these polymorphisms on anticoagulation response after accounting for nongenetic factors and genetic factors that might also impact the dose-response relationship of warfarin. Patients and methods: A prospective cohort of 362 patients with a target international normalized ratio of between 2.0 and 3.0 were genotyped. Warfarin sensitivity stratified by genotype was investigated using univariate, and multivariate analyses. Results: The maintenance dose of warfarin was significantly related to genotype (p &lt; 0.01) (variant carriers: 31.25 mg/week; wild-type: 37.5 mg/ week), even after adjustment for possible confounding factors (p = 0.046). However, the effect of genotype was restricted to Caucasians, in whom variant carriers had a significantly lower maintenance dose compared with wild-type homozygotes (unadjusted: p &lt; 0.01; adjusted: p = 0.02). There was a greater risk of over-anticoagulation among Caucasian variant carriers, although this was only observed prior to reaching maintenance dose. For African-American variant carriers, there was no difference in warfarin response based on CYP2C9 genotype. Discussion: CYP2C9 *2 and *3 variants provide predictive information in anticoagulation response. However, these variants may not be useful in African-Americans or as a marker of long-term over-anticoagulation once a stable dose is reached. \u00a9 2007 Future Medicine Ltd.", "author" : [ { "dropping-particle" : "", "family" : "Kealey", "given" : "Carmel", "non-dropping-particle" : "", "parse-names" : false, "suffix" : "" }, { "dropping-particle" : "", "family" : "Chen", "given" : "Zhen", "non-dropping-particle" : "", "parse-names" : false, "suffix" : "" }, { "dropping-particle" : "", "family" : "Christie", "given" : "Jason", "non-dropping-particle" : "", "parse-names" : false, "suffix" : "" }, { "dropping-particle" : "", "family" : "Thorn", "given" : "Caroline F", "non-dropping-particle" : "", "parse-names" : false, "suffix" : "" }, { "dropping-particle" : "", "family" : "Whitehead", "given" : "Alexander S", "non-dropping-particle" : "", "parse-names" : false, "suffix" : "" }, { "dropping-particle" : "", "family" : "Price", "given" : "Maureen", "non-dropping-particle" : "", "parse-names" : false, "suffix" : "" }, { "dropping-particle" : "", "family" : "Samaha", "given" : "Frederick", "non-dropping-particle" : "", "parse-names" : false, "suffix" : "" }, { "dropping-particle" : "", "family" : "Kimmel", "given" : "Stephen", "non-dropping-particle" : "", "parse-names" : false, "suffix" : "" } ], "container-title" : "Pharmacogenomics", "id" : "ITEM-1", "issue" : "3", "issued" : { "date-parts" : [ [ "2007" ] ] }, "page" : "217-225", "title" : "Warafin and cytochrome P450 2C9 genotype: Possible ethic variation in warafin sensitivity", "type" : "article-journal", "volume" : "8" }, "uris" : [ "http://www.mendeley.com/documents/?uuid=7f920805-47fa-4e01-aed3-8e10551bfc62" ] } ], "mendeley" : { "formattedCitation" : "&lt;sup&gt;13&lt;/sup&gt;", "plainTextFormattedCitation" : "13", "previouslyFormattedCitation" : "&lt;sup&gt;13&lt;/sup&gt;" }, "properties" : { "noteIndex" : 0 }, "schema" : "https://github.com/citation-style-language/schema/raw/master/csl-citation.json" }</w:instrText>
            </w:r>
            <w:r w:rsidR="00FB4EEB" w:rsidRPr="00FB4EEB">
              <w:rPr>
                <w:rFonts w:asciiTheme="minorHAnsi" w:hAnsiTheme="minorHAnsi" w:cstheme="minorHAnsi"/>
                <w:sz w:val="16"/>
                <w:szCs w:val="16"/>
              </w:rPr>
              <w:fldChar w:fldCharType="separate"/>
            </w:r>
            <w:r w:rsidR="00FB4EEB" w:rsidRPr="00FB4EEB">
              <w:rPr>
                <w:rFonts w:asciiTheme="minorHAnsi" w:hAnsiTheme="minorHAnsi" w:cstheme="minorHAnsi"/>
                <w:b w:val="0"/>
                <w:noProof/>
                <w:sz w:val="16"/>
                <w:szCs w:val="16"/>
                <w:vertAlign w:val="superscript"/>
              </w:rPr>
              <w:t>13</w:t>
            </w:r>
            <w:r w:rsidR="00FB4EEB" w:rsidRPr="00FB4EEB">
              <w:rPr>
                <w:rFonts w:asciiTheme="minorHAnsi" w:hAnsiTheme="minorHAnsi" w:cstheme="minorHAnsi"/>
                <w:sz w:val="16"/>
                <w:szCs w:val="16"/>
              </w:rPr>
              <w:fldChar w:fldCharType="end"/>
            </w:r>
          </w:p>
        </w:tc>
        <w:tc>
          <w:tcPr>
            <w:tcW w:w="850" w:type="dxa"/>
            <w:noWrap/>
            <w:hideMark/>
          </w:tcPr>
          <w:p w:rsidR="002E603B" w:rsidRPr="00295580" w:rsidRDefault="006D6ED8"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T=</w:t>
            </w:r>
            <w:r w:rsidR="002E603B" w:rsidRPr="00295580">
              <w:rPr>
                <w:rFonts w:ascii="Calibri" w:hAnsi="Calibri" w:cs="Calibri"/>
                <w:color w:val="000000"/>
                <w:sz w:val="16"/>
                <w:szCs w:val="16"/>
              </w:rPr>
              <w:t>362</w:t>
            </w:r>
            <w:r>
              <w:rPr>
                <w:rFonts w:ascii="Calibri" w:hAnsi="Calibri" w:cs="Calibri"/>
                <w:color w:val="000000"/>
                <w:sz w:val="16"/>
                <w:szCs w:val="16"/>
              </w:rPr>
              <w:t>; C=194; AA=168</w:t>
            </w:r>
          </w:p>
        </w:tc>
        <w:tc>
          <w:tcPr>
            <w:tcW w:w="1276"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 xml:space="preserve">CYP2C9 </w:t>
            </w:r>
            <w:r>
              <w:rPr>
                <w:rFonts w:ascii="Calibri" w:hAnsi="Calibri" w:cs="Calibri"/>
                <w:color w:val="000000"/>
                <w:sz w:val="16"/>
                <w:szCs w:val="16"/>
              </w:rPr>
              <w:t>(*2 and *3) and VKORC (1</w:t>
            </w:r>
            <w:r w:rsidRPr="002C4096">
              <w:rPr>
                <w:rFonts w:ascii="Calibri" w:hAnsi="Calibri" w:cs="Calibri"/>
                <w:color w:val="000000"/>
                <w:sz w:val="16"/>
                <w:szCs w:val="16"/>
              </w:rPr>
              <w:t>1173 C/T</w:t>
            </w:r>
            <w:r>
              <w:rPr>
                <w:rFonts w:ascii="Calibri" w:hAnsi="Calibri" w:cs="Calibri"/>
                <w:color w:val="000000"/>
                <w:sz w:val="16"/>
                <w:szCs w:val="16"/>
              </w:rPr>
              <w:t xml:space="preserve">) </w:t>
            </w:r>
            <w:r w:rsidRPr="00295580">
              <w:rPr>
                <w:rFonts w:ascii="Calibri" w:hAnsi="Calibri" w:cs="Calibri"/>
                <w:color w:val="000000"/>
                <w:sz w:val="16"/>
                <w:szCs w:val="16"/>
              </w:rPr>
              <w:t>genotype</w:t>
            </w:r>
          </w:p>
        </w:tc>
        <w:tc>
          <w:tcPr>
            <w:tcW w:w="851"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58.7</w:t>
            </w:r>
          </w:p>
        </w:tc>
        <w:tc>
          <w:tcPr>
            <w:tcW w:w="992"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45-72</w:t>
            </w:r>
          </w:p>
        </w:tc>
        <w:tc>
          <w:tcPr>
            <w:tcW w:w="850"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30.9</w:t>
            </w:r>
          </w:p>
        </w:tc>
        <w:tc>
          <w:tcPr>
            <w:tcW w:w="3119" w:type="dxa"/>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 xml:space="preserve">A prospective cohort of patients </w:t>
            </w:r>
            <w:r>
              <w:rPr>
                <w:rFonts w:ascii="Calibri" w:hAnsi="Calibri" w:cs="Calibri"/>
                <w:color w:val="000000"/>
                <w:sz w:val="16"/>
                <w:szCs w:val="16"/>
              </w:rPr>
              <w:t xml:space="preserve">(of various indications) </w:t>
            </w:r>
            <w:r w:rsidRPr="00295580">
              <w:rPr>
                <w:rFonts w:ascii="Calibri" w:hAnsi="Calibri" w:cs="Calibri"/>
                <w:color w:val="000000"/>
                <w:sz w:val="16"/>
                <w:szCs w:val="16"/>
              </w:rPr>
              <w:t>with a target international normalized ratio of between 2.0 and 3.0 were genotyped</w:t>
            </w:r>
          </w:p>
        </w:tc>
        <w:tc>
          <w:tcPr>
            <w:tcW w:w="992"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USA</w:t>
            </w:r>
          </w:p>
        </w:tc>
        <w:tc>
          <w:tcPr>
            <w:tcW w:w="2146" w:type="dxa"/>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Uncertain usefulness of variants in African-Americans to provide predictive informat</w:t>
            </w:r>
            <w:r>
              <w:rPr>
                <w:rFonts w:ascii="Calibri" w:hAnsi="Calibri" w:cs="Calibri"/>
                <w:color w:val="000000"/>
                <w:sz w:val="16"/>
                <w:szCs w:val="16"/>
              </w:rPr>
              <w:t>ion in anticoagulation response</w:t>
            </w:r>
          </w:p>
        </w:tc>
        <w:tc>
          <w:tcPr>
            <w:tcW w:w="899"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 xml:space="preserve">Ethnicity - </w:t>
            </w:r>
          </w:p>
        </w:tc>
        <w:tc>
          <w:tcPr>
            <w:tcW w:w="673"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3</w:t>
            </w:r>
          </w:p>
        </w:tc>
      </w:tr>
      <w:tr w:rsidR="002E603B" w:rsidRPr="00295580" w:rsidTr="00455CAC">
        <w:trPr>
          <w:trHeight w:val="523"/>
        </w:trPr>
        <w:tc>
          <w:tcPr>
            <w:cnfStyle w:val="001000000000" w:firstRow="0" w:lastRow="0" w:firstColumn="1" w:lastColumn="0" w:oddVBand="0" w:evenVBand="0" w:oddHBand="0" w:evenHBand="0" w:firstRowFirstColumn="0" w:firstRowLastColumn="0" w:lastRowFirstColumn="0" w:lastRowLastColumn="0"/>
            <w:tcW w:w="1526" w:type="dxa"/>
            <w:noWrap/>
            <w:hideMark/>
          </w:tcPr>
          <w:p w:rsidR="002E603B" w:rsidRPr="00CA6F1D" w:rsidRDefault="002E603B" w:rsidP="00FB4EEB">
            <w:pPr>
              <w:rPr>
                <w:rFonts w:ascii="Calibri" w:hAnsi="Calibri" w:cs="Calibri"/>
                <w:b w:val="0"/>
                <w:color w:val="000000"/>
                <w:sz w:val="16"/>
                <w:szCs w:val="16"/>
              </w:rPr>
            </w:pPr>
            <w:r w:rsidRPr="00CA6F1D">
              <w:rPr>
                <w:rFonts w:ascii="Calibri" w:hAnsi="Calibri" w:cs="Calibri"/>
                <w:b w:val="0"/>
                <w:color w:val="000000"/>
                <w:sz w:val="16"/>
                <w:szCs w:val="16"/>
              </w:rPr>
              <w:t>Limdi et al (2008)</w:t>
            </w:r>
            <w:r w:rsidR="00FB4EEB" w:rsidRPr="00FB4EEB">
              <w:rPr>
                <w:rFonts w:ascii="Calibri" w:hAnsi="Calibri" w:cs="Calibri"/>
                <w:color w:val="000000"/>
                <w:sz w:val="16"/>
                <w:szCs w:val="16"/>
              </w:rPr>
              <w:fldChar w:fldCharType="begin" w:fldLock="1"/>
            </w:r>
            <w:r w:rsidR="00FB4EEB">
              <w:rPr>
                <w:rFonts w:ascii="Calibri" w:hAnsi="Calibri" w:cs="Calibri"/>
                <w:b w:val="0"/>
                <w:color w:val="000000"/>
                <w:sz w:val="16"/>
                <w:szCs w:val="16"/>
              </w:rPr>
              <w:instrText>ADDIN CSL_CITATION { "citationItems" : [ { "id" : "ITEM-1", "itemData" : { "DOI" : "10.2217/14622416.9.5.511", "ISBN" : "1744-8042", "ISSN" : "1462-2416", "PMID" : "18466099", "abstract" : "AIMS: The influence of CYP2C9 and VKORC1 on warfarin dose, time to target International Normalized Ratio (INR), time to stabilization, and risk of over-anticoagulation (INR: &gt; 4) was assessed after adjustment for clinical factors, intraindividual variation in environmental factors and unobserved heterogeneity.MATERIALS &amp; METHODS: Common CYP2C9 and VKORC1 polymorphisms were assessed in 302 European-Americans and 273 African-Americans receiving warfarin. Race-stratified multivariable analyses evaluated the influence of CYP2C9 and VKORC1 on warfarin response.RESULTS &amp; CONCLUSION: CYP2C9 and VKORC1 accounted for up to 30% of the variability in warfarin dose among European-Americans and 10% among African-Americans. Neither CYP2C9 nor VKORC1 influenced the time to target INR or stabilization among patients of either race, and neither influenced the risk of over-anticoagulation among African-Americans. The risk of over-anticoagulation was higher among European-Americans with variant VKORC1 1173C/T (p &lt; 0.01) and marginally significant among those with variant CYP2C9 (p = 0.08) genotype. Although CYP2C9 and VKORC1 genotyping can facilitate individualized initiation of warfarin dose in African and European-Americans, the ability to predict the risk of over-anticoagulation is inconsistent across race. Identification of other factors that can predict such risk consistently in a racially diverse group will facilitate individualized maintenance of warfarin therapy", "author" : [ { "dropping-particle" : "", "family" : "Limdi", "given" : "Nita A", "non-dropping-particle" : "", "parse-names" : false, "suffix" : "" }, { "dropping-particle" : "", "family" : "Arnett", "given" : "Donna K", "non-dropping-particle" : "", "parse-names" : false, "suffix" : "" }, { "dropping-particle" : "", "family" : "Goldstein", "given" : "Joyce A", "non-dropping-particle" : "", "parse-names" : false, "suffix" : "" }, { "dropping-particle" : "", "family" : "Beasley", "given" : "T Mark", "non-dropping-particle" : "", "parse-names" : false, "suffix" : "" }, { "dropping-particle" : "", "family" : "McGwin", "given" : "Gerald", "non-dropping-particle" : "", "parse-names" : false, "suffix" : "" }, { "dropping-particle" : "", "family" : "Adler", "given" : "Brian K", "non-dropping-particle" : "", "parse-names" : false, "suffix" : "" }, { "dropping-particle" : "", "family" : "Acton", "given" : "Ronald T", "non-dropping-particle" : "", "parse-names" : false, "suffix" : "" } ], "container-title" : "Pharmacogenomics", "id" : "ITEM-1", "issue" : "5", "issued" : { "date-parts" : [ [ "2008" ] ] }, "page" : "511-526", "title" : "Influence of CYP2C9 and VKORC1 on warfarin dose, anticoagulation attainment and maintenance among European-Americans and African-Americans.", "type" : "article-journal", "volume" : "9" }, "uris" : [ "http://www.mendeley.com/documents/?uuid=cda3da47-0a03-48db-9ee4-a58722b85cdd" ] } ], "mendeley" : { "formattedCitation" : "&lt;sup&gt;14&lt;/sup&gt;", "plainTextFormattedCitation" : "14", "previouslyFormattedCitation" : "&lt;sup&gt;14&lt;/sup&gt;" }, "properties" : { "noteIndex" : 0 }, "schema" : "https://github.com/citation-style-language/schema/raw/master/csl-citation.json" }</w:instrText>
            </w:r>
            <w:r w:rsidR="00FB4EEB" w:rsidRPr="00FB4EEB">
              <w:rPr>
                <w:rFonts w:ascii="Calibri" w:hAnsi="Calibri" w:cs="Calibri"/>
                <w:color w:val="000000"/>
                <w:sz w:val="16"/>
                <w:szCs w:val="16"/>
              </w:rPr>
              <w:fldChar w:fldCharType="separate"/>
            </w:r>
            <w:r w:rsidR="00FB4EEB" w:rsidRPr="00FB4EEB">
              <w:rPr>
                <w:rFonts w:ascii="Calibri" w:hAnsi="Calibri" w:cs="Calibri"/>
                <w:b w:val="0"/>
                <w:noProof/>
                <w:color w:val="000000"/>
                <w:sz w:val="16"/>
                <w:szCs w:val="16"/>
                <w:vertAlign w:val="superscript"/>
              </w:rPr>
              <w:t>14</w:t>
            </w:r>
            <w:r w:rsidR="00FB4EEB" w:rsidRPr="00FB4EEB">
              <w:rPr>
                <w:rFonts w:ascii="Calibri" w:hAnsi="Calibri" w:cs="Calibri"/>
                <w:color w:val="000000"/>
                <w:sz w:val="16"/>
                <w:szCs w:val="16"/>
              </w:rPr>
              <w:fldChar w:fldCharType="end"/>
            </w:r>
          </w:p>
        </w:tc>
        <w:tc>
          <w:tcPr>
            <w:tcW w:w="850" w:type="dxa"/>
            <w:noWrap/>
            <w:hideMark/>
          </w:tcPr>
          <w:p w:rsidR="002E603B" w:rsidRPr="00295580" w:rsidRDefault="006D6ED8"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T=</w:t>
            </w:r>
            <w:r w:rsidR="002E603B" w:rsidRPr="00295580">
              <w:rPr>
                <w:rFonts w:ascii="Calibri" w:hAnsi="Calibri" w:cs="Calibri"/>
                <w:color w:val="000000"/>
                <w:sz w:val="16"/>
                <w:szCs w:val="16"/>
              </w:rPr>
              <w:t>575</w:t>
            </w:r>
            <w:r>
              <w:rPr>
                <w:rFonts w:ascii="Calibri" w:hAnsi="Calibri" w:cs="Calibri"/>
                <w:color w:val="000000"/>
                <w:sz w:val="16"/>
                <w:szCs w:val="16"/>
              </w:rPr>
              <w:t xml:space="preserve">; </w:t>
            </w:r>
            <w:r w:rsidR="00455CAC">
              <w:rPr>
                <w:rFonts w:ascii="Calibri" w:hAnsi="Calibri" w:cs="Calibri"/>
                <w:color w:val="000000"/>
                <w:sz w:val="16"/>
                <w:szCs w:val="16"/>
              </w:rPr>
              <w:t>EA=302; AA=273</w:t>
            </w:r>
          </w:p>
        </w:tc>
        <w:tc>
          <w:tcPr>
            <w:tcW w:w="1276" w:type="dxa"/>
            <w:noWrap/>
            <w:hideMark/>
          </w:tcPr>
          <w:p w:rsidR="002E603B" w:rsidRPr="00295580" w:rsidRDefault="002E603B"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 xml:space="preserve">CYP2C9 </w:t>
            </w:r>
            <w:r>
              <w:rPr>
                <w:rFonts w:ascii="Calibri" w:hAnsi="Calibri" w:cs="Calibri"/>
                <w:color w:val="000000"/>
                <w:sz w:val="16"/>
                <w:szCs w:val="16"/>
              </w:rPr>
              <w:t xml:space="preserve">(*2, </w:t>
            </w:r>
            <w:r w:rsidRPr="00946B90">
              <w:rPr>
                <w:rFonts w:ascii="Calibri" w:hAnsi="Calibri" w:cs="Calibri"/>
                <w:color w:val="000000"/>
                <w:sz w:val="16"/>
                <w:szCs w:val="16"/>
              </w:rPr>
              <w:t>*3</w:t>
            </w:r>
            <w:r>
              <w:rPr>
                <w:rFonts w:ascii="Calibri" w:hAnsi="Calibri" w:cs="Calibri"/>
                <w:color w:val="000000"/>
                <w:sz w:val="16"/>
                <w:szCs w:val="16"/>
              </w:rPr>
              <w:t>, *5, *6 and *11</w:t>
            </w:r>
            <w:r w:rsidRPr="00946B90">
              <w:rPr>
                <w:rFonts w:ascii="Calibri" w:hAnsi="Calibri" w:cs="Calibri"/>
                <w:color w:val="000000"/>
                <w:sz w:val="16"/>
                <w:szCs w:val="16"/>
              </w:rPr>
              <w:t>)</w:t>
            </w:r>
            <w:r>
              <w:rPr>
                <w:rFonts w:ascii="Calibri" w:hAnsi="Calibri" w:cs="Calibri"/>
                <w:color w:val="000000"/>
                <w:sz w:val="16"/>
                <w:szCs w:val="16"/>
              </w:rPr>
              <w:t xml:space="preserve"> </w:t>
            </w:r>
            <w:r w:rsidRPr="00295580">
              <w:rPr>
                <w:rFonts w:ascii="Calibri" w:hAnsi="Calibri" w:cs="Calibri"/>
                <w:color w:val="000000"/>
                <w:sz w:val="16"/>
                <w:szCs w:val="16"/>
              </w:rPr>
              <w:t xml:space="preserve">and VKORC1 </w:t>
            </w:r>
            <w:r>
              <w:rPr>
                <w:rFonts w:ascii="Calibri" w:hAnsi="Calibri" w:cs="Calibri"/>
                <w:color w:val="000000"/>
                <w:sz w:val="16"/>
                <w:szCs w:val="16"/>
              </w:rPr>
              <w:t>(1173C/T, 3730G/A, 2255C/T, 1542G/C</w:t>
            </w:r>
            <w:r w:rsidRPr="00946B90">
              <w:rPr>
                <w:rFonts w:ascii="Calibri" w:hAnsi="Calibri" w:cs="Calibri"/>
                <w:color w:val="000000"/>
                <w:sz w:val="16"/>
                <w:szCs w:val="16"/>
              </w:rPr>
              <w:t>)</w:t>
            </w:r>
            <w:r>
              <w:rPr>
                <w:rFonts w:ascii="Calibri" w:hAnsi="Calibri" w:cs="Calibri"/>
                <w:color w:val="000000"/>
                <w:sz w:val="16"/>
                <w:szCs w:val="16"/>
              </w:rPr>
              <w:t xml:space="preserve"> </w:t>
            </w:r>
            <w:r w:rsidRPr="00295580">
              <w:rPr>
                <w:rFonts w:ascii="Calibri" w:hAnsi="Calibri" w:cs="Calibri"/>
                <w:color w:val="000000"/>
                <w:sz w:val="16"/>
                <w:szCs w:val="16"/>
              </w:rPr>
              <w:t>genotype</w:t>
            </w:r>
          </w:p>
        </w:tc>
        <w:tc>
          <w:tcPr>
            <w:tcW w:w="851" w:type="dxa"/>
            <w:noWrap/>
            <w:hideMark/>
          </w:tcPr>
          <w:p w:rsidR="002E603B" w:rsidRPr="00295580" w:rsidRDefault="002E603B"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61.1</w:t>
            </w:r>
          </w:p>
        </w:tc>
        <w:tc>
          <w:tcPr>
            <w:tcW w:w="992" w:type="dxa"/>
            <w:noWrap/>
            <w:hideMark/>
          </w:tcPr>
          <w:p w:rsidR="002E603B" w:rsidRPr="00295580" w:rsidRDefault="002E603B"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SD +14.7-16.0</w:t>
            </w:r>
          </w:p>
        </w:tc>
        <w:tc>
          <w:tcPr>
            <w:tcW w:w="850" w:type="dxa"/>
            <w:noWrap/>
            <w:hideMark/>
          </w:tcPr>
          <w:p w:rsidR="002E603B" w:rsidRPr="00295580" w:rsidRDefault="002E603B"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48.7</w:t>
            </w:r>
          </w:p>
        </w:tc>
        <w:tc>
          <w:tcPr>
            <w:tcW w:w="3119" w:type="dxa"/>
            <w:hideMark/>
          </w:tcPr>
          <w:p w:rsidR="002E603B" w:rsidRPr="00295580" w:rsidRDefault="002E603B"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 xml:space="preserve">A prospective cohort of patients </w:t>
            </w:r>
            <w:r>
              <w:rPr>
                <w:rFonts w:ascii="Calibri" w:hAnsi="Calibri" w:cs="Calibri"/>
                <w:color w:val="000000"/>
                <w:sz w:val="16"/>
                <w:szCs w:val="16"/>
              </w:rPr>
              <w:t xml:space="preserve">(of various indications) with </w:t>
            </w:r>
            <w:r w:rsidRPr="00295580">
              <w:rPr>
                <w:rFonts w:ascii="Calibri" w:hAnsi="Calibri" w:cs="Calibri"/>
                <w:color w:val="000000"/>
                <w:sz w:val="16"/>
                <w:szCs w:val="16"/>
              </w:rPr>
              <w:t>a target international normalized ratio of between 2.0 and 3.0 were genotyped</w:t>
            </w:r>
            <w:r>
              <w:rPr>
                <w:rFonts w:ascii="Calibri" w:hAnsi="Calibri" w:cs="Calibri"/>
                <w:color w:val="000000"/>
                <w:sz w:val="16"/>
                <w:szCs w:val="16"/>
              </w:rPr>
              <w:t xml:space="preserve"> </w:t>
            </w:r>
          </w:p>
        </w:tc>
        <w:tc>
          <w:tcPr>
            <w:tcW w:w="992" w:type="dxa"/>
            <w:noWrap/>
            <w:hideMark/>
          </w:tcPr>
          <w:p w:rsidR="002E603B" w:rsidRPr="00295580" w:rsidRDefault="002E603B"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USA</w:t>
            </w:r>
          </w:p>
        </w:tc>
        <w:tc>
          <w:tcPr>
            <w:tcW w:w="2146" w:type="dxa"/>
            <w:hideMark/>
          </w:tcPr>
          <w:p w:rsidR="002E603B" w:rsidRPr="00295580" w:rsidRDefault="002E603B"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Inconsistent ability to provide predictive information in anticoag</w:t>
            </w:r>
            <w:r>
              <w:rPr>
                <w:rFonts w:ascii="Calibri" w:hAnsi="Calibri" w:cs="Calibri"/>
                <w:color w:val="000000"/>
                <w:sz w:val="16"/>
                <w:szCs w:val="16"/>
              </w:rPr>
              <w:t>ulation response</w:t>
            </w:r>
          </w:p>
        </w:tc>
        <w:tc>
          <w:tcPr>
            <w:tcW w:w="899" w:type="dxa"/>
            <w:noWrap/>
            <w:hideMark/>
          </w:tcPr>
          <w:p w:rsidR="002E603B" w:rsidRPr="00295580" w:rsidRDefault="002E603B"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 xml:space="preserve">Ethnicity - </w:t>
            </w:r>
          </w:p>
        </w:tc>
        <w:tc>
          <w:tcPr>
            <w:tcW w:w="673" w:type="dxa"/>
            <w:noWrap/>
            <w:hideMark/>
          </w:tcPr>
          <w:p w:rsidR="002E603B" w:rsidRPr="00295580" w:rsidRDefault="002E603B"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3</w:t>
            </w:r>
          </w:p>
        </w:tc>
      </w:tr>
      <w:tr w:rsidR="002E603B" w:rsidRPr="00295580" w:rsidTr="00455CAC">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526" w:type="dxa"/>
            <w:noWrap/>
            <w:hideMark/>
          </w:tcPr>
          <w:p w:rsidR="002E603B" w:rsidRPr="00CA6F1D" w:rsidRDefault="002E603B" w:rsidP="00FB4EEB">
            <w:pPr>
              <w:rPr>
                <w:rFonts w:ascii="Calibri" w:hAnsi="Calibri" w:cs="Calibri"/>
                <w:b w:val="0"/>
                <w:color w:val="000000"/>
                <w:sz w:val="16"/>
                <w:szCs w:val="16"/>
              </w:rPr>
            </w:pPr>
            <w:r w:rsidRPr="00CA6F1D">
              <w:rPr>
                <w:rFonts w:ascii="Calibri" w:hAnsi="Calibri" w:cs="Calibri"/>
                <w:b w:val="0"/>
                <w:color w:val="000000"/>
                <w:sz w:val="16"/>
                <w:szCs w:val="16"/>
              </w:rPr>
              <w:t>Gladding et al (2009)</w:t>
            </w:r>
            <w:r w:rsidR="00FB4EEB" w:rsidRPr="00FB4EEB">
              <w:rPr>
                <w:rFonts w:ascii="Calibri" w:hAnsi="Calibri" w:cs="Calibri"/>
                <w:color w:val="000000"/>
                <w:sz w:val="16"/>
                <w:szCs w:val="16"/>
              </w:rPr>
              <w:fldChar w:fldCharType="begin" w:fldLock="1"/>
            </w:r>
            <w:r w:rsidR="00FB4EEB">
              <w:rPr>
                <w:rFonts w:ascii="Calibri" w:hAnsi="Calibri" w:cs="Calibri"/>
                <w:b w:val="0"/>
                <w:color w:val="000000"/>
                <w:sz w:val="16"/>
                <w:szCs w:val="16"/>
              </w:rPr>
              <w:instrText>ADDIN CSL_CITATION { "citationItems" : [ { "id" : "ITEM-1", "itemData" : { "DOI" : "10.1016/j.hlc.2009.04.026", "ISBN" : "1741-0541", "ISSN" : "14439506", "abstract" : "Patient demographics and variant alleles in the CYP2C9 and VKORC1 genes account for 50% of the population variability in warfarin maintenance doses. These variant alleles occur in varying frequencies between racial groups and contribute to differences in mean dose requirements between these groups. We used a pharmacogenetic simulation to estimate warfarin maintenance doses in an ethnically diverse cohort. Materials &amp; methods: In total, 366 individuals with coronary disease, of mixed South Pacific and European ethnicity, were genotyped for the CYP2C9*2 (rs1799853), *3 (rs1057910) and the VKORC1*2 haplotype, -1639 G&gt;A, (rs9923231). The cohort contained New Zealand Europeans (n = 287), Maori (n = 49), Pacific Islanders (n = 21) and Chinese subjects (n = 9). SNPs were genotyped using the Sequenom (CA, USA) mass spectrometer. Body surface area, age, smoking status and genotype were entered into a modified pharmacogenetic algorithm with a target international normalized ratio of 2.5. Bootstrap analysis using the @RISK software v5.0, (Palisade Co., NY, USA) was performed to simulate a population of 1000 for each ethnic group. Results: Simulated warfarin doses were lower in Chinese subjects than New Zealand Europeans (1.39 mg; 95% CI: 0.4-2.4; p = 0.006) owing to the high prevalence of the VKORC1*2 haplotype in Chinese subjects. Doses were higher in Pacific Islanders compared with New Zealand Europeans (1.26 mg; 95% CI: 0.6-1.9; p = 0.0002) owing to the near absence of the CYP2C9 variant alleles. Simulated warfarin doses in Maori patients were similar to those in European patients. Conclusion: This simulation study demonstrated differences in mean warfarin maintenance doses between ethnic groups in this cohort. Individualizing treatment regimens, using pharmacogenetics, may reduce ethnic disparities in treatment outcomes, particularly if differences can be appreciated at the genomic level. 2010 Future Medicine Ltd", "author" : [ { "dropping-particle" : "", "family" : "Gladding", "given" : "PA", "non-dropping-particle" : "", "parse-names" : false, "suffix" : "" }, { "dropping-particle" : "", "family" : "Stewart", "given" : "R", "non-dropping-particle" : "", "parse-names" : false, "suffix" : "" }, { "dropping-particle" : "", "family" : "Webster", "given" : "M", "non-dropping-particle" : "", "parse-names" : false, "suffix" : "" }, { "dropping-particle" : "", "family" : "White", "given" : "H", "non-dropping-particle" : "", "parse-names" : false, "suffix" : "" } ], "container-title" : "Heart, Lung and Circulation", "id" : "ITEM-1", "issued" : { "date-parts" : [ [ "2009" ] ] }, "page" : "S11", "title" : "A Simulation of Warfarin Maintenance Dose Requirement Using a Pharmacogenomic Algorithm in an Ethnically Diverse Cohort", "type" : "article-journal", "volume" : "18" }, "uris" : [ "http://www.mendeley.com/documents/?uuid=5912caf9-c303-4307-8b5d-8326a7ea2c1b" ] } ], "mendeley" : { "formattedCitation" : "&lt;sup&gt;15&lt;/sup&gt;", "plainTextFormattedCitation" : "15", "previouslyFormattedCitation" : "&lt;sup&gt;15&lt;/sup&gt;" }, "properties" : { "noteIndex" : 0 }, "schema" : "https://github.com/citation-style-language/schema/raw/master/csl-citation.json" }</w:instrText>
            </w:r>
            <w:r w:rsidR="00FB4EEB" w:rsidRPr="00FB4EEB">
              <w:rPr>
                <w:rFonts w:ascii="Calibri" w:hAnsi="Calibri" w:cs="Calibri"/>
                <w:color w:val="000000"/>
                <w:sz w:val="16"/>
                <w:szCs w:val="16"/>
              </w:rPr>
              <w:fldChar w:fldCharType="separate"/>
            </w:r>
            <w:r w:rsidR="00FB4EEB" w:rsidRPr="00FB4EEB">
              <w:rPr>
                <w:rFonts w:ascii="Calibri" w:hAnsi="Calibri" w:cs="Calibri"/>
                <w:b w:val="0"/>
                <w:noProof/>
                <w:color w:val="000000"/>
                <w:sz w:val="16"/>
                <w:szCs w:val="16"/>
                <w:vertAlign w:val="superscript"/>
              </w:rPr>
              <w:t>15</w:t>
            </w:r>
            <w:r w:rsidR="00FB4EEB" w:rsidRPr="00FB4EEB">
              <w:rPr>
                <w:rFonts w:ascii="Calibri" w:hAnsi="Calibri" w:cs="Calibri"/>
                <w:color w:val="000000"/>
                <w:sz w:val="16"/>
                <w:szCs w:val="16"/>
              </w:rPr>
              <w:fldChar w:fldCharType="end"/>
            </w:r>
          </w:p>
        </w:tc>
        <w:tc>
          <w:tcPr>
            <w:tcW w:w="850" w:type="dxa"/>
            <w:noWrap/>
            <w:hideMark/>
          </w:tcPr>
          <w:p w:rsidR="002E603B" w:rsidRPr="00295580" w:rsidRDefault="00455CAC"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T=</w:t>
            </w:r>
            <w:r w:rsidR="002E603B" w:rsidRPr="00295580">
              <w:rPr>
                <w:rFonts w:ascii="Calibri" w:hAnsi="Calibri" w:cs="Calibri"/>
                <w:color w:val="000000"/>
                <w:sz w:val="16"/>
                <w:szCs w:val="16"/>
              </w:rPr>
              <w:t>366</w:t>
            </w:r>
            <w:r>
              <w:rPr>
                <w:rFonts w:ascii="Calibri" w:hAnsi="Calibri" w:cs="Calibri"/>
                <w:color w:val="000000"/>
                <w:sz w:val="16"/>
                <w:szCs w:val="16"/>
              </w:rPr>
              <w:t>; M=49; PI=21; CH=9</w:t>
            </w:r>
          </w:p>
        </w:tc>
        <w:tc>
          <w:tcPr>
            <w:tcW w:w="1276"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 xml:space="preserve">CYP2C9 </w:t>
            </w:r>
            <w:r>
              <w:rPr>
                <w:rFonts w:ascii="Calibri" w:hAnsi="Calibri" w:cs="Calibri"/>
                <w:color w:val="000000"/>
                <w:sz w:val="16"/>
                <w:szCs w:val="16"/>
              </w:rPr>
              <w:t xml:space="preserve">(*2 and *3) </w:t>
            </w:r>
            <w:r w:rsidRPr="00295580">
              <w:rPr>
                <w:rFonts w:ascii="Calibri" w:hAnsi="Calibri" w:cs="Calibri"/>
                <w:color w:val="000000"/>
                <w:sz w:val="16"/>
                <w:szCs w:val="16"/>
              </w:rPr>
              <w:t>and VKORC1</w:t>
            </w:r>
            <w:r>
              <w:rPr>
                <w:rFonts w:ascii="Calibri" w:hAnsi="Calibri" w:cs="Calibri"/>
                <w:color w:val="000000"/>
                <w:sz w:val="16"/>
                <w:szCs w:val="16"/>
              </w:rPr>
              <w:t xml:space="preserve"> (1639G/A)</w:t>
            </w:r>
            <w:r w:rsidRPr="00295580">
              <w:rPr>
                <w:rFonts w:ascii="Calibri" w:hAnsi="Calibri" w:cs="Calibri"/>
                <w:color w:val="000000"/>
                <w:sz w:val="16"/>
                <w:szCs w:val="16"/>
              </w:rPr>
              <w:t xml:space="preserve"> genotype</w:t>
            </w:r>
          </w:p>
        </w:tc>
        <w:tc>
          <w:tcPr>
            <w:tcW w:w="851"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68.6</w:t>
            </w:r>
          </w:p>
        </w:tc>
        <w:tc>
          <w:tcPr>
            <w:tcW w:w="992"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SD +9-12</w:t>
            </w:r>
          </w:p>
        </w:tc>
        <w:tc>
          <w:tcPr>
            <w:tcW w:w="850"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w:t>
            </w:r>
          </w:p>
        </w:tc>
        <w:tc>
          <w:tcPr>
            <w:tcW w:w="3119" w:type="dxa"/>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 xml:space="preserve">A prospective cross-sectional simulation study of patients with severe coronary disease </w:t>
            </w:r>
            <w:r>
              <w:rPr>
                <w:rFonts w:ascii="Calibri" w:hAnsi="Calibri" w:cs="Calibri"/>
                <w:color w:val="000000"/>
                <w:sz w:val="16"/>
                <w:szCs w:val="16"/>
              </w:rPr>
              <w:t xml:space="preserve"> </w:t>
            </w:r>
          </w:p>
        </w:tc>
        <w:tc>
          <w:tcPr>
            <w:tcW w:w="992"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New Zealand</w:t>
            </w:r>
          </w:p>
        </w:tc>
        <w:tc>
          <w:tcPr>
            <w:tcW w:w="2146" w:type="dxa"/>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Study guides warfarin maintenance dose and therefore may reduce ethnic di</w:t>
            </w:r>
            <w:r>
              <w:rPr>
                <w:rFonts w:ascii="Calibri" w:hAnsi="Calibri" w:cs="Calibri"/>
                <w:color w:val="000000"/>
                <w:sz w:val="16"/>
                <w:szCs w:val="16"/>
              </w:rPr>
              <w:t>sparities in treatment outcomes</w:t>
            </w:r>
          </w:p>
        </w:tc>
        <w:tc>
          <w:tcPr>
            <w:tcW w:w="899"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Ethnicity +</w:t>
            </w:r>
          </w:p>
        </w:tc>
        <w:tc>
          <w:tcPr>
            <w:tcW w:w="673"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w:t>
            </w:r>
          </w:p>
        </w:tc>
      </w:tr>
      <w:tr w:rsidR="002E603B" w:rsidRPr="00295580" w:rsidTr="00455CAC">
        <w:trPr>
          <w:trHeight w:val="575"/>
        </w:trPr>
        <w:tc>
          <w:tcPr>
            <w:cnfStyle w:val="001000000000" w:firstRow="0" w:lastRow="0" w:firstColumn="1" w:lastColumn="0" w:oddVBand="0" w:evenVBand="0" w:oddHBand="0" w:evenHBand="0" w:firstRowFirstColumn="0" w:firstRowLastColumn="0" w:lastRowFirstColumn="0" w:lastRowLastColumn="0"/>
            <w:tcW w:w="1526" w:type="dxa"/>
            <w:noWrap/>
            <w:hideMark/>
          </w:tcPr>
          <w:p w:rsidR="002E603B" w:rsidRPr="00CA6F1D" w:rsidRDefault="002E603B" w:rsidP="00FB4EEB">
            <w:pPr>
              <w:rPr>
                <w:rFonts w:ascii="Calibri" w:hAnsi="Calibri" w:cs="Calibri"/>
                <w:b w:val="0"/>
                <w:color w:val="000000"/>
                <w:sz w:val="16"/>
                <w:szCs w:val="16"/>
              </w:rPr>
            </w:pPr>
            <w:r w:rsidRPr="00CA6F1D">
              <w:rPr>
                <w:rFonts w:ascii="Calibri" w:hAnsi="Calibri" w:cs="Calibri"/>
                <w:b w:val="0"/>
                <w:color w:val="000000"/>
                <w:sz w:val="16"/>
                <w:szCs w:val="16"/>
              </w:rPr>
              <w:t>Chan et al (2012)</w:t>
            </w:r>
            <w:r w:rsidR="00FB4EEB" w:rsidRPr="00FB4EEB">
              <w:rPr>
                <w:rFonts w:ascii="Calibri" w:hAnsi="Calibri" w:cs="Calibri"/>
                <w:color w:val="000000"/>
                <w:sz w:val="16"/>
                <w:szCs w:val="16"/>
              </w:rPr>
              <w:fldChar w:fldCharType="begin" w:fldLock="1"/>
            </w:r>
            <w:r w:rsidR="00FB4EEB">
              <w:rPr>
                <w:rFonts w:ascii="Calibri" w:hAnsi="Calibri" w:cs="Calibri"/>
                <w:b w:val="0"/>
                <w:color w:val="000000"/>
                <w:sz w:val="16"/>
                <w:szCs w:val="16"/>
              </w:rPr>
              <w:instrText>ADDIN CSL_CITATION { "citationItems" : [ { "id" : "ITEM-1", "itemData" : { "DOI" : "10.2217/pgs.12.104", "ISBN" : "1744-8042", "ISSN" : "1462-2416", "PMID" : "22920395", "abstract" : "AIM: We aimed to estimate the population impact of warfarin pharmacogenetic testing (WPGT) across multiple populations.MATERIALS &amp; METHODS: We used the expanded International Warfarin Pharmacogenetics Consortium data set and genotype frequencies from HapMap to simulate dose distributions for each CYP2C9/VKORC1 genotype combination in the different races, and calculated the population attributable fraction as a measure of population impact of WPGT. WPGT was compared to both clinical and fixed-dose algorithms to estimate the benefits of WPGT.RESULTS: Our dose simulation revealed different dose requirements in difference races and considerable overlap in dose distributions of different genotype combinations. Population attributable fraction calculations suggest that complete implementation of WPGT can reduce inaccurate dosing by 18-24% in white individuals. However black, Japanese and Chinese patients do not benefit from WPGT, especially when compared against a race-specific fixed dose.CONCLUSION: Our findings support WPGT in white individuals but not in black, Japanese and Chinese individuals", "author" : [ { "dropping-particle" : "", "family" : "Chan", "given" : "Sze Ling", "non-dropping-particle" : "", "parse-names" : false, "suffix" : "" }, { "dropping-particle" : "", "family" : "Suo", "given" : "Chen", "non-dropping-particle" : "", "parse-names" : false, "suffix" : "" }, { "dropping-particle" : "", "family" : "Chia", "given" : "Kee Seng", "non-dropping-particle" : "", "parse-names" : false, "suffix" : "" }, { "dropping-particle" : "", "family" : "Teo", "given" : "Yik Ying", "non-dropping-particle" : "", "parse-names" : false, "suffix" : "" } ], "container-title" : "Pharmacogenomics", "id" : "ITEM-1", "issue" : "11", "issued" : { "date-parts" : [ [ "2012" ] ] }, "page" : "1247-1256", "title" : "The population attributable fraction as a measure of the impact of warfarin pharmacogenetic testing.", "type" : "article-journal", "volume" : "13" }, "uris" : [ "http://www.mendeley.com/documents/?uuid=dffd9ab6-5a31-4a9c-987a-d97f6fcbf740" ] } ], "mendeley" : { "formattedCitation" : "&lt;sup&gt;16&lt;/sup&gt;", "plainTextFormattedCitation" : "16", "previouslyFormattedCitation" : "&lt;sup&gt;16&lt;/sup&gt;" }, "properties" : { "noteIndex" : 0 }, "schema" : "https://github.com/citation-style-language/schema/raw/master/csl-citation.json" }</w:instrText>
            </w:r>
            <w:r w:rsidR="00FB4EEB" w:rsidRPr="00FB4EEB">
              <w:rPr>
                <w:rFonts w:ascii="Calibri" w:hAnsi="Calibri" w:cs="Calibri"/>
                <w:color w:val="000000"/>
                <w:sz w:val="16"/>
                <w:szCs w:val="16"/>
              </w:rPr>
              <w:fldChar w:fldCharType="separate"/>
            </w:r>
            <w:r w:rsidR="00FB4EEB" w:rsidRPr="00FB4EEB">
              <w:rPr>
                <w:rFonts w:ascii="Calibri" w:hAnsi="Calibri" w:cs="Calibri"/>
                <w:b w:val="0"/>
                <w:noProof/>
                <w:color w:val="000000"/>
                <w:sz w:val="16"/>
                <w:szCs w:val="16"/>
                <w:vertAlign w:val="superscript"/>
              </w:rPr>
              <w:t>16</w:t>
            </w:r>
            <w:r w:rsidR="00FB4EEB" w:rsidRPr="00FB4EEB">
              <w:rPr>
                <w:rFonts w:ascii="Calibri" w:hAnsi="Calibri" w:cs="Calibri"/>
                <w:color w:val="000000"/>
                <w:sz w:val="16"/>
                <w:szCs w:val="16"/>
              </w:rPr>
              <w:fldChar w:fldCharType="end"/>
            </w:r>
          </w:p>
        </w:tc>
        <w:tc>
          <w:tcPr>
            <w:tcW w:w="850" w:type="dxa"/>
            <w:noWrap/>
            <w:hideMark/>
          </w:tcPr>
          <w:p w:rsidR="002E603B" w:rsidRPr="00295580" w:rsidRDefault="00455CAC"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T=3672; </w:t>
            </w:r>
            <w:r w:rsidR="007264F5">
              <w:rPr>
                <w:rFonts w:ascii="Calibri" w:hAnsi="Calibri" w:cs="Calibri"/>
                <w:color w:val="000000"/>
                <w:sz w:val="16"/>
                <w:szCs w:val="16"/>
              </w:rPr>
              <w:t>W=2543; B=639; J=227; CH=263</w:t>
            </w:r>
          </w:p>
        </w:tc>
        <w:tc>
          <w:tcPr>
            <w:tcW w:w="1276" w:type="dxa"/>
            <w:noWrap/>
            <w:hideMark/>
          </w:tcPr>
          <w:p w:rsidR="002E603B" w:rsidRPr="00295580" w:rsidRDefault="002E603B"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 xml:space="preserve">CYP2C9 </w:t>
            </w:r>
            <w:r w:rsidRPr="002C4096">
              <w:rPr>
                <w:rFonts w:ascii="Calibri" w:hAnsi="Calibri" w:cs="Calibri"/>
                <w:color w:val="000000"/>
                <w:sz w:val="16"/>
                <w:szCs w:val="16"/>
              </w:rPr>
              <w:t xml:space="preserve">(*2 and *3) </w:t>
            </w:r>
            <w:r w:rsidRPr="00295580">
              <w:rPr>
                <w:rFonts w:ascii="Calibri" w:hAnsi="Calibri" w:cs="Calibri"/>
                <w:color w:val="000000"/>
                <w:sz w:val="16"/>
                <w:szCs w:val="16"/>
              </w:rPr>
              <w:t>and VKORC1</w:t>
            </w:r>
            <w:r>
              <w:rPr>
                <w:rFonts w:ascii="Calibri" w:hAnsi="Calibri" w:cs="Calibri"/>
                <w:color w:val="000000"/>
                <w:sz w:val="16"/>
                <w:szCs w:val="16"/>
              </w:rPr>
              <w:t xml:space="preserve"> (1639AA)</w:t>
            </w:r>
            <w:r w:rsidRPr="00295580">
              <w:rPr>
                <w:rFonts w:ascii="Calibri" w:hAnsi="Calibri" w:cs="Calibri"/>
                <w:color w:val="000000"/>
                <w:sz w:val="16"/>
                <w:szCs w:val="16"/>
              </w:rPr>
              <w:t xml:space="preserve">  genotype</w:t>
            </w:r>
          </w:p>
        </w:tc>
        <w:tc>
          <w:tcPr>
            <w:tcW w:w="851" w:type="dxa"/>
            <w:noWrap/>
            <w:hideMark/>
          </w:tcPr>
          <w:p w:rsidR="002E603B" w:rsidRPr="00295580" w:rsidRDefault="002E603B"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w:t>
            </w:r>
            <w:r>
              <w:rPr>
                <w:rFonts w:ascii="Calibri" w:hAnsi="Calibri" w:cs="Calibri"/>
                <w:color w:val="000000"/>
                <w:sz w:val="16"/>
                <w:szCs w:val="16"/>
              </w:rPr>
              <w:t xml:space="preserve"> </w:t>
            </w:r>
          </w:p>
        </w:tc>
        <w:tc>
          <w:tcPr>
            <w:tcW w:w="992" w:type="dxa"/>
            <w:noWrap/>
            <w:hideMark/>
          </w:tcPr>
          <w:p w:rsidR="002E603B" w:rsidRPr="00295580" w:rsidRDefault="002E603B"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w:t>
            </w:r>
          </w:p>
        </w:tc>
        <w:tc>
          <w:tcPr>
            <w:tcW w:w="850" w:type="dxa"/>
            <w:noWrap/>
            <w:hideMark/>
          </w:tcPr>
          <w:p w:rsidR="002E603B" w:rsidRPr="00295580" w:rsidRDefault="002E603B"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w:t>
            </w:r>
          </w:p>
        </w:tc>
        <w:tc>
          <w:tcPr>
            <w:tcW w:w="3119" w:type="dxa"/>
            <w:hideMark/>
          </w:tcPr>
          <w:p w:rsidR="002E603B" w:rsidRPr="00295580" w:rsidRDefault="002E603B"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Patients included in I</w:t>
            </w:r>
            <w:r>
              <w:rPr>
                <w:rFonts w:ascii="Calibri" w:hAnsi="Calibri" w:cs="Calibri"/>
                <w:color w:val="000000"/>
                <w:sz w:val="16"/>
                <w:szCs w:val="16"/>
              </w:rPr>
              <w:t xml:space="preserve">WPC dataset from 22 study sites with </w:t>
            </w:r>
            <w:r w:rsidRPr="00295580">
              <w:rPr>
                <w:rFonts w:ascii="Calibri" w:hAnsi="Calibri" w:cs="Calibri"/>
                <w:color w:val="000000"/>
                <w:sz w:val="16"/>
                <w:szCs w:val="16"/>
              </w:rPr>
              <w:t xml:space="preserve">a target international normalized ratio of between 2.0 and 3.0 </w:t>
            </w:r>
          </w:p>
        </w:tc>
        <w:tc>
          <w:tcPr>
            <w:tcW w:w="992" w:type="dxa"/>
            <w:noWrap/>
            <w:hideMark/>
          </w:tcPr>
          <w:p w:rsidR="002E603B" w:rsidRPr="00295580" w:rsidRDefault="002E603B"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Singapore</w:t>
            </w:r>
          </w:p>
        </w:tc>
        <w:tc>
          <w:tcPr>
            <w:tcW w:w="2146" w:type="dxa"/>
            <w:hideMark/>
          </w:tcPr>
          <w:p w:rsidR="002E603B" w:rsidRPr="00295580" w:rsidRDefault="002E603B"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Warfarin PGx testing reduces inaccurate dosing in white patients but black, Japa</w:t>
            </w:r>
            <w:r>
              <w:rPr>
                <w:rFonts w:ascii="Calibri" w:hAnsi="Calibri" w:cs="Calibri"/>
                <w:color w:val="000000"/>
                <w:sz w:val="16"/>
                <w:szCs w:val="16"/>
              </w:rPr>
              <w:t>nese and Chinese do not benefit</w:t>
            </w:r>
          </w:p>
        </w:tc>
        <w:tc>
          <w:tcPr>
            <w:tcW w:w="899" w:type="dxa"/>
            <w:noWrap/>
            <w:hideMark/>
          </w:tcPr>
          <w:p w:rsidR="002E603B" w:rsidRPr="00295580" w:rsidRDefault="002E603B"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 xml:space="preserve">Ethnicity - </w:t>
            </w:r>
          </w:p>
        </w:tc>
        <w:tc>
          <w:tcPr>
            <w:tcW w:w="673" w:type="dxa"/>
            <w:noWrap/>
            <w:hideMark/>
          </w:tcPr>
          <w:p w:rsidR="002E603B" w:rsidRPr="00295580" w:rsidRDefault="002E603B" w:rsidP="0073208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3</w:t>
            </w:r>
          </w:p>
        </w:tc>
      </w:tr>
      <w:tr w:rsidR="002E603B" w:rsidRPr="00295580" w:rsidTr="00455CAC">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526" w:type="dxa"/>
            <w:noWrap/>
            <w:hideMark/>
          </w:tcPr>
          <w:p w:rsidR="002E603B" w:rsidRPr="00CA6F1D" w:rsidRDefault="002E603B" w:rsidP="00FB4EEB">
            <w:pPr>
              <w:rPr>
                <w:rFonts w:ascii="Calibri" w:hAnsi="Calibri" w:cs="Calibri"/>
                <w:b w:val="0"/>
                <w:color w:val="000000"/>
                <w:sz w:val="16"/>
                <w:szCs w:val="16"/>
              </w:rPr>
            </w:pPr>
            <w:r w:rsidRPr="00CA6F1D">
              <w:rPr>
                <w:rFonts w:ascii="Calibri" w:hAnsi="Calibri" w:cs="Calibri"/>
                <w:b w:val="0"/>
                <w:color w:val="000000"/>
                <w:sz w:val="16"/>
                <w:szCs w:val="16"/>
              </w:rPr>
              <w:t>Panattoni et al (2012)</w:t>
            </w:r>
            <w:r w:rsidR="00FB4EEB" w:rsidRPr="00FB4EEB">
              <w:rPr>
                <w:rFonts w:ascii="Calibri" w:hAnsi="Calibri" w:cs="Calibri"/>
                <w:color w:val="000000"/>
                <w:sz w:val="16"/>
                <w:szCs w:val="16"/>
              </w:rPr>
              <w:fldChar w:fldCharType="begin" w:fldLock="1"/>
            </w:r>
            <w:r w:rsidR="00D4086F">
              <w:rPr>
                <w:rFonts w:ascii="Calibri" w:hAnsi="Calibri" w:cs="Calibri"/>
                <w:b w:val="0"/>
                <w:color w:val="000000"/>
                <w:sz w:val="16"/>
                <w:szCs w:val="16"/>
              </w:rPr>
              <w:instrText>ADDIN CSL_CITATION { "citationItems" : [ { "id" : "ITEM-1", "itemData" : { "DOI" : "10.2165/11595080-000000000-00000", "ISBN" : "1170-7690", "ISSN" : "11707690", "PMID" : "22974536", "abstract" : "BACKGROUND: A recent clinical trial has demonstrated that patients with acute coronary syndromes (ACS) and the reduced function allele CYP2C19*2 (*2 allele), who are treated with thienopyridines, have an increased risk of adverse cardiac events with clopidogrel, but not with prasugrel. The frequency of the *2 allele varies by ethnicity and the Maoris, Asians and Pacific Islanders of New Zealand have a relatively high incidence.\\n\\nOBJECTIVE: Our objective was to evaluate, from a New Zealand health system perspective, the cost effectiveness of treating all ACS patients with generic clopidogrel compared with prasugrel, and also compared with the genetically guided strategy that *2 allele carriers receive prasugrel and non-carriers receive clopidogrel.\\n\\nMETHODS: A decision-tree model consisting of five health states (myocardial infarction, stroke, bleeding, stent thrombosis and cardiovascular death) was developed. Clinical outcome data (two TRITON-TIMI 38 genetic sub-studies) comparing clopidogrel and prasugrel for both *2 allele carriers and non-carriers were combined with the prevalence of the heterozygosity for the *2 allele in New Zealand Europeans (15%), Maoris (24%), Asians (29%) and Pacific Islanders (45%) to determine the predicted adverse event rate for the New Zealand population. National hospital diagnosis-related group (DRG) discharge codes were used to determine alternative adverse event rates, along with the costs of hospitalizations during the 15 months after patients presented with an ACS. The primary outcome measure was the incremental cost per QALY (calculated using literature-reported weights). Monte Carlo simulations and alternative scenario analysis based on both clinical trial and national hospital incidence were used. Additional analysis considered the overall TRITON-TIMI 38 rates. Costs (in New Zealand dollars [$NZ], year 2009 values) and benefits were discounted at 3% per annum.\\n\\nRESULTS: Actual hospital-based adverse event rates were higher than those reported in the TRITON-TIMI 38 randomized controlled trial and the genetic sub-studies, especially for myocardial infarction and cardiovascular death, and for Maoris and Pacific Islanders. For both sources of adverse event rates, treating the population with prasugrel was associated with worse outcomes (QALYs) than clopidogrel. However, prasugrel became cost effective ($NZ31\u2009751/QALY) when the overall TRITON-TIMI 38 rates were used. A genetic test to guide the selected use of pra\u2026", "author" : [ { "dropping-particle" : "", "family" : "Panattoni", "given" : "Laura", "non-dropping-particle" : "", "parse-names" : false, "suffix" : "" }, { "dropping-particle" : "", "family" : "Brown", "given" : "Paul M.", "non-dropping-particle" : "", "parse-names" : false, "suffix" : "" }, { "dropping-particle" : "Te", "family" : "Ao", "given" : "Braden", "non-dropping-particle" : "", "parse-names" : false, "suffix" : "" }, { "dropping-particle" : "", "family" : "Webster", "given" : "Mark", "non-dropping-particle" : "", "parse-names" : false, "suffix" : "" }, { "dropping-particle" : "", "family" : "Gladding", "given" : "Patrick", "non-dropping-particle" : "", "parse-names" : false, "suffix" : "" } ], "container-title" : "PharmacoEconomics", "id" : "ITEM-1", "issue" : "11", "issued" : { "date-parts" : [ [ "2012" ] ] }, "page" : "1067-1084", "title" : "The cost effectiveness of genetic testing for CYP2C19 Variants to Guide Thienopyridine Treatment in Patients with Acute Coronary Syndromes: A New Zealand Evaluation", "type" : "article-journal", "volume" : "30" }, "uris" : [ "http://www.mendeley.com/documents/?uuid=4076d3cd-0fd6-43ab-93f9-f91fd2070a57" ] } ], "mendeley" : { "formattedCitation" : "&lt;sup&gt;17&lt;/sup&gt;", "plainTextFormattedCitation" : "17", "previouslyFormattedCitation" : "&lt;sup&gt;17&lt;/sup&gt;" }, "properties" : { "noteIndex" : 0 }, "schema" : "https://github.com/citation-style-language/schema/raw/master/csl-citation.json" }</w:instrText>
            </w:r>
            <w:r w:rsidR="00FB4EEB" w:rsidRPr="00FB4EEB">
              <w:rPr>
                <w:rFonts w:ascii="Calibri" w:hAnsi="Calibri" w:cs="Calibri"/>
                <w:color w:val="000000"/>
                <w:sz w:val="16"/>
                <w:szCs w:val="16"/>
              </w:rPr>
              <w:fldChar w:fldCharType="separate"/>
            </w:r>
            <w:r w:rsidR="00FB4EEB" w:rsidRPr="00FB4EEB">
              <w:rPr>
                <w:rFonts w:ascii="Calibri" w:hAnsi="Calibri" w:cs="Calibri"/>
                <w:b w:val="0"/>
                <w:noProof/>
                <w:color w:val="000000"/>
                <w:sz w:val="16"/>
                <w:szCs w:val="16"/>
                <w:vertAlign w:val="superscript"/>
              </w:rPr>
              <w:t>17</w:t>
            </w:r>
            <w:r w:rsidR="00FB4EEB" w:rsidRPr="00FB4EEB">
              <w:rPr>
                <w:rFonts w:ascii="Calibri" w:hAnsi="Calibri" w:cs="Calibri"/>
                <w:color w:val="000000"/>
                <w:sz w:val="16"/>
                <w:szCs w:val="16"/>
              </w:rPr>
              <w:fldChar w:fldCharType="end"/>
            </w:r>
          </w:p>
        </w:tc>
        <w:tc>
          <w:tcPr>
            <w:tcW w:w="850" w:type="dxa"/>
            <w:noWrap/>
            <w:hideMark/>
          </w:tcPr>
          <w:p w:rsidR="002E603B" w:rsidRPr="00295580" w:rsidRDefault="007264F5"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T=</w:t>
            </w:r>
            <w:r w:rsidR="002E603B" w:rsidRPr="00295580">
              <w:rPr>
                <w:rFonts w:ascii="Calibri" w:hAnsi="Calibri" w:cs="Calibri"/>
                <w:color w:val="000000"/>
                <w:sz w:val="16"/>
                <w:szCs w:val="16"/>
              </w:rPr>
              <w:t>13608</w:t>
            </w:r>
            <w:r w:rsidR="009C3982">
              <w:rPr>
                <w:rFonts w:ascii="Calibri" w:hAnsi="Calibri" w:cs="Calibri"/>
                <w:color w:val="000000"/>
                <w:sz w:val="16"/>
                <w:szCs w:val="16"/>
              </w:rPr>
              <w:t>; E=-; M=-; ETA=</w:t>
            </w:r>
            <w:r w:rsidR="00D4086F">
              <w:rPr>
                <w:rFonts w:ascii="Calibri" w:hAnsi="Calibri" w:cs="Calibri"/>
                <w:color w:val="000000"/>
                <w:sz w:val="16"/>
                <w:szCs w:val="16"/>
              </w:rPr>
              <w:t>-</w:t>
            </w:r>
            <w:r w:rsidR="009C3982">
              <w:rPr>
                <w:rFonts w:ascii="Calibri" w:hAnsi="Calibri" w:cs="Calibri"/>
                <w:color w:val="000000"/>
                <w:sz w:val="16"/>
                <w:szCs w:val="16"/>
              </w:rPr>
              <w:t xml:space="preserve">; </w:t>
            </w:r>
            <w:r w:rsidR="00D4086F">
              <w:rPr>
                <w:rFonts w:ascii="Calibri" w:hAnsi="Calibri" w:cs="Calibri"/>
                <w:color w:val="000000"/>
                <w:sz w:val="16"/>
                <w:szCs w:val="16"/>
              </w:rPr>
              <w:t>PI=-</w:t>
            </w:r>
          </w:p>
        </w:tc>
        <w:tc>
          <w:tcPr>
            <w:tcW w:w="1276" w:type="dxa"/>
            <w:noWrap/>
            <w:hideMark/>
          </w:tcPr>
          <w:p w:rsidR="002E603B" w:rsidRPr="00295580" w:rsidRDefault="002E603B" w:rsidP="00455CA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 xml:space="preserve">CYP2C19 </w:t>
            </w:r>
            <w:r>
              <w:rPr>
                <w:rFonts w:ascii="Calibri" w:hAnsi="Calibri" w:cs="Calibri"/>
                <w:color w:val="000000"/>
                <w:sz w:val="16"/>
                <w:szCs w:val="16"/>
              </w:rPr>
              <w:t>(</w:t>
            </w:r>
            <w:r w:rsidR="00455CAC">
              <w:rPr>
                <w:rFonts w:ascii="Calibri" w:hAnsi="Calibri" w:cs="Calibri"/>
                <w:color w:val="000000"/>
                <w:sz w:val="16"/>
                <w:szCs w:val="16"/>
              </w:rPr>
              <w:t>*</w:t>
            </w:r>
            <w:r>
              <w:rPr>
                <w:rFonts w:ascii="Calibri" w:hAnsi="Calibri" w:cs="Calibri"/>
                <w:color w:val="000000"/>
                <w:sz w:val="16"/>
                <w:szCs w:val="16"/>
              </w:rPr>
              <w:t>2) genotype</w:t>
            </w:r>
          </w:p>
        </w:tc>
        <w:tc>
          <w:tcPr>
            <w:tcW w:w="851"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w:t>
            </w:r>
          </w:p>
        </w:tc>
        <w:tc>
          <w:tcPr>
            <w:tcW w:w="992"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45-80</w:t>
            </w:r>
          </w:p>
        </w:tc>
        <w:tc>
          <w:tcPr>
            <w:tcW w:w="850"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w:t>
            </w:r>
          </w:p>
        </w:tc>
        <w:tc>
          <w:tcPr>
            <w:tcW w:w="3119" w:type="dxa"/>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 xml:space="preserve">Cost-effectiveness analysis using international multicentre RCT data of genetic testing for CYP2C19 variants to guide thienopyridine treatment patients with ACS </w:t>
            </w:r>
          </w:p>
        </w:tc>
        <w:tc>
          <w:tcPr>
            <w:tcW w:w="992"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New Zealand</w:t>
            </w:r>
          </w:p>
        </w:tc>
        <w:tc>
          <w:tcPr>
            <w:tcW w:w="2146" w:type="dxa"/>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Treatment strategy has potential to r</w:t>
            </w:r>
            <w:r>
              <w:rPr>
                <w:rFonts w:ascii="Calibri" w:hAnsi="Calibri" w:cs="Calibri"/>
                <w:color w:val="000000"/>
                <w:sz w:val="16"/>
                <w:szCs w:val="16"/>
              </w:rPr>
              <w:t>educe ethnic health disparities</w:t>
            </w:r>
          </w:p>
        </w:tc>
        <w:tc>
          <w:tcPr>
            <w:tcW w:w="899"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95580">
              <w:rPr>
                <w:rFonts w:ascii="Calibri" w:hAnsi="Calibri" w:cs="Calibri"/>
                <w:color w:val="000000"/>
                <w:sz w:val="16"/>
                <w:szCs w:val="16"/>
              </w:rPr>
              <w:t xml:space="preserve">Ethnicity + </w:t>
            </w:r>
          </w:p>
        </w:tc>
        <w:tc>
          <w:tcPr>
            <w:tcW w:w="673" w:type="dxa"/>
            <w:noWrap/>
            <w:hideMark/>
          </w:tcPr>
          <w:p w:rsidR="002E603B" w:rsidRPr="00295580" w:rsidRDefault="002E603B" w:rsidP="0073208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w:t>
            </w:r>
          </w:p>
        </w:tc>
      </w:tr>
    </w:tbl>
    <w:p w:rsidR="002E603B" w:rsidRDefault="002E603B" w:rsidP="002E603B">
      <w:pPr>
        <w:rPr>
          <w:rFonts w:ascii="Calibri" w:hAnsi="Calibri" w:cs="Calibri"/>
          <w:bCs/>
          <w:color w:val="000000"/>
          <w:sz w:val="16"/>
          <w:szCs w:val="16"/>
        </w:rPr>
      </w:pPr>
      <w:r w:rsidRPr="0061413C">
        <w:rPr>
          <w:rFonts w:ascii="Calibri" w:hAnsi="Calibri" w:cs="Calibri"/>
          <w:bCs/>
          <w:color w:val="000000"/>
          <w:sz w:val="16"/>
          <w:szCs w:val="16"/>
        </w:rPr>
        <w:t>Acronym</w:t>
      </w:r>
      <w:r>
        <w:rPr>
          <w:rFonts w:ascii="Calibri" w:hAnsi="Calibri" w:cs="Calibri"/>
          <w:bCs/>
          <w:color w:val="000000"/>
          <w:sz w:val="16"/>
          <w:szCs w:val="16"/>
        </w:rPr>
        <w:t xml:space="preserve">s: CYP2C9 = </w:t>
      </w:r>
      <w:r w:rsidRPr="005616F2">
        <w:rPr>
          <w:rFonts w:ascii="Calibri" w:hAnsi="Calibri" w:cs="Calibri"/>
          <w:bCs/>
          <w:color w:val="000000"/>
          <w:sz w:val="16"/>
          <w:szCs w:val="16"/>
        </w:rPr>
        <w:t>cytochrome P450 (CYP)2C9</w:t>
      </w:r>
      <w:r>
        <w:rPr>
          <w:rFonts w:ascii="Calibri" w:hAnsi="Calibri" w:cs="Calibri"/>
          <w:bCs/>
          <w:color w:val="000000"/>
          <w:sz w:val="16"/>
          <w:szCs w:val="16"/>
        </w:rPr>
        <w:t xml:space="preserve"> enzyme; </w:t>
      </w:r>
      <w:r w:rsidRPr="003F1FB9">
        <w:rPr>
          <w:rFonts w:ascii="Calibri" w:hAnsi="Calibri" w:cs="Calibri"/>
          <w:bCs/>
          <w:color w:val="000000"/>
          <w:sz w:val="16"/>
          <w:szCs w:val="16"/>
        </w:rPr>
        <w:t>CYP2C19 = cytochrome P450 (CYP)2C19</w:t>
      </w:r>
      <w:r>
        <w:rPr>
          <w:rFonts w:ascii="Calibri" w:hAnsi="Calibri" w:cs="Calibri"/>
          <w:bCs/>
          <w:color w:val="000000"/>
          <w:sz w:val="16"/>
          <w:szCs w:val="16"/>
        </w:rPr>
        <w:t xml:space="preserve"> enzyme; VKORC1 = </w:t>
      </w:r>
      <w:r w:rsidRPr="005616F2">
        <w:rPr>
          <w:rFonts w:ascii="Calibri" w:hAnsi="Calibri" w:cs="Calibri"/>
          <w:bCs/>
          <w:color w:val="000000"/>
          <w:sz w:val="16"/>
          <w:szCs w:val="16"/>
        </w:rPr>
        <w:t>vitamin K epoxide reductase enzyme</w:t>
      </w:r>
      <w:r>
        <w:rPr>
          <w:rFonts w:ascii="Calibri" w:hAnsi="Calibri" w:cs="Calibri"/>
          <w:bCs/>
          <w:color w:val="000000"/>
          <w:sz w:val="16"/>
          <w:szCs w:val="16"/>
        </w:rPr>
        <w:t>; PGx = pharmacogenetic test; ACS = acute coronary syndrome;</w:t>
      </w:r>
      <w:r w:rsidRPr="003728BE">
        <w:rPr>
          <w:rFonts w:ascii="Calibri" w:hAnsi="Calibri" w:cs="Calibri"/>
          <w:bCs/>
          <w:color w:val="000000"/>
          <w:sz w:val="16"/>
          <w:szCs w:val="16"/>
        </w:rPr>
        <w:t xml:space="preserve"> </w:t>
      </w:r>
      <w:r>
        <w:rPr>
          <w:rFonts w:ascii="Calibri" w:hAnsi="Calibri" w:cs="Calibri"/>
          <w:bCs/>
          <w:color w:val="000000"/>
          <w:sz w:val="16"/>
          <w:szCs w:val="16"/>
        </w:rPr>
        <w:t xml:space="preserve">IWPC = </w:t>
      </w:r>
      <w:r w:rsidRPr="005616F2">
        <w:rPr>
          <w:rFonts w:ascii="Calibri" w:hAnsi="Calibri" w:cs="Calibri"/>
          <w:bCs/>
          <w:color w:val="000000"/>
          <w:sz w:val="16"/>
          <w:szCs w:val="16"/>
        </w:rPr>
        <w:t>International Warfarin Pharmacogenetics Consortium</w:t>
      </w:r>
      <w:r>
        <w:rPr>
          <w:rFonts w:ascii="Calibri" w:hAnsi="Calibri" w:cs="Calibri"/>
          <w:bCs/>
          <w:color w:val="000000"/>
          <w:sz w:val="16"/>
          <w:szCs w:val="16"/>
        </w:rPr>
        <w:t>; SD = standard deviation</w:t>
      </w:r>
      <w:r w:rsidR="007264F5">
        <w:rPr>
          <w:rFonts w:ascii="Calibri" w:hAnsi="Calibri" w:cs="Calibri"/>
          <w:bCs/>
          <w:color w:val="000000"/>
          <w:sz w:val="16"/>
          <w:szCs w:val="16"/>
        </w:rPr>
        <w:t xml:space="preserve">; T = total; C = Caucasian; </w:t>
      </w:r>
      <w:r w:rsidR="00455CAC">
        <w:rPr>
          <w:rFonts w:ascii="Calibri" w:hAnsi="Calibri" w:cs="Calibri"/>
          <w:bCs/>
          <w:color w:val="000000"/>
          <w:sz w:val="16"/>
          <w:szCs w:val="16"/>
        </w:rPr>
        <w:t>AA = African American; EA = European American; M =</w:t>
      </w:r>
      <w:r w:rsidR="00455CAC" w:rsidRPr="00455CAC">
        <w:rPr>
          <w:rFonts w:ascii="Calibri" w:hAnsi="Calibri" w:cs="Calibri"/>
          <w:bCs/>
          <w:color w:val="000000"/>
          <w:sz w:val="16"/>
          <w:szCs w:val="16"/>
        </w:rPr>
        <w:t>Mãori</w:t>
      </w:r>
      <w:r w:rsidR="00455CAC">
        <w:rPr>
          <w:rFonts w:ascii="Calibri" w:hAnsi="Calibri" w:cs="Calibri"/>
          <w:bCs/>
          <w:color w:val="000000"/>
          <w:sz w:val="16"/>
          <w:szCs w:val="16"/>
        </w:rPr>
        <w:t xml:space="preserve">; PI = Pacific Islander; CH = </w:t>
      </w:r>
      <w:r w:rsidR="007264F5">
        <w:rPr>
          <w:rFonts w:ascii="Calibri" w:hAnsi="Calibri" w:cs="Calibri"/>
          <w:bCs/>
          <w:color w:val="000000"/>
          <w:sz w:val="16"/>
          <w:szCs w:val="16"/>
        </w:rPr>
        <w:t>Chinese; W = White; B = Black; J =Japanese</w:t>
      </w:r>
      <w:r w:rsidR="00D4086F">
        <w:rPr>
          <w:rFonts w:ascii="Calibri" w:hAnsi="Calibri" w:cs="Calibri"/>
          <w:bCs/>
          <w:color w:val="000000"/>
          <w:sz w:val="16"/>
          <w:szCs w:val="16"/>
        </w:rPr>
        <w:t>; E = European; ETA = East Asian</w:t>
      </w:r>
    </w:p>
    <w:p w:rsidR="002E603B" w:rsidRPr="006B54A5" w:rsidRDefault="002E603B" w:rsidP="002E603B">
      <w:pPr>
        <w:pStyle w:val="LRiGnormal"/>
        <w:spacing w:line="480" w:lineRule="auto"/>
        <w:rPr>
          <w:lang w:eastAsia="en-GB"/>
        </w:rPr>
      </w:pPr>
    </w:p>
    <w:p w:rsidR="004A6054" w:rsidRPr="004A6054" w:rsidRDefault="004A6054" w:rsidP="004A6054">
      <w:pPr>
        <w:pStyle w:val="LRiGnormal"/>
        <w:rPr>
          <w:lang w:eastAsia="en-GB"/>
        </w:rPr>
      </w:pPr>
    </w:p>
    <w:p w:rsidR="002E603B" w:rsidRDefault="002E603B">
      <w:pPr>
        <w:rPr>
          <w:rFonts w:ascii="Arial" w:eastAsiaTheme="majorEastAsia" w:hAnsi="Arial" w:cstheme="majorBidi"/>
          <w:b/>
          <w:bCs/>
          <w:i/>
          <w:sz w:val="26"/>
          <w:szCs w:val="26"/>
          <w:lang w:eastAsia="en-GB"/>
        </w:rPr>
      </w:pPr>
      <w:r>
        <w:rPr>
          <w:lang w:eastAsia="en-GB"/>
        </w:rPr>
        <w:br w:type="page"/>
      </w:r>
    </w:p>
    <w:p w:rsidR="002E603B" w:rsidRDefault="002E603B" w:rsidP="001C4A25">
      <w:pPr>
        <w:pStyle w:val="Heading2"/>
        <w:numPr>
          <w:ilvl w:val="0"/>
          <w:numId w:val="0"/>
        </w:numPr>
        <w:ind w:left="720"/>
        <w:rPr>
          <w:lang w:eastAsia="en-GB"/>
        </w:rPr>
        <w:sectPr w:rsidR="002E603B" w:rsidSect="002E603B">
          <w:pgSz w:w="16838" w:h="11906" w:orient="landscape"/>
          <w:pgMar w:top="1440" w:right="1440" w:bottom="1440" w:left="1440" w:header="709" w:footer="510" w:gutter="0"/>
          <w:cols w:space="708"/>
          <w:docGrid w:linePitch="360"/>
        </w:sectPr>
      </w:pPr>
    </w:p>
    <w:p w:rsidR="001C4A25" w:rsidRDefault="001C4A25" w:rsidP="001C4A25">
      <w:pPr>
        <w:pStyle w:val="Heading2"/>
        <w:numPr>
          <w:ilvl w:val="0"/>
          <w:numId w:val="0"/>
        </w:numPr>
        <w:ind w:left="720"/>
        <w:rPr>
          <w:lang w:eastAsia="en-GB"/>
        </w:rPr>
      </w:pPr>
      <w:r>
        <w:rPr>
          <w:lang w:eastAsia="en-GB"/>
        </w:rPr>
        <w:lastRenderedPageBreak/>
        <w:t>Appendix</w:t>
      </w:r>
      <w:r w:rsidR="00414488">
        <w:rPr>
          <w:lang w:eastAsia="en-GB"/>
        </w:rPr>
        <w:t xml:space="preserve"> </w:t>
      </w:r>
      <w:bookmarkEnd w:id="0"/>
    </w:p>
    <w:p w:rsidR="004A25C7" w:rsidRPr="009D6577" w:rsidRDefault="00530B11" w:rsidP="004A25C7">
      <w:pPr>
        <w:pStyle w:val="Caption"/>
        <w:rPr>
          <w:sz w:val="22"/>
        </w:rPr>
      </w:pPr>
      <w:bookmarkStart w:id="5" w:name="_Ref461102275"/>
      <w:r>
        <w:rPr>
          <w:sz w:val="22"/>
        </w:rPr>
        <w:t xml:space="preserve">Supplementary </w:t>
      </w:r>
      <w:r w:rsidR="004A25C7" w:rsidRPr="009D6577">
        <w:rPr>
          <w:sz w:val="22"/>
        </w:rPr>
        <w:t xml:space="preserve">Table </w:t>
      </w:r>
      <w:r w:rsidR="006765BF">
        <w:rPr>
          <w:sz w:val="22"/>
        </w:rPr>
        <w:t>S</w:t>
      </w:r>
      <w:bookmarkEnd w:id="5"/>
      <w:r w:rsidR="006765BF">
        <w:rPr>
          <w:sz w:val="22"/>
        </w:rPr>
        <w:t>1</w:t>
      </w:r>
      <w:r w:rsidR="004A25C7" w:rsidRPr="009D6577">
        <w:rPr>
          <w:sz w:val="22"/>
        </w:rPr>
        <w:t xml:space="preserve"> Definitions of PROGRESS-Plus factors</w:t>
      </w:r>
    </w:p>
    <w:tbl>
      <w:tblPr>
        <w:tblW w:w="0" w:type="auto"/>
        <w:tblBorders>
          <w:top w:val="single" w:sz="4" w:space="0" w:color="auto"/>
          <w:bottom w:val="single" w:sz="4" w:space="0" w:color="auto"/>
        </w:tblBorders>
        <w:tblLook w:val="04A0" w:firstRow="1" w:lastRow="0" w:firstColumn="1" w:lastColumn="0" w:noHBand="0" w:noVBand="1"/>
      </w:tblPr>
      <w:tblGrid>
        <w:gridCol w:w="2802"/>
        <w:gridCol w:w="6440"/>
      </w:tblGrid>
      <w:tr w:rsidR="004A25C7" w:rsidRPr="005A049B" w:rsidTr="00A4509A">
        <w:trPr>
          <w:cantSplit/>
        </w:trPr>
        <w:tc>
          <w:tcPr>
            <w:tcW w:w="2802" w:type="dxa"/>
            <w:tcBorders>
              <w:top w:val="single" w:sz="4" w:space="0" w:color="auto"/>
              <w:bottom w:val="single" w:sz="4" w:space="0" w:color="auto"/>
            </w:tcBorders>
            <w:shd w:val="clear" w:color="auto" w:fill="auto"/>
          </w:tcPr>
          <w:p w:rsidR="004A25C7" w:rsidRPr="005A049B" w:rsidRDefault="004A25C7" w:rsidP="00A4509A">
            <w:pPr>
              <w:rPr>
                <w:b/>
                <w:color w:val="000000"/>
                <w:sz w:val="22"/>
                <w:szCs w:val="22"/>
              </w:rPr>
            </w:pPr>
            <w:r w:rsidRPr="005A049B">
              <w:rPr>
                <w:b/>
                <w:color w:val="000000"/>
                <w:sz w:val="22"/>
                <w:szCs w:val="22"/>
              </w:rPr>
              <w:t>PROGESS</w:t>
            </w:r>
          </w:p>
        </w:tc>
        <w:tc>
          <w:tcPr>
            <w:tcW w:w="6440" w:type="dxa"/>
            <w:tcBorders>
              <w:top w:val="single" w:sz="4" w:space="0" w:color="auto"/>
              <w:bottom w:val="single" w:sz="4" w:space="0" w:color="auto"/>
            </w:tcBorders>
            <w:shd w:val="clear" w:color="auto" w:fill="auto"/>
          </w:tcPr>
          <w:p w:rsidR="004A25C7" w:rsidRPr="005A049B" w:rsidRDefault="004A25C7" w:rsidP="00A4509A">
            <w:pPr>
              <w:rPr>
                <w:b/>
                <w:color w:val="000000"/>
                <w:sz w:val="22"/>
                <w:szCs w:val="22"/>
              </w:rPr>
            </w:pPr>
            <w:r>
              <w:rPr>
                <w:b/>
                <w:color w:val="000000"/>
                <w:sz w:val="22"/>
                <w:szCs w:val="22"/>
              </w:rPr>
              <w:t>Definition</w:t>
            </w:r>
          </w:p>
        </w:tc>
      </w:tr>
      <w:tr w:rsidR="004A25C7" w:rsidRPr="005A049B" w:rsidTr="00A4509A">
        <w:trPr>
          <w:cantSplit/>
        </w:trPr>
        <w:tc>
          <w:tcPr>
            <w:tcW w:w="2802" w:type="dxa"/>
            <w:tcBorders>
              <w:top w:val="single" w:sz="4" w:space="0" w:color="auto"/>
            </w:tcBorders>
            <w:shd w:val="clear" w:color="auto" w:fill="auto"/>
          </w:tcPr>
          <w:p w:rsidR="004A25C7" w:rsidRPr="005A049B" w:rsidRDefault="004A25C7" w:rsidP="00A4509A">
            <w:pPr>
              <w:rPr>
                <w:bCs/>
                <w:color w:val="000000"/>
                <w:sz w:val="22"/>
                <w:szCs w:val="22"/>
              </w:rPr>
            </w:pPr>
            <w:r w:rsidRPr="005A049B">
              <w:rPr>
                <w:bCs/>
                <w:color w:val="000000"/>
                <w:sz w:val="22"/>
                <w:szCs w:val="22"/>
              </w:rPr>
              <w:t>Place of residence</w:t>
            </w:r>
          </w:p>
        </w:tc>
        <w:tc>
          <w:tcPr>
            <w:tcW w:w="6440" w:type="dxa"/>
            <w:tcBorders>
              <w:top w:val="single" w:sz="4" w:space="0" w:color="auto"/>
            </w:tcBorders>
            <w:shd w:val="clear" w:color="auto" w:fill="auto"/>
          </w:tcPr>
          <w:p w:rsidR="004A25C7" w:rsidRPr="005A049B" w:rsidRDefault="004A25C7" w:rsidP="00A4509A">
            <w:pPr>
              <w:rPr>
                <w:bCs/>
                <w:color w:val="000000"/>
                <w:sz w:val="22"/>
                <w:szCs w:val="22"/>
              </w:rPr>
            </w:pPr>
            <w:r>
              <w:rPr>
                <w:bCs/>
                <w:color w:val="000000"/>
                <w:sz w:val="22"/>
                <w:szCs w:val="22"/>
              </w:rPr>
              <w:t>Rural/urban, country/state, area deprivation, housing characteristics</w:t>
            </w:r>
          </w:p>
        </w:tc>
      </w:tr>
      <w:tr w:rsidR="004A25C7" w:rsidRPr="005A049B" w:rsidTr="00A4509A">
        <w:trPr>
          <w:cantSplit/>
        </w:trPr>
        <w:tc>
          <w:tcPr>
            <w:tcW w:w="2802" w:type="dxa"/>
            <w:shd w:val="clear" w:color="auto" w:fill="auto"/>
          </w:tcPr>
          <w:p w:rsidR="004A25C7" w:rsidRPr="005A049B" w:rsidRDefault="004A25C7" w:rsidP="00A4509A">
            <w:pPr>
              <w:rPr>
                <w:bCs/>
                <w:color w:val="000000"/>
                <w:sz w:val="22"/>
                <w:szCs w:val="22"/>
              </w:rPr>
            </w:pPr>
            <w:r>
              <w:rPr>
                <w:bCs/>
                <w:color w:val="000000"/>
                <w:sz w:val="22"/>
                <w:szCs w:val="22"/>
              </w:rPr>
              <w:t>Ethnicity*</w:t>
            </w:r>
          </w:p>
        </w:tc>
        <w:tc>
          <w:tcPr>
            <w:tcW w:w="6440" w:type="dxa"/>
            <w:shd w:val="clear" w:color="auto" w:fill="auto"/>
          </w:tcPr>
          <w:p w:rsidR="004A25C7" w:rsidRPr="005A049B" w:rsidRDefault="004A25C7" w:rsidP="00A4509A">
            <w:pPr>
              <w:rPr>
                <w:bCs/>
                <w:color w:val="000000"/>
                <w:sz w:val="22"/>
                <w:szCs w:val="22"/>
              </w:rPr>
            </w:pPr>
            <w:r>
              <w:rPr>
                <w:bCs/>
                <w:color w:val="000000"/>
                <w:sz w:val="22"/>
                <w:szCs w:val="22"/>
              </w:rPr>
              <w:t>Ethnic background</w:t>
            </w:r>
          </w:p>
        </w:tc>
      </w:tr>
      <w:tr w:rsidR="004A25C7" w:rsidRPr="005A049B" w:rsidTr="00A4509A">
        <w:trPr>
          <w:cantSplit/>
        </w:trPr>
        <w:tc>
          <w:tcPr>
            <w:tcW w:w="2802" w:type="dxa"/>
            <w:shd w:val="clear" w:color="auto" w:fill="auto"/>
          </w:tcPr>
          <w:p w:rsidR="004A25C7" w:rsidRPr="005A049B" w:rsidRDefault="004A25C7" w:rsidP="00A4509A">
            <w:pPr>
              <w:rPr>
                <w:bCs/>
                <w:color w:val="000000"/>
                <w:sz w:val="22"/>
                <w:szCs w:val="22"/>
              </w:rPr>
            </w:pPr>
            <w:r w:rsidRPr="005A049B">
              <w:rPr>
                <w:bCs/>
                <w:color w:val="000000"/>
                <w:sz w:val="22"/>
                <w:szCs w:val="22"/>
              </w:rPr>
              <w:t>Occupation</w:t>
            </w:r>
          </w:p>
        </w:tc>
        <w:tc>
          <w:tcPr>
            <w:tcW w:w="6440" w:type="dxa"/>
            <w:shd w:val="clear" w:color="auto" w:fill="auto"/>
          </w:tcPr>
          <w:p w:rsidR="004A25C7" w:rsidRPr="005A049B" w:rsidRDefault="004A25C7" w:rsidP="00A4509A">
            <w:pPr>
              <w:rPr>
                <w:bCs/>
                <w:color w:val="000000"/>
                <w:sz w:val="22"/>
                <w:szCs w:val="22"/>
              </w:rPr>
            </w:pPr>
            <w:r>
              <w:rPr>
                <w:bCs/>
                <w:color w:val="000000"/>
                <w:sz w:val="22"/>
                <w:szCs w:val="22"/>
              </w:rPr>
              <w:t>Professional, skilled, unskilled, unemployed etc.</w:t>
            </w:r>
          </w:p>
        </w:tc>
      </w:tr>
      <w:tr w:rsidR="004A25C7" w:rsidRPr="005A049B" w:rsidTr="00A4509A">
        <w:trPr>
          <w:cantSplit/>
        </w:trPr>
        <w:tc>
          <w:tcPr>
            <w:tcW w:w="2802" w:type="dxa"/>
            <w:shd w:val="clear" w:color="auto" w:fill="auto"/>
          </w:tcPr>
          <w:p w:rsidR="004A25C7" w:rsidRPr="005A049B" w:rsidRDefault="004A25C7" w:rsidP="00A4509A">
            <w:pPr>
              <w:rPr>
                <w:bCs/>
                <w:color w:val="000000"/>
                <w:sz w:val="22"/>
                <w:szCs w:val="22"/>
              </w:rPr>
            </w:pPr>
            <w:r w:rsidRPr="005A049B">
              <w:rPr>
                <w:bCs/>
                <w:color w:val="000000"/>
                <w:sz w:val="22"/>
                <w:szCs w:val="22"/>
              </w:rPr>
              <w:t>Gender</w:t>
            </w:r>
            <w:r>
              <w:rPr>
                <w:bCs/>
                <w:color w:val="000000"/>
                <w:sz w:val="22"/>
                <w:szCs w:val="22"/>
              </w:rPr>
              <w:t>*</w:t>
            </w:r>
          </w:p>
        </w:tc>
        <w:tc>
          <w:tcPr>
            <w:tcW w:w="6440" w:type="dxa"/>
            <w:shd w:val="clear" w:color="auto" w:fill="auto"/>
          </w:tcPr>
          <w:p w:rsidR="004A25C7" w:rsidRPr="005A049B" w:rsidRDefault="004A25C7" w:rsidP="00A4509A">
            <w:pPr>
              <w:rPr>
                <w:bCs/>
                <w:color w:val="000000"/>
                <w:sz w:val="22"/>
                <w:szCs w:val="22"/>
              </w:rPr>
            </w:pPr>
            <w:r>
              <w:rPr>
                <w:bCs/>
                <w:color w:val="000000"/>
                <w:sz w:val="22"/>
                <w:szCs w:val="22"/>
              </w:rPr>
              <w:t>Male or female</w:t>
            </w:r>
          </w:p>
        </w:tc>
      </w:tr>
      <w:tr w:rsidR="004A25C7" w:rsidRPr="005A049B" w:rsidTr="00A4509A">
        <w:trPr>
          <w:cantSplit/>
        </w:trPr>
        <w:tc>
          <w:tcPr>
            <w:tcW w:w="2802" w:type="dxa"/>
            <w:shd w:val="clear" w:color="auto" w:fill="auto"/>
          </w:tcPr>
          <w:p w:rsidR="004A25C7" w:rsidRPr="005A049B" w:rsidRDefault="004A25C7" w:rsidP="00A4509A">
            <w:pPr>
              <w:rPr>
                <w:bCs/>
                <w:color w:val="000000"/>
                <w:sz w:val="22"/>
                <w:szCs w:val="22"/>
              </w:rPr>
            </w:pPr>
            <w:r w:rsidRPr="005A049B">
              <w:rPr>
                <w:bCs/>
                <w:color w:val="000000"/>
                <w:sz w:val="22"/>
                <w:szCs w:val="22"/>
              </w:rPr>
              <w:t>Religion</w:t>
            </w:r>
          </w:p>
        </w:tc>
        <w:tc>
          <w:tcPr>
            <w:tcW w:w="6440" w:type="dxa"/>
            <w:shd w:val="clear" w:color="auto" w:fill="auto"/>
          </w:tcPr>
          <w:p w:rsidR="004A25C7" w:rsidRPr="005A049B" w:rsidRDefault="004A25C7" w:rsidP="00A4509A">
            <w:pPr>
              <w:rPr>
                <w:bCs/>
                <w:color w:val="000000"/>
                <w:sz w:val="22"/>
                <w:szCs w:val="22"/>
              </w:rPr>
            </w:pPr>
            <w:r>
              <w:rPr>
                <w:bCs/>
                <w:color w:val="000000"/>
                <w:sz w:val="22"/>
                <w:szCs w:val="22"/>
              </w:rPr>
              <w:t>Religious background</w:t>
            </w:r>
          </w:p>
        </w:tc>
      </w:tr>
      <w:tr w:rsidR="004A25C7" w:rsidRPr="005A049B" w:rsidTr="00A4509A">
        <w:trPr>
          <w:cantSplit/>
        </w:trPr>
        <w:tc>
          <w:tcPr>
            <w:tcW w:w="2802" w:type="dxa"/>
            <w:shd w:val="clear" w:color="auto" w:fill="auto"/>
          </w:tcPr>
          <w:p w:rsidR="004A25C7" w:rsidRPr="005A049B" w:rsidRDefault="004A25C7" w:rsidP="00A4509A">
            <w:pPr>
              <w:rPr>
                <w:bCs/>
                <w:color w:val="000000"/>
                <w:sz w:val="22"/>
                <w:szCs w:val="22"/>
              </w:rPr>
            </w:pPr>
            <w:r w:rsidRPr="005A049B">
              <w:rPr>
                <w:bCs/>
                <w:color w:val="000000"/>
                <w:sz w:val="22"/>
                <w:szCs w:val="22"/>
              </w:rPr>
              <w:t>Education</w:t>
            </w:r>
            <w:r>
              <w:rPr>
                <w:bCs/>
                <w:color w:val="000000"/>
                <w:sz w:val="22"/>
                <w:szCs w:val="22"/>
              </w:rPr>
              <w:t>*</w:t>
            </w:r>
          </w:p>
        </w:tc>
        <w:tc>
          <w:tcPr>
            <w:tcW w:w="6440" w:type="dxa"/>
            <w:shd w:val="clear" w:color="auto" w:fill="auto"/>
          </w:tcPr>
          <w:p w:rsidR="004A25C7" w:rsidRPr="005A049B" w:rsidRDefault="004A25C7" w:rsidP="00A4509A">
            <w:pPr>
              <w:rPr>
                <w:bCs/>
                <w:color w:val="000000"/>
                <w:sz w:val="22"/>
                <w:szCs w:val="22"/>
              </w:rPr>
            </w:pPr>
            <w:r>
              <w:rPr>
                <w:bCs/>
                <w:color w:val="000000"/>
                <w:sz w:val="22"/>
                <w:szCs w:val="22"/>
              </w:rPr>
              <w:t>Years in and/or level of education attained, school type</w:t>
            </w:r>
          </w:p>
        </w:tc>
      </w:tr>
      <w:tr w:rsidR="004A25C7" w:rsidRPr="005A049B" w:rsidTr="00A4509A">
        <w:trPr>
          <w:cantSplit/>
        </w:trPr>
        <w:tc>
          <w:tcPr>
            <w:tcW w:w="2802" w:type="dxa"/>
            <w:shd w:val="clear" w:color="auto" w:fill="auto"/>
          </w:tcPr>
          <w:p w:rsidR="004A25C7" w:rsidRPr="005A049B" w:rsidRDefault="004A25C7" w:rsidP="00A4509A">
            <w:pPr>
              <w:rPr>
                <w:bCs/>
                <w:color w:val="000000"/>
                <w:sz w:val="22"/>
                <w:szCs w:val="22"/>
              </w:rPr>
            </w:pPr>
            <w:r w:rsidRPr="005A049B">
              <w:rPr>
                <w:bCs/>
                <w:color w:val="000000"/>
                <w:sz w:val="22"/>
                <w:szCs w:val="22"/>
              </w:rPr>
              <w:t>Social capital</w:t>
            </w:r>
          </w:p>
        </w:tc>
        <w:tc>
          <w:tcPr>
            <w:tcW w:w="6440" w:type="dxa"/>
            <w:shd w:val="clear" w:color="auto" w:fill="auto"/>
          </w:tcPr>
          <w:p w:rsidR="004A25C7" w:rsidRPr="005A049B" w:rsidRDefault="003B1A8B" w:rsidP="00A4509A">
            <w:pPr>
              <w:rPr>
                <w:bCs/>
                <w:color w:val="000000"/>
                <w:sz w:val="22"/>
                <w:szCs w:val="22"/>
              </w:rPr>
            </w:pPr>
            <w:r>
              <w:rPr>
                <w:bCs/>
                <w:color w:val="000000"/>
                <w:sz w:val="22"/>
                <w:szCs w:val="22"/>
              </w:rPr>
              <w:t>Neighborhood</w:t>
            </w:r>
            <w:r w:rsidR="004A25C7">
              <w:rPr>
                <w:bCs/>
                <w:color w:val="000000"/>
                <w:sz w:val="22"/>
                <w:szCs w:val="22"/>
              </w:rPr>
              <w:t>/community/family support</w:t>
            </w:r>
          </w:p>
        </w:tc>
      </w:tr>
      <w:tr w:rsidR="004A25C7" w:rsidRPr="005A049B" w:rsidTr="00A4509A">
        <w:trPr>
          <w:cantSplit/>
        </w:trPr>
        <w:tc>
          <w:tcPr>
            <w:tcW w:w="2802" w:type="dxa"/>
            <w:shd w:val="clear" w:color="auto" w:fill="auto"/>
          </w:tcPr>
          <w:p w:rsidR="004A25C7" w:rsidRPr="005A049B" w:rsidRDefault="004A25C7" w:rsidP="00A4509A">
            <w:pPr>
              <w:rPr>
                <w:bCs/>
                <w:color w:val="000000"/>
                <w:sz w:val="22"/>
                <w:szCs w:val="22"/>
              </w:rPr>
            </w:pPr>
            <w:r w:rsidRPr="005A049B">
              <w:rPr>
                <w:bCs/>
                <w:sz w:val="22"/>
                <w:szCs w:val="22"/>
              </w:rPr>
              <w:t xml:space="preserve">Socio-economic </w:t>
            </w:r>
            <w:r>
              <w:rPr>
                <w:bCs/>
                <w:sz w:val="22"/>
                <w:szCs w:val="22"/>
              </w:rPr>
              <w:t>position* (SEP/income)</w:t>
            </w:r>
          </w:p>
        </w:tc>
        <w:tc>
          <w:tcPr>
            <w:tcW w:w="6440" w:type="dxa"/>
            <w:shd w:val="clear" w:color="auto" w:fill="auto"/>
          </w:tcPr>
          <w:p w:rsidR="004A25C7" w:rsidRDefault="004A25C7" w:rsidP="00A4509A">
            <w:pPr>
              <w:rPr>
                <w:bCs/>
                <w:color w:val="000000"/>
                <w:sz w:val="22"/>
                <w:szCs w:val="22"/>
              </w:rPr>
            </w:pPr>
            <w:r>
              <w:rPr>
                <w:bCs/>
                <w:color w:val="000000"/>
                <w:sz w:val="22"/>
                <w:szCs w:val="22"/>
              </w:rPr>
              <w:t>Income-related measure e.g. means-tested benefits/welfare, affluence</w:t>
            </w:r>
          </w:p>
        </w:tc>
      </w:tr>
      <w:tr w:rsidR="004A25C7" w:rsidRPr="005A049B" w:rsidTr="00A4509A">
        <w:trPr>
          <w:cantSplit/>
        </w:trPr>
        <w:tc>
          <w:tcPr>
            <w:tcW w:w="2802" w:type="dxa"/>
            <w:tcBorders>
              <w:top w:val="single" w:sz="4" w:space="0" w:color="auto"/>
              <w:bottom w:val="single" w:sz="4" w:space="0" w:color="auto"/>
            </w:tcBorders>
            <w:shd w:val="clear" w:color="auto" w:fill="auto"/>
          </w:tcPr>
          <w:p w:rsidR="004A25C7" w:rsidRPr="005A049B" w:rsidRDefault="004A25C7" w:rsidP="00A4509A">
            <w:pPr>
              <w:rPr>
                <w:b/>
                <w:color w:val="000000"/>
                <w:sz w:val="22"/>
                <w:szCs w:val="22"/>
              </w:rPr>
            </w:pPr>
            <w:r>
              <w:rPr>
                <w:b/>
                <w:color w:val="000000"/>
                <w:sz w:val="22"/>
                <w:szCs w:val="22"/>
              </w:rPr>
              <w:t>Plus</w:t>
            </w:r>
          </w:p>
        </w:tc>
        <w:tc>
          <w:tcPr>
            <w:tcW w:w="6440" w:type="dxa"/>
            <w:tcBorders>
              <w:top w:val="single" w:sz="4" w:space="0" w:color="auto"/>
              <w:bottom w:val="single" w:sz="4" w:space="0" w:color="auto"/>
            </w:tcBorders>
            <w:shd w:val="clear" w:color="auto" w:fill="auto"/>
          </w:tcPr>
          <w:p w:rsidR="004A25C7" w:rsidRPr="005A049B" w:rsidRDefault="004A25C7" w:rsidP="00A4509A">
            <w:pPr>
              <w:rPr>
                <w:b/>
                <w:color w:val="000000"/>
                <w:sz w:val="22"/>
                <w:szCs w:val="22"/>
              </w:rPr>
            </w:pPr>
            <w:r>
              <w:rPr>
                <w:b/>
                <w:color w:val="000000"/>
                <w:sz w:val="22"/>
                <w:szCs w:val="22"/>
              </w:rPr>
              <w:t>Definition</w:t>
            </w:r>
          </w:p>
        </w:tc>
      </w:tr>
      <w:tr w:rsidR="004A25C7" w:rsidRPr="005A049B" w:rsidTr="00A4509A">
        <w:trPr>
          <w:cantSplit/>
        </w:trPr>
        <w:tc>
          <w:tcPr>
            <w:tcW w:w="2802" w:type="dxa"/>
            <w:shd w:val="clear" w:color="auto" w:fill="auto"/>
          </w:tcPr>
          <w:p w:rsidR="004A25C7" w:rsidRPr="005A049B" w:rsidRDefault="004A25C7" w:rsidP="00A4509A">
            <w:pPr>
              <w:rPr>
                <w:bCs/>
                <w:color w:val="000000"/>
                <w:sz w:val="22"/>
                <w:szCs w:val="22"/>
              </w:rPr>
            </w:pPr>
            <w:r>
              <w:rPr>
                <w:bCs/>
                <w:color w:val="000000"/>
                <w:sz w:val="22"/>
                <w:szCs w:val="22"/>
              </w:rPr>
              <w:t>All SEP</w:t>
            </w:r>
          </w:p>
        </w:tc>
        <w:tc>
          <w:tcPr>
            <w:tcW w:w="6440" w:type="dxa"/>
            <w:shd w:val="clear" w:color="auto" w:fill="auto"/>
          </w:tcPr>
          <w:p w:rsidR="004A25C7" w:rsidRPr="00441090" w:rsidRDefault="004A25C7" w:rsidP="00A4509A">
            <w:pPr>
              <w:rPr>
                <w:bCs/>
                <w:color w:val="000000"/>
                <w:sz w:val="22"/>
                <w:szCs w:val="22"/>
              </w:rPr>
            </w:pPr>
            <w:r w:rsidRPr="00441090">
              <w:rPr>
                <w:bCs/>
                <w:color w:val="000000"/>
                <w:sz w:val="22"/>
                <w:szCs w:val="22"/>
              </w:rPr>
              <w:t>SEP income related, plus occupation, education, and elements</w:t>
            </w:r>
          </w:p>
          <w:p w:rsidR="004A25C7" w:rsidRPr="005A049B" w:rsidRDefault="004A25C7" w:rsidP="00A4509A">
            <w:pPr>
              <w:rPr>
                <w:bCs/>
                <w:color w:val="000000"/>
                <w:sz w:val="22"/>
                <w:szCs w:val="22"/>
              </w:rPr>
            </w:pPr>
            <w:r w:rsidRPr="00441090">
              <w:rPr>
                <w:bCs/>
                <w:color w:val="000000"/>
                <w:sz w:val="22"/>
                <w:szCs w:val="22"/>
              </w:rPr>
              <w:t>of place of residence</w:t>
            </w:r>
          </w:p>
        </w:tc>
      </w:tr>
      <w:tr w:rsidR="004A25C7" w:rsidRPr="005A049B" w:rsidTr="00A4509A">
        <w:trPr>
          <w:cantSplit/>
        </w:trPr>
        <w:tc>
          <w:tcPr>
            <w:tcW w:w="2802" w:type="dxa"/>
            <w:shd w:val="clear" w:color="auto" w:fill="auto"/>
          </w:tcPr>
          <w:p w:rsidR="004A25C7" w:rsidRPr="005A049B" w:rsidRDefault="004A25C7" w:rsidP="00A4509A">
            <w:pPr>
              <w:rPr>
                <w:bCs/>
                <w:color w:val="000000"/>
                <w:sz w:val="22"/>
                <w:szCs w:val="22"/>
              </w:rPr>
            </w:pPr>
            <w:r w:rsidRPr="005A049B">
              <w:rPr>
                <w:bCs/>
                <w:color w:val="000000"/>
                <w:sz w:val="22"/>
                <w:szCs w:val="22"/>
              </w:rPr>
              <w:t>Age</w:t>
            </w:r>
            <w:r>
              <w:rPr>
                <w:bCs/>
                <w:color w:val="000000"/>
                <w:sz w:val="22"/>
                <w:szCs w:val="22"/>
              </w:rPr>
              <w:t>*</w:t>
            </w:r>
          </w:p>
        </w:tc>
        <w:tc>
          <w:tcPr>
            <w:tcW w:w="6440" w:type="dxa"/>
            <w:shd w:val="clear" w:color="auto" w:fill="auto"/>
          </w:tcPr>
          <w:p w:rsidR="004A25C7" w:rsidRPr="005A049B" w:rsidRDefault="004A25C7" w:rsidP="00A4509A">
            <w:pPr>
              <w:rPr>
                <w:bCs/>
                <w:color w:val="000000"/>
                <w:sz w:val="22"/>
                <w:szCs w:val="22"/>
              </w:rPr>
            </w:pPr>
            <w:r>
              <w:rPr>
                <w:bCs/>
                <w:color w:val="000000"/>
                <w:sz w:val="22"/>
                <w:szCs w:val="22"/>
              </w:rPr>
              <w:t>Age range</w:t>
            </w:r>
          </w:p>
        </w:tc>
      </w:tr>
      <w:tr w:rsidR="004A25C7" w:rsidRPr="005A049B" w:rsidTr="00A4509A">
        <w:trPr>
          <w:cantSplit/>
        </w:trPr>
        <w:tc>
          <w:tcPr>
            <w:tcW w:w="2802" w:type="dxa"/>
            <w:shd w:val="clear" w:color="auto" w:fill="auto"/>
          </w:tcPr>
          <w:p w:rsidR="004A25C7" w:rsidRPr="005A049B" w:rsidRDefault="004A25C7" w:rsidP="00A4509A">
            <w:pPr>
              <w:rPr>
                <w:bCs/>
                <w:sz w:val="22"/>
                <w:szCs w:val="22"/>
              </w:rPr>
            </w:pPr>
            <w:r w:rsidRPr="005A049B">
              <w:rPr>
                <w:bCs/>
                <w:sz w:val="22"/>
                <w:szCs w:val="22"/>
              </w:rPr>
              <w:t>Disability</w:t>
            </w:r>
          </w:p>
        </w:tc>
        <w:tc>
          <w:tcPr>
            <w:tcW w:w="6440" w:type="dxa"/>
            <w:shd w:val="clear" w:color="auto" w:fill="auto"/>
          </w:tcPr>
          <w:p w:rsidR="004A25C7" w:rsidRPr="005A049B" w:rsidRDefault="004A25C7" w:rsidP="00A4509A">
            <w:pPr>
              <w:rPr>
                <w:bCs/>
                <w:sz w:val="22"/>
                <w:szCs w:val="22"/>
              </w:rPr>
            </w:pPr>
            <w:r>
              <w:rPr>
                <w:bCs/>
                <w:sz w:val="22"/>
                <w:szCs w:val="22"/>
              </w:rPr>
              <w:t>Existence of physical or emotional/mental disability</w:t>
            </w:r>
          </w:p>
        </w:tc>
      </w:tr>
      <w:tr w:rsidR="004A25C7" w:rsidRPr="005A049B" w:rsidTr="00A4509A">
        <w:trPr>
          <w:cantSplit/>
        </w:trPr>
        <w:tc>
          <w:tcPr>
            <w:tcW w:w="2802" w:type="dxa"/>
            <w:shd w:val="clear" w:color="auto" w:fill="auto"/>
          </w:tcPr>
          <w:p w:rsidR="004A25C7" w:rsidRPr="005A049B" w:rsidRDefault="004A25C7" w:rsidP="00A4509A">
            <w:pPr>
              <w:rPr>
                <w:bCs/>
                <w:color w:val="000000"/>
                <w:sz w:val="22"/>
                <w:szCs w:val="22"/>
              </w:rPr>
            </w:pPr>
            <w:r w:rsidRPr="005A049B">
              <w:rPr>
                <w:bCs/>
                <w:color w:val="000000"/>
                <w:sz w:val="22"/>
                <w:szCs w:val="22"/>
              </w:rPr>
              <w:t>Sexual orientation</w:t>
            </w:r>
          </w:p>
        </w:tc>
        <w:tc>
          <w:tcPr>
            <w:tcW w:w="6440" w:type="dxa"/>
            <w:shd w:val="clear" w:color="auto" w:fill="auto"/>
          </w:tcPr>
          <w:p w:rsidR="004A25C7" w:rsidRPr="005A049B" w:rsidRDefault="004A25C7" w:rsidP="00A4509A">
            <w:pPr>
              <w:rPr>
                <w:bCs/>
                <w:color w:val="000000"/>
                <w:sz w:val="22"/>
                <w:szCs w:val="22"/>
                <w:lang w:val="fr-FR"/>
              </w:rPr>
            </w:pPr>
            <w:r w:rsidRPr="00441090">
              <w:rPr>
                <w:bCs/>
                <w:color w:val="000000"/>
                <w:sz w:val="22"/>
                <w:szCs w:val="22"/>
                <w:lang w:val="fr-FR"/>
              </w:rPr>
              <w:t xml:space="preserve">Heterosexual, gay, lesbian, bisexual, transgender </w:t>
            </w:r>
          </w:p>
        </w:tc>
      </w:tr>
      <w:tr w:rsidR="004A25C7" w:rsidRPr="005A049B" w:rsidTr="00A4509A">
        <w:trPr>
          <w:cantSplit/>
        </w:trPr>
        <w:tc>
          <w:tcPr>
            <w:tcW w:w="2802" w:type="dxa"/>
            <w:shd w:val="clear" w:color="auto" w:fill="auto"/>
          </w:tcPr>
          <w:p w:rsidR="004A25C7" w:rsidRPr="005A049B" w:rsidRDefault="004A25C7" w:rsidP="00A4509A">
            <w:pPr>
              <w:rPr>
                <w:bCs/>
                <w:color w:val="000000"/>
                <w:sz w:val="22"/>
                <w:szCs w:val="22"/>
              </w:rPr>
            </w:pPr>
            <w:r>
              <w:rPr>
                <w:bCs/>
                <w:color w:val="000000"/>
                <w:sz w:val="22"/>
                <w:szCs w:val="22"/>
              </w:rPr>
              <w:t>Other vulnerable groups</w:t>
            </w:r>
          </w:p>
        </w:tc>
        <w:tc>
          <w:tcPr>
            <w:tcW w:w="6440" w:type="dxa"/>
            <w:shd w:val="clear" w:color="auto" w:fill="auto"/>
          </w:tcPr>
          <w:p w:rsidR="004A25C7" w:rsidRPr="002E4627" w:rsidRDefault="004A25C7" w:rsidP="00A4509A">
            <w:pPr>
              <w:rPr>
                <w:bCs/>
                <w:color w:val="000000"/>
                <w:sz w:val="22"/>
                <w:szCs w:val="22"/>
                <w:lang w:val="fr-FR"/>
              </w:rPr>
            </w:pPr>
            <w:r w:rsidRPr="002E4627">
              <w:rPr>
                <w:bCs/>
                <w:color w:val="000000"/>
                <w:sz w:val="22"/>
                <w:szCs w:val="22"/>
                <w:lang w:val="fr-FR"/>
              </w:rPr>
              <w:t xml:space="preserve">School non-attenders, looked after </w:t>
            </w:r>
            <w:r w:rsidR="005D5DD4">
              <w:rPr>
                <w:bCs/>
                <w:color w:val="000000"/>
                <w:sz w:val="22"/>
                <w:szCs w:val="22"/>
                <w:lang w:val="fr-FR"/>
              </w:rPr>
              <w:t>young person (</w:t>
            </w:r>
            <w:r w:rsidRPr="002E4627">
              <w:rPr>
                <w:bCs/>
                <w:color w:val="000000"/>
                <w:sz w:val="22"/>
                <w:szCs w:val="22"/>
                <w:lang w:val="fr-FR"/>
              </w:rPr>
              <w:t>YP</w:t>
            </w:r>
            <w:r w:rsidR="005D5DD4">
              <w:rPr>
                <w:bCs/>
                <w:color w:val="000000"/>
                <w:sz w:val="22"/>
                <w:szCs w:val="22"/>
                <w:lang w:val="fr-FR"/>
              </w:rPr>
              <w:t>)</w:t>
            </w:r>
            <w:r w:rsidRPr="002E4627">
              <w:rPr>
                <w:bCs/>
                <w:color w:val="000000"/>
                <w:sz w:val="22"/>
                <w:szCs w:val="22"/>
                <w:lang w:val="fr-FR"/>
              </w:rPr>
              <w:t>, YP in criminal justice</w:t>
            </w:r>
          </w:p>
          <w:p w:rsidR="004A25C7" w:rsidRPr="005A049B" w:rsidRDefault="004A25C7" w:rsidP="00A4509A">
            <w:pPr>
              <w:rPr>
                <w:bCs/>
                <w:color w:val="000000"/>
                <w:sz w:val="22"/>
                <w:szCs w:val="22"/>
                <w:lang w:val="fr-FR"/>
              </w:rPr>
            </w:pPr>
            <w:r w:rsidRPr="002E4627">
              <w:rPr>
                <w:bCs/>
                <w:color w:val="000000"/>
                <w:sz w:val="22"/>
                <w:szCs w:val="22"/>
                <w:lang w:val="fr-FR"/>
              </w:rPr>
              <w:t>system, victims of abuse, runaways, teenage parents</w:t>
            </w:r>
          </w:p>
        </w:tc>
      </w:tr>
    </w:tbl>
    <w:p w:rsidR="004A25C7" w:rsidRPr="009D6577" w:rsidRDefault="004A25C7" w:rsidP="004A25C7">
      <w:pPr>
        <w:rPr>
          <w:color w:val="000000"/>
          <w:sz w:val="18"/>
          <w:szCs w:val="18"/>
        </w:rPr>
      </w:pPr>
      <w:r w:rsidRPr="009D6577">
        <w:rPr>
          <w:color w:val="000000"/>
          <w:sz w:val="18"/>
          <w:szCs w:val="18"/>
        </w:rPr>
        <w:t>* Included measures within this table which data was sought and extracted.</w:t>
      </w:r>
    </w:p>
    <w:p w:rsidR="004A25C7" w:rsidRDefault="004A25C7" w:rsidP="0067322F">
      <w:pPr>
        <w:pStyle w:val="Caption"/>
        <w:rPr>
          <w:sz w:val="22"/>
        </w:rPr>
      </w:pPr>
    </w:p>
    <w:p w:rsidR="002E603B" w:rsidRDefault="002E603B">
      <w:pPr>
        <w:rPr>
          <w:rFonts w:ascii="Arial" w:eastAsiaTheme="majorEastAsia" w:hAnsi="Arial" w:cstheme="majorBidi"/>
          <w:b/>
          <w:bCs/>
          <w:i/>
          <w:sz w:val="26"/>
          <w:szCs w:val="26"/>
          <w:lang w:eastAsia="en-GB"/>
        </w:rPr>
      </w:pPr>
      <w:bookmarkStart w:id="6" w:name="_Ref469422967"/>
      <w:bookmarkStart w:id="7" w:name="_Ref468451109"/>
      <w:r>
        <w:rPr>
          <w:lang w:eastAsia="en-GB"/>
        </w:rPr>
        <w:br w:type="page"/>
      </w:r>
    </w:p>
    <w:p w:rsidR="002E603B" w:rsidRDefault="002E603B" w:rsidP="00414488">
      <w:pPr>
        <w:pStyle w:val="Heading2"/>
        <w:numPr>
          <w:ilvl w:val="0"/>
          <w:numId w:val="0"/>
        </w:numPr>
        <w:ind w:left="720"/>
        <w:rPr>
          <w:lang w:eastAsia="en-GB"/>
        </w:rPr>
        <w:sectPr w:rsidR="002E603B" w:rsidSect="002E603B">
          <w:pgSz w:w="11906" w:h="16838"/>
          <w:pgMar w:top="1440" w:right="1440" w:bottom="1440" w:left="1440" w:header="709" w:footer="510" w:gutter="0"/>
          <w:cols w:space="708"/>
          <w:docGrid w:linePitch="360"/>
        </w:sectPr>
      </w:pPr>
    </w:p>
    <w:bookmarkEnd w:id="6"/>
    <w:p w:rsidR="0067322F" w:rsidRPr="00CE4AFF" w:rsidRDefault="00530B11" w:rsidP="0067322F">
      <w:pPr>
        <w:pStyle w:val="Caption"/>
        <w:rPr>
          <w:sz w:val="22"/>
          <w:lang w:eastAsia="en-GB"/>
        </w:rPr>
      </w:pPr>
      <w:r>
        <w:rPr>
          <w:sz w:val="22"/>
        </w:rPr>
        <w:lastRenderedPageBreak/>
        <w:t xml:space="preserve">Supplementary </w:t>
      </w:r>
      <w:r w:rsidR="0067322F" w:rsidRPr="00CE4AFF">
        <w:rPr>
          <w:sz w:val="22"/>
        </w:rPr>
        <w:t xml:space="preserve">Table </w:t>
      </w:r>
      <w:r w:rsidR="006765BF">
        <w:rPr>
          <w:sz w:val="22"/>
        </w:rPr>
        <w:t>S2</w:t>
      </w:r>
      <w:bookmarkEnd w:id="7"/>
      <w:r w:rsidR="0067322F" w:rsidRPr="00CE4AFF">
        <w:rPr>
          <w:sz w:val="22"/>
        </w:rPr>
        <w:t xml:space="preserve"> Search </w:t>
      </w:r>
      <w:r w:rsidR="00122B41">
        <w:rPr>
          <w:sz w:val="22"/>
        </w:rPr>
        <w:t>s</w:t>
      </w:r>
      <w:r w:rsidR="0067322F" w:rsidRPr="00CE4AFF">
        <w:rPr>
          <w:sz w:val="22"/>
        </w:rPr>
        <w:t>trategy</w:t>
      </w:r>
    </w:p>
    <w:tbl>
      <w:tblPr>
        <w:tblW w:w="14601" w:type="dxa"/>
        <w:tblInd w:w="108" w:type="dxa"/>
        <w:tblLayout w:type="fixed"/>
        <w:tblLook w:val="04A0" w:firstRow="1" w:lastRow="0" w:firstColumn="1" w:lastColumn="0" w:noHBand="0" w:noVBand="1"/>
      </w:tblPr>
      <w:tblGrid>
        <w:gridCol w:w="1105"/>
        <w:gridCol w:w="12220"/>
        <w:gridCol w:w="1276"/>
      </w:tblGrid>
      <w:tr w:rsidR="0067322F" w:rsidRPr="00717247" w:rsidTr="000900B9">
        <w:trPr>
          <w:trHeight w:val="300"/>
        </w:trPr>
        <w:tc>
          <w:tcPr>
            <w:tcW w:w="1105" w:type="dxa"/>
            <w:tcBorders>
              <w:top w:val="single" w:sz="4" w:space="0" w:color="auto"/>
              <w:left w:val="nil"/>
              <w:bottom w:val="single" w:sz="4" w:space="0" w:color="auto"/>
              <w:right w:val="nil"/>
            </w:tcBorders>
            <w:shd w:val="clear" w:color="auto" w:fill="auto"/>
            <w:noWrap/>
            <w:vAlign w:val="bottom"/>
            <w:hideMark/>
          </w:tcPr>
          <w:p w:rsidR="0067322F" w:rsidRPr="00717247" w:rsidRDefault="0067322F" w:rsidP="000900B9">
            <w:pPr>
              <w:rPr>
                <w:color w:val="000000"/>
                <w:sz w:val="16"/>
                <w:szCs w:val="16"/>
              </w:rPr>
            </w:pPr>
            <w:bookmarkStart w:id="8" w:name="_Ref461116504"/>
            <w:r w:rsidRPr="00717247">
              <w:rPr>
                <w:color w:val="000000"/>
                <w:sz w:val="16"/>
                <w:szCs w:val="16"/>
              </w:rPr>
              <w:t>Search Number, by Date and Database</w:t>
            </w:r>
          </w:p>
        </w:tc>
        <w:tc>
          <w:tcPr>
            <w:tcW w:w="12220" w:type="dxa"/>
            <w:tcBorders>
              <w:top w:val="single" w:sz="4" w:space="0" w:color="auto"/>
              <w:left w:val="nil"/>
              <w:bottom w:val="single" w:sz="4" w:space="0" w:color="auto"/>
              <w:right w:val="nil"/>
            </w:tcBorders>
            <w:shd w:val="clear" w:color="auto" w:fill="auto"/>
            <w:noWrap/>
            <w:vAlign w:val="bottom"/>
            <w:hideMark/>
          </w:tcPr>
          <w:p w:rsidR="0067322F" w:rsidRPr="00717247" w:rsidRDefault="0067322F" w:rsidP="000900B9">
            <w:pPr>
              <w:rPr>
                <w:color w:val="000000"/>
                <w:sz w:val="16"/>
                <w:szCs w:val="16"/>
              </w:rPr>
            </w:pPr>
            <w:r w:rsidRPr="00717247">
              <w:rPr>
                <w:color w:val="000000"/>
                <w:sz w:val="16"/>
                <w:szCs w:val="16"/>
              </w:rPr>
              <w:t>Search Terms</w:t>
            </w:r>
          </w:p>
        </w:tc>
        <w:tc>
          <w:tcPr>
            <w:tcW w:w="1276" w:type="dxa"/>
            <w:tcBorders>
              <w:top w:val="single" w:sz="4" w:space="0" w:color="auto"/>
              <w:left w:val="nil"/>
              <w:bottom w:val="single" w:sz="4" w:space="0" w:color="auto"/>
              <w:right w:val="nil"/>
            </w:tcBorders>
            <w:shd w:val="clear" w:color="auto" w:fill="auto"/>
            <w:noWrap/>
            <w:vAlign w:val="bottom"/>
            <w:hideMark/>
          </w:tcPr>
          <w:p w:rsidR="0067322F" w:rsidRPr="00717247" w:rsidRDefault="0067322F" w:rsidP="000900B9">
            <w:pPr>
              <w:rPr>
                <w:color w:val="000000"/>
                <w:sz w:val="16"/>
                <w:szCs w:val="16"/>
              </w:rPr>
            </w:pPr>
            <w:r w:rsidRPr="00717247">
              <w:rPr>
                <w:color w:val="000000"/>
                <w:sz w:val="16"/>
                <w:szCs w:val="16"/>
              </w:rPr>
              <w:t>Articles Returned, n</w:t>
            </w:r>
          </w:p>
        </w:tc>
      </w:tr>
      <w:tr w:rsidR="00717247" w:rsidRPr="00717247" w:rsidTr="00717247">
        <w:trPr>
          <w:trHeight w:val="414"/>
        </w:trPr>
        <w:tc>
          <w:tcPr>
            <w:tcW w:w="13325" w:type="dxa"/>
            <w:gridSpan w:val="2"/>
            <w:tcBorders>
              <w:top w:val="nil"/>
              <w:left w:val="nil"/>
              <w:bottom w:val="nil"/>
              <w:right w:val="nil"/>
            </w:tcBorders>
            <w:shd w:val="clear" w:color="auto" w:fill="auto"/>
            <w:hideMark/>
          </w:tcPr>
          <w:p w:rsidR="00717247" w:rsidRPr="00717247" w:rsidRDefault="00717247" w:rsidP="000900B9">
            <w:pPr>
              <w:rPr>
                <w:color w:val="000000"/>
                <w:sz w:val="16"/>
                <w:szCs w:val="16"/>
              </w:rPr>
            </w:pPr>
            <w:r w:rsidRPr="00717247">
              <w:rPr>
                <w:b/>
                <w:color w:val="000000"/>
                <w:sz w:val="16"/>
                <w:szCs w:val="16"/>
              </w:rPr>
              <w:t>January 2016</w:t>
            </w:r>
            <w:r w:rsidRPr="00717247">
              <w:rPr>
                <w:b/>
                <w:color w:val="000000"/>
                <w:sz w:val="16"/>
                <w:szCs w:val="16"/>
              </w:rPr>
              <w:br/>
              <w:t xml:space="preserve">EMBASE </w:t>
            </w:r>
          </w:p>
        </w:tc>
        <w:tc>
          <w:tcPr>
            <w:tcW w:w="1276" w:type="dxa"/>
            <w:tcBorders>
              <w:top w:val="nil"/>
              <w:left w:val="nil"/>
              <w:bottom w:val="nil"/>
              <w:right w:val="nil"/>
            </w:tcBorders>
            <w:shd w:val="clear" w:color="auto" w:fill="auto"/>
            <w:noWrap/>
            <w:vAlign w:val="bottom"/>
            <w:hideMark/>
          </w:tcPr>
          <w:p w:rsidR="00717247" w:rsidRPr="00717247" w:rsidRDefault="00717247" w:rsidP="000900B9">
            <w:pPr>
              <w:rPr>
                <w:color w:val="000000"/>
                <w:sz w:val="16"/>
                <w:szCs w:val="16"/>
              </w:rPr>
            </w:pP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((((((health adj2 inequalit*) or health) adj2 equit*) or health) adj2 inequit*) or (social gradient* adj3 (reduc* or difference* or disparit* or increase* or inequit* or inequalit* or equit* or disadvantage*))).mp.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1483</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(gender-based or gender-related or gender differences or gender factors).mp.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33483</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((sex or gender) adj2 (analysis or specific or difference? or factor? or inequit$ or disparit$ or inequalit$)).mp.</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359995</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((ethnic$ or race or racial or religio$ or cultur$ or minorit$ or refugee or indigenous or aboriginal) adj3 (analysis or difference$ or specific or disparit$ or inequalit$ or inequit$)).mp.</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105055</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exp geriatrics/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45976</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exp homosexuality/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218191</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exp disabled person/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27930</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((poverty or low-income or socioeconomic$ or social) adj2 (analysis or disadvantage$ or specific or difference? or factor? or inequalit$ or depriv$ or inequit$ or disparit$)).mp.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40646</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exp educational status/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48514</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10</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exp socioeconomics/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201417</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((discriminat$ or social exclu$ or social inclu$) adj3 (religion or culture or race or racial or aboriginal or indigenous or ethnic$)).mp.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1322</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((urban or rural or inner-city or slum) adj2 (difference$ or specific or analysis or inequit$ or disparit$ or inequalit$)).mp.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7056</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((resource-poor or (low-income adj countr$) or (middle income adj countr$) or africa or developing countr$ or south america or china or asia or latin america) adj2 (relevance or analysis or specific or difference or applicab$ or inequit$ or disparit$ or inequalit$)).mp.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1843</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1 or 2 or 3 or 4 or 5 or 6 or 7 or 8 or 9 or 10 or 11 or 12 or 13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746064</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exp personalized medicine/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15782</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((Abacavir or abiraterone or acetaminophen or afatinib or afutuzumab or aliskiren or amitriptyline or anastrozole or arformoterol or aripiprazole or arsenic trioxide or atazanavir or atomoxetine or atorvastatin or axitinib or azathioprine)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400</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((Belimumab or boceprevir or bosutinib or brentuximab vedotin or busulfan)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57</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((Cabazitaxel or capecitabine or carbamazepine or carglumic acid or carisoprodol or carvedilol or celecoxib or ceritinib or cetuximab or cevimeline or chloroquine or chlorpropamide or cisplatin or citalopram or clobazam or clomifene or clomipramine or clopidogrel or clozapine or codeine or crizotinib)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1258</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((Dabrafenib or dapsone or darifenacin or darunavir or dasatinib or denileukin diftitox or desflurane or desipramine or desloratadine or dexlansoprazole or dextromethorphan or diazepam or divalproex sodium or doxepin or dronedarone or drospirenone)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161</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20</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((Efavirenz or eliglustat or eltrombopag or emtricitabine or erlotinib or erythromycin or esomeprazole or ethinyl or estradiol or everolimus or exemestane) adj5 (personalised or personalized or individualised or individualized or stratified or precision or genetic* or genomic* or pharmacogenetic* or pharmacogenomic*)).mp. [mp=title, abstract, heading word, </w:t>
            </w:r>
            <w:r w:rsidRPr="00717247">
              <w:rPr>
                <w:color w:val="000000"/>
                <w:sz w:val="16"/>
                <w:szCs w:val="16"/>
              </w:rPr>
              <w:lastRenderedPageBreak/>
              <w:t xml:space="preserve">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lastRenderedPageBreak/>
              <w:t>744</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((Fampridine or fesoterodine or fluorouracil or fluoxetine or flurbiprofen or fluvoxamine or fosamprenavir or fulvestrant)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291</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((Galantamine or gefitinib or glibenclamide or glimepiride or glipizide)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127</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((Homoharringtonine or hydralazine)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10</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((ibritumomab or ibrutinib or iloperidone or imatinib or imipramine or indacaterol or indinavir or irinotecan or isoflurane or isoniazid or isosorbide dinitrate or ivabradine or ivacaftor)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507</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((lansoprazole or lapatinib or lenalidomide or letrozole or lomitapide)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86</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((mafenide or maraviroc or mercaptopurine or methylene blue or metoclopramide or metoprolol or mipomersen or modafinil or mycophenolic acid)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168</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((nalidixic acid or nefazodone or nelfinavir or nilotinib or nitrofurantoin or norelgestromin or norfloxacin or nortriptyline)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78</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((ofatumumab or olanzapine or omeprazole)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94</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((panitumumab or pantoprazole or paroxetine or pazopanib or peginterferon alfa-2b or pegloticase or perphenazine or pertuzumab or phenylacetic acid or phenytoin or pimozide or ponatinib or posaconazole or prasugrel or pravastatin or primaquine or probenecid or propafenone or propranolol or protriptyline or pyrazinamide)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344</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30</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((quinidine or quinine)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32</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((rabeprazole or ranolazine or rasburicase or regorafenib or rifampin or risperidone or ritonavir or rituximab or rosuvastatin or ruxolitinib)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271</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((Sevoflurane or sildenafil or simeprevir or sirolimus or sodium benzoate or sodium nitrite or sodium phenylbutyrate or sofosbuvir or succimer or succinylcholine or sulfadiazine or sulfamethoxazole or sulfasalazine or sulfisoxazole or sunitinib)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172</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((tamoxifen or telaprevir or telithromycin or tenofovir or terbinafine or tetrabenazine or thioguanine or thioridazine or ticagrelor or timolol or tiotropium or tipranavir or tolterodine or tositumomab or tramadol or trametinib or trastuzumab or trastuzumab emtansine or tretinoin or trimethoprim or trimipramine)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570</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((valproic acid or vandetanib or vardenafil or velaglucerase alfa or vemurafenib or venlafaxine or vitamin c or voriconazole or vortioxetine)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156</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(warfarin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895</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(zonisamide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2</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((personalised or personalized or individualised or individualized or stratified or precision or genetic* or genomic* or pharmacogenetic* or pharmacogenomic*) adj5 (medicin* or health* or drug*)).mp.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54384</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lastRenderedPageBreak/>
              <w:t>38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or/15-37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59761</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14 and 38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3037</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40</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limit 39 to (english language and yr="1999 - 2016") (</w:t>
            </w:r>
            <w:r w:rsidRPr="00717247">
              <w:rPr>
                <w:b/>
                <w:bCs/>
                <w:color w:val="000000"/>
                <w:sz w:val="16"/>
                <w:szCs w:val="16"/>
              </w:rPr>
              <w:t>2649</w:t>
            </w:r>
            <w:r w:rsidRPr="00717247">
              <w:rPr>
                <w:color w:val="000000"/>
                <w:sz w:val="16"/>
                <w:szCs w:val="16"/>
              </w:rPr>
              <w:t>)</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2649</w:t>
            </w:r>
          </w:p>
        </w:tc>
      </w:tr>
      <w:tr w:rsidR="0067322F" w:rsidRPr="00717247" w:rsidTr="000900B9">
        <w:trPr>
          <w:trHeight w:val="300"/>
        </w:trPr>
        <w:tc>
          <w:tcPr>
            <w:tcW w:w="1105" w:type="dxa"/>
            <w:tcBorders>
              <w:top w:val="nil"/>
              <w:left w:val="nil"/>
              <w:bottom w:val="nil"/>
              <w:right w:val="nil"/>
            </w:tcBorders>
            <w:shd w:val="clear" w:color="auto" w:fill="auto"/>
            <w:noWrap/>
            <w:vAlign w:val="bottom"/>
            <w:hideMark/>
          </w:tcPr>
          <w:p w:rsidR="0067322F" w:rsidRPr="00717247" w:rsidRDefault="0067322F" w:rsidP="000900B9">
            <w:pPr>
              <w:rPr>
                <w:color w:val="000000"/>
                <w:sz w:val="16"/>
                <w:szCs w:val="16"/>
              </w:rPr>
            </w:pPr>
          </w:p>
        </w:tc>
        <w:tc>
          <w:tcPr>
            <w:tcW w:w="12220" w:type="dxa"/>
            <w:tcBorders>
              <w:top w:val="nil"/>
              <w:left w:val="nil"/>
              <w:bottom w:val="nil"/>
              <w:right w:val="nil"/>
            </w:tcBorders>
            <w:shd w:val="clear" w:color="auto" w:fill="auto"/>
            <w:noWrap/>
            <w:vAlign w:val="bottom"/>
            <w:hideMark/>
          </w:tcPr>
          <w:p w:rsidR="0067322F" w:rsidRPr="00717247" w:rsidRDefault="0067322F" w:rsidP="000900B9">
            <w:pPr>
              <w:rPr>
                <w:color w:val="000000"/>
                <w:sz w:val="16"/>
                <w:szCs w:val="16"/>
              </w:rPr>
            </w:pPr>
          </w:p>
        </w:tc>
        <w:tc>
          <w:tcPr>
            <w:tcW w:w="1276" w:type="dxa"/>
            <w:tcBorders>
              <w:top w:val="nil"/>
              <w:left w:val="nil"/>
              <w:bottom w:val="nil"/>
              <w:right w:val="nil"/>
            </w:tcBorders>
            <w:shd w:val="clear" w:color="auto" w:fill="auto"/>
            <w:noWrap/>
            <w:vAlign w:val="bottom"/>
            <w:hideMark/>
          </w:tcPr>
          <w:p w:rsidR="0067322F" w:rsidRPr="00717247" w:rsidRDefault="0067322F" w:rsidP="000900B9">
            <w:pPr>
              <w:rPr>
                <w:color w:val="000000"/>
                <w:sz w:val="16"/>
                <w:szCs w:val="16"/>
              </w:rPr>
            </w:pPr>
          </w:p>
        </w:tc>
      </w:tr>
      <w:tr w:rsidR="00717247" w:rsidRPr="00717247" w:rsidTr="00717247">
        <w:trPr>
          <w:trHeight w:val="349"/>
        </w:trPr>
        <w:tc>
          <w:tcPr>
            <w:tcW w:w="13325" w:type="dxa"/>
            <w:gridSpan w:val="2"/>
            <w:tcBorders>
              <w:top w:val="nil"/>
              <w:left w:val="nil"/>
              <w:bottom w:val="nil"/>
              <w:right w:val="nil"/>
            </w:tcBorders>
            <w:shd w:val="clear" w:color="auto" w:fill="auto"/>
            <w:hideMark/>
          </w:tcPr>
          <w:p w:rsidR="00717247" w:rsidRPr="00717247" w:rsidRDefault="00717247" w:rsidP="000900B9">
            <w:pPr>
              <w:rPr>
                <w:b/>
                <w:bCs/>
                <w:color w:val="000000"/>
                <w:sz w:val="16"/>
                <w:szCs w:val="16"/>
              </w:rPr>
            </w:pPr>
            <w:r w:rsidRPr="00717247">
              <w:rPr>
                <w:b/>
                <w:color w:val="000000"/>
                <w:sz w:val="16"/>
                <w:szCs w:val="16"/>
              </w:rPr>
              <w:t>January 2016</w:t>
            </w:r>
            <w:r w:rsidRPr="00717247">
              <w:rPr>
                <w:b/>
                <w:color w:val="000000"/>
                <w:sz w:val="16"/>
                <w:szCs w:val="16"/>
              </w:rPr>
              <w:br/>
              <w:t xml:space="preserve">MEDLINE (Ovid) </w:t>
            </w:r>
          </w:p>
        </w:tc>
        <w:tc>
          <w:tcPr>
            <w:tcW w:w="1276" w:type="dxa"/>
            <w:tcBorders>
              <w:top w:val="nil"/>
              <w:left w:val="nil"/>
              <w:bottom w:val="nil"/>
              <w:right w:val="nil"/>
            </w:tcBorders>
            <w:shd w:val="clear" w:color="auto" w:fill="auto"/>
            <w:noWrap/>
            <w:vAlign w:val="bottom"/>
            <w:hideMark/>
          </w:tcPr>
          <w:p w:rsidR="00717247" w:rsidRPr="00717247" w:rsidRDefault="00717247" w:rsidP="000900B9">
            <w:pPr>
              <w:rPr>
                <w:color w:val="000000"/>
                <w:sz w:val="16"/>
                <w:szCs w:val="16"/>
              </w:rPr>
            </w:pP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((((((health adj2 inequalit*) or health) adj2 equit*) or health) adj2 inequit*) or (social gradient* adj3 (reduc* or difference* or disparit* or increase* or inequit* or inequalit* or equit* or disadvantage*))).mp. [mp=title, abstract, heading word, drug trade name, original title, device manufacturer, drug manufacturer, device trade name, keyword]</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1117</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(gender-based or gender-related or gender differences or gender factors).mp.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22298</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((sex or gender) adj2 (analysis or specific or difference? or factor? or inequit$ or disparit$ or inequalit$)).mp.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276176</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 ((ethnic$ or race or racial or religio$ or cultur$ or minorit$ or refugee or indigenous or aboriginal) adj3 (analysis or difference$ or specific or disparit$ or inequalit$ or inequit$)).mp.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45975</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exp geriatrics/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27790</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exp homosexuality/</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23970</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exp disabled person/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53716</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((poverty or low-income or socioeconomic$ or social) adj2 (analysis or disadvantage$ or specific or difference? or factor? or inequalit$ or depriv$ or inequit$ or disparit$)).mp.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144892</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exp educational status/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42933</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10</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exp economics/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519938</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((discriminat$ or social exclu$ or social inclu$) adj3 (religion or culture or race or racial or aboriginal or indigenous or ethnic$)).mp.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1055</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((urban or rural or inner-city or slum) adj2 (difference$ or specific or analysis or inequit$ or disparit$ or inequalit$)).mp.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2529</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((resource-poor or (low-income adj countr$) or (middle income adj countr$) or africa or developing countr$ or south america or china or asia or latin america) adj2 (relevance or analysis or specific or difference or applicab$ or inequit$ or disparit$ or inequalit$)).mp.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1323</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1 or 2 or 3 or 4 or 5 or 6 or 7 or 8 or 9 or 10 or 11 or 12 or 13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1058614</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exp personalized medicine/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7250</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((Abacavir or abiraterone or acetaminophen or afatinib or afutuzumab or aliskiren or amitriptyline or anastrozole or arformoterol or aripiprazole or arsenic trioxide or atazanavir or atomoxetine or atorvastatin or axitinib or azathioprine)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198</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((Belimumab or boceprevir or bosutinib or brentuximab vedotin or busulfan)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26</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 ((Cabazitaxel or capecitabine or carbamazepine or carglumic acid or carisoprodol or carvedilol or celecoxib or ceritinib or cetuximab or cevimeline or chloroquine or chlorpropamide or cisplatin or citalopram or clobazam or clomifene or clomipramine or clopidogrel or clozapine or codeine or crizotinib)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610</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((Dabrafenib or dapsone or darifenacin or darunavir or dasatinib or denileukin diftitox or desflurane or desipramine or desloratadine or dexlansoprazole or dextromethorphan or diazepam or divalproex sodium or doxepin or dronedarone or drospirenone)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100</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20</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((Efavirenz or eliglustat or eltrombopag or emtricitabine or erlotinib or erythromycin or esomeprazole or ethinyl or estradiol or everolimus or exemestane) adj5 (personalised or personalized or individualised or individualized or stratified or precision or genetic* or genomic* or pharmacogenetic* or pharmacogenomic*)).mp. [mp=title, abstract, heading word, </w:t>
            </w:r>
            <w:r w:rsidRPr="00717247">
              <w:rPr>
                <w:color w:val="000000"/>
                <w:sz w:val="16"/>
                <w:szCs w:val="16"/>
              </w:rPr>
              <w:lastRenderedPageBreak/>
              <w:t xml:space="preserve">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lastRenderedPageBreak/>
              <w:t>656</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((Fampridine or fesoterodine or fluorouracil or fluoxetine or flurbiprofen or fluvoxamine or fosamprenavir or fulvestrant)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519</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((Galantamine or gefitinib or glibenclamide or glimepiride or glipizide)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24</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((Homoharringtonine or hydralazine)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12</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((ibritumomab or ibrutinib or iloperidone or imatinib or imipramine or indacaterol or indinavir or irinotecan or isoflurane or isoniazid or isosorbide dinitrate or ivabradine or ivacaftor)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289</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 ((lansoprazole or lapatinib or lenalidomide or letrozole or lomitapide)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28</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((mafenide or maraviroc or mercaptopurine or methylene blue or metoclopramide or metoprolol or mipomersen or modafinil or mycophenolic acid)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120</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((nalidixic acid or nefazodone or nelfinavir or nilotinib or nitrofurantoin or norelgestromin or norfloxacin or nortriptyline)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69</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((ofatumumab or olanzapine or omeprazole)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63</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((panitumumab or pantoprazole or paroxetine or pazopanib or peginterferon alfa-2b or pegloticase or perphenazine or pertuzumab or phenylacetic acid or phenytoin or pimozide or ponatinib or posaconazole or prasugrel or pravastatin or primaquine or probenecid or propafenone or propranolol or protriptyline or pyrazinamide)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330</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30</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((quinidine or quinine)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54</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((rabeprazole or ranolazine or rasburicase or regorafenib or rifampin or risperidone or ritonavir or rituximab or rosuvastatin or ruxolitinib)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287</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((Sevoflurane or sildenafil or simeprevir or sirolimus or sodium benzoate or sodium nitrite or sodium phenylbutyrate or sofosbuvir or succimer or succinylcholine or sulfadiazine or sulfamethoxazole or sulfasalazine or sulfisoxazole or sunitinib)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144</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((tamoxifen or telaprevir or telithromycin or tenofovir or terbinafine or tetrabenazine or thioguanine or thioridazine or ticagrelor or timolol or tiotropium or tipranavir or tolterodine or tositumomab or tramadol or trametinib or trastuzumab or trastuzumab emtansine or tretinoin or trimethoprim or trimipramine)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1689</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((valproic acid or vandetanib or vardenafil or velaglucerase alfa or vemurafenib or venlafaxine or vitamin c or voriconazole or vortioxetine)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177</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(warfarin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568</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(zonisamide adj5 (personalised or personalized or individualised or individualized or stratified or precision or genetic* or genomic* or pharmacogenetic* or pharmacogenomic*)).mp. [mp=title, abstract, heading word, drug trade name, original title, device manufacturer, drug manufacturer, device trade name, keyword]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((personalised or personalized or individualised or individualized or stratified or precision or genetic* or genomic* or pharmacogenetic* or pharmacogenomic*) adj5 (medicin* or health* or drug*)).mp.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54384</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lastRenderedPageBreak/>
              <w:t>38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or/15-37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35595</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14 and 38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2375</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40</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limit 39 to (yr="1999 - 2016")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1898</w:t>
            </w:r>
          </w:p>
        </w:tc>
      </w:tr>
      <w:tr w:rsidR="0067322F" w:rsidRPr="00717247" w:rsidTr="000900B9">
        <w:trPr>
          <w:trHeight w:val="300"/>
        </w:trPr>
        <w:tc>
          <w:tcPr>
            <w:tcW w:w="1105" w:type="dxa"/>
            <w:tcBorders>
              <w:top w:val="nil"/>
              <w:left w:val="nil"/>
              <w:bottom w:val="nil"/>
              <w:right w:val="nil"/>
            </w:tcBorders>
            <w:shd w:val="clear" w:color="auto" w:fill="auto"/>
            <w:noWrap/>
            <w:vAlign w:val="bottom"/>
            <w:hideMark/>
          </w:tcPr>
          <w:p w:rsidR="0067322F" w:rsidRPr="00717247" w:rsidRDefault="0067322F" w:rsidP="000900B9">
            <w:pPr>
              <w:rPr>
                <w:color w:val="000000"/>
                <w:sz w:val="16"/>
                <w:szCs w:val="16"/>
              </w:rPr>
            </w:pPr>
          </w:p>
        </w:tc>
        <w:tc>
          <w:tcPr>
            <w:tcW w:w="12220" w:type="dxa"/>
            <w:tcBorders>
              <w:top w:val="nil"/>
              <w:left w:val="nil"/>
              <w:bottom w:val="nil"/>
              <w:right w:val="nil"/>
            </w:tcBorders>
            <w:shd w:val="clear" w:color="auto" w:fill="auto"/>
            <w:noWrap/>
            <w:vAlign w:val="bottom"/>
            <w:hideMark/>
          </w:tcPr>
          <w:p w:rsidR="0067322F" w:rsidRPr="00717247" w:rsidRDefault="0067322F" w:rsidP="000900B9">
            <w:pPr>
              <w:rPr>
                <w:color w:val="000000"/>
                <w:sz w:val="16"/>
                <w:szCs w:val="16"/>
              </w:rPr>
            </w:pPr>
          </w:p>
        </w:tc>
        <w:tc>
          <w:tcPr>
            <w:tcW w:w="1276" w:type="dxa"/>
            <w:tcBorders>
              <w:top w:val="nil"/>
              <w:left w:val="nil"/>
              <w:bottom w:val="nil"/>
              <w:right w:val="nil"/>
            </w:tcBorders>
            <w:shd w:val="clear" w:color="auto" w:fill="auto"/>
            <w:noWrap/>
            <w:vAlign w:val="bottom"/>
            <w:hideMark/>
          </w:tcPr>
          <w:p w:rsidR="0067322F" w:rsidRPr="00717247" w:rsidRDefault="0067322F" w:rsidP="000900B9">
            <w:pPr>
              <w:rPr>
                <w:color w:val="000000"/>
                <w:sz w:val="16"/>
                <w:szCs w:val="16"/>
              </w:rPr>
            </w:pPr>
          </w:p>
        </w:tc>
      </w:tr>
      <w:tr w:rsidR="00717247" w:rsidRPr="00717247" w:rsidTr="00717247">
        <w:trPr>
          <w:trHeight w:val="377"/>
        </w:trPr>
        <w:tc>
          <w:tcPr>
            <w:tcW w:w="13325" w:type="dxa"/>
            <w:gridSpan w:val="2"/>
            <w:tcBorders>
              <w:top w:val="nil"/>
              <w:left w:val="nil"/>
              <w:bottom w:val="nil"/>
              <w:right w:val="nil"/>
            </w:tcBorders>
            <w:shd w:val="clear" w:color="auto" w:fill="auto"/>
            <w:hideMark/>
          </w:tcPr>
          <w:p w:rsidR="00717247" w:rsidRPr="00717247" w:rsidRDefault="00717247" w:rsidP="000900B9">
            <w:pPr>
              <w:rPr>
                <w:b/>
                <w:bCs/>
                <w:color w:val="000000"/>
                <w:sz w:val="16"/>
                <w:szCs w:val="16"/>
              </w:rPr>
            </w:pPr>
            <w:r w:rsidRPr="00717247">
              <w:rPr>
                <w:b/>
                <w:color w:val="000000"/>
                <w:sz w:val="16"/>
                <w:szCs w:val="16"/>
              </w:rPr>
              <w:t>January 2016</w:t>
            </w:r>
            <w:r w:rsidRPr="00717247">
              <w:rPr>
                <w:b/>
                <w:color w:val="000000"/>
                <w:sz w:val="16"/>
                <w:szCs w:val="16"/>
              </w:rPr>
              <w:br/>
              <w:t xml:space="preserve">PubMed (last 6 months) </w:t>
            </w:r>
          </w:p>
        </w:tc>
        <w:tc>
          <w:tcPr>
            <w:tcW w:w="1276" w:type="dxa"/>
            <w:tcBorders>
              <w:top w:val="nil"/>
              <w:left w:val="nil"/>
              <w:bottom w:val="nil"/>
              <w:right w:val="nil"/>
            </w:tcBorders>
            <w:shd w:val="clear" w:color="auto" w:fill="auto"/>
            <w:noWrap/>
            <w:vAlign w:val="bottom"/>
            <w:hideMark/>
          </w:tcPr>
          <w:p w:rsidR="00717247" w:rsidRPr="00717247" w:rsidRDefault="00717247" w:rsidP="000900B9">
            <w:pPr>
              <w:rPr>
                <w:color w:val="000000"/>
                <w:sz w:val="16"/>
                <w:szCs w:val="16"/>
              </w:rPr>
            </w:pP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((health) AND (inequalit* or equit* or inequit*)) OR ((social gradient* and (reduc* or difference* or disparit* or increase* or inequit* or inequalit* or equit* or disadvantage*))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30275</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(gender-based or gender-related or gender differences or gender factors)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514025</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((sex or gender) and (analysis or specific or difference* or factor* or inequit* or disparit* or inequalit*))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279104</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((ethnic* or race or racial or religio* or culture* or minorit* or refugee or indigenous or aboriginal) and (analysis or difference* or specific or disparit* or inequality* or inequit*))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883967</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geriatrics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51468</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homosexuality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24614</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disabled person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56052</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((poverty or low-income or socioeconomic* or social) and (analysis or disadvantage* or specific or difference* or factor* or inequality* or depriv* or inequit* or disparit*))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478051</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educational status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58071</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10</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socioeconomics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383399</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((discriminat* or social exclu* or social inclu*) and (religion or culture or race or racial or aboriginal or indigenous or ethnic*))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11647</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((urban or rural or inner-city or slum) and (difference* or specific or analysis or inequit* or disparit* or inequality*))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123326</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((resource-poor or (low-income and countr*) or (middle income and countr*) or africa or developing countr* or south america or china or asia or latin america) and (relevance or analysis or specific or difference or applicab* or inequit* or disparit* or inequality*))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840741</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1 or 2 or 3 or 4 or 5 or 6 or 7 or 8 or 9 or 10 or 11 or 12 or 13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2739648</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personalized medicine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27424</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((Abacavir or abiraterone or acetaminophen or afatinib or afutuzumab or aliskiren or amitriptyline or anastrozole or arformoterol or aripiprazole or arsenic trioxide or atazanavir or atomoxetine or atorvastatin or axitinib or azathioprine) and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4026</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((Belimumab or boceprevir or bosutinib or brentuximab vedotin or busulfan) and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576</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((Cabazitaxel or capecitabine or carbamazepine or carglumic acid or carisoprodol or carvedilol or celecoxib or ceritinib or cetuximab or cevimeline or chloroquine or chlorpropamide or cisplatin or citalopram or clobazam or clomifene or clomipramine or clopidogrel or clozapine or codeine or crizotinib) and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12253</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((Dabrafenib or dapsone or darifenacin or darunavir or dasatinib or denileukin diftitox or desflurane or desipramine or desloratadine or dexlansoprazole or dextromethorphan or diazepam or divalproex sodium or doxepin or dronedarone or drospirenone) and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3167</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20</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((Efavirenz or eliglustat or eltrombopag or emtricitabine or erlotinib or erythromycin or esomeprazole or ethinyl or estradiol or everolimus or exemestane) and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13270</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((Fampridine or fesoterodine or fluorouracil or fluoxetine or flurbiprofen or fluvoxamine or fosamprenavir or fulvestrant)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5200</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lastRenderedPageBreak/>
              <w:t>22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((Galantamine or gefitinib or glibenclamide or glimepiride or glipizide) and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1442</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((Homoharringtonine or hydralazine) and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315</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((ibritumomab or ibrutinib or iloperidone or imatinib or imipramine or indacaterol or indinavir or irinotecan or isoflurane or isoniazid or isosorbide dinitrate or ivabradine or ivacaftor) and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5584</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((lansoprazole or lapatinib or lenalidomide or letrozole or lomitapide) and (personalised or personalized or individualised or individualized or stratified or precision or genetic or genomic or pharmacogenetic or pharmacogenomic))</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938</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((mafenide or maraviroc or mercaptopurine or methylene blue or metoclopramide or metoprolol or mipomersen or modafinil or mycophenolic acid) and (personalised or personalized or individualised or individualized or stratified or precision or genetic or genomic or pharmacogenetic or pharmacogenomic))</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2508</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((nalidixic acid or nefazodone or nelfinavir or nilotinib or nitrofurantoin or norelgestromin or norfloxacin or nortriptyline) and (personalised or personalized or individualised or individualized or stratified or precision or genetic or genomic or pharmacogenetic or pharmacogenomic))</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2042</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((ofatumumab or olanzapine or omeprazole) and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982</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((panitumumab or pantoprazole or paroxetine or pazopanib or peginterferon alfa-2b or pegloticase or perphenazine or pertuzumab or phenylacetic acid or phenytoin or pimozide or ponatinib or posaconazole or prasugrel or pravastatin or primaquine or probenecid or propafenone or propranolol or protriptyline or pyrazinamide) and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4022</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30</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((quinidine or quinine) and (personalised or personalized or individualised or individualized or stratified or precision or genetic or genomic or pharmacogenetic or pharmacogenomic))</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736</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((rabeprazole or ranolazine or rasburicase or regorafenib or rifampin or risperidone or ritonavir or rituximab or rosuvastatin or ruxolitinib) and (personalised or personalized or individualised or individualized or stratified or precision or genetic or genomic or pharmacogenetic or pharmacogenomic))</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4615</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((Sevoflurane or sildenafil or simeprevir or sirolimus or sodium benzoate or sodium nitrite or sodium phenylbutyrate or sofosbuvir or succimer or succinylcholine or sulfadiazine or sulfamethoxazole or sulfasalazine or sulfisoxazole or sunitinib) and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4379</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((tamoxifen or telaprevir or telithromycin or tenofovir or terbinafine or tetrabenazine or thioguanine or thioridazine or ticagrelor or timolol or tiotropium or tipranavir or tolterodine or tositumomab or tramadol or trametinib or trastuzumab or trastuzumab emtansine or tretinoin or trimethoprim or trimipramine) and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12879</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((valproic acid or vandetanib or vardenafil or velaglucerase alfa or vemurafenib or venlafaxine or vitamin c or voriconazole or vortioxetine) and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3988</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(warfarin and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1919</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(zonisamide and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67</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((personalised or personalized or individualised or individualized or stratified or precision or genetic or genomic or pharmacogenetic or pharmacogenomic) and (medicine or health or drug))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534951</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 or/15-37 limit (yr="09/09/2016 – 09/03/2016")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32982</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14 and 38 limit (yr="09/09/2016 – 09/03/2016")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746</w:t>
            </w:r>
          </w:p>
        </w:tc>
      </w:tr>
      <w:tr w:rsidR="0067322F" w:rsidRPr="00717247" w:rsidTr="000900B9">
        <w:trPr>
          <w:trHeight w:val="300"/>
        </w:trPr>
        <w:tc>
          <w:tcPr>
            <w:tcW w:w="1105" w:type="dxa"/>
            <w:tcBorders>
              <w:top w:val="nil"/>
              <w:left w:val="nil"/>
              <w:bottom w:val="nil"/>
              <w:right w:val="nil"/>
            </w:tcBorders>
            <w:shd w:val="clear" w:color="auto" w:fill="auto"/>
            <w:noWrap/>
            <w:vAlign w:val="bottom"/>
            <w:hideMark/>
          </w:tcPr>
          <w:p w:rsidR="0067322F" w:rsidRPr="00717247" w:rsidRDefault="0067322F" w:rsidP="000900B9">
            <w:pPr>
              <w:rPr>
                <w:color w:val="000000"/>
                <w:sz w:val="16"/>
                <w:szCs w:val="16"/>
              </w:rPr>
            </w:pPr>
          </w:p>
        </w:tc>
        <w:tc>
          <w:tcPr>
            <w:tcW w:w="12220" w:type="dxa"/>
            <w:tcBorders>
              <w:top w:val="nil"/>
              <w:left w:val="nil"/>
              <w:bottom w:val="nil"/>
              <w:right w:val="nil"/>
            </w:tcBorders>
            <w:shd w:val="clear" w:color="auto" w:fill="auto"/>
            <w:noWrap/>
            <w:vAlign w:val="bottom"/>
            <w:hideMark/>
          </w:tcPr>
          <w:p w:rsidR="0067322F" w:rsidRPr="00717247" w:rsidRDefault="0067322F" w:rsidP="000900B9">
            <w:pPr>
              <w:rPr>
                <w:color w:val="000000"/>
                <w:sz w:val="16"/>
                <w:szCs w:val="16"/>
              </w:rPr>
            </w:pPr>
          </w:p>
        </w:tc>
        <w:tc>
          <w:tcPr>
            <w:tcW w:w="1276" w:type="dxa"/>
            <w:tcBorders>
              <w:top w:val="nil"/>
              <w:left w:val="nil"/>
              <w:bottom w:val="nil"/>
              <w:right w:val="nil"/>
            </w:tcBorders>
            <w:shd w:val="clear" w:color="auto" w:fill="auto"/>
            <w:noWrap/>
            <w:vAlign w:val="bottom"/>
            <w:hideMark/>
          </w:tcPr>
          <w:p w:rsidR="0067322F" w:rsidRPr="00717247" w:rsidRDefault="0067322F" w:rsidP="000900B9">
            <w:pPr>
              <w:rPr>
                <w:color w:val="000000"/>
                <w:sz w:val="16"/>
                <w:szCs w:val="16"/>
              </w:rPr>
            </w:pPr>
          </w:p>
        </w:tc>
      </w:tr>
      <w:tr w:rsidR="00717247" w:rsidRPr="00717247" w:rsidTr="000B5A1F">
        <w:trPr>
          <w:trHeight w:val="420"/>
        </w:trPr>
        <w:tc>
          <w:tcPr>
            <w:tcW w:w="13325" w:type="dxa"/>
            <w:gridSpan w:val="2"/>
            <w:tcBorders>
              <w:top w:val="nil"/>
              <w:left w:val="nil"/>
              <w:bottom w:val="nil"/>
              <w:right w:val="nil"/>
            </w:tcBorders>
            <w:shd w:val="clear" w:color="auto" w:fill="auto"/>
            <w:vAlign w:val="center"/>
            <w:hideMark/>
          </w:tcPr>
          <w:p w:rsidR="00717247" w:rsidRPr="00717247" w:rsidRDefault="00717247" w:rsidP="000900B9">
            <w:pPr>
              <w:rPr>
                <w:color w:val="000000"/>
                <w:sz w:val="16"/>
                <w:szCs w:val="16"/>
              </w:rPr>
            </w:pPr>
            <w:r w:rsidRPr="00717247">
              <w:rPr>
                <w:b/>
                <w:color w:val="000000"/>
                <w:sz w:val="16"/>
                <w:szCs w:val="16"/>
              </w:rPr>
              <w:t>January 2016</w:t>
            </w:r>
            <w:r w:rsidRPr="00717247">
              <w:rPr>
                <w:b/>
                <w:color w:val="000000"/>
                <w:sz w:val="16"/>
                <w:szCs w:val="16"/>
              </w:rPr>
              <w:br/>
              <w:t xml:space="preserve">Web of Science </w:t>
            </w:r>
          </w:p>
        </w:tc>
        <w:tc>
          <w:tcPr>
            <w:tcW w:w="1276" w:type="dxa"/>
            <w:tcBorders>
              <w:top w:val="nil"/>
              <w:left w:val="nil"/>
              <w:bottom w:val="nil"/>
              <w:right w:val="nil"/>
            </w:tcBorders>
            <w:shd w:val="clear" w:color="auto" w:fill="auto"/>
            <w:noWrap/>
            <w:vAlign w:val="bottom"/>
            <w:hideMark/>
          </w:tcPr>
          <w:p w:rsidR="00717247" w:rsidRPr="00717247" w:rsidRDefault="00717247" w:rsidP="000900B9">
            <w:pPr>
              <w:rPr>
                <w:color w:val="000000"/>
                <w:sz w:val="16"/>
                <w:szCs w:val="16"/>
              </w:rPr>
            </w:pP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(health NEAR/2 inequalit*)</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24161</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(health near/2 equit*)</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9261</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(health near/2 inequit*)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5374</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("social gradient"* near/3 (reduc* or difference* or disparit* or increase* or inequit* or inequalit* or equit* or disadvantage*))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65</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lastRenderedPageBreak/>
              <w:t>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(“gender-based” or “gender-related” or “gender differences” or “gender factors”)</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175936</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((sex or gender) near/1 (inequity or disparity or inequality))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15402</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((ethnic$ or race or racial or religio$ or cultur$ or minorit$ or refugee or indigenous or aboriginal) near/3 (analysis or difference$ or specific or disparit$ or inequalit$ or inequit$))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232013</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(geriatrics OR homosexuality OR "disabled person")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429561</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((poverty or low-income or socioeconomic$ or social) near/2 (analysis or disadvantage$ or specific or difference? or factor? or inequalit$ or depriv$ or inequit$ or disparit$))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372535</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10</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("educational status" OR socioeconomics)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60882</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((discriminat$ or "social exclu$" or "social inclu$") near/3 (religion or culture or race or racial or aboriginal or indigenous or ethnic$))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164</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((urban or rural or "inner-city" or slum) near/2 (difference$ or specific or analysis or inequit$ or disparit$ or inequalit$))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31356</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(("resource-poor" or ("low-income" near/1 countr$) or ("middle income" near/1 countr$) or africa or "developing countr$" or "south america" or china or asia or "latin america") near/2 (relevance or analysis or specific or difference or applicab$ or inequit$ or disparit$ or inequalit$))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35709</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(#13 OR #12 OR #11 OR #10 OR #9 OR #8 OR #7 OR #6 OR #5 OR #4 OR #3 OR #2 OR #1)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1569969</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(personalized medicine)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44905</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((Abacavir or abiraterone or acetaminophen or afatinib or afutuzumab or aliskiren or amitriptyline or anastrozole or arformoterol or aripiprazole or “arsenic trioxide” or atazanavir or atomoxetine or atorvastatin or axitinib or azathioprine)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720</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 ((Belimumab or boceprevir or bosutinib or "brentuximab vedotin" or busulfan)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86</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((Cabazitaxel or capecitabine or carbamazepine or "carglumic acid" or carisoprodol or carvedilol or celecoxib or ceritinib or cetuximab or cevimeline or chloroquine or chlorpropamide or cisplatin or citalopram or clobazam or clomifene or clomipramine or clopidogrel or clozapine or codeine or crizotinib)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1977</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((Dabrafenib or dapsone or darifenacin or darunavir or dasatinib or "denileukin diftitox" or desflurane or desipramine or desloratadine or dexlansoprazole or dextromethorphan or diazepam or "divalproex sodium" or doxepin or dronedarone or drospirenone)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192</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20</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((Efavirenz or eliglustat or eltrombopag or emtricitabine or erlotinib or erythromycin or esomeprazole or ethinyl or estradiol or everolimus or exemestane)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1299</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((Fampridine or fesoterodine or fluorouracil or fluoxetine or flurbiprofen or fluvoxamine or fosamprenavir or fulvestrant)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853</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((Galantamine or gefitinib or glibenclamide or glimepiride or glipizide)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853</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((Homoharringtonine or hydralazine)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31</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((ibritumomab or ibrutinib or iloperidone or imatinib or imipramine or indacaterol or indinavir or irinotecan or isoflurane or isoniazid or “isosorbide dinitrate” or ivabradine or ivacaftor)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836</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((lansoprazole or lapatinib or lenalidomide or letrozole or lomitapide)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106</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((mafenide or maraviroc or mercaptopurine or “methylene blue” or metoclopramide or metoprolol or mipomersen or modafinil or “mycophenolic acid”)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604</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((“nalidixic acid” or nefazodone or nelfinavir or nilotinib or nitrofurantoin or norelgestromin or norfloxacin or nortriptyline)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223</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((ofatumumab or olanzapine or omeprazole)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287</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((panitumumab or pantoprazole or paroxetine or pazopanib or “peginterferon alfa-2b” or pegloticase or perphenazine or pertuzumab or “phenylacetic acid” or phenytoin or pimozide or </w:t>
            </w:r>
            <w:r w:rsidRPr="00717247">
              <w:rPr>
                <w:color w:val="000000"/>
                <w:sz w:val="16"/>
                <w:szCs w:val="16"/>
              </w:rPr>
              <w:lastRenderedPageBreak/>
              <w:t xml:space="preserve">ponatinib or posaconazole or prasugrel or pravastatin or primaquine or probenecid or propafenone or propranolol or protriptyline or pyrazinamide)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lastRenderedPageBreak/>
              <w:t>703</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30</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((quinidine or quinine)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134</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((rabeprazole or ranolazine or rasburicase or regorafenib or rifampin or risperidone or ritonavir or rituximab or rosuvastatin or ruxolitinib)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1046</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((Sevoflurane or sildenafil or simeprevir or sirolimus or “sodium benzoate” or “sodium nitrite” or “sodium phenylbutyrate” or sofosbuvir or succimer or succinylcholine or sulfadiazine or sulfamethoxazole or sulfasalazine or sulfisoxazole or sunitinib)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810</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((tamoxifen or telaprevir or telithromycin or tenofovir or terbinafine or tetrabenazine or thioguanine or thioridazine or ticagrelor or timolol or tiotropium or tipranavir or tolterodine or tositumomab or tramadol or trametinib or trastuzumab or “trastuzumab emtansine” or tretinoin or trimethoprim or trimipramine)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5745</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((valproic acid or vandetanib or vardenafil or “velaglucerase alfa” or vemurafenib or venlafaxine or “vitamin c” or voriconazole or vortioxetine)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740</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(warfarin near/5 (personalised or personalized or individualised or individualized or stratified or precision or genetic* or genomic* or pharmacogenetic* or pharmacogenomic*))</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1446</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(zonisamide near/5 (personalised or personalized or individualised or individualized or stratified or precision or genetic* or genomic* or pharmacogenetic* or pharmacogenomic*))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3</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((personalised or personalized or individualised or individualized or stratified or precision or genetic or genomic or pharmacogenetic or pharmacogenomic) near/5 (medicine or health or drug))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190144</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or/15-37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216471</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14 and 38 (yr="1999 - 2016")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2101</w:t>
            </w:r>
          </w:p>
        </w:tc>
      </w:tr>
      <w:tr w:rsidR="0067322F" w:rsidRPr="00717247" w:rsidTr="000900B9">
        <w:trPr>
          <w:trHeight w:val="300"/>
        </w:trPr>
        <w:tc>
          <w:tcPr>
            <w:tcW w:w="1105" w:type="dxa"/>
            <w:tcBorders>
              <w:top w:val="nil"/>
              <w:left w:val="nil"/>
              <w:bottom w:val="nil"/>
              <w:right w:val="nil"/>
            </w:tcBorders>
            <w:shd w:val="clear" w:color="auto" w:fill="auto"/>
            <w:noWrap/>
            <w:vAlign w:val="bottom"/>
            <w:hideMark/>
          </w:tcPr>
          <w:p w:rsidR="0067322F" w:rsidRPr="00717247" w:rsidRDefault="0067322F" w:rsidP="000900B9">
            <w:pPr>
              <w:rPr>
                <w:color w:val="000000"/>
                <w:sz w:val="16"/>
                <w:szCs w:val="16"/>
              </w:rPr>
            </w:pP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p>
        </w:tc>
        <w:tc>
          <w:tcPr>
            <w:tcW w:w="1276" w:type="dxa"/>
            <w:tcBorders>
              <w:top w:val="nil"/>
              <w:left w:val="nil"/>
              <w:bottom w:val="nil"/>
              <w:right w:val="nil"/>
            </w:tcBorders>
            <w:shd w:val="clear" w:color="auto" w:fill="auto"/>
            <w:noWrap/>
            <w:vAlign w:val="bottom"/>
            <w:hideMark/>
          </w:tcPr>
          <w:p w:rsidR="0067322F" w:rsidRPr="00717247" w:rsidRDefault="0067322F" w:rsidP="000900B9">
            <w:pPr>
              <w:rPr>
                <w:color w:val="000000"/>
                <w:sz w:val="16"/>
                <w:szCs w:val="16"/>
              </w:rPr>
            </w:pPr>
          </w:p>
        </w:tc>
      </w:tr>
      <w:tr w:rsidR="00717247" w:rsidRPr="00717247" w:rsidTr="00717247">
        <w:trPr>
          <w:trHeight w:val="604"/>
        </w:trPr>
        <w:tc>
          <w:tcPr>
            <w:tcW w:w="13325" w:type="dxa"/>
            <w:gridSpan w:val="2"/>
            <w:tcBorders>
              <w:top w:val="nil"/>
              <w:left w:val="nil"/>
              <w:bottom w:val="nil"/>
              <w:right w:val="nil"/>
            </w:tcBorders>
            <w:shd w:val="clear" w:color="auto" w:fill="auto"/>
            <w:vAlign w:val="center"/>
            <w:hideMark/>
          </w:tcPr>
          <w:p w:rsidR="00717247" w:rsidRPr="00717247" w:rsidRDefault="00717247" w:rsidP="000900B9">
            <w:pPr>
              <w:rPr>
                <w:color w:val="000000"/>
                <w:sz w:val="16"/>
                <w:szCs w:val="16"/>
              </w:rPr>
            </w:pPr>
            <w:r w:rsidRPr="00717247">
              <w:rPr>
                <w:b/>
                <w:color w:val="000000"/>
                <w:sz w:val="16"/>
                <w:szCs w:val="16"/>
              </w:rPr>
              <w:t>January 2016</w:t>
            </w:r>
            <w:r w:rsidRPr="00717247">
              <w:rPr>
                <w:b/>
                <w:color w:val="000000"/>
                <w:sz w:val="16"/>
                <w:szCs w:val="16"/>
              </w:rPr>
              <w:br/>
              <w:t xml:space="preserve">Cochrane CENTRAL and Cochrane Methods </w:t>
            </w:r>
          </w:p>
        </w:tc>
        <w:tc>
          <w:tcPr>
            <w:tcW w:w="1276" w:type="dxa"/>
            <w:tcBorders>
              <w:top w:val="nil"/>
              <w:left w:val="nil"/>
              <w:bottom w:val="nil"/>
              <w:right w:val="nil"/>
            </w:tcBorders>
            <w:shd w:val="clear" w:color="auto" w:fill="auto"/>
            <w:noWrap/>
            <w:vAlign w:val="bottom"/>
            <w:hideMark/>
          </w:tcPr>
          <w:p w:rsidR="00717247" w:rsidRPr="00717247" w:rsidRDefault="00717247" w:rsidP="000900B9">
            <w:pPr>
              <w:rPr>
                <w:color w:val="000000"/>
                <w:sz w:val="16"/>
                <w:szCs w:val="16"/>
              </w:rPr>
            </w:pP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(social gradient* near/3 (reduc* or difference* or disparit* or increase* or inequit* or inequalit* or equit* or disadvantage*)):ti,ab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3</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(health near/2 (inequalit* or equit* or inequit*)):ti,ab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135</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(gender-based or gender-related or gender differences or gender factors):ti,ab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6119</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((sex or gender) near/2 (analysis or specific or difference? or factor? or inequit$ or disparit$ or inequalit$)):ti,ab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2731</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((ethnic$ or race or racial or religio$ or cultur$ or minorit$ or refugee or indigenous or aboriginal) adj3 (analysis or difference$ or specific or disparit$ or inequalit$ or inequit$)):ti,ab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0</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MeSH descriptor: [Geriatrics] explode all trees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215</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MeSH descriptor: [Homosexuality] explode all trees</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375</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MeSH descriptor: [Disabled Persons] explode all trees</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1013</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((poverty or low-income or socioeconomic$ or social) near/2 (analysis or disadvantage$ or specific or difference? or factor? or inequalit$ or depriv$ or inequit$ or disparit$)):ti,ab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582</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10</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MeSH descriptor: [Educational Status] explode all trees (1264)</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1264</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MeSH descriptor: [Socioeconomic Factors] explode all trees (7840)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7840</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((discriminat$ or social exclu$ or social inclu$) near/3 (religion or culture or race or racial or aboriginal or indigenous or ethnic$)):ti,ab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0</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(urban or rural or inner-city or slum) near/2 (difference$ or specific or analysis or inequit$ or disparit$ or inequalit$):ti,ab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12</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lastRenderedPageBreak/>
              <w:t>14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(resource-poor or (low-income adj countr$) or (middle income adj countr$) or africa or developing countr$ or south america or china or asia or latin america) near/2 (relevance or analysis or specific or difference or applicab$ or inequit$ or disparit$ or inequalit$):ti,ab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0</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MeSH descriptor: [Precision Medicine] explode all trees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0</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((Abacavir or abiraterone or acetaminophen or afatinib or afutuzumab or aliskiren or amitriptyline or anastrozole or arformoterol or aripiprazole or arsenic trioxide or atazanavir or atomoxetine or atorvastatin or axitinib or azathioprine) near/5 (personalised or personalized or individualised or individualized or stratified or precision or genetic* or genomic* or pharmacogenetic* or pharmacogenomic*)):ti,ab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34</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((Belimumab or boceprevir or bosutinib or brentuximab vedotin or busulfan) near/5 (personalised or personalized or individualised or individualized or stratified or precision or genetic* or genomic* or pharmacogenetic* or pharmacogenomic*)):ti,ab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4</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18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((Cabazitaxel or capecitabine or carbamazepine or carglumic acid or carisoprodol or carvedilol or celecoxib or ceritinib or cetuximab or cevimeline or chloroquine or chlorpropamide or cisplatin or citalopram or clobazam or clomifene or clomipramine or clopidogrel or clozapine or codeine or crizotinib) near/5 (personalised or personalized or individualised or individualized or stratified or precision or genetic* or genomic* or pharmacogenetic* or pharmacogenomic*)):ti,ab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90</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19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((Dabrafenib or dapsone or darifenacin or darunavir or dasatinib or denileukin diftitox or desflurane or desipramine or desloratadine or dexlansoprazole or dextromethorphan or diazepam or divalproex sodium or doxepin or dronedarone or drospirenone) near/5 (personalised or personalized or individualised or individualized or stratified or precision or genetic* or genomic* or pharmacogenetic* or pharmacogenomic*)):ti,ab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9</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20</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((Efavirenz or eliglustat or eltrombopag or emtricitabine or erlotinib or erythromycin or esomeprazole or ethinyl or estradiol or everolimus or exemestane) near/5 (personalised or personalized or individualised or individualized or stratified or precision or genetic* or genomic* or pharmacogenetic* or pharmacogenomic*)):ti,ab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40</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((Fampridine or fesoterodine or fluorouracil or fluoxetine or flurbiprofen or fluvoxamine or fosamprenavir or fulvestrant) near/5 (personalised or personalized or individualised or individualized or stratified or precision or genetic* or genomic* or pharmacogenetic* or pharmacogenomic*)):ti,ab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19</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((Galantamine or gefitinib or glibenclamide or glimepiride or glipizide) near/5 (personalised or personalized or individualised or individualized or stratified or precision or genetic* or genomic* or pharmacogenetic* or pharmacogenomic*)):ti,ab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2</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((Homoharringtonine or hydralazine) near/5 (personalised or personalized or individualised or individualized or stratified or precision or genetic* or genomic* or pharmacogenetic* or pharmacogenomic*)):ti,ab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0</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((ibritumomab or ibrutinib or iloperidone or imatinib or imipramine or indacaterol or indinavir or irinotecan or isoflurane or isoniazid or isosorbide dinitrate or ivabradine or ivacaftor) near/5 (personalised or personalized or individualised or individualized or stratified or precision or genetic* or genomic* or pharmacogenetic* or pharmacogenomic*)):ti,ab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29</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((lansoprazole or lapatinib or lenalidomide or letrozole or lomitapide) near/5 (personalised or personalized or individualised or individualized or stratified or precision or genetic* or genomic* or pharmacogenetic* or pharmacogenomic*)):ti,ab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10</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((mafenide or maraviroc or mercaptopurine or methylene blue or metoclopramide or metoprolol or mipomersen or modafinil or mycophenolic acid) near/5 (personalised or personalized or individualised or individualized or stratified or precision or genetic* or genomic* or pharmacogenetic* or pharmacogenomic*)):ti,ab  (8)</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8</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((nalidixic acid or nefazodone or nelfinavir or nilotinib or nitrofurantoin or norelgestromin or norfloxacin or nortriptyline) near/5 (personalised or personalized or individualised or individualized or stratified or precision or genetic* or genomic* or pharmacogenetic* or pharmacogenomic*)):ti,ab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5</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28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((ofatumumab or olanzapine or omeprazole) near/5 (personalised or personalized or individualised or individualized or stratified or precision or genetic* or genomic* or pharmacogenetic* or pharmacogenomic*)):ti,ab  (10)</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10</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29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(panitumumab or pantoprazole or paroxetine or pazopanib or peginterferon alfa-2b or pegloticase or perphenazine or pertuzumab or phenylacetic acid or phenytoin or pimozide or ponatinib or posaconazole or prasugrel or pravastatin or primaquine or probenecid or propafenone or propranolol or protriptyline or pyrazinamide) near/5 (personalised or personalized or individualised or individualized or stratified or precision or genetic* or genomic* or pharmacogenetic* or pharmacogenomic*)):ti,ab  (35)</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35</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30</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((quinidine or quinine) near/5 (personalised or personalized or individualised or individualized or stratified or precision or genetic* or genomic* or pharmacogenetic* or pharmacogenomic*)):ti,ab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4</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31</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((rabeprazole or ranolazine or rasburicase or regorafenib or rifampin or risperidone or ritonavir or rituximab or rosuvastatin or ruxolitinib) near/5 (personalised or personalized or individualised or individualized or stratified or precision or genetic* or genomic* or pharmacogenetic* or pharmacogenomic*)):ti,ab  (23)</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23</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32</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((Sevoflurane or sildenafil or simeprevir or sirolimus or sodium benzoate or sodium nitrite or sodium phenylbutyrate or sofosbuvir or succimer or succinylcholine or sulfadiazine or sulfamethoxazole or sulfasalazine or sulfisoxazole or sunitinib) near/5 (personalised or personalized or individualised or individualized or stratified or precision or genetic* or genomic* or pharmacogenetic* or pharmacogenomic*)):ti,ab  (11)</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11</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33</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((tamoxifen or telaprevir or telithromycin or tenofovir or terbinafine or tetrabenazine or thioguanine or thioridazine or ticagrelor or timolol or tiotropium or tipranavir or tolterodine or tositumomab or tramadol or trametinib or trastuzumab or trastuzumab emtansine or tretinoin or trimethoprim or trimipramine) near/5 (personalised or personalized or individualised or individualized or stratified or precision or genetic* or genomic* or pharmacogenetic* or pharmacogenomic*)):ti,ab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39</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34</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((valproic acid or vandetanib or vardenafil or velaglucerase alfa or vemurafenib or venlafaxine or vitamin c or voriconazole or vortioxetine) near/5 (personalised or personalized or individualised or individualized or stratified or precision or genetic* or genomic* or pharmacogenetic* or pharmacogenomic*)):ti,ab  (9)</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9</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lastRenderedPageBreak/>
              <w:t>35</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(warfarin near/5 (personalised or personalized or individualised or individualized or stratified or precision or genetic* or genomic* or pharmacogenetic* or pharmacogenomic*)):ti,ab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53</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36</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(zonisamide near/5 (personalised or personalized or individualised or individualized or stratified or precision or genetic* or genomic* or pharmacogenetic* or pharmacogenomic*)):ti,ab</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0</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37</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((personalised or personalized or individualised or individualized or stratified or precision or genetic* or genomic* or pharmacogenetic* or pharmacogenomic*) near/5 (medicin* or health* or drug*)):ti,ab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1114</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38</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#1 or #2 or #3 or #4 or #5 or #6 or #7 or #8 or #9 or #10 or #11 or #12 or #13 or #14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17070</w:t>
            </w:r>
          </w:p>
        </w:tc>
      </w:tr>
      <w:tr w:rsidR="0067322F" w:rsidRPr="00717247" w:rsidTr="000900B9">
        <w:trPr>
          <w:trHeight w:val="300"/>
        </w:trPr>
        <w:tc>
          <w:tcPr>
            <w:tcW w:w="1105" w:type="dxa"/>
            <w:tcBorders>
              <w:top w:val="nil"/>
              <w:left w:val="nil"/>
              <w:bottom w:val="nil"/>
              <w:right w:val="nil"/>
            </w:tcBorders>
            <w:shd w:val="clear" w:color="000000" w:fill="DCE6F1"/>
            <w:noWrap/>
            <w:vAlign w:val="center"/>
            <w:hideMark/>
          </w:tcPr>
          <w:p w:rsidR="0067322F" w:rsidRPr="00717247" w:rsidRDefault="0067322F" w:rsidP="000900B9">
            <w:pPr>
              <w:jc w:val="center"/>
              <w:rPr>
                <w:color w:val="000000"/>
                <w:sz w:val="16"/>
                <w:szCs w:val="16"/>
              </w:rPr>
            </w:pPr>
            <w:r w:rsidRPr="00717247">
              <w:rPr>
                <w:color w:val="000000"/>
                <w:sz w:val="16"/>
                <w:szCs w:val="16"/>
              </w:rPr>
              <w:t>39</w:t>
            </w:r>
          </w:p>
        </w:tc>
        <w:tc>
          <w:tcPr>
            <w:tcW w:w="12220" w:type="dxa"/>
            <w:tcBorders>
              <w:top w:val="nil"/>
              <w:left w:val="nil"/>
              <w:bottom w:val="nil"/>
              <w:right w:val="nil"/>
            </w:tcBorders>
            <w:shd w:val="clear" w:color="000000" w:fill="DCE6F1"/>
            <w:noWrap/>
            <w:vAlign w:val="center"/>
            <w:hideMark/>
          </w:tcPr>
          <w:p w:rsidR="0067322F" w:rsidRPr="00717247" w:rsidRDefault="0067322F" w:rsidP="000900B9">
            <w:pPr>
              <w:rPr>
                <w:color w:val="000000"/>
                <w:sz w:val="16"/>
                <w:szCs w:val="16"/>
              </w:rPr>
            </w:pPr>
            <w:r w:rsidRPr="00717247">
              <w:rPr>
                <w:color w:val="000000"/>
                <w:sz w:val="16"/>
                <w:szCs w:val="16"/>
              </w:rPr>
              <w:t xml:space="preserve">{or #15-#37} </w:t>
            </w:r>
          </w:p>
        </w:tc>
        <w:tc>
          <w:tcPr>
            <w:tcW w:w="1276" w:type="dxa"/>
            <w:tcBorders>
              <w:top w:val="nil"/>
              <w:left w:val="nil"/>
              <w:bottom w:val="nil"/>
              <w:right w:val="nil"/>
            </w:tcBorders>
            <w:shd w:val="clear" w:color="000000" w:fill="DCE6F1"/>
            <w:noWrap/>
            <w:vAlign w:val="bottom"/>
            <w:hideMark/>
          </w:tcPr>
          <w:p w:rsidR="0067322F" w:rsidRPr="00717247" w:rsidRDefault="0067322F" w:rsidP="000900B9">
            <w:pPr>
              <w:jc w:val="right"/>
              <w:rPr>
                <w:color w:val="000000"/>
                <w:sz w:val="16"/>
                <w:szCs w:val="16"/>
              </w:rPr>
            </w:pPr>
            <w:r w:rsidRPr="00717247">
              <w:rPr>
                <w:color w:val="000000"/>
                <w:sz w:val="16"/>
                <w:szCs w:val="16"/>
              </w:rPr>
              <w:t>1647</w:t>
            </w:r>
          </w:p>
        </w:tc>
      </w:tr>
      <w:tr w:rsidR="0067322F" w:rsidRPr="00717247" w:rsidTr="000900B9">
        <w:trPr>
          <w:trHeight w:val="300"/>
        </w:trPr>
        <w:tc>
          <w:tcPr>
            <w:tcW w:w="1105" w:type="dxa"/>
            <w:tcBorders>
              <w:top w:val="nil"/>
              <w:left w:val="nil"/>
              <w:bottom w:val="nil"/>
              <w:right w:val="nil"/>
            </w:tcBorders>
            <w:shd w:val="clear" w:color="auto" w:fill="auto"/>
            <w:noWrap/>
            <w:vAlign w:val="center"/>
            <w:hideMark/>
          </w:tcPr>
          <w:p w:rsidR="0067322F" w:rsidRPr="00717247" w:rsidRDefault="0067322F" w:rsidP="000900B9">
            <w:pPr>
              <w:jc w:val="center"/>
              <w:rPr>
                <w:color w:val="000000"/>
                <w:sz w:val="16"/>
                <w:szCs w:val="16"/>
              </w:rPr>
            </w:pPr>
            <w:r w:rsidRPr="00717247">
              <w:rPr>
                <w:color w:val="000000"/>
                <w:sz w:val="16"/>
                <w:szCs w:val="16"/>
              </w:rPr>
              <w:t>40</w:t>
            </w:r>
          </w:p>
        </w:tc>
        <w:tc>
          <w:tcPr>
            <w:tcW w:w="12220" w:type="dxa"/>
            <w:tcBorders>
              <w:top w:val="nil"/>
              <w:left w:val="nil"/>
              <w:bottom w:val="nil"/>
              <w:right w:val="nil"/>
            </w:tcBorders>
            <w:shd w:val="clear" w:color="auto" w:fill="auto"/>
            <w:noWrap/>
            <w:vAlign w:val="center"/>
            <w:hideMark/>
          </w:tcPr>
          <w:p w:rsidR="0067322F" w:rsidRPr="00717247" w:rsidRDefault="0067322F" w:rsidP="000900B9">
            <w:pPr>
              <w:rPr>
                <w:color w:val="000000"/>
                <w:sz w:val="16"/>
                <w:szCs w:val="16"/>
              </w:rPr>
            </w:pPr>
            <w:r w:rsidRPr="00717247">
              <w:rPr>
                <w:color w:val="000000"/>
                <w:sz w:val="16"/>
                <w:szCs w:val="16"/>
              </w:rPr>
              <w:t xml:space="preserve">#38 and #39 </w:t>
            </w:r>
          </w:p>
        </w:tc>
        <w:tc>
          <w:tcPr>
            <w:tcW w:w="1276" w:type="dxa"/>
            <w:tcBorders>
              <w:top w:val="nil"/>
              <w:left w:val="nil"/>
              <w:bottom w:val="nil"/>
              <w:right w:val="nil"/>
            </w:tcBorders>
            <w:shd w:val="clear" w:color="auto" w:fill="auto"/>
            <w:noWrap/>
            <w:vAlign w:val="bottom"/>
            <w:hideMark/>
          </w:tcPr>
          <w:p w:rsidR="0067322F" w:rsidRPr="00717247" w:rsidRDefault="0067322F" w:rsidP="000900B9">
            <w:pPr>
              <w:jc w:val="right"/>
              <w:rPr>
                <w:color w:val="000000"/>
                <w:sz w:val="16"/>
                <w:szCs w:val="16"/>
              </w:rPr>
            </w:pPr>
            <w:r w:rsidRPr="00717247">
              <w:rPr>
                <w:color w:val="000000"/>
                <w:sz w:val="16"/>
                <w:szCs w:val="16"/>
              </w:rPr>
              <w:t>50</w:t>
            </w:r>
          </w:p>
        </w:tc>
      </w:tr>
    </w:tbl>
    <w:p w:rsidR="0067322F" w:rsidRDefault="0067322F" w:rsidP="0067322F">
      <w:pPr>
        <w:rPr>
          <w:sz w:val="22"/>
        </w:rPr>
      </w:pPr>
    </w:p>
    <w:p w:rsidR="0067322F" w:rsidRDefault="0067322F" w:rsidP="0067322F">
      <w:pPr>
        <w:rPr>
          <w:sz w:val="22"/>
        </w:rPr>
      </w:pPr>
      <w:r>
        <w:rPr>
          <w:sz w:val="22"/>
        </w:rPr>
        <w:br w:type="page"/>
      </w:r>
    </w:p>
    <w:p w:rsidR="0067322F" w:rsidRDefault="00AB14CC" w:rsidP="0067322F">
      <w:pPr>
        <w:pStyle w:val="Caption"/>
        <w:rPr>
          <w:sz w:val="22"/>
        </w:rPr>
      </w:pPr>
      <w:bookmarkStart w:id="9" w:name="_Ref468451611"/>
      <w:r>
        <w:rPr>
          <w:sz w:val="22"/>
        </w:rPr>
        <w:lastRenderedPageBreak/>
        <w:t xml:space="preserve">Supplementary </w:t>
      </w:r>
      <w:r w:rsidR="0067322F" w:rsidRPr="0024071F">
        <w:rPr>
          <w:sz w:val="22"/>
        </w:rPr>
        <w:t xml:space="preserve">Table </w:t>
      </w:r>
      <w:r w:rsidR="006765BF">
        <w:rPr>
          <w:sz w:val="22"/>
        </w:rPr>
        <w:t>S3</w:t>
      </w:r>
      <w:bookmarkEnd w:id="8"/>
      <w:bookmarkEnd w:id="9"/>
      <w:r w:rsidR="0067322F" w:rsidRPr="0024071F">
        <w:rPr>
          <w:sz w:val="22"/>
        </w:rPr>
        <w:t xml:space="preserve"> Inclusion criteria</w:t>
      </w:r>
    </w:p>
    <w:tbl>
      <w:tblPr>
        <w:tblStyle w:val="TableGrid"/>
        <w:tblW w:w="0" w:type="auto"/>
        <w:tblLook w:val="04A0" w:firstRow="1" w:lastRow="0" w:firstColumn="1" w:lastColumn="0" w:noHBand="0" w:noVBand="1"/>
      </w:tblPr>
      <w:tblGrid>
        <w:gridCol w:w="1990"/>
        <w:gridCol w:w="6220"/>
        <w:gridCol w:w="5964"/>
      </w:tblGrid>
      <w:tr w:rsidR="0067322F" w:rsidTr="000900B9">
        <w:trPr>
          <w:trHeight w:val="416"/>
        </w:trPr>
        <w:tc>
          <w:tcPr>
            <w:tcW w:w="1990" w:type="dxa"/>
            <w:shd w:val="clear" w:color="auto" w:fill="D9D9D9" w:themeFill="background1" w:themeFillShade="D9"/>
          </w:tcPr>
          <w:p w:rsidR="0067322F" w:rsidRPr="00041E6A" w:rsidRDefault="0067322F" w:rsidP="000900B9">
            <w:pPr>
              <w:pStyle w:val="LRIGTABLETEXT"/>
              <w:keepLines/>
              <w:rPr>
                <w:rFonts w:ascii="Times New Roman" w:hAnsi="Times New Roman" w:cs="Times New Roman"/>
                <w:sz w:val="22"/>
                <w:szCs w:val="22"/>
              </w:rPr>
            </w:pPr>
            <w:r>
              <w:rPr>
                <w:rFonts w:ascii="Times New Roman" w:hAnsi="Times New Roman" w:cs="Times New Roman"/>
                <w:sz w:val="22"/>
                <w:szCs w:val="22"/>
              </w:rPr>
              <w:t>Domain</w:t>
            </w:r>
          </w:p>
        </w:tc>
        <w:tc>
          <w:tcPr>
            <w:tcW w:w="6220" w:type="dxa"/>
          </w:tcPr>
          <w:p w:rsidR="0067322F" w:rsidRPr="00041E6A" w:rsidRDefault="0067322F" w:rsidP="000900B9">
            <w:pPr>
              <w:pStyle w:val="LRIGTABLETEXT"/>
              <w:keepLines/>
              <w:rPr>
                <w:rFonts w:ascii="Times New Roman" w:hAnsi="Times New Roman" w:cs="Times New Roman"/>
                <w:sz w:val="22"/>
                <w:szCs w:val="22"/>
              </w:rPr>
            </w:pPr>
            <w:r>
              <w:rPr>
                <w:rFonts w:ascii="Times New Roman" w:hAnsi="Times New Roman" w:cs="Times New Roman"/>
                <w:sz w:val="22"/>
                <w:szCs w:val="22"/>
              </w:rPr>
              <w:t>Inclusion criteria</w:t>
            </w:r>
          </w:p>
        </w:tc>
        <w:tc>
          <w:tcPr>
            <w:tcW w:w="5964" w:type="dxa"/>
          </w:tcPr>
          <w:p w:rsidR="0067322F" w:rsidRDefault="0067322F" w:rsidP="000900B9">
            <w:pPr>
              <w:pStyle w:val="LRIGTABLETEXT"/>
              <w:keepLines/>
              <w:rPr>
                <w:rFonts w:ascii="Times New Roman" w:hAnsi="Times New Roman" w:cs="Times New Roman"/>
                <w:sz w:val="22"/>
                <w:szCs w:val="22"/>
              </w:rPr>
            </w:pPr>
            <w:r>
              <w:rPr>
                <w:rFonts w:ascii="Times New Roman" w:hAnsi="Times New Roman" w:cs="Times New Roman"/>
                <w:sz w:val="22"/>
                <w:szCs w:val="22"/>
              </w:rPr>
              <w:t>Exclusion criteria</w:t>
            </w:r>
          </w:p>
        </w:tc>
      </w:tr>
      <w:tr w:rsidR="0067322F" w:rsidTr="000900B9">
        <w:trPr>
          <w:trHeight w:val="416"/>
        </w:trPr>
        <w:tc>
          <w:tcPr>
            <w:tcW w:w="1990" w:type="dxa"/>
            <w:shd w:val="clear" w:color="auto" w:fill="D9D9D9" w:themeFill="background1" w:themeFillShade="D9"/>
          </w:tcPr>
          <w:p w:rsidR="0067322F" w:rsidRPr="00041E6A" w:rsidRDefault="0067322F" w:rsidP="000900B9">
            <w:pPr>
              <w:pStyle w:val="LRIGTABLETEXT"/>
              <w:keepLines/>
              <w:rPr>
                <w:rFonts w:ascii="Times New Roman" w:hAnsi="Times New Roman" w:cs="Times New Roman"/>
                <w:sz w:val="22"/>
                <w:szCs w:val="22"/>
              </w:rPr>
            </w:pPr>
            <w:r w:rsidRPr="00041E6A">
              <w:rPr>
                <w:rFonts w:ascii="Times New Roman" w:hAnsi="Times New Roman" w:cs="Times New Roman"/>
                <w:sz w:val="22"/>
                <w:szCs w:val="22"/>
              </w:rPr>
              <w:t>Study design</w:t>
            </w:r>
          </w:p>
        </w:tc>
        <w:tc>
          <w:tcPr>
            <w:tcW w:w="6220" w:type="dxa"/>
          </w:tcPr>
          <w:p w:rsidR="0067322F" w:rsidRPr="00041E6A" w:rsidRDefault="0067322F" w:rsidP="000900B9">
            <w:pPr>
              <w:pStyle w:val="LRIGTABLETEXT"/>
              <w:keepLines/>
              <w:rPr>
                <w:rFonts w:ascii="Times New Roman" w:hAnsi="Times New Roman" w:cs="Times New Roman"/>
                <w:sz w:val="22"/>
                <w:szCs w:val="22"/>
              </w:rPr>
            </w:pPr>
            <w:r w:rsidRPr="00041E6A">
              <w:rPr>
                <w:rFonts w:ascii="Times New Roman" w:hAnsi="Times New Roman" w:cs="Times New Roman"/>
                <w:sz w:val="22"/>
                <w:szCs w:val="22"/>
              </w:rPr>
              <w:t>Randomized controlled studies, non-randomized controlled studies, observational</w:t>
            </w:r>
            <w:r>
              <w:rPr>
                <w:rFonts w:ascii="Times New Roman" w:hAnsi="Times New Roman" w:cs="Times New Roman"/>
                <w:sz w:val="22"/>
                <w:szCs w:val="22"/>
              </w:rPr>
              <w:t xml:space="preserve"> studies and other study types</w:t>
            </w:r>
            <w:r w:rsidR="00A106CB">
              <w:rPr>
                <w:rFonts w:ascii="Times New Roman" w:hAnsi="Times New Roman" w:cs="Times New Roman"/>
                <w:sz w:val="22"/>
                <w:szCs w:val="22"/>
              </w:rPr>
              <w:t xml:space="preserve"> reported from 2006 onwards</w:t>
            </w:r>
            <w:r>
              <w:rPr>
                <w:rFonts w:ascii="Times New Roman" w:hAnsi="Times New Roman" w:cs="Times New Roman"/>
                <w:sz w:val="22"/>
                <w:szCs w:val="22"/>
              </w:rPr>
              <w:t xml:space="preserve">. </w:t>
            </w:r>
          </w:p>
        </w:tc>
        <w:tc>
          <w:tcPr>
            <w:tcW w:w="5964" w:type="dxa"/>
          </w:tcPr>
          <w:p w:rsidR="0067322F" w:rsidRPr="00041E6A" w:rsidRDefault="0067322F" w:rsidP="000900B9">
            <w:pPr>
              <w:pStyle w:val="LRIGTABLETEXT"/>
              <w:keepLines/>
              <w:rPr>
                <w:rFonts w:ascii="Times New Roman" w:hAnsi="Times New Roman" w:cs="Times New Roman"/>
                <w:sz w:val="22"/>
                <w:szCs w:val="22"/>
              </w:rPr>
            </w:pPr>
            <w:r>
              <w:rPr>
                <w:rFonts w:ascii="Times New Roman" w:hAnsi="Times New Roman" w:cs="Times New Roman"/>
                <w:sz w:val="22"/>
                <w:szCs w:val="22"/>
              </w:rPr>
              <w:t>L</w:t>
            </w:r>
            <w:r w:rsidRPr="00041E6A">
              <w:rPr>
                <w:rFonts w:ascii="Times New Roman" w:hAnsi="Times New Roman" w:cs="Times New Roman"/>
                <w:sz w:val="22"/>
                <w:szCs w:val="22"/>
              </w:rPr>
              <w:t>etters, case rep</w:t>
            </w:r>
            <w:r w:rsidR="00A106CB">
              <w:rPr>
                <w:rFonts w:ascii="Times New Roman" w:hAnsi="Times New Roman" w:cs="Times New Roman"/>
                <w:sz w:val="22"/>
                <w:szCs w:val="22"/>
              </w:rPr>
              <w:t>orts, editorials and reports of studies presented only as abstracts prior to 2010.</w:t>
            </w:r>
          </w:p>
        </w:tc>
      </w:tr>
      <w:tr w:rsidR="0067322F" w:rsidTr="000900B9">
        <w:tc>
          <w:tcPr>
            <w:tcW w:w="1990" w:type="dxa"/>
            <w:shd w:val="clear" w:color="auto" w:fill="D9D9D9" w:themeFill="background1" w:themeFillShade="D9"/>
          </w:tcPr>
          <w:p w:rsidR="0067322F" w:rsidRPr="00041E6A" w:rsidRDefault="0067322F" w:rsidP="000900B9">
            <w:pPr>
              <w:pStyle w:val="LRIGTABLETEXT"/>
              <w:keepLines/>
              <w:rPr>
                <w:rFonts w:ascii="Times New Roman" w:hAnsi="Times New Roman" w:cs="Times New Roman"/>
                <w:sz w:val="22"/>
                <w:szCs w:val="22"/>
              </w:rPr>
            </w:pPr>
            <w:r>
              <w:rPr>
                <w:rFonts w:ascii="Times New Roman" w:hAnsi="Times New Roman" w:cs="Times New Roman"/>
                <w:sz w:val="22"/>
                <w:szCs w:val="22"/>
              </w:rPr>
              <w:t>Participant</w:t>
            </w:r>
            <w:r w:rsidRPr="00041E6A">
              <w:rPr>
                <w:rFonts w:ascii="Times New Roman" w:hAnsi="Times New Roman" w:cs="Times New Roman"/>
                <w:sz w:val="22"/>
                <w:szCs w:val="22"/>
              </w:rPr>
              <w:t xml:space="preserve"> population</w:t>
            </w:r>
          </w:p>
        </w:tc>
        <w:tc>
          <w:tcPr>
            <w:tcW w:w="6220" w:type="dxa"/>
          </w:tcPr>
          <w:p w:rsidR="0067322F" w:rsidRPr="00041E6A" w:rsidRDefault="0067322F" w:rsidP="000900B9">
            <w:pPr>
              <w:pStyle w:val="LRIGTABLETEXT"/>
              <w:keepLines/>
              <w:rPr>
                <w:rFonts w:ascii="Times New Roman" w:hAnsi="Times New Roman" w:cs="Times New Roman"/>
                <w:sz w:val="22"/>
                <w:szCs w:val="22"/>
              </w:rPr>
            </w:pPr>
            <w:r>
              <w:rPr>
                <w:rFonts w:ascii="Times New Roman" w:hAnsi="Times New Roman" w:cs="Times New Roman"/>
                <w:sz w:val="22"/>
                <w:szCs w:val="22"/>
              </w:rPr>
              <w:t xml:space="preserve">Adults (≥16 years) </w:t>
            </w:r>
          </w:p>
        </w:tc>
        <w:tc>
          <w:tcPr>
            <w:tcW w:w="5964" w:type="dxa"/>
          </w:tcPr>
          <w:p w:rsidR="0067322F" w:rsidRPr="00041E6A" w:rsidRDefault="0067322F" w:rsidP="000900B9">
            <w:pPr>
              <w:pStyle w:val="LRIGTABLETEXT"/>
              <w:keepLines/>
              <w:rPr>
                <w:rFonts w:ascii="Times New Roman" w:hAnsi="Times New Roman" w:cs="Times New Roman"/>
                <w:sz w:val="22"/>
                <w:szCs w:val="22"/>
              </w:rPr>
            </w:pPr>
            <w:r>
              <w:rPr>
                <w:rFonts w:ascii="Times New Roman" w:hAnsi="Times New Roman" w:cs="Times New Roman"/>
                <w:sz w:val="22"/>
                <w:szCs w:val="22"/>
              </w:rPr>
              <w:t>Children (&lt;16 years)</w:t>
            </w:r>
          </w:p>
        </w:tc>
      </w:tr>
      <w:tr w:rsidR="0067322F" w:rsidTr="000900B9">
        <w:tc>
          <w:tcPr>
            <w:tcW w:w="1990" w:type="dxa"/>
            <w:shd w:val="clear" w:color="auto" w:fill="D9D9D9" w:themeFill="background1" w:themeFillShade="D9"/>
          </w:tcPr>
          <w:p w:rsidR="0067322F" w:rsidRPr="00041E6A" w:rsidRDefault="0067322F" w:rsidP="000900B9">
            <w:pPr>
              <w:pStyle w:val="LRIGTABLETEXT"/>
              <w:rPr>
                <w:rFonts w:ascii="Times New Roman" w:hAnsi="Times New Roman" w:cs="Times New Roman"/>
                <w:sz w:val="22"/>
                <w:szCs w:val="22"/>
              </w:rPr>
            </w:pPr>
            <w:r w:rsidRPr="00041E6A">
              <w:rPr>
                <w:rFonts w:ascii="Times New Roman" w:hAnsi="Times New Roman" w:cs="Times New Roman"/>
                <w:sz w:val="22"/>
                <w:szCs w:val="22"/>
              </w:rPr>
              <w:t>Interventions</w:t>
            </w:r>
          </w:p>
        </w:tc>
        <w:tc>
          <w:tcPr>
            <w:tcW w:w="6220" w:type="dxa"/>
          </w:tcPr>
          <w:p w:rsidR="0067322F" w:rsidRPr="00041E6A" w:rsidRDefault="0067322F" w:rsidP="000900B9">
            <w:pPr>
              <w:pStyle w:val="LRIGTABLETEXT"/>
              <w:keepLines/>
              <w:rPr>
                <w:rFonts w:ascii="Times New Roman" w:hAnsi="Times New Roman" w:cs="Times New Roman"/>
                <w:sz w:val="22"/>
                <w:szCs w:val="22"/>
              </w:rPr>
            </w:pPr>
            <w:r>
              <w:rPr>
                <w:rFonts w:ascii="Times New Roman" w:hAnsi="Times New Roman" w:cs="Times New Roman"/>
                <w:sz w:val="22"/>
                <w:szCs w:val="22"/>
              </w:rPr>
              <w:t xml:space="preserve">Interventions that </w:t>
            </w:r>
            <w:r w:rsidRPr="004146F4">
              <w:rPr>
                <w:rFonts w:ascii="Times New Roman" w:hAnsi="Times New Roman" w:cs="Times New Roman"/>
                <w:sz w:val="22"/>
                <w:szCs w:val="22"/>
              </w:rPr>
              <w:t>use biomarkers (mainly molecular)</w:t>
            </w:r>
            <w:r>
              <w:rPr>
                <w:rFonts w:ascii="Times New Roman" w:hAnsi="Times New Roman" w:cs="Times New Roman"/>
                <w:sz w:val="22"/>
                <w:szCs w:val="22"/>
              </w:rPr>
              <w:t xml:space="preserve"> </w:t>
            </w:r>
            <w:r w:rsidRPr="004146F4">
              <w:rPr>
                <w:rFonts w:ascii="Times New Roman" w:hAnsi="Times New Roman" w:cs="Times New Roman"/>
                <w:sz w:val="22"/>
                <w:szCs w:val="22"/>
              </w:rPr>
              <w:t>for the purpose of risk assessment, diagnosis, prognosis, monitoring and guiding therapeutic decisions</w:t>
            </w:r>
            <w:r>
              <w:rPr>
                <w:rFonts w:ascii="Times New Roman" w:hAnsi="Times New Roman" w:cs="Times New Roman"/>
                <w:sz w:val="22"/>
                <w:szCs w:val="22"/>
              </w:rPr>
              <w:t>.</w:t>
            </w:r>
            <w:r w:rsidRPr="004146F4">
              <w:rPr>
                <w:rFonts w:ascii="Times New Roman" w:hAnsi="Times New Roman" w:cs="Times New Roman"/>
                <w:sz w:val="22"/>
                <w:szCs w:val="22"/>
              </w:rPr>
              <w:t xml:space="preserve"> </w:t>
            </w:r>
            <w:r>
              <w:rPr>
                <w:rFonts w:ascii="Times New Roman" w:hAnsi="Times New Roman" w:cs="Times New Roman"/>
                <w:sz w:val="22"/>
                <w:szCs w:val="22"/>
              </w:rPr>
              <w:t xml:space="preserve">These interventions may be described </w:t>
            </w:r>
            <w:r w:rsidRPr="00041E6A">
              <w:rPr>
                <w:rFonts w:ascii="Times New Roman" w:hAnsi="Times New Roman" w:cs="Times New Roman"/>
                <w:sz w:val="22"/>
                <w:szCs w:val="22"/>
              </w:rPr>
              <w:t xml:space="preserve">as </w:t>
            </w:r>
            <w:r>
              <w:rPr>
                <w:rFonts w:ascii="Times New Roman" w:hAnsi="Times New Roman" w:cs="Times New Roman"/>
                <w:sz w:val="22"/>
                <w:szCs w:val="22"/>
              </w:rPr>
              <w:t>precision</w:t>
            </w:r>
            <w:r w:rsidRPr="00041E6A">
              <w:rPr>
                <w:rFonts w:ascii="Times New Roman" w:hAnsi="Times New Roman" w:cs="Times New Roman"/>
                <w:sz w:val="22"/>
                <w:szCs w:val="22"/>
              </w:rPr>
              <w:t xml:space="preserve">, </w:t>
            </w:r>
            <w:r w:rsidR="009B5817" w:rsidRPr="00041E6A">
              <w:rPr>
                <w:rFonts w:ascii="Times New Roman" w:hAnsi="Times New Roman" w:cs="Times New Roman"/>
                <w:sz w:val="22"/>
                <w:szCs w:val="22"/>
              </w:rPr>
              <w:t>individualized</w:t>
            </w:r>
            <w:r w:rsidRPr="00041E6A">
              <w:rPr>
                <w:rFonts w:ascii="Times New Roman" w:hAnsi="Times New Roman" w:cs="Times New Roman"/>
                <w:sz w:val="22"/>
                <w:szCs w:val="22"/>
              </w:rPr>
              <w:t xml:space="preserve">, stratified, </w:t>
            </w:r>
            <w:r>
              <w:rPr>
                <w:rFonts w:ascii="Times New Roman" w:hAnsi="Times New Roman" w:cs="Times New Roman"/>
                <w:sz w:val="22"/>
                <w:szCs w:val="22"/>
              </w:rPr>
              <w:t>personalized</w:t>
            </w:r>
            <w:r w:rsidRPr="00041E6A">
              <w:rPr>
                <w:rFonts w:ascii="Times New Roman" w:hAnsi="Times New Roman" w:cs="Times New Roman"/>
                <w:sz w:val="22"/>
                <w:szCs w:val="22"/>
              </w:rPr>
              <w:t>, genetic</w:t>
            </w:r>
            <w:r>
              <w:rPr>
                <w:rFonts w:ascii="Times New Roman" w:hAnsi="Times New Roman" w:cs="Times New Roman"/>
                <w:sz w:val="22"/>
                <w:szCs w:val="22"/>
              </w:rPr>
              <w:t xml:space="preserve"> and/or</w:t>
            </w:r>
            <w:r w:rsidRPr="00041E6A">
              <w:rPr>
                <w:rFonts w:ascii="Times New Roman" w:hAnsi="Times New Roman" w:cs="Times New Roman"/>
                <w:sz w:val="22"/>
                <w:szCs w:val="22"/>
              </w:rPr>
              <w:t xml:space="preserve"> genomic</w:t>
            </w:r>
            <w:r>
              <w:rPr>
                <w:rFonts w:ascii="Times New Roman" w:hAnsi="Times New Roman" w:cs="Times New Roman"/>
                <w:sz w:val="22"/>
                <w:szCs w:val="22"/>
              </w:rPr>
              <w:t xml:space="preserve"> medicine. </w:t>
            </w:r>
          </w:p>
        </w:tc>
        <w:tc>
          <w:tcPr>
            <w:tcW w:w="5964" w:type="dxa"/>
          </w:tcPr>
          <w:p w:rsidR="0067322F" w:rsidRDefault="0067322F" w:rsidP="000900B9">
            <w:pPr>
              <w:pStyle w:val="LRIGTABLETEXT"/>
              <w:keepLines/>
              <w:rPr>
                <w:rFonts w:ascii="Times New Roman" w:hAnsi="Times New Roman" w:cs="Times New Roman"/>
                <w:sz w:val="22"/>
                <w:szCs w:val="22"/>
              </w:rPr>
            </w:pPr>
            <w:r>
              <w:rPr>
                <w:rFonts w:ascii="Times New Roman" w:hAnsi="Times New Roman" w:cs="Times New Roman"/>
                <w:sz w:val="22"/>
                <w:szCs w:val="22"/>
              </w:rPr>
              <w:t xml:space="preserve">Interventions which do not stratify patient treatment using biomarkers or other genetic information. </w:t>
            </w:r>
          </w:p>
        </w:tc>
      </w:tr>
      <w:tr w:rsidR="0067322F" w:rsidTr="000900B9">
        <w:tc>
          <w:tcPr>
            <w:tcW w:w="1990" w:type="dxa"/>
            <w:shd w:val="clear" w:color="auto" w:fill="D9D9D9" w:themeFill="background1" w:themeFillShade="D9"/>
          </w:tcPr>
          <w:p w:rsidR="0067322F" w:rsidRPr="00041E6A" w:rsidRDefault="0067322F" w:rsidP="000900B9">
            <w:pPr>
              <w:pStyle w:val="LRIGTABLETEXT"/>
              <w:rPr>
                <w:rFonts w:ascii="Times New Roman" w:hAnsi="Times New Roman" w:cs="Times New Roman"/>
                <w:sz w:val="22"/>
                <w:szCs w:val="22"/>
              </w:rPr>
            </w:pPr>
            <w:r w:rsidRPr="00041E6A">
              <w:rPr>
                <w:rFonts w:ascii="Times New Roman" w:hAnsi="Times New Roman" w:cs="Times New Roman"/>
                <w:sz w:val="22"/>
                <w:szCs w:val="22"/>
              </w:rPr>
              <w:t>Outcomes</w:t>
            </w:r>
          </w:p>
        </w:tc>
        <w:tc>
          <w:tcPr>
            <w:tcW w:w="6220" w:type="dxa"/>
          </w:tcPr>
          <w:p w:rsidR="0067322F" w:rsidRPr="0024071F" w:rsidRDefault="00D15B0D" w:rsidP="00EB018F">
            <w:pPr>
              <w:pStyle w:val="LRIGTABLETEXT"/>
              <w:rPr>
                <w:rFonts w:ascii="Times New Roman" w:hAnsi="Times New Roman" w:cs="Times New Roman"/>
                <w:sz w:val="22"/>
                <w:szCs w:val="22"/>
              </w:rPr>
            </w:pPr>
            <w:r>
              <w:rPr>
                <w:rFonts w:ascii="Times New Roman" w:hAnsi="Times New Roman" w:cs="Times New Roman"/>
                <w:sz w:val="22"/>
                <w:szCs w:val="22"/>
              </w:rPr>
              <w:t>Impact of PM on health disparities.</w:t>
            </w:r>
          </w:p>
        </w:tc>
        <w:tc>
          <w:tcPr>
            <w:tcW w:w="5964" w:type="dxa"/>
          </w:tcPr>
          <w:p w:rsidR="0067322F" w:rsidRDefault="0067322F" w:rsidP="00D15B0D">
            <w:pPr>
              <w:pStyle w:val="LRIGTABLETEXT"/>
              <w:rPr>
                <w:rFonts w:ascii="Times New Roman" w:hAnsi="Times New Roman" w:cs="Times New Roman"/>
                <w:sz w:val="22"/>
                <w:szCs w:val="22"/>
              </w:rPr>
            </w:pPr>
            <w:r w:rsidRPr="00761680">
              <w:rPr>
                <w:rFonts w:ascii="Times New Roman" w:hAnsi="Times New Roman" w:cs="Times New Roman"/>
                <w:sz w:val="22"/>
                <w:szCs w:val="22"/>
              </w:rPr>
              <w:t>Studies that focused on genotyping to guide efficacy and did not discuss health equity issues</w:t>
            </w:r>
            <w:r>
              <w:rPr>
                <w:rFonts w:ascii="Times New Roman" w:hAnsi="Times New Roman" w:cs="Times New Roman"/>
                <w:sz w:val="22"/>
                <w:szCs w:val="22"/>
              </w:rPr>
              <w:t xml:space="preserve">. </w:t>
            </w:r>
          </w:p>
        </w:tc>
      </w:tr>
      <w:tr w:rsidR="0067322F" w:rsidTr="000900B9">
        <w:tc>
          <w:tcPr>
            <w:tcW w:w="1990" w:type="dxa"/>
            <w:shd w:val="clear" w:color="auto" w:fill="D9D9D9" w:themeFill="background1" w:themeFillShade="D9"/>
          </w:tcPr>
          <w:p w:rsidR="0067322F" w:rsidRPr="00041E6A" w:rsidRDefault="0067322F" w:rsidP="000900B9">
            <w:pPr>
              <w:pStyle w:val="LRIGTABLETEXT"/>
              <w:rPr>
                <w:rFonts w:ascii="Times New Roman" w:hAnsi="Times New Roman" w:cs="Times New Roman"/>
                <w:sz w:val="22"/>
                <w:szCs w:val="22"/>
              </w:rPr>
            </w:pPr>
            <w:r>
              <w:rPr>
                <w:rFonts w:ascii="Times New Roman" w:hAnsi="Times New Roman" w:cs="Times New Roman"/>
                <w:sz w:val="22"/>
                <w:szCs w:val="22"/>
              </w:rPr>
              <w:t>Setting</w:t>
            </w:r>
          </w:p>
        </w:tc>
        <w:tc>
          <w:tcPr>
            <w:tcW w:w="6220" w:type="dxa"/>
          </w:tcPr>
          <w:p w:rsidR="0067322F" w:rsidRDefault="0067322F" w:rsidP="000B7801">
            <w:pPr>
              <w:pStyle w:val="LRIGTABLETEXT"/>
              <w:rPr>
                <w:rFonts w:ascii="Times New Roman" w:hAnsi="Times New Roman" w:cs="Times New Roman"/>
                <w:sz w:val="22"/>
                <w:szCs w:val="22"/>
              </w:rPr>
            </w:pPr>
            <w:r w:rsidRPr="00041E6A">
              <w:rPr>
                <w:rFonts w:ascii="Times New Roman" w:hAnsi="Times New Roman" w:cs="Times New Roman"/>
                <w:sz w:val="22"/>
                <w:szCs w:val="22"/>
              </w:rPr>
              <w:t>The review will incl</w:t>
            </w:r>
            <w:r w:rsidR="00A106CB">
              <w:rPr>
                <w:rFonts w:ascii="Times New Roman" w:hAnsi="Times New Roman" w:cs="Times New Roman"/>
                <w:sz w:val="22"/>
                <w:szCs w:val="22"/>
              </w:rPr>
              <w:t xml:space="preserve">ude evidence from </w:t>
            </w:r>
            <w:r w:rsidRPr="00041E6A">
              <w:rPr>
                <w:rFonts w:ascii="Times New Roman" w:hAnsi="Times New Roman" w:cs="Times New Roman"/>
                <w:sz w:val="22"/>
                <w:szCs w:val="22"/>
              </w:rPr>
              <w:t>studies</w:t>
            </w:r>
            <w:r w:rsidR="00A106CB">
              <w:rPr>
                <w:rFonts w:ascii="Times New Roman" w:hAnsi="Times New Roman" w:cs="Times New Roman"/>
                <w:sz w:val="22"/>
                <w:szCs w:val="22"/>
              </w:rPr>
              <w:t xml:space="preserve"> across all settings</w:t>
            </w:r>
            <w:r>
              <w:rPr>
                <w:rFonts w:ascii="Times New Roman" w:hAnsi="Times New Roman" w:cs="Times New Roman"/>
                <w:sz w:val="22"/>
                <w:szCs w:val="22"/>
              </w:rPr>
              <w:t xml:space="preserve">. </w:t>
            </w:r>
          </w:p>
          <w:p w:rsidR="000B7801" w:rsidRPr="00041E6A" w:rsidRDefault="000B7801" w:rsidP="000B7801">
            <w:pPr>
              <w:pStyle w:val="LRIGTABLETEXT"/>
              <w:rPr>
                <w:rFonts w:ascii="Times New Roman" w:hAnsi="Times New Roman" w:cs="Times New Roman"/>
                <w:sz w:val="22"/>
                <w:szCs w:val="22"/>
              </w:rPr>
            </w:pPr>
          </w:p>
        </w:tc>
        <w:tc>
          <w:tcPr>
            <w:tcW w:w="5964" w:type="dxa"/>
          </w:tcPr>
          <w:p w:rsidR="0067322F" w:rsidRPr="00041E6A" w:rsidRDefault="000B7801" w:rsidP="000900B9">
            <w:pPr>
              <w:pStyle w:val="LRIGTABLETEXT"/>
              <w:rPr>
                <w:rFonts w:ascii="Times New Roman" w:hAnsi="Times New Roman" w:cs="Times New Roman"/>
                <w:sz w:val="22"/>
                <w:szCs w:val="22"/>
              </w:rPr>
            </w:pPr>
            <w:r>
              <w:rPr>
                <w:rFonts w:ascii="Times New Roman" w:hAnsi="Times New Roman" w:cs="Times New Roman"/>
                <w:sz w:val="22"/>
                <w:szCs w:val="22"/>
              </w:rPr>
              <w:t>N/A</w:t>
            </w:r>
          </w:p>
        </w:tc>
      </w:tr>
    </w:tbl>
    <w:p w:rsidR="0067322F" w:rsidRDefault="0067322F" w:rsidP="0067322F">
      <w:pPr>
        <w:pStyle w:val="Caption"/>
        <w:rPr>
          <w:sz w:val="22"/>
        </w:rPr>
      </w:pPr>
    </w:p>
    <w:p w:rsidR="002E603B" w:rsidRDefault="002E603B">
      <w:pPr>
        <w:rPr>
          <w:rFonts w:ascii="Arial" w:eastAsiaTheme="majorEastAsia" w:hAnsi="Arial" w:cstheme="majorBidi"/>
          <w:b/>
          <w:bCs/>
          <w:i/>
          <w:sz w:val="26"/>
          <w:szCs w:val="26"/>
          <w:lang w:eastAsia="en-GB"/>
        </w:rPr>
      </w:pPr>
      <w:bookmarkStart w:id="10" w:name="_Ref461459968"/>
      <w:r>
        <w:rPr>
          <w:lang w:eastAsia="en-GB"/>
        </w:rPr>
        <w:br w:type="page"/>
      </w:r>
    </w:p>
    <w:p w:rsidR="0067322F" w:rsidRPr="00717247" w:rsidRDefault="00530B11" w:rsidP="0067322F">
      <w:pPr>
        <w:pStyle w:val="Caption"/>
        <w:rPr>
          <w:b w:val="0"/>
          <w:bCs w:val="0"/>
          <w:sz w:val="22"/>
          <w:szCs w:val="22"/>
        </w:rPr>
      </w:pPr>
      <w:bookmarkStart w:id="11" w:name="_Ref471227143"/>
      <w:r w:rsidRPr="00717247">
        <w:rPr>
          <w:sz w:val="22"/>
          <w:szCs w:val="22"/>
        </w:rPr>
        <w:lastRenderedPageBreak/>
        <w:t xml:space="preserve">Supplementary </w:t>
      </w:r>
      <w:r w:rsidR="0067322F" w:rsidRPr="00717247">
        <w:rPr>
          <w:sz w:val="22"/>
          <w:szCs w:val="22"/>
        </w:rPr>
        <w:t xml:space="preserve">Table </w:t>
      </w:r>
      <w:bookmarkEnd w:id="10"/>
      <w:bookmarkEnd w:id="11"/>
      <w:r w:rsidR="006765BF">
        <w:rPr>
          <w:sz w:val="22"/>
          <w:szCs w:val="22"/>
        </w:rPr>
        <w:t>S4</w:t>
      </w:r>
      <w:r w:rsidR="0067322F" w:rsidRPr="00717247">
        <w:rPr>
          <w:sz w:val="22"/>
          <w:szCs w:val="22"/>
        </w:rPr>
        <w:t xml:space="preserve"> GRADE quality assessment criteria</w:t>
      </w:r>
    </w:p>
    <w:tbl>
      <w:tblPr>
        <w:tblStyle w:val="TableGrid"/>
        <w:tblW w:w="0" w:type="auto"/>
        <w:tblLook w:val="04A0" w:firstRow="1" w:lastRow="0" w:firstColumn="1" w:lastColumn="0" w:noHBand="0" w:noVBand="1"/>
      </w:tblPr>
      <w:tblGrid>
        <w:gridCol w:w="3543"/>
        <w:gridCol w:w="3543"/>
        <w:gridCol w:w="3544"/>
        <w:gridCol w:w="3544"/>
      </w:tblGrid>
      <w:tr w:rsidR="0067322F" w:rsidTr="000900B9">
        <w:tc>
          <w:tcPr>
            <w:tcW w:w="3543" w:type="dxa"/>
          </w:tcPr>
          <w:p w:rsidR="0067322F" w:rsidRDefault="0067322F" w:rsidP="000900B9">
            <w:pPr>
              <w:rPr>
                <w:sz w:val="22"/>
              </w:rPr>
            </w:pPr>
            <w:r>
              <w:rPr>
                <w:sz w:val="22"/>
              </w:rPr>
              <w:t>Study Design</w:t>
            </w:r>
          </w:p>
        </w:tc>
        <w:tc>
          <w:tcPr>
            <w:tcW w:w="3543" w:type="dxa"/>
          </w:tcPr>
          <w:p w:rsidR="0067322F" w:rsidRDefault="0067322F" w:rsidP="000900B9">
            <w:pPr>
              <w:rPr>
                <w:sz w:val="22"/>
              </w:rPr>
            </w:pPr>
            <w:r>
              <w:rPr>
                <w:sz w:val="22"/>
              </w:rPr>
              <w:t>Quality of Evidence</w:t>
            </w:r>
          </w:p>
        </w:tc>
        <w:tc>
          <w:tcPr>
            <w:tcW w:w="3544" w:type="dxa"/>
            <w:tcBorders>
              <w:bottom w:val="single" w:sz="4" w:space="0" w:color="auto"/>
            </w:tcBorders>
          </w:tcPr>
          <w:p w:rsidR="0067322F" w:rsidRDefault="0067322F" w:rsidP="000900B9">
            <w:pPr>
              <w:rPr>
                <w:sz w:val="22"/>
              </w:rPr>
            </w:pPr>
            <w:r>
              <w:rPr>
                <w:sz w:val="22"/>
              </w:rPr>
              <w:t>Lower if</w:t>
            </w:r>
          </w:p>
        </w:tc>
        <w:tc>
          <w:tcPr>
            <w:tcW w:w="3544" w:type="dxa"/>
          </w:tcPr>
          <w:p w:rsidR="0067322F" w:rsidRDefault="0067322F" w:rsidP="000900B9">
            <w:pPr>
              <w:rPr>
                <w:sz w:val="22"/>
              </w:rPr>
            </w:pPr>
            <w:r>
              <w:rPr>
                <w:sz w:val="22"/>
              </w:rPr>
              <w:t>Higher if</w:t>
            </w:r>
          </w:p>
        </w:tc>
      </w:tr>
      <w:tr w:rsidR="0067322F" w:rsidTr="000900B9">
        <w:tc>
          <w:tcPr>
            <w:tcW w:w="3543" w:type="dxa"/>
          </w:tcPr>
          <w:p w:rsidR="0067322F" w:rsidRDefault="0067322F" w:rsidP="000900B9">
            <w:pPr>
              <w:rPr>
                <w:sz w:val="22"/>
              </w:rPr>
            </w:pPr>
            <w:r>
              <w:rPr>
                <w:sz w:val="22"/>
              </w:rPr>
              <w:t>Randomized trial →</w:t>
            </w:r>
          </w:p>
          <w:p w:rsidR="0067322F" w:rsidRDefault="0067322F" w:rsidP="000900B9">
            <w:pPr>
              <w:rPr>
                <w:sz w:val="22"/>
              </w:rPr>
            </w:pPr>
          </w:p>
        </w:tc>
        <w:tc>
          <w:tcPr>
            <w:tcW w:w="3543" w:type="dxa"/>
            <w:tcBorders>
              <w:right w:val="single" w:sz="4" w:space="0" w:color="auto"/>
            </w:tcBorders>
          </w:tcPr>
          <w:p w:rsidR="0067322F" w:rsidRDefault="0067322F" w:rsidP="000900B9">
            <w:pPr>
              <w:rPr>
                <w:sz w:val="22"/>
              </w:rPr>
            </w:pPr>
            <w:r>
              <w:rPr>
                <w:sz w:val="22"/>
              </w:rPr>
              <w:t>High</w:t>
            </w:r>
          </w:p>
          <w:p w:rsidR="0067322F" w:rsidRDefault="0067322F" w:rsidP="000900B9">
            <w:pPr>
              <w:rPr>
                <w:sz w:val="22"/>
              </w:rPr>
            </w:pPr>
          </w:p>
          <w:p w:rsidR="0067322F" w:rsidRDefault="0067322F" w:rsidP="000900B9">
            <w:pPr>
              <w:rPr>
                <w:sz w:val="22"/>
              </w:rPr>
            </w:pPr>
          </w:p>
          <w:p w:rsidR="0067322F" w:rsidRDefault="0067322F" w:rsidP="000900B9">
            <w:pPr>
              <w:rPr>
                <w:sz w:val="22"/>
              </w:rPr>
            </w:pPr>
          </w:p>
        </w:tc>
        <w:tc>
          <w:tcPr>
            <w:tcW w:w="3544" w:type="dxa"/>
            <w:vMerge w:val="restart"/>
            <w:tcBorders>
              <w:top w:val="single" w:sz="4" w:space="0" w:color="auto"/>
              <w:left w:val="single" w:sz="4" w:space="0" w:color="auto"/>
              <w:right w:val="single" w:sz="4" w:space="0" w:color="auto"/>
            </w:tcBorders>
          </w:tcPr>
          <w:p w:rsidR="0067322F" w:rsidRPr="00F960AB" w:rsidRDefault="0067322F" w:rsidP="000900B9">
            <w:pPr>
              <w:rPr>
                <w:sz w:val="22"/>
              </w:rPr>
            </w:pPr>
            <w:r w:rsidRPr="00F960AB">
              <w:rPr>
                <w:sz w:val="22"/>
              </w:rPr>
              <w:t>Risk of bias</w:t>
            </w:r>
          </w:p>
          <w:p w:rsidR="0067322F" w:rsidRPr="00F960AB" w:rsidRDefault="0067322F" w:rsidP="000900B9">
            <w:pPr>
              <w:rPr>
                <w:sz w:val="22"/>
              </w:rPr>
            </w:pPr>
            <w:r w:rsidRPr="00F960AB">
              <w:rPr>
                <w:sz w:val="22"/>
              </w:rPr>
              <w:t>-1 Serious</w:t>
            </w:r>
          </w:p>
          <w:p w:rsidR="0067322F" w:rsidRDefault="0067322F" w:rsidP="000900B9">
            <w:pPr>
              <w:rPr>
                <w:sz w:val="22"/>
              </w:rPr>
            </w:pPr>
            <w:r w:rsidRPr="00F960AB">
              <w:rPr>
                <w:sz w:val="22"/>
              </w:rPr>
              <w:t>-2 Very serious</w:t>
            </w:r>
          </w:p>
          <w:p w:rsidR="0067322F" w:rsidRPr="00F960AB" w:rsidRDefault="0067322F" w:rsidP="000900B9">
            <w:pPr>
              <w:rPr>
                <w:sz w:val="22"/>
              </w:rPr>
            </w:pPr>
          </w:p>
          <w:p w:rsidR="0067322F" w:rsidRPr="00F960AB" w:rsidRDefault="0067322F" w:rsidP="000900B9">
            <w:pPr>
              <w:rPr>
                <w:sz w:val="22"/>
              </w:rPr>
            </w:pPr>
            <w:r w:rsidRPr="00F960AB">
              <w:rPr>
                <w:sz w:val="22"/>
              </w:rPr>
              <w:t>Inconsistency</w:t>
            </w:r>
          </w:p>
          <w:p w:rsidR="0067322F" w:rsidRPr="00F960AB" w:rsidRDefault="0067322F" w:rsidP="000900B9">
            <w:pPr>
              <w:rPr>
                <w:sz w:val="22"/>
              </w:rPr>
            </w:pPr>
            <w:r w:rsidRPr="00F960AB">
              <w:rPr>
                <w:sz w:val="22"/>
              </w:rPr>
              <w:t>-1 Serious</w:t>
            </w:r>
          </w:p>
          <w:p w:rsidR="0067322F" w:rsidRDefault="0067322F" w:rsidP="000900B9">
            <w:pPr>
              <w:rPr>
                <w:sz w:val="22"/>
              </w:rPr>
            </w:pPr>
            <w:r w:rsidRPr="00F960AB">
              <w:rPr>
                <w:sz w:val="22"/>
              </w:rPr>
              <w:t>-2 Very serious</w:t>
            </w:r>
          </w:p>
          <w:p w:rsidR="0067322F" w:rsidRDefault="0067322F" w:rsidP="000900B9">
            <w:pPr>
              <w:rPr>
                <w:sz w:val="22"/>
              </w:rPr>
            </w:pPr>
          </w:p>
          <w:p w:rsidR="0067322F" w:rsidRDefault="0067322F" w:rsidP="000900B9">
            <w:pPr>
              <w:rPr>
                <w:sz w:val="22"/>
              </w:rPr>
            </w:pPr>
            <w:r>
              <w:rPr>
                <w:sz w:val="22"/>
              </w:rPr>
              <w:t>Indirectness</w:t>
            </w:r>
          </w:p>
          <w:p w:rsidR="0067322F" w:rsidRPr="00F960AB" w:rsidRDefault="0067322F" w:rsidP="000900B9">
            <w:pPr>
              <w:rPr>
                <w:sz w:val="22"/>
              </w:rPr>
            </w:pPr>
            <w:r w:rsidRPr="00F960AB">
              <w:rPr>
                <w:sz w:val="22"/>
              </w:rPr>
              <w:t>-1 Serious</w:t>
            </w:r>
          </w:p>
          <w:p w:rsidR="0067322F" w:rsidRDefault="0067322F" w:rsidP="000900B9">
            <w:pPr>
              <w:rPr>
                <w:sz w:val="22"/>
              </w:rPr>
            </w:pPr>
            <w:r w:rsidRPr="00F960AB">
              <w:rPr>
                <w:sz w:val="22"/>
              </w:rPr>
              <w:t>-2 Very serious</w:t>
            </w:r>
          </w:p>
          <w:p w:rsidR="0067322F" w:rsidRDefault="0067322F" w:rsidP="000900B9"/>
          <w:p w:rsidR="0067322F" w:rsidRDefault="0067322F" w:rsidP="000900B9">
            <w:pPr>
              <w:rPr>
                <w:sz w:val="22"/>
              </w:rPr>
            </w:pPr>
            <w:r>
              <w:rPr>
                <w:sz w:val="22"/>
              </w:rPr>
              <w:t>Imprecision</w:t>
            </w:r>
          </w:p>
          <w:p w:rsidR="0067322F" w:rsidRPr="00F960AB" w:rsidRDefault="0067322F" w:rsidP="000900B9">
            <w:pPr>
              <w:rPr>
                <w:sz w:val="22"/>
              </w:rPr>
            </w:pPr>
            <w:r w:rsidRPr="00F960AB">
              <w:rPr>
                <w:sz w:val="22"/>
              </w:rPr>
              <w:t>-1 Serious</w:t>
            </w:r>
          </w:p>
          <w:p w:rsidR="0067322F" w:rsidRDefault="0067322F" w:rsidP="000900B9">
            <w:pPr>
              <w:rPr>
                <w:sz w:val="22"/>
              </w:rPr>
            </w:pPr>
            <w:r w:rsidRPr="00F960AB">
              <w:rPr>
                <w:sz w:val="22"/>
              </w:rPr>
              <w:t>-2 Very serious</w:t>
            </w:r>
          </w:p>
          <w:p w:rsidR="0067322F" w:rsidRDefault="0067322F" w:rsidP="000900B9">
            <w:pPr>
              <w:rPr>
                <w:sz w:val="22"/>
              </w:rPr>
            </w:pPr>
          </w:p>
          <w:p w:rsidR="0067322F" w:rsidRDefault="0067322F" w:rsidP="000900B9">
            <w:pPr>
              <w:rPr>
                <w:sz w:val="22"/>
              </w:rPr>
            </w:pPr>
            <w:r>
              <w:rPr>
                <w:sz w:val="22"/>
              </w:rPr>
              <w:t>Publication bias</w:t>
            </w:r>
          </w:p>
          <w:p w:rsidR="0067322F" w:rsidRDefault="0067322F" w:rsidP="000900B9">
            <w:pPr>
              <w:rPr>
                <w:sz w:val="22"/>
              </w:rPr>
            </w:pPr>
            <w:r>
              <w:rPr>
                <w:sz w:val="22"/>
              </w:rPr>
              <w:t>-1 Likely</w:t>
            </w:r>
          </w:p>
          <w:p w:rsidR="0067322F" w:rsidRPr="00F960AB" w:rsidRDefault="0067322F" w:rsidP="000900B9">
            <w:r>
              <w:rPr>
                <w:sz w:val="22"/>
              </w:rPr>
              <w:t>-2 Very Likely</w:t>
            </w:r>
            <w:bookmarkStart w:id="12" w:name="_GoBack"/>
            <w:bookmarkEnd w:id="12"/>
          </w:p>
        </w:tc>
        <w:tc>
          <w:tcPr>
            <w:tcW w:w="3544" w:type="dxa"/>
            <w:vMerge w:val="restart"/>
            <w:tcBorders>
              <w:left w:val="single" w:sz="4" w:space="0" w:color="auto"/>
            </w:tcBorders>
          </w:tcPr>
          <w:p w:rsidR="0067322F" w:rsidRPr="00F960AB" w:rsidRDefault="0067322F" w:rsidP="000900B9">
            <w:pPr>
              <w:rPr>
                <w:sz w:val="22"/>
              </w:rPr>
            </w:pPr>
            <w:r w:rsidRPr="00F960AB">
              <w:rPr>
                <w:sz w:val="22"/>
              </w:rPr>
              <w:t>Large effect</w:t>
            </w:r>
          </w:p>
          <w:p w:rsidR="0067322F" w:rsidRPr="00F960AB" w:rsidRDefault="0067322F" w:rsidP="000900B9">
            <w:pPr>
              <w:rPr>
                <w:sz w:val="22"/>
              </w:rPr>
            </w:pPr>
            <w:r w:rsidRPr="00F960AB">
              <w:rPr>
                <w:sz w:val="22"/>
              </w:rPr>
              <w:t>+1 Large</w:t>
            </w:r>
          </w:p>
          <w:p w:rsidR="0067322F" w:rsidRDefault="0067322F" w:rsidP="000900B9">
            <w:pPr>
              <w:rPr>
                <w:sz w:val="22"/>
              </w:rPr>
            </w:pPr>
            <w:r w:rsidRPr="00F960AB">
              <w:rPr>
                <w:sz w:val="22"/>
              </w:rPr>
              <w:t>+2 Very large</w:t>
            </w:r>
          </w:p>
          <w:p w:rsidR="0067322F" w:rsidRPr="00F960AB" w:rsidRDefault="0067322F" w:rsidP="000900B9">
            <w:pPr>
              <w:rPr>
                <w:sz w:val="22"/>
              </w:rPr>
            </w:pPr>
          </w:p>
          <w:p w:rsidR="0067322F" w:rsidRPr="00F960AB" w:rsidRDefault="0067322F" w:rsidP="000900B9">
            <w:pPr>
              <w:rPr>
                <w:sz w:val="22"/>
              </w:rPr>
            </w:pPr>
            <w:r w:rsidRPr="00F960AB">
              <w:rPr>
                <w:sz w:val="22"/>
              </w:rPr>
              <w:t>Dose response</w:t>
            </w:r>
          </w:p>
          <w:p w:rsidR="0067322F" w:rsidRDefault="0067322F" w:rsidP="000900B9">
            <w:pPr>
              <w:rPr>
                <w:sz w:val="22"/>
              </w:rPr>
            </w:pPr>
            <w:r w:rsidRPr="00F960AB">
              <w:rPr>
                <w:sz w:val="22"/>
              </w:rPr>
              <w:t>+1 Evidence of a gradient</w:t>
            </w:r>
          </w:p>
          <w:p w:rsidR="0067322F" w:rsidRDefault="0067322F" w:rsidP="000900B9">
            <w:pPr>
              <w:rPr>
                <w:sz w:val="22"/>
              </w:rPr>
            </w:pPr>
          </w:p>
          <w:p w:rsidR="0067322F" w:rsidRDefault="0067322F" w:rsidP="000900B9">
            <w:pPr>
              <w:rPr>
                <w:sz w:val="22"/>
              </w:rPr>
            </w:pPr>
            <w:r>
              <w:rPr>
                <w:sz w:val="22"/>
              </w:rPr>
              <w:t xml:space="preserve">All plausible confounding </w:t>
            </w:r>
          </w:p>
          <w:p w:rsidR="0067322F" w:rsidRDefault="0067322F" w:rsidP="000900B9">
            <w:pPr>
              <w:rPr>
                <w:sz w:val="22"/>
              </w:rPr>
            </w:pPr>
            <w:r>
              <w:rPr>
                <w:sz w:val="22"/>
              </w:rPr>
              <w:t>+1 Would reduce a demonstrated effect or</w:t>
            </w:r>
          </w:p>
          <w:p w:rsidR="0067322F" w:rsidRDefault="0067322F" w:rsidP="000900B9">
            <w:pPr>
              <w:rPr>
                <w:sz w:val="22"/>
              </w:rPr>
            </w:pPr>
          </w:p>
          <w:p w:rsidR="0067322F" w:rsidRPr="00F960AB" w:rsidRDefault="0067322F" w:rsidP="000900B9">
            <w:pPr>
              <w:rPr>
                <w:sz w:val="22"/>
              </w:rPr>
            </w:pPr>
            <w:r>
              <w:rPr>
                <w:sz w:val="22"/>
              </w:rPr>
              <w:t>+1 Would suggest a spurious effect when results show no effect</w:t>
            </w:r>
          </w:p>
        </w:tc>
      </w:tr>
      <w:tr w:rsidR="0067322F" w:rsidTr="000900B9">
        <w:tc>
          <w:tcPr>
            <w:tcW w:w="3543" w:type="dxa"/>
          </w:tcPr>
          <w:p w:rsidR="0067322F" w:rsidRDefault="0067322F" w:rsidP="000900B9">
            <w:pPr>
              <w:rPr>
                <w:sz w:val="22"/>
              </w:rPr>
            </w:pPr>
          </w:p>
        </w:tc>
        <w:tc>
          <w:tcPr>
            <w:tcW w:w="3543" w:type="dxa"/>
            <w:tcBorders>
              <w:right w:val="single" w:sz="4" w:space="0" w:color="auto"/>
            </w:tcBorders>
          </w:tcPr>
          <w:p w:rsidR="0067322F" w:rsidRDefault="0067322F" w:rsidP="000900B9">
            <w:pPr>
              <w:rPr>
                <w:sz w:val="22"/>
              </w:rPr>
            </w:pPr>
            <w:r>
              <w:rPr>
                <w:sz w:val="22"/>
              </w:rPr>
              <w:t xml:space="preserve">Moderate </w:t>
            </w:r>
          </w:p>
          <w:p w:rsidR="0067322F" w:rsidRDefault="0067322F" w:rsidP="000900B9">
            <w:pPr>
              <w:rPr>
                <w:sz w:val="22"/>
              </w:rPr>
            </w:pPr>
          </w:p>
          <w:p w:rsidR="0067322F" w:rsidRDefault="0067322F" w:rsidP="000900B9">
            <w:pPr>
              <w:rPr>
                <w:sz w:val="22"/>
              </w:rPr>
            </w:pPr>
          </w:p>
          <w:p w:rsidR="0067322F" w:rsidRDefault="0067322F" w:rsidP="000900B9">
            <w:pPr>
              <w:rPr>
                <w:sz w:val="22"/>
              </w:rPr>
            </w:pPr>
          </w:p>
        </w:tc>
        <w:tc>
          <w:tcPr>
            <w:tcW w:w="3544" w:type="dxa"/>
            <w:vMerge/>
            <w:tcBorders>
              <w:left w:val="single" w:sz="4" w:space="0" w:color="auto"/>
              <w:right w:val="single" w:sz="4" w:space="0" w:color="auto"/>
            </w:tcBorders>
          </w:tcPr>
          <w:p w:rsidR="0067322F" w:rsidRDefault="0067322F" w:rsidP="000900B9">
            <w:pPr>
              <w:rPr>
                <w:sz w:val="22"/>
              </w:rPr>
            </w:pPr>
          </w:p>
        </w:tc>
        <w:tc>
          <w:tcPr>
            <w:tcW w:w="3544" w:type="dxa"/>
            <w:vMerge/>
            <w:tcBorders>
              <w:left w:val="single" w:sz="4" w:space="0" w:color="auto"/>
            </w:tcBorders>
          </w:tcPr>
          <w:p w:rsidR="0067322F" w:rsidRDefault="0067322F" w:rsidP="000900B9">
            <w:pPr>
              <w:rPr>
                <w:sz w:val="22"/>
              </w:rPr>
            </w:pPr>
          </w:p>
        </w:tc>
      </w:tr>
      <w:tr w:rsidR="0067322F" w:rsidTr="000900B9">
        <w:tc>
          <w:tcPr>
            <w:tcW w:w="3543" w:type="dxa"/>
          </w:tcPr>
          <w:p w:rsidR="0067322F" w:rsidRDefault="0067322F" w:rsidP="000900B9">
            <w:pPr>
              <w:rPr>
                <w:sz w:val="22"/>
              </w:rPr>
            </w:pPr>
            <w:r>
              <w:rPr>
                <w:sz w:val="22"/>
              </w:rPr>
              <w:t>Observational study →</w:t>
            </w:r>
          </w:p>
        </w:tc>
        <w:tc>
          <w:tcPr>
            <w:tcW w:w="3543" w:type="dxa"/>
            <w:tcBorders>
              <w:right w:val="single" w:sz="4" w:space="0" w:color="auto"/>
            </w:tcBorders>
          </w:tcPr>
          <w:p w:rsidR="0067322F" w:rsidRDefault="0067322F" w:rsidP="000900B9">
            <w:pPr>
              <w:rPr>
                <w:sz w:val="22"/>
              </w:rPr>
            </w:pPr>
            <w:r>
              <w:rPr>
                <w:sz w:val="22"/>
              </w:rPr>
              <w:t>Low</w:t>
            </w:r>
          </w:p>
          <w:p w:rsidR="0067322F" w:rsidRDefault="0067322F" w:rsidP="000900B9">
            <w:pPr>
              <w:rPr>
                <w:sz w:val="22"/>
              </w:rPr>
            </w:pPr>
          </w:p>
          <w:p w:rsidR="0067322F" w:rsidRDefault="0067322F" w:rsidP="000900B9">
            <w:pPr>
              <w:rPr>
                <w:sz w:val="22"/>
              </w:rPr>
            </w:pPr>
          </w:p>
          <w:p w:rsidR="0067322F" w:rsidRDefault="0067322F" w:rsidP="000900B9">
            <w:pPr>
              <w:rPr>
                <w:sz w:val="22"/>
              </w:rPr>
            </w:pPr>
          </w:p>
        </w:tc>
        <w:tc>
          <w:tcPr>
            <w:tcW w:w="3544" w:type="dxa"/>
            <w:vMerge/>
            <w:tcBorders>
              <w:left w:val="single" w:sz="4" w:space="0" w:color="auto"/>
              <w:right w:val="single" w:sz="4" w:space="0" w:color="auto"/>
            </w:tcBorders>
          </w:tcPr>
          <w:p w:rsidR="0067322F" w:rsidRDefault="0067322F" w:rsidP="000900B9">
            <w:pPr>
              <w:rPr>
                <w:sz w:val="22"/>
              </w:rPr>
            </w:pPr>
          </w:p>
        </w:tc>
        <w:tc>
          <w:tcPr>
            <w:tcW w:w="3544" w:type="dxa"/>
            <w:vMerge/>
            <w:tcBorders>
              <w:left w:val="single" w:sz="4" w:space="0" w:color="auto"/>
            </w:tcBorders>
          </w:tcPr>
          <w:p w:rsidR="0067322F" w:rsidRDefault="0067322F" w:rsidP="000900B9">
            <w:pPr>
              <w:rPr>
                <w:sz w:val="22"/>
              </w:rPr>
            </w:pPr>
          </w:p>
        </w:tc>
      </w:tr>
      <w:tr w:rsidR="0067322F" w:rsidTr="000900B9">
        <w:tc>
          <w:tcPr>
            <w:tcW w:w="3543" w:type="dxa"/>
          </w:tcPr>
          <w:p w:rsidR="0067322F" w:rsidRDefault="0067322F" w:rsidP="000900B9">
            <w:pPr>
              <w:rPr>
                <w:sz w:val="22"/>
              </w:rPr>
            </w:pPr>
          </w:p>
        </w:tc>
        <w:tc>
          <w:tcPr>
            <w:tcW w:w="3543" w:type="dxa"/>
            <w:tcBorders>
              <w:right w:val="single" w:sz="4" w:space="0" w:color="auto"/>
            </w:tcBorders>
          </w:tcPr>
          <w:p w:rsidR="0067322F" w:rsidRDefault="0067322F" w:rsidP="000900B9">
            <w:pPr>
              <w:rPr>
                <w:sz w:val="22"/>
              </w:rPr>
            </w:pPr>
            <w:r>
              <w:rPr>
                <w:sz w:val="22"/>
              </w:rPr>
              <w:t>Very low</w:t>
            </w:r>
          </w:p>
        </w:tc>
        <w:tc>
          <w:tcPr>
            <w:tcW w:w="3544" w:type="dxa"/>
            <w:vMerge/>
            <w:tcBorders>
              <w:left w:val="single" w:sz="4" w:space="0" w:color="auto"/>
              <w:bottom w:val="single" w:sz="4" w:space="0" w:color="auto"/>
              <w:right w:val="single" w:sz="4" w:space="0" w:color="auto"/>
            </w:tcBorders>
          </w:tcPr>
          <w:p w:rsidR="0067322F" w:rsidRDefault="0067322F" w:rsidP="000900B9">
            <w:pPr>
              <w:rPr>
                <w:sz w:val="22"/>
              </w:rPr>
            </w:pPr>
          </w:p>
        </w:tc>
        <w:tc>
          <w:tcPr>
            <w:tcW w:w="3544" w:type="dxa"/>
            <w:vMerge/>
            <w:tcBorders>
              <w:left w:val="single" w:sz="4" w:space="0" w:color="auto"/>
            </w:tcBorders>
          </w:tcPr>
          <w:p w:rsidR="0067322F" w:rsidRDefault="0067322F" w:rsidP="000900B9">
            <w:pPr>
              <w:rPr>
                <w:sz w:val="22"/>
              </w:rPr>
            </w:pPr>
          </w:p>
        </w:tc>
      </w:tr>
      <w:bookmarkEnd w:id="1"/>
    </w:tbl>
    <w:p w:rsidR="004A25C7" w:rsidRDefault="004A25C7">
      <w:pPr>
        <w:rPr>
          <w:b/>
          <w:bCs/>
          <w:color w:val="4F81BD" w:themeColor="accent1"/>
          <w:sz w:val="18"/>
          <w:szCs w:val="18"/>
        </w:rPr>
      </w:pPr>
    </w:p>
    <w:p w:rsidR="004A25C7" w:rsidRDefault="004A25C7" w:rsidP="004A25C7">
      <w:pPr>
        <w:pStyle w:val="Caption"/>
        <w:rPr>
          <w:b w:val="0"/>
          <w:bCs w:val="0"/>
          <w:sz w:val="22"/>
        </w:rPr>
      </w:pPr>
    </w:p>
    <w:sectPr w:rsidR="004A25C7" w:rsidSect="002E603B">
      <w:pgSz w:w="16838" w:h="11906" w:orient="landscape"/>
      <w:pgMar w:top="1440" w:right="1440" w:bottom="1440"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312" w:rsidRDefault="00E34312" w:rsidP="006954C1">
      <w:r>
        <w:separator/>
      </w:r>
    </w:p>
  </w:endnote>
  <w:endnote w:type="continuationSeparator" w:id="0">
    <w:p w:rsidR="00E34312" w:rsidRDefault="00E34312" w:rsidP="0069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48978"/>
      <w:docPartObj>
        <w:docPartGallery w:val="Page Numbers (Bottom of Page)"/>
        <w:docPartUnique/>
      </w:docPartObj>
    </w:sdtPr>
    <w:sdtEndPr/>
    <w:sdtContent>
      <w:sdt>
        <w:sdtPr>
          <w:id w:val="-1519929491"/>
          <w:docPartObj>
            <w:docPartGallery w:val="Page Numbers (Top of Page)"/>
            <w:docPartUnique/>
          </w:docPartObj>
        </w:sdtPr>
        <w:sdtEndPr/>
        <w:sdtContent>
          <w:p w:rsidR="006D4FDB" w:rsidRDefault="006D4FDB" w:rsidP="003F1FB9">
            <w:pPr>
              <w:pStyle w:val="LRIGFOOTER"/>
            </w:pPr>
          </w:p>
          <w:p w:rsidR="006D4FDB" w:rsidRDefault="006D4FDB" w:rsidP="009D254C">
            <w:pPr>
              <w:pStyle w:val="LRIGFOOTER"/>
            </w:pPr>
            <w:r>
              <w:t xml:space="preserve">Page </w:t>
            </w:r>
            <w:r>
              <w:rPr>
                <w:b/>
                <w:sz w:val="24"/>
                <w:szCs w:val="24"/>
              </w:rPr>
              <w:fldChar w:fldCharType="begin"/>
            </w:r>
            <w:r>
              <w:rPr>
                <w:b/>
              </w:rPr>
              <w:instrText xml:space="preserve"> PAGE </w:instrText>
            </w:r>
            <w:r>
              <w:rPr>
                <w:b/>
                <w:sz w:val="24"/>
                <w:szCs w:val="24"/>
              </w:rPr>
              <w:fldChar w:fldCharType="separate"/>
            </w:r>
            <w:r w:rsidR="00185C95">
              <w:rPr>
                <w:b/>
                <w:noProof/>
              </w:rPr>
              <w:t>33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85C95">
              <w:rPr>
                <w:b/>
                <w:noProof/>
              </w:rPr>
              <w:t>35</w:t>
            </w:r>
            <w:r>
              <w:rPr>
                <w:b/>
                <w:sz w:val="24"/>
                <w:szCs w:val="24"/>
              </w:rPr>
              <w:fldChar w:fldCharType="end"/>
            </w:r>
          </w:p>
        </w:sdtContent>
      </w:sdt>
    </w:sdtContent>
  </w:sdt>
  <w:p w:rsidR="006D4FDB" w:rsidRDefault="006D4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312" w:rsidRDefault="00E34312" w:rsidP="006954C1">
      <w:r>
        <w:separator/>
      </w:r>
    </w:p>
  </w:footnote>
  <w:footnote w:type="continuationSeparator" w:id="0">
    <w:p w:rsidR="00E34312" w:rsidRDefault="00E34312" w:rsidP="0069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C01"/>
    <w:multiLevelType w:val="hybridMultilevel"/>
    <w:tmpl w:val="BBEE2B08"/>
    <w:lvl w:ilvl="0" w:tplc="F21A7F3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61F"/>
    <w:multiLevelType w:val="hybridMultilevel"/>
    <w:tmpl w:val="3CA4E9D6"/>
    <w:lvl w:ilvl="0" w:tplc="0CE4DDD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090B89"/>
    <w:multiLevelType w:val="hybridMultilevel"/>
    <w:tmpl w:val="6C8CAF52"/>
    <w:lvl w:ilvl="0" w:tplc="50EAB61A">
      <w:start w:val="1"/>
      <w:numFmt w:val="bullet"/>
      <w:lvlText w:val=""/>
      <w:lvlJc w:val="left"/>
      <w:pPr>
        <w:tabs>
          <w:tab w:val="num" w:pos="720"/>
        </w:tabs>
        <w:ind w:left="720" w:hanging="360"/>
      </w:pPr>
      <w:rPr>
        <w:rFonts w:ascii="Wingdings" w:hAnsi="Wingdings" w:hint="default"/>
      </w:rPr>
    </w:lvl>
    <w:lvl w:ilvl="1" w:tplc="B0621DA0">
      <w:numFmt w:val="bullet"/>
      <w:lvlText w:val="o"/>
      <w:lvlJc w:val="left"/>
      <w:pPr>
        <w:tabs>
          <w:tab w:val="num" w:pos="1440"/>
        </w:tabs>
        <w:ind w:left="1440" w:hanging="360"/>
      </w:pPr>
      <w:rPr>
        <w:rFonts w:ascii="Courier New" w:hAnsi="Courier New" w:hint="default"/>
      </w:rPr>
    </w:lvl>
    <w:lvl w:ilvl="2" w:tplc="D6621C12" w:tentative="1">
      <w:start w:val="1"/>
      <w:numFmt w:val="bullet"/>
      <w:lvlText w:val=""/>
      <w:lvlJc w:val="left"/>
      <w:pPr>
        <w:tabs>
          <w:tab w:val="num" w:pos="2160"/>
        </w:tabs>
        <w:ind w:left="2160" w:hanging="360"/>
      </w:pPr>
      <w:rPr>
        <w:rFonts w:ascii="Wingdings" w:hAnsi="Wingdings" w:hint="default"/>
      </w:rPr>
    </w:lvl>
    <w:lvl w:ilvl="3" w:tplc="4D74CE9A" w:tentative="1">
      <w:start w:val="1"/>
      <w:numFmt w:val="bullet"/>
      <w:lvlText w:val=""/>
      <w:lvlJc w:val="left"/>
      <w:pPr>
        <w:tabs>
          <w:tab w:val="num" w:pos="2880"/>
        </w:tabs>
        <w:ind w:left="2880" w:hanging="360"/>
      </w:pPr>
      <w:rPr>
        <w:rFonts w:ascii="Wingdings" w:hAnsi="Wingdings" w:hint="default"/>
      </w:rPr>
    </w:lvl>
    <w:lvl w:ilvl="4" w:tplc="A9B63B44" w:tentative="1">
      <w:start w:val="1"/>
      <w:numFmt w:val="bullet"/>
      <w:lvlText w:val=""/>
      <w:lvlJc w:val="left"/>
      <w:pPr>
        <w:tabs>
          <w:tab w:val="num" w:pos="3600"/>
        </w:tabs>
        <w:ind w:left="3600" w:hanging="360"/>
      </w:pPr>
      <w:rPr>
        <w:rFonts w:ascii="Wingdings" w:hAnsi="Wingdings" w:hint="default"/>
      </w:rPr>
    </w:lvl>
    <w:lvl w:ilvl="5" w:tplc="01D218DE" w:tentative="1">
      <w:start w:val="1"/>
      <w:numFmt w:val="bullet"/>
      <w:lvlText w:val=""/>
      <w:lvlJc w:val="left"/>
      <w:pPr>
        <w:tabs>
          <w:tab w:val="num" w:pos="4320"/>
        </w:tabs>
        <w:ind w:left="4320" w:hanging="360"/>
      </w:pPr>
      <w:rPr>
        <w:rFonts w:ascii="Wingdings" w:hAnsi="Wingdings" w:hint="default"/>
      </w:rPr>
    </w:lvl>
    <w:lvl w:ilvl="6" w:tplc="5D1A068C" w:tentative="1">
      <w:start w:val="1"/>
      <w:numFmt w:val="bullet"/>
      <w:lvlText w:val=""/>
      <w:lvlJc w:val="left"/>
      <w:pPr>
        <w:tabs>
          <w:tab w:val="num" w:pos="5040"/>
        </w:tabs>
        <w:ind w:left="5040" w:hanging="360"/>
      </w:pPr>
      <w:rPr>
        <w:rFonts w:ascii="Wingdings" w:hAnsi="Wingdings" w:hint="default"/>
      </w:rPr>
    </w:lvl>
    <w:lvl w:ilvl="7" w:tplc="8706902E" w:tentative="1">
      <w:start w:val="1"/>
      <w:numFmt w:val="bullet"/>
      <w:lvlText w:val=""/>
      <w:lvlJc w:val="left"/>
      <w:pPr>
        <w:tabs>
          <w:tab w:val="num" w:pos="5760"/>
        </w:tabs>
        <w:ind w:left="5760" w:hanging="360"/>
      </w:pPr>
      <w:rPr>
        <w:rFonts w:ascii="Wingdings" w:hAnsi="Wingdings" w:hint="default"/>
      </w:rPr>
    </w:lvl>
    <w:lvl w:ilvl="8" w:tplc="D71871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A5A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8A64B5D"/>
    <w:multiLevelType w:val="multilevel"/>
    <w:tmpl w:val="4C0CFB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EA54E21"/>
    <w:multiLevelType w:val="hybridMultilevel"/>
    <w:tmpl w:val="DC566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92FED"/>
    <w:multiLevelType w:val="hybridMultilevel"/>
    <w:tmpl w:val="9B0A6404"/>
    <w:lvl w:ilvl="0" w:tplc="08725AF2">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E4C5E"/>
    <w:multiLevelType w:val="hybridMultilevel"/>
    <w:tmpl w:val="05A280AE"/>
    <w:lvl w:ilvl="0" w:tplc="2694706C">
      <w:start w:val="1"/>
      <w:numFmt w:val="decimal"/>
      <w:pStyle w:val="LRIG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247DA"/>
    <w:multiLevelType w:val="hybridMultilevel"/>
    <w:tmpl w:val="789432B0"/>
    <w:lvl w:ilvl="0" w:tplc="97D0A9B0">
      <w:start w:val="1"/>
      <w:numFmt w:val="bullet"/>
      <w:pStyle w:val="LRIG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11045"/>
    <w:multiLevelType w:val="hybridMultilevel"/>
    <w:tmpl w:val="A62ED0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D1054"/>
    <w:multiLevelType w:val="hybridMultilevel"/>
    <w:tmpl w:val="24F2A0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B4AE6"/>
    <w:multiLevelType w:val="multilevel"/>
    <w:tmpl w:val="4C0CFB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C874B81"/>
    <w:multiLevelType w:val="hybridMultilevel"/>
    <w:tmpl w:val="AC9674B0"/>
    <w:lvl w:ilvl="0" w:tplc="F236839E">
      <w:start w:val="1"/>
      <w:numFmt w:val="bullet"/>
      <w:lvlText w:val=""/>
      <w:lvlJc w:val="left"/>
      <w:pPr>
        <w:tabs>
          <w:tab w:val="num" w:pos="720"/>
        </w:tabs>
        <w:ind w:left="720" w:hanging="360"/>
      </w:pPr>
      <w:rPr>
        <w:rFonts w:ascii="Wingdings" w:hAnsi="Wingdings" w:hint="default"/>
      </w:rPr>
    </w:lvl>
    <w:lvl w:ilvl="1" w:tplc="DA5214AE">
      <w:numFmt w:val="bullet"/>
      <w:lvlText w:val="o"/>
      <w:lvlJc w:val="left"/>
      <w:pPr>
        <w:tabs>
          <w:tab w:val="num" w:pos="1440"/>
        </w:tabs>
        <w:ind w:left="1440" w:hanging="360"/>
      </w:pPr>
      <w:rPr>
        <w:rFonts w:ascii="Courier New" w:hAnsi="Courier New" w:hint="default"/>
      </w:rPr>
    </w:lvl>
    <w:lvl w:ilvl="2" w:tplc="DE7833E8" w:tentative="1">
      <w:start w:val="1"/>
      <w:numFmt w:val="bullet"/>
      <w:lvlText w:val=""/>
      <w:lvlJc w:val="left"/>
      <w:pPr>
        <w:tabs>
          <w:tab w:val="num" w:pos="2160"/>
        </w:tabs>
        <w:ind w:left="2160" w:hanging="360"/>
      </w:pPr>
      <w:rPr>
        <w:rFonts w:ascii="Wingdings" w:hAnsi="Wingdings" w:hint="default"/>
      </w:rPr>
    </w:lvl>
    <w:lvl w:ilvl="3" w:tplc="A000AC8C" w:tentative="1">
      <w:start w:val="1"/>
      <w:numFmt w:val="bullet"/>
      <w:lvlText w:val=""/>
      <w:lvlJc w:val="left"/>
      <w:pPr>
        <w:tabs>
          <w:tab w:val="num" w:pos="2880"/>
        </w:tabs>
        <w:ind w:left="2880" w:hanging="360"/>
      </w:pPr>
      <w:rPr>
        <w:rFonts w:ascii="Wingdings" w:hAnsi="Wingdings" w:hint="default"/>
      </w:rPr>
    </w:lvl>
    <w:lvl w:ilvl="4" w:tplc="1F765028" w:tentative="1">
      <w:start w:val="1"/>
      <w:numFmt w:val="bullet"/>
      <w:lvlText w:val=""/>
      <w:lvlJc w:val="left"/>
      <w:pPr>
        <w:tabs>
          <w:tab w:val="num" w:pos="3600"/>
        </w:tabs>
        <w:ind w:left="3600" w:hanging="360"/>
      </w:pPr>
      <w:rPr>
        <w:rFonts w:ascii="Wingdings" w:hAnsi="Wingdings" w:hint="default"/>
      </w:rPr>
    </w:lvl>
    <w:lvl w:ilvl="5" w:tplc="A62A3116" w:tentative="1">
      <w:start w:val="1"/>
      <w:numFmt w:val="bullet"/>
      <w:lvlText w:val=""/>
      <w:lvlJc w:val="left"/>
      <w:pPr>
        <w:tabs>
          <w:tab w:val="num" w:pos="4320"/>
        </w:tabs>
        <w:ind w:left="4320" w:hanging="360"/>
      </w:pPr>
      <w:rPr>
        <w:rFonts w:ascii="Wingdings" w:hAnsi="Wingdings" w:hint="default"/>
      </w:rPr>
    </w:lvl>
    <w:lvl w:ilvl="6" w:tplc="7C44D268" w:tentative="1">
      <w:start w:val="1"/>
      <w:numFmt w:val="bullet"/>
      <w:lvlText w:val=""/>
      <w:lvlJc w:val="left"/>
      <w:pPr>
        <w:tabs>
          <w:tab w:val="num" w:pos="5040"/>
        </w:tabs>
        <w:ind w:left="5040" w:hanging="360"/>
      </w:pPr>
      <w:rPr>
        <w:rFonts w:ascii="Wingdings" w:hAnsi="Wingdings" w:hint="default"/>
      </w:rPr>
    </w:lvl>
    <w:lvl w:ilvl="7" w:tplc="632864C6" w:tentative="1">
      <w:start w:val="1"/>
      <w:numFmt w:val="bullet"/>
      <w:lvlText w:val=""/>
      <w:lvlJc w:val="left"/>
      <w:pPr>
        <w:tabs>
          <w:tab w:val="num" w:pos="5760"/>
        </w:tabs>
        <w:ind w:left="5760" w:hanging="360"/>
      </w:pPr>
      <w:rPr>
        <w:rFonts w:ascii="Wingdings" w:hAnsi="Wingdings" w:hint="default"/>
      </w:rPr>
    </w:lvl>
    <w:lvl w:ilvl="8" w:tplc="5CFC86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A5034"/>
    <w:multiLevelType w:val="hybridMultilevel"/>
    <w:tmpl w:val="34B08C30"/>
    <w:lvl w:ilvl="0" w:tplc="A314C6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0F0BF0"/>
    <w:multiLevelType w:val="hybridMultilevel"/>
    <w:tmpl w:val="CE9E2032"/>
    <w:lvl w:ilvl="0" w:tplc="A17EC80C">
      <w:start w:val="1"/>
      <w:numFmt w:val="bullet"/>
      <w:pStyle w:val="1Tex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E33735"/>
    <w:multiLevelType w:val="multilevel"/>
    <w:tmpl w:val="4C0CFB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E7178C3"/>
    <w:multiLevelType w:val="hybridMultilevel"/>
    <w:tmpl w:val="3FE6E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B404C7"/>
    <w:multiLevelType w:val="hybridMultilevel"/>
    <w:tmpl w:val="E388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E221F"/>
    <w:multiLevelType w:val="multilevel"/>
    <w:tmpl w:val="4C0CFB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0AA34A9"/>
    <w:multiLevelType w:val="hybridMultilevel"/>
    <w:tmpl w:val="FA7E6B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3186C46"/>
    <w:multiLevelType w:val="hybridMultilevel"/>
    <w:tmpl w:val="9AFC299A"/>
    <w:lvl w:ilvl="0" w:tplc="D9A8C4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5A0063"/>
    <w:multiLevelType w:val="multilevel"/>
    <w:tmpl w:val="4C0CFB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CAC3F79"/>
    <w:multiLevelType w:val="hybridMultilevel"/>
    <w:tmpl w:val="74E60B30"/>
    <w:lvl w:ilvl="0" w:tplc="08725AF2">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C5938"/>
    <w:multiLevelType w:val="multilevel"/>
    <w:tmpl w:val="4C0CFB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B467065"/>
    <w:multiLevelType w:val="hybridMultilevel"/>
    <w:tmpl w:val="47C827F0"/>
    <w:lvl w:ilvl="0" w:tplc="08725AF2">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51D6F"/>
    <w:multiLevelType w:val="multilevel"/>
    <w:tmpl w:val="4C0CFB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3"/>
  </w:num>
  <w:num w:numId="3">
    <w:abstractNumId w:val="8"/>
  </w:num>
  <w:num w:numId="4">
    <w:abstractNumId w:val="7"/>
  </w:num>
  <w:num w:numId="5">
    <w:abstractNumId w:val="16"/>
  </w:num>
  <w:num w:numId="6">
    <w:abstractNumId w:val="9"/>
  </w:num>
  <w:num w:numId="7">
    <w:abstractNumId w:val="11"/>
  </w:num>
  <w:num w:numId="8">
    <w:abstractNumId w:val="3"/>
  </w:num>
  <w:num w:numId="9">
    <w:abstractNumId w:val="3"/>
  </w:num>
  <w:num w:numId="10">
    <w:abstractNumId w:val="3"/>
  </w:num>
  <w:num w:numId="11">
    <w:abstractNumId w:val="3"/>
  </w:num>
  <w:num w:numId="12">
    <w:abstractNumId w:val="3"/>
  </w:num>
  <w:num w:numId="13">
    <w:abstractNumId w:val="3"/>
  </w:num>
  <w:num w:numId="14">
    <w:abstractNumId w:val="23"/>
  </w:num>
  <w:num w:numId="15">
    <w:abstractNumId w:val="3"/>
  </w:num>
  <w:num w:numId="16">
    <w:abstractNumId w:val="13"/>
  </w:num>
  <w:num w:numId="17">
    <w:abstractNumId w:val="5"/>
  </w:num>
  <w:num w:numId="18">
    <w:abstractNumId w:val="20"/>
  </w:num>
  <w:num w:numId="19">
    <w:abstractNumId w:val="3"/>
  </w:num>
  <w:num w:numId="20">
    <w:abstractNumId w:val="3"/>
  </w:num>
  <w:num w:numId="21">
    <w:abstractNumId w:val="3"/>
  </w:num>
  <w:num w:numId="22">
    <w:abstractNumId w:val="3"/>
  </w:num>
  <w:num w:numId="23">
    <w:abstractNumId w:val="3"/>
  </w:num>
  <w:num w:numId="24">
    <w:abstractNumId w:val="3"/>
  </w:num>
  <w:num w:numId="25">
    <w:abstractNumId w:val="4"/>
  </w:num>
  <w:num w:numId="26">
    <w:abstractNumId w:val="19"/>
  </w:num>
  <w:num w:numId="27">
    <w:abstractNumId w:val="10"/>
  </w:num>
  <w:num w:numId="28">
    <w:abstractNumId w:val="0"/>
  </w:num>
  <w:num w:numId="29">
    <w:abstractNumId w:val="21"/>
  </w:num>
  <w:num w:numId="30">
    <w:abstractNumId w:val="25"/>
  </w:num>
  <w:num w:numId="31">
    <w:abstractNumId w:val="3"/>
  </w:num>
  <w:num w:numId="32">
    <w:abstractNumId w:val="15"/>
  </w:num>
  <w:num w:numId="33">
    <w:abstractNumId w:val="3"/>
  </w:num>
  <w:num w:numId="34">
    <w:abstractNumId w:val="17"/>
  </w:num>
  <w:num w:numId="35">
    <w:abstractNumId w:val="22"/>
  </w:num>
  <w:num w:numId="36">
    <w:abstractNumId w:val="18"/>
  </w:num>
  <w:num w:numId="37">
    <w:abstractNumId w:val="6"/>
  </w:num>
  <w:num w:numId="38">
    <w:abstractNumId w:val="24"/>
  </w:num>
  <w:num w:numId="39">
    <w:abstractNumId w:val="2"/>
  </w:num>
  <w:num w:numId="40">
    <w:abstractNumId w:val="12"/>
  </w:num>
  <w:num w:numId="41">
    <w:abstractNumId w:val="1"/>
  </w:num>
  <w:num w:numId="42">
    <w:abstractNumId w:val="14"/>
  </w:num>
  <w:num w:numId="4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 LRiG&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xrrfzdtzatsx6eaw52pf25exw00ererwzex&quot;&gt;Erlotinib MTA writing library&lt;record-ids&gt;&lt;item&gt;1&lt;/item&gt;&lt;item&gt;2&lt;/item&gt;&lt;item&gt;3&lt;/item&gt;&lt;item&gt;5&lt;/item&gt;&lt;item&gt;8&lt;/item&gt;&lt;item&gt;10&lt;/item&gt;&lt;item&gt;11&lt;/item&gt;&lt;item&gt;16&lt;/item&gt;&lt;item&gt;18&lt;/item&gt;&lt;item&gt;21&lt;/item&gt;&lt;item&gt;22&lt;/item&gt;&lt;item&gt;24&lt;/item&gt;&lt;item&gt;25&lt;/item&gt;&lt;item&gt;26&lt;/item&gt;&lt;item&gt;27&lt;/item&gt;&lt;item&gt;30&lt;/item&gt;&lt;item&gt;31&lt;/item&gt;&lt;item&gt;32&lt;/item&gt;&lt;item&gt;33&lt;/item&gt;&lt;item&gt;34&lt;/item&gt;&lt;item&gt;35&lt;/item&gt;&lt;/record-ids&gt;&lt;/item&gt;&lt;/Libraries&gt;"/>
  </w:docVars>
  <w:rsids>
    <w:rsidRoot w:val="00D94716"/>
    <w:rsid w:val="00000161"/>
    <w:rsid w:val="0000032D"/>
    <w:rsid w:val="000003B3"/>
    <w:rsid w:val="00001221"/>
    <w:rsid w:val="000013CA"/>
    <w:rsid w:val="00001DB8"/>
    <w:rsid w:val="0000223C"/>
    <w:rsid w:val="00002778"/>
    <w:rsid w:val="00004416"/>
    <w:rsid w:val="00005DE3"/>
    <w:rsid w:val="00006262"/>
    <w:rsid w:val="00006491"/>
    <w:rsid w:val="00010CD9"/>
    <w:rsid w:val="00010E9B"/>
    <w:rsid w:val="00011E2F"/>
    <w:rsid w:val="00011E81"/>
    <w:rsid w:val="000122A7"/>
    <w:rsid w:val="00013140"/>
    <w:rsid w:val="000133F8"/>
    <w:rsid w:val="000145F4"/>
    <w:rsid w:val="00015624"/>
    <w:rsid w:val="00015BA3"/>
    <w:rsid w:val="00015BD8"/>
    <w:rsid w:val="00016657"/>
    <w:rsid w:val="000169A2"/>
    <w:rsid w:val="000169F7"/>
    <w:rsid w:val="000203AC"/>
    <w:rsid w:val="00020A05"/>
    <w:rsid w:val="00020BD7"/>
    <w:rsid w:val="00020D9B"/>
    <w:rsid w:val="00022D24"/>
    <w:rsid w:val="00024036"/>
    <w:rsid w:val="00024C94"/>
    <w:rsid w:val="000255B8"/>
    <w:rsid w:val="0002658D"/>
    <w:rsid w:val="0002759E"/>
    <w:rsid w:val="000312B0"/>
    <w:rsid w:val="00031CCC"/>
    <w:rsid w:val="00033EB3"/>
    <w:rsid w:val="0003498B"/>
    <w:rsid w:val="00034B90"/>
    <w:rsid w:val="00034E1F"/>
    <w:rsid w:val="0003616A"/>
    <w:rsid w:val="00036651"/>
    <w:rsid w:val="0003781D"/>
    <w:rsid w:val="000403DC"/>
    <w:rsid w:val="00040462"/>
    <w:rsid w:val="000406C5"/>
    <w:rsid w:val="000409C8"/>
    <w:rsid w:val="00040CFE"/>
    <w:rsid w:val="00040FB2"/>
    <w:rsid w:val="00041311"/>
    <w:rsid w:val="00041E6A"/>
    <w:rsid w:val="00042B80"/>
    <w:rsid w:val="00044539"/>
    <w:rsid w:val="00044F0F"/>
    <w:rsid w:val="00045030"/>
    <w:rsid w:val="00045B6F"/>
    <w:rsid w:val="0004609B"/>
    <w:rsid w:val="00047CDE"/>
    <w:rsid w:val="00050701"/>
    <w:rsid w:val="00051D35"/>
    <w:rsid w:val="0005226C"/>
    <w:rsid w:val="000525DB"/>
    <w:rsid w:val="00052ECA"/>
    <w:rsid w:val="000530D3"/>
    <w:rsid w:val="00053711"/>
    <w:rsid w:val="00053C74"/>
    <w:rsid w:val="00054046"/>
    <w:rsid w:val="00054BA5"/>
    <w:rsid w:val="0005631A"/>
    <w:rsid w:val="00057450"/>
    <w:rsid w:val="00060BE4"/>
    <w:rsid w:val="000612A5"/>
    <w:rsid w:val="00061A5F"/>
    <w:rsid w:val="000629DB"/>
    <w:rsid w:val="00064763"/>
    <w:rsid w:val="0006558E"/>
    <w:rsid w:val="00065753"/>
    <w:rsid w:val="0006589A"/>
    <w:rsid w:val="00065B83"/>
    <w:rsid w:val="00065ED6"/>
    <w:rsid w:val="000671DA"/>
    <w:rsid w:val="00070F25"/>
    <w:rsid w:val="00071F51"/>
    <w:rsid w:val="00072FB9"/>
    <w:rsid w:val="00073711"/>
    <w:rsid w:val="00073A86"/>
    <w:rsid w:val="00074159"/>
    <w:rsid w:val="000750BB"/>
    <w:rsid w:val="000770F5"/>
    <w:rsid w:val="00077F1C"/>
    <w:rsid w:val="00080BB3"/>
    <w:rsid w:val="00080C0A"/>
    <w:rsid w:val="00081AE8"/>
    <w:rsid w:val="00085C25"/>
    <w:rsid w:val="000867DC"/>
    <w:rsid w:val="000870BF"/>
    <w:rsid w:val="00087FAD"/>
    <w:rsid w:val="000900B9"/>
    <w:rsid w:val="00092974"/>
    <w:rsid w:val="0009520F"/>
    <w:rsid w:val="00095C10"/>
    <w:rsid w:val="00096668"/>
    <w:rsid w:val="00096798"/>
    <w:rsid w:val="000A05FF"/>
    <w:rsid w:val="000A0717"/>
    <w:rsid w:val="000A0D6A"/>
    <w:rsid w:val="000A325B"/>
    <w:rsid w:val="000A4897"/>
    <w:rsid w:val="000A5B51"/>
    <w:rsid w:val="000A6ED6"/>
    <w:rsid w:val="000B0280"/>
    <w:rsid w:val="000B2722"/>
    <w:rsid w:val="000B2744"/>
    <w:rsid w:val="000B38B6"/>
    <w:rsid w:val="000B3D6A"/>
    <w:rsid w:val="000B59B8"/>
    <w:rsid w:val="000B5A1F"/>
    <w:rsid w:val="000B5B7B"/>
    <w:rsid w:val="000B6903"/>
    <w:rsid w:val="000B7801"/>
    <w:rsid w:val="000C242C"/>
    <w:rsid w:val="000C2AD5"/>
    <w:rsid w:val="000C382E"/>
    <w:rsid w:val="000C3A04"/>
    <w:rsid w:val="000C6414"/>
    <w:rsid w:val="000C6565"/>
    <w:rsid w:val="000C6F84"/>
    <w:rsid w:val="000C7FEF"/>
    <w:rsid w:val="000D01BD"/>
    <w:rsid w:val="000D0382"/>
    <w:rsid w:val="000D1BEF"/>
    <w:rsid w:val="000D4745"/>
    <w:rsid w:val="000D5826"/>
    <w:rsid w:val="000D64FF"/>
    <w:rsid w:val="000D7154"/>
    <w:rsid w:val="000D72A7"/>
    <w:rsid w:val="000D765C"/>
    <w:rsid w:val="000E0F48"/>
    <w:rsid w:val="000E24CB"/>
    <w:rsid w:val="000E2DE8"/>
    <w:rsid w:val="000E37F1"/>
    <w:rsid w:val="000E40CE"/>
    <w:rsid w:val="000E43FE"/>
    <w:rsid w:val="000E71D1"/>
    <w:rsid w:val="000F00EC"/>
    <w:rsid w:val="000F1619"/>
    <w:rsid w:val="000F3354"/>
    <w:rsid w:val="000F43F4"/>
    <w:rsid w:val="000F4E87"/>
    <w:rsid w:val="001021ED"/>
    <w:rsid w:val="00104FAD"/>
    <w:rsid w:val="00105661"/>
    <w:rsid w:val="00105AF7"/>
    <w:rsid w:val="001066EF"/>
    <w:rsid w:val="00106A3F"/>
    <w:rsid w:val="00110BC5"/>
    <w:rsid w:val="00111482"/>
    <w:rsid w:val="00111D83"/>
    <w:rsid w:val="001135B5"/>
    <w:rsid w:val="001148B6"/>
    <w:rsid w:val="00116E0D"/>
    <w:rsid w:val="0011707D"/>
    <w:rsid w:val="001208ED"/>
    <w:rsid w:val="0012203B"/>
    <w:rsid w:val="00122165"/>
    <w:rsid w:val="00122827"/>
    <w:rsid w:val="00122A4A"/>
    <w:rsid w:val="00122B41"/>
    <w:rsid w:val="001235E3"/>
    <w:rsid w:val="00124F95"/>
    <w:rsid w:val="001258E7"/>
    <w:rsid w:val="00125CAA"/>
    <w:rsid w:val="00125F78"/>
    <w:rsid w:val="001268C5"/>
    <w:rsid w:val="00127515"/>
    <w:rsid w:val="0012785E"/>
    <w:rsid w:val="00127B48"/>
    <w:rsid w:val="00130319"/>
    <w:rsid w:val="001313AA"/>
    <w:rsid w:val="00131C9D"/>
    <w:rsid w:val="00132911"/>
    <w:rsid w:val="00133B34"/>
    <w:rsid w:val="001349A7"/>
    <w:rsid w:val="00134B08"/>
    <w:rsid w:val="001353CB"/>
    <w:rsid w:val="001358E2"/>
    <w:rsid w:val="00136CA6"/>
    <w:rsid w:val="00136CAE"/>
    <w:rsid w:val="00136F7F"/>
    <w:rsid w:val="00137212"/>
    <w:rsid w:val="00137675"/>
    <w:rsid w:val="0014048F"/>
    <w:rsid w:val="00141849"/>
    <w:rsid w:val="00144E44"/>
    <w:rsid w:val="00145019"/>
    <w:rsid w:val="001455D5"/>
    <w:rsid w:val="00146582"/>
    <w:rsid w:val="0014685C"/>
    <w:rsid w:val="00146EC6"/>
    <w:rsid w:val="00147471"/>
    <w:rsid w:val="001512D2"/>
    <w:rsid w:val="00151F9B"/>
    <w:rsid w:val="00154363"/>
    <w:rsid w:val="00155B72"/>
    <w:rsid w:val="00155E36"/>
    <w:rsid w:val="00157116"/>
    <w:rsid w:val="00157712"/>
    <w:rsid w:val="0015799A"/>
    <w:rsid w:val="00157A99"/>
    <w:rsid w:val="00157F25"/>
    <w:rsid w:val="0016102E"/>
    <w:rsid w:val="00161B29"/>
    <w:rsid w:val="00161C13"/>
    <w:rsid w:val="001627C5"/>
    <w:rsid w:val="00164BE6"/>
    <w:rsid w:val="0016519E"/>
    <w:rsid w:val="001655AC"/>
    <w:rsid w:val="0016628D"/>
    <w:rsid w:val="0016692F"/>
    <w:rsid w:val="0016764E"/>
    <w:rsid w:val="00167B73"/>
    <w:rsid w:val="00170425"/>
    <w:rsid w:val="00171E40"/>
    <w:rsid w:val="00174D34"/>
    <w:rsid w:val="00175647"/>
    <w:rsid w:val="001758A1"/>
    <w:rsid w:val="00175A14"/>
    <w:rsid w:val="00175C71"/>
    <w:rsid w:val="001807E8"/>
    <w:rsid w:val="00181B01"/>
    <w:rsid w:val="00181F7A"/>
    <w:rsid w:val="00183DE6"/>
    <w:rsid w:val="00183EC9"/>
    <w:rsid w:val="00184798"/>
    <w:rsid w:val="00185C95"/>
    <w:rsid w:val="00186C25"/>
    <w:rsid w:val="00186E73"/>
    <w:rsid w:val="00187E61"/>
    <w:rsid w:val="00190608"/>
    <w:rsid w:val="00194B42"/>
    <w:rsid w:val="00197111"/>
    <w:rsid w:val="00197915"/>
    <w:rsid w:val="0019793B"/>
    <w:rsid w:val="001A0048"/>
    <w:rsid w:val="001A09EE"/>
    <w:rsid w:val="001A1379"/>
    <w:rsid w:val="001A18DC"/>
    <w:rsid w:val="001A329E"/>
    <w:rsid w:val="001A6600"/>
    <w:rsid w:val="001B0D77"/>
    <w:rsid w:val="001B1880"/>
    <w:rsid w:val="001B1B5D"/>
    <w:rsid w:val="001B3074"/>
    <w:rsid w:val="001B37F2"/>
    <w:rsid w:val="001B4495"/>
    <w:rsid w:val="001B486A"/>
    <w:rsid w:val="001B5CD4"/>
    <w:rsid w:val="001B5F8C"/>
    <w:rsid w:val="001B6952"/>
    <w:rsid w:val="001C0F1A"/>
    <w:rsid w:val="001C106E"/>
    <w:rsid w:val="001C10D1"/>
    <w:rsid w:val="001C18D1"/>
    <w:rsid w:val="001C3328"/>
    <w:rsid w:val="001C4A25"/>
    <w:rsid w:val="001C4DB7"/>
    <w:rsid w:val="001C4EBF"/>
    <w:rsid w:val="001C7562"/>
    <w:rsid w:val="001C7766"/>
    <w:rsid w:val="001C7B62"/>
    <w:rsid w:val="001C7C56"/>
    <w:rsid w:val="001C7CAC"/>
    <w:rsid w:val="001D11AA"/>
    <w:rsid w:val="001D1673"/>
    <w:rsid w:val="001D1C86"/>
    <w:rsid w:val="001D1FAA"/>
    <w:rsid w:val="001D20DA"/>
    <w:rsid w:val="001D2C80"/>
    <w:rsid w:val="001D3392"/>
    <w:rsid w:val="001D428E"/>
    <w:rsid w:val="001D5ACD"/>
    <w:rsid w:val="001D76A3"/>
    <w:rsid w:val="001E029F"/>
    <w:rsid w:val="001E2EA8"/>
    <w:rsid w:val="001E31B0"/>
    <w:rsid w:val="001E3212"/>
    <w:rsid w:val="001E3A6E"/>
    <w:rsid w:val="001E5DB2"/>
    <w:rsid w:val="001E7ED6"/>
    <w:rsid w:val="001F02CA"/>
    <w:rsid w:val="001F0B36"/>
    <w:rsid w:val="001F0D0A"/>
    <w:rsid w:val="001F0E89"/>
    <w:rsid w:val="001F0F72"/>
    <w:rsid w:val="001F1A9A"/>
    <w:rsid w:val="001F22BC"/>
    <w:rsid w:val="001F3907"/>
    <w:rsid w:val="001F4C88"/>
    <w:rsid w:val="001F5218"/>
    <w:rsid w:val="001F557C"/>
    <w:rsid w:val="001F5B91"/>
    <w:rsid w:val="00200186"/>
    <w:rsid w:val="00200EB2"/>
    <w:rsid w:val="002010B3"/>
    <w:rsid w:val="0020120F"/>
    <w:rsid w:val="00201DDB"/>
    <w:rsid w:val="002033EB"/>
    <w:rsid w:val="0020360B"/>
    <w:rsid w:val="002041C5"/>
    <w:rsid w:val="002057A9"/>
    <w:rsid w:val="00205F6C"/>
    <w:rsid w:val="00206A6C"/>
    <w:rsid w:val="00206F70"/>
    <w:rsid w:val="00207B21"/>
    <w:rsid w:val="00207C12"/>
    <w:rsid w:val="00210518"/>
    <w:rsid w:val="00213A21"/>
    <w:rsid w:val="0021417D"/>
    <w:rsid w:val="002162FB"/>
    <w:rsid w:val="002175E6"/>
    <w:rsid w:val="002206EE"/>
    <w:rsid w:val="0022133D"/>
    <w:rsid w:val="0022198E"/>
    <w:rsid w:val="00221D7A"/>
    <w:rsid w:val="00223976"/>
    <w:rsid w:val="002239F0"/>
    <w:rsid w:val="00225351"/>
    <w:rsid w:val="002253E3"/>
    <w:rsid w:val="00225636"/>
    <w:rsid w:val="00225AC2"/>
    <w:rsid w:val="00225C41"/>
    <w:rsid w:val="00227933"/>
    <w:rsid w:val="002301B7"/>
    <w:rsid w:val="00230DFA"/>
    <w:rsid w:val="00232A5F"/>
    <w:rsid w:val="00232E75"/>
    <w:rsid w:val="00233274"/>
    <w:rsid w:val="002336D9"/>
    <w:rsid w:val="002355D9"/>
    <w:rsid w:val="00237D7A"/>
    <w:rsid w:val="0024070A"/>
    <w:rsid w:val="0024071F"/>
    <w:rsid w:val="00243D26"/>
    <w:rsid w:val="002441CF"/>
    <w:rsid w:val="00244201"/>
    <w:rsid w:val="00244F0B"/>
    <w:rsid w:val="00244F2D"/>
    <w:rsid w:val="00245201"/>
    <w:rsid w:val="0024686D"/>
    <w:rsid w:val="0024750F"/>
    <w:rsid w:val="00250357"/>
    <w:rsid w:val="0025073C"/>
    <w:rsid w:val="002512CD"/>
    <w:rsid w:val="0025227F"/>
    <w:rsid w:val="0025296D"/>
    <w:rsid w:val="002532AE"/>
    <w:rsid w:val="00253A70"/>
    <w:rsid w:val="00253F9E"/>
    <w:rsid w:val="0025687C"/>
    <w:rsid w:val="00257BE0"/>
    <w:rsid w:val="00261CC4"/>
    <w:rsid w:val="00261E38"/>
    <w:rsid w:val="00264475"/>
    <w:rsid w:val="00264680"/>
    <w:rsid w:val="00264E3C"/>
    <w:rsid w:val="00266034"/>
    <w:rsid w:val="00267DA5"/>
    <w:rsid w:val="00271075"/>
    <w:rsid w:val="00271CAD"/>
    <w:rsid w:val="00271D1F"/>
    <w:rsid w:val="0027406F"/>
    <w:rsid w:val="00274465"/>
    <w:rsid w:val="002759FA"/>
    <w:rsid w:val="00276B8B"/>
    <w:rsid w:val="002804E8"/>
    <w:rsid w:val="00280703"/>
    <w:rsid w:val="0028261E"/>
    <w:rsid w:val="002828E1"/>
    <w:rsid w:val="0028444E"/>
    <w:rsid w:val="002849C8"/>
    <w:rsid w:val="002850CC"/>
    <w:rsid w:val="0028521F"/>
    <w:rsid w:val="00287027"/>
    <w:rsid w:val="00287FCF"/>
    <w:rsid w:val="0029052C"/>
    <w:rsid w:val="00291598"/>
    <w:rsid w:val="00292AAF"/>
    <w:rsid w:val="00292C5E"/>
    <w:rsid w:val="00294FDF"/>
    <w:rsid w:val="00295580"/>
    <w:rsid w:val="00295A82"/>
    <w:rsid w:val="002972D8"/>
    <w:rsid w:val="002A02FB"/>
    <w:rsid w:val="002A1362"/>
    <w:rsid w:val="002A28B6"/>
    <w:rsid w:val="002A338C"/>
    <w:rsid w:val="002A37E9"/>
    <w:rsid w:val="002A6091"/>
    <w:rsid w:val="002A706B"/>
    <w:rsid w:val="002A78EA"/>
    <w:rsid w:val="002B1EB1"/>
    <w:rsid w:val="002B25F3"/>
    <w:rsid w:val="002B2FA4"/>
    <w:rsid w:val="002B3C21"/>
    <w:rsid w:val="002B40B9"/>
    <w:rsid w:val="002B44F0"/>
    <w:rsid w:val="002B5301"/>
    <w:rsid w:val="002B63AB"/>
    <w:rsid w:val="002B7812"/>
    <w:rsid w:val="002B7B6B"/>
    <w:rsid w:val="002C09FA"/>
    <w:rsid w:val="002C1153"/>
    <w:rsid w:val="002C11BE"/>
    <w:rsid w:val="002C19C3"/>
    <w:rsid w:val="002C2A29"/>
    <w:rsid w:val="002C2E18"/>
    <w:rsid w:val="002C3A9E"/>
    <w:rsid w:val="002C4096"/>
    <w:rsid w:val="002C49EF"/>
    <w:rsid w:val="002C4E2B"/>
    <w:rsid w:val="002C5C55"/>
    <w:rsid w:val="002C6442"/>
    <w:rsid w:val="002C6944"/>
    <w:rsid w:val="002D031D"/>
    <w:rsid w:val="002D3817"/>
    <w:rsid w:val="002D3838"/>
    <w:rsid w:val="002D3E1A"/>
    <w:rsid w:val="002D4679"/>
    <w:rsid w:val="002D6672"/>
    <w:rsid w:val="002D72DC"/>
    <w:rsid w:val="002D7F89"/>
    <w:rsid w:val="002E13A7"/>
    <w:rsid w:val="002E1758"/>
    <w:rsid w:val="002E2A36"/>
    <w:rsid w:val="002E323D"/>
    <w:rsid w:val="002E32F5"/>
    <w:rsid w:val="002E3B34"/>
    <w:rsid w:val="002E603B"/>
    <w:rsid w:val="002E6417"/>
    <w:rsid w:val="002E762C"/>
    <w:rsid w:val="002F2F66"/>
    <w:rsid w:val="002F3266"/>
    <w:rsid w:val="002F5C97"/>
    <w:rsid w:val="002F5CC5"/>
    <w:rsid w:val="002F64DA"/>
    <w:rsid w:val="002F70E7"/>
    <w:rsid w:val="002F7F39"/>
    <w:rsid w:val="00300050"/>
    <w:rsid w:val="00301C08"/>
    <w:rsid w:val="00302110"/>
    <w:rsid w:val="003030AA"/>
    <w:rsid w:val="0030320B"/>
    <w:rsid w:val="00303338"/>
    <w:rsid w:val="0030529B"/>
    <w:rsid w:val="00305842"/>
    <w:rsid w:val="0030600F"/>
    <w:rsid w:val="003060DD"/>
    <w:rsid w:val="003064C3"/>
    <w:rsid w:val="0030677A"/>
    <w:rsid w:val="00306DDC"/>
    <w:rsid w:val="003102B4"/>
    <w:rsid w:val="00311C6A"/>
    <w:rsid w:val="00312484"/>
    <w:rsid w:val="00312740"/>
    <w:rsid w:val="003131DB"/>
    <w:rsid w:val="0031371D"/>
    <w:rsid w:val="00313FC9"/>
    <w:rsid w:val="00315694"/>
    <w:rsid w:val="00315A48"/>
    <w:rsid w:val="00315ECD"/>
    <w:rsid w:val="00315F20"/>
    <w:rsid w:val="00317B12"/>
    <w:rsid w:val="00317B93"/>
    <w:rsid w:val="00317C74"/>
    <w:rsid w:val="00320B93"/>
    <w:rsid w:val="00321E0E"/>
    <w:rsid w:val="0032253B"/>
    <w:rsid w:val="0032260B"/>
    <w:rsid w:val="0032375C"/>
    <w:rsid w:val="00325914"/>
    <w:rsid w:val="00326BA1"/>
    <w:rsid w:val="00327CE7"/>
    <w:rsid w:val="0033074E"/>
    <w:rsid w:val="0033232C"/>
    <w:rsid w:val="00333176"/>
    <w:rsid w:val="00333C94"/>
    <w:rsid w:val="00333E12"/>
    <w:rsid w:val="00334CC0"/>
    <w:rsid w:val="003357BD"/>
    <w:rsid w:val="00335E58"/>
    <w:rsid w:val="00336F68"/>
    <w:rsid w:val="003376FD"/>
    <w:rsid w:val="003458A2"/>
    <w:rsid w:val="0034669D"/>
    <w:rsid w:val="0034737A"/>
    <w:rsid w:val="00347F21"/>
    <w:rsid w:val="00350AE3"/>
    <w:rsid w:val="00352A15"/>
    <w:rsid w:val="0035369F"/>
    <w:rsid w:val="00354267"/>
    <w:rsid w:val="00354391"/>
    <w:rsid w:val="00356EAC"/>
    <w:rsid w:val="003576A6"/>
    <w:rsid w:val="00360EB2"/>
    <w:rsid w:val="00361E56"/>
    <w:rsid w:val="0036239E"/>
    <w:rsid w:val="00362C61"/>
    <w:rsid w:val="00362DF4"/>
    <w:rsid w:val="00362E3D"/>
    <w:rsid w:val="003634BC"/>
    <w:rsid w:val="00363588"/>
    <w:rsid w:val="00363CD0"/>
    <w:rsid w:val="00363E4A"/>
    <w:rsid w:val="00363FF9"/>
    <w:rsid w:val="00364289"/>
    <w:rsid w:val="0036529C"/>
    <w:rsid w:val="003655B7"/>
    <w:rsid w:val="00367375"/>
    <w:rsid w:val="00370853"/>
    <w:rsid w:val="0037178E"/>
    <w:rsid w:val="003728BE"/>
    <w:rsid w:val="00374210"/>
    <w:rsid w:val="003774A4"/>
    <w:rsid w:val="0038091E"/>
    <w:rsid w:val="003820CC"/>
    <w:rsid w:val="00382172"/>
    <w:rsid w:val="00382769"/>
    <w:rsid w:val="00383C75"/>
    <w:rsid w:val="00384732"/>
    <w:rsid w:val="00384C49"/>
    <w:rsid w:val="00384D74"/>
    <w:rsid w:val="003862A8"/>
    <w:rsid w:val="00386434"/>
    <w:rsid w:val="003904AF"/>
    <w:rsid w:val="00390792"/>
    <w:rsid w:val="00390EE3"/>
    <w:rsid w:val="00391069"/>
    <w:rsid w:val="00391ADC"/>
    <w:rsid w:val="00391C80"/>
    <w:rsid w:val="00391CF3"/>
    <w:rsid w:val="00392632"/>
    <w:rsid w:val="0039379A"/>
    <w:rsid w:val="003953EB"/>
    <w:rsid w:val="00395B23"/>
    <w:rsid w:val="00396223"/>
    <w:rsid w:val="003962D1"/>
    <w:rsid w:val="00397921"/>
    <w:rsid w:val="003A065E"/>
    <w:rsid w:val="003A0788"/>
    <w:rsid w:val="003A2D0D"/>
    <w:rsid w:val="003A323F"/>
    <w:rsid w:val="003A3D07"/>
    <w:rsid w:val="003A4B36"/>
    <w:rsid w:val="003A5201"/>
    <w:rsid w:val="003A658A"/>
    <w:rsid w:val="003A6F2E"/>
    <w:rsid w:val="003A7A62"/>
    <w:rsid w:val="003B073B"/>
    <w:rsid w:val="003B0E78"/>
    <w:rsid w:val="003B155E"/>
    <w:rsid w:val="003B1A8B"/>
    <w:rsid w:val="003B318F"/>
    <w:rsid w:val="003B3E7A"/>
    <w:rsid w:val="003B507A"/>
    <w:rsid w:val="003B6188"/>
    <w:rsid w:val="003B6499"/>
    <w:rsid w:val="003B69A6"/>
    <w:rsid w:val="003B6C63"/>
    <w:rsid w:val="003B6F6D"/>
    <w:rsid w:val="003C194F"/>
    <w:rsid w:val="003C1CDE"/>
    <w:rsid w:val="003C2E9E"/>
    <w:rsid w:val="003C4B08"/>
    <w:rsid w:val="003C610E"/>
    <w:rsid w:val="003C7049"/>
    <w:rsid w:val="003C71DB"/>
    <w:rsid w:val="003D09D0"/>
    <w:rsid w:val="003D105D"/>
    <w:rsid w:val="003D1229"/>
    <w:rsid w:val="003D1DBB"/>
    <w:rsid w:val="003D4E85"/>
    <w:rsid w:val="003D6BA6"/>
    <w:rsid w:val="003D7461"/>
    <w:rsid w:val="003D76AC"/>
    <w:rsid w:val="003E1F2D"/>
    <w:rsid w:val="003E2F35"/>
    <w:rsid w:val="003E3949"/>
    <w:rsid w:val="003E5561"/>
    <w:rsid w:val="003E56A9"/>
    <w:rsid w:val="003E58B8"/>
    <w:rsid w:val="003E5DC0"/>
    <w:rsid w:val="003E7624"/>
    <w:rsid w:val="003E77E1"/>
    <w:rsid w:val="003F032F"/>
    <w:rsid w:val="003F0828"/>
    <w:rsid w:val="003F1FB9"/>
    <w:rsid w:val="003F22C0"/>
    <w:rsid w:val="003F23B5"/>
    <w:rsid w:val="003F2991"/>
    <w:rsid w:val="003F29F2"/>
    <w:rsid w:val="003F327A"/>
    <w:rsid w:val="003F357F"/>
    <w:rsid w:val="003F35FA"/>
    <w:rsid w:val="003F43A9"/>
    <w:rsid w:val="003F461F"/>
    <w:rsid w:val="003F5AAA"/>
    <w:rsid w:val="003F5E7C"/>
    <w:rsid w:val="003F60DD"/>
    <w:rsid w:val="003F7165"/>
    <w:rsid w:val="003F7679"/>
    <w:rsid w:val="003F7FDA"/>
    <w:rsid w:val="00400B24"/>
    <w:rsid w:val="00401F62"/>
    <w:rsid w:val="00402B7F"/>
    <w:rsid w:val="00402D7D"/>
    <w:rsid w:val="0040343E"/>
    <w:rsid w:val="0040495C"/>
    <w:rsid w:val="00404B00"/>
    <w:rsid w:val="0040593F"/>
    <w:rsid w:val="00406185"/>
    <w:rsid w:val="004101E8"/>
    <w:rsid w:val="004111CE"/>
    <w:rsid w:val="0041224C"/>
    <w:rsid w:val="004129F9"/>
    <w:rsid w:val="00412E09"/>
    <w:rsid w:val="00414488"/>
    <w:rsid w:val="004146F4"/>
    <w:rsid w:val="004150BF"/>
    <w:rsid w:val="004153CA"/>
    <w:rsid w:val="00416428"/>
    <w:rsid w:val="004166A9"/>
    <w:rsid w:val="00416800"/>
    <w:rsid w:val="0042062E"/>
    <w:rsid w:val="00420AF9"/>
    <w:rsid w:val="00420C88"/>
    <w:rsid w:val="00420DD5"/>
    <w:rsid w:val="004210C8"/>
    <w:rsid w:val="00423E5F"/>
    <w:rsid w:val="00425116"/>
    <w:rsid w:val="00425186"/>
    <w:rsid w:val="00425346"/>
    <w:rsid w:val="00425811"/>
    <w:rsid w:val="00425AAC"/>
    <w:rsid w:val="004263E4"/>
    <w:rsid w:val="0042652C"/>
    <w:rsid w:val="00426769"/>
    <w:rsid w:val="00426D8C"/>
    <w:rsid w:val="00426EDB"/>
    <w:rsid w:val="00427017"/>
    <w:rsid w:val="00427551"/>
    <w:rsid w:val="00430616"/>
    <w:rsid w:val="00431239"/>
    <w:rsid w:val="004321E7"/>
    <w:rsid w:val="00433D03"/>
    <w:rsid w:val="00444B7F"/>
    <w:rsid w:val="004460A0"/>
    <w:rsid w:val="00446222"/>
    <w:rsid w:val="0044700E"/>
    <w:rsid w:val="00450BB2"/>
    <w:rsid w:val="004514CA"/>
    <w:rsid w:val="00452363"/>
    <w:rsid w:val="00452784"/>
    <w:rsid w:val="00453008"/>
    <w:rsid w:val="00454D1E"/>
    <w:rsid w:val="004556D9"/>
    <w:rsid w:val="0045596B"/>
    <w:rsid w:val="00455CAC"/>
    <w:rsid w:val="00455F80"/>
    <w:rsid w:val="00456D97"/>
    <w:rsid w:val="00456F33"/>
    <w:rsid w:val="00457330"/>
    <w:rsid w:val="00460966"/>
    <w:rsid w:val="00460F33"/>
    <w:rsid w:val="0046194F"/>
    <w:rsid w:val="00462561"/>
    <w:rsid w:val="0046489F"/>
    <w:rsid w:val="00464F18"/>
    <w:rsid w:val="00465362"/>
    <w:rsid w:val="004654A2"/>
    <w:rsid w:val="00467E48"/>
    <w:rsid w:val="004701D9"/>
    <w:rsid w:val="00470C7A"/>
    <w:rsid w:val="00470E7E"/>
    <w:rsid w:val="004714C8"/>
    <w:rsid w:val="00471933"/>
    <w:rsid w:val="00471F8C"/>
    <w:rsid w:val="00472C10"/>
    <w:rsid w:val="0047317B"/>
    <w:rsid w:val="00473714"/>
    <w:rsid w:val="0047422B"/>
    <w:rsid w:val="004757DC"/>
    <w:rsid w:val="00475E31"/>
    <w:rsid w:val="004763CD"/>
    <w:rsid w:val="0047722C"/>
    <w:rsid w:val="0048022C"/>
    <w:rsid w:val="00483120"/>
    <w:rsid w:val="0048415A"/>
    <w:rsid w:val="0048461D"/>
    <w:rsid w:val="00484661"/>
    <w:rsid w:val="0048521D"/>
    <w:rsid w:val="00485A72"/>
    <w:rsid w:val="00486351"/>
    <w:rsid w:val="0048643A"/>
    <w:rsid w:val="00486574"/>
    <w:rsid w:val="0049061A"/>
    <w:rsid w:val="00491811"/>
    <w:rsid w:val="00491AFE"/>
    <w:rsid w:val="00491D39"/>
    <w:rsid w:val="00494C32"/>
    <w:rsid w:val="00497195"/>
    <w:rsid w:val="004A04A9"/>
    <w:rsid w:val="004A0A5E"/>
    <w:rsid w:val="004A0AC4"/>
    <w:rsid w:val="004A0DF0"/>
    <w:rsid w:val="004A1092"/>
    <w:rsid w:val="004A25C7"/>
    <w:rsid w:val="004A29D6"/>
    <w:rsid w:val="004A373E"/>
    <w:rsid w:val="004A3B7F"/>
    <w:rsid w:val="004A5B0A"/>
    <w:rsid w:val="004A6054"/>
    <w:rsid w:val="004A7774"/>
    <w:rsid w:val="004A7F09"/>
    <w:rsid w:val="004B0006"/>
    <w:rsid w:val="004B0037"/>
    <w:rsid w:val="004B19CB"/>
    <w:rsid w:val="004B20F2"/>
    <w:rsid w:val="004B25CB"/>
    <w:rsid w:val="004B2679"/>
    <w:rsid w:val="004B29D9"/>
    <w:rsid w:val="004B2E5E"/>
    <w:rsid w:val="004B3734"/>
    <w:rsid w:val="004B3D2C"/>
    <w:rsid w:val="004B3F22"/>
    <w:rsid w:val="004B41C3"/>
    <w:rsid w:val="004B5F47"/>
    <w:rsid w:val="004B6878"/>
    <w:rsid w:val="004B79EA"/>
    <w:rsid w:val="004B7F83"/>
    <w:rsid w:val="004C0EC5"/>
    <w:rsid w:val="004C0F7E"/>
    <w:rsid w:val="004C1F80"/>
    <w:rsid w:val="004C2CB9"/>
    <w:rsid w:val="004C444E"/>
    <w:rsid w:val="004C6A5B"/>
    <w:rsid w:val="004C6A7E"/>
    <w:rsid w:val="004C6E51"/>
    <w:rsid w:val="004C75B7"/>
    <w:rsid w:val="004C774F"/>
    <w:rsid w:val="004D0207"/>
    <w:rsid w:val="004D0414"/>
    <w:rsid w:val="004D0FF4"/>
    <w:rsid w:val="004D20C0"/>
    <w:rsid w:val="004D2342"/>
    <w:rsid w:val="004D2871"/>
    <w:rsid w:val="004D2D7E"/>
    <w:rsid w:val="004D30B4"/>
    <w:rsid w:val="004D3E51"/>
    <w:rsid w:val="004D42CE"/>
    <w:rsid w:val="004D5461"/>
    <w:rsid w:val="004D5694"/>
    <w:rsid w:val="004D7CE5"/>
    <w:rsid w:val="004E016D"/>
    <w:rsid w:val="004E14E2"/>
    <w:rsid w:val="004E1616"/>
    <w:rsid w:val="004E1A69"/>
    <w:rsid w:val="004E1E7D"/>
    <w:rsid w:val="004E2552"/>
    <w:rsid w:val="004E6068"/>
    <w:rsid w:val="004E78A4"/>
    <w:rsid w:val="004F3AD0"/>
    <w:rsid w:val="004F4769"/>
    <w:rsid w:val="004F529E"/>
    <w:rsid w:val="004F55BF"/>
    <w:rsid w:val="004F57F6"/>
    <w:rsid w:val="004F6851"/>
    <w:rsid w:val="004F792E"/>
    <w:rsid w:val="004F7B6C"/>
    <w:rsid w:val="00500D11"/>
    <w:rsid w:val="00501660"/>
    <w:rsid w:val="005037FE"/>
    <w:rsid w:val="005044D3"/>
    <w:rsid w:val="00504B22"/>
    <w:rsid w:val="00504F52"/>
    <w:rsid w:val="005060E2"/>
    <w:rsid w:val="00506E63"/>
    <w:rsid w:val="0051186F"/>
    <w:rsid w:val="0051243C"/>
    <w:rsid w:val="00512C84"/>
    <w:rsid w:val="00513A71"/>
    <w:rsid w:val="0051536D"/>
    <w:rsid w:val="005153BC"/>
    <w:rsid w:val="0051656C"/>
    <w:rsid w:val="005166DF"/>
    <w:rsid w:val="00517920"/>
    <w:rsid w:val="0052216D"/>
    <w:rsid w:val="00523523"/>
    <w:rsid w:val="0052382E"/>
    <w:rsid w:val="00523B3C"/>
    <w:rsid w:val="00524512"/>
    <w:rsid w:val="00524553"/>
    <w:rsid w:val="0052476F"/>
    <w:rsid w:val="00525F6E"/>
    <w:rsid w:val="00526FBD"/>
    <w:rsid w:val="00527E0E"/>
    <w:rsid w:val="00530B11"/>
    <w:rsid w:val="00530D82"/>
    <w:rsid w:val="0053137F"/>
    <w:rsid w:val="00533E8B"/>
    <w:rsid w:val="005340F3"/>
    <w:rsid w:val="005345E8"/>
    <w:rsid w:val="00541E3E"/>
    <w:rsid w:val="005440FF"/>
    <w:rsid w:val="005454EB"/>
    <w:rsid w:val="00545B54"/>
    <w:rsid w:val="00546805"/>
    <w:rsid w:val="00546ABC"/>
    <w:rsid w:val="00547C1C"/>
    <w:rsid w:val="005507FF"/>
    <w:rsid w:val="00551DC1"/>
    <w:rsid w:val="00552725"/>
    <w:rsid w:val="005528D5"/>
    <w:rsid w:val="00552A1F"/>
    <w:rsid w:val="00552D04"/>
    <w:rsid w:val="00553349"/>
    <w:rsid w:val="00554A28"/>
    <w:rsid w:val="00554C2E"/>
    <w:rsid w:val="00554CFE"/>
    <w:rsid w:val="00556EBC"/>
    <w:rsid w:val="00557C5A"/>
    <w:rsid w:val="0056108B"/>
    <w:rsid w:val="005616F2"/>
    <w:rsid w:val="00561EEE"/>
    <w:rsid w:val="00565A00"/>
    <w:rsid w:val="00565DB1"/>
    <w:rsid w:val="0056738D"/>
    <w:rsid w:val="0056761B"/>
    <w:rsid w:val="00567FFE"/>
    <w:rsid w:val="00570184"/>
    <w:rsid w:val="00572198"/>
    <w:rsid w:val="00572D0D"/>
    <w:rsid w:val="00573BE2"/>
    <w:rsid w:val="0057437B"/>
    <w:rsid w:val="005749BC"/>
    <w:rsid w:val="00577D16"/>
    <w:rsid w:val="00582D1A"/>
    <w:rsid w:val="00583B72"/>
    <w:rsid w:val="00584F48"/>
    <w:rsid w:val="00584F66"/>
    <w:rsid w:val="00587575"/>
    <w:rsid w:val="0058758F"/>
    <w:rsid w:val="00587742"/>
    <w:rsid w:val="005900F7"/>
    <w:rsid w:val="00590407"/>
    <w:rsid w:val="00590D24"/>
    <w:rsid w:val="005919FC"/>
    <w:rsid w:val="00591D90"/>
    <w:rsid w:val="005922AD"/>
    <w:rsid w:val="005924F2"/>
    <w:rsid w:val="0059447D"/>
    <w:rsid w:val="005948CA"/>
    <w:rsid w:val="00595F07"/>
    <w:rsid w:val="005961EF"/>
    <w:rsid w:val="0059692F"/>
    <w:rsid w:val="00597619"/>
    <w:rsid w:val="005A1B0E"/>
    <w:rsid w:val="005A1C20"/>
    <w:rsid w:val="005A215C"/>
    <w:rsid w:val="005A21F4"/>
    <w:rsid w:val="005A2250"/>
    <w:rsid w:val="005A2866"/>
    <w:rsid w:val="005A36D3"/>
    <w:rsid w:val="005A4D34"/>
    <w:rsid w:val="005A7769"/>
    <w:rsid w:val="005B126C"/>
    <w:rsid w:val="005B1CE5"/>
    <w:rsid w:val="005B234F"/>
    <w:rsid w:val="005B2D37"/>
    <w:rsid w:val="005B4CBF"/>
    <w:rsid w:val="005B6425"/>
    <w:rsid w:val="005B7B59"/>
    <w:rsid w:val="005B7D60"/>
    <w:rsid w:val="005C00BF"/>
    <w:rsid w:val="005C041F"/>
    <w:rsid w:val="005C1ADD"/>
    <w:rsid w:val="005C1C87"/>
    <w:rsid w:val="005C3CCC"/>
    <w:rsid w:val="005C5000"/>
    <w:rsid w:val="005C5A75"/>
    <w:rsid w:val="005C5DF7"/>
    <w:rsid w:val="005D01BF"/>
    <w:rsid w:val="005D08E8"/>
    <w:rsid w:val="005D1337"/>
    <w:rsid w:val="005D300B"/>
    <w:rsid w:val="005D572E"/>
    <w:rsid w:val="005D5DD4"/>
    <w:rsid w:val="005D6D8F"/>
    <w:rsid w:val="005D7082"/>
    <w:rsid w:val="005D79ED"/>
    <w:rsid w:val="005E0BE7"/>
    <w:rsid w:val="005E0DA1"/>
    <w:rsid w:val="005E0E4E"/>
    <w:rsid w:val="005E3223"/>
    <w:rsid w:val="005E3EC9"/>
    <w:rsid w:val="005E46EB"/>
    <w:rsid w:val="005E4860"/>
    <w:rsid w:val="005E4F49"/>
    <w:rsid w:val="005E53F2"/>
    <w:rsid w:val="005E574E"/>
    <w:rsid w:val="005F09BA"/>
    <w:rsid w:val="005F0C1A"/>
    <w:rsid w:val="005F18AA"/>
    <w:rsid w:val="005F1DA9"/>
    <w:rsid w:val="005F1DD5"/>
    <w:rsid w:val="005F281A"/>
    <w:rsid w:val="005F2872"/>
    <w:rsid w:val="005F2AF6"/>
    <w:rsid w:val="005F336D"/>
    <w:rsid w:val="005F35B4"/>
    <w:rsid w:val="005F452A"/>
    <w:rsid w:val="005F6D36"/>
    <w:rsid w:val="005F70E8"/>
    <w:rsid w:val="0060028F"/>
    <w:rsid w:val="0060081C"/>
    <w:rsid w:val="006011B2"/>
    <w:rsid w:val="00601E41"/>
    <w:rsid w:val="00603D4C"/>
    <w:rsid w:val="006040D1"/>
    <w:rsid w:val="006051FD"/>
    <w:rsid w:val="00605A71"/>
    <w:rsid w:val="00605C7B"/>
    <w:rsid w:val="006065BC"/>
    <w:rsid w:val="006073EC"/>
    <w:rsid w:val="00607F30"/>
    <w:rsid w:val="006118D9"/>
    <w:rsid w:val="00612C83"/>
    <w:rsid w:val="006139EE"/>
    <w:rsid w:val="00613B5B"/>
    <w:rsid w:val="00613EBB"/>
    <w:rsid w:val="0061413C"/>
    <w:rsid w:val="006155AA"/>
    <w:rsid w:val="006157B1"/>
    <w:rsid w:val="00615D78"/>
    <w:rsid w:val="00617874"/>
    <w:rsid w:val="0062017D"/>
    <w:rsid w:val="00620664"/>
    <w:rsid w:val="0062178C"/>
    <w:rsid w:val="006241C6"/>
    <w:rsid w:val="0062523E"/>
    <w:rsid w:val="00625274"/>
    <w:rsid w:val="0062530C"/>
    <w:rsid w:val="0062593E"/>
    <w:rsid w:val="00625BD8"/>
    <w:rsid w:val="00626D4D"/>
    <w:rsid w:val="006273B2"/>
    <w:rsid w:val="00627A42"/>
    <w:rsid w:val="00627D1A"/>
    <w:rsid w:val="0063071F"/>
    <w:rsid w:val="0063094B"/>
    <w:rsid w:val="00630A32"/>
    <w:rsid w:val="00631365"/>
    <w:rsid w:val="00634D60"/>
    <w:rsid w:val="00634DB4"/>
    <w:rsid w:val="0063663E"/>
    <w:rsid w:val="00637BEB"/>
    <w:rsid w:val="00637D9A"/>
    <w:rsid w:val="006407D6"/>
    <w:rsid w:val="00641541"/>
    <w:rsid w:val="0064211F"/>
    <w:rsid w:val="0064380D"/>
    <w:rsid w:val="00643DB1"/>
    <w:rsid w:val="00644399"/>
    <w:rsid w:val="00646835"/>
    <w:rsid w:val="00646DB2"/>
    <w:rsid w:val="00647DD5"/>
    <w:rsid w:val="00647F21"/>
    <w:rsid w:val="0065263E"/>
    <w:rsid w:val="006526EA"/>
    <w:rsid w:val="00653257"/>
    <w:rsid w:val="006560A0"/>
    <w:rsid w:val="00656FE4"/>
    <w:rsid w:val="0065713C"/>
    <w:rsid w:val="00657DA1"/>
    <w:rsid w:val="00657EC2"/>
    <w:rsid w:val="00661788"/>
    <w:rsid w:val="0066395C"/>
    <w:rsid w:val="006669DA"/>
    <w:rsid w:val="00666EB0"/>
    <w:rsid w:val="0066719C"/>
    <w:rsid w:val="006671F3"/>
    <w:rsid w:val="00667987"/>
    <w:rsid w:val="00667A31"/>
    <w:rsid w:val="00667EA7"/>
    <w:rsid w:val="00670FBA"/>
    <w:rsid w:val="00671189"/>
    <w:rsid w:val="00671C50"/>
    <w:rsid w:val="0067236E"/>
    <w:rsid w:val="0067322F"/>
    <w:rsid w:val="00674041"/>
    <w:rsid w:val="0067425B"/>
    <w:rsid w:val="00675985"/>
    <w:rsid w:val="00675DE0"/>
    <w:rsid w:val="006765BF"/>
    <w:rsid w:val="0067714A"/>
    <w:rsid w:val="0067777C"/>
    <w:rsid w:val="00680165"/>
    <w:rsid w:val="006810E9"/>
    <w:rsid w:val="006812C9"/>
    <w:rsid w:val="00682A03"/>
    <w:rsid w:val="0068303F"/>
    <w:rsid w:val="006852B9"/>
    <w:rsid w:val="0068626E"/>
    <w:rsid w:val="00686415"/>
    <w:rsid w:val="00687418"/>
    <w:rsid w:val="00690D82"/>
    <w:rsid w:val="006916E6"/>
    <w:rsid w:val="00692D6F"/>
    <w:rsid w:val="006934F7"/>
    <w:rsid w:val="00693B6B"/>
    <w:rsid w:val="00694065"/>
    <w:rsid w:val="00694225"/>
    <w:rsid w:val="006954C1"/>
    <w:rsid w:val="00695ACA"/>
    <w:rsid w:val="00696433"/>
    <w:rsid w:val="006965BE"/>
    <w:rsid w:val="006A0597"/>
    <w:rsid w:val="006A2318"/>
    <w:rsid w:val="006A3A45"/>
    <w:rsid w:val="006A5284"/>
    <w:rsid w:val="006A767C"/>
    <w:rsid w:val="006A7F16"/>
    <w:rsid w:val="006B00E3"/>
    <w:rsid w:val="006B2C48"/>
    <w:rsid w:val="006B3464"/>
    <w:rsid w:val="006B54A5"/>
    <w:rsid w:val="006B7762"/>
    <w:rsid w:val="006C03D5"/>
    <w:rsid w:val="006C0BCA"/>
    <w:rsid w:val="006C1575"/>
    <w:rsid w:val="006C3201"/>
    <w:rsid w:val="006C3805"/>
    <w:rsid w:val="006C4204"/>
    <w:rsid w:val="006C4235"/>
    <w:rsid w:val="006C46FF"/>
    <w:rsid w:val="006C4CBE"/>
    <w:rsid w:val="006C5EC6"/>
    <w:rsid w:val="006D05E3"/>
    <w:rsid w:val="006D065A"/>
    <w:rsid w:val="006D2040"/>
    <w:rsid w:val="006D220B"/>
    <w:rsid w:val="006D2F6B"/>
    <w:rsid w:val="006D4FDB"/>
    <w:rsid w:val="006D5075"/>
    <w:rsid w:val="006D54C2"/>
    <w:rsid w:val="006D58A6"/>
    <w:rsid w:val="006D5E0B"/>
    <w:rsid w:val="006D5F9A"/>
    <w:rsid w:val="006D6C0A"/>
    <w:rsid w:val="006D6ED8"/>
    <w:rsid w:val="006E0673"/>
    <w:rsid w:val="006E1AD8"/>
    <w:rsid w:val="006E211C"/>
    <w:rsid w:val="006E2F19"/>
    <w:rsid w:val="006E352B"/>
    <w:rsid w:val="006E56CA"/>
    <w:rsid w:val="006E5D45"/>
    <w:rsid w:val="006E6415"/>
    <w:rsid w:val="006E6DD6"/>
    <w:rsid w:val="006E763C"/>
    <w:rsid w:val="006E7D7F"/>
    <w:rsid w:val="006E7DF3"/>
    <w:rsid w:val="006F0832"/>
    <w:rsid w:val="006F128F"/>
    <w:rsid w:val="006F1820"/>
    <w:rsid w:val="006F3021"/>
    <w:rsid w:val="006F30D2"/>
    <w:rsid w:val="006F538A"/>
    <w:rsid w:val="006F5E88"/>
    <w:rsid w:val="00700105"/>
    <w:rsid w:val="00700245"/>
    <w:rsid w:val="00701BF5"/>
    <w:rsid w:val="0070273B"/>
    <w:rsid w:val="00706038"/>
    <w:rsid w:val="0070775D"/>
    <w:rsid w:val="0071021F"/>
    <w:rsid w:val="00710615"/>
    <w:rsid w:val="00711908"/>
    <w:rsid w:val="007119B4"/>
    <w:rsid w:val="007119CE"/>
    <w:rsid w:val="00712AF7"/>
    <w:rsid w:val="007136E0"/>
    <w:rsid w:val="00714166"/>
    <w:rsid w:val="00714655"/>
    <w:rsid w:val="0071511C"/>
    <w:rsid w:val="00716A81"/>
    <w:rsid w:val="00717247"/>
    <w:rsid w:val="00720282"/>
    <w:rsid w:val="00721A91"/>
    <w:rsid w:val="00721AD5"/>
    <w:rsid w:val="00723516"/>
    <w:rsid w:val="00723654"/>
    <w:rsid w:val="00724D1B"/>
    <w:rsid w:val="00725430"/>
    <w:rsid w:val="00725FC3"/>
    <w:rsid w:val="0072632E"/>
    <w:rsid w:val="007264F5"/>
    <w:rsid w:val="0072688C"/>
    <w:rsid w:val="00730569"/>
    <w:rsid w:val="00730CDF"/>
    <w:rsid w:val="0073208F"/>
    <w:rsid w:val="00732FEE"/>
    <w:rsid w:val="007351AD"/>
    <w:rsid w:val="00735716"/>
    <w:rsid w:val="00736BE3"/>
    <w:rsid w:val="00736E40"/>
    <w:rsid w:val="00737241"/>
    <w:rsid w:val="00737664"/>
    <w:rsid w:val="00737735"/>
    <w:rsid w:val="00737E62"/>
    <w:rsid w:val="007407FF"/>
    <w:rsid w:val="00743BC0"/>
    <w:rsid w:val="00744552"/>
    <w:rsid w:val="00745026"/>
    <w:rsid w:val="007452C7"/>
    <w:rsid w:val="00745CCE"/>
    <w:rsid w:val="00746BD9"/>
    <w:rsid w:val="007470C5"/>
    <w:rsid w:val="007474B0"/>
    <w:rsid w:val="0074763B"/>
    <w:rsid w:val="00750A18"/>
    <w:rsid w:val="00752661"/>
    <w:rsid w:val="00754E0E"/>
    <w:rsid w:val="00757AB1"/>
    <w:rsid w:val="00757C86"/>
    <w:rsid w:val="00760175"/>
    <w:rsid w:val="00761680"/>
    <w:rsid w:val="00761AD3"/>
    <w:rsid w:val="00761E0A"/>
    <w:rsid w:val="0076249D"/>
    <w:rsid w:val="00762FA6"/>
    <w:rsid w:val="00764376"/>
    <w:rsid w:val="007643D8"/>
    <w:rsid w:val="0076559C"/>
    <w:rsid w:val="007656EA"/>
    <w:rsid w:val="00765F52"/>
    <w:rsid w:val="0076642B"/>
    <w:rsid w:val="00767910"/>
    <w:rsid w:val="00767B7F"/>
    <w:rsid w:val="007722A9"/>
    <w:rsid w:val="00772656"/>
    <w:rsid w:val="00773B78"/>
    <w:rsid w:val="007749C4"/>
    <w:rsid w:val="00774AF0"/>
    <w:rsid w:val="007755C4"/>
    <w:rsid w:val="00780AE9"/>
    <w:rsid w:val="00780B4B"/>
    <w:rsid w:val="00781C43"/>
    <w:rsid w:val="00782182"/>
    <w:rsid w:val="007822BA"/>
    <w:rsid w:val="00782381"/>
    <w:rsid w:val="007829FF"/>
    <w:rsid w:val="00782A7A"/>
    <w:rsid w:val="00783BBB"/>
    <w:rsid w:val="00784B6D"/>
    <w:rsid w:val="007851D4"/>
    <w:rsid w:val="0078552D"/>
    <w:rsid w:val="007862C6"/>
    <w:rsid w:val="00786A85"/>
    <w:rsid w:val="00787ABB"/>
    <w:rsid w:val="00787D73"/>
    <w:rsid w:val="007901EB"/>
    <w:rsid w:val="007905C7"/>
    <w:rsid w:val="00790900"/>
    <w:rsid w:val="00791BC0"/>
    <w:rsid w:val="00791C50"/>
    <w:rsid w:val="00791D5C"/>
    <w:rsid w:val="007936CD"/>
    <w:rsid w:val="00795C2C"/>
    <w:rsid w:val="00797996"/>
    <w:rsid w:val="007A0605"/>
    <w:rsid w:val="007A26EC"/>
    <w:rsid w:val="007A2B51"/>
    <w:rsid w:val="007A2E13"/>
    <w:rsid w:val="007A361B"/>
    <w:rsid w:val="007A4D52"/>
    <w:rsid w:val="007A5F92"/>
    <w:rsid w:val="007A6146"/>
    <w:rsid w:val="007A729B"/>
    <w:rsid w:val="007B3D9F"/>
    <w:rsid w:val="007B4401"/>
    <w:rsid w:val="007B4F24"/>
    <w:rsid w:val="007B5943"/>
    <w:rsid w:val="007B5ACB"/>
    <w:rsid w:val="007B6F4E"/>
    <w:rsid w:val="007B70F9"/>
    <w:rsid w:val="007C0402"/>
    <w:rsid w:val="007C1A52"/>
    <w:rsid w:val="007C3D3E"/>
    <w:rsid w:val="007C4E30"/>
    <w:rsid w:val="007C5347"/>
    <w:rsid w:val="007C53E5"/>
    <w:rsid w:val="007C5842"/>
    <w:rsid w:val="007C5BEE"/>
    <w:rsid w:val="007C60B5"/>
    <w:rsid w:val="007D0B50"/>
    <w:rsid w:val="007D14A4"/>
    <w:rsid w:val="007D28FC"/>
    <w:rsid w:val="007D426A"/>
    <w:rsid w:val="007D439A"/>
    <w:rsid w:val="007D4759"/>
    <w:rsid w:val="007D62D9"/>
    <w:rsid w:val="007D6B71"/>
    <w:rsid w:val="007D7D7C"/>
    <w:rsid w:val="007E0A33"/>
    <w:rsid w:val="007E21FB"/>
    <w:rsid w:val="007E2AAE"/>
    <w:rsid w:val="007E3634"/>
    <w:rsid w:val="007E473C"/>
    <w:rsid w:val="007E6B90"/>
    <w:rsid w:val="007E6EFB"/>
    <w:rsid w:val="007E733C"/>
    <w:rsid w:val="007F0EBA"/>
    <w:rsid w:val="007F11AA"/>
    <w:rsid w:val="007F14D7"/>
    <w:rsid w:val="007F2593"/>
    <w:rsid w:val="007F271E"/>
    <w:rsid w:val="007F4BD3"/>
    <w:rsid w:val="007F5ABE"/>
    <w:rsid w:val="007F7837"/>
    <w:rsid w:val="007F7B14"/>
    <w:rsid w:val="00800CA3"/>
    <w:rsid w:val="00801443"/>
    <w:rsid w:val="0080283D"/>
    <w:rsid w:val="00802A02"/>
    <w:rsid w:val="0080424C"/>
    <w:rsid w:val="00804888"/>
    <w:rsid w:val="00805C73"/>
    <w:rsid w:val="008077F1"/>
    <w:rsid w:val="00810E4B"/>
    <w:rsid w:val="00812499"/>
    <w:rsid w:val="00813D74"/>
    <w:rsid w:val="008159BE"/>
    <w:rsid w:val="00816123"/>
    <w:rsid w:val="00817C52"/>
    <w:rsid w:val="00820374"/>
    <w:rsid w:val="00821389"/>
    <w:rsid w:val="008220BE"/>
    <w:rsid w:val="008226A6"/>
    <w:rsid w:val="00823F1E"/>
    <w:rsid w:val="008249EC"/>
    <w:rsid w:val="00824F74"/>
    <w:rsid w:val="00826BAF"/>
    <w:rsid w:val="00827239"/>
    <w:rsid w:val="00827FFA"/>
    <w:rsid w:val="00830706"/>
    <w:rsid w:val="00831D91"/>
    <w:rsid w:val="0083209F"/>
    <w:rsid w:val="00832586"/>
    <w:rsid w:val="0083305C"/>
    <w:rsid w:val="008339A1"/>
    <w:rsid w:val="00837E46"/>
    <w:rsid w:val="0084020B"/>
    <w:rsid w:val="00840D38"/>
    <w:rsid w:val="00841828"/>
    <w:rsid w:val="008421C1"/>
    <w:rsid w:val="008426BA"/>
    <w:rsid w:val="00843522"/>
    <w:rsid w:val="00843963"/>
    <w:rsid w:val="00843B96"/>
    <w:rsid w:val="00844F67"/>
    <w:rsid w:val="0084511D"/>
    <w:rsid w:val="00846229"/>
    <w:rsid w:val="008470A9"/>
    <w:rsid w:val="0084710D"/>
    <w:rsid w:val="00847D5D"/>
    <w:rsid w:val="00850FAC"/>
    <w:rsid w:val="00851936"/>
    <w:rsid w:val="00851A21"/>
    <w:rsid w:val="0085209B"/>
    <w:rsid w:val="00852607"/>
    <w:rsid w:val="00853F03"/>
    <w:rsid w:val="008550FE"/>
    <w:rsid w:val="008565AD"/>
    <w:rsid w:val="008568ED"/>
    <w:rsid w:val="008569CF"/>
    <w:rsid w:val="008571BB"/>
    <w:rsid w:val="008573EE"/>
    <w:rsid w:val="0086035C"/>
    <w:rsid w:val="008617B9"/>
    <w:rsid w:val="0086181D"/>
    <w:rsid w:val="00862017"/>
    <w:rsid w:val="0086236F"/>
    <w:rsid w:val="008631B1"/>
    <w:rsid w:val="00864747"/>
    <w:rsid w:val="00866E1D"/>
    <w:rsid w:val="008709B2"/>
    <w:rsid w:val="008713A5"/>
    <w:rsid w:val="00872762"/>
    <w:rsid w:val="008728B0"/>
    <w:rsid w:val="008741E5"/>
    <w:rsid w:val="00876A6D"/>
    <w:rsid w:val="00880940"/>
    <w:rsid w:val="00880D8D"/>
    <w:rsid w:val="00881201"/>
    <w:rsid w:val="0088160A"/>
    <w:rsid w:val="008826EC"/>
    <w:rsid w:val="00882A68"/>
    <w:rsid w:val="008843DF"/>
    <w:rsid w:val="008850B3"/>
    <w:rsid w:val="00885349"/>
    <w:rsid w:val="00885765"/>
    <w:rsid w:val="008870B4"/>
    <w:rsid w:val="00890A4C"/>
    <w:rsid w:val="00890E98"/>
    <w:rsid w:val="00893DF9"/>
    <w:rsid w:val="0089444F"/>
    <w:rsid w:val="00894BB2"/>
    <w:rsid w:val="00894EC4"/>
    <w:rsid w:val="00895E89"/>
    <w:rsid w:val="00897524"/>
    <w:rsid w:val="008A2B64"/>
    <w:rsid w:val="008A3375"/>
    <w:rsid w:val="008A4135"/>
    <w:rsid w:val="008A4AEB"/>
    <w:rsid w:val="008A6EB8"/>
    <w:rsid w:val="008B025B"/>
    <w:rsid w:val="008B1428"/>
    <w:rsid w:val="008B1D5A"/>
    <w:rsid w:val="008B1E8A"/>
    <w:rsid w:val="008B30C3"/>
    <w:rsid w:val="008B64A9"/>
    <w:rsid w:val="008B7695"/>
    <w:rsid w:val="008C12EF"/>
    <w:rsid w:val="008C166D"/>
    <w:rsid w:val="008C31ED"/>
    <w:rsid w:val="008C3962"/>
    <w:rsid w:val="008C47C6"/>
    <w:rsid w:val="008C567B"/>
    <w:rsid w:val="008C5ECE"/>
    <w:rsid w:val="008C5FEF"/>
    <w:rsid w:val="008C62AF"/>
    <w:rsid w:val="008C76FD"/>
    <w:rsid w:val="008D0535"/>
    <w:rsid w:val="008D16CE"/>
    <w:rsid w:val="008D2CA3"/>
    <w:rsid w:val="008D38CC"/>
    <w:rsid w:val="008D4E73"/>
    <w:rsid w:val="008D555D"/>
    <w:rsid w:val="008D61E4"/>
    <w:rsid w:val="008D725B"/>
    <w:rsid w:val="008D741C"/>
    <w:rsid w:val="008E102A"/>
    <w:rsid w:val="008E1B22"/>
    <w:rsid w:val="008E1E95"/>
    <w:rsid w:val="008E253F"/>
    <w:rsid w:val="008E41BD"/>
    <w:rsid w:val="008E4859"/>
    <w:rsid w:val="008E4F2F"/>
    <w:rsid w:val="008E4F8F"/>
    <w:rsid w:val="008E5DFF"/>
    <w:rsid w:val="008F1390"/>
    <w:rsid w:val="008F1AE8"/>
    <w:rsid w:val="008F1DAF"/>
    <w:rsid w:val="008F2071"/>
    <w:rsid w:val="008F2823"/>
    <w:rsid w:val="008F48F1"/>
    <w:rsid w:val="008F506C"/>
    <w:rsid w:val="008F5AED"/>
    <w:rsid w:val="008F70CE"/>
    <w:rsid w:val="009003FC"/>
    <w:rsid w:val="00903387"/>
    <w:rsid w:val="00903E12"/>
    <w:rsid w:val="0090568D"/>
    <w:rsid w:val="009063A1"/>
    <w:rsid w:val="009069D6"/>
    <w:rsid w:val="00907497"/>
    <w:rsid w:val="0091065F"/>
    <w:rsid w:val="00910E28"/>
    <w:rsid w:val="00911146"/>
    <w:rsid w:val="0091138F"/>
    <w:rsid w:val="0091328A"/>
    <w:rsid w:val="0091333E"/>
    <w:rsid w:val="00913AD1"/>
    <w:rsid w:val="00914355"/>
    <w:rsid w:val="00914C83"/>
    <w:rsid w:val="0091637A"/>
    <w:rsid w:val="00920034"/>
    <w:rsid w:val="00921259"/>
    <w:rsid w:val="00922C85"/>
    <w:rsid w:val="0092341D"/>
    <w:rsid w:val="00923625"/>
    <w:rsid w:val="0092371E"/>
    <w:rsid w:val="009239CE"/>
    <w:rsid w:val="00925C77"/>
    <w:rsid w:val="00926F92"/>
    <w:rsid w:val="009301A1"/>
    <w:rsid w:val="00931407"/>
    <w:rsid w:val="00931474"/>
    <w:rsid w:val="0093279F"/>
    <w:rsid w:val="00932A0D"/>
    <w:rsid w:val="00932BAA"/>
    <w:rsid w:val="00932CCA"/>
    <w:rsid w:val="009357DB"/>
    <w:rsid w:val="009359C4"/>
    <w:rsid w:val="0093760D"/>
    <w:rsid w:val="009379AF"/>
    <w:rsid w:val="00941216"/>
    <w:rsid w:val="009417A5"/>
    <w:rsid w:val="00942113"/>
    <w:rsid w:val="009427AF"/>
    <w:rsid w:val="0094354B"/>
    <w:rsid w:val="00944E5F"/>
    <w:rsid w:val="00946B90"/>
    <w:rsid w:val="009475D9"/>
    <w:rsid w:val="00951237"/>
    <w:rsid w:val="00951D3A"/>
    <w:rsid w:val="00952BE2"/>
    <w:rsid w:val="009530ED"/>
    <w:rsid w:val="00954A54"/>
    <w:rsid w:val="00954ED4"/>
    <w:rsid w:val="009554FE"/>
    <w:rsid w:val="00957C2E"/>
    <w:rsid w:val="00960499"/>
    <w:rsid w:val="00961A90"/>
    <w:rsid w:val="009620EA"/>
    <w:rsid w:val="00962BBC"/>
    <w:rsid w:val="009636FC"/>
    <w:rsid w:val="00963932"/>
    <w:rsid w:val="00963B83"/>
    <w:rsid w:val="0096543F"/>
    <w:rsid w:val="00965BF3"/>
    <w:rsid w:val="00966AD8"/>
    <w:rsid w:val="0097169E"/>
    <w:rsid w:val="0097173E"/>
    <w:rsid w:val="009731EC"/>
    <w:rsid w:val="009733E4"/>
    <w:rsid w:val="00974EF8"/>
    <w:rsid w:val="00975898"/>
    <w:rsid w:val="00975ABC"/>
    <w:rsid w:val="00975D31"/>
    <w:rsid w:val="00976C17"/>
    <w:rsid w:val="009774A4"/>
    <w:rsid w:val="00977EA5"/>
    <w:rsid w:val="0098138C"/>
    <w:rsid w:val="00982265"/>
    <w:rsid w:val="00982291"/>
    <w:rsid w:val="00986130"/>
    <w:rsid w:val="00987A59"/>
    <w:rsid w:val="00990226"/>
    <w:rsid w:val="0099056D"/>
    <w:rsid w:val="00990F1D"/>
    <w:rsid w:val="009912B3"/>
    <w:rsid w:val="009917A5"/>
    <w:rsid w:val="00991F9F"/>
    <w:rsid w:val="009923D8"/>
    <w:rsid w:val="009936F8"/>
    <w:rsid w:val="00993A34"/>
    <w:rsid w:val="00994290"/>
    <w:rsid w:val="00994528"/>
    <w:rsid w:val="00994A9B"/>
    <w:rsid w:val="009967D7"/>
    <w:rsid w:val="00997370"/>
    <w:rsid w:val="009A0E51"/>
    <w:rsid w:val="009A32AB"/>
    <w:rsid w:val="009A35CB"/>
    <w:rsid w:val="009A42A0"/>
    <w:rsid w:val="009A4A0F"/>
    <w:rsid w:val="009A50CD"/>
    <w:rsid w:val="009A669F"/>
    <w:rsid w:val="009A72C3"/>
    <w:rsid w:val="009B02AC"/>
    <w:rsid w:val="009B02B0"/>
    <w:rsid w:val="009B23C6"/>
    <w:rsid w:val="009B4EAF"/>
    <w:rsid w:val="009B4F9F"/>
    <w:rsid w:val="009B5444"/>
    <w:rsid w:val="009B5817"/>
    <w:rsid w:val="009B5D39"/>
    <w:rsid w:val="009B5F68"/>
    <w:rsid w:val="009B6090"/>
    <w:rsid w:val="009B6640"/>
    <w:rsid w:val="009C3407"/>
    <w:rsid w:val="009C3982"/>
    <w:rsid w:val="009C4739"/>
    <w:rsid w:val="009C4A69"/>
    <w:rsid w:val="009C4EFB"/>
    <w:rsid w:val="009C5155"/>
    <w:rsid w:val="009C61D1"/>
    <w:rsid w:val="009C7250"/>
    <w:rsid w:val="009D030A"/>
    <w:rsid w:val="009D094C"/>
    <w:rsid w:val="009D0B39"/>
    <w:rsid w:val="009D2507"/>
    <w:rsid w:val="009D254C"/>
    <w:rsid w:val="009D3947"/>
    <w:rsid w:val="009D54FC"/>
    <w:rsid w:val="009D5806"/>
    <w:rsid w:val="009D6577"/>
    <w:rsid w:val="009D65F6"/>
    <w:rsid w:val="009D74AA"/>
    <w:rsid w:val="009E00D6"/>
    <w:rsid w:val="009E05FD"/>
    <w:rsid w:val="009E1991"/>
    <w:rsid w:val="009E2CD8"/>
    <w:rsid w:val="009E3F2F"/>
    <w:rsid w:val="009E4BB5"/>
    <w:rsid w:val="009E5179"/>
    <w:rsid w:val="009E7556"/>
    <w:rsid w:val="009E7813"/>
    <w:rsid w:val="009F0523"/>
    <w:rsid w:val="009F09B5"/>
    <w:rsid w:val="009F1A2A"/>
    <w:rsid w:val="009F2EA9"/>
    <w:rsid w:val="009F3C13"/>
    <w:rsid w:val="009F49C7"/>
    <w:rsid w:val="009F5FC9"/>
    <w:rsid w:val="00A00C31"/>
    <w:rsid w:val="00A01C6D"/>
    <w:rsid w:val="00A02138"/>
    <w:rsid w:val="00A03109"/>
    <w:rsid w:val="00A0354C"/>
    <w:rsid w:val="00A03BEC"/>
    <w:rsid w:val="00A04626"/>
    <w:rsid w:val="00A07283"/>
    <w:rsid w:val="00A106CB"/>
    <w:rsid w:val="00A11058"/>
    <w:rsid w:val="00A11A7C"/>
    <w:rsid w:val="00A11E3A"/>
    <w:rsid w:val="00A124D7"/>
    <w:rsid w:val="00A131C5"/>
    <w:rsid w:val="00A13B84"/>
    <w:rsid w:val="00A13C52"/>
    <w:rsid w:val="00A145BB"/>
    <w:rsid w:val="00A14E6D"/>
    <w:rsid w:val="00A17251"/>
    <w:rsid w:val="00A176C2"/>
    <w:rsid w:val="00A20C4B"/>
    <w:rsid w:val="00A2183D"/>
    <w:rsid w:val="00A21F75"/>
    <w:rsid w:val="00A2218C"/>
    <w:rsid w:val="00A223FC"/>
    <w:rsid w:val="00A238CB"/>
    <w:rsid w:val="00A26424"/>
    <w:rsid w:val="00A2693F"/>
    <w:rsid w:val="00A26958"/>
    <w:rsid w:val="00A27665"/>
    <w:rsid w:val="00A30713"/>
    <w:rsid w:val="00A30CDD"/>
    <w:rsid w:val="00A31A8E"/>
    <w:rsid w:val="00A3355F"/>
    <w:rsid w:val="00A33636"/>
    <w:rsid w:val="00A34181"/>
    <w:rsid w:val="00A34DB3"/>
    <w:rsid w:val="00A364EE"/>
    <w:rsid w:val="00A36537"/>
    <w:rsid w:val="00A367D7"/>
    <w:rsid w:val="00A36DFE"/>
    <w:rsid w:val="00A41563"/>
    <w:rsid w:val="00A41AB4"/>
    <w:rsid w:val="00A42A4A"/>
    <w:rsid w:val="00A42B98"/>
    <w:rsid w:val="00A4509A"/>
    <w:rsid w:val="00A463BF"/>
    <w:rsid w:val="00A46DDB"/>
    <w:rsid w:val="00A471AB"/>
    <w:rsid w:val="00A47B60"/>
    <w:rsid w:val="00A501F2"/>
    <w:rsid w:val="00A504D9"/>
    <w:rsid w:val="00A507C7"/>
    <w:rsid w:val="00A510C1"/>
    <w:rsid w:val="00A523B3"/>
    <w:rsid w:val="00A52830"/>
    <w:rsid w:val="00A52CD7"/>
    <w:rsid w:val="00A53038"/>
    <w:rsid w:val="00A54702"/>
    <w:rsid w:val="00A55951"/>
    <w:rsid w:val="00A56598"/>
    <w:rsid w:val="00A570AC"/>
    <w:rsid w:val="00A575CE"/>
    <w:rsid w:val="00A60956"/>
    <w:rsid w:val="00A613DE"/>
    <w:rsid w:val="00A61624"/>
    <w:rsid w:val="00A617F1"/>
    <w:rsid w:val="00A61E74"/>
    <w:rsid w:val="00A623BE"/>
    <w:rsid w:val="00A63D22"/>
    <w:rsid w:val="00A63D50"/>
    <w:rsid w:val="00A6487C"/>
    <w:rsid w:val="00A65F39"/>
    <w:rsid w:val="00A6670B"/>
    <w:rsid w:val="00A670C8"/>
    <w:rsid w:val="00A6771F"/>
    <w:rsid w:val="00A67A0B"/>
    <w:rsid w:val="00A67E97"/>
    <w:rsid w:val="00A71288"/>
    <w:rsid w:val="00A72AE3"/>
    <w:rsid w:val="00A76192"/>
    <w:rsid w:val="00A80490"/>
    <w:rsid w:val="00A8246F"/>
    <w:rsid w:val="00A839A7"/>
    <w:rsid w:val="00A83EED"/>
    <w:rsid w:val="00A843AC"/>
    <w:rsid w:val="00A84994"/>
    <w:rsid w:val="00A84C07"/>
    <w:rsid w:val="00A850E6"/>
    <w:rsid w:val="00A908E8"/>
    <w:rsid w:val="00A9191B"/>
    <w:rsid w:val="00A91F59"/>
    <w:rsid w:val="00A9281D"/>
    <w:rsid w:val="00A936A0"/>
    <w:rsid w:val="00A9485D"/>
    <w:rsid w:val="00A962BC"/>
    <w:rsid w:val="00A9691C"/>
    <w:rsid w:val="00AA07B2"/>
    <w:rsid w:val="00AA10DD"/>
    <w:rsid w:val="00AA137D"/>
    <w:rsid w:val="00AA2011"/>
    <w:rsid w:val="00AA24B3"/>
    <w:rsid w:val="00AA28DE"/>
    <w:rsid w:val="00AA2B95"/>
    <w:rsid w:val="00AA5EA1"/>
    <w:rsid w:val="00AA68AA"/>
    <w:rsid w:val="00AA74F7"/>
    <w:rsid w:val="00AA7C2D"/>
    <w:rsid w:val="00AB12A3"/>
    <w:rsid w:val="00AB14CC"/>
    <w:rsid w:val="00AB1A4C"/>
    <w:rsid w:val="00AB20AF"/>
    <w:rsid w:val="00AB2543"/>
    <w:rsid w:val="00AB39F8"/>
    <w:rsid w:val="00AB3B12"/>
    <w:rsid w:val="00AB3E46"/>
    <w:rsid w:val="00AB3FFA"/>
    <w:rsid w:val="00AB54B0"/>
    <w:rsid w:val="00AB6162"/>
    <w:rsid w:val="00AB6601"/>
    <w:rsid w:val="00AB7A38"/>
    <w:rsid w:val="00AC0A4B"/>
    <w:rsid w:val="00AC0A6F"/>
    <w:rsid w:val="00AC1E58"/>
    <w:rsid w:val="00AC2825"/>
    <w:rsid w:val="00AC3D0B"/>
    <w:rsid w:val="00AC7681"/>
    <w:rsid w:val="00AC772C"/>
    <w:rsid w:val="00AC7894"/>
    <w:rsid w:val="00AD1B16"/>
    <w:rsid w:val="00AD2D69"/>
    <w:rsid w:val="00AD3908"/>
    <w:rsid w:val="00AD43FB"/>
    <w:rsid w:val="00AD704A"/>
    <w:rsid w:val="00AE0A09"/>
    <w:rsid w:val="00AE2CF2"/>
    <w:rsid w:val="00AE30C2"/>
    <w:rsid w:val="00AE3C69"/>
    <w:rsid w:val="00AE65D4"/>
    <w:rsid w:val="00AF15B2"/>
    <w:rsid w:val="00AF2B69"/>
    <w:rsid w:val="00AF4FCA"/>
    <w:rsid w:val="00AF7BC8"/>
    <w:rsid w:val="00B008DA"/>
    <w:rsid w:val="00B0138B"/>
    <w:rsid w:val="00B01BE1"/>
    <w:rsid w:val="00B02B72"/>
    <w:rsid w:val="00B035C2"/>
    <w:rsid w:val="00B03751"/>
    <w:rsid w:val="00B04516"/>
    <w:rsid w:val="00B04CE0"/>
    <w:rsid w:val="00B050F6"/>
    <w:rsid w:val="00B058A7"/>
    <w:rsid w:val="00B07AE4"/>
    <w:rsid w:val="00B102F3"/>
    <w:rsid w:val="00B11611"/>
    <w:rsid w:val="00B12358"/>
    <w:rsid w:val="00B12676"/>
    <w:rsid w:val="00B13F11"/>
    <w:rsid w:val="00B143F2"/>
    <w:rsid w:val="00B14E7A"/>
    <w:rsid w:val="00B15738"/>
    <w:rsid w:val="00B16224"/>
    <w:rsid w:val="00B16535"/>
    <w:rsid w:val="00B1695A"/>
    <w:rsid w:val="00B17BD8"/>
    <w:rsid w:val="00B203CA"/>
    <w:rsid w:val="00B203F6"/>
    <w:rsid w:val="00B210E1"/>
    <w:rsid w:val="00B211F4"/>
    <w:rsid w:val="00B22382"/>
    <w:rsid w:val="00B238F0"/>
    <w:rsid w:val="00B24F9E"/>
    <w:rsid w:val="00B2597A"/>
    <w:rsid w:val="00B25F32"/>
    <w:rsid w:val="00B2658E"/>
    <w:rsid w:val="00B265B5"/>
    <w:rsid w:val="00B26810"/>
    <w:rsid w:val="00B30C9F"/>
    <w:rsid w:val="00B30D43"/>
    <w:rsid w:val="00B30DB2"/>
    <w:rsid w:val="00B32580"/>
    <w:rsid w:val="00B3386C"/>
    <w:rsid w:val="00B3479C"/>
    <w:rsid w:val="00B3532C"/>
    <w:rsid w:val="00B376B1"/>
    <w:rsid w:val="00B41676"/>
    <w:rsid w:val="00B429F6"/>
    <w:rsid w:val="00B43276"/>
    <w:rsid w:val="00B43AEC"/>
    <w:rsid w:val="00B5033D"/>
    <w:rsid w:val="00B5043D"/>
    <w:rsid w:val="00B51B6E"/>
    <w:rsid w:val="00B52ED6"/>
    <w:rsid w:val="00B545BC"/>
    <w:rsid w:val="00B55274"/>
    <w:rsid w:val="00B55BA6"/>
    <w:rsid w:val="00B56317"/>
    <w:rsid w:val="00B56932"/>
    <w:rsid w:val="00B60157"/>
    <w:rsid w:val="00B60DE8"/>
    <w:rsid w:val="00B621F1"/>
    <w:rsid w:val="00B63E43"/>
    <w:rsid w:val="00B65622"/>
    <w:rsid w:val="00B65856"/>
    <w:rsid w:val="00B67FA6"/>
    <w:rsid w:val="00B70CBD"/>
    <w:rsid w:val="00B71132"/>
    <w:rsid w:val="00B719B4"/>
    <w:rsid w:val="00B722E8"/>
    <w:rsid w:val="00B73956"/>
    <w:rsid w:val="00B73C36"/>
    <w:rsid w:val="00B74835"/>
    <w:rsid w:val="00B74BFD"/>
    <w:rsid w:val="00B755AB"/>
    <w:rsid w:val="00B75A3C"/>
    <w:rsid w:val="00B762BF"/>
    <w:rsid w:val="00B76A63"/>
    <w:rsid w:val="00B76B45"/>
    <w:rsid w:val="00B77941"/>
    <w:rsid w:val="00B80228"/>
    <w:rsid w:val="00B81478"/>
    <w:rsid w:val="00B81703"/>
    <w:rsid w:val="00B817CA"/>
    <w:rsid w:val="00B81C6C"/>
    <w:rsid w:val="00B839F2"/>
    <w:rsid w:val="00B840F8"/>
    <w:rsid w:val="00B84601"/>
    <w:rsid w:val="00B86C31"/>
    <w:rsid w:val="00B878FE"/>
    <w:rsid w:val="00B90242"/>
    <w:rsid w:val="00B92168"/>
    <w:rsid w:val="00B92448"/>
    <w:rsid w:val="00B92745"/>
    <w:rsid w:val="00B9283A"/>
    <w:rsid w:val="00B93778"/>
    <w:rsid w:val="00B948C5"/>
    <w:rsid w:val="00B97362"/>
    <w:rsid w:val="00B976B4"/>
    <w:rsid w:val="00B97A6D"/>
    <w:rsid w:val="00B97DD3"/>
    <w:rsid w:val="00BA010E"/>
    <w:rsid w:val="00BA0396"/>
    <w:rsid w:val="00BA04CC"/>
    <w:rsid w:val="00BA050F"/>
    <w:rsid w:val="00BA0B00"/>
    <w:rsid w:val="00BA1B15"/>
    <w:rsid w:val="00BA3350"/>
    <w:rsid w:val="00BA3E9B"/>
    <w:rsid w:val="00BA5E8B"/>
    <w:rsid w:val="00BA735B"/>
    <w:rsid w:val="00BB20FD"/>
    <w:rsid w:val="00BB2659"/>
    <w:rsid w:val="00BB2D8F"/>
    <w:rsid w:val="00BB2E74"/>
    <w:rsid w:val="00BB2F21"/>
    <w:rsid w:val="00BB4C1C"/>
    <w:rsid w:val="00BB5220"/>
    <w:rsid w:val="00BB600B"/>
    <w:rsid w:val="00BB617F"/>
    <w:rsid w:val="00BC0E3E"/>
    <w:rsid w:val="00BC225C"/>
    <w:rsid w:val="00BC5AEE"/>
    <w:rsid w:val="00BC61F1"/>
    <w:rsid w:val="00BC653C"/>
    <w:rsid w:val="00BC6BDC"/>
    <w:rsid w:val="00BC6DFC"/>
    <w:rsid w:val="00BC6F86"/>
    <w:rsid w:val="00BC74D8"/>
    <w:rsid w:val="00BC768B"/>
    <w:rsid w:val="00BC7948"/>
    <w:rsid w:val="00BC7C81"/>
    <w:rsid w:val="00BD11FF"/>
    <w:rsid w:val="00BD14DF"/>
    <w:rsid w:val="00BD1721"/>
    <w:rsid w:val="00BD277D"/>
    <w:rsid w:val="00BD327E"/>
    <w:rsid w:val="00BD3797"/>
    <w:rsid w:val="00BD4C74"/>
    <w:rsid w:val="00BD4E65"/>
    <w:rsid w:val="00BD6570"/>
    <w:rsid w:val="00BD7236"/>
    <w:rsid w:val="00BD7249"/>
    <w:rsid w:val="00BD7AC6"/>
    <w:rsid w:val="00BD7DD6"/>
    <w:rsid w:val="00BE0390"/>
    <w:rsid w:val="00BE164A"/>
    <w:rsid w:val="00BE18B8"/>
    <w:rsid w:val="00BE191A"/>
    <w:rsid w:val="00BE4010"/>
    <w:rsid w:val="00BE52D4"/>
    <w:rsid w:val="00BE65B2"/>
    <w:rsid w:val="00BE6809"/>
    <w:rsid w:val="00BE7315"/>
    <w:rsid w:val="00BE76EF"/>
    <w:rsid w:val="00BF012F"/>
    <w:rsid w:val="00BF2A87"/>
    <w:rsid w:val="00BF454A"/>
    <w:rsid w:val="00BF4C68"/>
    <w:rsid w:val="00BF520A"/>
    <w:rsid w:val="00BF6ADB"/>
    <w:rsid w:val="00BF6C35"/>
    <w:rsid w:val="00BF74D2"/>
    <w:rsid w:val="00BF7AA9"/>
    <w:rsid w:val="00C00E4A"/>
    <w:rsid w:val="00C01698"/>
    <w:rsid w:val="00C04EDF"/>
    <w:rsid w:val="00C063A6"/>
    <w:rsid w:val="00C1047C"/>
    <w:rsid w:val="00C15382"/>
    <w:rsid w:val="00C1597B"/>
    <w:rsid w:val="00C15C43"/>
    <w:rsid w:val="00C1712D"/>
    <w:rsid w:val="00C20313"/>
    <w:rsid w:val="00C204BD"/>
    <w:rsid w:val="00C20BD1"/>
    <w:rsid w:val="00C22A30"/>
    <w:rsid w:val="00C23007"/>
    <w:rsid w:val="00C23A0D"/>
    <w:rsid w:val="00C23C85"/>
    <w:rsid w:val="00C24279"/>
    <w:rsid w:val="00C24FF0"/>
    <w:rsid w:val="00C25AF1"/>
    <w:rsid w:val="00C25B09"/>
    <w:rsid w:val="00C2671D"/>
    <w:rsid w:val="00C277AF"/>
    <w:rsid w:val="00C30007"/>
    <w:rsid w:val="00C30ADA"/>
    <w:rsid w:val="00C311D3"/>
    <w:rsid w:val="00C32B1C"/>
    <w:rsid w:val="00C335C9"/>
    <w:rsid w:val="00C338EA"/>
    <w:rsid w:val="00C33E01"/>
    <w:rsid w:val="00C3461B"/>
    <w:rsid w:val="00C40592"/>
    <w:rsid w:val="00C40A33"/>
    <w:rsid w:val="00C41305"/>
    <w:rsid w:val="00C4168A"/>
    <w:rsid w:val="00C428F2"/>
    <w:rsid w:val="00C437B0"/>
    <w:rsid w:val="00C4393C"/>
    <w:rsid w:val="00C44954"/>
    <w:rsid w:val="00C4587C"/>
    <w:rsid w:val="00C45A15"/>
    <w:rsid w:val="00C470A9"/>
    <w:rsid w:val="00C476BE"/>
    <w:rsid w:val="00C47E58"/>
    <w:rsid w:val="00C5000F"/>
    <w:rsid w:val="00C500C9"/>
    <w:rsid w:val="00C50F31"/>
    <w:rsid w:val="00C51579"/>
    <w:rsid w:val="00C52A2A"/>
    <w:rsid w:val="00C52A53"/>
    <w:rsid w:val="00C53C33"/>
    <w:rsid w:val="00C574D6"/>
    <w:rsid w:val="00C604EC"/>
    <w:rsid w:val="00C62329"/>
    <w:rsid w:val="00C6286B"/>
    <w:rsid w:val="00C630F2"/>
    <w:rsid w:val="00C63816"/>
    <w:rsid w:val="00C638F8"/>
    <w:rsid w:val="00C63C70"/>
    <w:rsid w:val="00C64708"/>
    <w:rsid w:val="00C64E4A"/>
    <w:rsid w:val="00C66EFD"/>
    <w:rsid w:val="00C66F26"/>
    <w:rsid w:val="00C672FA"/>
    <w:rsid w:val="00C67FC7"/>
    <w:rsid w:val="00C71005"/>
    <w:rsid w:val="00C720DF"/>
    <w:rsid w:val="00C7256A"/>
    <w:rsid w:val="00C72850"/>
    <w:rsid w:val="00C73672"/>
    <w:rsid w:val="00C7395C"/>
    <w:rsid w:val="00C7606A"/>
    <w:rsid w:val="00C81664"/>
    <w:rsid w:val="00C83B42"/>
    <w:rsid w:val="00C87A8A"/>
    <w:rsid w:val="00C901A4"/>
    <w:rsid w:val="00C90FA6"/>
    <w:rsid w:val="00C912E4"/>
    <w:rsid w:val="00C9148E"/>
    <w:rsid w:val="00C9171C"/>
    <w:rsid w:val="00C91970"/>
    <w:rsid w:val="00C93330"/>
    <w:rsid w:val="00C940D8"/>
    <w:rsid w:val="00C94DAE"/>
    <w:rsid w:val="00C9517D"/>
    <w:rsid w:val="00C95481"/>
    <w:rsid w:val="00C97E5D"/>
    <w:rsid w:val="00CA278D"/>
    <w:rsid w:val="00CA3987"/>
    <w:rsid w:val="00CA40FC"/>
    <w:rsid w:val="00CA4B1A"/>
    <w:rsid w:val="00CA5A5A"/>
    <w:rsid w:val="00CA6035"/>
    <w:rsid w:val="00CA6F1D"/>
    <w:rsid w:val="00CB04EF"/>
    <w:rsid w:val="00CB1C54"/>
    <w:rsid w:val="00CB1F5D"/>
    <w:rsid w:val="00CB2940"/>
    <w:rsid w:val="00CB4B71"/>
    <w:rsid w:val="00CB755C"/>
    <w:rsid w:val="00CB7C7D"/>
    <w:rsid w:val="00CB7E77"/>
    <w:rsid w:val="00CC1142"/>
    <w:rsid w:val="00CC123A"/>
    <w:rsid w:val="00CC2965"/>
    <w:rsid w:val="00CC3228"/>
    <w:rsid w:val="00CC32ED"/>
    <w:rsid w:val="00CC44A4"/>
    <w:rsid w:val="00CC560D"/>
    <w:rsid w:val="00CC5816"/>
    <w:rsid w:val="00CC6AB9"/>
    <w:rsid w:val="00CC7759"/>
    <w:rsid w:val="00CD0A27"/>
    <w:rsid w:val="00CD276F"/>
    <w:rsid w:val="00CD2C78"/>
    <w:rsid w:val="00CD4785"/>
    <w:rsid w:val="00CD5023"/>
    <w:rsid w:val="00CD6FD9"/>
    <w:rsid w:val="00CE0353"/>
    <w:rsid w:val="00CE0A49"/>
    <w:rsid w:val="00CE0F66"/>
    <w:rsid w:val="00CE1532"/>
    <w:rsid w:val="00CE195D"/>
    <w:rsid w:val="00CE1D13"/>
    <w:rsid w:val="00CE25E6"/>
    <w:rsid w:val="00CE33EF"/>
    <w:rsid w:val="00CE386D"/>
    <w:rsid w:val="00CE40FC"/>
    <w:rsid w:val="00CE4AFF"/>
    <w:rsid w:val="00CF04A3"/>
    <w:rsid w:val="00CF0C33"/>
    <w:rsid w:val="00CF1E51"/>
    <w:rsid w:val="00CF2557"/>
    <w:rsid w:val="00CF3E16"/>
    <w:rsid w:val="00CF4163"/>
    <w:rsid w:val="00CF4790"/>
    <w:rsid w:val="00CF5661"/>
    <w:rsid w:val="00CF5737"/>
    <w:rsid w:val="00CF721D"/>
    <w:rsid w:val="00D009AF"/>
    <w:rsid w:val="00D01986"/>
    <w:rsid w:val="00D01C6B"/>
    <w:rsid w:val="00D02285"/>
    <w:rsid w:val="00D031FE"/>
    <w:rsid w:val="00D03CA4"/>
    <w:rsid w:val="00D07423"/>
    <w:rsid w:val="00D10871"/>
    <w:rsid w:val="00D11158"/>
    <w:rsid w:val="00D11355"/>
    <w:rsid w:val="00D11A1B"/>
    <w:rsid w:val="00D11E02"/>
    <w:rsid w:val="00D13AF0"/>
    <w:rsid w:val="00D14F04"/>
    <w:rsid w:val="00D1518B"/>
    <w:rsid w:val="00D15A42"/>
    <w:rsid w:val="00D15B0D"/>
    <w:rsid w:val="00D203D7"/>
    <w:rsid w:val="00D223B4"/>
    <w:rsid w:val="00D225FA"/>
    <w:rsid w:val="00D24010"/>
    <w:rsid w:val="00D25798"/>
    <w:rsid w:val="00D267C5"/>
    <w:rsid w:val="00D26A79"/>
    <w:rsid w:val="00D279FE"/>
    <w:rsid w:val="00D300BC"/>
    <w:rsid w:val="00D3081A"/>
    <w:rsid w:val="00D30A9E"/>
    <w:rsid w:val="00D3108E"/>
    <w:rsid w:val="00D3155F"/>
    <w:rsid w:val="00D3161A"/>
    <w:rsid w:val="00D31703"/>
    <w:rsid w:val="00D31C91"/>
    <w:rsid w:val="00D31D14"/>
    <w:rsid w:val="00D31E28"/>
    <w:rsid w:val="00D32267"/>
    <w:rsid w:val="00D32DCB"/>
    <w:rsid w:val="00D3350F"/>
    <w:rsid w:val="00D33755"/>
    <w:rsid w:val="00D34267"/>
    <w:rsid w:val="00D34CAE"/>
    <w:rsid w:val="00D35146"/>
    <w:rsid w:val="00D37148"/>
    <w:rsid w:val="00D4024D"/>
    <w:rsid w:val="00D4086F"/>
    <w:rsid w:val="00D42461"/>
    <w:rsid w:val="00D438F9"/>
    <w:rsid w:val="00D452BD"/>
    <w:rsid w:val="00D465B2"/>
    <w:rsid w:val="00D46F15"/>
    <w:rsid w:val="00D47960"/>
    <w:rsid w:val="00D479C9"/>
    <w:rsid w:val="00D521A7"/>
    <w:rsid w:val="00D52CA2"/>
    <w:rsid w:val="00D533D5"/>
    <w:rsid w:val="00D541A2"/>
    <w:rsid w:val="00D550A8"/>
    <w:rsid w:val="00D5712B"/>
    <w:rsid w:val="00D573EC"/>
    <w:rsid w:val="00D57E65"/>
    <w:rsid w:val="00D60053"/>
    <w:rsid w:val="00D60349"/>
    <w:rsid w:val="00D616C7"/>
    <w:rsid w:val="00D62743"/>
    <w:rsid w:val="00D63407"/>
    <w:rsid w:val="00D64CE0"/>
    <w:rsid w:val="00D653BA"/>
    <w:rsid w:val="00D67169"/>
    <w:rsid w:val="00D67FA5"/>
    <w:rsid w:val="00D7287B"/>
    <w:rsid w:val="00D72C88"/>
    <w:rsid w:val="00D74FC4"/>
    <w:rsid w:val="00D765B1"/>
    <w:rsid w:val="00D76AFE"/>
    <w:rsid w:val="00D80B1F"/>
    <w:rsid w:val="00D8139C"/>
    <w:rsid w:val="00D8149F"/>
    <w:rsid w:val="00D8360D"/>
    <w:rsid w:val="00D864F6"/>
    <w:rsid w:val="00D92C97"/>
    <w:rsid w:val="00D93DA7"/>
    <w:rsid w:val="00D9415A"/>
    <w:rsid w:val="00D94716"/>
    <w:rsid w:val="00D94DB0"/>
    <w:rsid w:val="00D95302"/>
    <w:rsid w:val="00D95779"/>
    <w:rsid w:val="00D957EB"/>
    <w:rsid w:val="00D9650D"/>
    <w:rsid w:val="00D97D9F"/>
    <w:rsid w:val="00DA001F"/>
    <w:rsid w:val="00DA2D4A"/>
    <w:rsid w:val="00DA3AD4"/>
    <w:rsid w:val="00DA3EA0"/>
    <w:rsid w:val="00DA42D3"/>
    <w:rsid w:val="00DA5996"/>
    <w:rsid w:val="00DA5A1E"/>
    <w:rsid w:val="00DA66A3"/>
    <w:rsid w:val="00DB0E17"/>
    <w:rsid w:val="00DB11A6"/>
    <w:rsid w:val="00DB11AF"/>
    <w:rsid w:val="00DB1973"/>
    <w:rsid w:val="00DB1CBA"/>
    <w:rsid w:val="00DB1D89"/>
    <w:rsid w:val="00DB26EF"/>
    <w:rsid w:val="00DB29F2"/>
    <w:rsid w:val="00DB2B48"/>
    <w:rsid w:val="00DB32B7"/>
    <w:rsid w:val="00DB3744"/>
    <w:rsid w:val="00DB3A63"/>
    <w:rsid w:val="00DB42E7"/>
    <w:rsid w:val="00DB517E"/>
    <w:rsid w:val="00DB695C"/>
    <w:rsid w:val="00DB717D"/>
    <w:rsid w:val="00DC0129"/>
    <w:rsid w:val="00DC0415"/>
    <w:rsid w:val="00DC0557"/>
    <w:rsid w:val="00DC0AF5"/>
    <w:rsid w:val="00DC0C6C"/>
    <w:rsid w:val="00DC2195"/>
    <w:rsid w:val="00DC37CE"/>
    <w:rsid w:val="00DC3A57"/>
    <w:rsid w:val="00DC3AA8"/>
    <w:rsid w:val="00DC44F2"/>
    <w:rsid w:val="00DC4B26"/>
    <w:rsid w:val="00DC51BB"/>
    <w:rsid w:val="00DC5B74"/>
    <w:rsid w:val="00DC5E4C"/>
    <w:rsid w:val="00DD0173"/>
    <w:rsid w:val="00DD037E"/>
    <w:rsid w:val="00DD06EF"/>
    <w:rsid w:val="00DD0A32"/>
    <w:rsid w:val="00DD0C73"/>
    <w:rsid w:val="00DD192B"/>
    <w:rsid w:val="00DD1FC8"/>
    <w:rsid w:val="00DD31A7"/>
    <w:rsid w:val="00DD3930"/>
    <w:rsid w:val="00DD4D77"/>
    <w:rsid w:val="00DD6386"/>
    <w:rsid w:val="00DD6478"/>
    <w:rsid w:val="00DD6E4D"/>
    <w:rsid w:val="00DD747A"/>
    <w:rsid w:val="00DD76FE"/>
    <w:rsid w:val="00DD7B22"/>
    <w:rsid w:val="00DE0D05"/>
    <w:rsid w:val="00DE0FF3"/>
    <w:rsid w:val="00DE1A6C"/>
    <w:rsid w:val="00DE1CED"/>
    <w:rsid w:val="00DE75E5"/>
    <w:rsid w:val="00DF0385"/>
    <w:rsid w:val="00DF1D80"/>
    <w:rsid w:val="00DF363A"/>
    <w:rsid w:val="00E009A7"/>
    <w:rsid w:val="00E01138"/>
    <w:rsid w:val="00E05417"/>
    <w:rsid w:val="00E0557C"/>
    <w:rsid w:val="00E056D3"/>
    <w:rsid w:val="00E071C2"/>
    <w:rsid w:val="00E101EF"/>
    <w:rsid w:val="00E13F86"/>
    <w:rsid w:val="00E15A7F"/>
    <w:rsid w:val="00E16846"/>
    <w:rsid w:val="00E16990"/>
    <w:rsid w:val="00E16D82"/>
    <w:rsid w:val="00E17A32"/>
    <w:rsid w:val="00E20B09"/>
    <w:rsid w:val="00E2130C"/>
    <w:rsid w:val="00E21EC8"/>
    <w:rsid w:val="00E221C5"/>
    <w:rsid w:val="00E23617"/>
    <w:rsid w:val="00E24AB0"/>
    <w:rsid w:val="00E251A3"/>
    <w:rsid w:val="00E25307"/>
    <w:rsid w:val="00E25F7E"/>
    <w:rsid w:val="00E26B77"/>
    <w:rsid w:val="00E27CCD"/>
    <w:rsid w:val="00E30448"/>
    <w:rsid w:val="00E315D1"/>
    <w:rsid w:val="00E326DD"/>
    <w:rsid w:val="00E3305D"/>
    <w:rsid w:val="00E34312"/>
    <w:rsid w:val="00E3442F"/>
    <w:rsid w:val="00E34851"/>
    <w:rsid w:val="00E35878"/>
    <w:rsid w:val="00E360A0"/>
    <w:rsid w:val="00E36BEB"/>
    <w:rsid w:val="00E36E3C"/>
    <w:rsid w:val="00E37928"/>
    <w:rsid w:val="00E40459"/>
    <w:rsid w:val="00E4151E"/>
    <w:rsid w:val="00E41EA4"/>
    <w:rsid w:val="00E4203D"/>
    <w:rsid w:val="00E433A0"/>
    <w:rsid w:val="00E441C8"/>
    <w:rsid w:val="00E4430A"/>
    <w:rsid w:val="00E453CF"/>
    <w:rsid w:val="00E474AD"/>
    <w:rsid w:val="00E474CC"/>
    <w:rsid w:val="00E475B6"/>
    <w:rsid w:val="00E47692"/>
    <w:rsid w:val="00E4796D"/>
    <w:rsid w:val="00E5005C"/>
    <w:rsid w:val="00E52056"/>
    <w:rsid w:val="00E53DF7"/>
    <w:rsid w:val="00E5621C"/>
    <w:rsid w:val="00E56625"/>
    <w:rsid w:val="00E57146"/>
    <w:rsid w:val="00E57B7E"/>
    <w:rsid w:val="00E6034E"/>
    <w:rsid w:val="00E642B9"/>
    <w:rsid w:val="00E64368"/>
    <w:rsid w:val="00E65878"/>
    <w:rsid w:val="00E661DD"/>
    <w:rsid w:val="00E70BCA"/>
    <w:rsid w:val="00E73704"/>
    <w:rsid w:val="00E73EB6"/>
    <w:rsid w:val="00E74A68"/>
    <w:rsid w:val="00E7518E"/>
    <w:rsid w:val="00E758BD"/>
    <w:rsid w:val="00E823C2"/>
    <w:rsid w:val="00E82EE9"/>
    <w:rsid w:val="00E83459"/>
    <w:rsid w:val="00E84458"/>
    <w:rsid w:val="00E84E17"/>
    <w:rsid w:val="00E86027"/>
    <w:rsid w:val="00E8717A"/>
    <w:rsid w:val="00E90968"/>
    <w:rsid w:val="00E92442"/>
    <w:rsid w:val="00E9246A"/>
    <w:rsid w:val="00E92647"/>
    <w:rsid w:val="00E942ED"/>
    <w:rsid w:val="00E94F2D"/>
    <w:rsid w:val="00E95881"/>
    <w:rsid w:val="00E96707"/>
    <w:rsid w:val="00EA123B"/>
    <w:rsid w:val="00EA4E0E"/>
    <w:rsid w:val="00EA5B27"/>
    <w:rsid w:val="00EA5BDE"/>
    <w:rsid w:val="00EA5D26"/>
    <w:rsid w:val="00EA6043"/>
    <w:rsid w:val="00EA6AC2"/>
    <w:rsid w:val="00EB018F"/>
    <w:rsid w:val="00EB15D0"/>
    <w:rsid w:val="00EB198E"/>
    <w:rsid w:val="00EB216C"/>
    <w:rsid w:val="00EB4212"/>
    <w:rsid w:val="00EB4288"/>
    <w:rsid w:val="00EB43F7"/>
    <w:rsid w:val="00EB4D3D"/>
    <w:rsid w:val="00EB5310"/>
    <w:rsid w:val="00EB594D"/>
    <w:rsid w:val="00EC07B5"/>
    <w:rsid w:val="00EC2DE7"/>
    <w:rsid w:val="00EC4603"/>
    <w:rsid w:val="00EC5433"/>
    <w:rsid w:val="00EC6B74"/>
    <w:rsid w:val="00EC7A39"/>
    <w:rsid w:val="00EC7B59"/>
    <w:rsid w:val="00ED0235"/>
    <w:rsid w:val="00ED0E7A"/>
    <w:rsid w:val="00ED18F7"/>
    <w:rsid w:val="00ED3CC3"/>
    <w:rsid w:val="00ED438A"/>
    <w:rsid w:val="00ED65C0"/>
    <w:rsid w:val="00ED6A78"/>
    <w:rsid w:val="00EE0863"/>
    <w:rsid w:val="00EE16B5"/>
    <w:rsid w:val="00EE189D"/>
    <w:rsid w:val="00EE539A"/>
    <w:rsid w:val="00EE65BC"/>
    <w:rsid w:val="00EE6A26"/>
    <w:rsid w:val="00EE6E89"/>
    <w:rsid w:val="00EE7D1B"/>
    <w:rsid w:val="00EF000B"/>
    <w:rsid w:val="00EF1303"/>
    <w:rsid w:val="00EF1B94"/>
    <w:rsid w:val="00EF30C2"/>
    <w:rsid w:val="00EF5D71"/>
    <w:rsid w:val="00F0018B"/>
    <w:rsid w:val="00F004B4"/>
    <w:rsid w:val="00F00CCE"/>
    <w:rsid w:val="00F04184"/>
    <w:rsid w:val="00F0478F"/>
    <w:rsid w:val="00F04969"/>
    <w:rsid w:val="00F04A1E"/>
    <w:rsid w:val="00F060D3"/>
    <w:rsid w:val="00F073E5"/>
    <w:rsid w:val="00F10FFF"/>
    <w:rsid w:val="00F11042"/>
    <w:rsid w:val="00F11C1E"/>
    <w:rsid w:val="00F12D35"/>
    <w:rsid w:val="00F140DE"/>
    <w:rsid w:val="00F141AC"/>
    <w:rsid w:val="00F14B0F"/>
    <w:rsid w:val="00F1591C"/>
    <w:rsid w:val="00F15C94"/>
    <w:rsid w:val="00F208EF"/>
    <w:rsid w:val="00F21E79"/>
    <w:rsid w:val="00F23DDC"/>
    <w:rsid w:val="00F25204"/>
    <w:rsid w:val="00F26231"/>
    <w:rsid w:val="00F26C83"/>
    <w:rsid w:val="00F272CB"/>
    <w:rsid w:val="00F27EF7"/>
    <w:rsid w:val="00F30EA5"/>
    <w:rsid w:val="00F31684"/>
    <w:rsid w:val="00F32124"/>
    <w:rsid w:val="00F335B1"/>
    <w:rsid w:val="00F33C93"/>
    <w:rsid w:val="00F343C8"/>
    <w:rsid w:val="00F358C1"/>
    <w:rsid w:val="00F37404"/>
    <w:rsid w:val="00F40CE5"/>
    <w:rsid w:val="00F4293C"/>
    <w:rsid w:val="00F42C39"/>
    <w:rsid w:val="00F43D8B"/>
    <w:rsid w:val="00F43F5D"/>
    <w:rsid w:val="00F449DC"/>
    <w:rsid w:val="00F45171"/>
    <w:rsid w:val="00F45B87"/>
    <w:rsid w:val="00F45FD4"/>
    <w:rsid w:val="00F50228"/>
    <w:rsid w:val="00F50D62"/>
    <w:rsid w:val="00F5153D"/>
    <w:rsid w:val="00F51D21"/>
    <w:rsid w:val="00F52615"/>
    <w:rsid w:val="00F535DB"/>
    <w:rsid w:val="00F544F0"/>
    <w:rsid w:val="00F54EEE"/>
    <w:rsid w:val="00F563A7"/>
    <w:rsid w:val="00F570FF"/>
    <w:rsid w:val="00F57557"/>
    <w:rsid w:val="00F60A82"/>
    <w:rsid w:val="00F6206A"/>
    <w:rsid w:val="00F644AD"/>
    <w:rsid w:val="00F64789"/>
    <w:rsid w:val="00F64847"/>
    <w:rsid w:val="00F70140"/>
    <w:rsid w:val="00F70EB2"/>
    <w:rsid w:val="00F75554"/>
    <w:rsid w:val="00F7763A"/>
    <w:rsid w:val="00F7793D"/>
    <w:rsid w:val="00F80764"/>
    <w:rsid w:val="00F80D9F"/>
    <w:rsid w:val="00F82115"/>
    <w:rsid w:val="00F82B8C"/>
    <w:rsid w:val="00F83077"/>
    <w:rsid w:val="00F836D5"/>
    <w:rsid w:val="00F83DAC"/>
    <w:rsid w:val="00F8460C"/>
    <w:rsid w:val="00F84F20"/>
    <w:rsid w:val="00F85D90"/>
    <w:rsid w:val="00F860E5"/>
    <w:rsid w:val="00F86A2D"/>
    <w:rsid w:val="00F86D62"/>
    <w:rsid w:val="00F9035B"/>
    <w:rsid w:val="00F90539"/>
    <w:rsid w:val="00F91FFD"/>
    <w:rsid w:val="00F92DE9"/>
    <w:rsid w:val="00F9460A"/>
    <w:rsid w:val="00F94CB8"/>
    <w:rsid w:val="00F95FD5"/>
    <w:rsid w:val="00F960AB"/>
    <w:rsid w:val="00FA0D70"/>
    <w:rsid w:val="00FA13F9"/>
    <w:rsid w:val="00FA1997"/>
    <w:rsid w:val="00FA1CFB"/>
    <w:rsid w:val="00FA1F0D"/>
    <w:rsid w:val="00FA2ED2"/>
    <w:rsid w:val="00FA3E64"/>
    <w:rsid w:val="00FA47C3"/>
    <w:rsid w:val="00FA5ECC"/>
    <w:rsid w:val="00FA6FFB"/>
    <w:rsid w:val="00FB09A5"/>
    <w:rsid w:val="00FB09BE"/>
    <w:rsid w:val="00FB1004"/>
    <w:rsid w:val="00FB1461"/>
    <w:rsid w:val="00FB2A7E"/>
    <w:rsid w:val="00FB2EE2"/>
    <w:rsid w:val="00FB3461"/>
    <w:rsid w:val="00FB4E7E"/>
    <w:rsid w:val="00FB4EEB"/>
    <w:rsid w:val="00FB52CA"/>
    <w:rsid w:val="00FB612E"/>
    <w:rsid w:val="00FB6A8C"/>
    <w:rsid w:val="00FB6E7D"/>
    <w:rsid w:val="00FC0B28"/>
    <w:rsid w:val="00FC189D"/>
    <w:rsid w:val="00FC29B3"/>
    <w:rsid w:val="00FC4441"/>
    <w:rsid w:val="00FC4BA3"/>
    <w:rsid w:val="00FC54BE"/>
    <w:rsid w:val="00FC589C"/>
    <w:rsid w:val="00FC66B1"/>
    <w:rsid w:val="00FD006B"/>
    <w:rsid w:val="00FD016C"/>
    <w:rsid w:val="00FD1195"/>
    <w:rsid w:val="00FD2D29"/>
    <w:rsid w:val="00FD4158"/>
    <w:rsid w:val="00FD4890"/>
    <w:rsid w:val="00FD4E05"/>
    <w:rsid w:val="00FD533F"/>
    <w:rsid w:val="00FD54A6"/>
    <w:rsid w:val="00FD55DF"/>
    <w:rsid w:val="00FD67C6"/>
    <w:rsid w:val="00FD6B98"/>
    <w:rsid w:val="00FE018F"/>
    <w:rsid w:val="00FE0222"/>
    <w:rsid w:val="00FE0DF1"/>
    <w:rsid w:val="00FE2198"/>
    <w:rsid w:val="00FE34C1"/>
    <w:rsid w:val="00FE3D31"/>
    <w:rsid w:val="00FE4A4E"/>
    <w:rsid w:val="00FE4A88"/>
    <w:rsid w:val="00FE4F8A"/>
    <w:rsid w:val="00FE689A"/>
    <w:rsid w:val="00FF0528"/>
    <w:rsid w:val="00FF28B0"/>
    <w:rsid w:val="00FF2C5E"/>
    <w:rsid w:val="00FF3EC2"/>
    <w:rsid w:val="00FF5155"/>
    <w:rsid w:val="00FF5F9A"/>
    <w:rsid w:val="00FF65E9"/>
    <w:rsid w:val="00FF6E46"/>
    <w:rsid w:val="00FF7F5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AC1A8-8E3C-463A-9E85-0A08A733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414"/>
    <w:rPr>
      <w:sz w:val="24"/>
      <w:szCs w:val="24"/>
      <w:lang w:val="en-US" w:eastAsia="en-US"/>
    </w:rPr>
  </w:style>
  <w:style w:type="paragraph" w:styleId="Heading1">
    <w:name w:val="heading 1"/>
    <w:aliases w:val="LRIG H1"/>
    <w:basedOn w:val="Normal"/>
    <w:next w:val="LRiGnormal"/>
    <w:link w:val="Heading1Char"/>
    <w:uiPriority w:val="9"/>
    <w:qFormat/>
    <w:rsid w:val="009D254C"/>
    <w:pPr>
      <w:keepNext/>
      <w:keepLines/>
      <w:numPr>
        <w:numId w:val="2"/>
      </w:numPr>
      <w:spacing w:before="240" w:after="120"/>
      <w:outlineLvl w:val="0"/>
    </w:pPr>
    <w:rPr>
      <w:rFonts w:ascii="Arial" w:eastAsiaTheme="majorEastAsia" w:hAnsi="Arial" w:cstheme="majorBidi"/>
      <w:b/>
      <w:bCs/>
      <w:caps/>
      <w:sz w:val="32"/>
      <w:szCs w:val="28"/>
    </w:rPr>
  </w:style>
  <w:style w:type="paragraph" w:styleId="Heading2">
    <w:name w:val="heading 2"/>
    <w:aliases w:val="LRIG H2"/>
    <w:basedOn w:val="Normal"/>
    <w:next w:val="LRiGnormal"/>
    <w:link w:val="Heading2Char"/>
    <w:uiPriority w:val="9"/>
    <w:unhideWhenUsed/>
    <w:qFormat/>
    <w:rsid w:val="00EC4603"/>
    <w:pPr>
      <w:keepNext/>
      <w:keepLines/>
      <w:numPr>
        <w:ilvl w:val="1"/>
        <w:numId w:val="2"/>
      </w:numPr>
      <w:spacing w:before="240" w:after="120"/>
      <w:outlineLvl w:val="1"/>
    </w:pPr>
    <w:rPr>
      <w:rFonts w:ascii="Arial" w:eastAsiaTheme="majorEastAsia" w:hAnsi="Arial" w:cstheme="majorBidi"/>
      <w:b/>
      <w:bCs/>
      <w:i/>
      <w:sz w:val="26"/>
      <w:szCs w:val="26"/>
    </w:rPr>
  </w:style>
  <w:style w:type="paragraph" w:styleId="Heading3">
    <w:name w:val="heading 3"/>
    <w:aliases w:val="LRIG H3"/>
    <w:basedOn w:val="Normal"/>
    <w:next w:val="LRiGnormal"/>
    <w:link w:val="Heading3Char"/>
    <w:uiPriority w:val="9"/>
    <w:unhideWhenUsed/>
    <w:qFormat/>
    <w:rsid w:val="00EC4603"/>
    <w:pPr>
      <w:keepNext/>
      <w:keepLines/>
      <w:numPr>
        <w:ilvl w:val="2"/>
        <w:numId w:val="2"/>
      </w:numPr>
      <w:spacing w:before="240" w:after="120"/>
      <w:outlineLvl w:val="2"/>
    </w:pPr>
    <w:rPr>
      <w:rFonts w:ascii="Arial" w:eastAsiaTheme="majorEastAsia" w:hAnsi="Arial" w:cstheme="majorBidi"/>
      <w:b/>
      <w:bCs/>
      <w:sz w:val="26"/>
      <w:szCs w:val="22"/>
    </w:rPr>
  </w:style>
  <w:style w:type="paragraph" w:styleId="Heading4">
    <w:name w:val="heading 4"/>
    <w:basedOn w:val="Normal"/>
    <w:next w:val="Normal"/>
    <w:link w:val="Heading4Char"/>
    <w:uiPriority w:val="9"/>
    <w:semiHidden/>
    <w:unhideWhenUsed/>
    <w:rsid w:val="00EC4603"/>
    <w:pPr>
      <w:keepNext/>
      <w:keepLines/>
      <w:numPr>
        <w:ilvl w:val="3"/>
        <w:numId w:val="2"/>
      </w:numPr>
      <w:spacing w:before="200" w:line="360" w:lineRule="auto"/>
      <w:jc w:val="both"/>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nhideWhenUsed/>
    <w:rsid w:val="00EC4603"/>
    <w:pPr>
      <w:numPr>
        <w:ilvl w:val="4"/>
        <w:numId w:val="2"/>
      </w:numPr>
      <w:spacing w:before="240" w:after="60"/>
      <w:jc w:val="both"/>
      <w:outlineLvl w:val="4"/>
    </w:pPr>
    <w:rPr>
      <w:rFonts w:ascii="Arial" w:hAnsi="Arial"/>
      <w:b/>
      <w:bCs/>
      <w:i/>
      <w:iCs/>
      <w:sz w:val="26"/>
      <w:szCs w:val="26"/>
    </w:rPr>
  </w:style>
  <w:style w:type="paragraph" w:styleId="Heading6">
    <w:name w:val="heading 6"/>
    <w:basedOn w:val="Normal"/>
    <w:next w:val="Normal"/>
    <w:link w:val="Heading6Char"/>
    <w:unhideWhenUsed/>
    <w:rsid w:val="00EC4603"/>
    <w:pPr>
      <w:numPr>
        <w:ilvl w:val="5"/>
        <w:numId w:val="2"/>
      </w:numPr>
      <w:spacing w:before="240" w:after="60"/>
      <w:jc w:val="both"/>
      <w:outlineLvl w:val="5"/>
    </w:pPr>
    <w:rPr>
      <w:b/>
      <w:bCs/>
      <w:sz w:val="22"/>
      <w:szCs w:val="22"/>
    </w:rPr>
  </w:style>
  <w:style w:type="paragraph" w:styleId="Heading7">
    <w:name w:val="heading 7"/>
    <w:basedOn w:val="Normal"/>
    <w:next w:val="Normal"/>
    <w:link w:val="Heading7Char"/>
    <w:unhideWhenUsed/>
    <w:rsid w:val="00EC4603"/>
    <w:pPr>
      <w:numPr>
        <w:ilvl w:val="6"/>
        <w:numId w:val="2"/>
      </w:numPr>
      <w:spacing w:before="240" w:after="60"/>
      <w:jc w:val="both"/>
      <w:outlineLvl w:val="6"/>
    </w:pPr>
  </w:style>
  <w:style w:type="paragraph" w:styleId="Heading8">
    <w:name w:val="heading 8"/>
    <w:basedOn w:val="Normal"/>
    <w:next w:val="Normal"/>
    <w:link w:val="Heading8Char"/>
    <w:unhideWhenUsed/>
    <w:rsid w:val="00EC4603"/>
    <w:pPr>
      <w:numPr>
        <w:ilvl w:val="7"/>
        <w:numId w:val="2"/>
      </w:numPr>
      <w:spacing w:before="240" w:after="60"/>
      <w:jc w:val="both"/>
      <w:outlineLvl w:val="7"/>
    </w:pPr>
    <w:rPr>
      <w:i/>
      <w:iCs/>
    </w:rPr>
  </w:style>
  <w:style w:type="paragraph" w:styleId="Heading9">
    <w:name w:val="heading 9"/>
    <w:basedOn w:val="Normal"/>
    <w:next w:val="Normal"/>
    <w:link w:val="Heading9Char"/>
    <w:unhideWhenUsed/>
    <w:rsid w:val="00EC4603"/>
    <w:pPr>
      <w:numPr>
        <w:ilvl w:val="8"/>
        <w:numId w:val="2"/>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Bullets">
    <w:name w:val="1 Text Bullets"/>
    <w:basedOn w:val="Normal"/>
    <w:uiPriority w:val="99"/>
    <w:rsid w:val="002B63AB"/>
    <w:pPr>
      <w:widowControl w:val="0"/>
      <w:numPr>
        <w:numId w:val="1"/>
      </w:numPr>
      <w:autoSpaceDE w:val="0"/>
      <w:autoSpaceDN w:val="0"/>
      <w:adjustRightInd w:val="0"/>
      <w:spacing w:after="40" w:line="240" w:lineRule="exact"/>
    </w:pPr>
    <w:rPr>
      <w:rFonts w:ascii="ArialMT" w:hAnsi="ArialMT" w:cs="ArialMT"/>
      <w:sz w:val="14"/>
      <w:szCs w:val="22"/>
    </w:rPr>
  </w:style>
  <w:style w:type="paragraph" w:styleId="Header">
    <w:name w:val="header"/>
    <w:basedOn w:val="Normal"/>
    <w:link w:val="HeaderChar"/>
    <w:rsid w:val="002B63AB"/>
    <w:pPr>
      <w:tabs>
        <w:tab w:val="center" w:pos="4320"/>
        <w:tab w:val="right" w:pos="8640"/>
      </w:tabs>
    </w:pPr>
  </w:style>
  <w:style w:type="character" w:customStyle="1" w:styleId="HeaderChar">
    <w:name w:val="Header Char"/>
    <w:basedOn w:val="DefaultParagraphFont"/>
    <w:link w:val="Header"/>
    <w:rsid w:val="002B63AB"/>
    <w:rPr>
      <w:sz w:val="24"/>
      <w:szCs w:val="24"/>
    </w:rPr>
  </w:style>
  <w:style w:type="paragraph" w:styleId="Footer">
    <w:name w:val="footer"/>
    <w:basedOn w:val="Normal"/>
    <w:link w:val="FooterChar"/>
    <w:uiPriority w:val="99"/>
    <w:rsid w:val="002B63AB"/>
    <w:pPr>
      <w:tabs>
        <w:tab w:val="center" w:pos="4320"/>
        <w:tab w:val="right" w:pos="8640"/>
      </w:tabs>
    </w:pPr>
  </w:style>
  <w:style w:type="character" w:customStyle="1" w:styleId="FooterChar">
    <w:name w:val="Footer Char"/>
    <w:basedOn w:val="DefaultParagraphFont"/>
    <w:link w:val="Footer"/>
    <w:uiPriority w:val="99"/>
    <w:rsid w:val="002B63AB"/>
    <w:rPr>
      <w:sz w:val="24"/>
      <w:szCs w:val="24"/>
    </w:rPr>
  </w:style>
  <w:style w:type="paragraph" w:customStyle="1" w:styleId="0Title">
    <w:name w:val="0. Title"/>
    <w:basedOn w:val="Normal"/>
    <w:uiPriority w:val="99"/>
    <w:rsid w:val="002B63AB"/>
    <w:rPr>
      <w:rFonts w:ascii="Arial Narrow" w:hAnsi="Arial Narrow"/>
      <w:color w:val="FFFFFF"/>
      <w:sz w:val="50"/>
    </w:rPr>
  </w:style>
  <w:style w:type="paragraph" w:customStyle="1" w:styleId="0ProjectNo">
    <w:name w:val="0. Project No."/>
    <w:basedOn w:val="Normal"/>
    <w:uiPriority w:val="99"/>
    <w:rsid w:val="002B63AB"/>
    <w:pPr>
      <w:jc w:val="right"/>
    </w:pPr>
    <w:rPr>
      <w:rFonts w:ascii="Arial Narrow" w:hAnsi="Arial Narrow"/>
      <w:color w:val="FFFFFF"/>
    </w:rPr>
  </w:style>
  <w:style w:type="paragraph" w:customStyle="1" w:styleId="0Date">
    <w:name w:val="0. Date"/>
    <w:basedOn w:val="Normal"/>
    <w:uiPriority w:val="99"/>
    <w:rsid w:val="002B63AB"/>
    <w:pPr>
      <w:jc w:val="right"/>
    </w:pPr>
    <w:rPr>
      <w:rFonts w:ascii="Arial Narrow" w:hAnsi="Arial Narrow"/>
      <w:color w:val="FFFFFF"/>
      <w:sz w:val="20"/>
    </w:rPr>
  </w:style>
  <w:style w:type="paragraph" w:customStyle="1" w:styleId="0Doesnotcontain">
    <w:name w:val="0. Does not contain"/>
    <w:basedOn w:val="Normal"/>
    <w:uiPriority w:val="99"/>
    <w:rsid w:val="002B63AB"/>
    <w:pPr>
      <w:jc w:val="right"/>
    </w:pPr>
    <w:rPr>
      <w:rFonts w:ascii="Arial Narrow" w:hAnsi="Arial Narrow"/>
      <w:color w:val="FFFFFF"/>
      <w:sz w:val="20"/>
    </w:rPr>
  </w:style>
  <w:style w:type="paragraph" w:customStyle="1" w:styleId="0REPORT">
    <w:name w:val="0. REPORT"/>
    <w:basedOn w:val="Normal"/>
    <w:uiPriority w:val="99"/>
    <w:rsid w:val="002B63AB"/>
    <w:rPr>
      <w:rFonts w:ascii="Arial Black" w:hAnsi="Arial Black"/>
      <w:color w:val="FFFFFF"/>
    </w:rPr>
  </w:style>
  <w:style w:type="character" w:customStyle="1" w:styleId="Heading1Char">
    <w:name w:val="Heading 1 Char"/>
    <w:aliases w:val="LRIG H1 Char"/>
    <w:basedOn w:val="DefaultParagraphFont"/>
    <w:link w:val="Heading1"/>
    <w:uiPriority w:val="9"/>
    <w:rsid w:val="009D254C"/>
    <w:rPr>
      <w:rFonts w:ascii="Arial" w:eastAsiaTheme="majorEastAsia" w:hAnsi="Arial" w:cstheme="majorBidi"/>
      <w:b/>
      <w:bCs/>
      <w:caps/>
      <w:sz w:val="32"/>
      <w:szCs w:val="28"/>
      <w:lang w:eastAsia="en-US"/>
    </w:rPr>
  </w:style>
  <w:style w:type="character" w:customStyle="1" w:styleId="Heading2Char">
    <w:name w:val="Heading 2 Char"/>
    <w:aliases w:val="LRIG H2 Char"/>
    <w:basedOn w:val="DefaultParagraphFont"/>
    <w:link w:val="Heading2"/>
    <w:uiPriority w:val="9"/>
    <w:rsid w:val="00EC4603"/>
    <w:rPr>
      <w:rFonts w:ascii="Arial" w:eastAsiaTheme="majorEastAsia" w:hAnsi="Arial" w:cstheme="majorBidi"/>
      <w:b/>
      <w:bCs/>
      <w:i/>
      <w:sz w:val="26"/>
      <w:szCs w:val="26"/>
      <w:lang w:val="en-US" w:eastAsia="en-US"/>
    </w:rPr>
  </w:style>
  <w:style w:type="character" w:customStyle="1" w:styleId="Heading3Char">
    <w:name w:val="Heading 3 Char"/>
    <w:aliases w:val="LRIG H3 Char"/>
    <w:basedOn w:val="DefaultParagraphFont"/>
    <w:link w:val="Heading3"/>
    <w:uiPriority w:val="9"/>
    <w:rsid w:val="00EC4603"/>
    <w:rPr>
      <w:rFonts w:ascii="Arial" w:eastAsiaTheme="majorEastAsia" w:hAnsi="Arial" w:cstheme="majorBidi"/>
      <w:b/>
      <w:bCs/>
      <w:sz w:val="26"/>
      <w:szCs w:val="22"/>
      <w:lang w:eastAsia="en-US"/>
    </w:rPr>
  </w:style>
  <w:style w:type="character" w:customStyle="1" w:styleId="Heading4Char">
    <w:name w:val="Heading 4 Char"/>
    <w:basedOn w:val="DefaultParagraphFont"/>
    <w:link w:val="Heading4"/>
    <w:uiPriority w:val="9"/>
    <w:semiHidden/>
    <w:rsid w:val="00EC4603"/>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rsid w:val="00EC4603"/>
    <w:rPr>
      <w:rFonts w:ascii="Arial" w:hAnsi="Arial"/>
      <w:b/>
      <w:bCs/>
      <w:i/>
      <w:iCs/>
      <w:sz w:val="26"/>
      <w:szCs w:val="26"/>
      <w:lang w:eastAsia="en-US"/>
    </w:rPr>
  </w:style>
  <w:style w:type="character" w:customStyle="1" w:styleId="Heading6Char">
    <w:name w:val="Heading 6 Char"/>
    <w:basedOn w:val="DefaultParagraphFont"/>
    <w:link w:val="Heading6"/>
    <w:rsid w:val="00EC4603"/>
    <w:rPr>
      <w:b/>
      <w:bCs/>
      <w:sz w:val="22"/>
      <w:szCs w:val="22"/>
      <w:lang w:eastAsia="en-US"/>
    </w:rPr>
  </w:style>
  <w:style w:type="character" w:customStyle="1" w:styleId="Heading7Char">
    <w:name w:val="Heading 7 Char"/>
    <w:basedOn w:val="DefaultParagraphFont"/>
    <w:link w:val="Heading7"/>
    <w:rsid w:val="00EC4603"/>
    <w:rPr>
      <w:sz w:val="24"/>
      <w:szCs w:val="24"/>
      <w:lang w:eastAsia="en-US"/>
    </w:rPr>
  </w:style>
  <w:style w:type="character" w:customStyle="1" w:styleId="Heading8Char">
    <w:name w:val="Heading 8 Char"/>
    <w:basedOn w:val="DefaultParagraphFont"/>
    <w:link w:val="Heading8"/>
    <w:rsid w:val="00EC4603"/>
    <w:rPr>
      <w:i/>
      <w:iCs/>
      <w:sz w:val="24"/>
      <w:szCs w:val="24"/>
      <w:lang w:eastAsia="en-US"/>
    </w:rPr>
  </w:style>
  <w:style w:type="character" w:customStyle="1" w:styleId="Heading9Char">
    <w:name w:val="Heading 9 Char"/>
    <w:basedOn w:val="DefaultParagraphFont"/>
    <w:link w:val="Heading9"/>
    <w:rsid w:val="00EC4603"/>
    <w:rPr>
      <w:rFonts w:ascii="Arial" w:hAnsi="Arial" w:cs="Arial"/>
      <w:sz w:val="22"/>
      <w:szCs w:val="22"/>
      <w:lang w:eastAsia="en-US"/>
    </w:rPr>
  </w:style>
  <w:style w:type="paragraph" w:customStyle="1" w:styleId="LRIGCAPTION">
    <w:name w:val="LRIG CAPTION"/>
    <w:basedOn w:val="Caption"/>
    <w:qFormat/>
    <w:rsid w:val="00EC4603"/>
    <w:pPr>
      <w:spacing w:before="120" w:after="120"/>
    </w:pPr>
    <w:rPr>
      <w:rFonts w:ascii="Arial" w:eastAsiaTheme="minorHAnsi" w:hAnsi="Arial" w:cstheme="minorBidi"/>
      <w:b w:val="0"/>
      <w:color w:val="auto"/>
      <w:sz w:val="22"/>
    </w:rPr>
  </w:style>
  <w:style w:type="paragraph" w:customStyle="1" w:styleId="LRIGlegend">
    <w:name w:val="LRIG legend"/>
    <w:basedOn w:val="Normal"/>
    <w:qFormat/>
    <w:rsid w:val="00EC4603"/>
    <w:pPr>
      <w:jc w:val="both"/>
    </w:pPr>
    <w:rPr>
      <w:rFonts w:ascii="Arial" w:eastAsiaTheme="minorHAnsi" w:hAnsi="Arial" w:cstheme="minorBidi"/>
      <w:sz w:val="16"/>
      <w:szCs w:val="22"/>
    </w:rPr>
  </w:style>
  <w:style w:type="paragraph" w:customStyle="1" w:styleId="NICEnormal">
    <w:name w:val="NICE normal"/>
    <w:basedOn w:val="Normal"/>
    <w:link w:val="NICEnormalChar"/>
    <w:rsid w:val="00EC4603"/>
    <w:pPr>
      <w:spacing w:after="240" w:line="360" w:lineRule="auto"/>
      <w:jc w:val="both"/>
    </w:pPr>
    <w:rPr>
      <w:rFonts w:ascii="Arial" w:hAnsi="Arial"/>
    </w:rPr>
  </w:style>
  <w:style w:type="character" w:customStyle="1" w:styleId="NICEnormalChar">
    <w:name w:val="NICE normal Char"/>
    <w:basedOn w:val="DefaultParagraphFont"/>
    <w:link w:val="NICEnormal"/>
    <w:locked/>
    <w:rsid w:val="00EC4603"/>
    <w:rPr>
      <w:rFonts w:ascii="Arial" w:hAnsi="Arial"/>
      <w:sz w:val="24"/>
      <w:szCs w:val="24"/>
      <w:lang w:eastAsia="en-US"/>
    </w:rPr>
  </w:style>
  <w:style w:type="character" w:styleId="Hyperlink">
    <w:name w:val="Hyperlink"/>
    <w:basedOn w:val="DefaultParagraphFont"/>
    <w:uiPriority w:val="99"/>
    <w:rsid w:val="00EC4603"/>
    <w:rPr>
      <w:rFonts w:cs="Times New Roman"/>
      <w:color w:val="0000FF"/>
      <w:u w:val="single"/>
    </w:rPr>
  </w:style>
  <w:style w:type="paragraph" w:customStyle="1" w:styleId="TARtabletext">
    <w:name w:val="TAR_table_text"/>
    <w:basedOn w:val="Normal"/>
    <w:rsid w:val="00EC4603"/>
    <w:pPr>
      <w:keepNext/>
      <w:tabs>
        <w:tab w:val="right" w:pos="1432"/>
      </w:tabs>
      <w:spacing w:after="240" w:line="360" w:lineRule="auto"/>
    </w:pPr>
    <w:rPr>
      <w:rFonts w:ascii="Arial" w:hAnsi="Arial"/>
      <w:color w:val="000080"/>
      <w:sz w:val="16"/>
    </w:rPr>
  </w:style>
  <w:style w:type="paragraph" w:styleId="TOC1">
    <w:name w:val="toc 1"/>
    <w:basedOn w:val="Normal"/>
    <w:next w:val="Normal"/>
    <w:autoRedefine/>
    <w:uiPriority w:val="39"/>
    <w:unhideWhenUsed/>
    <w:rsid w:val="00EC4603"/>
    <w:pPr>
      <w:widowControl w:val="0"/>
      <w:jc w:val="both"/>
    </w:pPr>
    <w:rPr>
      <w:rFonts w:eastAsiaTheme="minorHAnsi" w:cstheme="minorBidi"/>
      <w:sz w:val="22"/>
      <w:szCs w:val="22"/>
    </w:rPr>
  </w:style>
  <w:style w:type="paragraph" w:styleId="TOC2">
    <w:name w:val="toc 2"/>
    <w:basedOn w:val="Normal"/>
    <w:next w:val="Normal"/>
    <w:autoRedefine/>
    <w:uiPriority w:val="39"/>
    <w:unhideWhenUsed/>
    <w:rsid w:val="00EC4603"/>
    <w:pPr>
      <w:tabs>
        <w:tab w:val="left" w:pos="880"/>
        <w:tab w:val="right" w:leader="dot" w:pos="9016"/>
      </w:tabs>
      <w:spacing w:after="60"/>
      <w:ind w:left="221"/>
      <w:jc w:val="both"/>
    </w:pPr>
    <w:rPr>
      <w:rFonts w:eastAsiaTheme="minorHAnsi" w:cstheme="minorBidi"/>
      <w:sz w:val="22"/>
      <w:szCs w:val="22"/>
    </w:rPr>
  </w:style>
  <w:style w:type="paragraph" w:customStyle="1" w:styleId="LRIGTABLEHEADER">
    <w:name w:val="LRIG TABLE HEADER"/>
    <w:basedOn w:val="Normal"/>
    <w:qFormat/>
    <w:rsid w:val="00EC4603"/>
    <w:pPr>
      <w:keepNext/>
      <w:spacing w:before="40" w:after="40"/>
      <w:jc w:val="both"/>
    </w:pPr>
    <w:rPr>
      <w:rFonts w:ascii="Arial" w:hAnsi="Arial" w:cs="Arial"/>
      <w:b/>
      <w:sz w:val="20"/>
      <w:szCs w:val="20"/>
    </w:rPr>
  </w:style>
  <w:style w:type="paragraph" w:customStyle="1" w:styleId="LRIGTABLETEXT">
    <w:name w:val="LRIG TABLE TEXT"/>
    <w:basedOn w:val="TARtabletext"/>
    <w:qFormat/>
    <w:rsid w:val="00EC4603"/>
    <w:pPr>
      <w:spacing w:before="40" w:after="40" w:line="240" w:lineRule="auto"/>
    </w:pPr>
    <w:rPr>
      <w:rFonts w:cs="Arial"/>
      <w:color w:val="auto"/>
      <w:sz w:val="18"/>
      <w:szCs w:val="18"/>
    </w:rPr>
  </w:style>
  <w:style w:type="paragraph" w:customStyle="1" w:styleId="LRIGTABLENUMBERS">
    <w:name w:val="LRIG TABLE NUMBERS"/>
    <w:basedOn w:val="TARtabletext"/>
    <w:qFormat/>
    <w:rsid w:val="00EC4603"/>
    <w:pPr>
      <w:spacing w:before="40" w:after="40" w:line="240" w:lineRule="auto"/>
      <w:jc w:val="right"/>
    </w:pPr>
    <w:rPr>
      <w:color w:val="auto"/>
      <w:sz w:val="20"/>
      <w:szCs w:val="20"/>
    </w:rPr>
  </w:style>
  <w:style w:type="paragraph" w:customStyle="1" w:styleId="LRIGH4">
    <w:name w:val="LRIG H4"/>
    <w:basedOn w:val="Normal"/>
    <w:next w:val="Normal"/>
    <w:qFormat/>
    <w:rsid w:val="00EC4603"/>
    <w:pPr>
      <w:spacing w:before="240" w:after="120"/>
    </w:pPr>
    <w:rPr>
      <w:rFonts w:eastAsiaTheme="minorHAnsi" w:cstheme="minorBidi"/>
      <w:i/>
      <w:sz w:val="22"/>
      <w:szCs w:val="22"/>
    </w:rPr>
  </w:style>
  <w:style w:type="paragraph" w:customStyle="1" w:styleId="LRIGBULLET">
    <w:name w:val="LRIG BULLET"/>
    <w:basedOn w:val="LRIGH4"/>
    <w:next w:val="Normal"/>
    <w:qFormat/>
    <w:rsid w:val="00EC4603"/>
    <w:pPr>
      <w:numPr>
        <w:numId w:val="3"/>
      </w:numPr>
      <w:spacing w:before="0"/>
      <w:ind w:left="714" w:hanging="357"/>
      <w:jc w:val="both"/>
    </w:pPr>
    <w:rPr>
      <w:i w:val="0"/>
    </w:rPr>
  </w:style>
  <w:style w:type="paragraph" w:customStyle="1" w:styleId="LRIGFOOTER">
    <w:name w:val="LRIG FOOTER"/>
    <w:basedOn w:val="Footer"/>
    <w:qFormat/>
    <w:rsid w:val="00EC4603"/>
    <w:pPr>
      <w:tabs>
        <w:tab w:val="clear" w:pos="4320"/>
        <w:tab w:val="clear" w:pos="8640"/>
        <w:tab w:val="center" w:pos="4153"/>
        <w:tab w:val="right" w:pos="8306"/>
      </w:tabs>
      <w:jc w:val="right"/>
    </w:pPr>
    <w:rPr>
      <w:rFonts w:ascii="Arial" w:hAnsi="Arial" w:cs="Arial"/>
      <w:sz w:val="16"/>
      <w:szCs w:val="16"/>
    </w:rPr>
  </w:style>
  <w:style w:type="paragraph" w:customStyle="1" w:styleId="LRIGNUMBEREDLIST">
    <w:name w:val="LRIG NUMBERED LIST"/>
    <w:basedOn w:val="Normal"/>
    <w:link w:val="LRIGNUMBEREDLISTChar"/>
    <w:qFormat/>
    <w:rsid w:val="00EC4603"/>
    <w:pPr>
      <w:numPr>
        <w:numId w:val="4"/>
      </w:numPr>
      <w:spacing w:after="120"/>
      <w:ind w:left="714" w:hanging="357"/>
      <w:jc w:val="both"/>
    </w:pPr>
    <w:rPr>
      <w:rFonts w:eastAsiaTheme="minorHAnsi" w:cstheme="minorBidi"/>
      <w:sz w:val="22"/>
      <w:szCs w:val="22"/>
    </w:rPr>
  </w:style>
  <w:style w:type="character" w:customStyle="1" w:styleId="LRIGNUMBEREDLISTChar">
    <w:name w:val="LRIG NUMBERED LIST Char"/>
    <w:basedOn w:val="DefaultParagraphFont"/>
    <w:link w:val="LRIGNUMBEREDLIST"/>
    <w:rsid w:val="00EC4603"/>
    <w:rPr>
      <w:rFonts w:eastAsiaTheme="minorHAnsi" w:cstheme="minorBidi"/>
      <w:sz w:val="22"/>
      <w:szCs w:val="22"/>
      <w:lang w:eastAsia="en-US"/>
    </w:rPr>
  </w:style>
  <w:style w:type="paragraph" w:styleId="Caption">
    <w:name w:val="caption"/>
    <w:basedOn w:val="Normal"/>
    <w:next w:val="Normal"/>
    <w:uiPriority w:val="35"/>
    <w:unhideWhenUsed/>
    <w:qFormat/>
    <w:rsid w:val="00EC4603"/>
    <w:pPr>
      <w:spacing w:after="200"/>
    </w:pPr>
    <w:rPr>
      <w:b/>
      <w:bCs/>
      <w:color w:val="4F81BD" w:themeColor="accent1"/>
      <w:sz w:val="18"/>
      <w:szCs w:val="18"/>
    </w:rPr>
  </w:style>
  <w:style w:type="paragraph" w:customStyle="1" w:styleId="LRiGnormal">
    <w:name w:val="LRiG normal"/>
    <w:basedOn w:val="Normal"/>
    <w:link w:val="LRiGnormalChar"/>
    <w:qFormat/>
    <w:rsid w:val="00BC5AEE"/>
    <w:pPr>
      <w:spacing w:after="240" w:line="360" w:lineRule="auto"/>
      <w:jc w:val="both"/>
    </w:pPr>
    <w:rPr>
      <w:sz w:val="22"/>
      <w:szCs w:val="22"/>
    </w:rPr>
  </w:style>
  <w:style w:type="character" w:customStyle="1" w:styleId="LRiGnormalChar">
    <w:name w:val="LRiG normal Char"/>
    <w:basedOn w:val="DefaultParagraphFont"/>
    <w:link w:val="LRiGnormal"/>
    <w:rsid w:val="00BC5AEE"/>
    <w:rPr>
      <w:sz w:val="22"/>
      <w:szCs w:val="22"/>
      <w:lang w:eastAsia="en-US"/>
    </w:rPr>
  </w:style>
  <w:style w:type="paragraph" w:customStyle="1" w:styleId="LRIGBOXTEXT">
    <w:name w:val="LRIG BOX TEXT"/>
    <w:basedOn w:val="Normal"/>
    <w:link w:val="LRIGBOXTEXTChar"/>
    <w:qFormat/>
    <w:rsid w:val="00A17251"/>
    <w:pPr>
      <w:jc w:val="both"/>
    </w:pPr>
    <w:rPr>
      <w:rFonts w:ascii="Arial" w:hAnsi="Arial"/>
      <w:sz w:val="20"/>
    </w:rPr>
  </w:style>
  <w:style w:type="paragraph" w:customStyle="1" w:styleId="LRIGINDENT">
    <w:name w:val="LRIG INDENT"/>
    <w:basedOn w:val="LRIGBOXTEXT"/>
    <w:link w:val="LRIGINDENTChar"/>
    <w:qFormat/>
    <w:rsid w:val="00A17251"/>
    <w:pPr>
      <w:ind w:left="578" w:right="578"/>
    </w:pPr>
    <w:rPr>
      <w:rFonts w:ascii="Times New Roman" w:hAnsi="Times New Roman"/>
      <w:i/>
    </w:rPr>
  </w:style>
  <w:style w:type="character" w:customStyle="1" w:styleId="LRIGBOXTEXTChar">
    <w:name w:val="LRIG BOX TEXT Char"/>
    <w:basedOn w:val="DefaultParagraphFont"/>
    <w:link w:val="LRIGBOXTEXT"/>
    <w:rsid w:val="00A17251"/>
    <w:rPr>
      <w:rFonts w:ascii="Arial" w:hAnsi="Arial"/>
      <w:szCs w:val="24"/>
      <w:lang w:eastAsia="en-US"/>
    </w:rPr>
  </w:style>
  <w:style w:type="character" w:customStyle="1" w:styleId="LRIGINDENTChar">
    <w:name w:val="LRIG INDENT Char"/>
    <w:basedOn w:val="LRIGBOXTEXTChar"/>
    <w:link w:val="LRIGINDENT"/>
    <w:rsid w:val="00A17251"/>
    <w:rPr>
      <w:rFonts w:ascii="Arial" w:hAnsi="Arial"/>
      <w:i/>
      <w:szCs w:val="24"/>
      <w:lang w:eastAsia="en-US"/>
    </w:rPr>
  </w:style>
  <w:style w:type="table" w:styleId="TableGrid">
    <w:name w:val="Table Grid"/>
    <w:basedOn w:val="TableNormal"/>
    <w:uiPriority w:val="59"/>
    <w:rsid w:val="00B2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5DFF"/>
    <w:rPr>
      <w:sz w:val="16"/>
      <w:szCs w:val="16"/>
    </w:rPr>
  </w:style>
  <w:style w:type="paragraph" w:styleId="CommentText">
    <w:name w:val="annotation text"/>
    <w:basedOn w:val="Normal"/>
    <w:link w:val="CommentTextChar"/>
    <w:uiPriority w:val="99"/>
    <w:unhideWhenUsed/>
    <w:rsid w:val="008E5DFF"/>
    <w:rPr>
      <w:sz w:val="20"/>
      <w:szCs w:val="20"/>
    </w:rPr>
  </w:style>
  <w:style w:type="character" w:customStyle="1" w:styleId="CommentTextChar">
    <w:name w:val="Comment Text Char"/>
    <w:basedOn w:val="DefaultParagraphFont"/>
    <w:link w:val="CommentText"/>
    <w:uiPriority w:val="99"/>
    <w:rsid w:val="008E5DFF"/>
    <w:rPr>
      <w:lang w:eastAsia="en-US"/>
    </w:rPr>
  </w:style>
  <w:style w:type="paragraph" w:styleId="CommentSubject">
    <w:name w:val="annotation subject"/>
    <w:basedOn w:val="CommentText"/>
    <w:next w:val="CommentText"/>
    <w:link w:val="CommentSubjectChar"/>
    <w:uiPriority w:val="99"/>
    <w:semiHidden/>
    <w:unhideWhenUsed/>
    <w:rsid w:val="008E5DFF"/>
    <w:rPr>
      <w:b/>
      <w:bCs/>
    </w:rPr>
  </w:style>
  <w:style w:type="character" w:customStyle="1" w:styleId="CommentSubjectChar">
    <w:name w:val="Comment Subject Char"/>
    <w:basedOn w:val="CommentTextChar"/>
    <w:link w:val="CommentSubject"/>
    <w:uiPriority w:val="99"/>
    <w:semiHidden/>
    <w:rsid w:val="008E5DFF"/>
    <w:rPr>
      <w:b/>
      <w:bCs/>
      <w:lang w:eastAsia="en-US"/>
    </w:rPr>
  </w:style>
  <w:style w:type="paragraph" w:styleId="BalloonText">
    <w:name w:val="Balloon Text"/>
    <w:basedOn w:val="Normal"/>
    <w:link w:val="BalloonTextChar"/>
    <w:uiPriority w:val="99"/>
    <w:semiHidden/>
    <w:unhideWhenUsed/>
    <w:rsid w:val="008E5DFF"/>
    <w:rPr>
      <w:rFonts w:ascii="Tahoma" w:hAnsi="Tahoma" w:cs="Tahoma"/>
      <w:sz w:val="16"/>
      <w:szCs w:val="16"/>
    </w:rPr>
  </w:style>
  <w:style w:type="character" w:customStyle="1" w:styleId="BalloonTextChar">
    <w:name w:val="Balloon Text Char"/>
    <w:basedOn w:val="DefaultParagraphFont"/>
    <w:link w:val="BalloonText"/>
    <w:uiPriority w:val="99"/>
    <w:semiHidden/>
    <w:rsid w:val="008E5DFF"/>
    <w:rPr>
      <w:rFonts w:ascii="Tahoma" w:hAnsi="Tahoma" w:cs="Tahoma"/>
      <w:sz w:val="16"/>
      <w:szCs w:val="16"/>
      <w:lang w:eastAsia="en-US"/>
    </w:rPr>
  </w:style>
  <w:style w:type="paragraph" w:styleId="ListParagraph">
    <w:name w:val="List Paragraph"/>
    <w:basedOn w:val="Normal"/>
    <w:uiPriority w:val="34"/>
    <w:qFormat/>
    <w:rsid w:val="0066719C"/>
    <w:pPr>
      <w:spacing w:before="120" w:after="240" w:line="360" w:lineRule="auto"/>
      <w:ind w:left="720"/>
      <w:contextualSpacing/>
      <w:jc w:val="both"/>
    </w:pPr>
    <w:rPr>
      <w:sz w:val="22"/>
      <w:szCs w:val="22"/>
    </w:rPr>
  </w:style>
  <w:style w:type="paragraph" w:styleId="BodyText2">
    <w:name w:val="Body Text 2"/>
    <w:basedOn w:val="BodyText"/>
    <w:link w:val="BodyText2Char"/>
    <w:rsid w:val="0066719C"/>
    <w:pPr>
      <w:spacing w:before="120"/>
    </w:pPr>
    <w:rPr>
      <w:rFonts w:ascii="Arial" w:hAnsi="Arial"/>
      <w:szCs w:val="20"/>
    </w:rPr>
  </w:style>
  <w:style w:type="character" w:customStyle="1" w:styleId="BodyText2Char">
    <w:name w:val="Body Text 2 Char"/>
    <w:basedOn w:val="DefaultParagraphFont"/>
    <w:link w:val="BodyText2"/>
    <w:rsid w:val="0066719C"/>
    <w:rPr>
      <w:rFonts w:ascii="Arial" w:hAnsi="Arial"/>
      <w:sz w:val="24"/>
      <w:lang w:eastAsia="en-US"/>
    </w:rPr>
  </w:style>
  <w:style w:type="paragraph" w:styleId="BodyText">
    <w:name w:val="Body Text"/>
    <w:basedOn w:val="Normal"/>
    <w:link w:val="BodyTextChar"/>
    <w:uiPriority w:val="99"/>
    <w:semiHidden/>
    <w:unhideWhenUsed/>
    <w:rsid w:val="0066719C"/>
    <w:pPr>
      <w:spacing w:after="120"/>
    </w:pPr>
  </w:style>
  <w:style w:type="character" w:customStyle="1" w:styleId="BodyTextChar">
    <w:name w:val="Body Text Char"/>
    <w:basedOn w:val="DefaultParagraphFont"/>
    <w:link w:val="BodyText"/>
    <w:uiPriority w:val="99"/>
    <w:semiHidden/>
    <w:rsid w:val="0066719C"/>
    <w:rPr>
      <w:sz w:val="24"/>
      <w:szCs w:val="24"/>
      <w:lang w:eastAsia="en-US"/>
    </w:rPr>
  </w:style>
  <w:style w:type="paragraph" w:styleId="Revision">
    <w:name w:val="Revision"/>
    <w:hidden/>
    <w:uiPriority w:val="99"/>
    <w:semiHidden/>
    <w:rsid w:val="009733E4"/>
    <w:rPr>
      <w:sz w:val="24"/>
      <w:szCs w:val="24"/>
      <w:lang w:eastAsia="en-US"/>
    </w:rPr>
  </w:style>
  <w:style w:type="character" w:styleId="FollowedHyperlink">
    <w:name w:val="FollowedHyperlink"/>
    <w:basedOn w:val="DefaultParagraphFont"/>
    <w:uiPriority w:val="99"/>
    <w:semiHidden/>
    <w:unhideWhenUsed/>
    <w:rsid w:val="00EF1303"/>
    <w:rPr>
      <w:color w:val="800080" w:themeColor="followedHyperlink"/>
      <w:u w:val="single"/>
    </w:rPr>
  </w:style>
  <w:style w:type="paragraph" w:styleId="NormalWeb">
    <w:name w:val="Normal (Web)"/>
    <w:basedOn w:val="Normal"/>
    <w:uiPriority w:val="99"/>
    <w:unhideWhenUsed/>
    <w:rsid w:val="00F11042"/>
    <w:pPr>
      <w:spacing w:before="100" w:beforeAutospacing="1" w:after="100" w:afterAutospacing="1"/>
    </w:pPr>
    <w:rPr>
      <w:lang w:eastAsia="en-GB"/>
    </w:rPr>
  </w:style>
  <w:style w:type="character" w:styleId="SubtleReference">
    <w:name w:val="Subtle Reference"/>
    <w:basedOn w:val="DefaultParagraphFont"/>
    <w:uiPriority w:val="31"/>
    <w:qFormat/>
    <w:rsid w:val="00F90539"/>
    <w:rPr>
      <w:smallCaps/>
      <w:color w:val="C0504D" w:themeColor="accent2"/>
      <w:u w:val="single"/>
    </w:rPr>
  </w:style>
  <w:style w:type="table" w:styleId="LightShading-Accent1">
    <w:name w:val="Light Shading Accent 1"/>
    <w:basedOn w:val="TableNormal"/>
    <w:uiPriority w:val="60"/>
    <w:rsid w:val="003C1C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1C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3C1C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5">
    <w:name w:val="Medium Shading 2 Accent 5"/>
    <w:basedOn w:val="TableNormal"/>
    <w:uiPriority w:val="64"/>
    <w:rsid w:val="003C1C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3C1C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1">
    <w:name w:val="Medium List 2 Accent 1"/>
    <w:basedOn w:val="TableNormal"/>
    <w:uiPriority w:val="66"/>
    <w:rsid w:val="003C1C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rsid w:val="003C1C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
    <w:name w:val="Light Shading"/>
    <w:basedOn w:val="TableNormal"/>
    <w:uiPriority w:val="60"/>
    <w:rsid w:val="007D42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2789">
      <w:bodyDiv w:val="1"/>
      <w:marLeft w:val="0"/>
      <w:marRight w:val="0"/>
      <w:marTop w:val="0"/>
      <w:marBottom w:val="0"/>
      <w:divBdr>
        <w:top w:val="none" w:sz="0" w:space="0" w:color="auto"/>
        <w:left w:val="none" w:sz="0" w:space="0" w:color="auto"/>
        <w:bottom w:val="none" w:sz="0" w:space="0" w:color="auto"/>
        <w:right w:val="none" w:sz="0" w:space="0" w:color="auto"/>
      </w:divBdr>
    </w:div>
    <w:div w:id="28923521">
      <w:bodyDiv w:val="1"/>
      <w:marLeft w:val="0"/>
      <w:marRight w:val="0"/>
      <w:marTop w:val="0"/>
      <w:marBottom w:val="0"/>
      <w:divBdr>
        <w:top w:val="none" w:sz="0" w:space="0" w:color="auto"/>
        <w:left w:val="none" w:sz="0" w:space="0" w:color="auto"/>
        <w:bottom w:val="none" w:sz="0" w:space="0" w:color="auto"/>
        <w:right w:val="none" w:sz="0" w:space="0" w:color="auto"/>
      </w:divBdr>
    </w:div>
    <w:div w:id="34159593">
      <w:bodyDiv w:val="1"/>
      <w:marLeft w:val="0"/>
      <w:marRight w:val="0"/>
      <w:marTop w:val="0"/>
      <w:marBottom w:val="0"/>
      <w:divBdr>
        <w:top w:val="none" w:sz="0" w:space="0" w:color="auto"/>
        <w:left w:val="none" w:sz="0" w:space="0" w:color="auto"/>
        <w:bottom w:val="none" w:sz="0" w:space="0" w:color="auto"/>
        <w:right w:val="none" w:sz="0" w:space="0" w:color="auto"/>
      </w:divBdr>
    </w:div>
    <w:div w:id="35275903">
      <w:bodyDiv w:val="1"/>
      <w:marLeft w:val="0"/>
      <w:marRight w:val="0"/>
      <w:marTop w:val="0"/>
      <w:marBottom w:val="0"/>
      <w:divBdr>
        <w:top w:val="none" w:sz="0" w:space="0" w:color="auto"/>
        <w:left w:val="none" w:sz="0" w:space="0" w:color="auto"/>
        <w:bottom w:val="none" w:sz="0" w:space="0" w:color="auto"/>
        <w:right w:val="none" w:sz="0" w:space="0" w:color="auto"/>
      </w:divBdr>
    </w:div>
    <w:div w:id="52583881">
      <w:bodyDiv w:val="1"/>
      <w:marLeft w:val="0"/>
      <w:marRight w:val="0"/>
      <w:marTop w:val="0"/>
      <w:marBottom w:val="0"/>
      <w:divBdr>
        <w:top w:val="none" w:sz="0" w:space="0" w:color="auto"/>
        <w:left w:val="none" w:sz="0" w:space="0" w:color="auto"/>
        <w:bottom w:val="none" w:sz="0" w:space="0" w:color="auto"/>
        <w:right w:val="none" w:sz="0" w:space="0" w:color="auto"/>
      </w:divBdr>
    </w:div>
    <w:div w:id="84227362">
      <w:bodyDiv w:val="1"/>
      <w:marLeft w:val="0"/>
      <w:marRight w:val="0"/>
      <w:marTop w:val="0"/>
      <w:marBottom w:val="0"/>
      <w:divBdr>
        <w:top w:val="none" w:sz="0" w:space="0" w:color="auto"/>
        <w:left w:val="none" w:sz="0" w:space="0" w:color="auto"/>
        <w:bottom w:val="none" w:sz="0" w:space="0" w:color="auto"/>
        <w:right w:val="none" w:sz="0" w:space="0" w:color="auto"/>
      </w:divBdr>
    </w:div>
    <w:div w:id="89395903">
      <w:bodyDiv w:val="1"/>
      <w:marLeft w:val="0"/>
      <w:marRight w:val="0"/>
      <w:marTop w:val="0"/>
      <w:marBottom w:val="0"/>
      <w:divBdr>
        <w:top w:val="none" w:sz="0" w:space="0" w:color="auto"/>
        <w:left w:val="none" w:sz="0" w:space="0" w:color="auto"/>
        <w:bottom w:val="none" w:sz="0" w:space="0" w:color="auto"/>
        <w:right w:val="none" w:sz="0" w:space="0" w:color="auto"/>
      </w:divBdr>
    </w:div>
    <w:div w:id="105320458">
      <w:bodyDiv w:val="1"/>
      <w:marLeft w:val="0"/>
      <w:marRight w:val="0"/>
      <w:marTop w:val="0"/>
      <w:marBottom w:val="0"/>
      <w:divBdr>
        <w:top w:val="none" w:sz="0" w:space="0" w:color="auto"/>
        <w:left w:val="none" w:sz="0" w:space="0" w:color="auto"/>
        <w:bottom w:val="none" w:sz="0" w:space="0" w:color="auto"/>
        <w:right w:val="none" w:sz="0" w:space="0" w:color="auto"/>
      </w:divBdr>
    </w:div>
    <w:div w:id="127092559">
      <w:bodyDiv w:val="1"/>
      <w:marLeft w:val="0"/>
      <w:marRight w:val="0"/>
      <w:marTop w:val="0"/>
      <w:marBottom w:val="0"/>
      <w:divBdr>
        <w:top w:val="none" w:sz="0" w:space="0" w:color="auto"/>
        <w:left w:val="none" w:sz="0" w:space="0" w:color="auto"/>
        <w:bottom w:val="none" w:sz="0" w:space="0" w:color="auto"/>
        <w:right w:val="none" w:sz="0" w:space="0" w:color="auto"/>
      </w:divBdr>
    </w:div>
    <w:div w:id="145316679">
      <w:bodyDiv w:val="1"/>
      <w:marLeft w:val="0"/>
      <w:marRight w:val="0"/>
      <w:marTop w:val="0"/>
      <w:marBottom w:val="0"/>
      <w:divBdr>
        <w:top w:val="none" w:sz="0" w:space="0" w:color="auto"/>
        <w:left w:val="none" w:sz="0" w:space="0" w:color="auto"/>
        <w:bottom w:val="none" w:sz="0" w:space="0" w:color="auto"/>
        <w:right w:val="none" w:sz="0" w:space="0" w:color="auto"/>
      </w:divBdr>
    </w:div>
    <w:div w:id="182670477">
      <w:bodyDiv w:val="1"/>
      <w:marLeft w:val="0"/>
      <w:marRight w:val="0"/>
      <w:marTop w:val="0"/>
      <w:marBottom w:val="0"/>
      <w:divBdr>
        <w:top w:val="none" w:sz="0" w:space="0" w:color="auto"/>
        <w:left w:val="none" w:sz="0" w:space="0" w:color="auto"/>
        <w:bottom w:val="none" w:sz="0" w:space="0" w:color="auto"/>
        <w:right w:val="none" w:sz="0" w:space="0" w:color="auto"/>
      </w:divBdr>
    </w:div>
    <w:div w:id="257099358">
      <w:bodyDiv w:val="1"/>
      <w:marLeft w:val="0"/>
      <w:marRight w:val="0"/>
      <w:marTop w:val="0"/>
      <w:marBottom w:val="0"/>
      <w:divBdr>
        <w:top w:val="none" w:sz="0" w:space="0" w:color="auto"/>
        <w:left w:val="none" w:sz="0" w:space="0" w:color="auto"/>
        <w:bottom w:val="none" w:sz="0" w:space="0" w:color="auto"/>
        <w:right w:val="none" w:sz="0" w:space="0" w:color="auto"/>
      </w:divBdr>
    </w:div>
    <w:div w:id="258149137">
      <w:bodyDiv w:val="1"/>
      <w:marLeft w:val="0"/>
      <w:marRight w:val="0"/>
      <w:marTop w:val="0"/>
      <w:marBottom w:val="0"/>
      <w:divBdr>
        <w:top w:val="none" w:sz="0" w:space="0" w:color="auto"/>
        <w:left w:val="none" w:sz="0" w:space="0" w:color="auto"/>
        <w:bottom w:val="none" w:sz="0" w:space="0" w:color="auto"/>
        <w:right w:val="none" w:sz="0" w:space="0" w:color="auto"/>
      </w:divBdr>
    </w:div>
    <w:div w:id="343089557">
      <w:bodyDiv w:val="1"/>
      <w:marLeft w:val="0"/>
      <w:marRight w:val="0"/>
      <w:marTop w:val="0"/>
      <w:marBottom w:val="0"/>
      <w:divBdr>
        <w:top w:val="none" w:sz="0" w:space="0" w:color="auto"/>
        <w:left w:val="none" w:sz="0" w:space="0" w:color="auto"/>
        <w:bottom w:val="none" w:sz="0" w:space="0" w:color="auto"/>
        <w:right w:val="none" w:sz="0" w:space="0" w:color="auto"/>
      </w:divBdr>
    </w:div>
    <w:div w:id="428745645">
      <w:bodyDiv w:val="1"/>
      <w:marLeft w:val="0"/>
      <w:marRight w:val="0"/>
      <w:marTop w:val="0"/>
      <w:marBottom w:val="0"/>
      <w:divBdr>
        <w:top w:val="none" w:sz="0" w:space="0" w:color="auto"/>
        <w:left w:val="none" w:sz="0" w:space="0" w:color="auto"/>
        <w:bottom w:val="none" w:sz="0" w:space="0" w:color="auto"/>
        <w:right w:val="none" w:sz="0" w:space="0" w:color="auto"/>
      </w:divBdr>
    </w:div>
    <w:div w:id="439572259">
      <w:bodyDiv w:val="1"/>
      <w:marLeft w:val="0"/>
      <w:marRight w:val="0"/>
      <w:marTop w:val="0"/>
      <w:marBottom w:val="0"/>
      <w:divBdr>
        <w:top w:val="none" w:sz="0" w:space="0" w:color="auto"/>
        <w:left w:val="none" w:sz="0" w:space="0" w:color="auto"/>
        <w:bottom w:val="none" w:sz="0" w:space="0" w:color="auto"/>
        <w:right w:val="none" w:sz="0" w:space="0" w:color="auto"/>
      </w:divBdr>
    </w:div>
    <w:div w:id="515776515">
      <w:bodyDiv w:val="1"/>
      <w:marLeft w:val="0"/>
      <w:marRight w:val="0"/>
      <w:marTop w:val="0"/>
      <w:marBottom w:val="0"/>
      <w:divBdr>
        <w:top w:val="none" w:sz="0" w:space="0" w:color="auto"/>
        <w:left w:val="none" w:sz="0" w:space="0" w:color="auto"/>
        <w:bottom w:val="none" w:sz="0" w:space="0" w:color="auto"/>
        <w:right w:val="none" w:sz="0" w:space="0" w:color="auto"/>
      </w:divBdr>
    </w:div>
    <w:div w:id="522330269">
      <w:bodyDiv w:val="1"/>
      <w:marLeft w:val="0"/>
      <w:marRight w:val="0"/>
      <w:marTop w:val="0"/>
      <w:marBottom w:val="0"/>
      <w:divBdr>
        <w:top w:val="none" w:sz="0" w:space="0" w:color="auto"/>
        <w:left w:val="none" w:sz="0" w:space="0" w:color="auto"/>
        <w:bottom w:val="none" w:sz="0" w:space="0" w:color="auto"/>
        <w:right w:val="none" w:sz="0" w:space="0" w:color="auto"/>
      </w:divBdr>
    </w:div>
    <w:div w:id="613635741">
      <w:bodyDiv w:val="1"/>
      <w:marLeft w:val="0"/>
      <w:marRight w:val="0"/>
      <w:marTop w:val="0"/>
      <w:marBottom w:val="0"/>
      <w:divBdr>
        <w:top w:val="none" w:sz="0" w:space="0" w:color="auto"/>
        <w:left w:val="none" w:sz="0" w:space="0" w:color="auto"/>
        <w:bottom w:val="none" w:sz="0" w:space="0" w:color="auto"/>
        <w:right w:val="none" w:sz="0" w:space="0" w:color="auto"/>
      </w:divBdr>
    </w:div>
    <w:div w:id="646668353">
      <w:bodyDiv w:val="1"/>
      <w:marLeft w:val="0"/>
      <w:marRight w:val="0"/>
      <w:marTop w:val="0"/>
      <w:marBottom w:val="0"/>
      <w:divBdr>
        <w:top w:val="none" w:sz="0" w:space="0" w:color="auto"/>
        <w:left w:val="none" w:sz="0" w:space="0" w:color="auto"/>
        <w:bottom w:val="none" w:sz="0" w:space="0" w:color="auto"/>
        <w:right w:val="none" w:sz="0" w:space="0" w:color="auto"/>
      </w:divBdr>
    </w:div>
    <w:div w:id="668294528">
      <w:bodyDiv w:val="1"/>
      <w:marLeft w:val="0"/>
      <w:marRight w:val="0"/>
      <w:marTop w:val="0"/>
      <w:marBottom w:val="0"/>
      <w:divBdr>
        <w:top w:val="none" w:sz="0" w:space="0" w:color="auto"/>
        <w:left w:val="none" w:sz="0" w:space="0" w:color="auto"/>
        <w:bottom w:val="none" w:sz="0" w:space="0" w:color="auto"/>
        <w:right w:val="none" w:sz="0" w:space="0" w:color="auto"/>
      </w:divBdr>
    </w:div>
    <w:div w:id="673147091">
      <w:bodyDiv w:val="1"/>
      <w:marLeft w:val="0"/>
      <w:marRight w:val="0"/>
      <w:marTop w:val="0"/>
      <w:marBottom w:val="0"/>
      <w:divBdr>
        <w:top w:val="none" w:sz="0" w:space="0" w:color="auto"/>
        <w:left w:val="none" w:sz="0" w:space="0" w:color="auto"/>
        <w:bottom w:val="none" w:sz="0" w:space="0" w:color="auto"/>
        <w:right w:val="none" w:sz="0" w:space="0" w:color="auto"/>
      </w:divBdr>
    </w:div>
    <w:div w:id="750393190">
      <w:bodyDiv w:val="1"/>
      <w:marLeft w:val="0"/>
      <w:marRight w:val="0"/>
      <w:marTop w:val="0"/>
      <w:marBottom w:val="0"/>
      <w:divBdr>
        <w:top w:val="none" w:sz="0" w:space="0" w:color="auto"/>
        <w:left w:val="none" w:sz="0" w:space="0" w:color="auto"/>
        <w:bottom w:val="none" w:sz="0" w:space="0" w:color="auto"/>
        <w:right w:val="none" w:sz="0" w:space="0" w:color="auto"/>
      </w:divBdr>
    </w:div>
    <w:div w:id="767577782">
      <w:bodyDiv w:val="1"/>
      <w:marLeft w:val="0"/>
      <w:marRight w:val="0"/>
      <w:marTop w:val="0"/>
      <w:marBottom w:val="0"/>
      <w:divBdr>
        <w:top w:val="none" w:sz="0" w:space="0" w:color="auto"/>
        <w:left w:val="none" w:sz="0" w:space="0" w:color="auto"/>
        <w:bottom w:val="none" w:sz="0" w:space="0" w:color="auto"/>
        <w:right w:val="none" w:sz="0" w:space="0" w:color="auto"/>
      </w:divBdr>
    </w:div>
    <w:div w:id="783889270">
      <w:bodyDiv w:val="1"/>
      <w:marLeft w:val="0"/>
      <w:marRight w:val="0"/>
      <w:marTop w:val="0"/>
      <w:marBottom w:val="0"/>
      <w:divBdr>
        <w:top w:val="none" w:sz="0" w:space="0" w:color="auto"/>
        <w:left w:val="none" w:sz="0" w:space="0" w:color="auto"/>
        <w:bottom w:val="none" w:sz="0" w:space="0" w:color="auto"/>
        <w:right w:val="none" w:sz="0" w:space="0" w:color="auto"/>
      </w:divBdr>
    </w:div>
    <w:div w:id="875312809">
      <w:bodyDiv w:val="1"/>
      <w:marLeft w:val="0"/>
      <w:marRight w:val="0"/>
      <w:marTop w:val="0"/>
      <w:marBottom w:val="0"/>
      <w:divBdr>
        <w:top w:val="none" w:sz="0" w:space="0" w:color="auto"/>
        <w:left w:val="none" w:sz="0" w:space="0" w:color="auto"/>
        <w:bottom w:val="none" w:sz="0" w:space="0" w:color="auto"/>
        <w:right w:val="none" w:sz="0" w:space="0" w:color="auto"/>
      </w:divBdr>
    </w:div>
    <w:div w:id="883523429">
      <w:bodyDiv w:val="1"/>
      <w:marLeft w:val="0"/>
      <w:marRight w:val="0"/>
      <w:marTop w:val="0"/>
      <w:marBottom w:val="0"/>
      <w:divBdr>
        <w:top w:val="none" w:sz="0" w:space="0" w:color="auto"/>
        <w:left w:val="none" w:sz="0" w:space="0" w:color="auto"/>
        <w:bottom w:val="none" w:sz="0" w:space="0" w:color="auto"/>
        <w:right w:val="none" w:sz="0" w:space="0" w:color="auto"/>
      </w:divBdr>
    </w:div>
    <w:div w:id="921376247">
      <w:bodyDiv w:val="1"/>
      <w:marLeft w:val="0"/>
      <w:marRight w:val="0"/>
      <w:marTop w:val="0"/>
      <w:marBottom w:val="0"/>
      <w:divBdr>
        <w:top w:val="none" w:sz="0" w:space="0" w:color="auto"/>
        <w:left w:val="none" w:sz="0" w:space="0" w:color="auto"/>
        <w:bottom w:val="none" w:sz="0" w:space="0" w:color="auto"/>
        <w:right w:val="none" w:sz="0" w:space="0" w:color="auto"/>
      </w:divBdr>
    </w:div>
    <w:div w:id="934748143">
      <w:bodyDiv w:val="1"/>
      <w:marLeft w:val="0"/>
      <w:marRight w:val="0"/>
      <w:marTop w:val="0"/>
      <w:marBottom w:val="0"/>
      <w:divBdr>
        <w:top w:val="none" w:sz="0" w:space="0" w:color="auto"/>
        <w:left w:val="none" w:sz="0" w:space="0" w:color="auto"/>
        <w:bottom w:val="none" w:sz="0" w:space="0" w:color="auto"/>
        <w:right w:val="none" w:sz="0" w:space="0" w:color="auto"/>
      </w:divBdr>
    </w:div>
    <w:div w:id="1049961704">
      <w:bodyDiv w:val="1"/>
      <w:marLeft w:val="0"/>
      <w:marRight w:val="0"/>
      <w:marTop w:val="0"/>
      <w:marBottom w:val="0"/>
      <w:divBdr>
        <w:top w:val="none" w:sz="0" w:space="0" w:color="auto"/>
        <w:left w:val="none" w:sz="0" w:space="0" w:color="auto"/>
        <w:bottom w:val="none" w:sz="0" w:space="0" w:color="auto"/>
        <w:right w:val="none" w:sz="0" w:space="0" w:color="auto"/>
      </w:divBdr>
    </w:div>
    <w:div w:id="1052462205">
      <w:bodyDiv w:val="1"/>
      <w:marLeft w:val="0"/>
      <w:marRight w:val="0"/>
      <w:marTop w:val="0"/>
      <w:marBottom w:val="0"/>
      <w:divBdr>
        <w:top w:val="none" w:sz="0" w:space="0" w:color="auto"/>
        <w:left w:val="none" w:sz="0" w:space="0" w:color="auto"/>
        <w:bottom w:val="none" w:sz="0" w:space="0" w:color="auto"/>
        <w:right w:val="none" w:sz="0" w:space="0" w:color="auto"/>
      </w:divBdr>
    </w:div>
    <w:div w:id="1102652555">
      <w:bodyDiv w:val="1"/>
      <w:marLeft w:val="0"/>
      <w:marRight w:val="0"/>
      <w:marTop w:val="0"/>
      <w:marBottom w:val="0"/>
      <w:divBdr>
        <w:top w:val="none" w:sz="0" w:space="0" w:color="auto"/>
        <w:left w:val="none" w:sz="0" w:space="0" w:color="auto"/>
        <w:bottom w:val="none" w:sz="0" w:space="0" w:color="auto"/>
        <w:right w:val="none" w:sz="0" w:space="0" w:color="auto"/>
      </w:divBdr>
      <w:divsChild>
        <w:div w:id="80421183">
          <w:marLeft w:val="1166"/>
          <w:marRight w:val="0"/>
          <w:marTop w:val="77"/>
          <w:marBottom w:val="0"/>
          <w:divBdr>
            <w:top w:val="none" w:sz="0" w:space="0" w:color="auto"/>
            <w:left w:val="none" w:sz="0" w:space="0" w:color="auto"/>
            <w:bottom w:val="none" w:sz="0" w:space="0" w:color="auto"/>
            <w:right w:val="none" w:sz="0" w:space="0" w:color="auto"/>
          </w:divBdr>
        </w:div>
        <w:div w:id="744187259">
          <w:marLeft w:val="1166"/>
          <w:marRight w:val="0"/>
          <w:marTop w:val="77"/>
          <w:marBottom w:val="0"/>
          <w:divBdr>
            <w:top w:val="none" w:sz="0" w:space="0" w:color="auto"/>
            <w:left w:val="none" w:sz="0" w:space="0" w:color="auto"/>
            <w:bottom w:val="none" w:sz="0" w:space="0" w:color="auto"/>
            <w:right w:val="none" w:sz="0" w:space="0" w:color="auto"/>
          </w:divBdr>
        </w:div>
        <w:div w:id="1297955110">
          <w:marLeft w:val="1166"/>
          <w:marRight w:val="0"/>
          <w:marTop w:val="77"/>
          <w:marBottom w:val="0"/>
          <w:divBdr>
            <w:top w:val="none" w:sz="0" w:space="0" w:color="auto"/>
            <w:left w:val="none" w:sz="0" w:space="0" w:color="auto"/>
            <w:bottom w:val="none" w:sz="0" w:space="0" w:color="auto"/>
            <w:right w:val="none" w:sz="0" w:space="0" w:color="auto"/>
          </w:divBdr>
        </w:div>
        <w:div w:id="1606766686">
          <w:marLeft w:val="1166"/>
          <w:marRight w:val="0"/>
          <w:marTop w:val="77"/>
          <w:marBottom w:val="0"/>
          <w:divBdr>
            <w:top w:val="none" w:sz="0" w:space="0" w:color="auto"/>
            <w:left w:val="none" w:sz="0" w:space="0" w:color="auto"/>
            <w:bottom w:val="none" w:sz="0" w:space="0" w:color="auto"/>
            <w:right w:val="none" w:sz="0" w:space="0" w:color="auto"/>
          </w:divBdr>
        </w:div>
        <w:div w:id="1784419723">
          <w:marLeft w:val="547"/>
          <w:marRight w:val="0"/>
          <w:marTop w:val="86"/>
          <w:marBottom w:val="0"/>
          <w:divBdr>
            <w:top w:val="none" w:sz="0" w:space="0" w:color="auto"/>
            <w:left w:val="none" w:sz="0" w:space="0" w:color="auto"/>
            <w:bottom w:val="none" w:sz="0" w:space="0" w:color="auto"/>
            <w:right w:val="none" w:sz="0" w:space="0" w:color="auto"/>
          </w:divBdr>
        </w:div>
        <w:div w:id="1837071421">
          <w:marLeft w:val="547"/>
          <w:marRight w:val="0"/>
          <w:marTop w:val="86"/>
          <w:marBottom w:val="0"/>
          <w:divBdr>
            <w:top w:val="none" w:sz="0" w:space="0" w:color="auto"/>
            <w:left w:val="none" w:sz="0" w:space="0" w:color="auto"/>
            <w:bottom w:val="none" w:sz="0" w:space="0" w:color="auto"/>
            <w:right w:val="none" w:sz="0" w:space="0" w:color="auto"/>
          </w:divBdr>
        </w:div>
      </w:divsChild>
    </w:div>
    <w:div w:id="1157067194">
      <w:bodyDiv w:val="1"/>
      <w:marLeft w:val="0"/>
      <w:marRight w:val="0"/>
      <w:marTop w:val="0"/>
      <w:marBottom w:val="0"/>
      <w:divBdr>
        <w:top w:val="none" w:sz="0" w:space="0" w:color="auto"/>
        <w:left w:val="none" w:sz="0" w:space="0" w:color="auto"/>
        <w:bottom w:val="none" w:sz="0" w:space="0" w:color="auto"/>
        <w:right w:val="none" w:sz="0" w:space="0" w:color="auto"/>
      </w:divBdr>
    </w:div>
    <w:div w:id="1247491813">
      <w:bodyDiv w:val="1"/>
      <w:marLeft w:val="0"/>
      <w:marRight w:val="0"/>
      <w:marTop w:val="0"/>
      <w:marBottom w:val="0"/>
      <w:divBdr>
        <w:top w:val="none" w:sz="0" w:space="0" w:color="auto"/>
        <w:left w:val="none" w:sz="0" w:space="0" w:color="auto"/>
        <w:bottom w:val="none" w:sz="0" w:space="0" w:color="auto"/>
        <w:right w:val="none" w:sz="0" w:space="0" w:color="auto"/>
      </w:divBdr>
    </w:div>
    <w:div w:id="1279067235">
      <w:bodyDiv w:val="1"/>
      <w:marLeft w:val="0"/>
      <w:marRight w:val="0"/>
      <w:marTop w:val="0"/>
      <w:marBottom w:val="0"/>
      <w:divBdr>
        <w:top w:val="none" w:sz="0" w:space="0" w:color="auto"/>
        <w:left w:val="none" w:sz="0" w:space="0" w:color="auto"/>
        <w:bottom w:val="none" w:sz="0" w:space="0" w:color="auto"/>
        <w:right w:val="none" w:sz="0" w:space="0" w:color="auto"/>
      </w:divBdr>
      <w:divsChild>
        <w:div w:id="48890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655985">
              <w:marLeft w:val="0"/>
              <w:marRight w:val="0"/>
              <w:marTop w:val="0"/>
              <w:marBottom w:val="0"/>
              <w:divBdr>
                <w:top w:val="none" w:sz="0" w:space="0" w:color="auto"/>
                <w:left w:val="none" w:sz="0" w:space="0" w:color="auto"/>
                <w:bottom w:val="none" w:sz="0" w:space="0" w:color="auto"/>
                <w:right w:val="none" w:sz="0" w:space="0" w:color="auto"/>
              </w:divBdr>
              <w:divsChild>
                <w:div w:id="1607467549">
                  <w:marLeft w:val="0"/>
                  <w:marRight w:val="0"/>
                  <w:marTop w:val="0"/>
                  <w:marBottom w:val="0"/>
                  <w:divBdr>
                    <w:top w:val="none" w:sz="0" w:space="0" w:color="auto"/>
                    <w:left w:val="none" w:sz="0" w:space="0" w:color="auto"/>
                    <w:bottom w:val="none" w:sz="0" w:space="0" w:color="auto"/>
                    <w:right w:val="none" w:sz="0" w:space="0" w:color="auto"/>
                  </w:divBdr>
                  <w:divsChild>
                    <w:div w:id="18884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8238">
      <w:bodyDiv w:val="1"/>
      <w:marLeft w:val="0"/>
      <w:marRight w:val="0"/>
      <w:marTop w:val="0"/>
      <w:marBottom w:val="0"/>
      <w:divBdr>
        <w:top w:val="none" w:sz="0" w:space="0" w:color="auto"/>
        <w:left w:val="none" w:sz="0" w:space="0" w:color="auto"/>
        <w:bottom w:val="none" w:sz="0" w:space="0" w:color="auto"/>
        <w:right w:val="none" w:sz="0" w:space="0" w:color="auto"/>
      </w:divBdr>
    </w:div>
    <w:div w:id="1326739752">
      <w:bodyDiv w:val="1"/>
      <w:marLeft w:val="0"/>
      <w:marRight w:val="0"/>
      <w:marTop w:val="0"/>
      <w:marBottom w:val="0"/>
      <w:divBdr>
        <w:top w:val="none" w:sz="0" w:space="0" w:color="auto"/>
        <w:left w:val="none" w:sz="0" w:space="0" w:color="auto"/>
        <w:bottom w:val="none" w:sz="0" w:space="0" w:color="auto"/>
        <w:right w:val="none" w:sz="0" w:space="0" w:color="auto"/>
      </w:divBdr>
      <w:divsChild>
        <w:div w:id="803818428">
          <w:marLeft w:val="0"/>
          <w:marRight w:val="0"/>
          <w:marTop w:val="0"/>
          <w:marBottom w:val="0"/>
          <w:divBdr>
            <w:top w:val="none" w:sz="0" w:space="0" w:color="auto"/>
            <w:left w:val="none" w:sz="0" w:space="0" w:color="auto"/>
            <w:bottom w:val="none" w:sz="0" w:space="0" w:color="auto"/>
            <w:right w:val="none" w:sz="0" w:space="0" w:color="auto"/>
          </w:divBdr>
        </w:div>
        <w:div w:id="1876842431">
          <w:marLeft w:val="0"/>
          <w:marRight w:val="0"/>
          <w:marTop w:val="0"/>
          <w:marBottom w:val="0"/>
          <w:divBdr>
            <w:top w:val="none" w:sz="0" w:space="0" w:color="auto"/>
            <w:left w:val="none" w:sz="0" w:space="0" w:color="auto"/>
            <w:bottom w:val="none" w:sz="0" w:space="0" w:color="auto"/>
            <w:right w:val="none" w:sz="0" w:space="0" w:color="auto"/>
          </w:divBdr>
          <w:divsChild>
            <w:div w:id="21187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4860">
      <w:bodyDiv w:val="1"/>
      <w:marLeft w:val="0"/>
      <w:marRight w:val="0"/>
      <w:marTop w:val="0"/>
      <w:marBottom w:val="0"/>
      <w:divBdr>
        <w:top w:val="none" w:sz="0" w:space="0" w:color="auto"/>
        <w:left w:val="none" w:sz="0" w:space="0" w:color="auto"/>
        <w:bottom w:val="none" w:sz="0" w:space="0" w:color="auto"/>
        <w:right w:val="none" w:sz="0" w:space="0" w:color="auto"/>
      </w:divBdr>
    </w:div>
    <w:div w:id="1362979136">
      <w:bodyDiv w:val="1"/>
      <w:marLeft w:val="0"/>
      <w:marRight w:val="0"/>
      <w:marTop w:val="0"/>
      <w:marBottom w:val="0"/>
      <w:divBdr>
        <w:top w:val="none" w:sz="0" w:space="0" w:color="auto"/>
        <w:left w:val="none" w:sz="0" w:space="0" w:color="auto"/>
        <w:bottom w:val="none" w:sz="0" w:space="0" w:color="auto"/>
        <w:right w:val="none" w:sz="0" w:space="0" w:color="auto"/>
      </w:divBdr>
    </w:div>
    <w:div w:id="1419641865">
      <w:bodyDiv w:val="1"/>
      <w:marLeft w:val="0"/>
      <w:marRight w:val="0"/>
      <w:marTop w:val="0"/>
      <w:marBottom w:val="0"/>
      <w:divBdr>
        <w:top w:val="none" w:sz="0" w:space="0" w:color="auto"/>
        <w:left w:val="none" w:sz="0" w:space="0" w:color="auto"/>
        <w:bottom w:val="none" w:sz="0" w:space="0" w:color="auto"/>
        <w:right w:val="none" w:sz="0" w:space="0" w:color="auto"/>
      </w:divBdr>
    </w:div>
    <w:div w:id="1478379176">
      <w:bodyDiv w:val="1"/>
      <w:marLeft w:val="0"/>
      <w:marRight w:val="0"/>
      <w:marTop w:val="0"/>
      <w:marBottom w:val="0"/>
      <w:divBdr>
        <w:top w:val="none" w:sz="0" w:space="0" w:color="auto"/>
        <w:left w:val="none" w:sz="0" w:space="0" w:color="auto"/>
        <w:bottom w:val="none" w:sz="0" w:space="0" w:color="auto"/>
        <w:right w:val="none" w:sz="0" w:space="0" w:color="auto"/>
      </w:divBdr>
      <w:divsChild>
        <w:div w:id="2065639079">
          <w:marLeft w:val="0"/>
          <w:marRight w:val="0"/>
          <w:marTop w:val="0"/>
          <w:marBottom w:val="0"/>
          <w:divBdr>
            <w:top w:val="none" w:sz="0" w:space="0" w:color="auto"/>
            <w:left w:val="none" w:sz="0" w:space="0" w:color="auto"/>
            <w:bottom w:val="none" w:sz="0" w:space="0" w:color="auto"/>
            <w:right w:val="none" w:sz="0" w:space="0" w:color="auto"/>
          </w:divBdr>
        </w:div>
      </w:divsChild>
    </w:div>
    <w:div w:id="1516459404">
      <w:bodyDiv w:val="1"/>
      <w:marLeft w:val="0"/>
      <w:marRight w:val="0"/>
      <w:marTop w:val="0"/>
      <w:marBottom w:val="0"/>
      <w:divBdr>
        <w:top w:val="none" w:sz="0" w:space="0" w:color="auto"/>
        <w:left w:val="none" w:sz="0" w:space="0" w:color="auto"/>
        <w:bottom w:val="none" w:sz="0" w:space="0" w:color="auto"/>
        <w:right w:val="none" w:sz="0" w:space="0" w:color="auto"/>
      </w:divBdr>
    </w:div>
    <w:div w:id="1524588886">
      <w:bodyDiv w:val="1"/>
      <w:marLeft w:val="0"/>
      <w:marRight w:val="0"/>
      <w:marTop w:val="0"/>
      <w:marBottom w:val="0"/>
      <w:divBdr>
        <w:top w:val="none" w:sz="0" w:space="0" w:color="auto"/>
        <w:left w:val="none" w:sz="0" w:space="0" w:color="auto"/>
        <w:bottom w:val="none" w:sz="0" w:space="0" w:color="auto"/>
        <w:right w:val="none" w:sz="0" w:space="0" w:color="auto"/>
      </w:divBdr>
    </w:div>
    <w:div w:id="1535995431">
      <w:bodyDiv w:val="1"/>
      <w:marLeft w:val="0"/>
      <w:marRight w:val="0"/>
      <w:marTop w:val="0"/>
      <w:marBottom w:val="0"/>
      <w:divBdr>
        <w:top w:val="none" w:sz="0" w:space="0" w:color="auto"/>
        <w:left w:val="none" w:sz="0" w:space="0" w:color="auto"/>
        <w:bottom w:val="none" w:sz="0" w:space="0" w:color="auto"/>
        <w:right w:val="none" w:sz="0" w:space="0" w:color="auto"/>
      </w:divBdr>
    </w:div>
    <w:div w:id="1584800203">
      <w:bodyDiv w:val="1"/>
      <w:marLeft w:val="0"/>
      <w:marRight w:val="0"/>
      <w:marTop w:val="0"/>
      <w:marBottom w:val="0"/>
      <w:divBdr>
        <w:top w:val="none" w:sz="0" w:space="0" w:color="auto"/>
        <w:left w:val="none" w:sz="0" w:space="0" w:color="auto"/>
        <w:bottom w:val="none" w:sz="0" w:space="0" w:color="auto"/>
        <w:right w:val="none" w:sz="0" w:space="0" w:color="auto"/>
      </w:divBdr>
    </w:div>
    <w:div w:id="1614558350">
      <w:bodyDiv w:val="1"/>
      <w:marLeft w:val="0"/>
      <w:marRight w:val="0"/>
      <w:marTop w:val="0"/>
      <w:marBottom w:val="0"/>
      <w:divBdr>
        <w:top w:val="none" w:sz="0" w:space="0" w:color="auto"/>
        <w:left w:val="none" w:sz="0" w:space="0" w:color="auto"/>
        <w:bottom w:val="none" w:sz="0" w:space="0" w:color="auto"/>
        <w:right w:val="none" w:sz="0" w:space="0" w:color="auto"/>
      </w:divBdr>
    </w:div>
    <w:div w:id="1621230106">
      <w:bodyDiv w:val="1"/>
      <w:marLeft w:val="0"/>
      <w:marRight w:val="0"/>
      <w:marTop w:val="0"/>
      <w:marBottom w:val="0"/>
      <w:divBdr>
        <w:top w:val="none" w:sz="0" w:space="0" w:color="auto"/>
        <w:left w:val="none" w:sz="0" w:space="0" w:color="auto"/>
        <w:bottom w:val="none" w:sz="0" w:space="0" w:color="auto"/>
        <w:right w:val="none" w:sz="0" w:space="0" w:color="auto"/>
      </w:divBdr>
    </w:div>
    <w:div w:id="1623878894">
      <w:bodyDiv w:val="1"/>
      <w:marLeft w:val="0"/>
      <w:marRight w:val="0"/>
      <w:marTop w:val="0"/>
      <w:marBottom w:val="0"/>
      <w:divBdr>
        <w:top w:val="none" w:sz="0" w:space="0" w:color="auto"/>
        <w:left w:val="none" w:sz="0" w:space="0" w:color="auto"/>
        <w:bottom w:val="none" w:sz="0" w:space="0" w:color="auto"/>
        <w:right w:val="none" w:sz="0" w:space="0" w:color="auto"/>
      </w:divBdr>
    </w:div>
    <w:div w:id="1639458709">
      <w:bodyDiv w:val="1"/>
      <w:marLeft w:val="0"/>
      <w:marRight w:val="0"/>
      <w:marTop w:val="0"/>
      <w:marBottom w:val="0"/>
      <w:divBdr>
        <w:top w:val="none" w:sz="0" w:space="0" w:color="auto"/>
        <w:left w:val="none" w:sz="0" w:space="0" w:color="auto"/>
        <w:bottom w:val="none" w:sz="0" w:space="0" w:color="auto"/>
        <w:right w:val="none" w:sz="0" w:space="0" w:color="auto"/>
      </w:divBdr>
    </w:div>
    <w:div w:id="1707022728">
      <w:bodyDiv w:val="1"/>
      <w:marLeft w:val="0"/>
      <w:marRight w:val="0"/>
      <w:marTop w:val="0"/>
      <w:marBottom w:val="0"/>
      <w:divBdr>
        <w:top w:val="none" w:sz="0" w:space="0" w:color="auto"/>
        <w:left w:val="none" w:sz="0" w:space="0" w:color="auto"/>
        <w:bottom w:val="none" w:sz="0" w:space="0" w:color="auto"/>
        <w:right w:val="none" w:sz="0" w:space="0" w:color="auto"/>
      </w:divBdr>
    </w:div>
    <w:div w:id="1732389175">
      <w:bodyDiv w:val="1"/>
      <w:marLeft w:val="0"/>
      <w:marRight w:val="0"/>
      <w:marTop w:val="0"/>
      <w:marBottom w:val="0"/>
      <w:divBdr>
        <w:top w:val="none" w:sz="0" w:space="0" w:color="auto"/>
        <w:left w:val="none" w:sz="0" w:space="0" w:color="auto"/>
        <w:bottom w:val="none" w:sz="0" w:space="0" w:color="auto"/>
        <w:right w:val="none" w:sz="0" w:space="0" w:color="auto"/>
      </w:divBdr>
    </w:div>
    <w:div w:id="1748116148">
      <w:bodyDiv w:val="1"/>
      <w:marLeft w:val="0"/>
      <w:marRight w:val="0"/>
      <w:marTop w:val="0"/>
      <w:marBottom w:val="0"/>
      <w:divBdr>
        <w:top w:val="none" w:sz="0" w:space="0" w:color="auto"/>
        <w:left w:val="none" w:sz="0" w:space="0" w:color="auto"/>
        <w:bottom w:val="none" w:sz="0" w:space="0" w:color="auto"/>
        <w:right w:val="none" w:sz="0" w:space="0" w:color="auto"/>
      </w:divBdr>
    </w:div>
    <w:div w:id="1786119751">
      <w:bodyDiv w:val="1"/>
      <w:marLeft w:val="0"/>
      <w:marRight w:val="0"/>
      <w:marTop w:val="0"/>
      <w:marBottom w:val="0"/>
      <w:divBdr>
        <w:top w:val="none" w:sz="0" w:space="0" w:color="auto"/>
        <w:left w:val="none" w:sz="0" w:space="0" w:color="auto"/>
        <w:bottom w:val="none" w:sz="0" w:space="0" w:color="auto"/>
        <w:right w:val="none" w:sz="0" w:space="0" w:color="auto"/>
      </w:divBdr>
    </w:div>
    <w:div w:id="1804233887">
      <w:bodyDiv w:val="1"/>
      <w:marLeft w:val="0"/>
      <w:marRight w:val="0"/>
      <w:marTop w:val="0"/>
      <w:marBottom w:val="0"/>
      <w:divBdr>
        <w:top w:val="none" w:sz="0" w:space="0" w:color="auto"/>
        <w:left w:val="none" w:sz="0" w:space="0" w:color="auto"/>
        <w:bottom w:val="none" w:sz="0" w:space="0" w:color="auto"/>
        <w:right w:val="none" w:sz="0" w:space="0" w:color="auto"/>
      </w:divBdr>
    </w:div>
    <w:div w:id="1822187245">
      <w:bodyDiv w:val="1"/>
      <w:marLeft w:val="0"/>
      <w:marRight w:val="0"/>
      <w:marTop w:val="0"/>
      <w:marBottom w:val="0"/>
      <w:divBdr>
        <w:top w:val="none" w:sz="0" w:space="0" w:color="auto"/>
        <w:left w:val="none" w:sz="0" w:space="0" w:color="auto"/>
        <w:bottom w:val="none" w:sz="0" w:space="0" w:color="auto"/>
        <w:right w:val="none" w:sz="0" w:space="0" w:color="auto"/>
      </w:divBdr>
    </w:div>
    <w:div w:id="1903171096">
      <w:bodyDiv w:val="1"/>
      <w:marLeft w:val="0"/>
      <w:marRight w:val="0"/>
      <w:marTop w:val="0"/>
      <w:marBottom w:val="0"/>
      <w:divBdr>
        <w:top w:val="none" w:sz="0" w:space="0" w:color="auto"/>
        <w:left w:val="none" w:sz="0" w:space="0" w:color="auto"/>
        <w:bottom w:val="none" w:sz="0" w:space="0" w:color="auto"/>
        <w:right w:val="none" w:sz="0" w:space="0" w:color="auto"/>
      </w:divBdr>
      <w:divsChild>
        <w:div w:id="388461613">
          <w:marLeft w:val="547"/>
          <w:marRight w:val="0"/>
          <w:marTop w:val="86"/>
          <w:marBottom w:val="0"/>
          <w:divBdr>
            <w:top w:val="none" w:sz="0" w:space="0" w:color="auto"/>
            <w:left w:val="none" w:sz="0" w:space="0" w:color="auto"/>
            <w:bottom w:val="none" w:sz="0" w:space="0" w:color="auto"/>
            <w:right w:val="none" w:sz="0" w:space="0" w:color="auto"/>
          </w:divBdr>
        </w:div>
        <w:div w:id="569274660">
          <w:marLeft w:val="1166"/>
          <w:marRight w:val="0"/>
          <w:marTop w:val="77"/>
          <w:marBottom w:val="0"/>
          <w:divBdr>
            <w:top w:val="none" w:sz="0" w:space="0" w:color="auto"/>
            <w:left w:val="none" w:sz="0" w:space="0" w:color="auto"/>
            <w:bottom w:val="none" w:sz="0" w:space="0" w:color="auto"/>
            <w:right w:val="none" w:sz="0" w:space="0" w:color="auto"/>
          </w:divBdr>
        </w:div>
        <w:div w:id="780804289">
          <w:marLeft w:val="1166"/>
          <w:marRight w:val="0"/>
          <w:marTop w:val="77"/>
          <w:marBottom w:val="0"/>
          <w:divBdr>
            <w:top w:val="none" w:sz="0" w:space="0" w:color="auto"/>
            <w:left w:val="none" w:sz="0" w:space="0" w:color="auto"/>
            <w:bottom w:val="none" w:sz="0" w:space="0" w:color="auto"/>
            <w:right w:val="none" w:sz="0" w:space="0" w:color="auto"/>
          </w:divBdr>
        </w:div>
        <w:div w:id="1455909723">
          <w:marLeft w:val="1166"/>
          <w:marRight w:val="0"/>
          <w:marTop w:val="77"/>
          <w:marBottom w:val="0"/>
          <w:divBdr>
            <w:top w:val="none" w:sz="0" w:space="0" w:color="auto"/>
            <w:left w:val="none" w:sz="0" w:space="0" w:color="auto"/>
            <w:bottom w:val="none" w:sz="0" w:space="0" w:color="auto"/>
            <w:right w:val="none" w:sz="0" w:space="0" w:color="auto"/>
          </w:divBdr>
        </w:div>
        <w:div w:id="1520317409">
          <w:marLeft w:val="1166"/>
          <w:marRight w:val="0"/>
          <w:marTop w:val="77"/>
          <w:marBottom w:val="0"/>
          <w:divBdr>
            <w:top w:val="none" w:sz="0" w:space="0" w:color="auto"/>
            <w:left w:val="none" w:sz="0" w:space="0" w:color="auto"/>
            <w:bottom w:val="none" w:sz="0" w:space="0" w:color="auto"/>
            <w:right w:val="none" w:sz="0" w:space="0" w:color="auto"/>
          </w:divBdr>
        </w:div>
        <w:div w:id="1715041738">
          <w:marLeft w:val="547"/>
          <w:marRight w:val="0"/>
          <w:marTop w:val="86"/>
          <w:marBottom w:val="0"/>
          <w:divBdr>
            <w:top w:val="none" w:sz="0" w:space="0" w:color="auto"/>
            <w:left w:val="none" w:sz="0" w:space="0" w:color="auto"/>
            <w:bottom w:val="none" w:sz="0" w:space="0" w:color="auto"/>
            <w:right w:val="none" w:sz="0" w:space="0" w:color="auto"/>
          </w:divBdr>
        </w:div>
        <w:div w:id="1734353955">
          <w:marLeft w:val="1166"/>
          <w:marRight w:val="0"/>
          <w:marTop w:val="77"/>
          <w:marBottom w:val="0"/>
          <w:divBdr>
            <w:top w:val="none" w:sz="0" w:space="0" w:color="auto"/>
            <w:left w:val="none" w:sz="0" w:space="0" w:color="auto"/>
            <w:bottom w:val="none" w:sz="0" w:space="0" w:color="auto"/>
            <w:right w:val="none" w:sz="0" w:space="0" w:color="auto"/>
          </w:divBdr>
        </w:div>
        <w:div w:id="2018460520">
          <w:marLeft w:val="547"/>
          <w:marRight w:val="0"/>
          <w:marTop w:val="86"/>
          <w:marBottom w:val="0"/>
          <w:divBdr>
            <w:top w:val="none" w:sz="0" w:space="0" w:color="auto"/>
            <w:left w:val="none" w:sz="0" w:space="0" w:color="auto"/>
            <w:bottom w:val="none" w:sz="0" w:space="0" w:color="auto"/>
            <w:right w:val="none" w:sz="0" w:space="0" w:color="auto"/>
          </w:divBdr>
        </w:div>
        <w:div w:id="2074765793">
          <w:marLeft w:val="1166"/>
          <w:marRight w:val="0"/>
          <w:marTop w:val="77"/>
          <w:marBottom w:val="0"/>
          <w:divBdr>
            <w:top w:val="none" w:sz="0" w:space="0" w:color="auto"/>
            <w:left w:val="none" w:sz="0" w:space="0" w:color="auto"/>
            <w:bottom w:val="none" w:sz="0" w:space="0" w:color="auto"/>
            <w:right w:val="none" w:sz="0" w:space="0" w:color="auto"/>
          </w:divBdr>
        </w:div>
        <w:div w:id="2101020400">
          <w:marLeft w:val="1166"/>
          <w:marRight w:val="0"/>
          <w:marTop w:val="77"/>
          <w:marBottom w:val="0"/>
          <w:divBdr>
            <w:top w:val="none" w:sz="0" w:space="0" w:color="auto"/>
            <w:left w:val="none" w:sz="0" w:space="0" w:color="auto"/>
            <w:bottom w:val="none" w:sz="0" w:space="0" w:color="auto"/>
            <w:right w:val="none" w:sz="0" w:space="0" w:color="auto"/>
          </w:divBdr>
        </w:div>
      </w:divsChild>
    </w:div>
    <w:div w:id="2002152580">
      <w:bodyDiv w:val="1"/>
      <w:marLeft w:val="0"/>
      <w:marRight w:val="0"/>
      <w:marTop w:val="0"/>
      <w:marBottom w:val="0"/>
      <w:divBdr>
        <w:top w:val="none" w:sz="0" w:space="0" w:color="auto"/>
        <w:left w:val="none" w:sz="0" w:space="0" w:color="auto"/>
        <w:bottom w:val="none" w:sz="0" w:space="0" w:color="auto"/>
        <w:right w:val="none" w:sz="0" w:space="0" w:color="auto"/>
      </w:divBdr>
    </w:div>
    <w:div w:id="2006351323">
      <w:bodyDiv w:val="1"/>
      <w:marLeft w:val="0"/>
      <w:marRight w:val="0"/>
      <w:marTop w:val="0"/>
      <w:marBottom w:val="0"/>
      <w:divBdr>
        <w:top w:val="none" w:sz="0" w:space="0" w:color="auto"/>
        <w:left w:val="none" w:sz="0" w:space="0" w:color="auto"/>
        <w:bottom w:val="none" w:sz="0" w:space="0" w:color="auto"/>
        <w:right w:val="none" w:sz="0" w:space="0" w:color="auto"/>
      </w:divBdr>
    </w:div>
    <w:div w:id="2040160258">
      <w:bodyDiv w:val="1"/>
      <w:marLeft w:val="0"/>
      <w:marRight w:val="0"/>
      <w:marTop w:val="0"/>
      <w:marBottom w:val="0"/>
      <w:divBdr>
        <w:top w:val="none" w:sz="0" w:space="0" w:color="auto"/>
        <w:left w:val="none" w:sz="0" w:space="0" w:color="auto"/>
        <w:bottom w:val="none" w:sz="0" w:space="0" w:color="auto"/>
        <w:right w:val="none" w:sz="0" w:space="0" w:color="auto"/>
      </w:divBdr>
    </w:div>
    <w:div w:id="2098939449">
      <w:bodyDiv w:val="1"/>
      <w:marLeft w:val="0"/>
      <w:marRight w:val="0"/>
      <w:marTop w:val="0"/>
      <w:marBottom w:val="0"/>
      <w:divBdr>
        <w:top w:val="none" w:sz="0" w:space="0" w:color="auto"/>
        <w:left w:val="none" w:sz="0" w:space="0" w:color="auto"/>
        <w:bottom w:val="none" w:sz="0" w:space="0" w:color="auto"/>
        <w:right w:val="none" w:sz="0" w:space="0" w:color="auto"/>
      </w:divBdr>
    </w:div>
    <w:div w:id="2139837422">
      <w:bodyDiv w:val="1"/>
      <w:marLeft w:val="0"/>
      <w:marRight w:val="0"/>
      <w:marTop w:val="0"/>
      <w:marBottom w:val="0"/>
      <w:divBdr>
        <w:top w:val="none" w:sz="0" w:space="0" w:color="auto"/>
        <w:left w:val="none" w:sz="0" w:space="0" w:color="auto"/>
        <w:bottom w:val="none" w:sz="0" w:space="0" w:color="auto"/>
        <w:right w:val="none" w:sz="0" w:space="0" w:color="auto"/>
      </w:divBdr>
    </w:div>
    <w:div w:id="2147313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8BD2BA-6D13-4D9C-9A9A-361BF43C4644}" type="doc">
      <dgm:prSet loTypeId="urn:microsoft.com/office/officeart/2005/8/layout/hProcess9" loCatId="process" qsTypeId="urn:microsoft.com/office/officeart/2005/8/quickstyle/simple1" qsCatId="simple" csTypeId="urn:microsoft.com/office/officeart/2005/8/colors/accent1_2" csCatId="accent1" phldr="1"/>
      <dgm:spPr/>
    </dgm:pt>
    <dgm:pt modelId="{4C829FA5-AEAE-4507-A9E5-4AE7E4040BB7}">
      <dgm:prSet phldrT="[Text]" custT="1"/>
      <dgm:spPr/>
      <dgm:t>
        <a:bodyPr/>
        <a:lstStyle/>
        <a:p>
          <a:pPr algn="l"/>
          <a:r>
            <a:rPr lang="en-GB" sz="800" b="1">
              <a:latin typeface="Times New Roman" panose="02020603050405020304" pitchFamily="18" charset="0"/>
              <a:cs typeface="Times New Roman" panose="02020603050405020304" pitchFamily="18" charset="0"/>
            </a:rPr>
            <a:t>BARRIERS TO SEEING A PROVIDER</a:t>
          </a:r>
        </a:p>
        <a:p>
          <a:pPr algn="l"/>
          <a:r>
            <a:rPr lang="en-GB" sz="800">
              <a:latin typeface="Times New Roman" panose="02020603050405020304" pitchFamily="18" charset="0"/>
              <a:cs typeface="Times New Roman" panose="02020603050405020304" pitchFamily="18" charset="0"/>
            </a:rPr>
            <a:t>Awareness of personal risk</a:t>
          </a:r>
        </a:p>
        <a:p>
          <a:pPr algn="l"/>
          <a:r>
            <a:rPr lang="en-GB" sz="800">
              <a:latin typeface="Times New Roman" panose="02020603050405020304" pitchFamily="18" charset="0"/>
              <a:cs typeface="Times New Roman" panose="02020603050405020304" pitchFamily="18" charset="0"/>
            </a:rPr>
            <a:t>Time constraints</a:t>
          </a:r>
        </a:p>
        <a:p>
          <a:pPr algn="l"/>
          <a:r>
            <a:rPr lang="en-GB" sz="800">
              <a:latin typeface="Times New Roman" panose="02020603050405020304" pitchFamily="18" charset="0"/>
              <a:cs typeface="Times New Roman" panose="02020603050405020304" pitchFamily="18" charset="0"/>
            </a:rPr>
            <a:t>Sociodemographic factors</a:t>
          </a:r>
        </a:p>
        <a:p>
          <a:pPr algn="l"/>
          <a:r>
            <a:rPr lang="en-GB" sz="800">
              <a:latin typeface="Times New Roman" panose="02020603050405020304" pitchFamily="18" charset="0"/>
              <a:cs typeface="Times New Roman" panose="02020603050405020304" pitchFamily="18" charset="0"/>
            </a:rPr>
            <a:t>Psychosocial factors</a:t>
          </a:r>
        </a:p>
      </dgm:t>
    </dgm:pt>
    <dgm:pt modelId="{FD88CF4D-9AB2-47B5-A27F-60C5AB60C398}" type="parTrans" cxnId="{64F06AF4-6684-461B-B3BF-13C2448A48AB}">
      <dgm:prSet/>
      <dgm:spPr/>
      <dgm:t>
        <a:bodyPr/>
        <a:lstStyle/>
        <a:p>
          <a:endParaRPr lang="en-GB">
            <a:latin typeface="Times New Roman" panose="02020603050405020304" pitchFamily="18" charset="0"/>
            <a:cs typeface="Times New Roman" panose="02020603050405020304" pitchFamily="18" charset="0"/>
          </a:endParaRPr>
        </a:p>
      </dgm:t>
    </dgm:pt>
    <dgm:pt modelId="{0F61F6D6-6857-453F-8876-E6C60F81D5E2}" type="sibTrans" cxnId="{64F06AF4-6684-461B-B3BF-13C2448A48AB}">
      <dgm:prSet/>
      <dgm:spPr/>
      <dgm:t>
        <a:bodyPr/>
        <a:lstStyle/>
        <a:p>
          <a:endParaRPr lang="en-GB">
            <a:latin typeface="Times New Roman" panose="02020603050405020304" pitchFamily="18" charset="0"/>
            <a:cs typeface="Times New Roman" panose="02020603050405020304" pitchFamily="18" charset="0"/>
          </a:endParaRPr>
        </a:p>
      </dgm:t>
    </dgm:pt>
    <dgm:pt modelId="{94006F25-CF34-491D-89F8-9BE1E8076C13}">
      <dgm:prSet phldrT="[Text]" custT="1"/>
      <dgm:spPr/>
      <dgm:t>
        <a:bodyPr/>
        <a:lstStyle/>
        <a:p>
          <a:pPr algn="l"/>
          <a:r>
            <a:rPr lang="en-GB" sz="800" b="1">
              <a:latin typeface="Times New Roman" panose="02020603050405020304" pitchFamily="18" charset="0"/>
              <a:cs typeface="Times New Roman" panose="02020603050405020304" pitchFamily="18" charset="0"/>
            </a:rPr>
            <a:t>BARRIERS TO GENOMIC SERVICES </a:t>
          </a:r>
        </a:p>
        <a:p>
          <a:pPr algn="l"/>
          <a:r>
            <a:rPr lang="en-GB" sz="800">
              <a:latin typeface="Times New Roman" panose="02020603050405020304" pitchFamily="18" charset="0"/>
              <a:cs typeface="Times New Roman" panose="02020603050405020304" pitchFamily="18" charset="0"/>
            </a:rPr>
            <a:t>Knowledgeable provider for referral</a:t>
          </a:r>
        </a:p>
        <a:p>
          <a:pPr algn="l"/>
          <a:r>
            <a:rPr lang="en-GB" sz="800">
              <a:latin typeface="Times New Roman" panose="02020603050405020304" pitchFamily="18" charset="0"/>
              <a:cs typeface="Times New Roman" panose="02020603050405020304" pitchFamily="18" charset="0"/>
            </a:rPr>
            <a:t>Access to counseling</a:t>
          </a:r>
        </a:p>
        <a:p>
          <a:pPr algn="l"/>
          <a:r>
            <a:rPr lang="en-GB" sz="800">
              <a:latin typeface="Times New Roman" panose="02020603050405020304" pitchFamily="18" charset="0"/>
              <a:cs typeface="Times New Roman" panose="02020603050405020304" pitchFamily="18" charset="0"/>
            </a:rPr>
            <a:t>Sociodemographic factors</a:t>
          </a:r>
        </a:p>
        <a:p>
          <a:pPr algn="l"/>
          <a:r>
            <a:rPr lang="en-GB" sz="800">
              <a:latin typeface="Times New Roman" panose="02020603050405020304" pitchFamily="18" charset="0"/>
              <a:cs typeface="Times New Roman" panose="02020603050405020304" pitchFamily="18" charset="0"/>
            </a:rPr>
            <a:t>Psychosocial factors</a:t>
          </a:r>
        </a:p>
      </dgm:t>
    </dgm:pt>
    <dgm:pt modelId="{3128F575-6711-4698-890A-9044B56535EA}" type="parTrans" cxnId="{2EEF76C9-D111-44D3-A8BC-B450EC48A2AD}">
      <dgm:prSet/>
      <dgm:spPr/>
      <dgm:t>
        <a:bodyPr/>
        <a:lstStyle/>
        <a:p>
          <a:endParaRPr lang="en-GB">
            <a:latin typeface="Times New Roman" panose="02020603050405020304" pitchFamily="18" charset="0"/>
            <a:cs typeface="Times New Roman" panose="02020603050405020304" pitchFamily="18" charset="0"/>
          </a:endParaRPr>
        </a:p>
      </dgm:t>
    </dgm:pt>
    <dgm:pt modelId="{5B5F8CC7-54FE-4E5D-8901-2CB366837CEC}" type="sibTrans" cxnId="{2EEF76C9-D111-44D3-A8BC-B450EC48A2AD}">
      <dgm:prSet/>
      <dgm:spPr/>
      <dgm:t>
        <a:bodyPr/>
        <a:lstStyle/>
        <a:p>
          <a:endParaRPr lang="en-GB">
            <a:latin typeface="Times New Roman" panose="02020603050405020304" pitchFamily="18" charset="0"/>
            <a:cs typeface="Times New Roman" panose="02020603050405020304" pitchFamily="18" charset="0"/>
          </a:endParaRPr>
        </a:p>
      </dgm:t>
    </dgm:pt>
    <dgm:pt modelId="{3A7CC392-667B-4269-BF3D-1E529BC21619}">
      <dgm:prSet phldrT="[Text]" custT="1"/>
      <dgm:spPr/>
      <dgm:t>
        <a:bodyPr/>
        <a:lstStyle/>
        <a:p>
          <a:pPr algn="l"/>
          <a:r>
            <a:rPr lang="en-GB" sz="800" b="1">
              <a:latin typeface="Times New Roman" panose="02020603050405020304" pitchFamily="18" charset="0"/>
              <a:cs typeface="Times New Roman" panose="02020603050405020304" pitchFamily="18" charset="0"/>
            </a:rPr>
            <a:t>BARRIERS TO FOLLOW-UP CARE</a:t>
          </a:r>
        </a:p>
        <a:p>
          <a:pPr algn="l"/>
          <a:r>
            <a:rPr lang="en-GB" sz="800">
              <a:latin typeface="Times New Roman" panose="02020603050405020304" pitchFamily="18" charset="0"/>
              <a:cs typeface="Times New Roman" panose="02020603050405020304" pitchFamily="18" charset="0"/>
            </a:rPr>
            <a:t>Access to screening and preventive services</a:t>
          </a:r>
        </a:p>
        <a:p>
          <a:pPr algn="l"/>
          <a:r>
            <a:rPr lang="en-GB" sz="800">
              <a:latin typeface="Times New Roman" panose="02020603050405020304" pitchFamily="18" charset="0"/>
              <a:cs typeface="Times New Roman" panose="02020603050405020304" pitchFamily="18" charset="0"/>
            </a:rPr>
            <a:t>Time constraints</a:t>
          </a:r>
        </a:p>
        <a:p>
          <a:pPr algn="l"/>
          <a:r>
            <a:rPr lang="en-GB" sz="800">
              <a:latin typeface="Times New Roman" panose="02020603050405020304" pitchFamily="18" charset="0"/>
              <a:cs typeface="Times New Roman" panose="02020603050405020304" pitchFamily="18" charset="0"/>
            </a:rPr>
            <a:t>Sociodemographic factors</a:t>
          </a:r>
        </a:p>
        <a:p>
          <a:pPr algn="l"/>
          <a:r>
            <a:rPr lang="en-GB" sz="800">
              <a:latin typeface="Times New Roman" panose="02020603050405020304" pitchFamily="18" charset="0"/>
              <a:cs typeface="Times New Roman" panose="02020603050405020304" pitchFamily="18" charset="0"/>
            </a:rPr>
            <a:t>Psychosocial factors</a:t>
          </a:r>
        </a:p>
        <a:p>
          <a:pPr algn="l"/>
          <a:r>
            <a:rPr lang="en-GB" sz="800">
              <a:latin typeface="Times New Roman" panose="02020603050405020304" pitchFamily="18" charset="0"/>
              <a:cs typeface="Times New Roman" panose="02020603050405020304" pitchFamily="18" charset="0"/>
            </a:rPr>
            <a:t>Effectiveness of PM interventions</a:t>
          </a:r>
        </a:p>
      </dgm:t>
    </dgm:pt>
    <dgm:pt modelId="{56026D23-2886-4C65-AEC7-37A46CFC33F7}" type="parTrans" cxnId="{DCFA9895-9A8C-414D-A13B-EAE31337058F}">
      <dgm:prSet/>
      <dgm:spPr/>
      <dgm:t>
        <a:bodyPr/>
        <a:lstStyle/>
        <a:p>
          <a:endParaRPr lang="en-GB">
            <a:latin typeface="Times New Roman" panose="02020603050405020304" pitchFamily="18" charset="0"/>
            <a:cs typeface="Times New Roman" panose="02020603050405020304" pitchFamily="18" charset="0"/>
          </a:endParaRPr>
        </a:p>
      </dgm:t>
    </dgm:pt>
    <dgm:pt modelId="{0371950F-EA83-41D8-9993-5E7087AF214A}" type="sibTrans" cxnId="{DCFA9895-9A8C-414D-A13B-EAE31337058F}">
      <dgm:prSet/>
      <dgm:spPr/>
      <dgm:t>
        <a:bodyPr/>
        <a:lstStyle/>
        <a:p>
          <a:endParaRPr lang="en-GB">
            <a:latin typeface="Times New Roman" panose="02020603050405020304" pitchFamily="18" charset="0"/>
            <a:cs typeface="Times New Roman" panose="02020603050405020304" pitchFamily="18" charset="0"/>
          </a:endParaRPr>
        </a:p>
      </dgm:t>
    </dgm:pt>
    <dgm:pt modelId="{33EDAF82-B068-4013-B170-C0925824EBE8}">
      <dgm:prSet phldrT="[Text]" custT="1"/>
      <dgm:spPr/>
      <dgm:t>
        <a:bodyPr/>
        <a:lstStyle/>
        <a:p>
          <a:pPr algn="l"/>
          <a:r>
            <a:rPr lang="en-GB" sz="800" b="1">
              <a:latin typeface="Times New Roman" panose="02020603050405020304" pitchFamily="18" charset="0"/>
              <a:cs typeface="Times New Roman" panose="02020603050405020304" pitchFamily="18" charset="0"/>
            </a:rPr>
            <a:t>BARRIERS IN TECHNOLOGY</a:t>
          </a:r>
        </a:p>
        <a:p>
          <a:pPr algn="l"/>
          <a:r>
            <a:rPr lang="en-GB" sz="800" b="0">
              <a:latin typeface="Times New Roman" panose="02020603050405020304" pitchFamily="18" charset="0"/>
              <a:cs typeface="Times New Roman" panose="02020603050405020304" pitchFamily="18" charset="0"/>
            </a:rPr>
            <a:t>Model performance</a:t>
          </a:r>
        </a:p>
        <a:p>
          <a:pPr algn="l"/>
          <a:r>
            <a:rPr lang="en-GB" sz="800" b="0">
              <a:solidFill>
                <a:schemeClr val="bg1"/>
              </a:solidFill>
              <a:latin typeface="Times New Roman" panose="02020603050405020304" pitchFamily="18" charset="0"/>
              <a:cs typeface="Times New Roman" panose="02020603050405020304" pitchFamily="18" charset="0"/>
            </a:rPr>
            <a:t>Variant of uncertain significance result</a:t>
          </a:r>
        </a:p>
      </dgm:t>
    </dgm:pt>
    <dgm:pt modelId="{73A174F5-2349-4707-A774-8B54E4BDD473}" type="parTrans" cxnId="{AE856D1B-3F76-4345-8E96-7E61685671F4}">
      <dgm:prSet/>
      <dgm:spPr/>
      <dgm:t>
        <a:bodyPr/>
        <a:lstStyle/>
        <a:p>
          <a:endParaRPr lang="en-GB">
            <a:latin typeface="Times New Roman" panose="02020603050405020304" pitchFamily="18" charset="0"/>
            <a:cs typeface="Times New Roman" panose="02020603050405020304" pitchFamily="18" charset="0"/>
          </a:endParaRPr>
        </a:p>
      </dgm:t>
    </dgm:pt>
    <dgm:pt modelId="{41742665-C17C-4D08-8588-C747D0072647}" type="sibTrans" cxnId="{AE856D1B-3F76-4345-8E96-7E61685671F4}">
      <dgm:prSet/>
      <dgm:spPr/>
      <dgm:t>
        <a:bodyPr/>
        <a:lstStyle/>
        <a:p>
          <a:endParaRPr lang="en-GB">
            <a:latin typeface="Times New Roman" panose="02020603050405020304" pitchFamily="18" charset="0"/>
            <a:cs typeface="Times New Roman" panose="02020603050405020304" pitchFamily="18" charset="0"/>
          </a:endParaRPr>
        </a:p>
      </dgm:t>
    </dgm:pt>
    <dgm:pt modelId="{768F1575-F538-4D8F-BDC6-F1A1D544F998}" type="pres">
      <dgm:prSet presAssocID="{968BD2BA-6D13-4D9C-9A9A-361BF43C4644}" presName="CompostProcess" presStyleCnt="0">
        <dgm:presLayoutVars>
          <dgm:dir/>
          <dgm:resizeHandles val="exact"/>
        </dgm:presLayoutVars>
      </dgm:prSet>
      <dgm:spPr/>
    </dgm:pt>
    <dgm:pt modelId="{EF4A87F3-CEF2-4C41-9862-3109FC72BA6F}" type="pres">
      <dgm:prSet presAssocID="{968BD2BA-6D13-4D9C-9A9A-361BF43C4644}" presName="arrow" presStyleLbl="bgShp" presStyleIdx="0" presStyleCnt="1"/>
      <dgm:spPr/>
    </dgm:pt>
    <dgm:pt modelId="{83C73E58-462A-4D7F-891B-3989F79FDEA7}" type="pres">
      <dgm:prSet presAssocID="{968BD2BA-6D13-4D9C-9A9A-361BF43C4644}" presName="linearProcess" presStyleCnt="0"/>
      <dgm:spPr/>
    </dgm:pt>
    <dgm:pt modelId="{404335E2-D132-48C6-B019-18EB2317D66F}" type="pres">
      <dgm:prSet presAssocID="{4C829FA5-AEAE-4507-A9E5-4AE7E4040BB7}" presName="textNode" presStyleLbl="node1" presStyleIdx="0" presStyleCnt="4">
        <dgm:presLayoutVars>
          <dgm:bulletEnabled val="1"/>
        </dgm:presLayoutVars>
      </dgm:prSet>
      <dgm:spPr/>
    </dgm:pt>
    <dgm:pt modelId="{27940F91-86AE-4944-B60F-3C0EE508BF54}" type="pres">
      <dgm:prSet presAssocID="{0F61F6D6-6857-453F-8876-E6C60F81D5E2}" presName="sibTrans" presStyleCnt="0"/>
      <dgm:spPr/>
    </dgm:pt>
    <dgm:pt modelId="{9983810A-00EC-4C4F-916E-AED98A358273}" type="pres">
      <dgm:prSet presAssocID="{94006F25-CF34-491D-89F8-9BE1E8076C13}" presName="textNode" presStyleLbl="node1" presStyleIdx="1" presStyleCnt="4">
        <dgm:presLayoutVars>
          <dgm:bulletEnabled val="1"/>
        </dgm:presLayoutVars>
      </dgm:prSet>
      <dgm:spPr/>
    </dgm:pt>
    <dgm:pt modelId="{3DD3123A-A305-402F-85B5-C48B41EF2700}" type="pres">
      <dgm:prSet presAssocID="{5B5F8CC7-54FE-4E5D-8901-2CB366837CEC}" presName="sibTrans" presStyleCnt="0"/>
      <dgm:spPr/>
    </dgm:pt>
    <dgm:pt modelId="{E8E158CD-1E77-4D86-B0DF-C3C6D917F7FF}" type="pres">
      <dgm:prSet presAssocID="{33EDAF82-B068-4013-B170-C0925824EBE8}" presName="textNode" presStyleLbl="node1" presStyleIdx="2" presStyleCnt="4" custScaleY="69256">
        <dgm:presLayoutVars>
          <dgm:bulletEnabled val="1"/>
        </dgm:presLayoutVars>
      </dgm:prSet>
      <dgm:spPr/>
    </dgm:pt>
    <dgm:pt modelId="{AB62306F-DA1B-431F-8250-11D4ADF8F8B2}" type="pres">
      <dgm:prSet presAssocID="{41742665-C17C-4D08-8588-C747D0072647}" presName="sibTrans" presStyleCnt="0"/>
      <dgm:spPr/>
    </dgm:pt>
    <dgm:pt modelId="{3178EC4A-57FA-4E4D-88B9-81C8E31F04E5}" type="pres">
      <dgm:prSet presAssocID="{3A7CC392-667B-4269-BF3D-1E529BC21619}" presName="textNode" presStyleLbl="node1" presStyleIdx="3" presStyleCnt="4" custScaleX="117840" custScaleY="119272">
        <dgm:presLayoutVars>
          <dgm:bulletEnabled val="1"/>
        </dgm:presLayoutVars>
      </dgm:prSet>
      <dgm:spPr/>
    </dgm:pt>
  </dgm:ptLst>
  <dgm:cxnLst>
    <dgm:cxn modelId="{AE856D1B-3F76-4345-8E96-7E61685671F4}" srcId="{968BD2BA-6D13-4D9C-9A9A-361BF43C4644}" destId="{33EDAF82-B068-4013-B170-C0925824EBE8}" srcOrd="2" destOrd="0" parTransId="{73A174F5-2349-4707-A774-8B54E4BDD473}" sibTransId="{41742665-C17C-4D08-8588-C747D0072647}"/>
    <dgm:cxn modelId="{A034EF2F-27E4-46B1-975F-BFF7C50680E2}" type="presOf" srcId="{94006F25-CF34-491D-89F8-9BE1E8076C13}" destId="{9983810A-00EC-4C4F-916E-AED98A358273}" srcOrd="0" destOrd="0" presId="urn:microsoft.com/office/officeart/2005/8/layout/hProcess9"/>
    <dgm:cxn modelId="{892A3255-B919-4E8F-BD74-471F2197DEF9}" type="presOf" srcId="{3A7CC392-667B-4269-BF3D-1E529BC21619}" destId="{3178EC4A-57FA-4E4D-88B9-81C8E31F04E5}" srcOrd="0" destOrd="0" presId="urn:microsoft.com/office/officeart/2005/8/layout/hProcess9"/>
    <dgm:cxn modelId="{201DBE75-A8A2-4A3C-B9D2-A77B1E5BA84A}" type="presOf" srcId="{968BD2BA-6D13-4D9C-9A9A-361BF43C4644}" destId="{768F1575-F538-4D8F-BDC6-F1A1D544F998}" srcOrd="0" destOrd="0" presId="urn:microsoft.com/office/officeart/2005/8/layout/hProcess9"/>
    <dgm:cxn modelId="{DCFA9895-9A8C-414D-A13B-EAE31337058F}" srcId="{968BD2BA-6D13-4D9C-9A9A-361BF43C4644}" destId="{3A7CC392-667B-4269-BF3D-1E529BC21619}" srcOrd="3" destOrd="0" parTransId="{56026D23-2886-4C65-AEC7-37A46CFC33F7}" sibTransId="{0371950F-EA83-41D8-9993-5E7087AF214A}"/>
    <dgm:cxn modelId="{FD59899B-0F68-437D-8B86-22A6EFD27DAA}" type="presOf" srcId="{4C829FA5-AEAE-4507-A9E5-4AE7E4040BB7}" destId="{404335E2-D132-48C6-B019-18EB2317D66F}" srcOrd="0" destOrd="0" presId="urn:microsoft.com/office/officeart/2005/8/layout/hProcess9"/>
    <dgm:cxn modelId="{2EEF76C9-D111-44D3-A8BC-B450EC48A2AD}" srcId="{968BD2BA-6D13-4D9C-9A9A-361BF43C4644}" destId="{94006F25-CF34-491D-89F8-9BE1E8076C13}" srcOrd="1" destOrd="0" parTransId="{3128F575-6711-4698-890A-9044B56535EA}" sibTransId="{5B5F8CC7-54FE-4E5D-8901-2CB366837CEC}"/>
    <dgm:cxn modelId="{CCFF39D8-65DC-4809-B0AE-FE521E4BA450}" type="presOf" srcId="{33EDAF82-B068-4013-B170-C0925824EBE8}" destId="{E8E158CD-1E77-4D86-B0DF-C3C6D917F7FF}" srcOrd="0" destOrd="0" presId="urn:microsoft.com/office/officeart/2005/8/layout/hProcess9"/>
    <dgm:cxn modelId="{64F06AF4-6684-461B-B3BF-13C2448A48AB}" srcId="{968BD2BA-6D13-4D9C-9A9A-361BF43C4644}" destId="{4C829FA5-AEAE-4507-A9E5-4AE7E4040BB7}" srcOrd="0" destOrd="0" parTransId="{FD88CF4D-9AB2-47B5-A27F-60C5AB60C398}" sibTransId="{0F61F6D6-6857-453F-8876-E6C60F81D5E2}"/>
    <dgm:cxn modelId="{225EC7B8-B471-48B2-9956-DE9858C19FB7}" type="presParOf" srcId="{768F1575-F538-4D8F-BDC6-F1A1D544F998}" destId="{EF4A87F3-CEF2-4C41-9862-3109FC72BA6F}" srcOrd="0" destOrd="0" presId="urn:microsoft.com/office/officeart/2005/8/layout/hProcess9"/>
    <dgm:cxn modelId="{FB282D47-F032-4DFA-9BC5-A91B0D9153DA}" type="presParOf" srcId="{768F1575-F538-4D8F-BDC6-F1A1D544F998}" destId="{83C73E58-462A-4D7F-891B-3989F79FDEA7}" srcOrd="1" destOrd="0" presId="urn:microsoft.com/office/officeart/2005/8/layout/hProcess9"/>
    <dgm:cxn modelId="{1D1239EA-9E16-4B6F-BEBF-FC2F62EA6F6F}" type="presParOf" srcId="{83C73E58-462A-4D7F-891B-3989F79FDEA7}" destId="{404335E2-D132-48C6-B019-18EB2317D66F}" srcOrd="0" destOrd="0" presId="urn:microsoft.com/office/officeart/2005/8/layout/hProcess9"/>
    <dgm:cxn modelId="{06169441-EC52-46B9-B0F1-3DACA2F2381A}" type="presParOf" srcId="{83C73E58-462A-4D7F-891B-3989F79FDEA7}" destId="{27940F91-86AE-4944-B60F-3C0EE508BF54}" srcOrd="1" destOrd="0" presId="urn:microsoft.com/office/officeart/2005/8/layout/hProcess9"/>
    <dgm:cxn modelId="{61ACA555-B8C8-403E-B223-0BEB98ED164D}" type="presParOf" srcId="{83C73E58-462A-4D7F-891B-3989F79FDEA7}" destId="{9983810A-00EC-4C4F-916E-AED98A358273}" srcOrd="2" destOrd="0" presId="urn:microsoft.com/office/officeart/2005/8/layout/hProcess9"/>
    <dgm:cxn modelId="{CCECA648-3F53-418D-A802-734AA0CC5306}" type="presParOf" srcId="{83C73E58-462A-4D7F-891B-3989F79FDEA7}" destId="{3DD3123A-A305-402F-85B5-C48B41EF2700}" srcOrd="3" destOrd="0" presId="urn:microsoft.com/office/officeart/2005/8/layout/hProcess9"/>
    <dgm:cxn modelId="{C8B7D877-35DD-4893-BEE1-AECCB9965BE7}" type="presParOf" srcId="{83C73E58-462A-4D7F-891B-3989F79FDEA7}" destId="{E8E158CD-1E77-4D86-B0DF-C3C6D917F7FF}" srcOrd="4" destOrd="0" presId="urn:microsoft.com/office/officeart/2005/8/layout/hProcess9"/>
    <dgm:cxn modelId="{DAA6EA2C-CDCF-4CAD-BE97-93BD183E71CB}" type="presParOf" srcId="{83C73E58-462A-4D7F-891B-3989F79FDEA7}" destId="{AB62306F-DA1B-431F-8250-11D4ADF8F8B2}" srcOrd="5" destOrd="0" presId="urn:microsoft.com/office/officeart/2005/8/layout/hProcess9"/>
    <dgm:cxn modelId="{3139BA2B-3F12-4925-A966-C82E089ECD90}" type="presParOf" srcId="{83C73E58-462A-4D7F-891B-3989F79FDEA7}" destId="{3178EC4A-57FA-4E4D-88B9-81C8E31F04E5}" srcOrd="6"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4A87F3-CEF2-4C41-9862-3109FC72BA6F}">
      <dsp:nvSpPr>
        <dsp:cNvPr id="0" name=""/>
        <dsp:cNvSpPr/>
      </dsp:nvSpPr>
      <dsp:spPr>
        <a:xfrm>
          <a:off x="410186" y="0"/>
          <a:ext cx="4648774"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04335E2-D132-48C6-B019-18EB2317D66F}">
      <dsp:nvSpPr>
        <dsp:cNvPr id="0" name=""/>
        <dsp:cNvSpPr/>
      </dsp:nvSpPr>
      <dsp:spPr>
        <a:xfrm>
          <a:off x="2226" y="960120"/>
          <a:ext cx="1168068"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GB" sz="800" b="1" kern="1200">
              <a:latin typeface="Times New Roman" panose="02020603050405020304" pitchFamily="18" charset="0"/>
              <a:cs typeface="Times New Roman" panose="02020603050405020304" pitchFamily="18" charset="0"/>
            </a:rPr>
            <a:t>BARRIERS TO SEEING A PROVIDER</a:t>
          </a:r>
        </a:p>
        <a:p>
          <a:pPr marL="0" lvl="0" indent="0" algn="l" defTabSz="355600">
            <a:lnSpc>
              <a:spcPct val="90000"/>
            </a:lnSpc>
            <a:spcBef>
              <a:spcPct val="0"/>
            </a:spcBef>
            <a:spcAft>
              <a:spcPct val="35000"/>
            </a:spcAft>
            <a:buNone/>
          </a:pPr>
          <a:r>
            <a:rPr lang="en-GB" sz="800" kern="1200">
              <a:latin typeface="Times New Roman" panose="02020603050405020304" pitchFamily="18" charset="0"/>
              <a:cs typeface="Times New Roman" panose="02020603050405020304" pitchFamily="18" charset="0"/>
            </a:rPr>
            <a:t>Awareness of personal risk</a:t>
          </a:r>
        </a:p>
        <a:p>
          <a:pPr marL="0" lvl="0" indent="0" algn="l" defTabSz="355600">
            <a:lnSpc>
              <a:spcPct val="90000"/>
            </a:lnSpc>
            <a:spcBef>
              <a:spcPct val="0"/>
            </a:spcBef>
            <a:spcAft>
              <a:spcPct val="35000"/>
            </a:spcAft>
            <a:buNone/>
          </a:pPr>
          <a:r>
            <a:rPr lang="en-GB" sz="800" kern="1200">
              <a:latin typeface="Times New Roman" panose="02020603050405020304" pitchFamily="18" charset="0"/>
              <a:cs typeface="Times New Roman" panose="02020603050405020304" pitchFamily="18" charset="0"/>
            </a:rPr>
            <a:t>Time constraints</a:t>
          </a:r>
        </a:p>
        <a:p>
          <a:pPr marL="0" lvl="0" indent="0" algn="l" defTabSz="355600">
            <a:lnSpc>
              <a:spcPct val="90000"/>
            </a:lnSpc>
            <a:spcBef>
              <a:spcPct val="0"/>
            </a:spcBef>
            <a:spcAft>
              <a:spcPct val="35000"/>
            </a:spcAft>
            <a:buNone/>
          </a:pPr>
          <a:r>
            <a:rPr lang="en-GB" sz="800" kern="1200">
              <a:latin typeface="Times New Roman" panose="02020603050405020304" pitchFamily="18" charset="0"/>
              <a:cs typeface="Times New Roman" panose="02020603050405020304" pitchFamily="18" charset="0"/>
            </a:rPr>
            <a:t>Sociodemographic factors</a:t>
          </a:r>
        </a:p>
        <a:p>
          <a:pPr marL="0" lvl="0" indent="0" algn="l" defTabSz="355600">
            <a:lnSpc>
              <a:spcPct val="90000"/>
            </a:lnSpc>
            <a:spcBef>
              <a:spcPct val="0"/>
            </a:spcBef>
            <a:spcAft>
              <a:spcPct val="35000"/>
            </a:spcAft>
            <a:buNone/>
          </a:pPr>
          <a:r>
            <a:rPr lang="en-GB" sz="800" kern="1200">
              <a:latin typeface="Times New Roman" panose="02020603050405020304" pitchFamily="18" charset="0"/>
              <a:cs typeface="Times New Roman" panose="02020603050405020304" pitchFamily="18" charset="0"/>
            </a:rPr>
            <a:t>Psychosocial factors</a:t>
          </a:r>
        </a:p>
      </dsp:txBody>
      <dsp:txXfrm>
        <a:off x="59246" y="1017140"/>
        <a:ext cx="1054028" cy="1166120"/>
      </dsp:txXfrm>
    </dsp:sp>
    <dsp:sp modelId="{9983810A-00EC-4C4F-916E-AED98A358273}">
      <dsp:nvSpPr>
        <dsp:cNvPr id="0" name=""/>
        <dsp:cNvSpPr/>
      </dsp:nvSpPr>
      <dsp:spPr>
        <a:xfrm>
          <a:off x="1364973" y="960120"/>
          <a:ext cx="1168068"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GB" sz="800" b="1" kern="1200">
              <a:latin typeface="Times New Roman" panose="02020603050405020304" pitchFamily="18" charset="0"/>
              <a:cs typeface="Times New Roman" panose="02020603050405020304" pitchFamily="18" charset="0"/>
            </a:rPr>
            <a:t>BARRIERS TO GENOMIC SERVICES </a:t>
          </a:r>
        </a:p>
        <a:p>
          <a:pPr marL="0" lvl="0" indent="0" algn="l" defTabSz="355600">
            <a:lnSpc>
              <a:spcPct val="90000"/>
            </a:lnSpc>
            <a:spcBef>
              <a:spcPct val="0"/>
            </a:spcBef>
            <a:spcAft>
              <a:spcPct val="35000"/>
            </a:spcAft>
            <a:buNone/>
          </a:pPr>
          <a:r>
            <a:rPr lang="en-GB" sz="800" kern="1200">
              <a:latin typeface="Times New Roman" panose="02020603050405020304" pitchFamily="18" charset="0"/>
              <a:cs typeface="Times New Roman" panose="02020603050405020304" pitchFamily="18" charset="0"/>
            </a:rPr>
            <a:t>Knowledgeable provider for referral</a:t>
          </a:r>
        </a:p>
        <a:p>
          <a:pPr marL="0" lvl="0" indent="0" algn="l" defTabSz="355600">
            <a:lnSpc>
              <a:spcPct val="90000"/>
            </a:lnSpc>
            <a:spcBef>
              <a:spcPct val="0"/>
            </a:spcBef>
            <a:spcAft>
              <a:spcPct val="35000"/>
            </a:spcAft>
            <a:buNone/>
          </a:pPr>
          <a:r>
            <a:rPr lang="en-GB" sz="800" kern="1200">
              <a:latin typeface="Times New Roman" panose="02020603050405020304" pitchFamily="18" charset="0"/>
              <a:cs typeface="Times New Roman" panose="02020603050405020304" pitchFamily="18" charset="0"/>
            </a:rPr>
            <a:t>Access to counseling</a:t>
          </a:r>
        </a:p>
        <a:p>
          <a:pPr marL="0" lvl="0" indent="0" algn="l" defTabSz="355600">
            <a:lnSpc>
              <a:spcPct val="90000"/>
            </a:lnSpc>
            <a:spcBef>
              <a:spcPct val="0"/>
            </a:spcBef>
            <a:spcAft>
              <a:spcPct val="35000"/>
            </a:spcAft>
            <a:buNone/>
          </a:pPr>
          <a:r>
            <a:rPr lang="en-GB" sz="800" kern="1200">
              <a:latin typeface="Times New Roman" panose="02020603050405020304" pitchFamily="18" charset="0"/>
              <a:cs typeface="Times New Roman" panose="02020603050405020304" pitchFamily="18" charset="0"/>
            </a:rPr>
            <a:t>Sociodemographic factors</a:t>
          </a:r>
        </a:p>
        <a:p>
          <a:pPr marL="0" lvl="0" indent="0" algn="l" defTabSz="355600">
            <a:lnSpc>
              <a:spcPct val="90000"/>
            </a:lnSpc>
            <a:spcBef>
              <a:spcPct val="0"/>
            </a:spcBef>
            <a:spcAft>
              <a:spcPct val="35000"/>
            </a:spcAft>
            <a:buNone/>
          </a:pPr>
          <a:r>
            <a:rPr lang="en-GB" sz="800" kern="1200">
              <a:latin typeface="Times New Roman" panose="02020603050405020304" pitchFamily="18" charset="0"/>
              <a:cs typeface="Times New Roman" panose="02020603050405020304" pitchFamily="18" charset="0"/>
            </a:rPr>
            <a:t>Psychosocial factors</a:t>
          </a:r>
        </a:p>
      </dsp:txBody>
      <dsp:txXfrm>
        <a:off x="1421993" y="1017140"/>
        <a:ext cx="1054028" cy="1166120"/>
      </dsp:txXfrm>
    </dsp:sp>
    <dsp:sp modelId="{E8E158CD-1E77-4D86-B0DF-C3C6D917F7FF}">
      <dsp:nvSpPr>
        <dsp:cNvPr id="0" name=""/>
        <dsp:cNvSpPr/>
      </dsp:nvSpPr>
      <dsp:spPr>
        <a:xfrm>
          <a:off x="2727720" y="1156906"/>
          <a:ext cx="1168068" cy="8865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GB" sz="800" b="1" kern="1200">
              <a:latin typeface="Times New Roman" panose="02020603050405020304" pitchFamily="18" charset="0"/>
              <a:cs typeface="Times New Roman" panose="02020603050405020304" pitchFamily="18" charset="0"/>
            </a:rPr>
            <a:t>BARRIERS IN TECHNOLOGY</a:t>
          </a:r>
        </a:p>
        <a:p>
          <a:pPr marL="0" lvl="0" indent="0" algn="l" defTabSz="355600">
            <a:lnSpc>
              <a:spcPct val="90000"/>
            </a:lnSpc>
            <a:spcBef>
              <a:spcPct val="0"/>
            </a:spcBef>
            <a:spcAft>
              <a:spcPct val="35000"/>
            </a:spcAft>
            <a:buNone/>
          </a:pPr>
          <a:r>
            <a:rPr lang="en-GB" sz="800" b="0" kern="1200">
              <a:latin typeface="Times New Roman" panose="02020603050405020304" pitchFamily="18" charset="0"/>
              <a:cs typeface="Times New Roman" panose="02020603050405020304" pitchFamily="18" charset="0"/>
            </a:rPr>
            <a:t>Model performance</a:t>
          </a:r>
        </a:p>
        <a:p>
          <a:pPr marL="0" lvl="0" indent="0" algn="l" defTabSz="355600">
            <a:lnSpc>
              <a:spcPct val="90000"/>
            </a:lnSpc>
            <a:spcBef>
              <a:spcPct val="0"/>
            </a:spcBef>
            <a:spcAft>
              <a:spcPct val="35000"/>
            </a:spcAft>
            <a:buNone/>
          </a:pPr>
          <a:r>
            <a:rPr lang="en-GB" sz="800" b="0" kern="1200">
              <a:solidFill>
                <a:schemeClr val="bg1"/>
              </a:solidFill>
              <a:latin typeface="Times New Roman" panose="02020603050405020304" pitchFamily="18" charset="0"/>
              <a:cs typeface="Times New Roman" panose="02020603050405020304" pitchFamily="18" charset="0"/>
            </a:rPr>
            <a:t>Variant of uncertain significance result</a:t>
          </a:r>
        </a:p>
      </dsp:txBody>
      <dsp:txXfrm>
        <a:off x="2771000" y="1200186"/>
        <a:ext cx="1081508" cy="800027"/>
      </dsp:txXfrm>
    </dsp:sp>
    <dsp:sp modelId="{3178EC4A-57FA-4E4D-88B9-81C8E31F04E5}">
      <dsp:nvSpPr>
        <dsp:cNvPr id="0" name=""/>
        <dsp:cNvSpPr/>
      </dsp:nvSpPr>
      <dsp:spPr>
        <a:xfrm>
          <a:off x="4090467" y="836763"/>
          <a:ext cx="1376452" cy="15268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GB" sz="800" b="1" kern="1200">
              <a:latin typeface="Times New Roman" panose="02020603050405020304" pitchFamily="18" charset="0"/>
              <a:cs typeface="Times New Roman" panose="02020603050405020304" pitchFamily="18" charset="0"/>
            </a:rPr>
            <a:t>BARRIERS TO FOLLOW-UP CARE</a:t>
          </a:r>
        </a:p>
        <a:p>
          <a:pPr marL="0" lvl="0" indent="0" algn="l" defTabSz="355600">
            <a:lnSpc>
              <a:spcPct val="90000"/>
            </a:lnSpc>
            <a:spcBef>
              <a:spcPct val="0"/>
            </a:spcBef>
            <a:spcAft>
              <a:spcPct val="35000"/>
            </a:spcAft>
            <a:buNone/>
          </a:pPr>
          <a:r>
            <a:rPr lang="en-GB" sz="800" kern="1200">
              <a:latin typeface="Times New Roman" panose="02020603050405020304" pitchFamily="18" charset="0"/>
              <a:cs typeface="Times New Roman" panose="02020603050405020304" pitchFamily="18" charset="0"/>
            </a:rPr>
            <a:t>Access to screening and preventive services</a:t>
          </a:r>
        </a:p>
        <a:p>
          <a:pPr marL="0" lvl="0" indent="0" algn="l" defTabSz="355600">
            <a:lnSpc>
              <a:spcPct val="90000"/>
            </a:lnSpc>
            <a:spcBef>
              <a:spcPct val="0"/>
            </a:spcBef>
            <a:spcAft>
              <a:spcPct val="35000"/>
            </a:spcAft>
            <a:buNone/>
          </a:pPr>
          <a:r>
            <a:rPr lang="en-GB" sz="800" kern="1200">
              <a:latin typeface="Times New Roman" panose="02020603050405020304" pitchFamily="18" charset="0"/>
              <a:cs typeface="Times New Roman" panose="02020603050405020304" pitchFamily="18" charset="0"/>
            </a:rPr>
            <a:t>Time constraints</a:t>
          </a:r>
        </a:p>
        <a:p>
          <a:pPr marL="0" lvl="0" indent="0" algn="l" defTabSz="355600">
            <a:lnSpc>
              <a:spcPct val="90000"/>
            </a:lnSpc>
            <a:spcBef>
              <a:spcPct val="0"/>
            </a:spcBef>
            <a:spcAft>
              <a:spcPct val="35000"/>
            </a:spcAft>
            <a:buNone/>
          </a:pPr>
          <a:r>
            <a:rPr lang="en-GB" sz="800" kern="1200">
              <a:latin typeface="Times New Roman" panose="02020603050405020304" pitchFamily="18" charset="0"/>
              <a:cs typeface="Times New Roman" panose="02020603050405020304" pitchFamily="18" charset="0"/>
            </a:rPr>
            <a:t>Sociodemographic factors</a:t>
          </a:r>
        </a:p>
        <a:p>
          <a:pPr marL="0" lvl="0" indent="0" algn="l" defTabSz="355600">
            <a:lnSpc>
              <a:spcPct val="90000"/>
            </a:lnSpc>
            <a:spcBef>
              <a:spcPct val="0"/>
            </a:spcBef>
            <a:spcAft>
              <a:spcPct val="35000"/>
            </a:spcAft>
            <a:buNone/>
          </a:pPr>
          <a:r>
            <a:rPr lang="en-GB" sz="800" kern="1200">
              <a:latin typeface="Times New Roman" panose="02020603050405020304" pitchFamily="18" charset="0"/>
              <a:cs typeface="Times New Roman" panose="02020603050405020304" pitchFamily="18" charset="0"/>
            </a:rPr>
            <a:t>Psychosocial factors</a:t>
          </a:r>
        </a:p>
        <a:p>
          <a:pPr marL="0" lvl="0" indent="0" algn="l" defTabSz="355600">
            <a:lnSpc>
              <a:spcPct val="90000"/>
            </a:lnSpc>
            <a:spcBef>
              <a:spcPct val="0"/>
            </a:spcBef>
            <a:spcAft>
              <a:spcPct val="35000"/>
            </a:spcAft>
            <a:buNone/>
          </a:pPr>
          <a:r>
            <a:rPr lang="en-GB" sz="800" kern="1200">
              <a:latin typeface="Times New Roman" panose="02020603050405020304" pitchFamily="18" charset="0"/>
              <a:cs typeface="Times New Roman" panose="02020603050405020304" pitchFamily="18" charset="0"/>
            </a:rPr>
            <a:t>Effectiveness of PM interventions</a:t>
          </a:r>
        </a:p>
      </dsp:txBody>
      <dsp:txXfrm>
        <a:off x="4157660" y="903956"/>
        <a:ext cx="1242066" cy="13924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04B82-9C43-42B7-BFAD-C8E9CB56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64903</Words>
  <Characters>369949</Characters>
  <Application>Microsoft Office Word</Application>
  <DocSecurity>0</DocSecurity>
  <Lines>3082</Lines>
  <Paragraphs>867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433985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P. Martin</dc:creator>
  <cp:lastModifiedBy>Antony Martin</cp:lastModifiedBy>
  <cp:revision>2</cp:revision>
  <cp:lastPrinted>2016-08-30T14:49:00Z</cp:lastPrinted>
  <dcterms:created xsi:type="dcterms:W3CDTF">2017-11-22T08:51:00Z</dcterms:created>
  <dcterms:modified xsi:type="dcterms:W3CDTF">2017-11-22T08:51:00Z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a0e4ab1e-7a0a-3651-9e3f-9f19a40cdd05</vt:lpwstr>
  </property>
</Properties>
</file>