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E6FD6" w14:textId="3692F881" w:rsidR="004E15B4" w:rsidRDefault="000A2BED" w:rsidP="00383FA9">
      <w:pPr>
        <w:pStyle w:val="Title"/>
      </w:pPr>
      <w:bookmarkStart w:id="0" w:name="OLE_LINK43"/>
      <w:bookmarkStart w:id="1" w:name="OLE_LINK44"/>
      <w:bookmarkStart w:id="2" w:name="OLE_LINK53"/>
      <w:r>
        <w:t xml:space="preserve">Altered </w:t>
      </w:r>
      <w:bookmarkStart w:id="3" w:name="OLE_LINK1"/>
      <w:r w:rsidR="00B112F6">
        <w:t>neuro</w:t>
      </w:r>
      <w:r w:rsidR="00B112F6" w:rsidRPr="00376F8F">
        <w:t>cognitive</w:t>
      </w:r>
      <w:bookmarkEnd w:id="3"/>
      <w:r w:rsidR="00A36A5B" w:rsidRPr="00376F8F">
        <w:t xml:space="preserve"> processing of tactile stimuli in patients with </w:t>
      </w:r>
      <w:r w:rsidR="004E15B4" w:rsidRPr="00376F8F">
        <w:t xml:space="preserve">Complex Regional Pain Syndrome </w:t>
      </w:r>
      <w:r w:rsidR="004B146B" w:rsidRPr="00376F8F">
        <w:t>(CRPS)</w:t>
      </w:r>
    </w:p>
    <w:bookmarkEnd w:id="0"/>
    <w:bookmarkEnd w:id="1"/>
    <w:bookmarkEnd w:id="2"/>
    <w:p w14:paraId="53551751" w14:textId="77777777" w:rsidR="00C632BD" w:rsidRPr="00C632BD" w:rsidRDefault="00C632BD"/>
    <w:p w14:paraId="026C6F93" w14:textId="77777777" w:rsidR="003940FE" w:rsidRDefault="003940FE">
      <w:pPr>
        <w:pStyle w:val="Heading1"/>
      </w:pPr>
      <w:r>
        <w:t>S</w:t>
      </w:r>
      <w:r w:rsidRPr="003940FE">
        <w:t>hort running title</w:t>
      </w:r>
    </w:p>
    <w:p w14:paraId="1500FD9F" w14:textId="3BB2BCEF" w:rsidR="00C5440E" w:rsidRDefault="000A2BED">
      <w:r>
        <w:t xml:space="preserve">Altered </w:t>
      </w:r>
      <w:r w:rsidR="00C5440E">
        <w:t>tactile processing in CRPS</w:t>
      </w:r>
    </w:p>
    <w:p w14:paraId="620E7E79" w14:textId="77777777" w:rsidR="00C632BD" w:rsidRPr="00C5440E" w:rsidRDefault="00C632BD"/>
    <w:p w14:paraId="6116E443" w14:textId="77777777" w:rsidR="00DA7494" w:rsidRPr="00B7029B" w:rsidRDefault="00DA7494">
      <w:pPr>
        <w:pStyle w:val="Heading1"/>
      </w:pPr>
      <w:r w:rsidRPr="00B7029B">
        <w:t>Authors and Affiliations</w:t>
      </w:r>
    </w:p>
    <w:p w14:paraId="29FD47E9" w14:textId="77777777" w:rsidR="00080979" w:rsidRDefault="00080979">
      <w:pPr>
        <w:rPr>
          <w:vertAlign w:val="superscript"/>
          <w:lang w:val="en-US"/>
        </w:rPr>
      </w:pPr>
      <w:bookmarkStart w:id="4" w:name="OLE_LINK2"/>
      <w:r w:rsidRPr="005C282F">
        <w:rPr>
          <w:lang w:val="en-US"/>
        </w:rPr>
        <w:t xml:space="preserve">Anoop Kuttikat </w:t>
      </w:r>
      <w:bookmarkEnd w:id="4"/>
      <w:r w:rsidRPr="005C282F">
        <w:rPr>
          <w:vertAlign w:val="superscript"/>
          <w:lang w:val="en-US"/>
        </w:rPr>
        <w:t>1</w:t>
      </w:r>
      <w:r w:rsidRPr="005C282F">
        <w:rPr>
          <w:lang w:val="en-US"/>
        </w:rPr>
        <w:t xml:space="preserve">, </w:t>
      </w:r>
      <w:bookmarkStart w:id="5" w:name="OLE_LINK6"/>
      <w:bookmarkStart w:id="6" w:name="OLE_LINK7"/>
      <w:r w:rsidRPr="005C282F">
        <w:rPr>
          <w:lang w:val="en-US"/>
        </w:rPr>
        <w:t xml:space="preserve">Valdas Noreika </w:t>
      </w:r>
      <w:bookmarkEnd w:id="5"/>
      <w:bookmarkEnd w:id="6"/>
      <w:r w:rsidRPr="005C282F">
        <w:rPr>
          <w:vertAlign w:val="superscript"/>
          <w:lang w:val="en-US"/>
        </w:rPr>
        <w:t>2</w:t>
      </w:r>
      <w:r w:rsidRPr="005C282F">
        <w:rPr>
          <w:lang w:val="en-US"/>
        </w:rPr>
        <w:t xml:space="preserve">, </w:t>
      </w:r>
      <w:bookmarkStart w:id="7" w:name="OLE_LINK11"/>
      <w:r w:rsidRPr="00C02D35">
        <w:rPr>
          <w:lang w:val="en-US"/>
        </w:rPr>
        <w:t xml:space="preserve">Srivas Chennu </w:t>
      </w:r>
      <w:bookmarkEnd w:id="7"/>
      <w:r w:rsidRPr="00C02D35">
        <w:rPr>
          <w:vertAlign w:val="superscript"/>
          <w:lang w:val="en-US"/>
        </w:rPr>
        <w:t>3</w:t>
      </w:r>
      <w:r w:rsidRPr="00C02D35">
        <w:rPr>
          <w:lang w:val="en-US"/>
        </w:rPr>
        <w:t xml:space="preserve">, </w:t>
      </w:r>
      <w:bookmarkStart w:id="8" w:name="OLE_LINK14"/>
      <w:bookmarkStart w:id="9" w:name="OLE_LINK15"/>
      <w:r w:rsidRPr="005C282F">
        <w:rPr>
          <w:lang w:val="en-US"/>
        </w:rPr>
        <w:t xml:space="preserve">Nicholas Shenker </w:t>
      </w:r>
      <w:bookmarkEnd w:id="8"/>
      <w:bookmarkEnd w:id="9"/>
      <w:r w:rsidRPr="005C282F">
        <w:rPr>
          <w:vertAlign w:val="superscript"/>
          <w:lang w:val="en-US"/>
        </w:rPr>
        <w:t>1</w:t>
      </w:r>
      <w:r w:rsidRPr="005C282F">
        <w:rPr>
          <w:lang w:val="en-US"/>
        </w:rPr>
        <w:t xml:space="preserve">, </w:t>
      </w:r>
      <w:bookmarkStart w:id="10" w:name="OLE_LINK18"/>
      <w:bookmarkStart w:id="11" w:name="OLE_LINK19"/>
      <w:r w:rsidRPr="005C282F">
        <w:rPr>
          <w:lang w:val="en-US"/>
        </w:rPr>
        <w:t xml:space="preserve">Tristan Bekinschtein </w:t>
      </w:r>
      <w:bookmarkEnd w:id="10"/>
      <w:bookmarkEnd w:id="11"/>
      <w:r>
        <w:rPr>
          <w:vertAlign w:val="superscript"/>
          <w:lang w:val="en-US"/>
        </w:rPr>
        <w:t>2</w:t>
      </w:r>
      <w:r w:rsidRPr="007B331B">
        <w:rPr>
          <w:lang w:val="en-US"/>
        </w:rPr>
        <w:t>, Christopher A</w:t>
      </w:r>
      <w:r>
        <w:rPr>
          <w:lang w:val="en-US"/>
        </w:rPr>
        <w:t>.</w:t>
      </w:r>
      <w:r w:rsidRPr="005C282F">
        <w:rPr>
          <w:lang w:val="en-US"/>
        </w:rPr>
        <w:t xml:space="preserve"> Brown </w:t>
      </w:r>
      <w:r>
        <w:rPr>
          <w:vertAlign w:val="superscript"/>
          <w:lang w:val="en-US"/>
        </w:rPr>
        <w:t>4</w:t>
      </w:r>
    </w:p>
    <w:p w14:paraId="74BC8990" w14:textId="77777777" w:rsidR="00080979" w:rsidRPr="005C282F" w:rsidRDefault="00080979">
      <w:pPr>
        <w:rPr>
          <w:lang w:val="en-US"/>
        </w:rPr>
      </w:pPr>
    </w:p>
    <w:p w14:paraId="7FF643EF" w14:textId="77777777" w:rsidR="00080979" w:rsidRPr="005C282F" w:rsidRDefault="00080979">
      <w:pPr>
        <w:rPr>
          <w:vertAlign w:val="superscript"/>
          <w:lang w:val="en-US"/>
        </w:rPr>
      </w:pPr>
      <w:r w:rsidRPr="005C282F">
        <w:rPr>
          <w:vertAlign w:val="superscript"/>
          <w:lang w:val="en-US"/>
        </w:rPr>
        <w:t>1</w:t>
      </w:r>
      <w:r w:rsidRPr="005C282F">
        <w:rPr>
          <w:lang w:val="en-US"/>
        </w:rPr>
        <w:t xml:space="preserve"> Department of Rheumatology, </w:t>
      </w:r>
      <w:proofErr w:type="spellStart"/>
      <w:r w:rsidRPr="005C282F">
        <w:rPr>
          <w:lang w:val="en-US"/>
        </w:rPr>
        <w:t>Addenbrooke’s</w:t>
      </w:r>
      <w:proofErr w:type="spellEnd"/>
      <w:r w:rsidRPr="005C282F">
        <w:rPr>
          <w:lang w:val="en-US"/>
        </w:rPr>
        <w:t xml:space="preserve"> Hospital, </w:t>
      </w:r>
      <w:bookmarkStart w:id="12" w:name="OLE_LINK5"/>
      <w:r>
        <w:t>Cambridge University Hospitals NHS Foundation Trust</w:t>
      </w:r>
      <w:bookmarkEnd w:id="12"/>
      <w:r>
        <w:t xml:space="preserve">, </w:t>
      </w:r>
      <w:r w:rsidRPr="005C282F">
        <w:rPr>
          <w:lang w:val="en-US"/>
        </w:rPr>
        <w:t>Cambridge, United Kingdom.</w:t>
      </w:r>
    </w:p>
    <w:p w14:paraId="259913F3" w14:textId="77777777" w:rsidR="00080979" w:rsidRPr="00310512" w:rsidRDefault="00080979">
      <w:pPr>
        <w:rPr>
          <w:lang w:val="en-US"/>
        </w:rPr>
      </w:pPr>
      <w:r>
        <w:rPr>
          <w:vertAlign w:val="superscript"/>
          <w:lang w:val="en-US"/>
        </w:rPr>
        <w:t>2</w:t>
      </w:r>
      <w:r w:rsidRPr="00310512">
        <w:rPr>
          <w:vertAlign w:val="superscript"/>
          <w:lang w:val="en-US"/>
        </w:rPr>
        <w:t xml:space="preserve"> </w:t>
      </w:r>
      <w:r w:rsidRPr="00706E49">
        <w:rPr>
          <w:lang w:val="en-US"/>
        </w:rPr>
        <w:t xml:space="preserve">Department of Psychology, </w:t>
      </w:r>
      <w:bookmarkStart w:id="13" w:name="OLE_LINK16"/>
      <w:bookmarkStart w:id="14" w:name="OLE_LINK17"/>
      <w:r w:rsidRPr="00706E49">
        <w:rPr>
          <w:lang w:val="en-US"/>
        </w:rPr>
        <w:t>University of Cambr</w:t>
      </w:r>
      <w:r>
        <w:rPr>
          <w:lang w:val="en-US"/>
        </w:rPr>
        <w:t>idge</w:t>
      </w:r>
      <w:bookmarkEnd w:id="13"/>
      <w:bookmarkEnd w:id="14"/>
      <w:r>
        <w:rPr>
          <w:lang w:val="en-US"/>
        </w:rPr>
        <w:t xml:space="preserve">, Cambridge, United Kingdom; </w:t>
      </w:r>
      <w:r w:rsidRPr="00310512">
        <w:rPr>
          <w:lang w:val="en-US"/>
        </w:rPr>
        <w:t>Medical Research Council, Cognition and Brain Sciences Unit, Cambridge, United Kingdom</w:t>
      </w:r>
      <w:r>
        <w:rPr>
          <w:lang w:val="en-US"/>
        </w:rPr>
        <w:t>.</w:t>
      </w:r>
      <w:r w:rsidRPr="00310512">
        <w:rPr>
          <w:lang w:val="en-US"/>
        </w:rPr>
        <w:t xml:space="preserve"> </w:t>
      </w:r>
    </w:p>
    <w:p w14:paraId="7C9F08F2" w14:textId="77777777" w:rsidR="00080979" w:rsidRPr="005C282F" w:rsidRDefault="00080979">
      <w:r>
        <w:rPr>
          <w:vertAlign w:val="superscript"/>
          <w:lang w:val="en-US"/>
        </w:rPr>
        <w:t>3</w:t>
      </w:r>
      <w:r w:rsidRPr="005C282F">
        <w:rPr>
          <w:vertAlign w:val="superscript"/>
          <w:lang w:val="en-US"/>
        </w:rPr>
        <w:t xml:space="preserve"> </w:t>
      </w:r>
      <w:r w:rsidRPr="005C282F">
        <w:t xml:space="preserve">School of Computing, </w:t>
      </w:r>
      <w:bookmarkStart w:id="15" w:name="OLE_LINK12"/>
      <w:bookmarkStart w:id="16" w:name="OLE_LINK13"/>
      <w:r w:rsidRPr="005C282F">
        <w:t>University of Kent</w:t>
      </w:r>
      <w:bookmarkEnd w:id="15"/>
      <w:bookmarkEnd w:id="16"/>
      <w:r w:rsidRPr="005C282F">
        <w:t xml:space="preserve">, Chatham Maritime, </w:t>
      </w:r>
      <w:r w:rsidRPr="00B7029B">
        <w:rPr>
          <w:lang w:val="en-US"/>
        </w:rPr>
        <w:t>United Kingdom.</w:t>
      </w:r>
      <w:r w:rsidRPr="005C282F">
        <w:t xml:space="preserve"> Department of Clinical Neurosciences, </w:t>
      </w:r>
      <w:bookmarkStart w:id="17" w:name="OLE_LINK9"/>
      <w:r w:rsidRPr="005C282F">
        <w:t>University of Cambridge</w:t>
      </w:r>
      <w:bookmarkEnd w:id="17"/>
      <w:r w:rsidRPr="00B7029B">
        <w:t>,</w:t>
      </w:r>
      <w:r w:rsidRPr="00B7029B">
        <w:rPr>
          <w:lang w:val="en-US"/>
        </w:rPr>
        <w:t xml:space="preserve"> United Kingdom.</w:t>
      </w:r>
    </w:p>
    <w:p w14:paraId="7C272A8A" w14:textId="77777777" w:rsidR="00080979" w:rsidRPr="005C282F" w:rsidRDefault="00080979">
      <w:pPr>
        <w:rPr>
          <w:b/>
          <w:lang w:val="en-US"/>
        </w:rPr>
      </w:pPr>
      <w:r>
        <w:rPr>
          <w:vertAlign w:val="superscript"/>
          <w:lang w:val="en-US"/>
        </w:rPr>
        <w:t>4</w:t>
      </w:r>
      <w:r w:rsidRPr="005C282F">
        <w:rPr>
          <w:vertAlign w:val="superscript"/>
          <w:lang w:val="en-US"/>
        </w:rPr>
        <w:t xml:space="preserve"> </w:t>
      </w:r>
      <w:r w:rsidRPr="009612BA">
        <w:t>Department of Psychological Sciences, Faculty of Psychology, Health and Society, University of Liverpool</w:t>
      </w:r>
      <w:r>
        <w:t>, Liverpool</w:t>
      </w:r>
      <w:r w:rsidRPr="00176653">
        <w:rPr>
          <w:lang w:val="en-US"/>
        </w:rPr>
        <w:t>, United Kin</w:t>
      </w:r>
      <w:r>
        <w:rPr>
          <w:lang w:val="en-US"/>
        </w:rPr>
        <w:t>gdom</w:t>
      </w:r>
      <w:r w:rsidRPr="009612BA">
        <w:t>.</w:t>
      </w:r>
      <w:r>
        <w:t xml:space="preserve"> C</w:t>
      </w:r>
      <w:proofErr w:type="spellStart"/>
      <w:r w:rsidRPr="005C282F">
        <w:rPr>
          <w:lang w:val="en-US"/>
        </w:rPr>
        <w:t>amPAIN</w:t>
      </w:r>
      <w:proofErr w:type="spellEnd"/>
      <w:r w:rsidRPr="005C282F">
        <w:rPr>
          <w:lang w:val="en-US"/>
        </w:rPr>
        <w:t xml:space="preserve"> group, Department of </w:t>
      </w:r>
      <w:proofErr w:type="spellStart"/>
      <w:r w:rsidRPr="005C282F">
        <w:rPr>
          <w:lang w:val="en-US"/>
        </w:rPr>
        <w:t>Anaesthesia</w:t>
      </w:r>
      <w:proofErr w:type="spellEnd"/>
      <w:r w:rsidRPr="005C282F">
        <w:rPr>
          <w:lang w:val="en-US"/>
        </w:rPr>
        <w:t>, University of Cambridge, Cambridge, United Kingdom.</w:t>
      </w:r>
    </w:p>
    <w:p w14:paraId="0BB7B0BA" w14:textId="77777777" w:rsidR="00211D7F" w:rsidRPr="000F004A" w:rsidRDefault="00211D7F">
      <w:pPr>
        <w:rPr>
          <w:b/>
          <w:lang w:val="en-US"/>
        </w:rPr>
      </w:pPr>
    </w:p>
    <w:p w14:paraId="21037FFA" w14:textId="77777777" w:rsidR="00C5440E" w:rsidRDefault="00211D7F">
      <w:pPr>
        <w:pStyle w:val="Heading1"/>
        <w:rPr>
          <w:lang w:val="en-US"/>
        </w:rPr>
      </w:pPr>
      <w:r w:rsidRPr="00211D7F">
        <w:rPr>
          <w:lang w:val="en-US"/>
        </w:rPr>
        <w:lastRenderedPageBreak/>
        <w:t>Corresponding author</w:t>
      </w:r>
      <w:r w:rsidR="00C5440E">
        <w:rPr>
          <w:lang w:val="en-US"/>
        </w:rPr>
        <w:t xml:space="preserve"> </w:t>
      </w:r>
    </w:p>
    <w:p w14:paraId="1E515A56" w14:textId="77777777" w:rsidR="00C5440E" w:rsidRDefault="00C5440E">
      <w:pPr>
        <w:rPr>
          <w:lang w:val="en-US"/>
        </w:rPr>
      </w:pPr>
      <w:r>
        <w:rPr>
          <w:lang w:val="en-US"/>
        </w:rPr>
        <w:t>Christopher Brown</w:t>
      </w:r>
    </w:p>
    <w:p w14:paraId="320357C8" w14:textId="77777777" w:rsidR="00C5440E" w:rsidRDefault="00C5440E">
      <w:pPr>
        <w:rPr>
          <w:lang w:val="en-US"/>
        </w:rPr>
      </w:pPr>
      <w:r w:rsidRPr="00C5440E">
        <w:rPr>
          <w:lang w:val="en-US"/>
        </w:rPr>
        <w:t>Email:</w:t>
      </w:r>
      <w:r>
        <w:rPr>
          <w:b/>
          <w:lang w:val="en-US"/>
        </w:rPr>
        <w:t xml:space="preserve"> </w:t>
      </w:r>
      <w:hyperlink r:id="rId8" w:history="1">
        <w:r w:rsidRPr="00370E01">
          <w:rPr>
            <w:rStyle w:val="Hyperlink"/>
            <w:lang w:val="en-US"/>
          </w:rPr>
          <w:t>cab79@liverpool.ac.uk</w:t>
        </w:r>
      </w:hyperlink>
    </w:p>
    <w:p w14:paraId="454B5285" w14:textId="77777777" w:rsidR="00C5440E" w:rsidRDefault="00C5440E">
      <w:pPr>
        <w:rPr>
          <w:lang w:val="en-US"/>
        </w:rPr>
      </w:pPr>
      <w:r>
        <w:rPr>
          <w:lang w:val="en-US"/>
        </w:rPr>
        <w:t>Telephone: 0</w:t>
      </w:r>
      <w:r w:rsidRPr="00C5440E">
        <w:rPr>
          <w:lang w:val="en-US"/>
        </w:rPr>
        <w:t>151 794 2174</w:t>
      </w:r>
    </w:p>
    <w:p w14:paraId="75A9A15D" w14:textId="77777777" w:rsidR="00C632BD" w:rsidRPr="00C5440E" w:rsidRDefault="00C632BD">
      <w:pPr>
        <w:rPr>
          <w:lang w:val="en-US"/>
        </w:rPr>
      </w:pPr>
    </w:p>
    <w:p w14:paraId="07A05FF4" w14:textId="77777777" w:rsidR="0003104E" w:rsidRDefault="0003104E">
      <w:pPr>
        <w:pStyle w:val="Heading1"/>
      </w:pPr>
      <w:r w:rsidRPr="0003104E">
        <w:t>Disclosures</w:t>
      </w:r>
    </w:p>
    <w:p w14:paraId="2E8DCE29" w14:textId="518BAF6C" w:rsidR="00C17F85" w:rsidRPr="001D134E" w:rsidRDefault="001D134E">
      <w:pPr>
        <w:rPr>
          <w:sz w:val="22"/>
          <w:szCs w:val="22"/>
        </w:rPr>
      </w:pPr>
      <w:r>
        <w:t>The research was supported by funding from Cambridge Arthritis Research Endeavour (CARE). The study was sponsored by Cambridge University Hospitals NHS Foundation Trust and supported by its Rheumatology department.</w:t>
      </w:r>
      <w:r w:rsidR="00C17F85">
        <w:t xml:space="preserve"> </w:t>
      </w:r>
      <w:bookmarkStart w:id="18" w:name="OLE_LINK3"/>
      <w:bookmarkStart w:id="19" w:name="OLE_LINK4"/>
      <w:bookmarkStart w:id="20" w:name="OLE_LINK10"/>
      <w:r w:rsidR="00C17F85">
        <w:t>The authors report no conflicts of interest.</w:t>
      </w:r>
      <w:bookmarkEnd w:id="18"/>
      <w:bookmarkEnd w:id="19"/>
      <w:bookmarkEnd w:id="20"/>
      <w:r>
        <w:t xml:space="preserve"> </w:t>
      </w:r>
    </w:p>
    <w:p w14:paraId="112ACF6B" w14:textId="77777777" w:rsidR="00C632BD" w:rsidRPr="00C17F85" w:rsidRDefault="00C632BD"/>
    <w:p w14:paraId="3263EB27" w14:textId="77777777" w:rsidR="00CA18EC" w:rsidRDefault="00CA18EC" w:rsidP="00C57F9C">
      <w:pPr>
        <w:rPr>
          <w:rFonts w:asciiTheme="majorHAnsi" w:eastAsiaTheme="majorEastAsia" w:hAnsiTheme="majorHAnsi" w:cstheme="majorBidi"/>
          <w:b/>
          <w:bCs/>
          <w:kern w:val="32"/>
          <w:sz w:val="28"/>
          <w:szCs w:val="32"/>
        </w:rPr>
      </w:pPr>
      <w:r>
        <w:br w:type="page"/>
      </w:r>
    </w:p>
    <w:p w14:paraId="3E41023F" w14:textId="77777777" w:rsidR="00A36A5B" w:rsidRPr="006D6E0C" w:rsidRDefault="00A36A5B">
      <w:pPr>
        <w:pStyle w:val="Heading1"/>
      </w:pPr>
      <w:r w:rsidRPr="006D6E0C">
        <w:lastRenderedPageBreak/>
        <w:t>Abstract</w:t>
      </w:r>
    </w:p>
    <w:p w14:paraId="29FC3D52" w14:textId="168E3791" w:rsidR="00C57F9C" w:rsidRDefault="00C57F9C" w:rsidP="00C57F9C">
      <w:bookmarkStart w:id="21" w:name="OLE_LINK20"/>
      <w:r>
        <w:t xml:space="preserve">Chronic pain in CRPS has been linked </w:t>
      </w:r>
      <w:r w:rsidRPr="00C871A6">
        <w:t xml:space="preserve">to tactile misperceptions and </w:t>
      </w:r>
      <w:r>
        <w:t>deficits</w:t>
      </w:r>
      <w:r w:rsidRPr="00C871A6">
        <w:t xml:space="preserve"> in </w:t>
      </w:r>
      <w:proofErr w:type="spellStart"/>
      <w:r w:rsidRPr="00C871A6">
        <w:t>somatotopic</w:t>
      </w:r>
      <w:proofErr w:type="spellEnd"/>
      <w:r w:rsidRPr="00C871A6">
        <w:t xml:space="preserve"> representation</w:t>
      </w:r>
      <w:r>
        <w:t xml:space="preserve"> of the affected limb</w:t>
      </w:r>
      <w:r w:rsidRPr="00C871A6">
        <w:t xml:space="preserve">. </w:t>
      </w:r>
      <w:r>
        <w:t>Here, we identify altered cognitive processing of tactile stimuli in CRPS patients that we propose marks heterogeneity in tactile decision-making</w:t>
      </w:r>
      <w:r w:rsidRPr="009765B1">
        <w:t xml:space="preserve"> </w:t>
      </w:r>
      <w:r>
        <w:t>mechanisms. In a case-control design, we compared middle and late-latency</w:t>
      </w:r>
      <w:r w:rsidRPr="00C871A6">
        <w:t xml:space="preserve"> somatosensory-evoked potential</w:t>
      </w:r>
      <w:r>
        <w:t>s</w:t>
      </w:r>
      <w:r w:rsidRPr="00C871A6">
        <w:t xml:space="preserve"> (SEP</w:t>
      </w:r>
      <w:r>
        <w:t>s) in response to</w:t>
      </w:r>
      <w:r w:rsidRPr="00C871A6">
        <w:t xml:space="preserve"> pseudo-randomised mechanical stimulation of </w:t>
      </w:r>
      <w:r>
        <w:t>the</w:t>
      </w:r>
      <w:r w:rsidRPr="00C871A6">
        <w:t xml:space="preserve"> digits o</w:t>
      </w:r>
      <w:r>
        <w:t>f</w:t>
      </w:r>
      <w:r w:rsidRPr="00C871A6">
        <w:t xml:space="preserve"> both hands </w:t>
      </w:r>
      <w:r>
        <w:t>(including CRPS-affected and non-affected</w:t>
      </w:r>
      <w:r w:rsidRPr="00C871A6">
        <w:t xml:space="preserve"> </w:t>
      </w:r>
      <w:r>
        <w:t xml:space="preserve">sides) </w:t>
      </w:r>
      <w:r w:rsidRPr="00C871A6">
        <w:t xml:space="preserve">between 13 CRPS patients and 13 matched healthy controls. </w:t>
      </w:r>
      <w:r>
        <w:t>During a task to discriminate the digit simulated, patients (compared to controls) had significantly lower accuracy and slowed response times</w:t>
      </w:r>
      <w:r w:rsidRPr="00B25E08">
        <w:t xml:space="preserve"> </w:t>
      </w:r>
      <w:r>
        <w:t xml:space="preserve">but with high between-subject variability. At middle latencies (124-132ms), tactile processing in patients relative to controls showed decrements in superior parietal lobe and </w:t>
      </w:r>
      <w:proofErr w:type="spellStart"/>
      <w:r>
        <w:t>precuneus</w:t>
      </w:r>
      <w:proofErr w:type="spellEnd"/>
      <w:r>
        <w:t xml:space="preserve"> (that were independent of task demands) but enhanced activity in superior frontal lobe (that were task-dependent). At late latencies, patients showed an augmented P300-like response under task demands that localised to supplementary motor area (</w:t>
      </w:r>
      <w:r w:rsidRPr="00C871A6">
        <w:t>SMA</w:t>
      </w:r>
      <w:r>
        <w:t>). Source activity in SMA correlated with slowed response times</w:t>
      </w:r>
      <w:r w:rsidR="00F55AD3">
        <w:t>, while its scalp representation</w:t>
      </w:r>
      <w:r>
        <w:t xml:space="preserve"> intriguingly</w:t>
      </w:r>
      <w:r w:rsidR="00F55AD3">
        <w:t xml:space="preserve"> correlated</w:t>
      </w:r>
      <w:r>
        <w:t xml:space="preserve"> with better functioning of the affected limb, suggesting a compensatory mechanism</w:t>
      </w:r>
      <w:r w:rsidRPr="00C871A6">
        <w:t xml:space="preserve">. </w:t>
      </w:r>
      <w:r>
        <w:t>Future research should investigate the clinical utility of these putative markers of tactile decision-making</w:t>
      </w:r>
      <w:r w:rsidRPr="009765B1">
        <w:t xml:space="preserve"> </w:t>
      </w:r>
      <w:r>
        <w:t>mechanisms in CRPS.</w:t>
      </w:r>
    </w:p>
    <w:bookmarkEnd w:id="21"/>
    <w:p w14:paraId="1EC7E4FC" w14:textId="77777777" w:rsidR="00C50EFB" w:rsidRDefault="00C50EFB"/>
    <w:p w14:paraId="75A868B1" w14:textId="77777777" w:rsidR="00CA18EC" w:rsidRDefault="00CA18EC" w:rsidP="00C57F9C">
      <w:pPr>
        <w:rPr>
          <w:rFonts w:asciiTheme="majorHAnsi" w:eastAsiaTheme="majorEastAsia" w:hAnsiTheme="majorHAnsi" w:cstheme="majorBidi"/>
          <w:b/>
          <w:bCs/>
          <w:kern w:val="32"/>
          <w:sz w:val="28"/>
          <w:szCs w:val="32"/>
        </w:rPr>
      </w:pPr>
      <w:r>
        <w:br w:type="page"/>
      </w:r>
    </w:p>
    <w:p w14:paraId="58C543A3" w14:textId="77777777" w:rsidR="003940FE" w:rsidRDefault="003940FE">
      <w:pPr>
        <w:pStyle w:val="Heading1"/>
      </w:pPr>
      <w:r>
        <w:lastRenderedPageBreak/>
        <w:t>Perspective</w:t>
      </w:r>
    </w:p>
    <w:p w14:paraId="22C0AF70" w14:textId="03FD9315" w:rsidR="00C17F85" w:rsidRDefault="00C17F85">
      <w:bookmarkStart w:id="22" w:name="OLE_LINK54"/>
      <w:bookmarkStart w:id="23" w:name="OLE_LINK59"/>
      <w:bookmarkStart w:id="24" w:name="OLE_LINK70"/>
      <w:r>
        <w:t xml:space="preserve">We present evidence </w:t>
      </w:r>
      <w:r w:rsidR="00C632BD">
        <w:t xml:space="preserve">of </w:t>
      </w:r>
      <w:r w:rsidR="00167F17">
        <w:t xml:space="preserve">altered </w:t>
      </w:r>
      <w:r w:rsidR="009801ED">
        <w:t xml:space="preserve">but highly variable </w:t>
      </w:r>
      <w:r w:rsidR="00C632BD">
        <w:t>cognitive processing (1</w:t>
      </w:r>
      <w:r w:rsidR="009801ED">
        <w:t>24 - 268</w:t>
      </w:r>
      <w:r w:rsidR="00C632BD">
        <w:t xml:space="preserve">ms latency) in response to mechanical tactile stimuli </w:t>
      </w:r>
      <w:r w:rsidR="009801ED">
        <w:t xml:space="preserve">in </w:t>
      </w:r>
      <w:r w:rsidR="00C632BD">
        <w:t xml:space="preserve">patients with CRPS compared to healthy controls. Such mid-to-late latency responses could potentially provide convenient and robust biomarkers of </w:t>
      </w:r>
      <w:r w:rsidR="009801ED">
        <w:t>abnormal perceptual decision-making mechanisms</w:t>
      </w:r>
      <w:r w:rsidR="00C632BD">
        <w:t xml:space="preserve"> in CRPS </w:t>
      </w:r>
      <w:r w:rsidR="009801ED">
        <w:t xml:space="preserve">to </w:t>
      </w:r>
      <w:r w:rsidR="00C632BD">
        <w:t xml:space="preserve">aid in clinical detection and treatment. </w:t>
      </w:r>
    </w:p>
    <w:bookmarkEnd w:id="22"/>
    <w:bookmarkEnd w:id="23"/>
    <w:bookmarkEnd w:id="24"/>
    <w:p w14:paraId="551732C1" w14:textId="77777777" w:rsidR="00C632BD" w:rsidRPr="00C17F85" w:rsidRDefault="00C632BD"/>
    <w:p w14:paraId="7602F27F" w14:textId="77777777" w:rsidR="002F1376" w:rsidRDefault="002F1376">
      <w:pPr>
        <w:pStyle w:val="Heading1"/>
      </w:pPr>
      <w:r>
        <w:t>Keywords</w:t>
      </w:r>
    </w:p>
    <w:p w14:paraId="6A1DF0EA" w14:textId="77777777" w:rsidR="002F1376" w:rsidRDefault="00C632BD">
      <w:bookmarkStart w:id="25" w:name="OLE_LINK21"/>
      <w:bookmarkStart w:id="26" w:name="OLE_LINK22"/>
      <w:r>
        <w:t>Chronic pain; CRPS; neuroplasticity; biomarkers; EEG; cognitive; tactile.</w:t>
      </w:r>
    </w:p>
    <w:bookmarkEnd w:id="25"/>
    <w:bookmarkEnd w:id="26"/>
    <w:p w14:paraId="19B027BD" w14:textId="77777777" w:rsidR="00C632BD" w:rsidRPr="002F1376" w:rsidRDefault="00C632BD"/>
    <w:p w14:paraId="15F13243" w14:textId="77777777" w:rsidR="00CA18EC" w:rsidRDefault="00CA18EC" w:rsidP="00134B03">
      <w:pPr>
        <w:rPr>
          <w:rFonts w:asciiTheme="majorHAnsi" w:eastAsiaTheme="majorEastAsia" w:hAnsiTheme="majorHAnsi" w:cstheme="majorBidi"/>
          <w:b/>
          <w:bCs/>
          <w:kern w:val="32"/>
          <w:sz w:val="28"/>
          <w:szCs w:val="32"/>
        </w:rPr>
      </w:pPr>
      <w:r>
        <w:br w:type="page"/>
      </w:r>
    </w:p>
    <w:p w14:paraId="6121FB72" w14:textId="77777777" w:rsidR="00A4171F" w:rsidRDefault="006D6E0C">
      <w:pPr>
        <w:pStyle w:val="Heading1"/>
      </w:pPr>
      <w:r>
        <w:lastRenderedPageBreak/>
        <w:t>Intro</w:t>
      </w:r>
      <w:r w:rsidR="0007071A">
        <w:t>duction</w:t>
      </w:r>
    </w:p>
    <w:p w14:paraId="6FB82CB6" w14:textId="37C36168" w:rsidR="00BE38E6" w:rsidRDefault="00D7365C">
      <w:r w:rsidRPr="00D502B8">
        <w:t>Complex Regional Pain Syndrome (CRPS) is a</w:t>
      </w:r>
      <w:r w:rsidR="00BE38E6">
        <w:t>n unexplained</w:t>
      </w:r>
      <w:r w:rsidRPr="00D502B8">
        <w:t xml:space="preserve"> chronic, debilitating pain condition that is characterized by disproportionate pain, swelling, vasomotor, </w:t>
      </w:r>
      <w:proofErr w:type="spellStart"/>
      <w:r w:rsidRPr="00D502B8">
        <w:t>sudomotor</w:t>
      </w:r>
      <w:proofErr w:type="spellEnd"/>
      <w:r w:rsidRPr="00D502B8">
        <w:t xml:space="preserve">, trophic and motor changes. </w:t>
      </w:r>
      <w:r w:rsidR="00FD7414">
        <w:t xml:space="preserve">The </w:t>
      </w:r>
      <w:r w:rsidR="00C60F2E">
        <w:t xml:space="preserve">clinical </w:t>
      </w:r>
      <w:r w:rsidR="00BD589A">
        <w:t>heterogeneity</w:t>
      </w:r>
      <w:r w:rsidR="00C60F2E">
        <w:t xml:space="preserve"> of the condition points to mechanisti</w:t>
      </w:r>
      <w:r w:rsidR="00ED42D4">
        <w:t xml:space="preserve">c heterogeneity </w:t>
      </w:r>
      <w:r w:rsidR="00ED42D4">
        <w:fldChar w:fldCharType="begin" w:fldLock="1"/>
      </w:r>
      <w:r w:rsidR="00ED42D4">
        <w:instrText>ADDIN CSL_CITATION { "citationItems" : [ { "id" : "ITEM-1", "itemData" : { "DOI" : "10.1016/S1474-4422(11)70106-5", "ISSN" : "1474-4465", "PMID" : "21683929", "abstract" : "A complex regional pain syndrome (CRPS)--multiple system dysfunction, severe and often chronic pain, and disability--can be triggered by a minor injury, a fact that has fascinated scientists and perplexed clinicians for decades. However, substantial advances across several medical disciplines have recently improved our understanding of CRPS. Compelling evidence implicates biological pathways that underlie aberrant inflammation, vasomotor dysfunction, and maladaptive neuroplasticity in the clinical features of CRPS. Collectively, the evidence points to CRPS being a multifactorial disorder that is associated with an aberrant host response to tissue injury. Variation in susceptibility to perturbed regulation of any of the underlying biological pathways probably accounts for the clinical heterogeneity of CRPS.", "author" : [ { "dropping-particle" : "", "family" : "Marinus", "given" : "Johan", "non-dropping-particle" : "", "parse-names" : false, "suffix" : "" }, { "dropping-particle" : "", "family" : "Moseley", "given" : "G Lorimer", "non-dropping-particle" : "", "parse-names" : false, "suffix" : "" }, { "dropping-particle" : "", "family" : "Birklein", "given" : "Frank", "non-dropping-particle" : "", "parse-names" : false, "suffix" : "" }, { "dropping-particle" : "", "family" : "Baron", "given" : "Ralf", "non-dropping-particle" : "", "parse-names" : false, "suffix" : "" }, { "dropping-particle" : "", "family" : "Maih\u00f6fner", "given" : "Christian", "non-dropping-particle" : "", "parse-names" : false, "suffix" : "" }, { "dropping-particle" : "", "family" : "Kingery", "given" : "Wade S", "non-dropping-particle" : "", "parse-names" : false, "suffix" : "" }, { "dropping-particle" : "", "family" : "Hilten", "given" : "Jacobus J", "non-dropping-particle" : "van", "parse-names" : false, "suffix" : "" } ], "container-title" : "Lancet Neurology", "id" : "ITEM-1", "issue" : "7", "issued" : { "date-parts" : [ [ "2011", "7" ] ] }, "page" : "637-48", "publisher" : "Elsevier Ltd", "title" : "Clinical features and pathophysiology of CRPS", "type" : "article-journal", "volume" : "10" }, "uris" : [ "http://www.mendeley.com/documents/?uuid=a559aa1b-c74b-4c41-a3ee-e39d4a4b8b41" ] } ], "mendeley" : { "formattedCitation" : "&lt;sup&gt;24&lt;/sup&gt;", "plainTextFormattedCitation" : "24" }, "properties" : { "noteIndex" : 0 }, "schema" : "https://github.com/citation-style-language/schema/raw/master/csl-citation.json" }</w:instrText>
      </w:r>
      <w:r w:rsidR="00ED42D4">
        <w:fldChar w:fldCharType="separate"/>
      </w:r>
      <w:r w:rsidR="00ED42D4" w:rsidRPr="00ED42D4">
        <w:rPr>
          <w:noProof/>
          <w:vertAlign w:val="superscript"/>
        </w:rPr>
        <w:t>24</w:t>
      </w:r>
      <w:r w:rsidR="00ED42D4">
        <w:fldChar w:fldCharType="end"/>
      </w:r>
      <w:r w:rsidR="00FD7414">
        <w:t xml:space="preserve"> </w:t>
      </w:r>
      <w:r w:rsidR="00C60F2E">
        <w:t>and</w:t>
      </w:r>
      <w:r w:rsidR="00FD7414">
        <w:t xml:space="preserve"> the</w:t>
      </w:r>
      <w:r w:rsidR="00AC2183">
        <w:t>re is a clear and unmet</w:t>
      </w:r>
      <w:r w:rsidR="00FD7414">
        <w:t xml:space="preserve"> need</w:t>
      </w:r>
      <w:r w:rsidR="00AC2183">
        <w:t xml:space="preserve"> to better characterise patients in terms of</w:t>
      </w:r>
      <w:r w:rsidR="00FD7414">
        <w:t xml:space="preserve"> </w:t>
      </w:r>
      <w:r w:rsidR="00C60F2E">
        <w:t>underlying</w:t>
      </w:r>
      <w:r w:rsidR="00561805">
        <w:t xml:space="preserve"> mechanisms </w:t>
      </w:r>
      <w:r w:rsidR="00AC2183">
        <w:t>to aid</w:t>
      </w:r>
      <w:r w:rsidR="00FD7414">
        <w:t xml:space="preserve"> early detection and targeted treatment</w:t>
      </w:r>
      <w:r w:rsidR="00561805">
        <w:t xml:space="preserve"> </w:t>
      </w:r>
      <w:r w:rsidR="00870696">
        <w:fldChar w:fldCharType="begin" w:fldLock="1"/>
      </w:r>
      <w:r w:rsidR="00ED42D4">
        <w:instrText>ADDIN CSL_CITATION { "citationItems" : [ { "id" : "ITEM-1", "itemData" : { "DOI" : "10.3389/fnhum.2016.00016", "ISSN" : "1662-5161", "abstract" : "Complex Regional Pain Syndrome (CRPS) is a chronic, debilitating pain condition that usually arises after trauma to a limb, but its precise etiology remains elusive. Novel clinical signs based on body perceptual disturbances have been reported, but their pathophysiological mechanisms remain poorly understood. Investigators have used functional neuroimaging techniques (including MEG, EEG, fMRI and PET) to study changes mainly within the somatosensory and motor cortices. Here we provide a focused review of the neuroimaging research findings that have generated insights into the potential neurocognitive and neuroplastic mechanisms underlying perceptual disturbances in CRPS. Neuroimaging findings, particularly with regard to somatosensory processing, have been promising but limited by a number of technique-specific factors (such as the complexity of neuroimaging investigations, poor spatial resolution of EEG/MEG, and use of modelling procedures that do not draw causal inferences) and more general factors including small samples sizes and poorly characterized patients. These factors have led to an underappreciation of the potential heterogeneity of pathophysiology that may underlie variable clinical presentation in CRPS. Also, until now, neurological deficits have been predominantly investigated separately from perceptual and cognitive disturbances. Here, we highlight the need to identify neurocognitive phenotypes of patients with CRPS that are underpinned by causal explanations for perceptual disturbances. We suggest that a combination of larger cohorts, patient phenotyping, the use of both high temporal and spatial resolution neuroimaging methods, and the identification of simplified biomarkers is likely to be the most fruitful approach to identifying neurocognitive phenotypes in CRPS. Based on our review, we explain how such phenotypes could be characterized in terms of hierarchical models of perception and corresponding disturbances in recurrent processing involving the somatosensory, salience and executive brain networks. We also draw attention to complementary neurological factors that may explain some CRPS symptoms, including the possibility of central neuroinflammation and neuronal atrophy, and how these phenomena may overlap but be partially separable from neurocognitive deficits.", "author" : [ { "dropping-particle" : "", "family" : "Kuttikat", "given" : "Anoop", "non-dropping-particle" : "", "parse-names" : false, "suffix" : "" }, { "dropping-particle" : "", "family" : "Noreika", "given" : "Valdas", "non-dropping-particle" : "", "parse-names" : false, "suffix" : "" }, { "dropping-particle" : "", "family" : "Shenker", "given" : "Nicholas", "non-dropping-particle" : "", "parse-names" : false, "suffix" : "" }, { "dropping-particle" : "", "family" : "Chennu", "given" : "Srivas", "non-dropping-particle" : "", "parse-names" : false, "suffix" : "" }, { "dropping-particle" : "", "family" : "Bekinschtein", "given" : "Tristan", "non-dropping-particle" : "", "parse-names" : false, "suffix" : "" }, { "dropping-particle" : "", "family" : "Brown", "given" : "Christopher Andrew", "non-dropping-particle" : "", "parse-names" : false, "suffix" : "" } ], "container-title" : "Frontiers in Human Neuroscience", "id" : "ITEM-1", "issued" : { "date-parts" : [ [ "2016", "1", "27" ] ] }, "page" : "16", "publisher" : "Frontiers", "title" : "Neurocognitive and Neuroplastic Mechanisms of Novel Clinical Signs in CRPS", "type" : "article-journal", "volume" : "10" }, "uris" : [ "http://www.mendeley.com/documents/?uuid=9c858d0b-8b55-3f06-883d-d2e31ddd1d5f" ] } ], "mendeley" : { "formattedCitation" : "&lt;sup&gt;20&lt;/sup&gt;", "plainTextFormattedCitation" : "20", "previouslyFormattedCitation" : "&lt;sup&gt;20&lt;/sup&gt;" }, "properties" : { "noteIndex" : 0 }, "schema" : "https://github.com/citation-style-language/schema/raw/master/csl-citation.json" }</w:instrText>
      </w:r>
      <w:r w:rsidR="00870696">
        <w:fldChar w:fldCharType="separate"/>
      </w:r>
      <w:r w:rsidR="00666857" w:rsidRPr="00666857">
        <w:rPr>
          <w:noProof/>
          <w:vertAlign w:val="superscript"/>
        </w:rPr>
        <w:t>20</w:t>
      </w:r>
      <w:r w:rsidR="00870696">
        <w:fldChar w:fldCharType="end"/>
      </w:r>
      <w:r w:rsidR="00BD589A">
        <w:t xml:space="preserve">. </w:t>
      </w:r>
      <w:r w:rsidR="00BE38E6">
        <w:t>O</w:t>
      </w:r>
      <w:r w:rsidR="00F00511">
        <w:t>bservation</w:t>
      </w:r>
      <w:r w:rsidR="00FD7414">
        <w:t>s</w:t>
      </w:r>
      <w:r w:rsidR="00F00511">
        <w:t xml:space="preserve"> </w:t>
      </w:r>
      <w:r w:rsidR="00301683">
        <w:t xml:space="preserve">of tactile misperceptions </w:t>
      </w:r>
      <w:r w:rsidR="00F00511">
        <w:t>in patients with CRPS</w:t>
      </w:r>
      <w:r w:rsidR="00BE38E6">
        <w:t xml:space="preserve"> have</w:t>
      </w:r>
      <w:r w:rsidR="00301683">
        <w:t xml:space="preserve"> </w:t>
      </w:r>
      <w:r w:rsidR="00FD7414">
        <w:t>prompt</w:t>
      </w:r>
      <w:r w:rsidR="00BE38E6">
        <w:t>ed</w:t>
      </w:r>
      <w:r w:rsidR="00301683">
        <w:t xml:space="preserve"> </w:t>
      </w:r>
      <w:r w:rsidR="00725E17">
        <w:t>investigation of</w:t>
      </w:r>
      <w:r w:rsidR="00301683">
        <w:t xml:space="preserve"> somatosensory neuroplasticity as </w:t>
      </w:r>
      <w:r w:rsidR="00FD7414">
        <w:t>a</w:t>
      </w:r>
      <w:r w:rsidR="00301683">
        <w:t xml:space="preserve"> </w:t>
      </w:r>
      <w:r w:rsidR="00FD7414">
        <w:t>putative mechanism in</w:t>
      </w:r>
      <w:r w:rsidR="00301683">
        <w:t xml:space="preserve"> CRPS pain</w:t>
      </w:r>
      <w:r w:rsidR="00C60F2E">
        <w:t xml:space="preserve"> </w:t>
      </w:r>
      <w:r w:rsidR="00725E17">
        <w:fldChar w:fldCharType="begin" w:fldLock="1"/>
      </w:r>
      <w:r w:rsidR="00ED42D4">
        <w:instrText>ADDIN CSL_CITATION { "citationItems" : [ { "id" : "ITEM-1", "itemData" : { "DOI" : "10.1016/j.jpain.2013.04.001", "ISSN" : "1528-8447", "PMID" : "23726046", "abstract" : "UNLABELLED: That complex regional pain syndrome (CRPS) is associated with functional reorganization in the primary somatosensory cortex (S1) is widely accepted and seldom questioned. Despite more than a decade of research, there has been no systematic review of the CRPS literature concerning the changes in S1 function, and therefore the extent of these changes is unclear. Here we conduct a systematic review and meta-analysis to quantify the spatial and temporal aspects of S1 function in CRPS. A comprehensive search strategy identified functional neuroimaging studies of S1 in CRPS. We adhered to a rigorous systematic review protocol when extracting data and appraising risk of bias. Outcomes were grouped into spatial representation; activation levels, including disinhibition; peak latency of activation; and glucose metabolism. Meta-analysis was conducted where possible. Fifteen studies were included, all investigating upper-extremity CRPS. In patients with CRPS, the S1 spatial representation of the affected hand is smaller than that of the unaffected hand and that of non-CRPS controls; however, this evidence comes from only a few studies. There is no difference in activation, disinhibition, or latency of peripherally evoked S1 responses in CRPS. The risk of bias was high across studies, mainly from unclear sampling methods and unblinded analysis of outcomes.\n\nPERSPECTIVE: The evidence for a difference in function of the primary somatosensory cortex in CRPS compared with controls is clouded by high risk of bias and conflicting results, but reduced representation size seems consistent.", "author" : [ { "dropping-particle" : "", "family" : "Pietro", "given" : "Flavia", "non-dropping-particle" : "Di", "parse-names" : false, "suffix" : "" }, { "dropping-particle" : "", "family" : "McAuley", "given" : "James H", "non-dropping-particle" : "", "parse-names" : false, "suffix" : "" }, { "dropping-particle" : "", "family" : "Parkitny", "given" : "Luke", "non-dropping-particle" : "", "parse-names" : false, "suffix" : "" }, { "dropping-particle" : "", "family" : "Lotze", "given" : "Martin", "non-dropping-particle" : "", "parse-names" : false, "suffix" : "" }, { "dropping-particle" : "", "family" : "Wand", "given" : "Benedict M", "non-dropping-particle" : "", "parse-names" : false, "suffix" : "" }, { "dropping-particle" : "", "family" : "Moseley", "given" : "G Lorimer", "non-dropping-particle" : "", "parse-names" : false, "suffix" : "" }, { "dropping-particle" : "", "family" : "Stanton", "given" : "Tasha R", "non-dropping-particle" : "", "parse-names" : false, "suffix" : "" } ], "container-title" : "The journal of pain : official journal of the American Pain Society", "id" : "ITEM-1", "issue" : "10", "issued" : { "date-parts" : [ [ "2013", "10" ] ] }, "page" : "1001-18", "title" : "Primary somatosensory cortex function in complex regional pain syndrome: a systematic review and meta-analysis.", "type" : "article-journal", "volume" : "14" }, "uris" : [ "http://www.mendeley.com/documents/?uuid=4b56e2e1-da87-4cc1-838d-e9cb3b309113" ] } ], "mendeley" : { "formattedCitation" : "&lt;sup&gt;28&lt;/sup&gt;", "plainTextFormattedCitation" : "28", "previouslyFormattedCitation" : "&lt;sup&gt;27&lt;/sup&gt;" }, "properties" : { "noteIndex" : 0 }, "schema" : "https://github.com/citation-style-language/schema/raw/master/csl-citation.json" }</w:instrText>
      </w:r>
      <w:r w:rsidR="00725E17">
        <w:fldChar w:fldCharType="separate"/>
      </w:r>
      <w:r w:rsidR="00ED42D4" w:rsidRPr="00ED42D4">
        <w:rPr>
          <w:noProof/>
          <w:vertAlign w:val="superscript"/>
        </w:rPr>
        <w:t>28</w:t>
      </w:r>
      <w:r w:rsidR="00725E17">
        <w:fldChar w:fldCharType="end"/>
      </w:r>
      <w:r w:rsidR="00F00511">
        <w:t xml:space="preserve">. </w:t>
      </w:r>
      <w:r w:rsidR="00AC2183">
        <w:t>However, in one such test</w:t>
      </w:r>
      <w:r w:rsidR="00AC2183" w:rsidRPr="00AC2183">
        <w:t xml:space="preserve"> </w:t>
      </w:r>
      <w:r w:rsidR="00AC2183">
        <w:t xml:space="preserve">requiring </w:t>
      </w:r>
      <w:r w:rsidR="004A20DB">
        <w:t xml:space="preserve">patients to </w:t>
      </w:r>
      <w:r w:rsidR="00AC2183">
        <w:t>identi</w:t>
      </w:r>
      <w:r w:rsidR="004A20DB">
        <w:t>fy the</w:t>
      </w:r>
      <w:r w:rsidR="00AC2183">
        <w:t xml:space="preserve"> digit touch</w:t>
      </w:r>
      <w:r w:rsidR="004A20DB">
        <w:t>ed</w:t>
      </w:r>
      <w:r w:rsidR="00AC2183">
        <w:t xml:space="preserve"> </w:t>
      </w:r>
      <w:r w:rsidR="004A20DB">
        <w:t>without</w:t>
      </w:r>
      <w:r w:rsidR="00AC2183">
        <w:t xml:space="preserve"> corresponding visual information</w:t>
      </w:r>
      <w:r w:rsidR="00F00511">
        <w:t>,</w:t>
      </w:r>
      <w:r w:rsidR="00B674C2">
        <w:t xml:space="preserve"> only</w:t>
      </w:r>
      <w:r w:rsidR="00301683">
        <w:t xml:space="preserve"> </w:t>
      </w:r>
      <w:r w:rsidR="00AC2183">
        <w:t xml:space="preserve">just less than </w:t>
      </w:r>
      <w:r w:rsidR="00301683">
        <w:t xml:space="preserve">half of CRPS patients perform poorly </w:t>
      </w:r>
      <w:r w:rsidR="00AC2183">
        <w:t xml:space="preserve">on the affected hand </w:t>
      </w:r>
      <w:r w:rsidR="00725E17">
        <w:fldChar w:fldCharType="begin" w:fldLock="1"/>
      </w:r>
      <w:r w:rsidR="00ED42D4">
        <w:instrText>ADDIN CSL_CITATION { "citationItems" : [ { "id" : "ITEM-1", "itemData" : { "DOI" : "10.1016/j.pain.2004.05.019", "ISSN" : "0304-3959", "PMID" : "15288417", "abstract" : "To investigate neglect, extinction, and body-perception in patients suffering from complex regional pain syndrome (CRPS). So-called 'neglect-like' symptoms have been reported in CRPS, however no studies have yet analyzed this phenomenon which might substantiate the theory of the central nervous system involvement in the pathophysiology of CRPS. A total of 114 patients with CRPS of the upper limb underwent bedside neurological examination. 'Neglect-like' symptoms were determined by asking all patients what kind of feeling they had toward the affected hand (feeling of foreignness). Hemispatial neglect was tested with the line bisection task in 29 patients and sensory extinction to simultaneous stimulation in 40 patients. The ability to identify fingers after tactile stimulation was tested in 73 patients. Independently of the affected side and disease duration, 54.4% of the patients reported that their hand felt 'foreign' or 'strange'. The ability to identify fingers was impaired in 48% on the affected hand and in 6.5% on the unaffected hand ( X(2) = 33.52, df = 1, p &lt; 0.0001). These findings were related to pain intensity, illness duration and the extent of sensory deficits. No typical abnormalities indicating neglect were found in the line bisection test. Sensory extinction was normal in all patients. A large proportion of CRPS patients have disturbances of the self-perception of the hand, indicating an alteration of higher central nervous system processing. There are no indicators that classic neglect or extinction contribute to these findings. Physical therapy of such patients should take this observation into consideration.", "author" : [ { "dropping-particle" : "", "family" : "F\u00f6rderreuther", "given" : "S", "non-dropping-particle" : "", "parse-names" : false, "suffix" : "" }, { "dropping-particle" : "", "family" : "Sailer", "given" : "U", "non-dropping-particle" : "", "parse-names" : false, "suffix" : "" }, { "dropping-particle" : "", "family" : "Straube", "given" : "A", "non-dropping-particle" : "", "parse-names" : false, "suffix" : "" } ], "container-title" : "Pain", "id" : "ITEM-1", "issue" : "3", "issued" : { "date-parts" : [ [ "2004", "8" ] ] }, "page" : "756-61", "title" : "Impaired self-perception of the hand in complex regional pain syndrome (CRPS).", "type" : "article-journal", "volume" : "110" }, "uris" : [ "http://www.mendeley.com/documents/?uuid=53c9af93-1fa1-4577-9571-016ac6f504e7" ] } ], "mendeley" : { "formattedCitation" : "&lt;sup&gt;12&lt;/sup&gt;", "plainTextFormattedCitation" : "12", "previouslyFormattedCitation" : "&lt;sup&gt;12&lt;/sup&gt;" }, "properties" : { "noteIndex" : 0 }, "schema" : "https://github.com/citation-style-language/schema/raw/master/csl-citation.json" }</w:instrText>
      </w:r>
      <w:r w:rsidR="00725E17">
        <w:fldChar w:fldCharType="separate"/>
      </w:r>
      <w:r w:rsidR="00666857" w:rsidRPr="00666857">
        <w:rPr>
          <w:noProof/>
          <w:vertAlign w:val="superscript"/>
        </w:rPr>
        <w:t>12</w:t>
      </w:r>
      <w:r w:rsidR="00725E17">
        <w:fldChar w:fldCharType="end"/>
      </w:r>
      <w:r w:rsidR="00301683" w:rsidRPr="00084B76">
        <w:t>.</w:t>
      </w:r>
      <w:r w:rsidR="00301683">
        <w:t xml:space="preserve"> </w:t>
      </w:r>
      <w:r w:rsidR="00AC2183">
        <w:t>Despite this</w:t>
      </w:r>
      <w:r w:rsidR="00175574">
        <w:t xml:space="preserve"> variable performance across patients</w:t>
      </w:r>
      <w:r w:rsidR="00AC2183">
        <w:t>, such</w:t>
      </w:r>
      <w:r w:rsidR="00DF6A0B">
        <w:t xml:space="preserve"> metrics</w:t>
      </w:r>
      <w:r w:rsidR="00175574">
        <w:t xml:space="preserve"> (which include lower accuracy in discrimination but also longer response times)</w:t>
      </w:r>
      <w:r w:rsidR="00DF6A0B">
        <w:t xml:space="preserve"> improve classification of CR</w:t>
      </w:r>
      <w:r w:rsidR="00BE38E6">
        <w:t>PS patients from patients with limb f</w:t>
      </w:r>
      <w:r w:rsidR="00DF6A0B">
        <w:t xml:space="preserve">racture, even if the patients suffer from lower-limb CRPS </w:t>
      </w:r>
      <w:r w:rsidR="00175574">
        <w:t xml:space="preserve">and are tested on their hands </w:t>
      </w:r>
      <w:r w:rsidR="00DF6A0B">
        <w:fldChar w:fldCharType="begin" w:fldLock="1"/>
      </w:r>
      <w:r w:rsidR="00ED42D4">
        <w:instrText>ADDIN CSL_CITATION { "citationItems" : [ { "id" : "ITEM-1", "itemData" : { "DOI" : "10.1097/AJP.0000000000000434", "ISSN" : "0749-8047", "PMID" : "27662180", "abstract" : "OBJECTIVES Delays in diagnosis occur with Complex Regional Pain Syndrome (CRPS). We define and prospectively demonstrate that novel bedside tests measuring body perception disruption can identify patients with CRPS post-fracture. METHODS The objectives of our study were to define and validate four bedside tests; to identify the prevalence of positive tests in patients with CRPS and other chronic pain conditions and to assess the clinical utility (Sensitivity; Specificity; Positive Predictive value; Negative Predictive Value) for identifying CRPS within a Fracture cohort. This was a single UK teaching hospital prospective cohort study with 313 recruits from healthy volunteers and patients with chronic pain conditions.Four novel tests were Finger Perception (FP), Hand Laterality identification (HL), Astereognosis (AS) and Body Scheme (BS) report. Five questionnaires (Brief Pain Inventory; Upper Extremity Functional Index; Lower Extremity Functional Index; Neglect-like Symptom Questionnaire; Hospital Anxiety and Depression Score) assessed the multidimensional pain experience. RESULTS FP &amp; BS were the best performing tests. Prospective monitoring of fracture patients showed that out of 7 fracture patients (total n=47) who had both finger misperception and abnormal body scheme report at initial testing, 3 developed persistent pain with 1 having a formal diagnosis of CRPS. DISCUSSION Novel signs are reliable, easy to perform and present in chronic pain patients. FP and BS have significant clinical utility in predicting persistent pain in a fracture group thereby allowing targeted early intervention.", "author" : [ { "dropping-particle" : "", "family" : "Kuttikat", "given" : "Anoop", "non-dropping-particle" : "", "parse-names" : false, "suffix" : "" }, { "dropping-particle" : "", "family" : "Shaikh", "given" : "Maliha", "non-dropping-particle" : "", "parse-names" : false, "suffix" : "" }, { "dropping-particle" : "", "family" : "Oomatia", "given" : "Amin", "non-dropping-particle" : "", "parse-names" : false, "suffix" : "" }, { "dropping-particle" : "", "family" : "Parker", "given" : "Richard", "non-dropping-particle" : "", "parse-names" : false, "suffix" : "" }, { "dropping-particle" : "", "family" : "Shenker", "given" : "Nicholas", "non-dropping-particle" : "", "parse-names" : false, "suffix" : "" } ], "container-title" : "The Clinical Journal of Pain", "id" : "ITEM-1", "issued" : { "date-parts" : [ [ "2016", "9", "21" ] ] }, "page" : "1", "title" : "Novel Signs and their Clinical Utility in Diagnosing Complex Regional Pain Syndrome (CRPS) \u2013 A Prospective Observational Cohort Study", "type" : "article-journal" }, "uris" : [ "http://www.mendeley.com/documents/?uuid=bda8e72f-c99a-3ecc-bb5b-9b8044e9bf2f" ] } ], "mendeley" : { "formattedCitation" : "&lt;sup&gt;21&lt;/sup&gt;", "plainTextFormattedCitation" : "21", "previouslyFormattedCitation" : "&lt;sup&gt;21&lt;/sup&gt;" }, "properties" : { "noteIndex" : 0 }, "schema" : "https://github.com/citation-style-language/schema/raw/master/csl-citation.json" }</w:instrText>
      </w:r>
      <w:r w:rsidR="00DF6A0B">
        <w:fldChar w:fldCharType="separate"/>
      </w:r>
      <w:r w:rsidR="00666857" w:rsidRPr="00666857">
        <w:rPr>
          <w:noProof/>
          <w:vertAlign w:val="superscript"/>
        </w:rPr>
        <w:t>21</w:t>
      </w:r>
      <w:r w:rsidR="00DF6A0B">
        <w:fldChar w:fldCharType="end"/>
      </w:r>
      <w:r w:rsidR="00AC2183">
        <w:t xml:space="preserve">. This lack of spatial specificity </w:t>
      </w:r>
      <w:r w:rsidR="00DF6A0B">
        <w:t>suggest</w:t>
      </w:r>
      <w:r w:rsidR="00AC2183">
        <w:t xml:space="preserve">s </w:t>
      </w:r>
      <w:r w:rsidR="00DF6A0B">
        <w:t>central mechanism</w:t>
      </w:r>
      <w:r w:rsidR="00AC2183">
        <w:t>s may</w:t>
      </w:r>
      <w:r w:rsidR="00DF6A0B">
        <w:t xml:space="preserve"> </w:t>
      </w:r>
      <w:r w:rsidR="00AC2183">
        <w:t>influence</w:t>
      </w:r>
      <w:r w:rsidR="00DF6A0B">
        <w:t xml:space="preserve"> performance decrements</w:t>
      </w:r>
      <w:r w:rsidR="0013387E">
        <w:t xml:space="preserve"> and supports further investigation of such mechanisms</w:t>
      </w:r>
      <w:r w:rsidR="00DF6A0B">
        <w:t xml:space="preserve">. </w:t>
      </w:r>
    </w:p>
    <w:p w14:paraId="07983C54" w14:textId="77777777" w:rsidR="00BE38E6" w:rsidRDefault="00BE38E6"/>
    <w:p w14:paraId="4EC0B200" w14:textId="7F326973" w:rsidR="00213D3C" w:rsidRDefault="004A20DB">
      <w:r>
        <w:t>Decrements in tactile</w:t>
      </w:r>
      <w:r w:rsidR="00301683">
        <w:t xml:space="preserve"> spatial discrimination </w:t>
      </w:r>
      <w:r w:rsidR="00DF6A0B">
        <w:t>in CRPS patients</w:t>
      </w:r>
      <w:r w:rsidR="00301683">
        <w:t xml:space="preserve"> </w:t>
      </w:r>
      <w:r w:rsidR="00A3490E">
        <w:fldChar w:fldCharType="begin" w:fldLock="1"/>
      </w:r>
      <w:r w:rsidR="00ED42D4">
        <w:instrText>ADDIN CSL_CITATION { "citationItems" : [ { "id" : "ITEM-1", "itemData" : { "DOI" : "10.1016/j.neuroimage.2006.03.045", "ISSN" : "1053-8119", "PMID" : "16753306", "abstract" : "In the complex regional pain syndrome (CRPS), several theories proposed the existence of pathophysiological mechanisms of central origin. Recent studies highlighted a smaller representation of the CRPS-affected hand on the primary somatosensory cortex (SI) during non-painful stimulation of the affected side. We addressed the question whether reorganizational changes can also be found in the secondary somatosensory cortex (SII). Moreover, we investigated whether cortical changes might be accompanied by perceptual changes within associated skin territories. Seventeen patients with CRPS of one upper limb without the presence of peripheral nerve injuries (type I) were subjected to functional magnetic resonance imaging (fMRI) during electrical stimulation of both index fingers (IFs) in order to assess hemodynamic signals of the IF representation in SI and SII. As a marker of tactile perception, we tested 2-point discrimination thresholds on the tip of both IFs. Cortical signals within SI and SII were significantly reduced contralateral to the CRPS-affected IF as compared to the ipsilateral side and to the representation of age- and sex-matched healthy controls. In parallel, discrimination thresholds of the CRPS-affected IF were significantly higher, giving rise to an impairment of tactile perception within the corresponding skin territory. Mean sustained, but not current pain levels were correlated with the amount of sensory impairment and the reduction in signal strength. We conclude that patterns of cortical reorganization in SI and SII seem to parallel impaired tactile discrimination. Furthermore, the amount of reorganization and tactile impairment appeared to be linked to characteristics of CRPS pain.", "author" : [ { "dropping-particle" : "", "family" : "Pleger", "given" : "Burkhard", "non-dropping-particle" : "", "parse-names" : false, "suffix" : "" }, { "dropping-particle" : "", "family" : "Ragert", "given" : "Patrick", "non-dropping-particle" : "", "parse-names" : false, "suffix" : "" }, { "dropping-particle" : "", "family" : "Schwenkreis", "given" : "Peter", "non-dropping-particle" : "", "parse-names" : false, "suffix" : "" }, { "dropping-particle" : "", "family" : "F\u00f6rster", "given" : "Ann-Freya", "non-dropping-particle" : "", "parse-names" : false, "suffix" : "" }, { "dropping-particle" : "", "family" : "Wilimzig", "given" : "Claudia", "non-dropping-particle" : "", "parse-names" : false, "suffix" : "" }, { "dropping-particle" : "", "family" : "Dinse", "given" : "Hubert", "non-dropping-particle" : "", "parse-names" : false, "suffix" : "" }, { "dropping-particle" : "", "family" : "Nicolas", "given" : "Volkmar", "non-dropping-particle" : "", "parse-names" : false, "suffix" : "" }, { "dropping-particle" : "", "family" : "Maier", "given" : "Christoph", "non-dropping-particle" : "", "parse-names" : false, "suffix" : "" }, { "dropping-particle" : "", "family" : "Tegenthoff", "given" : "Martin", "non-dropping-particle" : "", "parse-names" : false, "suffix" : "" } ], "container-title" : "NeuroImage", "id" : "ITEM-1", "issue" : "2", "issued" : { "date-parts" : [ [ "2006", "8", "15" ] ] }, "page" : "503-10", "title" : "Patterns of cortical reorganization parallel impaired tactile discrimination and pain intensity in complex regional pain syndrome.", "type" : "article-journal", "volume" : "32" }, "uris" : [ "http://www.mendeley.com/documents/?uuid=727cd7b8-163d-4b2a-9f88-93b9f9dc1879" ] } ], "mendeley" : { "formattedCitation" : "&lt;sup&gt;30&lt;/sup&gt;", "plainTextFormattedCitation" : "30", "previouslyFormattedCitation" : "&lt;sup&gt;29&lt;/sup&gt;" }, "properties" : { "noteIndex" : 0 }, "schema" : "https://github.com/citation-style-language/schema/raw/master/csl-citation.json" }</w:instrText>
      </w:r>
      <w:r w:rsidR="00A3490E">
        <w:fldChar w:fldCharType="separate"/>
      </w:r>
      <w:r w:rsidR="00ED42D4" w:rsidRPr="00ED42D4">
        <w:rPr>
          <w:noProof/>
          <w:vertAlign w:val="superscript"/>
        </w:rPr>
        <w:t>30</w:t>
      </w:r>
      <w:r w:rsidR="00A3490E">
        <w:fldChar w:fldCharType="end"/>
      </w:r>
      <w:r w:rsidR="00BE38E6">
        <w:t xml:space="preserve"> </w:t>
      </w:r>
      <w:r w:rsidR="009F0F1B">
        <w:t xml:space="preserve">have been </w:t>
      </w:r>
      <w:r w:rsidR="00CF7D1C">
        <w:t xml:space="preserve">associated with </w:t>
      </w:r>
      <w:r w:rsidR="009F0F1B">
        <w:t>neuroplasticity involving shrinkage of the somatosensory cortical homunculus</w:t>
      </w:r>
      <w:r w:rsidR="00DF6A0B">
        <w:t xml:space="preserve"> </w:t>
      </w:r>
      <w:r w:rsidR="00DF6A0B">
        <w:fldChar w:fldCharType="begin" w:fldLock="1"/>
      </w:r>
      <w:r w:rsidR="00ED42D4">
        <w:instrText>ADDIN CSL_CITATION { "citationItems" : [ { "id" : "ITEM-1", "itemData" : { "DOI" : "10.1016/j.neuroimage.2006.03.045", "ISSN" : "1053-8119", "PMID" : "16753306", "abstract" : "In the complex regional pain syndrome (CRPS), several theories proposed the existence of pathophysiological mechanisms of central origin. Recent studies highlighted a smaller representation of the CRPS-affected hand on the primary somatosensory cortex (SI) during non-painful stimulation of the affected side. We addressed the question whether reorganizational changes can also be found in the secondary somatosensory cortex (SII). Moreover, we investigated whether cortical changes might be accompanied by perceptual changes within associated skin territories. Seventeen patients with CRPS of one upper limb without the presence of peripheral nerve injuries (type I) were subjected to functional magnetic resonance imaging (fMRI) during electrical stimulation of both index fingers (IFs) in order to assess hemodynamic signals of the IF representation in SI and SII. As a marker of tactile perception, we tested 2-point discrimination thresholds on the tip of both IFs. Cortical signals within SI and SII were significantly reduced contralateral to the CRPS-affected IF as compared to the ipsilateral side and to the representation of age- and sex-matched healthy controls. In parallel, discrimination thresholds of the CRPS-affected IF were significantly higher, giving rise to an impairment of tactile perception within the corresponding skin territory. Mean sustained, but not current pain levels were correlated with the amount of sensory impairment and the reduction in signal strength. We conclude that patterns of cortical reorganization in SI and SII seem to parallel impaired tactile discrimination. Furthermore, the amount of reorganization and tactile impairment appeared to be linked to characteristics of CRPS pain.", "author" : [ { "dropping-particle" : "", "family" : "Pleger", "given" : "Burkhard", "non-dropping-particle" : "", "parse-names" : false, "suffix" : "" }, { "dropping-particle" : "", "family" : "Ragert", "given" : "Patrick", "non-dropping-particle" : "", "parse-names" : false, "suffix" : "" }, { "dropping-particle" : "", "family" : "Schwenkreis", "given" : "Peter", "non-dropping-particle" : "", "parse-names" : false, "suffix" : "" }, { "dropping-particle" : "", "family" : "F\u00f6rster", "given" : "Ann-Freya", "non-dropping-particle" : "", "parse-names" : false, "suffix" : "" }, { "dropping-particle" : "", "family" : "Wilimzig", "given" : "Claudia", "non-dropping-particle" : "", "parse-names" : false, "suffix" : "" }, { "dropping-particle" : "", "family" : "Dinse", "given" : "Hubert", "non-dropping-particle" : "", "parse-names" : false, "suffix" : "" }, { "dropping-particle" : "", "family" : "Nicolas", "given" : "Volkmar", "non-dropping-particle" : "", "parse-names" : false, "suffix" : "" }, { "dropping-particle" : "", "family" : "Maier", "given" : "Christoph", "non-dropping-particle" : "", "parse-names" : false, "suffix" : "" }, { "dropping-particle" : "", "family" : "Tegenthoff", "given" : "Martin", "non-dropping-particle" : "", "parse-names" : false, "suffix" : "" } ], "container-title" : "NeuroImage", "id" : "ITEM-1", "issue" : "2", "issued" : { "date-parts" : [ [ "2006", "8", "15" ] ] }, "page" : "503-10", "title" : "Patterns of cortical reorganization parallel impaired tactile discrimination and pain intensity in complex regional pain syndrome.", "type" : "article-journal", "volume" : "32" }, "uris" : [ "http://www.mendeley.com/documents/?uuid=727cd7b8-163d-4b2a-9f88-93b9f9dc1879" ] } ], "mendeley" : { "formattedCitation" : "&lt;sup&gt;30&lt;/sup&gt;", "plainTextFormattedCitation" : "30", "previouslyFormattedCitation" : "&lt;sup&gt;29&lt;/sup&gt;" }, "properties" : { "noteIndex" : 0 }, "schema" : "https://github.com/citation-style-language/schema/raw/master/csl-citation.json" }</w:instrText>
      </w:r>
      <w:r w:rsidR="00DF6A0B">
        <w:fldChar w:fldCharType="separate"/>
      </w:r>
      <w:r w:rsidR="00ED42D4" w:rsidRPr="00ED42D4">
        <w:rPr>
          <w:noProof/>
          <w:vertAlign w:val="superscript"/>
        </w:rPr>
        <w:t>30</w:t>
      </w:r>
      <w:r w:rsidR="00DF6A0B">
        <w:fldChar w:fldCharType="end"/>
      </w:r>
      <w:r w:rsidR="00D54855">
        <w:t xml:space="preserve">. </w:t>
      </w:r>
      <w:r w:rsidR="009F0F1B">
        <w:t>I</w:t>
      </w:r>
      <w:r w:rsidR="00301683">
        <w:t>nvestigations</w:t>
      </w:r>
      <w:r w:rsidR="009F0F1B">
        <w:t xml:space="preserve"> of th</w:t>
      </w:r>
      <w:r w:rsidR="00B674C2">
        <w:t>i</w:t>
      </w:r>
      <w:r w:rsidR="009F0F1B">
        <w:t>s phenomen</w:t>
      </w:r>
      <w:r w:rsidR="00B674C2">
        <w:t>on</w:t>
      </w:r>
      <w:r w:rsidR="00A3490E">
        <w:t xml:space="preserve"> have used</w:t>
      </w:r>
      <w:r w:rsidR="009F0F1B">
        <w:t xml:space="preserve"> the high temporal resolution of</w:t>
      </w:r>
      <w:r w:rsidR="00A3490E">
        <w:t xml:space="preserve"> MEG and EEG</w:t>
      </w:r>
      <w:r w:rsidR="005C092A">
        <w:t>,</w:t>
      </w:r>
      <w:r w:rsidR="00A3490E">
        <w:t xml:space="preserve"> </w:t>
      </w:r>
      <w:r w:rsidR="00301683">
        <w:t>f</w:t>
      </w:r>
      <w:r w:rsidR="00FD7414">
        <w:t>ocuss</w:t>
      </w:r>
      <w:r w:rsidR="005C092A">
        <w:t>ing</w:t>
      </w:r>
      <w:r w:rsidR="00FD7414">
        <w:t xml:space="preserve"> on early latency </w:t>
      </w:r>
      <w:r w:rsidR="001C2DB5">
        <w:t>(</w:t>
      </w:r>
      <w:r w:rsidR="00FD7414">
        <w:t>&lt;10</w:t>
      </w:r>
      <w:r w:rsidR="00301683">
        <w:t xml:space="preserve">0ms) </w:t>
      </w:r>
      <w:r w:rsidR="00A3490E">
        <w:t>cortical tactile responses</w:t>
      </w:r>
      <w:r w:rsidR="00ED50AC">
        <w:t xml:space="preserve"> arising from </w:t>
      </w:r>
      <w:proofErr w:type="spellStart"/>
      <w:r w:rsidR="00ED50AC">
        <w:t>somatotopic</w:t>
      </w:r>
      <w:proofErr w:type="spellEnd"/>
      <w:r w:rsidR="00ED50AC">
        <w:t xml:space="preserve"> cortical representations.</w:t>
      </w:r>
      <w:r w:rsidR="00855289">
        <w:t xml:space="preserve"> However, recent fMRI studies have failed to replicate findings of </w:t>
      </w:r>
      <w:proofErr w:type="spellStart"/>
      <w:r w:rsidR="00855289">
        <w:t>somatotopic</w:t>
      </w:r>
      <w:proofErr w:type="spellEnd"/>
      <w:r w:rsidR="00855289">
        <w:t xml:space="preserve"> changes in CRPS</w:t>
      </w:r>
      <w:r w:rsidR="00B674C2">
        <w:t xml:space="preserve"> </w:t>
      </w:r>
      <w:r w:rsidR="00B674C2">
        <w:fldChar w:fldCharType="begin" w:fldLock="1"/>
      </w:r>
      <w:r w:rsidR="00ED42D4">
        <w:instrText>ADDIN CSL_CITATION { "citationItems" : [ { "id" : "ITEM-1", "itemData" : { "DOI" : "10.1002/ejp.882", "ISSN" : "10903801", "author" : [ { "dropping-particle" : "", "family" : "Velzen", "given" : "G.A.J.", "non-dropping-particle" : "van", "parse-names" : false, "suffix" : "" }, { "dropping-particle" : "", "family" : "Rombouts", "given" : "S.A.R.B.", "non-dropping-particle" : "", "parse-names" : false, "suffix" : "" }, { "dropping-particle" : "", "family" : "Buchem", "given" : "M.A.", "non-dropping-particle" : "van", "parse-names" : false, "suffix" : "" }, { "dropping-particle" : "", "family" : "Marinus", "given" : "J.", "non-dropping-particle" : "", "parse-names" : false, "suffix" : "" }, { "dropping-particle" : "", "family" : "Hilten", "given" : "J.J.", "non-dropping-particle" : "van", "parse-names" : false, "suffix" : "" } ], "container-title" : "European Journal of Pain", "id" : "ITEM-1", "issue" : "10", "issued" : { "date-parts" : [ [ "2016", "11", "1" ] ] }, "page" : "1622-1633", "title" : "Is the brain of complex regional pain syndrome patients truly different?", "type" : "article-journal", "volume" : "20" }, "uris" : [ "http://www.mendeley.com/documents/?uuid=e5783e49-83d7-35de-811b-b318277eab00" ] }, { "id" : "ITEM-2", "itemData" : { "DOI" : "10.1002/hbm.22643", "ISSN" : "1097-0193", "PMID" : "25256887", "abstract" : "It is widely accepted that complex regional pain syndrome (CRPS) is associated with shrinkage of the primary somatosensory cortex (S1) representation of the affected limb. However, supporting evidence is surprisingly limited and may be compromised by high risk of bias. This study compared the S1 spatial representation of the hand in 17 patients with upper-limb CRPS to 16 healthy controls, using functional MRI. Innocuous vibration was delivered to digits one (D1) and five (D5) in a block-design. Resultant activation maxima were located within a bilateral S1 mask, determined a priori. Distance between D1 and D5 activation maxima, calculated for both hands, was used as a measure of S1 representation. Analyses were blinded to group and hand. In patients, S1 representation was smaller for the affected hand than it was for the healthy hand (t(11)\u2009=\u20092.02, P\u2009=\u20090.03), as predicted. However, S1 representation of the affected hand was no different to that of either hand in controls. Critically, S1 representation of the healthy hand of patients was larger than that of controls' hands. CRPS seems to be associated with an enlarged representation of the healthy hand, not a smaller representation of the affected hand. These findings raise important questions about neuroplasticity in CRPS. Hum Brain Mapp 36:508-518, 2015. \u00a9 2014 Wiley Periodicals, Inc.", "author" : [ { "dropping-particle" : "", "family" : "Pietro", "given" : "Flavia", "non-dropping-particle" : "Di", "parse-names" : false, "suffix" : "" }, { "dropping-particle" : "", "family" : "Stanton", "given" : "Tasha R", "non-dropping-particle" : "", "parse-names" : false, "suffix" : "" }, { "dropping-particle" : "", "family" : "Moseley", "given" : "G Lorimer", "non-dropping-particle" : "", "parse-names" : false, "suffix" : "" }, { "dropping-particle" : "", "family" : "Lotze", "given" : "Martin", "non-dropping-particle" : "", "parse-names" : false, "suffix" : "" }, { "dropping-particle" : "", "family" : "McAuley", "given" : "James H", "non-dropping-particle" : "", "parse-names" : false, "suffix" : "" } ], "container-title" : "Human brain mapping", "id" : "ITEM-2", "issue" : "2", "issued" : { "date-parts" : [ [ "2015", "2" ] ] }, "page" : "508-18", "title" : "Interhemispheric somatosensory differences in chronic pain reflect abnormality of the Healthy side.", "type" : "article-journal", "volume" : "36" }, "uris" : [ "http://www.mendeley.com/documents/?uuid=3c88b2ca-8678-436b-abae-097afb667304" ] } ], "mendeley" : { "formattedCitation" : "&lt;sup&gt;29,43&lt;/sup&gt;", "plainTextFormattedCitation" : "29,43", "previouslyFormattedCitation" : "&lt;sup&gt;28,42&lt;/sup&gt;" }, "properties" : { "noteIndex" : 0 }, "schema" : "https://github.com/citation-style-language/schema/raw/master/csl-citation.json" }</w:instrText>
      </w:r>
      <w:r w:rsidR="00B674C2">
        <w:fldChar w:fldCharType="separate"/>
      </w:r>
      <w:r w:rsidR="00ED42D4" w:rsidRPr="00ED42D4">
        <w:rPr>
          <w:noProof/>
          <w:vertAlign w:val="superscript"/>
        </w:rPr>
        <w:t>29,43</w:t>
      </w:r>
      <w:r w:rsidR="00B674C2">
        <w:fldChar w:fldCharType="end"/>
      </w:r>
      <w:r w:rsidR="00855289">
        <w:t>.</w:t>
      </w:r>
      <w:r w:rsidR="00CF7D1C">
        <w:t xml:space="preserve"> </w:t>
      </w:r>
      <w:r w:rsidR="00855289">
        <w:t>Furthermore</w:t>
      </w:r>
      <w:r w:rsidR="009178EC">
        <w:t xml:space="preserve">, there is a lack of research investigating </w:t>
      </w:r>
      <w:r w:rsidR="00CF7D1C">
        <w:lastRenderedPageBreak/>
        <w:t xml:space="preserve">later </w:t>
      </w:r>
      <w:r w:rsidR="009178EC">
        <w:t>“</w:t>
      </w:r>
      <w:r w:rsidR="00CF7D1C">
        <w:t>cognitive</w:t>
      </w:r>
      <w:r w:rsidR="009178EC">
        <w:t>”</w:t>
      </w:r>
      <w:r w:rsidR="00CF7D1C">
        <w:t xml:space="preserve"> stages </w:t>
      </w:r>
      <w:r w:rsidR="009178EC">
        <w:t>of tactile processing</w:t>
      </w:r>
      <w:r w:rsidR="00855289">
        <w:t xml:space="preserve"> that provide alternative </w:t>
      </w:r>
      <w:r w:rsidR="00A04C5D">
        <w:t xml:space="preserve">central </w:t>
      </w:r>
      <w:r w:rsidR="00855289">
        <w:t>mechanism</w:t>
      </w:r>
      <w:r w:rsidR="00A04C5D">
        <w:t>s for perceptual disturbance</w:t>
      </w:r>
      <w:r w:rsidR="007B331B">
        <w:t>.</w:t>
      </w:r>
      <w:r w:rsidR="009178EC">
        <w:t xml:space="preserve"> </w:t>
      </w:r>
    </w:p>
    <w:p w14:paraId="3F47AF52" w14:textId="77777777" w:rsidR="00213D3C" w:rsidRDefault="00213D3C"/>
    <w:p w14:paraId="3C02C128" w14:textId="24D7C872" w:rsidR="0096549D" w:rsidRPr="00A83D52" w:rsidRDefault="00A42556">
      <w:pPr>
        <w:rPr>
          <w:shd w:val="clear" w:color="auto" w:fill="FFFFFF"/>
        </w:rPr>
      </w:pPr>
      <w:r>
        <w:t>We hypothesised</w:t>
      </w:r>
      <w:r w:rsidR="0096549D">
        <w:rPr>
          <w:color w:val="000000"/>
          <w:shd w:val="clear" w:color="auto" w:fill="FFFFFF"/>
        </w:rPr>
        <w:t xml:space="preserve"> that deficits in tactile discrimination in patients with CPRS c</w:t>
      </w:r>
      <w:r w:rsidR="00175574">
        <w:rPr>
          <w:color w:val="000000"/>
          <w:shd w:val="clear" w:color="auto" w:fill="FFFFFF"/>
        </w:rPr>
        <w:t>ould</w:t>
      </w:r>
      <w:r w:rsidR="0096549D">
        <w:rPr>
          <w:color w:val="000000"/>
          <w:shd w:val="clear" w:color="auto" w:fill="FFFFFF"/>
        </w:rPr>
        <w:t xml:space="preserve"> be </w:t>
      </w:r>
      <w:r w:rsidR="00175574">
        <w:rPr>
          <w:color w:val="000000"/>
          <w:shd w:val="clear" w:color="auto" w:fill="FFFFFF"/>
        </w:rPr>
        <w:t>related to</w:t>
      </w:r>
      <w:r w:rsidR="0096549D">
        <w:rPr>
          <w:color w:val="000000"/>
          <w:shd w:val="clear" w:color="auto" w:fill="FFFFFF"/>
        </w:rPr>
        <w:t xml:space="preserve"> aberrant </w:t>
      </w:r>
      <w:r w:rsidR="009A2AFB">
        <w:rPr>
          <w:color w:val="000000"/>
          <w:shd w:val="clear" w:color="auto" w:fill="FFFFFF"/>
        </w:rPr>
        <w:t>perceptual decision-making mechanisms</w:t>
      </w:r>
      <w:r w:rsidR="0096549D">
        <w:rPr>
          <w:color w:val="000000"/>
          <w:shd w:val="clear" w:color="auto" w:fill="FFFFFF"/>
        </w:rPr>
        <w:t xml:space="preserve"> at late latencies</w:t>
      </w:r>
      <w:r w:rsidR="00A04C5D">
        <w:rPr>
          <w:color w:val="000000"/>
          <w:shd w:val="clear" w:color="auto" w:fill="FFFFFF"/>
        </w:rPr>
        <w:t>. I</w:t>
      </w:r>
      <w:r w:rsidR="00D8730E">
        <w:rPr>
          <w:color w:val="000000"/>
          <w:shd w:val="clear" w:color="auto" w:fill="FFFFFF"/>
        </w:rPr>
        <w:t xml:space="preserve">n particular, we posit a role for mechanisms that are related to context-updating, namely </w:t>
      </w:r>
      <w:r w:rsidR="00D8730E" w:rsidRPr="00A83D52">
        <w:rPr>
          <w:shd w:val="clear" w:color="auto" w:fill="FFFFFF"/>
        </w:rPr>
        <w:t>the</w:t>
      </w:r>
      <w:r w:rsidR="00D8730E" w:rsidRPr="00A83D52">
        <w:t xml:space="preserve"> updating of a cognitive representation (mental model) of the environment</w:t>
      </w:r>
      <w:r w:rsidR="00D8730E" w:rsidRPr="00A83D52">
        <w:rPr>
          <w:shd w:val="clear" w:color="auto" w:fill="FFFFFF"/>
        </w:rPr>
        <w:t>. A</w:t>
      </w:r>
      <w:r w:rsidR="00A04C5D" w:rsidRPr="00A83D52">
        <w:t>ccording to</w:t>
      </w:r>
      <w:r w:rsidR="00D8730E" w:rsidRPr="00A83D52">
        <w:t xml:space="preserve"> computational models of decision-making, notably those positing perceptual decision-making as a form of Bayesian inference, context representations are </w:t>
      </w:r>
      <w:r w:rsidR="00D205EF" w:rsidRPr="00A83D52">
        <w:t>critical for efficient</w:t>
      </w:r>
      <w:r w:rsidR="00D8730E" w:rsidRPr="00A83D52">
        <w:t xml:space="preserve"> perceptual decision-making by providing top-down constraints on (noisy or ambiguous) lower-level sensory representations</w:t>
      </w:r>
      <w:r w:rsidR="00A04C5D" w:rsidRPr="00A83D52">
        <w:t xml:space="preserve"> </w:t>
      </w:r>
      <w:r w:rsidR="00A04C5D" w:rsidRPr="00A83D52">
        <w:fldChar w:fldCharType="begin" w:fldLock="1"/>
      </w:r>
      <w:r w:rsidR="00ED42D4">
        <w:instrText>ADDIN CSL_CITATION { "citationItems" : [ { "id" : "ITEM-1", "itemData" : { "DOI" : "10.1038/nrn3950", "ISSN" : "1471-0048", "PMID" : "26016744", "abstract" : "Intuition suggests that perception follows sensation and therefore bodily feelings originate in the body. However, recent evidence goes against this logic: interoceptive experience may largely reflect limbic predictions about the expected state of the body that are constrained by ascending visceral sensations. In this Opinion article, we introduce the Embodied Predictive Interoception Coding model, which integrates an anatomical model of corticocortical connections with Bayesian active inference principles, to propose that agranular visceromotor cortices contribute to interoception by issuing interoceptive predictions. We then discuss how disruptions in interoceptive predictions could function as a common vulnerability for mental and physical illness.", "author" : [ { "dropping-particle" : "", "family" : "Barrett", "given" : "Lisa Feldman", "non-dropping-particle" : "", "parse-names" : false, "suffix" : "" }, { "dropping-particle" : "", "family" : "Simmons", "given" : "W Kyle", "non-dropping-particle" : "", "parse-names" : false, "suffix" : "" } ], "container-title" : "Nature reviews. Neuroscience", "id" : "ITEM-1", "issue" : "7", "issued" : { "date-parts" : [ [ "2015", "7" ] ] }, "page" : "419-29", "title" : "Interoceptive predictions in the brain.", "type" : "article-journal", "volume" : "16" }, "uris" : [ "http://www.mendeley.com/documents/?uuid=951d5f55-b62f-35c2-bf63-d17fd587bd10" ] } ], "mendeley" : { "formattedCitation" : "&lt;sup&gt;1&lt;/sup&gt;", "plainTextFormattedCitation" : "1", "previouslyFormattedCitation" : "&lt;sup&gt;1&lt;/sup&gt;" }, "properties" : { "noteIndex" : 0 }, "schema" : "https://github.com/citation-style-language/schema/raw/master/csl-citation.json" }</w:instrText>
      </w:r>
      <w:r w:rsidR="00A04C5D" w:rsidRPr="00A83D52">
        <w:fldChar w:fldCharType="separate"/>
      </w:r>
      <w:r w:rsidR="00666857" w:rsidRPr="00666857">
        <w:rPr>
          <w:noProof/>
          <w:vertAlign w:val="superscript"/>
        </w:rPr>
        <w:t>1</w:t>
      </w:r>
      <w:r w:rsidR="00A04C5D" w:rsidRPr="00A83D52">
        <w:fldChar w:fldCharType="end"/>
      </w:r>
      <w:r w:rsidR="0096549D" w:rsidRPr="00A83D52">
        <w:rPr>
          <w:shd w:val="clear" w:color="auto" w:fill="FFFFFF"/>
        </w:rPr>
        <w:t xml:space="preserve">. </w:t>
      </w:r>
    </w:p>
    <w:p w14:paraId="647BBA3B" w14:textId="77777777" w:rsidR="0096549D" w:rsidRPr="00A83D52" w:rsidRDefault="0096549D">
      <w:pPr>
        <w:rPr>
          <w:shd w:val="clear" w:color="auto" w:fill="FFFFFF"/>
        </w:rPr>
      </w:pPr>
    </w:p>
    <w:p w14:paraId="2AA03412" w14:textId="4F53C3E4" w:rsidR="00737331" w:rsidRDefault="00D8730E">
      <w:r w:rsidRPr="00A83D52">
        <w:t xml:space="preserve">A prominent theory </w:t>
      </w:r>
      <w:r w:rsidRPr="00A83D52">
        <w:fldChar w:fldCharType="begin" w:fldLock="1"/>
      </w:r>
      <w:r w:rsidR="00ED42D4">
        <w:instrText>ADDIN CSL_CITATION { "citationItems" : [ { "id" : "ITEM-1", "itemData" : { "abstract" : "The empirical and theoretical development of the P300 event-related brain potential (ERP) is reviewed by considering factors that contribute to its amplitude, latency, and general characteristics. The neuropsychological origins of the P3a and P3b subcomponents are detailed, and how target/ standard discrimination difficulty modulates scalp topography is discussed. The neural loci of P3a and P3b generation are outlined, and a cognitive model is proffered: P3a originates from stimulusdriven frontal attention mechanisms during task processing, whereas P3b originates from temporalparietal activity associated with attention and appears related to subsequent memory processing. Neurotransmitter actions associating P3a to frontal/dopaminergic and P3b to parietal/norepinephrine pathways are highlighted. Neuroinhibition is suggested as an overarching theoretical mechanism for P300, which is elicited when stimulus detection engages memory operations", "author" : [ { "dropping-particle" : "", "family" : "Polich", "given" : "John", "non-dropping-particle" : "", "parse-names" : false, "suffix" : "" } ], "container-title" : "Clinical Neurophysiology", "id" : "ITEM-1", "issue" : "10", "issued" : { "date-parts" : [ [ "2009" ] ] }, "page" : "2128-2148", "title" : "Updating P300: An Integrative Theory of P3a and P3b", "type" : "article-journal", "volume" : "118" }, "uris" : [ "http://www.mendeley.com/documents/?uuid=1b1b6bdc-23cb-4ef3-865f-4afb97a8a52e" ] } ], "mendeley" : { "formattedCitation" : "&lt;sup&gt;31&lt;/sup&gt;", "plainTextFormattedCitation" : "31", "previouslyFormattedCitation" : "&lt;sup&gt;30&lt;/sup&gt;" }, "properties" : { "noteIndex" : 0 }, "schema" : "https://github.com/citation-style-language/schema/raw/master/csl-citation.json" }</w:instrText>
      </w:r>
      <w:r w:rsidRPr="00A83D52">
        <w:fldChar w:fldCharType="separate"/>
      </w:r>
      <w:r w:rsidR="00ED42D4" w:rsidRPr="00ED42D4">
        <w:rPr>
          <w:noProof/>
          <w:vertAlign w:val="superscript"/>
        </w:rPr>
        <w:t>31</w:t>
      </w:r>
      <w:r w:rsidRPr="00A83D52">
        <w:fldChar w:fldCharType="end"/>
      </w:r>
      <w:r w:rsidRPr="00A83D52">
        <w:t xml:space="preserve"> links context-updating to the P300, </w:t>
      </w:r>
      <w:r w:rsidR="009178EC" w:rsidRPr="00A83D52">
        <w:rPr>
          <w:shd w:val="clear" w:color="auto" w:fill="FFFFFF"/>
        </w:rPr>
        <w:t xml:space="preserve">a </w:t>
      </w:r>
      <w:r w:rsidR="009178EC">
        <w:rPr>
          <w:color w:val="000000"/>
          <w:shd w:val="clear" w:color="auto" w:fill="FFFFFF"/>
        </w:rPr>
        <w:t xml:space="preserve">robust late-latency component occurring ~200–400 </w:t>
      </w:r>
      <w:proofErr w:type="spellStart"/>
      <w:r w:rsidR="009178EC">
        <w:rPr>
          <w:color w:val="000000"/>
          <w:shd w:val="clear" w:color="auto" w:fill="FFFFFF"/>
        </w:rPr>
        <w:t>ms</w:t>
      </w:r>
      <w:proofErr w:type="spellEnd"/>
      <w:r w:rsidR="009178EC">
        <w:rPr>
          <w:color w:val="000000"/>
          <w:shd w:val="clear" w:color="auto" w:fill="FFFFFF"/>
        </w:rPr>
        <w:t xml:space="preserve"> post-stimulus</w:t>
      </w:r>
      <w:r w:rsidR="009178EC" w:rsidRPr="00637A6D">
        <w:rPr>
          <w:color w:val="000000"/>
          <w:shd w:val="clear" w:color="auto" w:fill="FFFFFF"/>
        </w:rPr>
        <w:t>.</w:t>
      </w:r>
      <w:r w:rsidR="009178EC">
        <w:rPr>
          <w:color w:val="000000"/>
          <w:shd w:val="clear" w:color="auto" w:fill="FFFFFF"/>
        </w:rPr>
        <w:t xml:space="preserve"> </w:t>
      </w:r>
      <w:r w:rsidR="00DA07FD">
        <w:t>EEG research in other clinical contexts has found that P300 marks cognitive dysfunction</w:t>
      </w:r>
      <w:r w:rsidR="00DA07FD" w:rsidRPr="00CE5016">
        <w:t xml:space="preserve"> </w:t>
      </w:r>
      <w:r w:rsidR="00DA07FD" w:rsidRPr="00637A6D">
        <w:t>in chronic headache</w:t>
      </w:r>
      <w:r w:rsidR="00DA07FD">
        <w:t xml:space="preserve"> </w:t>
      </w:r>
      <w:r w:rsidR="00DA07FD">
        <w:fldChar w:fldCharType="begin" w:fldLock="1"/>
      </w:r>
      <w:r w:rsidR="00213D3C">
        <w:instrText>ADDIN CSL_CITATION { "citationItems" : [ { "id" : "ITEM-1", "itemData" : { "abstract" : "To examine the cognitive processing differences in chronic and episodic pain sufferers, auditory event-related potentials (P300 or P3) were recorded in two consecutive trials from 23 chronic lower back pain patients, 22 episodic tension-type headache sufferers, and from 23 age-and sex-matched healthy persons. P3 latency and amplitude showed no difference between groups at first trial. Considering P3 latency habituation, healthy controls and episodic tension-type headache sufferers showed a significant change of P3 latency whereas lower back pain sufferers failed. Comparing the amount of habituation lower back pain sufferers stood clearly apart from healthy controls. Although there was a remarkable increase of P3 latency in episodic tension-type headache sufferers, the amount of habituation was not statistically different than it was in lower back pain sufferers. Significant P3 amplitude habituation was observed only in healthy controls. Actually, episodic tension-type headache sufferers also showed some degree of habituation, which was not statistically remarkable. The amount of amplitude habituation was not different between groups. No correlation was observed between P3 habituation and age, disease duration and symptom severity. These results may point to a disturbed attentional processing in chronic pain sufferers. Our findings suggest that in spite of a similar cortical information processing, the neurocognitive networks related with decision making and memory processing seem to work differently in chronic pain sufferers from those in episodic pain sufferers in repeating tasks. Taking into consideration the reported P3 habituation abnormalities in chronic migraine patients we can say that not the location of pain but rather its temporal pattern may have a role in disturbed attentional processing", "author" : [ { "dropping-particle" : "", "family" : "DeMirci", "given" : "Serpil", "non-dropping-particle" : "", "parse-names" : false, "suffix" : "" }, { "dropping-particle" : "", "family" : "Savas", "given" : "Serpil", "non-dropping-particle" : "", "parse-names" : false, "suffix" : "" } ], "container-title" : "European journal of pain", "id" : "ITEM-1", "issue" : "3", "issued" : { "date-parts" : [ [ "2002" ] ] }, "page" : "239-244", "title" : "The auditory event related potentials in episodic and chronic pain sufferers", "type" : "article-journal", "volume" : "6" }, "uris" : [ "http://www.mendeley.com/documents/?uuid=73a81d9d-0dd6-40c9-a6c6-c86b0ceda08b" ] } ], "mendeley" : { "formattedCitation" : "&lt;sup&gt;10&lt;/sup&gt;", "plainTextFormattedCitation" : "10", "previouslyFormattedCitation" : "&lt;sup&gt;10&lt;/sup&gt;" }, "properties" : { "noteIndex" : 0 }, "schema" : "https://github.com/citation-style-language/schema/raw/master/csl-citation.json" }</w:instrText>
      </w:r>
      <w:r w:rsidR="00DA07FD">
        <w:fldChar w:fldCharType="separate"/>
      </w:r>
      <w:r w:rsidR="00B674C2" w:rsidRPr="00B674C2">
        <w:rPr>
          <w:noProof/>
          <w:vertAlign w:val="superscript"/>
        </w:rPr>
        <w:t>10</w:t>
      </w:r>
      <w:r w:rsidR="00DA07FD">
        <w:fldChar w:fldCharType="end"/>
      </w:r>
      <w:r w:rsidR="00DA07FD" w:rsidRPr="00637A6D">
        <w:t>, chronic lower back pain</w:t>
      </w:r>
      <w:r w:rsidR="00DA07FD">
        <w:t xml:space="preserve"> </w:t>
      </w:r>
      <w:r w:rsidR="00DA07FD">
        <w:fldChar w:fldCharType="begin" w:fldLock="1"/>
      </w:r>
      <w:r w:rsidR="00ED42D4">
        <w:instrText>ADDIN CSL_CITATION { "citationItems" : [ { "id" : "ITEM-1", "itemData" : { "author" : [ { "dropping-particle" : "", "family" : "Tandon", "given" : "O P", "non-dropping-particle" : "", "parse-names" : false, "suffix" : "" }, { "dropping-particle" : "", "family" : "Kumar", "given" : "A", "non-dropping-particle" : "", "parse-names" : false, "suffix" : "" }, { "dropping-particle" : "", "family" : "Dhar", "given" : "D", "non-dropping-particle" : "", "parse-names" : false, "suffix" : "" }, { "dropping-particle" : "", "family" : "Battacharya", "given" : "A", "non-dropping-particle" : "", "parse-names" : false, "suffix" : "" } ], "container-title" : "Anaesthesia", "id" : "ITEM-1", "issued" : { "date-parts" : [ [ "1997" ] ] }, "page" : "1173-6", "title" : "Event-related evoked potential responses ( P 300 ) following epidural methylprednisolone therapy in chronic low back pain patients", "type" : "article-journal", "volume" : "52" }, "uris" : [ "http://www.mendeley.com/documents/?uuid=34f4b4e2-e81c-47ba-b828-90c3d8fd351b" ] } ], "mendeley" : { "formattedCitation" : "&lt;sup&gt;38&lt;/sup&gt;", "plainTextFormattedCitation" : "38", "previouslyFormattedCitation" : "&lt;sup&gt;37&lt;/sup&gt;" }, "properties" : { "noteIndex" : 0 }, "schema" : "https://github.com/citation-style-language/schema/raw/master/csl-citation.json" }</w:instrText>
      </w:r>
      <w:r w:rsidR="00DA07FD">
        <w:fldChar w:fldCharType="separate"/>
      </w:r>
      <w:r w:rsidR="00ED42D4" w:rsidRPr="00ED42D4">
        <w:rPr>
          <w:noProof/>
          <w:vertAlign w:val="superscript"/>
        </w:rPr>
        <w:t>38</w:t>
      </w:r>
      <w:r w:rsidR="00DA07FD">
        <w:fldChar w:fldCharType="end"/>
      </w:r>
      <w:r w:rsidR="00DA07FD" w:rsidRPr="00637A6D">
        <w:t xml:space="preserve">, phantom </w:t>
      </w:r>
      <w:r w:rsidR="00DA07FD">
        <w:t xml:space="preserve">limb pain </w:t>
      </w:r>
      <w:r w:rsidR="00DA07FD">
        <w:fldChar w:fldCharType="begin" w:fldLock="1"/>
      </w:r>
      <w:r w:rsidR="00ED42D4">
        <w:instrText>ADDIN CSL_CITATION { "citationItems" : [ { "id" : "ITEM-1", "itemData" : { "ISBN" : "4935146336002", "ISSN" : "0304-3959", "abstract" : "The aim of the study was to investigate to what extent cortical hyper-reactivity to visual stimuli is present in upper limb amputees. Five amputees with phantom limb pain (PLP), five amputees without PLP (Non-PLP) and 10 healthy controls (HC) were investigated using a visual oddball paradigm. Two hundred visual stimuli were presented with target stimuli occurring at a probability of 25% and standard stimuli at a probability of 75%. Event-related potentials were recorded from nine scalp positions (F3, F4, Fz, C3, C4, Cz, P3, P4, Pz). The PLP-patients had significantly higher P300-amplitudes to both types of stimuli compared to the non-PLP-patients. The HC were not significantly different from both amputee groups. P300-amplitude to targets at frontal sites in the hemisphere contralateral to the amputation was higher in the PLP patients. P300-latencies to target stimuli differed only at frontal sites with PLP-patients showing significantly longer latencies than non-PLP-patients. To standard stimuli, however, they showed significantly shorter latencies at central and parietal scalp positions. The HC had significantly shorter latencies than both amputee groups. The size of the P300-amplitude was positively correlated with the intensity of PLP. These findings suggest a higher magnitude of non-specific cortical excitability in amputees with PLP and a reduced excitability in amputees without PLP. This extends previous findings of differences in cortical excitability in PLP and non-PLP patients in the sensorimotor domain.", "author" : [ { "dropping-particle" : "", "family" : "Karl", "given" : "Anke", "non-dropping-particle" : "", "parse-names" : false, "suffix" : "" }, { "dropping-particle" : "", "family" : "Diers", "given" : "Martin", "non-dropping-particle" : "", "parse-names" : false, "suffix" : "" }, { "dropping-particle" : "", "family" : "Flor", "given" : "Herta", "non-dropping-particle" : "", "parse-names" : false, "suffix" : "" } ], "container-title" : "Pain", "id" : "ITEM-1", "issue" : "1-2", "issued" : { "date-parts" : [ [ "2004", "7" ] ] }, "page" : "40-8", "title" : "P300-amplitudes in upper limb amputees with and without phantom limb pain in a visual oddball paradigm.", "type" : "article-journal", "volume" : "110" }, "uris" : [ "http://www.mendeley.com/documents/?uuid=d8e1e2be-10fb-44c1-ae45-b2b721bdc5fd" ] } ], "mendeley" : { "formattedCitation" : "&lt;sup&gt;18&lt;/sup&gt;", "plainTextFormattedCitation" : "18", "previouslyFormattedCitation" : "&lt;sup&gt;18&lt;/sup&gt;" }, "properties" : { "noteIndex" : 0 }, "schema" : "https://github.com/citation-style-language/schema/raw/master/csl-citation.json" }</w:instrText>
      </w:r>
      <w:r w:rsidR="00DA07FD">
        <w:fldChar w:fldCharType="separate"/>
      </w:r>
      <w:r w:rsidR="00666857" w:rsidRPr="00666857">
        <w:rPr>
          <w:noProof/>
          <w:vertAlign w:val="superscript"/>
        </w:rPr>
        <w:t>18</w:t>
      </w:r>
      <w:r w:rsidR="00DA07FD">
        <w:fldChar w:fldCharType="end"/>
      </w:r>
      <w:r w:rsidR="00DA07FD">
        <w:t>,</w:t>
      </w:r>
      <w:r w:rsidR="00DA07FD" w:rsidRPr="00637A6D">
        <w:t xml:space="preserve"> schizophrenia</w:t>
      </w:r>
      <w:r w:rsidR="00DA07FD">
        <w:t xml:space="preserve"> </w:t>
      </w:r>
      <w:r w:rsidR="00DA07FD">
        <w:fldChar w:fldCharType="begin" w:fldLock="1"/>
      </w:r>
      <w:r w:rsidR="00ED42D4">
        <w:instrText>ADDIN CSL_CITATION { "citationItems" : [ { "id" : "ITEM-1", "itemData" : { "DOI" : "10.1093/schbul/sbl060", "ISSN" : "0586-7614", "PMID" : "17135482", "abstract" : "In an effort to reveal susceptibility genes, schizophrenia research has turned to the endophenotype strategy. Endophenotypes are characteristics that reflect the actions of genes predisposing an individual to a disorder, even in the absence of diagnosable pathology. Individual endophenotypes are presumably determined by fewer genes than the more complex phenotype of schizophrenia and would, therefore, reduce the complexity of genetic analyses. Unfortunately, despite there being rational criteria to define a viable endophenotype, the term is sometimes applied indiscriminately to characteristics that are deviant in affected individuals. Schizophrenia patients exhibit deficits in several neurophysiological measures of information processing that have been proposed as candidate endophenotypes. Successful processing of sensory inputs requires the ability to inhibit intrinsic responses to redundant stimuli and, reciprocally, to facilitate responses to less frequent salient stimuli. There is evidence to suggest that both these processes are \"impaired\" in schizophrenia. Measures of inhibitory failure include prepulse inhibition of the startle reflex, P50 auditory evoked potential suppression, and antisaccade eye movements. Measures of impaired deviance detection include mismatch negativity and the P300 event-related potential. The purpose of this review is to systematically evaluate the endophenotype candidacy of these key neurophysiological abilities. For each candidate, we describe typical experimental procedures, the current understanding of the underlying neurobiology, the nature of the abnormality in schizophrenia, the reliability, stability and heritability of the measure, and any reported gene associations. We conclude with a discussion of the few studies thus far that have employed a multivariate approach with these candidates.", "author" : [ { "dropping-particle" : "", "family" : "Turetsky", "given" : "B. I.", "non-dropping-particle" : "", "parse-names" : false, "suffix" : "" }, { "dropping-particle" : "", "family" : "Calkins", "given" : "M. E.", "non-dropping-particle" : "", "parse-names" : false, "suffix" : "" }, { "dropping-particle" : "", "family" : "Light", "given" : "G. A.", "non-dropping-particle" : "", "parse-names" : false, "suffix" : "" }, { "dropping-particle" : "", "family" : "Olincy", "given" : "A.", "non-dropping-particle" : "", "parse-names" : false, "suffix" : "" }, { "dropping-particle" : "", "family" : "Radant", "given" : "A. D.", "non-dropping-particle" : "", "parse-names" : false, "suffix" : "" }, { "dropping-particle" : "", "family" : "Swerdlow", "given" : "N. R.", "non-dropping-particle" : "", "parse-names" : false, "suffix" : "" } ], "container-title" : "Schizophrenia Bulletin", "id" : "ITEM-1", "issue" : "1", "issued" : { "date-parts" : [ [ "2006", "12", "7" ] ] }, "page" : "69-94", "title" : "Neurophysiological Endophenotypes of Schizophrenia: The Viability of Selected Candidate Measures", "type" : "article-journal", "volume" : "33" }, "uris" : [ "http://www.mendeley.com/documents/?uuid=61ace303-e7fc-384b-b64a-35313fd0ad63" ] } ], "mendeley" : { "formattedCitation" : "&lt;sup&gt;41&lt;/sup&gt;", "plainTextFormattedCitation" : "41", "previouslyFormattedCitation" : "&lt;sup&gt;40&lt;/sup&gt;" }, "properties" : { "noteIndex" : 0 }, "schema" : "https://github.com/citation-style-language/schema/raw/master/csl-citation.json" }</w:instrText>
      </w:r>
      <w:r w:rsidR="00DA07FD">
        <w:fldChar w:fldCharType="separate"/>
      </w:r>
      <w:r w:rsidR="00ED42D4" w:rsidRPr="00ED42D4">
        <w:rPr>
          <w:noProof/>
          <w:vertAlign w:val="superscript"/>
        </w:rPr>
        <w:t>41</w:t>
      </w:r>
      <w:r w:rsidR="00DA07FD">
        <w:fldChar w:fldCharType="end"/>
      </w:r>
      <w:r w:rsidR="00DA07FD">
        <w:t xml:space="preserve">, disorders of consciousness </w:t>
      </w:r>
      <w:r w:rsidR="00DA07FD">
        <w:fldChar w:fldCharType="begin" w:fldLock="1"/>
      </w:r>
      <w:r w:rsidR="00ED42D4">
        <w:instrText>ADDIN CSL_CITATION { "citationItems" : [ { "id" : "ITEM-1", "itemData" : { "DOI" : "10.1016/j.nicl.2013.10.008", "ISSN" : "22131582", "author" : [ { "dropping-particle" : "", "family" : "Chennu", "given" : "Srivas", "non-dropping-particle" : "", "parse-names" : false, "suffix" : "" }, { "dropping-particle" : "", "family" : "Finoia", "given" : "Paola", "non-dropping-particle" : "", "parse-names" : false, "suffix" : "" }, { "dropping-particle" : "", "family" : "Kamau", "given" : "Evelyn", "non-dropping-particle" : "", "parse-names" : false, "suffix" : "" }, { "dropping-particle" : "", "family" : "Monti", "given" : "Martin M.", "non-dropping-particle" : "", "parse-names" : false, "suffix" : "" }, { "dropping-particle" : "", "family" : "Allanson", "given" : "Judith", "non-dropping-particle" : "", "parse-names" : false, "suffix" : "" }, { "dropping-particle" : "", "family" : "Pickard", "given" : "John D.", "non-dropping-particle" : "", "parse-names" : false, "suffix" : "" }, { "dropping-particle" : "", "family" : "Owen", "given" : "Adrian M.", "non-dropping-particle" : "", "parse-names" : false, "suffix" : "" }, { "dropping-particle" : "", "family" : "Bekinschtein", "given" : "Tristan A.", "non-dropping-particle" : "", "parse-names" : false, "suffix" : "" } ], "container-title" : "NeuroImage: Clinical", "id" : "ITEM-1", "issued" : { "date-parts" : [ [ "2013" ] ] }, "page" : "450-461", "title" : "Dissociable endogenous and exogenous attention in disorders of consciousness", "type" : "article-journal", "volume" : "3" }, "uris" : [ "http://www.mendeley.com/documents/?uuid=5e966b8a-de39-39d0-a796-4c59d69736b2" ] } ], "mendeley" : { "formattedCitation" : "&lt;sup&gt;5&lt;/sup&gt;", "plainTextFormattedCitation" : "5", "previouslyFormattedCitation" : "&lt;sup&gt;5&lt;/sup&gt;" }, "properties" : { "noteIndex" : 0 }, "schema" : "https://github.com/citation-style-language/schema/raw/master/csl-citation.json" }</w:instrText>
      </w:r>
      <w:r w:rsidR="00DA07FD">
        <w:fldChar w:fldCharType="separate"/>
      </w:r>
      <w:r w:rsidR="00666857" w:rsidRPr="00666857">
        <w:rPr>
          <w:noProof/>
          <w:vertAlign w:val="superscript"/>
        </w:rPr>
        <w:t>5</w:t>
      </w:r>
      <w:r w:rsidR="00DA07FD">
        <w:fldChar w:fldCharType="end"/>
      </w:r>
      <w:r w:rsidR="00DA07FD">
        <w:t xml:space="preserve"> and dementia </w:t>
      </w:r>
      <w:r w:rsidR="00DA07FD">
        <w:fldChar w:fldCharType="begin" w:fldLock="1"/>
      </w:r>
      <w:r w:rsidR="00ED42D4">
        <w:instrText>ADDIN CSL_CITATION { "citationItems" : [ { "id" : "ITEM-1", "itemData" : { "ISSN" : "1664-2295", "abstract" : "Only a small proportion of individuals with Mild Cognitive Impairment (MCI) will convert to dementia. Methods currently available to identify risk for conversion do not combine enough sensitivity and specificity, which is even more problematic in low-educated populations. Current guidelines suggest the use of combined markers for dementia to enhance the prediction accuracy of assessment methods. The present study adhered to this proposal and investigated the sensitivity and specificity of the electrophysiological component P300 and standard neuropsychological tests to assess patients with Alzheimer's disease (AD) and MCI recruited from a low-income country. The neuropsychological battery comprised tests of memory, attention, language, praxis, and executive functions. The P300 was recorded using a classical visual odd-ball paradigm. Three variables were found to achieve sensitivity and specificity values above 80% (Immediate and Delayed recall of word list - CERAD - and the latency of P300) for both MCI and AD. When they entered the model together (i.e., combined approach) the sensitivity for MCI increased to 96% and the specificity remained high (80%). Our preliminary findings suggest that the combined use of sensitive neuropsychological tasks and the analysis of the P300 may offer a very useful method for the preclinical assessment of AD, particularly in populations with low socioeconomic and educational levels. Our results provide a platform and justification to employ more resources to convert P300 and related parameters into a biological marker for AD.", "author" : [ { "dropping-particle" : "", "family" : "Parra", "given" : "Mario a", "non-dropping-particle" : "", "parse-names" : false, "suffix" : "" }, { "dropping-particle" : "", "family" : "Ascencio", "given" : "Lindsay Lorena", "non-dropping-particle" : "", "parse-names" : false, "suffix" : "" }, { "dropping-particle" : "", "family" : "Urquina", "given" : "Hugo Fenando", "non-dropping-particle" : "", "parse-names" : false, "suffix" : "" }, { "dropping-particle" : "", "family" : "Manes", "given" : "Facundo", "non-dropping-particle" : "", "parse-names" : false, "suffix" : "" }, { "dropping-particle" : "", "family" : "Ib\u00e1\u00f1ez", "given" : "Agust\u00edn M", "non-dropping-particle" : "", "parse-names" : false, "suffix" : "" } ], "container-title" : "Frontiers in neurology", "id" : "ITEM-1", "issued" : { "date-parts" : [ [ "2012", "1" ] ] }, "page" : "172", "title" : "P300 and neuropsychological assessment in mild cognitive impairment and Alzheimer dementia.", "type" : "article-journal", "volume" : "3" }, "uris" : [ "http://www.mendeley.com/documents/?uuid=5887cd5f-8db7-473e-9859-d26bebb36b9b" ] } ], "mendeley" : { "formattedCitation" : "&lt;sup&gt;27&lt;/sup&gt;", "plainTextFormattedCitation" : "27", "previouslyFormattedCitation" : "&lt;sup&gt;26&lt;/sup&gt;" }, "properties" : { "noteIndex" : 0 }, "schema" : "https://github.com/citation-style-language/schema/raw/master/csl-citation.json" }</w:instrText>
      </w:r>
      <w:r w:rsidR="00DA07FD">
        <w:fldChar w:fldCharType="separate"/>
      </w:r>
      <w:r w:rsidR="00ED42D4" w:rsidRPr="00ED42D4">
        <w:rPr>
          <w:noProof/>
          <w:vertAlign w:val="superscript"/>
        </w:rPr>
        <w:t>27</w:t>
      </w:r>
      <w:r w:rsidR="00DA07FD">
        <w:fldChar w:fldCharType="end"/>
      </w:r>
      <w:r w:rsidR="00DA07FD" w:rsidRPr="00637A6D">
        <w:t xml:space="preserve">. </w:t>
      </w:r>
      <w:r w:rsidR="00A246A0">
        <w:t>Sub-</w:t>
      </w:r>
      <w:r w:rsidR="00A246A0" w:rsidRPr="00487543">
        <w:t>components</w:t>
      </w:r>
      <w:r w:rsidR="00A246A0">
        <w:t xml:space="preserve"> of the P300 with different latencies and scalp distributions have been related to endogenous and exogenous processes. </w:t>
      </w:r>
      <w:r w:rsidR="00E85492">
        <w:t>T</w:t>
      </w:r>
      <w:r w:rsidR="009178EC">
        <w:t xml:space="preserve">he </w:t>
      </w:r>
      <w:r w:rsidR="00A246A0">
        <w:t>“P3b” component</w:t>
      </w:r>
      <w:r w:rsidR="009178EC">
        <w:t xml:space="preserve"> is thought to reflect </w:t>
      </w:r>
      <w:r>
        <w:t xml:space="preserve">context </w:t>
      </w:r>
      <w:r w:rsidR="009178EC">
        <w:t xml:space="preserve">updating processes that are sensitive to task demands (providing a marker of </w:t>
      </w:r>
      <w:r w:rsidR="00A246A0">
        <w:t xml:space="preserve">endogenous </w:t>
      </w:r>
      <w:r w:rsidR="009178EC">
        <w:t>attentional resource allocation)</w:t>
      </w:r>
      <w:r w:rsidR="00DA07FD">
        <w:t>. Thus P300 responses</w:t>
      </w:r>
      <w:r w:rsidR="009178EC">
        <w:t xml:space="preserve"> typically correlat</w:t>
      </w:r>
      <w:r w:rsidR="00DA07FD">
        <w:t>e</w:t>
      </w:r>
      <w:r w:rsidR="009178EC">
        <w:t xml:space="preserve"> with stimulus-response times </w:t>
      </w:r>
      <w:r w:rsidR="009178EC">
        <w:fldChar w:fldCharType="begin" w:fldLock="1"/>
      </w:r>
      <w:r w:rsidR="00ED42D4">
        <w:instrText>ADDIN CSL_CITATION { "citationItems" : [ { "id" : "ITEM-1", "itemData" : { "DOI" : "10.3389/fnhum.2014.00557", "PMID" : "25120458", "abstract" : "The neural correlates of intraindividual response variability were investigated in a serial choice reaction time (CRT) task. Reaction times (RTs) from the faster and slower portions of the RT distribution for the task were separately aggregated and associated P300 event-related potentials computed. Independent behavioral measures of executive function and IQ were also recorded. Across frontal, fronto-central, central, centro-parietal and parietal scalp regions, P300 amplitudes were significantly greater for faster relative to slower behavioral responses. However, P300 peak amplitude latencies did not differ according to the speed of the behavioral RT. Importantly, controlling for select independent measures of executive function attenuated shared variance in P300 amplitude for faster and slower trials. The findings suggest that P300 amplitude rather than latency is associated with the speed of behavioral RTs, and the possibility that fluctuations in executive control underlie variability in speeded responding.", "author" : [ { "dropping-particle" : "", "family" : "Ramchurn", "given" : "Anusha", "non-dropping-particle" : "", "parse-names" : false, "suffix" : "" }, { "dropping-particle" : "", "family" : "Fockert", "given" : "Jan W", "non-dropping-particle" : "de", "parse-names" : false, "suffix" : "" }, { "dropping-particle" : "", "family" : "Mason", "given" : "Luke", "non-dropping-particle" : "", "parse-names" : false, "suffix" : "" }, { "dropping-particle" : "", "family" : "Darling", "given" : "Stephen", "non-dropping-particle" : "", "parse-names" : false, "suffix" : "" }, { "dropping-particle" : "", "family" : "Bunce", "given" : "David", "non-dropping-particle" : "", "parse-names" : false, "suffix" : "" } ], "container-title" : "Frontiers in human neuroscience", "id" : "ITEM-1", "issued" : { "date-parts" : [ [ "2014" ] ] }, "page" : "557", "publisher" : "Frontiers Media SA", "title" : "Intraindividual reaction time variability affects P300 amplitude rather than latency.", "type" : "article-journal", "volume" : "8" }, "uris" : [ "http://www.mendeley.com/documents/?uuid=217056d1-b4ad-3748-9cb0-52fa5522c768" ] } ], "mendeley" : { "formattedCitation" : "&lt;sup&gt;34&lt;/sup&gt;", "plainTextFormattedCitation" : "34", "previouslyFormattedCitation" : "&lt;sup&gt;33&lt;/sup&gt;" }, "properties" : { "noteIndex" : 0 }, "schema" : "https://github.com/citation-style-language/schema/raw/master/csl-citation.json" }</w:instrText>
      </w:r>
      <w:r w:rsidR="009178EC">
        <w:fldChar w:fldCharType="separate"/>
      </w:r>
      <w:r w:rsidR="00ED42D4" w:rsidRPr="00ED42D4">
        <w:rPr>
          <w:noProof/>
          <w:vertAlign w:val="superscript"/>
        </w:rPr>
        <w:t>34</w:t>
      </w:r>
      <w:r w:rsidR="009178EC">
        <w:fldChar w:fldCharType="end"/>
      </w:r>
      <w:r w:rsidR="00DA07FD">
        <w:t>, providing a potential marker of perceptual decision-making efficiency</w:t>
      </w:r>
      <w:r w:rsidR="009178EC">
        <w:t xml:space="preserve">. </w:t>
      </w:r>
      <w:r w:rsidR="00A246A0">
        <w:t>On the other hand, the “</w:t>
      </w:r>
      <w:r w:rsidR="0096549D">
        <w:t>P3</w:t>
      </w:r>
      <w:r w:rsidR="00A246A0">
        <w:t>a”</w:t>
      </w:r>
      <w:r w:rsidR="0096549D">
        <w:t xml:space="preserve"> </w:t>
      </w:r>
      <w:r w:rsidR="00A246A0">
        <w:t>component</w:t>
      </w:r>
      <w:r w:rsidR="007F47E6">
        <w:t xml:space="preserve"> amplitude</w:t>
      </w:r>
      <w:r w:rsidR="00A246A0">
        <w:t xml:space="preserve"> </w:t>
      </w:r>
      <w:r w:rsidR="0096549D">
        <w:t xml:space="preserve">is responsive to stimulus </w:t>
      </w:r>
      <w:r w:rsidR="0096549D">
        <w:lastRenderedPageBreak/>
        <w:t>probability, with larger responses to rare stimuli thought to reflect bottom-up prediction error signals</w:t>
      </w:r>
      <w:r w:rsidR="00E85492">
        <w:t xml:space="preserve"> that update context representations exogenously</w:t>
      </w:r>
      <w:r w:rsidR="0096549D">
        <w:t xml:space="preserve"> </w:t>
      </w:r>
      <w:r w:rsidR="0096549D">
        <w:fldChar w:fldCharType="begin" w:fldLock="1"/>
      </w:r>
      <w:r w:rsidR="00ED42D4">
        <w:instrText>ADDIN CSL_CITATION { "citationItems" : [ { "id" : "ITEM-1", "itemData" : { "abstract" : "The empirical and theoretical development of the P300 event-related brain potential (ERP) is reviewed by considering factors that contribute to its amplitude, latency, and general characteristics. The neuropsychological origins of the P3a and P3b subcomponents are detailed, and how target/ standard discrimination difficulty modulates scalp topography is discussed. The neural loci of P3a and P3b generation are outlined, and a cognitive model is proffered: P3a originates from stimulusdriven frontal attention mechanisms during task processing, whereas P3b originates from temporalparietal activity associated with attention and appears related to subsequent memory processing. Neurotransmitter actions associating P3a to frontal/dopaminergic and P3b to parietal/norepinephrine pathways are highlighted. Neuroinhibition is suggested as an overarching theoretical mechanism for P300, which is elicited when stimulus detection engages memory operations", "author" : [ { "dropping-particle" : "", "family" : "Polich", "given" : "John", "non-dropping-particle" : "", "parse-names" : false, "suffix" : "" } ], "container-title" : "Clinical Neurophysiology", "id" : "ITEM-1", "issue" : "10", "issued" : { "date-parts" : [ [ "2009" ] ] }, "page" : "2128-2148", "title" : "Updating P300: An Integrative Theory of P3a and P3b", "type" : "article-journal", "volume" : "118" }, "uris" : [ "http://www.mendeley.com/documents/?uuid=1b1b6bdc-23cb-4ef3-865f-4afb97a8a52e" ] }, { "id" : "ITEM-2", "itemData" : { "DOI" : "10.1523/JNEUROSCI.0114-13.2013", "ISBN" : "1529-2401 (Electronic)\\r0270-6474 (Linking)", "ISSN" : "1529-2401", "PMID" : "23825422", "abstract" : "Hierarchical predictive coding suggests that attention in humans emerges from increased precision in probabilistic inference, whereas expectation biases attention in favor of contextually anticipated stimuli. We test these notions within auditory perception by independently manipulating top-down expectation and attentional precision alongside bottom-up stimulus predictability. Our findings support an integrative interpretation of commonly observed electrophysiological signatures of neurodynamics, namely mismatch negativity (MMN), P300, and contingent negative variation (CNV), as manifestations along successive levels of predictive complexity. Early first-level processing indexed by the MMN was sensitive to stimulus predictability: here, attentional precision enhanced early responses, but explicit top-down expectation diminished it. This pattern was in contrast to later, second-level processing indexed by the P300: although sensitive to the degree of predictability, responses at this level were contingent on attentional engagement and in fact sharpened by top-down expectation. At the highest level, the drift of the CNV was a fine-grained marker of top-down expectation itself. Source reconstruction of high-density EEG, supported by intracranial recordings, implicated temporal and frontal regions differentially active at early and late levels. The cortical generators of the CNV suggested that it might be involved in facilitating the consolidation of context-salient stimuli into conscious perception. These results provide convergent empirical support to promising recent accounts of attention and expectation in predictive coding.", "author" : [ { "dropping-particle" : "", "family" : "Chennu", "given" : "Srivas", "non-dropping-particle" : "", "parse-names" : false, "suffix" : "" }, { "dropping-particle" : "", "family" : "Noreika", "given" : "Valdas", "non-dropping-particle" : "", "parse-names" : false, "suffix" : "" }, { "dropping-particle" : "", "family" : "Gueorguiev", "given" : "David", "non-dropping-particle" : "", "parse-names" : false, "suffix" : "" }, { "dropping-particle" : "", "family" : "Blenkmann", "given" : "Alejandro", "non-dropping-particle" : "", "parse-names" : false, "suffix" : "" }, { "dropping-particle" : "", "family" : "Kochen", "given" : "Silvia", "non-dropping-particle" : "", "parse-names" : false, "suffix" : "" }, { "dropping-particle" : "", "family" : "Ib\u00e1\u00f1ez", "given" : "Agust\u00edn", "non-dropping-particle" : "", "parse-names" : false, "suffix" : "" }, { "dropping-particle" : "", "family" : "Owen", "given" : "Adrian M", "non-dropping-particle" : "", "parse-names" : false, "suffix" : "" }, { "dropping-particle" : "", "family" : "Bekinschtein", "given" : "Tristan A", "non-dropping-particle" : "", "parse-names" : false, "suffix" : "" } ], "container-title" : "The Journal of Neuroscience", "id" : "ITEM-2", "issue" : "27", "issued" : { "date-parts" : [ [ "2013" ] ] }, "page" : "11194-205", "title" : "Expectation and attention in hierarchical auditory prediction.", "type" : "article-journal", "volume" : "33" }, "uris" : [ "http://www.mendeley.com/documents/?uuid=c0011c14-84b4-45ff-9e58-8789e71d2164" ] } ], "mendeley" : { "formattedCitation" : "&lt;sup&gt;6,31&lt;/sup&gt;", "plainTextFormattedCitation" : "6,31", "previouslyFormattedCitation" : "&lt;sup&gt;6,30&lt;/sup&gt;" }, "properties" : { "noteIndex" : 0 }, "schema" : "https://github.com/citation-style-language/schema/raw/master/csl-citation.json" }</w:instrText>
      </w:r>
      <w:r w:rsidR="0096549D">
        <w:fldChar w:fldCharType="separate"/>
      </w:r>
      <w:r w:rsidR="00ED42D4" w:rsidRPr="00ED42D4">
        <w:rPr>
          <w:noProof/>
          <w:vertAlign w:val="superscript"/>
        </w:rPr>
        <w:t>6,31</w:t>
      </w:r>
      <w:r w:rsidR="0096549D">
        <w:fldChar w:fldCharType="end"/>
      </w:r>
      <w:r w:rsidR="0096549D">
        <w:t xml:space="preserve">. </w:t>
      </w:r>
      <w:bookmarkStart w:id="27" w:name="OLE_LINK47"/>
      <w:bookmarkStart w:id="28" w:name="OLE_LINK48"/>
    </w:p>
    <w:p w14:paraId="37BEB0FB" w14:textId="77777777" w:rsidR="0096549D" w:rsidRDefault="0096549D"/>
    <w:p w14:paraId="44450B3B" w14:textId="61F9E868" w:rsidR="00474044" w:rsidRDefault="0094605C">
      <w:r>
        <w:t>Considering the</w:t>
      </w:r>
      <w:r w:rsidR="00E85492">
        <w:t xml:space="preserve"> theoretical links between P300 subcomponents and perceptual decision-making efficiency</w:t>
      </w:r>
      <w:r w:rsidR="00584BB0">
        <w:t xml:space="preserve">, </w:t>
      </w:r>
      <w:r w:rsidR="005E35E8">
        <w:t>we hypothesised abnormal P300 responses (</w:t>
      </w:r>
      <w:r w:rsidR="007F576B">
        <w:t>marking</w:t>
      </w:r>
      <w:r w:rsidR="005E35E8">
        <w:t xml:space="preserve"> sub-optimal context updating) in patients with CRPS. Deficits at this level of decision-making could be </w:t>
      </w:r>
      <w:r w:rsidR="004B6D0F">
        <w:t xml:space="preserve">potentially </w:t>
      </w:r>
      <w:r w:rsidR="005E35E8">
        <w:t xml:space="preserve">marked by </w:t>
      </w:r>
      <w:r w:rsidR="004B6D0F">
        <w:t xml:space="preserve">either increases or decreases in P300 amplitude, with increases reflecting inefficient (resource-intensive) context updating, or decreases reflecting failed initiation of these mechanisms. </w:t>
      </w:r>
      <w:r w:rsidR="007F576B">
        <w:t xml:space="preserve">It is also possible that </w:t>
      </w:r>
      <w:r w:rsidR="004B6D0F">
        <w:t xml:space="preserve">hierarchically </w:t>
      </w:r>
      <w:r w:rsidR="007F576B">
        <w:t xml:space="preserve">lower-level </w:t>
      </w:r>
      <w:r w:rsidR="004B6D0F">
        <w:t>sensor</w:t>
      </w:r>
      <w:r w:rsidR="007F576B">
        <w:t>i</w:t>
      </w:r>
      <w:r w:rsidR="004B6D0F">
        <w:t xml:space="preserve">motor </w:t>
      </w:r>
      <w:r w:rsidR="007F576B">
        <w:t>deficits could</w:t>
      </w:r>
      <w:r w:rsidR="004B6D0F">
        <w:t xml:space="preserve"> modulate</w:t>
      </w:r>
      <w:r w:rsidR="005E5C47">
        <w:t xml:space="preserve"> P300 responses:</w:t>
      </w:r>
      <w:r w:rsidR="004B6D0F">
        <w:t xml:space="preserve"> </w:t>
      </w:r>
      <w:r w:rsidR="005E5C47">
        <w:t>such deficits may</w:t>
      </w:r>
      <w:r w:rsidR="004B6D0F">
        <w:t xml:space="preserve"> increase </w:t>
      </w:r>
      <w:r w:rsidR="005E5C47">
        <w:t xml:space="preserve">task difficulty and </w:t>
      </w:r>
      <w:r w:rsidR="004B6D0F">
        <w:t xml:space="preserve">cognitive load </w:t>
      </w:r>
      <w:r w:rsidR="005E5C47">
        <w:t xml:space="preserve">and be </w:t>
      </w:r>
      <w:r w:rsidR="004B6D0F">
        <w:t>refl</w:t>
      </w:r>
      <w:r w:rsidR="005E5C47">
        <w:t>ected</w:t>
      </w:r>
      <w:r w:rsidR="004B6D0F">
        <w:t xml:space="preserve"> b</w:t>
      </w:r>
      <w:r w:rsidR="005E5C47">
        <w:t>y augmented endogenous P3b</w:t>
      </w:r>
      <w:r w:rsidR="004B6D0F">
        <w:t xml:space="preserve"> </w:t>
      </w:r>
      <w:r w:rsidR="005E5C47">
        <w:t xml:space="preserve">responses, or may reduce </w:t>
      </w:r>
      <w:r w:rsidR="009C158A">
        <w:t xml:space="preserve">bottom-up signalling of novel changes in sensory processing as indexed by the </w:t>
      </w:r>
      <w:r w:rsidR="005E5C47">
        <w:t xml:space="preserve">P3a </w:t>
      </w:r>
      <w:r w:rsidR="009C158A">
        <w:t>component</w:t>
      </w:r>
      <w:r w:rsidR="005E5C47">
        <w:t xml:space="preserve">. </w:t>
      </w:r>
      <w:bookmarkEnd w:id="27"/>
      <w:bookmarkEnd w:id="28"/>
      <w:r w:rsidR="00BE38E6">
        <w:t>Here</w:t>
      </w:r>
      <w:r w:rsidR="001B7B94">
        <w:t xml:space="preserve">, </w:t>
      </w:r>
      <w:r w:rsidR="00E42B29">
        <w:t xml:space="preserve">we </w:t>
      </w:r>
      <w:r w:rsidR="00864608">
        <w:t xml:space="preserve">sought </w:t>
      </w:r>
      <w:r w:rsidR="00DA07FD">
        <w:t>evidence for</w:t>
      </w:r>
      <w:r w:rsidR="00864608">
        <w:t xml:space="preserve"> these</w:t>
      </w:r>
      <w:r w:rsidR="00DA07FD">
        <w:t xml:space="preserve"> different</w:t>
      </w:r>
      <w:r w:rsidR="00864608">
        <w:t xml:space="preserve"> possibilities</w:t>
      </w:r>
      <w:r w:rsidR="001B7B94">
        <w:t xml:space="preserve"> </w:t>
      </w:r>
      <w:r w:rsidR="00864608">
        <w:t>by measuring S</w:t>
      </w:r>
      <w:r w:rsidR="002A09E5">
        <w:t>EPs</w:t>
      </w:r>
      <w:r w:rsidR="001B7B94">
        <w:t xml:space="preserve"> elicited on stimulation</w:t>
      </w:r>
      <w:r w:rsidR="00586479">
        <w:t xml:space="preserve"> of randomised digit locations</w:t>
      </w:r>
      <w:r w:rsidR="002A09E5">
        <w:t xml:space="preserve"> across both hands</w:t>
      </w:r>
      <w:r w:rsidR="001B7B94" w:rsidDel="003566E1">
        <w:t xml:space="preserve"> </w:t>
      </w:r>
      <w:r w:rsidR="002A09E5">
        <w:t xml:space="preserve">in CRPS patients and matched </w:t>
      </w:r>
      <w:r w:rsidR="006625DF">
        <w:t xml:space="preserve">healthy </w:t>
      </w:r>
      <w:r w:rsidR="002A09E5">
        <w:t>controls</w:t>
      </w:r>
      <w:r w:rsidR="007E0D4D">
        <w:t>.</w:t>
      </w:r>
    </w:p>
    <w:p w14:paraId="737934C1" w14:textId="77777777" w:rsidR="00474044" w:rsidRDefault="00474044"/>
    <w:p w14:paraId="7DB3E6C9" w14:textId="06D617B2" w:rsidR="0095314A" w:rsidRDefault="0095314A" w:rsidP="00F4581E">
      <w:pPr>
        <w:rPr>
          <w:rFonts w:asciiTheme="majorHAnsi" w:eastAsiaTheme="majorEastAsia" w:hAnsiTheme="majorHAnsi" w:cstheme="majorBidi"/>
          <w:b/>
          <w:bCs/>
          <w:kern w:val="32"/>
          <w:sz w:val="28"/>
          <w:szCs w:val="32"/>
        </w:rPr>
      </w:pPr>
    </w:p>
    <w:p w14:paraId="79A9AA4C" w14:textId="77777777" w:rsidR="00AD5BCD" w:rsidRDefault="002C7BC8">
      <w:pPr>
        <w:pStyle w:val="Heading1"/>
      </w:pPr>
      <w:r>
        <w:t xml:space="preserve">Materials and </w:t>
      </w:r>
      <w:r w:rsidR="00AD5BCD">
        <w:t>Methods</w:t>
      </w:r>
      <w:r w:rsidR="00B429D4">
        <w:t xml:space="preserve"> </w:t>
      </w:r>
    </w:p>
    <w:p w14:paraId="4822D952" w14:textId="77777777" w:rsidR="00474044" w:rsidRDefault="00474044"/>
    <w:p w14:paraId="2EEF1115" w14:textId="246F111F" w:rsidR="00DB15CE" w:rsidRPr="005D6504" w:rsidRDefault="00DB15CE">
      <w:pPr>
        <w:pStyle w:val="Heading2"/>
      </w:pPr>
      <w:r w:rsidRPr="005D6504">
        <w:t>Study design</w:t>
      </w:r>
      <w:r>
        <w:t xml:space="preserve"> and rationale</w:t>
      </w:r>
    </w:p>
    <w:p w14:paraId="53F09878" w14:textId="5D94E6EF" w:rsidR="00DB15CE" w:rsidRDefault="00DB15CE">
      <w:r w:rsidRPr="00DC17A4">
        <w:t>This was</w:t>
      </w:r>
      <w:r>
        <w:t xml:space="preserve"> an experimental case-control study conducted </w:t>
      </w:r>
      <w:r w:rsidRPr="00C631CE">
        <w:t>in the EEG lab in</w:t>
      </w:r>
      <w:r>
        <w:t xml:space="preserve"> the</w:t>
      </w:r>
      <w:r w:rsidRPr="00C631CE">
        <w:t xml:space="preserve"> </w:t>
      </w:r>
      <w:proofErr w:type="spellStart"/>
      <w:r w:rsidRPr="00C631CE">
        <w:t>Herchel</w:t>
      </w:r>
      <w:proofErr w:type="spellEnd"/>
      <w:r w:rsidRPr="00C631CE">
        <w:t xml:space="preserve"> Smith </w:t>
      </w:r>
      <w:r w:rsidRPr="003F1D96">
        <w:t xml:space="preserve">Building for Brain and Mind Sciences, University of Cambridge, UK between </w:t>
      </w:r>
      <w:r>
        <w:t>March 2013 and</w:t>
      </w:r>
      <w:r w:rsidRPr="003F1D96">
        <w:t xml:space="preserve"> </w:t>
      </w:r>
      <w:r w:rsidRPr="003F1D96">
        <w:lastRenderedPageBreak/>
        <w:t>July 2013.</w:t>
      </w:r>
      <w:r>
        <w:t xml:space="preserve"> Ethical approval for the research was obtained by the East of England - </w:t>
      </w:r>
      <w:r w:rsidRPr="00C632BD">
        <w:t>Cambridge South</w:t>
      </w:r>
      <w:r>
        <w:t xml:space="preserve"> ethics committee (reference number </w:t>
      </w:r>
      <w:r w:rsidRPr="00223A68">
        <w:t>12/EE/0305</w:t>
      </w:r>
      <w:r>
        <w:t xml:space="preserve">). </w:t>
      </w:r>
      <w:r w:rsidR="00474044">
        <w:t xml:space="preserve">The study was designed to detect group differences (between CRPS patients and healthy controls, HC) in mid-to-late latency (&gt;100ms) tactile processing. In Experiment 1, participants performed a digit discrimination task to induce cognitive load and SEPs were investigated as a potential explanation for decrements in task performance. At the same time, the three middle digits on each hand were stimulated rarely compared to the outer digits in </w:t>
      </w:r>
      <w:r w:rsidR="00474044" w:rsidRPr="00DC099C">
        <w:t>order to assess the effects of spatial probability</w:t>
      </w:r>
      <w:r w:rsidR="00474044">
        <w:t xml:space="preserve">. Experiment 2 had no task demands and had </w:t>
      </w:r>
      <w:proofErr w:type="spellStart"/>
      <w:r w:rsidR="00474044">
        <w:t>equiprobable</w:t>
      </w:r>
      <w:proofErr w:type="spellEnd"/>
      <w:r w:rsidR="00474044">
        <w:t xml:space="preserve"> digit stimulation, providing data on group differences independent of cognitive load. SEPs were recorded using high density (92-channel) EEG, making comparisons between groups, between CRPS-affected and unaffected sides of the body, and between digit types (high vs. low probability). </w:t>
      </w:r>
    </w:p>
    <w:p w14:paraId="1B05DB01" w14:textId="77777777" w:rsidR="006534CE" w:rsidRPr="0079148E" w:rsidRDefault="006534CE"/>
    <w:p w14:paraId="2EBD81F8" w14:textId="77777777" w:rsidR="00274DA8" w:rsidRDefault="00274DA8">
      <w:pPr>
        <w:pStyle w:val="Heading2"/>
      </w:pPr>
      <w:r>
        <w:t>Participants</w:t>
      </w:r>
    </w:p>
    <w:p w14:paraId="372FCDC1" w14:textId="63F5C34F" w:rsidR="00FF26D4" w:rsidRPr="001D134E" w:rsidRDefault="00AB08BD">
      <w:pPr>
        <w:rPr>
          <w:sz w:val="22"/>
          <w:szCs w:val="22"/>
        </w:rPr>
      </w:pPr>
      <w:r>
        <w:t xml:space="preserve">Potential </w:t>
      </w:r>
      <w:r w:rsidR="001D134E" w:rsidRPr="00DC17A4">
        <w:t>Complex Regional Pain Syndrome</w:t>
      </w:r>
      <w:r w:rsidR="001D134E">
        <w:t xml:space="preserve"> (CRPS)</w:t>
      </w:r>
      <w:r>
        <w:t xml:space="preserve"> participants were identified from the CRPS UK registry and were approached for taking part in the study.</w:t>
      </w:r>
      <w:r w:rsidR="001D134E">
        <w:t xml:space="preserve"> </w:t>
      </w:r>
      <w:r w:rsidR="002C1BC2">
        <w:t xml:space="preserve">Sample size considerations are in Supplementary Methods. </w:t>
      </w:r>
      <w:r w:rsidR="001D134E">
        <w:t xml:space="preserve">The total number of potentially eligible CRPS patients </w:t>
      </w:r>
      <w:r w:rsidR="00632F5E">
        <w:t xml:space="preserve">contacted </w:t>
      </w:r>
      <w:r w:rsidR="001D134E">
        <w:t xml:space="preserve">(who lived locally) was 30; 25 of these were </w:t>
      </w:r>
      <w:r w:rsidR="00632F5E">
        <w:t>confirmed eligible</w:t>
      </w:r>
      <w:r w:rsidR="001D134E">
        <w:t xml:space="preserve">, of which </w:t>
      </w:r>
      <w:r w:rsidR="006C48A0" w:rsidRPr="006C48A0">
        <w:t>1</w:t>
      </w:r>
      <w:r w:rsidR="000B2342">
        <w:t>6</w:t>
      </w:r>
      <w:r w:rsidR="006C48A0" w:rsidRPr="006C48A0">
        <w:t xml:space="preserve"> </w:t>
      </w:r>
      <w:r w:rsidR="006C48A0">
        <w:t xml:space="preserve">patients </w:t>
      </w:r>
      <w:r w:rsidR="001D134E">
        <w:t>were</w:t>
      </w:r>
      <w:r w:rsidR="00F56ACF">
        <w:t xml:space="preserve"> able to be</w:t>
      </w:r>
      <w:r w:rsidR="001D134E">
        <w:t xml:space="preserve"> recruited</w:t>
      </w:r>
      <w:r w:rsidR="00F56ACF">
        <w:t xml:space="preserve"> before the recruitment period of the study ended</w:t>
      </w:r>
      <w:r w:rsidR="001D134E">
        <w:t xml:space="preserve">. All patients </w:t>
      </w:r>
      <w:r w:rsidR="00552E5E">
        <w:t xml:space="preserve">were </w:t>
      </w:r>
      <w:r w:rsidR="006C48A0">
        <w:t>d</w:t>
      </w:r>
      <w:r w:rsidR="006C48A0" w:rsidRPr="00DC17A4">
        <w:t xml:space="preserve">iagnosed with unilateral upper or lower limb </w:t>
      </w:r>
      <w:r w:rsidR="001D134E">
        <w:t>CRPS</w:t>
      </w:r>
      <w:r w:rsidR="00875632">
        <w:t xml:space="preserve"> (ruling out CRPS on the unaffected side)</w:t>
      </w:r>
      <w:r w:rsidR="001D134E">
        <w:t xml:space="preserve"> </w:t>
      </w:r>
      <w:r w:rsidR="006C48A0" w:rsidRPr="00DC17A4">
        <w:t>according to modified Budapest Research Criteria</w:t>
      </w:r>
      <w:r w:rsidR="006C48A0">
        <w:t xml:space="preserve"> </w:t>
      </w:r>
      <w:r w:rsidR="006C48A0">
        <w:fldChar w:fldCharType="begin" w:fldLock="1"/>
      </w:r>
      <w:r w:rsidR="00ED42D4">
        <w:instrText>ADDIN CSL_CITATION { "citationItems" : [ { "id" : "ITEM-1", "itemData" : { "DOI" : "10.1111/j.1526-4637.2006.00169.x", "ISSN" : "1526-2375", "PMID" : "17610454", "abstract" : "This topical update reports recent progress in the international effort to develop a more accurate and valid diagnostic criteria for complex regional pain syndrome (CRPS). The diagnostic entity of CRPS (published in the International Association for the Study of Pain's Taxonomy monograph in 1994; International Association for the Study of Pain [IASP]) was intended to be descriptive, general, and not imply etiopathology, and had the potential to lead to improved clinical communication and greater generalizability across research samples. Unfortunately, realization of this potential has been limited by the fact that these criteria were based solely on consensus and utilization of the criteria in the literature has been sporadic at best. As a consequence, the full potential benefits of the IASP criteria have not been realized. Consensus-derived criteria that are not subsequently validated may lead to over- or underdiagnosis, and will reduce the ability to provide timely and optimal treatment. Results of validation studies to date suggest that the IASP/CRPS diagnostic criteria are adequately sensitive; however, both internal and external validation research suggests that utilization of these criteria causes problems of overdiagnosis due to poor specificity. This update summarizes the latest international consensus group's action in Budapest, Hungary to approve and codify empirically validated, statistically derived revisions of the IASP criteria for CRPS.", "author" : [ { "dropping-particle" : "", "family" : "Harden", "given" : "R Norman", "non-dropping-particle" : "", "parse-names" : false, "suffix" : "" }, { "dropping-particle" : "", "family" : "Bruehl", "given" : "Stephen", "non-dropping-particle" : "", "parse-names" : false, "suffix" : "" }, { "dropping-particle" : "", "family" : "Stanton-Hicks", "given" : "Michael", "non-dropping-particle" : "", "parse-names" : false, "suffix" : "" }, { "dropping-particle" : "", "family" : "Wilson", "given" : "Peter R", "non-dropping-particle" : "", "parse-names" : false, "suffix" : "" } ], "container-title" : "Pain medicine (Malden, Mass.)", "id" : "ITEM-1", "issue" : "4", "issued" : { "date-parts" : [ [ "2007", "1" ] ] }, "page" : "326-31", "title" : "Proposed new diagnostic criteria for complex regional pain syndrome.", "type" : "article-journal", "volume" : "8" }, "uris" : [ "http://www.mendeley.com/documents/?uuid=a06d2e73-381d-4e06-84b4-2efb88bc68bb" ] } ], "mendeley" : { "formattedCitation" : "&lt;sup&gt;14&lt;/sup&gt;", "plainTextFormattedCitation" : "14", "previouslyFormattedCitation" : "&lt;sup&gt;14&lt;/sup&gt;" }, "properties" : { "noteIndex" : 0 }, "schema" : "https://github.com/citation-style-language/schema/raw/master/csl-citation.json" }</w:instrText>
      </w:r>
      <w:r w:rsidR="006C48A0">
        <w:fldChar w:fldCharType="separate"/>
      </w:r>
      <w:r w:rsidR="00666857" w:rsidRPr="00666857">
        <w:rPr>
          <w:noProof/>
          <w:vertAlign w:val="superscript"/>
        </w:rPr>
        <w:t>14</w:t>
      </w:r>
      <w:r w:rsidR="006C48A0">
        <w:fldChar w:fldCharType="end"/>
      </w:r>
      <w:r w:rsidR="006C48A0" w:rsidRPr="00DC17A4">
        <w:t>.</w:t>
      </w:r>
      <w:r w:rsidR="006C48A0">
        <w:t xml:space="preserve"> </w:t>
      </w:r>
      <w:bookmarkStart w:id="29" w:name="OLE_LINK56"/>
      <w:r>
        <w:t xml:space="preserve">The inclusion criteria were kept as broad as possible, including upper and lower limb-affected patients on the left or the right side. </w:t>
      </w:r>
      <w:r w:rsidR="00FF26D4">
        <w:t xml:space="preserve">Although the study tests involved digit stimulation and discrimination on </w:t>
      </w:r>
      <w:r w:rsidR="00FF26D4">
        <w:lastRenderedPageBreak/>
        <w:t xml:space="preserve">the hand only, previous work </w:t>
      </w:r>
      <w:r w:rsidR="00FF26D4">
        <w:fldChar w:fldCharType="begin" w:fldLock="1"/>
      </w:r>
      <w:r w:rsidR="00ED42D4">
        <w:instrText>ADDIN CSL_CITATION { "citationItems" : [ { "id" : "ITEM-1", "itemData" : { "DOI" : "10.1097/AJP.0000000000000434", "ISSN" : "0749-8047", "PMID" : "27662180", "abstract" : "OBJECTIVES Delays in diagnosis occur with Complex Regional Pain Syndrome (CRPS). We define and prospectively demonstrate that novel bedside tests measuring body perception disruption can identify patients with CRPS post-fracture. METHODS The objectives of our study were to define and validate four bedside tests; to identify the prevalence of positive tests in patients with CRPS and other chronic pain conditions and to assess the clinical utility (Sensitivity; Specificity; Positive Predictive value; Negative Predictive Value) for identifying CRPS within a Fracture cohort. This was a single UK teaching hospital prospective cohort study with 313 recruits from healthy volunteers and patients with chronic pain conditions.Four novel tests were Finger Perception (FP), Hand Laterality identification (HL), Astereognosis (AS) and Body Scheme (BS) report. Five questionnaires (Brief Pain Inventory; Upper Extremity Functional Index; Lower Extremity Functional Index; Neglect-like Symptom Questionnaire; Hospital Anxiety and Depression Score) assessed the multidimensional pain experience. RESULTS FP &amp; BS were the best performing tests. Prospective monitoring of fracture patients showed that out of 7 fracture patients (total n=47) who had both finger misperception and abnormal body scheme report at initial testing, 3 developed persistent pain with 1 having a formal diagnosis of CRPS. DISCUSSION Novel signs are reliable, easy to perform and present in chronic pain patients. FP and BS have significant clinical utility in predicting persistent pain in a fracture group thereby allowing targeted early intervention.", "author" : [ { "dropping-particle" : "", "family" : "Kuttikat", "given" : "Anoop", "non-dropping-particle" : "", "parse-names" : false, "suffix" : "" }, { "dropping-particle" : "", "family" : "Shaikh", "given" : "Maliha", "non-dropping-particle" : "", "parse-names" : false, "suffix" : "" }, { "dropping-particle" : "", "family" : "Oomatia", "given" : "Amin", "non-dropping-particle" : "", "parse-names" : false, "suffix" : "" }, { "dropping-particle" : "", "family" : "Parker", "given" : "Richard", "non-dropping-particle" : "", "parse-names" : false, "suffix" : "" }, { "dropping-particle" : "", "family" : "Shenker", "given" : "Nicholas", "non-dropping-particle" : "", "parse-names" : false, "suffix" : "" } ], "container-title" : "The Clinical Journal of Pain", "id" : "ITEM-1", "issued" : { "date-parts" : [ [ "2016", "9", "21" ] ] }, "page" : "1", "title" : "Novel Signs and their Clinical Utility in Diagnosing Complex Regional Pain Syndrome (CRPS) \u2013 A Prospective Observational Cohort Study", "type" : "article-journal" }, "uris" : [ "http://www.mendeley.com/documents/?uuid=bda8e72f-c99a-3ecc-bb5b-9b8044e9bf2f" ] } ], "mendeley" : { "formattedCitation" : "&lt;sup&gt;21&lt;/sup&gt;", "plainTextFormattedCitation" : "21", "previouslyFormattedCitation" : "&lt;sup&gt;21&lt;/sup&gt;" }, "properties" : { "noteIndex" : 0 }, "schema" : "https://github.com/citation-style-language/schema/raw/master/csl-citation.json" }</w:instrText>
      </w:r>
      <w:r w:rsidR="00FF26D4">
        <w:fldChar w:fldCharType="separate"/>
      </w:r>
      <w:r w:rsidR="00666857" w:rsidRPr="00666857">
        <w:rPr>
          <w:noProof/>
          <w:vertAlign w:val="superscript"/>
        </w:rPr>
        <w:t>21</w:t>
      </w:r>
      <w:r w:rsidR="00FF26D4">
        <w:fldChar w:fldCharType="end"/>
      </w:r>
      <w:r w:rsidR="00FF26D4">
        <w:t xml:space="preserve"> has found that the location of CRPS symptoms (namely, upper vs. lower limb) does not significantly affect performance in digit discrimination</w:t>
      </w:r>
      <w:r w:rsidR="003E739B">
        <w:t xml:space="preserve">, which is consistent with our hypothesis of deficits in hierarchically high-level decision-making mechanisms that are not </w:t>
      </w:r>
      <w:proofErr w:type="spellStart"/>
      <w:r w:rsidR="003E739B">
        <w:t>somatotopically</w:t>
      </w:r>
      <w:proofErr w:type="spellEnd"/>
      <w:r w:rsidR="003E739B">
        <w:t xml:space="preserve"> organised</w:t>
      </w:r>
      <w:r w:rsidR="00FF26D4">
        <w:t xml:space="preserve">. </w:t>
      </w:r>
      <w:bookmarkEnd w:id="29"/>
      <w:r w:rsidR="00FF26D4">
        <w:t>Also recruited were</w:t>
      </w:r>
      <w:r w:rsidR="00A57B39">
        <w:t xml:space="preserve"> 13 age-and-</w:t>
      </w:r>
      <w:r w:rsidR="00FF26D4" w:rsidRPr="006C48A0">
        <w:t xml:space="preserve">sex </w:t>
      </w:r>
      <w:r w:rsidR="00A57B39">
        <w:t>frequency-</w:t>
      </w:r>
      <w:r w:rsidR="00FF26D4" w:rsidRPr="006C48A0">
        <w:t>matched healthy</w:t>
      </w:r>
      <w:r w:rsidR="00516F2F">
        <w:t xml:space="preserve"> (pain-free)</w:t>
      </w:r>
      <w:r w:rsidR="00FF26D4" w:rsidRPr="006C48A0">
        <w:t xml:space="preserve"> volunteers.</w:t>
      </w:r>
      <w:r w:rsidR="00D32C8D">
        <w:t xml:space="preserve"> Healthy volunteers were recruited </w:t>
      </w:r>
      <w:r w:rsidR="00D32C8D" w:rsidRPr="00353F85">
        <w:t>by</w:t>
      </w:r>
      <w:r w:rsidR="00D32C8D">
        <w:t xml:space="preserve"> advertising the study using posters in </w:t>
      </w:r>
      <w:proofErr w:type="spellStart"/>
      <w:r w:rsidR="00D32C8D">
        <w:t>Addenbrooke’s</w:t>
      </w:r>
      <w:proofErr w:type="spellEnd"/>
      <w:r w:rsidR="00D32C8D">
        <w:t xml:space="preserve"> Hospital, Cambridge, UK. All participants signed an informed consent form prior to taking part.</w:t>
      </w:r>
    </w:p>
    <w:p w14:paraId="3FF5239B" w14:textId="77777777" w:rsidR="00FF26D4" w:rsidRDefault="00FF26D4"/>
    <w:p w14:paraId="3A63B784" w14:textId="7504BAD3" w:rsidR="00CC3C35" w:rsidRDefault="000B2342">
      <w:r w:rsidRPr="000F004A">
        <w:t>Data fro</w:t>
      </w:r>
      <w:r w:rsidRPr="000B2342">
        <w:t>m 3 patients were excluded from the study analysis: o</w:t>
      </w:r>
      <w:r w:rsidRPr="000F004A">
        <w:t>ne did </w:t>
      </w:r>
      <w:r w:rsidRPr="000B2342">
        <w:t>not complete the study, and in the other two</w:t>
      </w:r>
      <w:r w:rsidRPr="000F004A">
        <w:t xml:space="preserve"> patients, data quality was extremely poor due to</w:t>
      </w:r>
      <w:r>
        <w:t xml:space="preserve"> extreme</w:t>
      </w:r>
      <w:r w:rsidRPr="000F004A">
        <w:t xml:space="preserve"> movement </w:t>
      </w:r>
      <w:r>
        <w:t>artefact</w:t>
      </w:r>
      <w:r w:rsidRPr="000B2342">
        <w:t xml:space="preserve"> </w:t>
      </w:r>
      <w:r>
        <w:t>that could not be corrected or removed</w:t>
      </w:r>
      <w:r w:rsidRPr="000F004A">
        <w:t>.</w:t>
      </w:r>
      <w:r>
        <w:t xml:space="preserve"> This results in 13 patients</w:t>
      </w:r>
      <w:r w:rsidRPr="006C48A0">
        <w:t xml:space="preserve"> (11 females, mean age=46.8 years)</w:t>
      </w:r>
      <w:r>
        <w:t>.</w:t>
      </w:r>
      <w:r w:rsidRPr="006C48A0">
        <w:t xml:space="preserve"> </w:t>
      </w:r>
      <w:r w:rsidR="00FF26D4">
        <w:t>Of these patients</w:t>
      </w:r>
      <w:r w:rsidR="006C48A0" w:rsidRPr="006C48A0">
        <w:t>, five had left arm, three had right arm and five had left leg affected respectively. The mean disease duration was 5.3 years (range 1-14).</w:t>
      </w:r>
      <w:r w:rsidR="006C48A0">
        <w:t xml:space="preserve"> </w:t>
      </w:r>
      <w:r w:rsidR="00005827">
        <w:t>Demographic and medical details of</w:t>
      </w:r>
      <w:r w:rsidR="005D196F">
        <w:t xml:space="preserve"> the participants are </w:t>
      </w:r>
      <w:r w:rsidR="005D196F" w:rsidRPr="009C5C21">
        <w:t xml:space="preserve">shown in </w:t>
      </w:r>
      <w:r w:rsidR="002C1BC2" w:rsidRPr="00A83D52">
        <w:t xml:space="preserve">Supplementary </w:t>
      </w:r>
      <w:r w:rsidR="009C5C21" w:rsidRPr="00A83D52">
        <w:t>Results (</w:t>
      </w:r>
      <w:r w:rsidR="005D196F" w:rsidRPr="009C5C21">
        <w:t>T</w:t>
      </w:r>
      <w:r w:rsidR="00005827" w:rsidRPr="009C5C21">
        <w:t xml:space="preserve">ables </w:t>
      </w:r>
      <w:r w:rsidR="009C5C21" w:rsidRPr="00A83D52">
        <w:t>S</w:t>
      </w:r>
      <w:r w:rsidR="005D196F" w:rsidRPr="009C5C21">
        <w:t>1</w:t>
      </w:r>
      <w:r w:rsidR="00005827" w:rsidRPr="009C5C21">
        <w:t xml:space="preserve"> and </w:t>
      </w:r>
      <w:r w:rsidR="009C5C21" w:rsidRPr="00A83D52">
        <w:t>S</w:t>
      </w:r>
      <w:r w:rsidR="005D196F" w:rsidRPr="009C5C21">
        <w:t>2</w:t>
      </w:r>
      <w:r w:rsidR="009C5C21" w:rsidRPr="009C5C21">
        <w:t>)</w:t>
      </w:r>
      <w:r w:rsidR="00005827" w:rsidRPr="009C5C21">
        <w:t xml:space="preserve">. </w:t>
      </w:r>
      <w:r w:rsidR="00D55442" w:rsidRPr="009C5C21">
        <w:t>All participant</w:t>
      </w:r>
      <w:r w:rsidR="00005827" w:rsidRPr="009C5C21">
        <w:t>s</w:t>
      </w:r>
      <w:r w:rsidR="00D55442" w:rsidRPr="009C5C21">
        <w:t xml:space="preserve"> were right handed, did not have any current</w:t>
      </w:r>
      <w:r w:rsidR="00D55442" w:rsidRPr="00D55442">
        <w:t xml:space="preserve"> or previous </w:t>
      </w:r>
      <w:r w:rsidR="00AD5BCD" w:rsidRPr="00D55442">
        <w:t>diagnosis</w:t>
      </w:r>
      <w:r w:rsidR="00AD5BCD" w:rsidRPr="00FA3469">
        <w:t xml:space="preserve"> of </w:t>
      </w:r>
      <w:r w:rsidR="00D55442">
        <w:t>peripheral neuropathy, stroke, transient ischemic a</w:t>
      </w:r>
      <w:r w:rsidR="00AD5BCD" w:rsidRPr="00FA3469">
        <w:t>ttack, multiple s</w:t>
      </w:r>
      <w:r w:rsidR="00D55442">
        <w:t>clerosis, malignancy or seizure.</w:t>
      </w:r>
      <w:r w:rsidR="00932E98" w:rsidRPr="00932E98">
        <w:t xml:space="preserve"> </w:t>
      </w:r>
      <w:r w:rsidR="00932E98">
        <w:t>The participants were required to refrain from consuming alcohol or smoking tobacco for 24 hours and caffeine for 12 hours prior to the study.</w:t>
      </w:r>
    </w:p>
    <w:p w14:paraId="1E84245D" w14:textId="77777777" w:rsidR="00CC3C35" w:rsidRDefault="00CC3C35"/>
    <w:p w14:paraId="4E73BC5B" w14:textId="77777777" w:rsidR="00CC3C35" w:rsidRDefault="00AD5BCD">
      <w:pPr>
        <w:pStyle w:val="Heading2"/>
      </w:pPr>
      <w:r w:rsidRPr="001F59A0">
        <w:t>Study Procedure</w:t>
      </w:r>
      <w:r w:rsidR="00D55442">
        <w:t>s</w:t>
      </w:r>
    </w:p>
    <w:p w14:paraId="490DCE38" w14:textId="26A0D7BF" w:rsidR="00855488" w:rsidRDefault="00AD5BCD">
      <w:r>
        <w:t>During the study visit,</w:t>
      </w:r>
      <w:r w:rsidR="00A846DB">
        <w:t xml:space="preserve"> CRPS </w:t>
      </w:r>
      <w:r w:rsidR="00764158">
        <w:t>patients (but not healthy controls)</w:t>
      </w:r>
      <w:r>
        <w:t xml:space="preserve"> </w:t>
      </w:r>
      <w:r w:rsidR="00B66E7C">
        <w:t>were further characterised by using</w:t>
      </w:r>
      <w:r w:rsidR="00321303" w:rsidRPr="00EB1763">
        <w:t xml:space="preserve"> five questionnaires assessing pain severity, physical function, depersonalisation and </w:t>
      </w:r>
      <w:r w:rsidR="00855488">
        <w:t>mood</w:t>
      </w:r>
      <w:r w:rsidR="00321303">
        <w:t>: Brief Pain I</w:t>
      </w:r>
      <w:r w:rsidR="00321303" w:rsidRPr="00D677E9">
        <w:t>nventory</w:t>
      </w:r>
      <w:r w:rsidR="00855488">
        <w:t xml:space="preserve"> </w:t>
      </w:r>
      <w:r w:rsidR="00321303">
        <w:fldChar w:fldCharType="begin" w:fldLock="1"/>
      </w:r>
      <w:r w:rsidR="00ED42D4">
        <w:instrText>ADDIN CSL_CITATION { "citationItems" : [ { "id" : "ITEM-1", "itemData" : { "PMID" : "8080219", "abstract" : "Poorly controlled cancer pain is a significant public health problem throughout the world. There are many barriers that lead to undertreatment of cancer pain. One important barrier is inadequate measurement and assessment of pain. To address this problem, the Pain Research Group of the WHO Collaborating Centre for Symptom Evaluation in Cancer Care has developed the Brief Pain Inventory (BPI), a pain assessment tool for use with cancer patients. The BPI measures both the intensity of pain (sensory dimension) and interference of pain in the patient's life (reactive dimension). It also queries the patient about pain relief, pain quality, and patient perception of the cause of pain. This paper describes the development of the Brief Pain Inventory and the various applications to which the BPI is suited. The BPI is a powerful tool and, having demonstrated both reliability and validity across cultures and languages, is being adopted in many countries for clinical pain assessment, epidemiological studies, and in studies of the effectiveness of pain treatment.", "author" : [ { "dropping-particle" : "", "family" : "Cleeland", "given" : "C S", "non-dropping-particle" : "", "parse-names" : false, "suffix" : "" }, { "dropping-particle" : "", "family" : "Ryan", "given" : "K M", "non-dropping-particle" : "", "parse-names" : false, "suffix" : "" } ], "container-title" : "Annals Of The Academy Of Medicine Singapore", "id" : "ITEM-1", "issued" : { "date-parts" : [ [ "1994" ] ] }, "page" : "129-138", "title" : "Pain assessment: global use of the Brief Pain Inventory.", "type" : "article-journal", "volume" : "23" }, "uris" : [ "http://www.mendeley.com/documents/?uuid=521a4375-5cbd-496f-b926-a73a58254077", "http://www.mendeley.com/documents/?uuid=612f592d-fa11-426f-9e77-e82c59cbacfc" ] } ], "mendeley" : { "formattedCitation" : "&lt;sup&gt;7&lt;/sup&gt;", "plainTextFormattedCitation" : "7", "previouslyFormattedCitation" : "&lt;sup&gt;7&lt;/sup&gt;" }, "properties" : { "noteIndex" : 0 }, "schema" : "https://github.com/citation-style-language/schema/raw/master/csl-citation.json" }</w:instrText>
      </w:r>
      <w:r w:rsidR="00321303">
        <w:fldChar w:fldCharType="separate"/>
      </w:r>
      <w:r w:rsidR="00666857" w:rsidRPr="00666857">
        <w:rPr>
          <w:noProof/>
          <w:vertAlign w:val="superscript"/>
        </w:rPr>
        <w:t>7</w:t>
      </w:r>
      <w:r w:rsidR="00321303">
        <w:fldChar w:fldCharType="end"/>
      </w:r>
      <w:r w:rsidR="00D73422">
        <w:t xml:space="preserve"> </w:t>
      </w:r>
      <w:r w:rsidR="003B6D14">
        <w:t>–</w:t>
      </w:r>
      <w:r w:rsidR="00D73422">
        <w:t xml:space="preserve"> </w:t>
      </w:r>
      <w:r w:rsidR="003B6D14">
        <w:t>pain numerical rating scales only</w:t>
      </w:r>
      <w:r w:rsidR="00321303">
        <w:t xml:space="preserve">, Upper Extremity Functional </w:t>
      </w:r>
      <w:r w:rsidR="00321303">
        <w:lastRenderedPageBreak/>
        <w:t>I</w:t>
      </w:r>
      <w:r w:rsidR="00321303" w:rsidRPr="00D677E9">
        <w:t>ndex</w:t>
      </w:r>
      <w:r w:rsidR="00855488">
        <w:t xml:space="preserve"> </w:t>
      </w:r>
      <w:r w:rsidR="00321303">
        <w:fldChar w:fldCharType="begin" w:fldLock="1"/>
      </w:r>
      <w:r w:rsidR="00ED42D4">
        <w:instrText>ADDIN CSL_CITATION { "citationItems" : [ { "id" : "ITEM-1", "itemData" : { "author" : [ { "dropping-particle" : "", "family" : "Stratford", "given" : "Paul W", "non-dropping-particle" : "", "parse-names" : false, "suffix" : "" }, { "dropping-particle" : "", "family" : "Binkley", "given" : "Jill M", "non-dropping-particle" : "", "parse-names" : false, "suffix" : "" }, { "dropping-particle" : "", "family" : "Stratford", "given" : "DM", "non-dropping-particle" : "", "parse-names" : false, "suffix" : "" } ], "container-title" : "Physiotherapy Canada", "id" : "ITEM-1", "issue" : "4", "issued" : { "date-parts" : [ [ "2001" ] ] }, "page" : "259-267", "title" : "Development and initial validation of the upper extremity functional index", "type" : "article-journal", "volume" : "53" }, "uris" : [ "http://www.mendeley.com/documents/?uuid=c543e573-bcb8-4e7a-8270-71ac1fd717bd", "http://www.mendeley.com/documents/?uuid=9fa35c1d-6b5a-4162-a4fa-5a7643c7604b" ] } ], "mendeley" : { "formattedCitation" : "&lt;sup&gt;37&lt;/sup&gt;", "plainTextFormattedCitation" : "37", "previouslyFormattedCitation" : "&lt;sup&gt;36&lt;/sup&gt;" }, "properties" : { "noteIndex" : 0 }, "schema" : "https://github.com/citation-style-language/schema/raw/master/csl-citation.json" }</w:instrText>
      </w:r>
      <w:r w:rsidR="00321303">
        <w:fldChar w:fldCharType="separate"/>
      </w:r>
      <w:r w:rsidR="00ED42D4" w:rsidRPr="00ED42D4">
        <w:rPr>
          <w:noProof/>
          <w:vertAlign w:val="superscript"/>
        </w:rPr>
        <w:t>37</w:t>
      </w:r>
      <w:r w:rsidR="00321303">
        <w:fldChar w:fldCharType="end"/>
      </w:r>
      <w:r w:rsidR="00321303">
        <w:t>, Lower Extremity Functional I</w:t>
      </w:r>
      <w:r w:rsidR="00321303" w:rsidRPr="00D677E9">
        <w:t>ndex</w:t>
      </w:r>
      <w:r w:rsidR="00855488">
        <w:t xml:space="preserve"> </w:t>
      </w:r>
      <w:r w:rsidR="00321303">
        <w:fldChar w:fldCharType="begin" w:fldLock="1"/>
      </w:r>
      <w:r w:rsidR="00ED42D4">
        <w:instrText>ADDIN CSL_CITATION { "citationItems" : [ { "id" : "ITEM-1", "itemData" : { "abstract" : "Background and Purpose. The purpose of this study was to assess the reliability, construct validity, and sensitivity to change of the Lower Extremity Functional Scale (LEFS). Subjects and Methods. The LEFS was administered to 107 patients with lower-extremity musculoskeletal dys- function referred to 12 outpatient physical therapy clinics. Methods. The LEFS was administered during the initial assessment, 24 to 48 hours following the initial assessment, and then at weekly intervals for 4 weeks. The SF-36 (acute version) was administered during the initial assessment and at weekly intervals. A type 2,1 intraclass correlation coefficient was used to estimate test-retest reliability. Pearson correlations and one-way analyses of variance were used to examine construct validity. Spearman rank-order correlation coefficients were used to examine the relationship between an independent prognostic rating of change for each patient and change in the LEFS and SF-36 scores. Results. Test-retest reliability of the LEFS scores was excellent ( R 5 .94 [95% lower limit confidence interval (CI) 5 .89]). Correlations between the LEFS and the SF-36 physical function subscale and physical component score were r 5 .80 (95% lower limit CI 5 .73) and r 5 .64 (95% lower limit CI 5 .54), respectively. There was a higher correlation between the prognostic rating of change and the LEFS than between the prognostic rating of change and the SF-36 physical function score. The potential error associated with a score on the LEFS at a given point in time is 6 5.3 scale points (90% CI), the minimal detectable change is 9 scale points (90% CI), and the minimal clinically important difference is 9 scale points (90% CI). Conclusion and Discus- sion. The LEFS is reliable, and construct validity was supported by comparison with the SF-36. The sensitivity to change of the LEFS was superior to that of the SF-36 in this population. The LEFS is efficient to administer and score and is applicable for research purposes and clinical decision making for individual patients.", "author" : [ { "dropping-particle" : "", "family" : "Binkley", "given" : "Jill M", "non-dropping-particle" : "", "parse-names" : false, "suffix" : "" }, { "dropping-particle" : "", "family" : "Stratford", "given" : "Paul W", "non-dropping-particle" : "", "parse-names" : false, "suffix" : "" }, { "dropping-particle" : "", "family" : "Lott", "given" : "Sue Ann", "non-dropping-particle" : "", "parse-names" : false, "suffix" : "" }, { "dropping-particle" : "", "family" : "Riddle", "given" : "Daniel L", "non-dropping-particle" : "", "parse-names" : false, "suffix" : "" } ], "container-title" : "Physical Therapy", "id" : "ITEM-1", "issue" : "4", "issued" : { "date-parts" : [ [ "1999" ] ] }, "page" : "371-383", "title" : "The Lower Extremity Functional Scale ( LEFS ): Scale Development , Measurement Properties , and Clinical Application", "type" : "article-journal", "volume" : "79" }, "uris" : [ "http://www.mendeley.com/documents/?uuid=9937ae9a-5707-4afb-ba0d-9ad43e21c3e4", "http://www.mendeley.com/documents/?uuid=8f5cbe30-23fd-46c2-a155-3320a302425d" ] } ], "mendeley" : { "formattedCitation" : "&lt;sup&gt;3&lt;/sup&gt;", "plainTextFormattedCitation" : "3", "previouslyFormattedCitation" : "&lt;sup&gt;3&lt;/sup&gt;" }, "properties" : { "noteIndex" : 0 }, "schema" : "https://github.com/citation-style-language/schema/raw/master/csl-citation.json" }</w:instrText>
      </w:r>
      <w:r w:rsidR="00321303">
        <w:fldChar w:fldCharType="separate"/>
      </w:r>
      <w:r w:rsidR="00666857" w:rsidRPr="00666857">
        <w:rPr>
          <w:noProof/>
          <w:vertAlign w:val="superscript"/>
        </w:rPr>
        <w:t>3</w:t>
      </w:r>
      <w:r w:rsidR="00321303">
        <w:fldChar w:fldCharType="end"/>
      </w:r>
      <w:r w:rsidR="00321303" w:rsidRPr="00D677E9">
        <w:t>, Neg</w:t>
      </w:r>
      <w:r w:rsidR="00321303">
        <w:t>lect-like Symptom Questionnaire</w:t>
      </w:r>
      <w:r w:rsidR="00855488">
        <w:t xml:space="preserve"> </w:t>
      </w:r>
      <w:r w:rsidR="00321303">
        <w:fldChar w:fldCharType="begin" w:fldLock="1"/>
      </w:r>
      <w:r w:rsidR="00ED42D4">
        <w:instrText>ADDIN CSL_CITATION { "citationItems" : [ { "id" : "ITEM-1", "itemData" : { "abstract" : "Reflex sympathetic dystrophy (RSD), recently reclassified as a complex regional pain syndrome, type I (CRPS- I), is best known for its disabling sensory symptoms, including pain, allodynia, and abnormal skin temperature. Yet, motor dysfunction is common in CRPS and can result in major disability. In addition to weakness of the involved limb, CRPS patients may develop symptoms akin to a neurological neglect-like syndrome, whereby the limb may feel foreign (\u201ccognitive neglect\u201d) and directed mental and visual attention is needed to move the limb (\u201cmotor neglect\u201d). Members of the patient support group, the Reflex Sympathetic Dystrophy Syndrome Association (RSDSA), were mailed a questionnaire inserted in their newsletter which inquired about the presence of these neglect-like symptoms; in addition, a separate medical history questionnaire was included to assess adequate documentation for the diagnosis of CRPS. A total of 242 patients returned the questionnaire but only 224 of the questionnaires were analyzed; 15 were excluded due to inadequate documentation of CRPS and 3 were excluded due to non-limb involvement. Eighty-four percent (84%) of these respondents endorsed the presence of at least one neglect symptom and 47% indicated they had both \u201ccognitive\u201d and \u201cmotor\u201d neglect symptoms. Of interest, approximately 33% of respondents spontaneously wrote comments regarding the significant disability due to these neglect symptoms and the difficulty explaining these unusual symptoms to their health care providers and family. This patient survey confirms the presence of neglect-like symptoms in a subset of CRPS patients. Neglect-like symptoms need to be addressed and validated by health care providers.", "author" : [ { "dropping-particle" : "", "family" : "Galer", "given" : "Bradley", "non-dropping-particle" : "", "parse-names" : false, "suffix" : "" }, { "dropping-particle" : "", "family" : "Jensen", "given" : "Mark P", "non-dropping-particle" : "", "parse-names" : false, "suffix" : "" } ], "container-title" : "Journal of pain and symptom management", "id" : "ITEM-1", "issue" : "3", "issued" : { "date-parts" : [ [ "1999" ] ] }, "page" : "213-217", "title" : "Neglect-like symptoms in CRPS.Results of a self-administered survey.", "type" : "article-journal", "volume" : "18" }, "uris" : [ "http://www.mendeley.com/documents/?uuid=8dde5886-004f-47b0-add7-b127cab34ea8" ] } ], "mendeley" : { "formattedCitation" : "&lt;sup&gt;13&lt;/sup&gt;", "plainTextFormattedCitation" : "13", "previouslyFormattedCitation" : "&lt;sup&gt;13&lt;/sup&gt;" }, "properties" : { "noteIndex" : 0 }, "schema" : "https://github.com/citation-style-language/schema/raw/master/csl-citation.json" }</w:instrText>
      </w:r>
      <w:r w:rsidR="00321303">
        <w:fldChar w:fldCharType="separate"/>
      </w:r>
      <w:r w:rsidR="00666857" w:rsidRPr="00666857">
        <w:rPr>
          <w:noProof/>
          <w:vertAlign w:val="superscript"/>
        </w:rPr>
        <w:t>13</w:t>
      </w:r>
      <w:r w:rsidR="00321303">
        <w:fldChar w:fldCharType="end"/>
      </w:r>
      <w:r w:rsidR="00321303">
        <w:t>, Hospital Anxiety and Depression S</w:t>
      </w:r>
      <w:r w:rsidR="00321303" w:rsidRPr="00D677E9">
        <w:t>c</w:t>
      </w:r>
      <w:r w:rsidR="00B66E7C">
        <w:t>ale</w:t>
      </w:r>
      <w:r w:rsidR="00855488">
        <w:t xml:space="preserve"> </w:t>
      </w:r>
      <w:r w:rsidR="00321303">
        <w:fldChar w:fldCharType="begin" w:fldLock="1"/>
      </w:r>
      <w:r w:rsidR="00ED42D4">
        <w:instrText>ADDIN CSL_CITATION { "citationItems" : [ { "id" : "ITEM-1", "itemData" : { "author" : [ { "dropping-particle" : "", "family" : "Snaith", "given" : "R Philip", "non-dropping-particle" : "", "parse-names" : false, "suffix" : "" } ], "id" : "ITEM-1", "issued" : { "date-parts" : [ [ "2003" ] ] }, "page" : "6-9", "title" : "Health and Quality of Life Outcomes", "type" : "article-journal", "volume" : "4" }, "uris" : [ "http://www.mendeley.com/documents/?uuid=41e2f49d-bdbc-4ccf-88f9-b8456ca5d9c5", "http://www.mendeley.com/documents/?uuid=4833f9d9-93e2-47e9-96e2-1fd0caf3f6a5" ] } ], "mendeley" : { "formattedCitation" : "&lt;sup&gt;36&lt;/sup&gt;", "plainTextFormattedCitation" : "36", "previouslyFormattedCitation" : "&lt;sup&gt;35&lt;/sup&gt;" }, "properties" : { "noteIndex" : 0 }, "schema" : "https://github.com/citation-style-language/schema/raw/master/csl-citation.json" }</w:instrText>
      </w:r>
      <w:r w:rsidR="00321303">
        <w:fldChar w:fldCharType="separate"/>
      </w:r>
      <w:r w:rsidR="00ED42D4" w:rsidRPr="00ED42D4">
        <w:rPr>
          <w:noProof/>
          <w:vertAlign w:val="superscript"/>
        </w:rPr>
        <w:t>36</w:t>
      </w:r>
      <w:r w:rsidR="00321303">
        <w:fldChar w:fldCharType="end"/>
      </w:r>
      <w:r w:rsidR="00321303">
        <w:t>.</w:t>
      </w:r>
      <w:r w:rsidR="00855488">
        <w:t xml:space="preserve"> </w:t>
      </w:r>
      <w:r w:rsidR="00076F1A" w:rsidRPr="00A83D52">
        <w:t>Patients were not tested for the presence of referred sensations.</w:t>
      </w:r>
    </w:p>
    <w:p w14:paraId="31AD080C" w14:textId="77777777" w:rsidR="004216A1" w:rsidRDefault="004216A1"/>
    <w:p w14:paraId="561A75B2" w14:textId="2EC66C10" w:rsidR="00AD5BCD" w:rsidRDefault="00AD5BCD">
      <w:r>
        <w:t xml:space="preserve">Participants were </w:t>
      </w:r>
      <w:r w:rsidRPr="00C935D0">
        <w:t xml:space="preserve">fitted with </w:t>
      </w:r>
      <w:r>
        <w:t>the EGI electrolyte cap with 128 channels</w:t>
      </w:r>
      <w:r w:rsidR="002F505E">
        <w:t xml:space="preserve"> (although only 92</w:t>
      </w:r>
      <w:r w:rsidR="000D6FFF">
        <w:t xml:space="preserve"> channels were analysed – see pre-processing procedures)</w:t>
      </w:r>
      <w:r>
        <w:t xml:space="preserve">. </w:t>
      </w:r>
      <w:r w:rsidR="002C1BC2">
        <w:t xml:space="preserve">More details of the EEG set-up are in Supplementary Methods. </w:t>
      </w:r>
      <w:r>
        <w:t>Soft t</w:t>
      </w:r>
      <w:r w:rsidR="0009659E">
        <w:t>actile</w:t>
      </w:r>
      <w:r>
        <w:t xml:space="preserve"> stimuli were delivered to the </w:t>
      </w:r>
      <w:r w:rsidR="0009659E">
        <w:t>tips of the digits of both hands</w:t>
      </w:r>
      <w:r>
        <w:t xml:space="preserve"> using</w:t>
      </w:r>
      <w:r w:rsidR="0009659E">
        <w:t xml:space="preserve"> custom-</w:t>
      </w:r>
      <w:r>
        <w:t>made hand</w:t>
      </w:r>
      <w:r w:rsidR="00DC099C">
        <w:t>-</w:t>
      </w:r>
      <w:r>
        <w:t xml:space="preserve">boxes (one for each hand) </w:t>
      </w:r>
      <w:r w:rsidR="0009659E">
        <w:t>that</w:t>
      </w:r>
      <w:r>
        <w:t xml:space="preserve"> were calibrated to deliver non-painful stimuli wit</w:t>
      </w:r>
      <w:r w:rsidR="00052C20">
        <w:t>h the same force</w:t>
      </w:r>
      <w:r>
        <w:t xml:space="preserve">. </w:t>
      </w:r>
      <w:r w:rsidRPr="00C935D0">
        <w:t xml:space="preserve">The participants </w:t>
      </w:r>
      <w:r>
        <w:t>were</w:t>
      </w:r>
      <w:r w:rsidRPr="00C935D0">
        <w:t xml:space="preserve"> advised to repor</w:t>
      </w:r>
      <w:r>
        <w:t>t immediately if the sensation wa</w:t>
      </w:r>
      <w:r w:rsidRPr="00C935D0">
        <w:t>s uncomfortable or painful</w:t>
      </w:r>
      <w:r>
        <w:t>.</w:t>
      </w:r>
      <w:r w:rsidRPr="00C935D0">
        <w:t xml:space="preserve"> </w:t>
      </w:r>
      <w:r>
        <w:t>The fingertips were also checked after each session to check for any redness of the skin.</w:t>
      </w:r>
      <w:r w:rsidR="0009659E">
        <w:t xml:space="preserve"> With this device and the EEG, </w:t>
      </w:r>
      <w:r w:rsidR="00F30A29">
        <w:t>two</w:t>
      </w:r>
      <w:r>
        <w:t xml:space="preserve"> experiments </w:t>
      </w:r>
      <w:r w:rsidR="004216A1">
        <w:t>were conducted as follows.</w:t>
      </w:r>
    </w:p>
    <w:p w14:paraId="5022167D" w14:textId="77777777" w:rsidR="00CC3C35" w:rsidRDefault="00CC3C35"/>
    <w:p w14:paraId="46C597AB" w14:textId="77777777" w:rsidR="00680794" w:rsidRDefault="00680794">
      <w:pPr>
        <w:pStyle w:val="Heading3"/>
      </w:pPr>
      <w:r>
        <w:t>Experiment 1</w:t>
      </w:r>
    </w:p>
    <w:p w14:paraId="2558684B" w14:textId="55F1040A" w:rsidR="008B5004" w:rsidRDefault="00223A68">
      <w:r>
        <w:t>The main aim of E</w:t>
      </w:r>
      <w:r w:rsidR="004216A1">
        <w:t xml:space="preserve">xperiment 1 was to </w:t>
      </w:r>
      <w:r w:rsidR="00B309EE">
        <w:t>record (</w:t>
      </w:r>
      <w:proofErr w:type="spellStart"/>
      <w:r w:rsidR="00B309EE">
        <w:t>i</w:t>
      </w:r>
      <w:proofErr w:type="spellEnd"/>
      <w:r w:rsidR="00B309EE">
        <w:t xml:space="preserve">) behavioural </w:t>
      </w:r>
      <w:r w:rsidR="004B75D5">
        <w:t xml:space="preserve">accuracy and </w:t>
      </w:r>
      <w:r w:rsidR="00B309EE">
        <w:t>re</w:t>
      </w:r>
      <w:r w:rsidR="004B75D5">
        <w:t>sponse</w:t>
      </w:r>
      <w:r w:rsidR="00B309EE">
        <w:t xml:space="preserve"> time for </w:t>
      </w:r>
      <w:r w:rsidR="004B75D5">
        <w:t>identification of</w:t>
      </w:r>
      <w:r w:rsidR="00052C20">
        <w:t xml:space="preserve"> </w:t>
      </w:r>
      <w:r w:rsidR="00B309EE">
        <w:t xml:space="preserve">each </w:t>
      </w:r>
      <w:r w:rsidR="00052C20">
        <w:t>digit stimulated</w:t>
      </w:r>
      <w:r w:rsidR="00B309EE">
        <w:t xml:space="preserve">, (ii) </w:t>
      </w:r>
      <w:r w:rsidR="00052C20">
        <w:t>SEPs</w:t>
      </w:r>
      <w:r w:rsidR="00B309EE">
        <w:t xml:space="preserve"> related to task-relevant </w:t>
      </w:r>
      <w:r w:rsidR="00DC099C">
        <w:t xml:space="preserve">and spatially probabilistic </w:t>
      </w:r>
      <w:r w:rsidR="00052C20">
        <w:t>tactile processing</w:t>
      </w:r>
      <w:r w:rsidR="00B309EE">
        <w:t>.</w:t>
      </w:r>
      <w:r w:rsidR="00DC099C">
        <w:t xml:space="preserve"> </w:t>
      </w:r>
      <w:r w:rsidR="008B5004">
        <w:t xml:space="preserve">The experiment consisted of 80 trials per block and four blocks per hand. </w:t>
      </w:r>
      <w:r w:rsidR="002C4E37">
        <w:t xml:space="preserve">The participants were given a small break of few minutes between each block. </w:t>
      </w:r>
      <w:r w:rsidR="008B5004">
        <w:t>Only one hand was tested in a block and the order of the hand stimulation was randomised across blocks. Each trial lasted a maximum of 3 seconds, or terminated sooner depending on the speed of participant responses. The 80 trials per block were split into 30 each for thumb</w:t>
      </w:r>
      <w:r w:rsidR="00BD180F">
        <w:t xml:space="preserve"> (digit 1)</w:t>
      </w:r>
      <w:r w:rsidR="008B5004">
        <w:t xml:space="preserve"> and little finger </w:t>
      </w:r>
      <w:r w:rsidR="00BD180F">
        <w:t xml:space="preserve">(digit 5) </w:t>
      </w:r>
      <w:r w:rsidR="008B5004">
        <w:t>and the remaining 20 split between the remaining three f</w:t>
      </w:r>
      <w:r w:rsidR="004B75D5">
        <w:t>ingers (F</w:t>
      </w:r>
      <w:r w:rsidR="002C4E37">
        <w:t xml:space="preserve">igure </w:t>
      </w:r>
      <w:r w:rsidR="004B75D5">
        <w:t>1a</w:t>
      </w:r>
      <w:r w:rsidR="002C4E37">
        <w:t>). This resulted in a significantly high</w:t>
      </w:r>
      <w:r w:rsidR="00E22C1E">
        <w:t>er</w:t>
      </w:r>
      <w:r w:rsidR="002C4E37">
        <w:t xml:space="preserve"> probability of digits </w:t>
      </w:r>
      <w:r w:rsidR="002C4E37">
        <w:lastRenderedPageBreak/>
        <w:t>1 and 5 (37.5% of the time for each, or 75% in total) being stimulated compared to digits 2, 3 and 4 (8.3% each, or 25% in total).</w:t>
      </w:r>
      <w:r w:rsidR="00E22C1E">
        <w:t xml:space="preserve"> </w:t>
      </w:r>
      <w:r w:rsidR="00877542">
        <w:t xml:space="preserve">Over the 4 blocks, 80 trials were presented for the total of the middle three digits (D2-D4) and 120 for each of the little finger and thumb; this provided more than enough data for robust measurement of the P300 potential, thought to require a minimum of 36 clean trials </w:t>
      </w:r>
      <w:r w:rsidR="00877542">
        <w:fldChar w:fldCharType="begin" w:fldLock="1"/>
      </w:r>
      <w:r w:rsidR="00ED42D4">
        <w:instrText>ADDIN CSL_CITATION { "citationItems" : [ { "id" : "ITEM-1", "itemData" : { "DOI" : "10.1016/j.clinph.2009.07.045", "ISSN" : "13882457", "abstract" : "This paper describes recommended methods for the use of event-related brain potentials (ERPs) in clinical research and reviews applications to a variety of psychiatric and neurological disorders. Techniques are presented for eliciting, recording, and quantifying three major cognitive components with confirmed clinical utility: mismatch negativity (MMN), P300, and N400. Also highlighted are applications of each of the components as methods of investigating central nervous system pathology. The guidelines are intended to assist investigators who use ERPs in clinical research, in an effort to provide clear and concise recommendations and thereby to standardize methodology and facilitate comparability of data across laboratories.", "author" : [ { "dropping-particle" : "", "family" : "Duncan", "given" : "Connie C.", "non-dropping-particle" : "", "parse-names" : false, "suffix" : "" }, { "dropping-particle" : "", "family" : "Barry", "given" : "Robert J.", "non-dropping-particle" : "", "parse-names" : false, "suffix" : "" }, { "dropping-particle" : "", "family" : "Connolly", "given" : "John F.", "non-dropping-particle" : "", "parse-names" : false, "suffix" : "" }, { "dropping-particle" : "", "family" : "Fischer", "given" : "Catherine", "non-dropping-particle" : "", "parse-names" : false, "suffix" : "" }, { "dropping-particle" : "", "family" : "Michie", "given" : "Patricia T.", "non-dropping-particle" : "", "parse-names" : false, "suffix" : "" }, { "dropping-particle" : "", "family" : "N\u00e4\u00e4t\u00e4nen", "given" : "Risto", "non-dropping-particle" : "", "parse-names" : false, "suffix" : "" }, { "dropping-particle" : "", "family" : "Polich", "given" : "John", "non-dropping-particle" : "", "parse-names" : false, "suffix" : "" }, { "dropping-particle" : "", "family" : "Reinvang", "given" : "Ivar", "non-dropping-particle" : "", "parse-names" : false, "suffix" : "" }, { "dropping-particle" : "", "family" : "Petten", "given" : "Cyma", "non-dropping-particle" : "Van", "parse-names" : false, "suffix" : "" } ], "container-title" : "Clinical Neurophysiology", "id" : "ITEM-1", "issue" : "11", "issued" : { "date-parts" : [ [ "2009" ] ] }, "page" : "1883-1908", "title" : "Event-related potentials in clinical research: Guidelines for eliciting, recording, and quantifying mismatch negativity, P300, and N400", "type" : "article-journal", "volume" : "120" }, "uris" : [ "http://www.mendeley.com/documents/?uuid=61e76f7a-610c-349f-a273-00c071d20cf1" ] } ], "mendeley" : { "formattedCitation" : "&lt;sup&gt;11&lt;/sup&gt;", "plainTextFormattedCitation" : "11", "previouslyFormattedCitation" : "&lt;sup&gt;11&lt;/sup&gt;" }, "properties" : { "noteIndex" : 0 }, "schema" : "https://github.com/citation-style-language/schema/raw/master/csl-citation.json" }</w:instrText>
      </w:r>
      <w:r w:rsidR="00877542">
        <w:fldChar w:fldCharType="separate"/>
      </w:r>
      <w:r w:rsidR="00666857" w:rsidRPr="00666857">
        <w:rPr>
          <w:noProof/>
          <w:vertAlign w:val="superscript"/>
        </w:rPr>
        <w:t>11</w:t>
      </w:r>
      <w:r w:rsidR="00877542">
        <w:fldChar w:fldCharType="end"/>
      </w:r>
      <w:r w:rsidR="00877542">
        <w:t>.</w:t>
      </w:r>
    </w:p>
    <w:p w14:paraId="4BA5D1AC" w14:textId="77777777" w:rsidR="008B5004" w:rsidRDefault="008B5004"/>
    <w:p w14:paraId="336997D0" w14:textId="21118AC7" w:rsidR="004216A1" w:rsidRDefault="008B5004">
      <w:r>
        <w:t>For each block, p</w:t>
      </w:r>
      <w:r w:rsidR="004216A1">
        <w:t>articipant</w:t>
      </w:r>
      <w:r w:rsidR="00983DE3">
        <w:t>s were instructed</w:t>
      </w:r>
      <w:r w:rsidR="004216A1">
        <w:t xml:space="preserve"> to place one hand on the </w:t>
      </w:r>
      <w:r w:rsidR="00983DE3">
        <w:t xml:space="preserve">corresponding </w:t>
      </w:r>
      <w:r w:rsidR="004216A1">
        <w:t>hand</w:t>
      </w:r>
      <w:r w:rsidR="00552E5E">
        <w:t>-</w:t>
      </w:r>
      <w:r w:rsidR="004216A1">
        <w:t>box</w:t>
      </w:r>
      <w:r w:rsidR="00983DE3">
        <w:t xml:space="preserve"> at a time. The digit positions on the hand</w:t>
      </w:r>
      <w:r w:rsidR="00552E5E">
        <w:t>-</w:t>
      </w:r>
      <w:r w:rsidR="00983DE3">
        <w:t>box</w:t>
      </w:r>
      <w:r w:rsidR="004216A1">
        <w:t xml:space="preserve"> were numbered consecutively from one to five starting with thumb (i.e.; thumb=1, index finger=2, middle finger =3, ring finger=4 and little finger=5)</w:t>
      </w:r>
      <w:r w:rsidR="002472E7">
        <w:t xml:space="preserve"> – see F</w:t>
      </w:r>
      <w:r w:rsidR="00983DE3">
        <w:t xml:space="preserve">igure </w:t>
      </w:r>
      <w:r w:rsidR="002472E7">
        <w:t>1a</w:t>
      </w:r>
      <w:r w:rsidR="004216A1">
        <w:t>.</w:t>
      </w:r>
      <w:r w:rsidR="00983DE3">
        <w:t xml:space="preserve"> Each time the subject received a stimulus</w:t>
      </w:r>
      <w:r w:rsidR="00F744B5">
        <w:t xml:space="preserve"> (with duration of 0.05s)</w:t>
      </w:r>
      <w:r w:rsidR="00983DE3">
        <w:t xml:space="preserve"> on a digit they responded by verbalising the number corresponding to that digit. A</w:t>
      </w:r>
      <w:r w:rsidR="004216A1">
        <w:t xml:space="preserve"> microphone attached to the EMG leads on the polygraph input box</w:t>
      </w:r>
      <w:r w:rsidR="00983DE3">
        <w:t xml:space="preserve"> was used</w:t>
      </w:r>
      <w:r w:rsidR="004216A1">
        <w:t xml:space="preserve"> to capt</w:t>
      </w:r>
      <w:r w:rsidR="00983DE3">
        <w:t xml:space="preserve">ure the participant’s response </w:t>
      </w:r>
      <w:r w:rsidR="004216A1">
        <w:t>time</w:t>
      </w:r>
      <w:r w:rsidR="00983DE3">
        <w:t>,</w:t>
      </w:r>
      <w:r w:rsidR="004216A1">
        <w:t xml:space="preserve"> measured</w:t>
      </w:r>
      <w:r w:rsidR="00983DE3">
        <w:t xml:space="preserve"> as the time</w:t>
      </w:r>
      <w:r w:rsidR="004216A1">
        <w:t xml:space="preserve"> from the delivery of the stimulus to the start of the voice deflection on the EMG lead recording.</w:t>
      </w:r>
      <w:r w:rsidR="00F347DA" w:rsidRPr="00F347DA">
        <w:t xml:space="preserve"> </w:t>
      </w:r>
      <w:r w:rsidR="00F347DA">
        <w:t>Following verbal responses, the experimenter manually triggered the next stimulus by a key-press.</w:t>
      </w:r>
      <w:r w:rsidR="00076F1A">
        <w:t xml:space="preserve"> </w:t>
      </w:r>
      <w:r w:rsidR="00076F1A" w:rsidRPr="00A83D52">
        <w:t>The time taken for the experimenter to enter the response could not be strictly standardised but an effort was made for it to be as consistent as possible.</w:t>
      </w:r>
    </w:p>
    <w:p w14:paraId="74F1E8B7" w14:textId="77777777" w:rsidR="004216A1" w:rsidRPr="004216A1" w:rsidRDefault="004216A1"/>
    <w:p w14:paraId="7F79B2BB" w14:textId="77777777" w:rsidR="00AD5BCD" w:rsidRDefault="00680794">
      <w:pPr>
        <w:pStyle w:val="Heading3"/>
      </w:pPr>
      <w:r>
        <w:t>Experiment 2</w:t>
      </w:r>
    </w:p>
    <w:p w14:paraId="7ACAB2AE" w14:textId="37BA5F02" w:rsidR="004216A1" w:rsidRDefault="004216A1">
      <w:r w:rsidRPr="00C11EB5">
        <w:t xml:space="preserve">The main aim of </w:t>
      </w:r>
      <w:r w:rsidR="00223A68">
        <w:t>the E</w:t>
      </w:r>
      <w:r w:rsidR="004E0BD4">
        <w:t>xperiment 2</w:t>
      </w:r>
      <w:r>
        <w:t xml:space="preserve"> was to </w:t>
      </w:r>
      <w:r w:rsidR="00CC3C35">
        <w:t>study group differences in SEPs</w:t>
      </w:r>
      <w:r w:rsidR="004E0BD4">
        <w:t xml:space="preserve"> </w:t>
      </w:r>
      <w:r w:rsidR="002472E7">
        <w:t xml:space="preserve">in the absence of </w:t>
      </w:r>
      <w:r w:rsidR="00E85686">
        <w:t xml:space="preserve">cognitive </w:t>
      </w:r>
      <w:r w:rsidR="002472E7">
        <w:t>task demands</w:t>
      </w:r>
      <w:r>
        <w:t xml:space="preserve">. </w:t>
      </w:r>
      <w:r w:rsidR="00BC3C47">
        <w:t>In this experiment, participants were instructed to sit relaxed with eyes closed and head still and without responding to stimuli. 100 stimuli were del</w:t>
      </w:r>
      <w:r w:rsidR="002472E7">
        <w:t>ivered per digit of each hand (F</w:t>
      </w:r>
      <w:r w:rsidR="00BC3C47">
        <w:t>igure</w:t>
      </w:r>
      <w:r w:rsidR="002472E7">
        <w:t xml:space="preserve"> 1a</w:t>
      </w:r>
      <w:r w:rsidR="00BC3C47">
        <w:t xml:space="preserve">), split into two blocks per hand with the block order </w:t>
      </w:r>
      <w:r w:rsidR="00BC3C47">
        <w:lastRenderedPageBreak/>
        <w:t>randomised. The digit order of stimulation was randomised within each block. Stimuli were delivered at 1 Hz: the stimulus duration was 0.05s with an inter</w:t>
      </w:r>
      <w:r w:rsidR="00552E5E">
        <w:t>-</w:t>
      </w:r>
      <w:r w:rsidR="00BC3C47">
        <w:t xml:space="preserve">stimulus interval of 0.95s. There was a 10s break after every 50 stimuli. </w:t>
      </w:r>
    </w:p>
    <w:p w14:paraId="4D35BC10" w14:textId="77777777" w:rsidR="00AD5BCD" w:rsidRDefault="00AD5BCD" w:rsidP="00F4581E">
      <w:pPr>
        <w:pStyle w:val="Basictext"/>
        <w:spacing w:line="480" w:lineRule="auto"/>
      </w:pPr>
    </w:p>
    <w:p w14:paraId="217C9F96" w14:textId="77777777" w:rsidR="00AD5BCD" w:rsidRPr="00BE1A4B" w:rsidRDefault="00AD5BCD">
      <w:pPr>
        <w:pStyle w:val="Heading2"/>
      </w:pPr>
      <w:r>
        <w:t>EEG</w:t>
      </w:r>
      <w:r w:rsidRPr="00596B0B">
        <w:t xml:space="preserve"> data acquisition and pre-processing</w:t>
      </w:r>
    </w:p>
    <w:p w14:paraId="4502F4F0" w14:textId="4A358529" w:rsidR="00141168" w:rsidRDefault="00AD5BCD">
      <w:r w:rsidRPr="00BE1A4B">
        <w:t xml:space="preserve">During the experiment, 128-channel high-density EEG </w:t>
      </w:r>
      <w:r w:rsidR="003C226E">
        <w:t xml:space="preserve">was recorded </w:t>
      </w:r>
      <w:r w:rsidR="006534CE">
        <w:t xml:space="preserve">(but only 92 channels analysed) </w:t>
      </w:r>
      <w:r w:rsidR="003C226E" w:rsidRPr="00BE1A4B">
        <w:t>using the Net Amps 300 amplifier (Electrical Geodesics Inc.,</w:t>
      </w:r>
      <w:r w:rsidR="003C226E">
        <w:t xml:space="preserve"> </w:t>
      </w:r>
      <w:r w:rsidR="003C226E" w:rsidRPr="00BE1A4B">
        <w:t>Oregon, USA).</w:t>
      </w:r>
      <w:r w:rsidR="003C226E">
        <w:t xml:space="preserve"> </w:t>
      </w:r>
      <w:r w:rsidR="0071603B">
        <w:t>Due to the use of</w:t>
      </w:r>
      <w:r w:rsidR="0071603B" w:rsidRPr="005253BC">
        <w:t xml:space="preserve"> naturalistic touch stimul</w:t>
      </w:r>
      <w:r w:rsidR="0071603B">
        <w:t>i with relatively long</w:t>
      </w:r>
      <w:r w:rsidR="0071603B" w:rsidRPr="005253BC">
        <w:t xml:space="preserve"> stimulus duration</w:t>
      </w:r>
      <w:r w:rsidR="0071603B">
        <w:t>s</w:t>
      </w:r>
      <w:r w:rsidR="0071603B" w:rsidRPr="005253BC">
        <w:t xml:space="preserve"> </w:t>
      </w:r>
      <w:r w:rsidR="0071603B">
        <w:t xml:space="preserve">(compared to </w:t>
      </w:r>
      <w:r w:rsidR="0071603B" w:rsidRPr="005253BC">
        <w:t>electrical stimuli</w:t>
      </w:r>
      <w:r w:rsidR="0071603B">
        <w:t xml:space="preserve">, for example), early components (e.g. &lt;100ms) were expected to be difficult to detect, </w:t>
      </w:r>
      <w:r w:rsidR="008874D8">
        <w:t>and as our main interest was long-latency components,</w:t>
      </w:r>
      <w:r w:rsidR="0071603B">
        <w:t xml:space="preserve"> the sampling rate was set </w:t>
      </w:r>
      <w:r w:rsidRPr="00BE1A4B">
        <w:t>at 250 H</w:t>
      </w:r>
      <w:r w:rsidR="003C226E">
        <w:t>z</w:t>
      </w:r>
      <w:r w:rsidR="00E85686">
        <w:t xml:space="preserve">. </w:t>
      </w:r>
      <w:r w:rsidR="003C226E">
        <w:t xml:space="preserve"> </w:t>
      </w:r>
      <w:r w:rsidR="00EA0BD2">
        <w:t>The v</w:t>
      </w:r>
      <w:r w:rsidR="00E85686">
        <w:t xml:space="preserve">ertex electrode </w:t>
      </w:r>
      <w:r w:rsidR="00EA0BD2">
        <w:t>(</w:t>
      </w:r>
      <w:proofErr w:type="spellStart"/>
      <w:proofErr w:type="gramStart"/>
      <w:r w:rsidR="00EA0BD2">
        <w:t>Cz</w:t>
      </w:r>
      <w:proofErr w:type="spellEnd"/>
      <w:proofErr w:type="gramEnd"/>
      <w:r w:rsidR="00EA0BD2">
        <w:t xml:space="preserve">) </w:t>
      </w:r>
      <w:r w:rsidR="00E85686">
        <w:t>was used as a reference</w:t>
      </w:r>
      <w:r w:rsidR="003C226E">
        <w:t xml:space="preserve">. </w:t>
      </w:r>
      <w:r w:rsidRPr="00BE1A4B">
        <w:t>Data from</w:t>
      </w:r>
      <w:r>
        <w:t xml:space="preserve"> </w:t>
      </w:r>
      <w:r w:rsidRPr="00BE1A4B">
        <w:t>9</w:t>
      </w:r>
      <w:r w:rsidR="002F505E">
        <w:t>2</w:t>
      </w:r>
      <w:r w:rsidRPr="00BE1A4B">
        <w:t xml:space="preserve"> channels over the scalp surface (at locations</w:t>
      </w:r>
      <w:r>
        <w:t xml:space="preserve"> </w:t>
      </w:r>
      <w:r w:rsidRPr="00BE1A4B">
        <w:t>shown in</w:t>
      </w:r>
      <w:r w:rsidR="00A773B7">
        <w:t xml:space="preserve"> </w:t>
      </w:r>
      <w:r w:rsidR="003A0450">
        <w:t xml:space="preserve">supplementary </w:t>
      </w:r>
      <w:r w:rsidR="008874D8">
        <w:t>F</w:t>
      </w:r>
      <w:r w:rsidR="00A773B7">
        <w:t xml:space="preserve">igure </w:t>
      </w:r>
      <w:r w:rsidR="008874D8">
        <w:t>1</w:t>
      </w:r>
      <w:r w:rsidRPr="00BE1A4B">
        <w:t>)</w:t>
      </w:r>
      <w:r>
        <w:t xml:space="preserve"> </w:t>
      </w:r>
      <w:r w:rsidRPr="00BE1A4B">
        <w:t>wer</w:t>
      </w:r>
      <w:r w:rsidR="00C52FC7">
        <w:t>e retained for further analysis, with c</w:t>
      </w:r>
      <w:r w:rsidRPr="00BE1A4B">
        <w:t xml:space="preserve">hannels </w:t>
      </w:r>
      <w:r w:rsidR="00C52FC7" w:rsidRPr="00BE1A4B">
        <w:t xml:space="preserve">excluded </w:t>
      </w:r>
      <w:r w:rsidRPr="00BE1A4B">
        <w:t>on the</w:t>
      </w:r>
      <w:r>
        <w:t xml:space="preserve"> </w:t>
      </w:r>
      <w:r w:rsidRPr="00BE1A4B">
        <w:t>neck, cheeks and forehead, which mostly contributed</w:t>
      </w:r>
      <w:r>
        <w:t xml:space="preserve"> </w:t>
      </w:r>
      <w:r w:rsidRPr="00BE1A4B">
        <w:t>movement</w:t>
      </w:r>
      <w:r w:rsidR="00C52FC7">
        <w:t>-</w:t>
      </w:r>
      <w:r w:rsidRPr="00BE1A4B">
        <w:t>related</w:t>
      </w:r>
      <w:r>
        <w:t xml:space="preserve"> </w:t>
      </w:r>
      <w:r w:rsidR="00C52FC7">
        <w:t>noise than signal in patients</w:t>
      </w:r>
      <w:r w:rsidRPr="00BE1A4B">
        <w:t>.</w:t>
      </w:r>
      <w:r>
        <w:t xml:space="preserve"> </w:t>
      </w:r>
    </w:p>
    <w:p w14:paraId="1D7B84EA" w14:textId="77777777" w:rsidR="000C2908" w:rsidRDefault="000C2908"/>
    <w:p w14:paraId="26A6C3CD" w14:textId="56A80ADD" w:rsidR="007935A1" w:rsidRDefault="003C226E">
      <w:r>
        <w:t xml:space="preserve">EEG data </w:t>
      </w:r>
      <w:r w:rsidRPr="00240444">
        <w:t>pre-processing</w:t>
      </w:r>
      <w:r>
        <w:t xml:space="preserve"> was performed using EEG</w:t>
      </w:r>
      <w:r w:rsidR="00305528">
        <w:t xml:space="preserve">LAB </w:t>
      </w:r>
      <w:r>
        <w:t>version 13.1.1</w:t>
      </w:r>
      <w:r w:rsidR="00E61DD9">
        <w:t xml:space="preserve"> </w:t>
      </w:r>
      <w:r w:rsidR="00E61DD9">
        <w:fldChar w:fldCharType="begin" w:fldLock="1"/>
      </w:r>
      <w:r w:rsidR="00ED42D4">
        <w:instrText>ADDIN CSL_CITATION { "citationItems" : [ { "id" : "ITEM-1", "itemData" : { "ISSN" : "0165-0270", "abstract" : "We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 (http://www.sccn.ucsd.edu/eeglab/) under the GNU public license for noncommercial use and open source development, together with sample data, user tutorial and extensive documentation.", "author" : [ { "dropping-particle" : "", "family" : "Delorme", "given" : "Arnaud", "non-dropping-particle" : "", "parse-names" : false, "suffix" : "" }, { "dropping-particle" : "", "family" : "Makeig", "given" : "Scott", "non-dropping-particle" : "", "parse-names" : false, "suffix" : "" } ], "container-title" : "Journal of neuroscience methods", "id" : "ITEM-1", "issue" : "1", "issued" : { "date-parts" : [ [ "2004", "3" ] ] }, "page" : "9-21", "title" : "EEGLAB: an open source toolbox for analysis of single-trial EEG dynamics including independent component analysis", "type" : "article-journal", "volume" : "134" }, "uris" : [ "http://www.mendeley.com/documents/?uuid=22079927-60e3-4095-be72-988cc388ab4f", "http://www.mendeley.com/documents/?uuid=ab2e33a5-d3c2-4d61-8434-7fb4086b0761" ] } ], "mendeley" : { "formattedCitation" : "&lt;sup&gt;9&lt;/sup&gt;", "plainTextFormattedCitation" : "9", "previouslyFormattedCitation" : "&lt;sup&gt;9&lt;/sup&gt;" }, "properties" : { "noteIndex" : 0 }, "schema" : "https://github.com/citation-style-language/schema/raw/master/csl-citation.json" }</w:instrText>
      </w:r>
      <w:r w:rsidR="00E61DD9">
        <w:fldChar w:fldCharType="separate"/>
      </w:r>
      <w:r w:rsidR="00666857" w:rsidRPr="00666857">
        <w:rPr>
          <w:noProof/>
          <w:vertAlign w:val="superscript"/>
        </w:rPr>
        <w:t>9</w:t>
      </w:r>
      <w:r w:rsidR="00E61DD9">
        <w:fldChar w:fldCharType="end"/>
      </w:r>
      <w:r w:rsidRPr="00240444">
        <w:t>.</w:t>
      </w:r>
      <w:r>
        <w:t xml:space="preserve"> </w:t>
      </w:r>
      <w:r w:rsidR="003A0450">
        <w:t>C</w:t>
      </w:r>
      <w:r>
        <w:t>ontinuous</w:t>
      </w:r>
      <w:r w:rsidR="00AD5BCD" w:rsidRPr="00710CBA">
        <w:t xml:space="preserve"> data were </w:t>
      </w:r>
      <w:r w:rsidR="00182A8D">
        <w:t xml:space="preserve">initially </w:t>
      </w:r>
      <w:r w:rsidR="00254FAA">
        <w:t>high-</w:t>
      </w:r>
      <w:r w:rsidR="00AD5BCD" w:rsidRPr="00710CBA">
        <w:t xml:space="preserve">pass </w:t>
      </w:r>
      <w:r w:rsidR="00182A8D">
        <w:t xml:space="preserve">filtered at 0.5 Hz and low pass filtered at 30Hz. </w:t>
      </w:r>
      <w:r w:rsidR="00AB06E0">
        <w:t xml:space="preserve">After filtering, data were </w:t>
      </w:r>
      <w:r w:rsidR="00AD5BCD" w:rsidRPr="00710CBA">
        <w:t>segmented into epochs</w:t>
      </w:r>
      <w:r w:rsidR="00E54C37">
        <w:t xml:space="preserve"> </w:t>
      </w:r>
      <w:r w:rsidR="00471B4A">
        <w:t>including from 200</w:t>
      </w:r>
      <w:r w:rsidR="00AD5BCD" w:rsidRPr="00710CBA">
        <w:t xml:space="preserve">ms preceding the stimulus </w:t>
      </w:r>
      <w:r w:rsidR="00471B4A">
        <w:t>to 800</w:t>
      </w:r>
      <w:r w:rsidR="00AD5BCD" w:rsidRPr="00710CBA">
        <w:t xml:space="preserve">ms </w:t>
      </w:r>
      <w:r w:rsidR="00471B4A">
        <w:t>post-</w:t>
      </w:r>
      <w:r w:rsidR="00AD5BCD" w:rsidRPr="00710CBA">
        <w:t>stimulus. Data containing excessive eye movement or muscular artefact were</w:t>
      </w:r>
      <w:r w:rsidR="00AD5BCD">
        <w:t xml:space="preserve"> </w:t>
      </w:r>
      <w:r w:rsidR="00AD5BCD" w:rsidRPr="00710CBA">
        <w:t>rejected by a quasi-automated procedure: noisy channels and epochs were identified by calculating their normalised variance and then manually rejected or retained by visual confirmation. Independent component analysis (ICA)</w:t>
      </w:r>
      <w:r w:rsidR="00AD5BCD">
        <w:t xml:space="preserve"> based </w:t>
      </w:r>
      <w:r w:rsidR="00AD5BCD" w:rsidRPr="005E3793">
        <w:t xml:space="preserve">on the </w:t>
      </w:r>
      <w:proofErr w:type="spellStart"/>
      <w:r w:rsidR="00AD5BCD" w:rsidRPr="005E3793">
        <w:t>Infomax</w:t>
      </w:r>
      <w:proofErr w:type="spellEnd"/>
      <w:r w:rsidR="00AD5BCD" w:rsidRPr="005E3793">
        <w:t xml:space="preserve"> ICA algorithm</w:t>
      </w:r>
      <w:r w:rsidR="00AD5BCD">
        <w:t xml:space="preserve"> </w:t>
      </w:r>
      <w:r w:rsidR="00AD5BCD">
        <w:fldChar w:fldCharType="begin" w:fldLock="1"/>
      </w:r>
      <w:r w:rsidR="00ED42D4">
        <w:instrText>ADDIN CSL_CITATION { "citationItems" : [ { "id" : "ITEM-1", "itemData" : { "ISSN" : "0899-7667", "abstract" : "We derive a new self-organizing learning algorithm that maximizes the information transferred in a network of nonlinear units. The algorithm does not assume any knowledge of the input distributions, and is defined here for the zero-noise limit. Under these conditions, information maximization has extra properties not found in the linear case (Linsker 1989). The nonlinearities in the transfer function are able to pick up higher-order moments of the input distributions and perform something akin to true redundancy reduction between units in the output representation. This enables the network to separate statistically independent components in the inputs: a higher-order generalization of principal components analysis. We apply the network to the source separation (or cocktail party) problem, successfully separating unknown mixtures of up to 10 speakers. We also show that a variant on the network architecture is able to perform blind deconvolution (cancellation of unknown echoes and reverberation in a speech signal). Finally, we derive dependencies of information transfer on time delays. We suggest that information maximization provides a unifying framework for problems in \"blind\" signal processing.", "author" : [ { "dropping-particle" : "", "family" : "Bell", "given" : "A J", "non-dropping-particle" : "", "parse-names" : false, "suffix" : "" }, { "dropping-particle" : "", "family" : "Sejnowski", "given" : "T J", "non-dropping-particle" : "", "parse-names" : false, "suffix" : "" } ], "container-title" : "Neural computation", "id" : "ITEM-1", "issue" : "6", "issued" : { "date-parts" : [ [ "1995", "11" ] ] }, "page" : "1129-59", "title" : "An information-maximization approach to blind separation and blind deconvolution", "type" : "article-journal", "volume" : "7" }, "uris" : [ "http://www.mendeley.com/documents/?uuid=c5a04361-ace7-45f8-9967-e167d1918d01", "http://www.mendeley.com/documents/?uuid=b501b79c-40c8-4073-b5f0-7bed5e88ba63" ] } ], "mendeley" : { "formattedCitation" : "&lt;sup&gt;2&lt;/sup&gt;", "plainTextFormattedCitation" : "2", "previouslyFormattedCitation" : "&lt;sup&gt;2&lt;/sup&gt;" }, "properties" : { "noteIndex" : 0 }, "schema" : "https://github.com/citation-style-language/schema/raw/master/csl-citation.json" }</w:instrText>
      </w:r>
      <w:r w:rsidR="00AD5BCD">
        <w:fldChar w:fldCharType="separate"/>
      </w:r>
      <w:r w:rsidR="00666857" w:rsidRPr="00666857">
        <w:rPr>
          <w:noProof/>
          <w:vertAlign w:val="superscript"/>
        </w:rPr>
        <w:t>2</w:t>
      </w:r>
      <w:r w:rsidR="00AD5BCD">
        <w:fldChar w:fldCharType="end"/>
      </w:r>
      <w:r w:rsidR="00AD5BCD" w:rsidRPr="00710CBA">
        <w:t xml:space="preserve"> was run on the clean data excluding bad channels using</w:t>
      </w:r>
      <w:r w:rsidR="00305528">
        <w:t xml:space="preserve"> the</w:t>
      </w:r>
      <w:r w:rsidR="00AD5BCD" w:rsidRPr="00710CBA">
        <w:t xml:space="preserve"> ‘</w:t>
      </w:r>
      <w:proofErr w:type="spellStart"/>
      <w:r w:rsidR="00AD5BCD" w:rsidRPr="00710CBA">
        <w:t>runica</w:t>
      </w:r>
      <w:proofErr w:type="spellEnd"/>
      <w:r w:rsidR="00AD5BCD" w:rsidRPr="00710CBA">
        <w:t xml:space="preserve">’ </w:t>
      </w:r>
      <w:r w:rsidR="00305528">
        <w:t>function in EEGLAB</w:t>
      </w:r>
      <w:r w:rsidR="00AD5BCD" w:rsidRPr="00710CBA">
        <w:t xml:space="preserve">. ICA components </w:t>
      </w:r>
      <w:r w:rsidR="00AD5BCD" w:rsidRPr="00710CBA">
        <w:lastRenderedPageBreak/>
        <w:t>were visually inspe</w:t>
      </w:r>
      <w:r w:rsidR="00E61DD9">
        <w:t>cted and bad components rejected</w:t>
      </w:r>
      <w:r w:rsidR="00AD5BCD" w:rsidRPr="00710CBA">
        <w:t>. Bad channels previously identified by visual inspection were then replaced by spherical spline interpolation of neighbouring electrodes.  Data w</w:t>
      </w:r>
      <w:r w:rsidR="00E61DD9">
        <w:t>ere</w:t>
      </w:r>
      <w:r w:rsidR="00AD5BCD" w:rsidRPr="00710CBA">
        <w:t xml:space="preserve"> then re-referenced to the </w:t>
      </w:r>
      <w:r w:rsidR="006D762C">
        <w:t xml:space="preserve">average of </w:t>
      </w:r>
      <w:r w:rsidR="00E61DD9">
        <w:t>9</w:t>
      </w:r>
      <w:r w:rsidR="002F505E">
        <w:t>2</w:t>
      </w:r>
      <w:r w:rsidR="00AD5BCD" w:rsidRPr="00710CBA">
        <w:t xml:space="preserve"> channels. </w:t>
      </w:r>
      <w:r w:rsidR="00124F3D" w:rsidRPr="00E00FD7">
        <w:t xml:space="preserve">ERPs </w:t>
      </w:r>
      <w:r w:rsidR="00124F3D">
        <w:t>were calculated for each subject, experiment and digit</w:t>
      </w:r>
      <w:r w:rsidR="00254FAA">
        <w:t xml:space="preserve"> type </w:t>
      </w:r>
      <w:r w:rsidR="00124F3D" w:rsidRPr="00E00FD7">
        <w:t xml:space="preserve">by </w:t>
      </w:r>
      <w:r w:rsidR="00124F3D">
        <w:t>averaging epochs.</w:t>
      </w:r>
    </w:p>
    <w:p w14:paraId="66B24B30" w14:textId="77777777" w:rsidR="00E54C37" w:rsidRPr="007935A1" w:rsidRDefault="00E54C37"/>
    <w:p w14:paraId="60FB67B9" w14:textId="77777777" w:rsidR="00197FCA" w:rsidRDefault="00197FCA">
      <w:pPr>
        <w:pStyle w:val="Heading2"/>
      </w:pPr>
      <w:r>
        <w:t>Definition of conditions for behavioural and ERP analyses</w:t>
      </w:r>
    </w:p>
    <w:p w14:paraId="27C704A4" w14:textId="3D5AD941" w:rsidR="00B76070" w:rsidRDefault="00197FCA">
      <w:r>
        <w:t>Fo</w:t>
      </w:r>
      <w:r w:rsidR="00B76070">
        <w:t xml:space="preserve">r </w:t>
      </w:r>
      <w:r w:rsidR="007F7BF4">
        <w:t>all</w:t>
      </w:r>
      <w:r w:rsidR="00B76070">
        <w:t xml:space="preserve"> analyses</w:t>
      </w:r>
      <w:r>
        <w:t xml:space="preserve">, </w:t>
      </w:r>
      <w:r w:rsidR="00F96706">
        <w:t>we considered thr</w:t>
      </w:r>
      <w:r w:rsidR="007F7BF4">
        <w:t>ee factors in the analysis:</w:t>
      </w:r>
      <w:r w:rsidR="00F96706">
        <w:t xml:space="preserve"> </w:t>
      </w:r>
      <w:r w:rsidR="00877542">
        <w:t>D</w:t>
      </w:r>
      <w:r w:rsidR="00F96706">
        <w:t xml:space="preserve">igit </w:t>
      </w:r>
      <w:r w:rsidR="00877542">
        <w:t>T</w:t>
      </w:r>
      <w:r w:rsidR="00A51703">
        <w:t>ype</w:t>
      </w:r>
      <w:r w:rsidR="00F96706">
        <w:t xml:space="preserve">, </w:t>
      </w:r>
      <w:r w:rsidR="00877542">
        <w:t>S</w:t>
      </w:r>
      <w:r w:rsidR="00B94217">
        <w:t xml:space="preserve">ide </w:t>
      </w:r>
      <w:r w:rsidR="00F96706">
        <w:t xml:space="preserve">affected (by CRPS), and </w:t>
      </w:r>
      <w:r w:rsidR="00877542">
        <w:t>G</w:t>
      </w:r>
      <w:r w:rsidR="00F96706">
        <w:t xml:space="preserve">roup (CPRS, HC). </w:t>
      </w:r>
      <w:r w:rsidR="007F7BF4">
        <w:t xml:space="preserve">Some explanation of </w:t>
      </w:r>
      <w:r w:rsidR="00A51703">
        <w:t xml:space="preserve">these factors is provided here. </w:t>
      </w:r>
      <w:r w:rsidR="00F96706">
        <w:t>The ‘</w:t>
      </w:r>
      <w:r w:rsidR="00877542">
        <w:t>S</w:t>
      </w:r>
      <w:r w:rsidR="00F96706">
        <w:t>ide’ factor levels were defined as a</w:t>
      </w:r>
      <w:r w:rsidR="00B76070">
        <w:t xml:space="preserve">ffected and unaffected </w:t>
      </w:r>
      <w:r w:rsidR="00F96706">
        <w:t>based on</w:t>
      </w:r>
      <w:r w:rsidR="00B76070">
        <w:t xml:space="preserve"> CRPS </w:t>
      </w:r>
      <w:r w:rsidR="00F96706">
        <w:t xml:space="preserve">clinical assessment </w:t>
      </w:r>
      <w:r w:rsidR="00B76070">
        <w:t xml:space="preserve">(Table </w:t>
      </w:r>
      <w:r w:rsidR="009C5C21">
        <w:t>S</w:t>
      </w:r>
      <w:r w:rsidR="00A51703">
        <w:t>2</w:t>
      </w:r>
      <w:r w:rsidR="00B76070">
        <w:t>)</w:t>
      </w:r>
      <w:r w:rsidR="00F96706">
        <w:t>.</w:t>
      </w:r>
      <w:r w:rsidR="00B76070">
        <w:t xml:space="preserve"> 4 patients were affected on the right side (2 upper limb, 2 lower limb) and 9 patients on the left side (5 upper limb, 4 lower limb). </w:t>
      </w:r>
      <w:r w:rsidR="00B76070" w:rsidRPr="00AA183E">
        <w:t>Due to the small sample size, we could not consider left-affected and right-affected CRPS patients</w:t>
      </w:r>
      <w:r w:rsidR="00B76070">
        <w:t>, or upper and lower limb-affected patients,</w:t>
      </w:r>
      <w:r w:rsidR="00B76070" w:rsidRPr="00AA183E">
        <w:t xml:space="preserve"> as separate groups. </w:t>
      </w:r>
      <w:r w:rsidR="004F2D30">
        <w:t xml:space="preserve">This has a disadvantage, in that two-thirds of patients were left-side affected, meaning that any comparison of affected and unaffected sides would be imbalanced with regard to whether left (non-dominant) or right (dominant) sides of the body were stimulated in each condition. To control for this, any inference of “Side” effects </w:t>
      </w:r>
      <w:r w:rsidR="00D0080D">
        <w:t xml:space="preserve">(i.e. affected vs. unaffected) </w:t>
      </w:r>
      <w:r w:rsidR="004F2D30">
        <w:t xml:space="preserve">in the CRPS patients were only interpreted with respect to any such effects in the HC group (e.g. by use of Group by Side interaction effects), and only after balancing the HC group data as follows: </w:t>
      </w:r>
      <w:r w:rsidR="00B76070">
        <w:t xml:space="preserve">For </w:t>
      </w:r>
      <w:r w:rsidR="00F96706">
        <w:t>the HC group to act as an adequate control</w:t>
      </w:r>
      <w:r w:rsidR="00B76070">
        <w:t xml:space="preserve">, because no limbs were affected, we chose to </w:t>
      </w:r>
      <w:r w:rsidR="006A7E5C">
        <w:t>consider</w:t>
      </w:r>
      <w:r w:rsidR="00B76070">
        <w:t xml:space="preserve"> </w:t>
      </w:r>
      <w:r w:rsidR="006A7E5C">
        <w:t>four</w:t>
      </w:r>
      <w:r w:rsidR="00B76070">
        <w:t xml:space="preserve"> of the healthy participants’ right arm data and the remainder of the healthy participants’ left arm data </w:t>
      </w:r>
      <w:r w:rsidR="006A7E5C">
        <w:t>as</w:t>
      </w:r>
      <w:r w:rsidR="00B76070">
        <w:t xml:space="preserve"> </w:t>
      </w:r>
      <w:r w:rsidR="006A7E5C">
        <w:t>the</w:t>
      </w:r>
      <w:r w:rsidR="00B76070">
        <w:t xml:space="preserve"> ‘affected’ condition</w:t>
      </w:r>
      <w:r w:rsidR="00F96706">
        <w:t xml:space="preserve"> for the HC group</w:t>
      </w:r>
      <w:r w:rsidR="00B76070">
        <w:t xml:space="preserve">, to match the left/right ratio of </w:t>
      </w:r>
      <w:r w:rsidR="006A7E5C">
        <w:t>side affected in the</w:t>
      </w:r>
      <w:r w:rsidR="00B76070">
        <w:t xml:space="preserve"> </w:t>
      </w:r>
      <w:r w:rsidR="006A7E5C">
        <w:t>CRPS group. The four</w:t>
      </w:r>
      <w:r w:rsidR="00B76070">
        <w:t xml:space="preserve"> HCs whose right-arm data was designated as ‘affected’ were chosen </w:t>
      </w:r>
      <w:r w:rsidR="006A7E5C">
        <w:t xml:space="preserve">as </w:t>
      </w:r>
      <w:r w:rsidR="006A7E5C">
        <w:lastRenderedPageBreak/>
        <w:t>those recruited in the same order as those CRPS patients who right arms were affected (i.e. participants 1, 4</w:t>
      </w:r>
      <w:r w:rsidR="00CC6F4A">
        <w:t>,</w:t>
      </w:r>
      <w:r w:rsidR="006A7E5C">
        <w:t xml:space="preserve"> 7 and 8 – Table </w:t>
      </w:r>
      <w:r w:rsidR="009C5C21">
        <w:t>S</w:t>
      </w:r>
      <w:r w:rsidR="006A7E5C">
        <w:t>2)</w:t>
      </w:r>
      <w:r w:rsidR="00B76070">
        <w:t>.</w:t>
      </w:r>
      <w:r w:rsidR="00F96706">
        <w:t xml:space="preserve"> To be explicit, the term ‘affected’ in the HC group denotes a control condition for the CRPS ‘affected’ condition, and does not imply the presence of CRPS symptoms in the HC group.</w:t>
      </w:r>
    </w:p>
    <w:p w14:paraId="1909D8A7" w14:textId="77777777" w:rsidR="00F96706" w:rsidRDefault="00F96706"/>
    <w:p w14:paraId="29C946AD" w14:textId="3BCA8F4D" w:rsidR="007F7BF4" w:rsidRDefault="00D33D65">
      <w:r>
        <w:t>In E</w:t>
      </w:r>
      <w:r w:rsidR="007F7BF4">
        <w:t>xperiment 1 only, for the ‘</w:t>
      </w:r>
      <w:r w:rsidR="00877542">
        <w:t>D</w:t>
      </w:r>
      <w:r w:rsidR="007F7BF4">
        <w:t>igit</w:t>
      </w:r>
      <w:r w:rsidR="00877542">
        <w:t xml:space="preserve"> Type</w:t>
      </w:r>
      <w:r w:rsidR="007F7BF4">
        <w:t>’ factor, trials from stimulation of digits D2, D3 and D4 on each hand were considered as a single level which we subsequently label as ‘</w:t>
      </w:r>
      <w:r w:rsidR="000D6FFF">
        <w:t>D2-D4</w:t>
      </w:r>
      <w:r w:rsidR="007F7BF4">
        <w:t xml:space="preserve">’, and analysed alongside D1 and D5 to result in three digit </w:t>
      </w:r>
      <w:r w:rsidR="005E67FD">
        <w:t>types</w:t>
      </w:r>
      <w:r w:rsidR="007F7BF4">
        <w:t xml:space="preserve"> in total. Aside from their spatial location, </w:t>
      </w:r>
      <w:r w:rsidR="000D6FFF">
        <w:t>D2-D4</w:t>
      </w:r>
      <w:r w:rsidR="007F7BF4">
        <w:t xml:space="preserve"> digit trials were considerably more rare (low probability) than D1 </w:t>
      </w:r>
      <w:r w:rsidR="005E67FD">
        <w:t>or D5 trials (see Experiment 1 procedure). For E</w:t>
      </w:r>
      <w:r w:rsidR="007F7BF4">
        <w:t>xperiment 2, on the other hand, all digits were considered as separate levels (5 in total).</w:t>
      </w:r>
    </w:p>
    <w:p w14:paraId="29A923AE" w14:textId="77777777" w:rsidR="00E562A9" w:rsidRDefault="00E562A9"/>
    <w:p w14:paraId="58CA92F7" w14:textId="77777777" w:rsidR="00AD5BCD" w:rsidRDefault="002A3051">
      <w:pPr>
        <w:pStyle w:val="Heading2"/>
      </w:pPr>
      <w:r>
        <w:t>Behavioural Data</w:t>
      </w:r>
      <w:r w:rsidR="0075008D">
        <w:t xml:space="preserve"> Analysis</w:t>
      </w:r>
    </w:p>
    <w:p w14:paraId="06E33F98" w14:textId="3140CC0A" w:rsidR="00835908" w:rsidRDefault="00A42556" w:rsidP="00F4581E">
      <w:r>
        <w:t>Prior to testing our main hypothesis</w:t>
      </w:r>
      <w:r w:rsidR="00293CCD">
        <w:t xml:space="preserve"> regarding cognitive </w:t>
      </w:r>
      <w:r w:rsidR="00877542">
        <w:t xml:space="preserve">cortical </w:t>
      </w:r>
      <w:r w:rsidR="00293CCD">
        <w:t>processing in CRPS, w</w:t>
      </w:r>
      <w:r>
        <w:t>e sought to replicate</w:t>
      </w:r>
      <w:r w:rsidR="00DD47F5">
        <w:t xml:space="preserve"> and extend</w:t>
      </w:r>
      <w:r>
        <w:t xml:space="preserve"> the results of previous work </w:t>
      </w:r>
      <w:r>
        <w:fldChar w:fldCharType="begin" w:fldLock="1"/>
      </w:r>
      <w:r w:rsidR="00ED42D4">
        <w:instrText>ADDIN CSL_CITATION { "citationItems" : [ { "id" : "ITEM-1", "itemData" : { "DOI" : "10.1016/j.pain.2004.05.019", "ISSN" : "0304-3959", "PMID" : "15288417", "abstract" : "To investigate neglect, extinction, and body-perception in patients suffering from complex regional pain syndrome (CRPS). So-called 'neglect-like' symptoms have been reported in CRPS, however no studies have yet analyzed this phenomenon which might substantiate the theory of the central nervous system involvement in the pathophysiology of CRPS. A total of 114 patients with CRPS of the upper limb underwent bedside neurological examination. 'Neglect-like' symptoms were determined by asking all patients what kind of feeling they had toward the affected hand (feeling of foreignness). Hemispatial neglect was tested with the line bisection task in 29 patients and sensory extinction to simultaneous stimulation in 40 patients. The ability to identify fingers after tactile stimulation was tested in 73 patients. Independently of the affected side and disease duration, 54.4% of the patients reported that their hand felt 'foreign' or 'strange'. The ability to identify fingers was impaired in 48% on the affected hand and in 6.5% on the unaffected hand ( X(2) = 33.52, df = 1, p &lt; 0.0001). These findings were related to pain intensity, illness duration and the extent of sensory deficits. No typical abnormalities indicating neglect were found in the line bisection test. Sensory extinction was normal in all patients. A large proportion of CRPS patients have disturbances of the self-perception of the hand, indicating an alteration of higher central nervous system processing. There are no indicators that classic neglect or extinction contribute to these findings. Physical therapy of such patients should take this observation into consideration.", "author" : [ { "dropping-particle" : "", "family" : "F\u00f6rderreuther", "given" : "S", "non-dropping-particle" : "", "parse-names" : false, "suffix" : "" }, { "dropping-particle" : "", "family" : "Sailer", "given" : "U", "non-dropping-particle" : "", "parse-names" : false, "suffix" : "" }, { "dropping-particle" : "", "family" : "Straube", "given" : "A", "non-dropping-particle" : "", "parse-names" : false, "suffix" : "" } ], "container-title" : "Pain", "id" : "ITEM-1", "issue" : "3", "issued" : { "date-parts" : [ [ "2004", "8" ] ] }, "page" : "756-61", "title" : "Impaired self-perception of the hand in complex regional pain syndrome (CRPS).", "type" : "article-journal", "volume" : "110" }, "uris" : [ "http://www.mendeley.com/documents/?uuid=53c9af93-1fa1-4577-9571-016ac6f504e7" ] }, { "id" : "ITEM-2", "itemData" : { "DOI" : "10.1097/AJP.0000000000000434", "ISSN" : "0749-8047", "PMID" : "27662180", "abstract" : "OBJECTIVES Delays in diagnosis occur with Complex Regional Pain Syndrome (CRPS). We define and prospectively demonstrate that novel bedside tests measuring body perception disruption can identify patients with CRPS post-fracture. METHODS The objectives of our study were to define and validate four bedside tests; to identify the prevalence of positive tests in patients with CRPS and other chronic pain conditions and to assess the clinical utility (Sensitivity; Specificity; Positive Predictive value; Negative Predictive Value) for identifying CRPS within a Fracture cohort. This was a single UK teaching hospital prospective cohort study with 313 recruits from healthy volunteers and patients with chronic pain conditions.Four novel tests were Finger Perception (FP), Hand Laterality identification (HL), Astereognosis (AS) and Body Scheme (BS) report. Five questionnaires (Brief Pain Inventory; Upper Extremity Functional Index; Lower Extremity Functional Index; Neglect-like Symptom Questionnaire; Hospital Anxiety and Depression Score) assessed the multidimensional pain experience. RESULTS FP &amp; BS were the best performing tests. Prospective monitoring of fracture patients showed that out of 7 fracture patients (total n=47) who had both finger misperception and abnormal body scheme report at initial testing, 3 developed persistent pain with 1 having a formal diagnosis of CRPS. DISCUSSION Novel signs are reliable, easy to perform and present in chronic pain patients. FP and BS have significant clinical utility in predicting persistent pain in a fracture group thereby allowing targeted early intervention.", "author" : [ { "dropping-particle" : "", "family" : "Kuttikat", "given" : "Anoop", "non-dropping-particle" : "", "parse-names" : false, "suffix" : "" }, { "dropping-particle" : "", "family" : "Shaikh", "given" : "Maliha", "non-dropping-particle" : "", "parse-names" : false, "suffix" : "" }, { "dropping-particle" : "", "family" : "Oomatia", "given" : "Amin", "non-dropping-particle" : "", "parse-names" : false, "suffix" : "" }, { "dropping-particle" : "", "family" : "Parker", "given" : "Richard", "non-dropping-particle" : "", "parse-names" : false, "suffix" : "" }, { "dropping-particle" : "", "family" : "Shenker", "given" : "Nicholas", "non-dropping-particle" : "", "parse-names" : false, "suffix" : "" } ], "container-title" : "The Clinical Journal of Pain", "id" : "ITEM-2", "issued" : { "date-parts" : [ [ "2016", "9", "21" ] ] }, "page" : "1", "title" : "Novel Signs and their Clinical Utility in Diagnosing Complex Regional Pain Syndrome (CRPS) \u2013 A Prospective Observational Cohort Study", "type" : "article-journal" }, "uris" : [ "http://www.mendeley.com/documents/?uuid=bda8e72f-c99a-3ecc-bb5b-9b8044e9bf2f" ] } ], "mendeley" : { "formattedCitation" : "&lt;sup&gt;12,21&lt;/sup&gt;", "plainTextFormattedCitation" : "12,21", "previouslyFormattedCitation" : "&lt;sup&gt;12,21&lt;/sup&gt;" }, "properties" : { "noteIndex" : 0 }, "schema" : "https://github.com/citation-style-language/schema/raw/master/csl-citation.json" }</w:instrText>
      </w:r>
      <w:r>
        <w:fldChar w:fldCharType="separate"/>
      </w:r>
      <w:r w:rsidR="00666857" w:rsidRPr="00666857">
        <w:rPr>
          <w:noProof/>
          <w:vertAlign w:val="superscript"/>
        </w:rPr>
        <w:t>12,21</w:t>
      </w:r>
      <w:r>
        <w:fldChar w:fldCharType="end"/>
      </w:r>
      <w:r>
        <w:t xml:space="preserve"> </w:t>
      </w:r>
      <w:r w:rsidR="00293CCD">
        <w:t>that found reductions in accuracy and increases in response time in similar digit discrimination tasks</w:t>
      </w:r>
      <w:r w:rsidR="00877542">
        <w:t xml:space="preserve"> in CRPS patients</w:t>
      </w:r>
      <w:r w:rsidR="00293CCD">
        <w:t xml:space="preserve">. </w:t>
      </w:r>
      <w:r w:rsidR="00835908">
        <w:t>Specifically, we tested a number of hypotheses, namely (H1) that there would be a group difference in at least one of these metrics</w:t>
      </w:r>
      <w:r w:rsidR="003562E1">
        <w:t xml:space="preserve"> in the same </w:t>
      </w:r>
      <w:r w:rsidR="003562E1" w:rsidRPr="007F47E6">
        <w:t xml:space="preserve">direction </w:t>
      </w:r>
      <w:r w:rsidR="006A5814" w:rsidRPr="00A83D52">
        <w:t xml:space="preserve">as found in previous studies, i.e. lower accuracy and longer response times, </w:t>
      </w:r>
      <w:r w:rsidR="00835908">
        <w:t>(H2) in the CRPS group</w:t>
      </w:r>
      <w:r w:rsidR="001849EE">
        <w:t xml:space="preserve"> </w:t>
      </w:r>
      <w:r w:rsidR="0072603B">
        <w:t>(compared to the HC group)</w:t>
      </w:r>
      <w:r w:rsidR="00835908">
        <w:t>, at last one of these metric</w:t>
      </w:r>
      <w:r w:rsidR="00DD47F5">
        <w:t>s</w:t>
      </w:r>
      <w:r w:rsidR="00835908">
        <w:t xml:space="preserve"> would indicate worse performance on the affected vs. the unaffected side of the body,</w:t>
      </w:r>
      <w:r w:rsidR="00DD47F5">
        <w:t xml:space="preserve"> indicating some </w:t>
      </w:r>
      <w:proofErr w:type="spellStart"/>
      <w:r w:rsidR="00DD47F5">
        <w:t>somatotopic</w:t>
      </w:r>
      <w:proofErr w:type="spellEnd"/>
      <w:r w:rsidR="00DD47F5">
        <w:t xml:space="preserve"> specificity,</w:t>
      </w:r>
      <w:r w:rsidR="00835908">
        <w:t xml:space="preserve"> (H3) </w:t>
      </w:r>
      <w:r w:rsidR="00DD47F5">
        <w:t>there would be slower response time</w:t>
      </w:r>
      <w:r w:rsidR="00C80312">
        <w:t>s</w:t>
      </w:r>
      <w:r w:rsidR="00DD47F5">
        <w:t xml:space="preserve"> to</w:t>
      </w:r>
      <w:r w:rsidR="00835908">
        <w:t xml:space="preserve"> stimulation of rarer spatial locations (D2-D4) than more frequent locations (D1 and D5)</w:t>
      </w:r>
      <w:r w:rsidR="00DD47F5">
        <w:t xml:space="preserve"> due to the cognitive cost of switchi</w:t>
      </w:r>
      <w:r w:rsidR="007B440B">
        <w:t xml:space="preserve">ng attention to rarer </w:t>
      </w:r>
      <w:r w:rsidR="007B440B">
        <w:lastRenderedPageBreak/>
        <w:t>locations, (H4) this cognitive switching cost would be less evident in the CRPS group compared to the HC group if they are less accurate at discriminating between digits in the first place.</w:t>
      </w:r>
      <w:r w:rsidR="004F5260">
        <w:t xml:space="preserve"> As these are all directional hypotheses, one-tailed statistics were used. </w:t>
      </w:r>
    </w:p>
    <w:p w14:paraId="68D455D1" w14:textId="77777777" w:rsidR="00835908" w:rsidRDefault="00835908" w:rsidP="00F4581E"/>
    <w:p w14:paraId="54500C65" w14:textId="76B7EA65" w:rsidR="00C80312" w:rsidRDefault="006F0BEE">
      <w:r>
        <w:t>B</w:t>
      </w:r>
      <w:r w:rsidR="00AD5BCD">
        <w:t>ehavioural data</w:t>
      </w:r>
      <w:r w:rsidR="00E562A9">
        <w:t xml:space="preserve"> from Experiment 1</w:t>
      </w:r>
      <w:r w:rsidR="00AD5BCD">
        <w:t xml:space="preserve"> </w:t>
      </w:r>
      <w:r>
        <w:t xml:space="preserve">were analysed </w:t>
      </w:r>
      <w:r w:rsidR="00AD5BCD">
        <w:t>using IBM SPSS (Statistical Package for Social Sciences) software version 21</w:t>
      </w:r>
      <w:r w:rsidR="0006388E">
        <w:t xml:space="preserve"> </w:t>
      </w:r>
      <w:r w:rsidR="00AD5BCD">
        <w:fldChar w:fldCharType="begin" w:fldLock="1"/>
      </w:r>
      <w:r w:rsidR="00ED42D4">
        <w:instrText>ADDIN CSL_CITATION { "citationItems" : [ { "id" : "ITEM-1", "itemData" : { "author" : [ { "dropping-particle" : "", "family" : "IBM", "given" : "", "non-dropping-particle" : "", "parse-names" : false, "suffix" : "" } ], "id" : "ITEM-1", "issued" : { "date-parts" : [ [ "2012" ] ] }, "title" : "IBM SPSS Statistics for Windows, Version 21.0. Armonk, NY: IBM Corp.", "type" : "article" }, "uris" : [ "http://www.mendeley.com/documents/?uuid=2a4a95c9-afa7-49f7-96b4-71aa2f96e491", "http://www.mendeley.com/documents/?uuid=7355412c-1049-42a9-b468-40bf7c4c2bc2" ] } ], "mendeley" : { "formattedCitation" : "&lt;sup&gt;17&lt;/sup&gt;", "plainTextFormattedCitation" : "17", "previouslyFormattedCitation" : "&lt;sup&gt;17&lt;/sup&gt;" }, "properties" : { "noteIndex" : 0 }, "schema" : "https://github.com/citation-style-language/schema/raw/master/csl-citation.json" }</w:instrText>
      </w:r>
      <w:r w:rsidR="00AD5BCD">
        <w:fldChar w:fldCharType="separate"/>
      </w:r>
      <w:r w:rsidR="00666857" w:rsidRPr="00666857">
        <w:rPr>
          <w:noProof/>
          <w:vertAlign w:val="superscript"/>
        </w:rPr>
        <w:t>17</w:t>
      </w:r>
      <w:r w:rsidR="00AD5BCD">
        <w:fldChar w:fldCharType="end"/>
      </w:r>
      <w:r w:rsidR="00AD5BCD">
        <w:t xml:space="preserve">. </w:t>
      </w:r>
      <w:r w:rsidR="00905D8D">
        <w:t>Data for accuracy and re</w:t>
      </w:r>
      <w:r w:rsidR="00293CCD">
        <w:t>sponse</w:t>
      </w:r>
      <w:r w:rsidR="00905D8D">
        <w:t xml:space="preserve"> times were not normally distributed, especially in the CRPS group. Hence, non-parametric tests were performed to investigate overall group differences averaged over all conditions (Mann-Whitney U test), and to investigate within-subject condition effects in each group separately (Wilcoxon signed rank tests). </w:t>
      </w:r>
      <w:r w:rsidR="00C80312">
        <w:t xml:space="preserve">Effect sizes are reported for non-parametric statistics </w:t>
      </w:r>
      <w:r w:rsidR="00C80312" w:rsidRPr="004A519D">
        <w:t xml:space="preserve">using the formula </w:t>
      </w:r>
      <w:r w:rsidR="00C80312" w:rsidRPr="004A519D">
        <w:rPr>
          <w:i/>
        </w:rPr>
        <w:t>Z/√N</w:t>
      </w:r>
      <w:r w:rsidR="00C80312" w:rsidRPr="004A519D">
        <w:t xml:space="preserve">, where </w:t>
      </w:r>
      <w:r w:rsidR="00C80312" w:rsidRPr="004A519D">
        <w:rPr>
          <w:i/>
        </w:rPr>
        <w:t>Z</w:t>
      </w:r>
      <w:r w:rsidR="00C80312" w:rsidRPr="004A519D">
        <w:t xml:space="preserve"> is the </w:t>
      </w:r>
      <w:r w:rsidR="00C80312" w:rsidRPr="004A519D">
        <w:rPr>
          <w:i/>
        </w:rPr>
        <w:t>z</w:t>
      </w:r>
      <w:r w:rsidR="00C80312" w:rsidRPr="004A519D">
        <w:t xml:space="preserve">-value output of the test and </w:t>
      </w:r>
      <w:r w:rsidR="00C80312" w:rsidRPr="004A519D">
        <w:rPr>
          <w:i/>
        </w:rPr>
        <w:t>N</w:t>
      </w:r>
      <w:r w:rsidR="00C80312" w:rsidRPr="004A519D">
        <w:t xml:space="preserve"> is the number of samples in the test. This provides an effect size equivalent to the Pearson’s coefficient </w:t>
      </w:r>
      <w:r w:rsidR="00C80312" w:rsidRPr="004A519D">
        <w:rPr>
          <w:i/>
        </w:rPr>
        <w:t>r</w:t>
      </w:r>
      <w:r w:rsidR="00C80312" w:rsidRPr="004A519D">
        <w:t>,</w:t>
      </w:r>
      <w:r w:rsidR="00C80312">
        <w:rPr>
          <w:i/>
        </w:rPr>
        <w:t xml:space="preserve"> </w:t>
      </w:r>
      <w:r w:rsidR="00C80312">
        <w:t>commonly interpreted as a</w:t>
      </w:r>
      <w:r w:rsidR="00C80312" w:rsidRPr="004A519D">
        <w:t xml:space="preserve"> small</w:t>
      </w:r>
      <w:r w:rsidR="00C80312">
        <w:t>, medium and large</w:t>
      </w:r>
      <w:r w:rsidR="00C80312" w:rsidRPr="004A519D">
        <w:t xml:space="preserve"> effect</w:t>
      </w:r>
      <w:r w:rsidR="00C80312">
        <w:t xml:space="preserve"> with values of 0.1, 0.3 and 0.5 respectively. </w:t>
      </w:r>
    </w:p>
    <w:p w14:paraId="1809A503" w14:textId="77777777" w:rsidR="002A3051" w:rsidRDefault="002A3051">
      <w:pPr>
        <w:rPr>
          <w:rFonts w:ascii="Arial" w:hAnsi="Arial" w:cs="Arial"/>
          <w:b/>
        </w:rPr>
      </w:pPr>
    </w:p>
    <w:p w14:paraId="450C29B3" w14:textId="77777777" w:rsidR="002A3051" w:rsidRDefault="002A3051">
      <w:pPr>
        <w:pStyle w:val="Heading2"/>
      </w:pPr>
      <w:r>
        <w:t>EEG Sensor-Level Analysis</w:t>
      </w:r>
    </w:p>
    <w:p w14:paraId="7EA8880C" w14:textId="7FD7DA8E" w:rsidR="00607ABE" w:rsidRDefault="00194B98">
      <w:pPr>
        <w:rPr>
          <w:color w:val="000000"/>
        </w:rPr>
      </w:pPr>
      <w:r w:rsidRPr="0084406D">
        <w:t xml:space="preserve">SPM12 </w:t>
      </w:r>
      <w:r w:rsidR="00821A04">
        <w:t>(</w:t>
      </w:r>
      <w:hyperlink r:id="rId9" w:history="1">
        <w:r w:rsidR="00821A04" w:rsidRPr="00E562A9">
          <w:t>www.fil.ion.ucl.ac.uk/spm</w:t>
        </w:r>
      </w:hyperlink>
      <w:r w:rsidR="00821A04">
        <w:t xml:space="preserve">) </w:t>
      </w:r>
      <w:r w:rsidRPr="0084406D">
        <w:t xml:space="preserve">was used for subsequent </w:t>
      </w:r>
      <w:r>
        <w:t xml:space="preserve">EEG </w:t>
      </w:r>
      <w:r w:rsidRPr="0084406D">
        <w:t xml:space="preserve">analysis </w:t>
      </w:r>
      <w:r>
        <w:t xml:space="preserve">steps </w:t>
      </w:r>
      <w:r w:rsidR="00821A04">
        <w:fldChar w:fldCharType="begin" w:fldLock="1"/>
      </w:r>
      <w:r w:rsidR="00ED42D4">
        <w:instrText>ADDIN CSL_CITATION { "citationItems" : [ { "id" : "ITEM-1", "itemData" : { "PMID" : "18639641", "abstract" : "The aim of this paper is to describe a simple procedure for electromagnetic (EEG or MEG) source reconstruction, in the context of group studies. This entails a simple extension of existing source reconstruction techniques based upon the inversion of hierarchical models. The extension ensures that evoked or induced responses are reconstructed in the same subset of sources, over subjects. Effectively, the procedure aligns the deployment of reconstructed activity over subjects and increases, substantially, the detection of differences between evoked or induced responses at the group or between-subject level", "author" : [ { "dropping-particle" : "", "family" : "Litvak", "given" : "V", "non-dropping-particle" : "", "parse-names" : false, "suffix" : "" }, { "dropping-particle" : "", "family" : "Friston", "given" : "K", "non-dropping-particle" : "", "parse-names" : false, "suffix" : "" } ], "container-title" : "Neuroimage", "id" : "ITEM-1", "issue" : "1095-9572 (Electronic)", "issued" : { "date-parts" : [ [ "2008", "10", "1" ] ] }, "language" : "eng PT - Journal Article PT - Research Support, Non-U.S. Gov't SB - IM", "note" : "DA - 20080908", "page" : "1490-1498", "publisher-place" : "The Wellcome Trust Centre for Neuroimaging, University College London, UK. v.litvak@ion.ucl.ac.uk", "title" : "Electromagnetic source reconstruction for group studies", "type" : "article-journal", "volume" : "42" }, "uris" : [ "http://www.mendeley.com/documents/?uuid=bf06d3a6-b333-470d-a7e7-77627664acc6" ] } ], "mendeley" : { "formattedCitation" : "&lt;sup&gt;22&lt;/sup&gt;", "plainTextFormattedCitation" : "22", "previouslyFormattedCitation" : "&lt;sup&gt;22&lt;/sup&gt;" }, "properties" : { "noteIndex" : 0 }, "schema" : "https://github.com/citation-style-language/schema/raw/master/csl-citation.json" }</w:instrText>
      </w:r>
      <w:r w:rsidR="00821A04">
        <w:fldChar w:fldCharType="separate"/>
      </w:r>
      <w:r w:rsidR="00666857" w:rsidRPr="00666857">
        <w:rPr>
          <w:noProof/>
          <w:vertAlign w:val="superscript"/>
        </w:rPr>
        <w:t>22</w:t>
      </w:r>
      <w:r w:rsidR="00821A04">
        <w:fldChar w:fldCharType="end"/>
      </w:r>
      <w:r w:rsidRPr="0084406D">
        <w:t>.</w:t>
      </w:r>
      <w:r w:rsidR="00821A04">
        <w:t xml:space="preserve"> A “sensor-</w:t>
      </w:r>
      <w:r w:rsidR="00CC642F">
        <w:t>space” analysis was conducted</w:t>
      </w:r>
      <w:r w:rsidRPr="0084406D">
        <w:t xml:space="preserve"> </w:t>
      </w:r>
      <w:r w:rsidR="00CC642F">
        <w:rPr>
          <w:color w:val="000000"/>
        </w:rPr>
        <w:t>(</w:t>
      </w:r>
      <w:r w:rsidR="00CC642F" w:rsidRPr="00415A55">
        <w:rPr>
          <w:color w:val="000000"/>
        </w:rPr>
        <w:t>the standard approach implemented in S</w:t>
      </w:r>
      <w:r w:rsidR="00CC642F">
        <w:rPr>
          <w:color w:val="000000"/>
        </w:rPr>
        <w:t>PM</w:t>
      </w:r>
      <w:r w:rsidR="004477A0">
        <w:rPr>
          <w:color w:val="000000"/>
        </w:rPr>
        <w:t xml:space="preserve"> </w:t>
      </w:r>
      <w:r w:rsidR="004477A0">
        <w:rPr>
          <w:color w:val="000000"/>
        </w:rPr>
        <w:fldChar w:fldCharType="begin" w:fldLock="1"/>
      </w:r>
      <w:r w:rsidR="00ED42D4">
        <w:rPr>
          <w:color w:val="000000"/>
        </w:rPr>
        <w:instrText>ADDIN CSL_CITATION { "citationItems" : [ { "id" : "ITEM-1", "itemData" : { "DOI" : "10.1155/2011/852961", "ISSN" : "1687-5273", "PMID" : "21437221", "abstract" : "SPM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"852961", "publisher" : "Hindawi Publishing Corporation", "title" : "EEG and MEG data analysis in SPM8.", "type" : "article-journal", "volume" : "2011" }, "uris" : [ "http://www.mendeley.com/documents/?uuid=e8d5e461-8d5a-32e0-b514-9b38a97e5d44" ] } ], "mendeley" : { "formattedCitation" : "&lt;sup&gt;23&lt;/sup&gt;", "plainTextFormattedCitation" : "23", "previouslyFormattedCitation" : "&lt;sup&gt;23&lt;/sup&gt;" }, "properties" : { "noteIndex" : 0 }, "schema" : "https://github.com/citation-style-language/schema/raw/master/csl-citation.json" }</w:instrText>
      </w:r>
      <w:r w:rsidR="004477A0">
        <w:rPr>
          <w:color w:val="000000"/>
        </w:rPr>
        <w:fldChar w:fldCharType="separate"/>
      </w:r>
      <w:r w:rsidR="00666857" w:rsidRPr="00666857">
        <w:rPr>
          <w:noProof/>
          <w:color w:val="000000"/>
          <w:vertAlign w:val="superscript"/>
        </w:rPr>
        <w:t>23</w:t>
      </w:r>
      <w:r w:rsidR="004477A0">
        <w:rPr>
          <w:color w:val="000000"/>
        </w:rPr>
        <w:fldChar w:fldCharType="end"/>
      </w:r>
      <w:r w:rsidR="00CC642F">
        <w:rPr>
          <w:color w:val="000000"/>
        </w:rPr>
        <w:t>)</w:t>
      </w:r>
      <w:r w:rsidR="00294E7E">
        <w:rPr>
          <w:color w:val="000000"/>
        </w:rPr>
        <w:t xml:space="preserve"> and is described further in Supplementary Methods</w:t>
      </w:r>
      <w:r w:rsidR="004477A0">
        <w:rPr>
          <w:color w:val="000000"/>
        </w:rPr>
        <w:t xml:space="preserve">. </w:t>
      </w:r>
      <w:r w:rsidR="00805435">
        <w:rPr>
          <w:color w:val="000000"/>
        </w:rPr>
        <w:t>For all analyses, the temporal window-of-interest was 100 – 400ms.</w:t>
      </w:r>
    </w:p>
    <w:p w14:paraId="22783444" w14:textId="77777777" w:rsidR="00607ABE" w:rsidRDefault="00607ABE">
      <w:pPr>
        <w:rPr>
          <w:color w:val="000000"/>
        </w:rPr>
      </w:pPr>
    </w:p>
    <w:p w14:paraId="7879CA93" w14:textId="77777777" w:rsidR="00607ABE" w:rsidRPr="00607ABE" w:rsidRDefault="00607ABE">
      <w:r>
        <w:t>Analyses required direct comparisons between</w:t>
      </w:r>
      <w:r w:rsidRPr="009F416D">
        <w:t xml:space="preserve"> </w:t>
      </w:r>
      <w:r>
        <w:t>data derived from stimulation of CRPS-affected vs. CRPS-unaffected sides of the body</w:t>
      </w:r>
      <w:r w:rsidRPr="009F416D">
        <w:t xml:space="preserve">. </w:t>
      </w:r>
      <w:r>
        <w:t xml:space="preserve">Due to the small sample size, we could not consider left-affected and right-affected CRPS patients as separate groups. Without further </w:t>
      </w:r>
      <w:r>
        <w:lastRenderedPageBreak/>
        <w:t>spatial transformation of the</w:t>
      </w:r>
      <w:r w:rsidRPr="00AA183E">
        <w:t xml:space="preserve"> </w:t>
      </w:r>
      <w:r>
        <w:t xml:space="preserve">data, then, collapsing the data for “affected” and “unaffected” stimulation conditions across left and right-affected patients would have resulted in a mixture of left and right-hand stimulations respectively within each condition. As such, the identification of lateralised responses (e.g. the expected contralateral dominance for certain ERP components) would have proved problematic as both contralateral and ipsilateral data (from different patients) would have been mixed together within each condition. To resolve this problem, </w:t>
      </w:r>
      <w:r w:rsidRPr="009F416D">
        <w:t>all sensor-space images representing cortical responses to right-hand stimulation were flipped on the x-axis. This resulted in images that represented (actual or apparent) left-sided stimulation, such that all contralateral differences resulting from hand stimulation on affected vs</w:t>
      </w:r>
      <w:r>
        <w:t>.</w:t>
      </w:r>
      <w:r w:rsidRPr="009F416D">
        <w:t xml:space="preserve"> unaffected sides would appear in the right hemisphere of the sensor-space images rather than being dispersed between both hemispheres.</w:t>
      </w:r>
    </w:p>
    <w:p w14:paraId="735D5A3E" w14:textId="77777777" w:rsidR="00607ABE" w:rsidRDefault="00607ABE">
      <w:pPr>
        <w:rPr>
          <w:color w:val="000000"/>
        </w:rPr>
      </w:pPr>
    </w:p>
    <w:p w14:paraId="5F5BEBA4" w14:textId="49DFD767" w:rsidR="009F416D" w:rsidRPr="00607ABE" w:rsidRDefault="00CC642F">
      <w:pPr>
        <w:rPr>
          <w:color w:val="000000"/>
        </w:rPr>
      </w:pPr>
      <w:r>
        <w:rPr>
          <w:color w:val="000000"/>
        </w:rPr>
        <w:t xml:space="preserve">Statistical analysis was performed on </w:t>
      </w:r>
      <w:r w:rsidR="00607ABE">
        <w:rPr>
          <w:color w:val="000000"/>
        </w:rPr>
        <w:t>the resulting</w:t>
      </w:r>
      <w:r>
        <w:rPr>
          <w:color w:val="000000"/>
        </w:rPr>
        <w:t xml:space="preserve"> images with</w:t>
      </w:r>
      <w:r w:rsidRPr="00415A55">
        <w:rPr>
          <w:color w:val="000000"/>
        </w:rPr>
        <w:t xml:space="preserve"> correction for multiple comparisons using random field theory </w:t>
      </w:r>
      <w:r>
        <w:rPr>
          <w:color w:val="000000"/>
        </w:rPr>
        <w:t>to take</w:t>
      </w:r>
      <w:r w:rsidRPr="00415A55">
        <w:rPr>
          <w:color w:val="000000"/>
        </w:rPr>
        <w:t xml:space="preserve"> into account the smoothness of the </w:t>
      </w:r>
      <w:r>
        <w:rPr>
          <w:color w:val="000000"/>
        </w:rPr>
        <w:t xml:space="preserve">data on the scalp </w:t>
      </w:r>
      <w:r w:rsidRPr="00415A55">
        <w:rPr>
          <w:color w:val="000000"/>
        </w:rPr>
        <w:t>(</w:t>
      </w:r>
      <w:proofErr w:type="spellStart"/>
      <w:r w:rsidRPr="00415A55">
        <w:rPr>
          <w:color w:val="000000"/>
        </w:rPr>
        <w:t>Kilner</w:t>
      </w:r>
      <w:proofErr w:type="spellEnd"/>
      <w:r w:rsidRPr="00415A55">
        <w:rPr>
          <w:color w:val="000000"/>
        </w:rPr>
        <w:t xml:space="preserve"> &amp; </w:t>
      </w:r>
      <w:proofErr w:type="spellStart"/>
      <w:r w:rsidRPr="00415A55">
        <w:rPr>
          <w:color w:val="000000"/>
        </w:rPr>
        <w:t>Friston</w:t>
      </w:r>
      <w:proofErr w:type="spellEnd"/>
      <w:r w:rsidRPr="00415A55">
        <w:rPr>
          <w:color w:val="000000"/>
        </w:rPr>
        <w:t>, 2010).</w:t>
      </w:r>
      <w:r w:rsidR="00965C8A">
        <w:rPr>
          <w:color w:val="000000"/>
        </w:rPr>
        <w:t xml:space="preserve"> </w:t>
      </w:r>
      <w:r w:rsidR="00061683">
        <w:rPr>
          <w:color w:val="000000"/>
        </w:rPr>
        <w:t xml:space="preserve">To do this, </w:t>
      </w:r>
      <w:r w:rsidR="00A9288B">
        <w:rPr>
          <w:color w:val="000000"/>
        </w:rPr>
        <w:t>a General Linear Model (GLM) was estimated at the group level consisting of the between-subject factors Subject and Group (CRPS, HC), and the within-subject facto</w:t>
      </w:r>
      <w:r w:rsidR="00174093">
        <w:rPr>
          <w:color w:val="000000"/>
        </w:rPr>
        <w:t xml:space="preserve">rs Side (affected, unaffected) and </w:t>
      </w:r>
      <w:r w:rsidR="00A9288B">
        <w:rPr>
          <w:color w:val="000000"/>
        </w:rPr>
        <w:t>Digit (</w:t>
      </w:r>
      <w:r w:rsidR="009726A4">
        <w:rPr>
          <w:color w:val="000000"/>
        </w:rPr>
        <w:t xml:space="preserve">D1, </w:t>
      </w:r>
      <w:r w:rsidR="000D6FFF">
        <w:rPr>
          <w:color w:val="000000"/>
        </w:rPr>
        <w:t>D2-D4</w:t>
      </w:r>
      <w:r w:rsidR="009726A4">
        <w:rPr>
          <w:color w:val="000000"/>
        </w:rPr>
        <w:t>, and D5</w:t>
      </w:r>
      <w:r w:rsidR="00A9288B">
        <w:rPr>
          <w:color w:val="000000"/>
        </w:rPr>
        <w:t>)</w:t>
      </w:r>
      <w:r w:rsidR="009726A4">
        <w:rPr>
          <w:color w:val="000000"/>
        </w:rPr>
        <w:t>.</w:t>
      </w:r>
      <w:r w:rsidR="00A9288B">
        <w:rPr>
          <w:color w:val="000000"/>
        </w:rPr>
        <w:t xml:space="preserve"> </w:t>
      </w:r>
      <w:r w:rsidR="00061683" w:rsidRPr="00415A55">
        <w:rPr>
          <w:color w:val="000000"/>
        </w:rPr>
        <w:t xml:space="preserve">F-contrasts </w:t>
      </w:r>
      <w:r w:rsidR="00061683">
        <w:rPr>
          <w:color w:val="000000"/>
        </w:rPr>
        <w:t xml:space="preserve">were </w:t>
      </w:r>
      <w:r w:rsidR="00A9288B">
        <w:rPr>
          <w:color w:val="000000"/>
        </w:rPr>
        <w:t xml:space="preserve">then </w:t>
      </w:r>
      <w:r w:rsidR="00061683">
        <w:rPr>
          <w:color w:val="000000"/>
        </w:rPr>
        <w:t>constructed</w:t>
      </w:r>
      <w:r w:rsidR="00A9288B">
        <w:rPr>
          <w:color w:val="000000"/>
        </w:rPr>
        <w:t xml:space="preserve">. </w:t>
      </w:r>
      <w:r w:rsidR="00844D6D">
        <w:rPr>
          <w:color w:val="000000"/>
        </w:rPr>
        <w:t>Three effects were relevant to our hypo</w:t>
      </w:r>
      <w:r w:rsidR="00A9288B">
        <w:rPr>
          <w:color w:val="000000"/>
        </w:rPr>
        <w:t>thesis: (1) the main effect of G</w:t>
      </w:r>
      <w:r w:rsidR="00844D6D">
        <w:rPr>
          <w:color w:val="000000"/>
        </w:rPr>
        <w:t xml:space="preserve">roup, </w:t>
      </w:r>
      <w:r w:rsidR="00E35FEA">
        <w:rPr>
          <w:color w:val="000000"/>
        </w:rPr>
        <w:t xml:space="preserve">to test whether there are overall differences in cognitive processing in patients with CRPS, </w:t>
      </w:r>
      <w:r w:rsidR="00A9288B">
        <w:rPr>
          <w:color w:val="000000"/>
        </w:rPr>
        <w:t>(2) the interaction of Group*S</w:t>
      </w:r>
      <w:r w:rsidR="00844D6D">
        <w:rPr>
          <w:color w:val="000000"/>
        </w:rPr>
        <w:t>ide,</w:t>
      </w:r>
      <w:r w:rsidR="00E35FEA">
        <w:rPr>
          <w:color w:val="000000"/>
        </w:rPr>
        <w:t xml:space="preserve"> to test whether cognitive processing differences in CRPS are specific to the affected side,</w:t>
      </w:r>
      <w:r w:rsidR="00A9288B">
        <w:rPr>
          <w:color w:val="000000"/>
        </w:rPr>
        <w:t xml:space="preserve"> (3) the interaction of G</w:t>
      </w:r>
      <w:r w:rsidR="00844D6D">
        <w:rPr>
          <w:color w:val="000000"/>
        </w:rPr>
        <w:t>ro</w:t>
      </w:r>
      <w:r w:rsidR="00A9288B">
        <w:rPr>
          <w:color w:val="000000"/>
        </w:rPr>
        <w:t>up*D</w:t>
      </w:r>
      <w:r w:rsidR="00E35FEA">
        <w:rPr>
          <w:color w:val="000000"/>
        </w:rPr>
        <w:t>igit</w:t>
      </w:r>
      <w:r w:rsidR="00877542">
        <w:rPr>
          <w:color w:val="000000"/>
        </w:rPr>
        <w:t xml:space="preserve"> Type </w:t>
      </w:r>
      <w:r w:rsidR="00E35FEA">
        <w:rPr>
          <w:color w:val="000000"/>
        </w:rPr>
        <w:t xml:space="preserve">(in Experiment 1 only), to test whether any group effects depend upon the spatial </w:t>
      </w:r>
      <w:r w:rsidR="00E35FEA">
        <w:rPr>
          <w:color w:val="000000"/>
        </w:rPr>
        <w:lastRenderedPageBreak/>
        <w:t>probability of stimulation.</w:t>
      </w:r>
      <w:r w:rsidR="00A35539">
        <w:rPr>
          <w:color w:val="000000"/>
        </w:rPr>
        <w:t xml:space="preserve"> </w:t>
      </w:r>
      <w:r w:rsidR="00A0055D">
        <w:rPr>
          <w:color w:val="000000"/>
        </w:rPr>
        <w:t>For E</w:t>
      </w:r>
      <w:r w:rsidR="00815294">
        <w:rPr>
          <w:color w:val="000000"/>
        </w:rPr>
        <w:t xml:space="preserve">xperiment 2, </w:t>
      </w:r>
      <w:r w:rsidR="009726A4">
        <w:rPr>
          <w:color w:val="000000"/>
        </w:rPr>
        <w:t>the GLM was estimated in the same way and the contrasts</w:t>
      </w:r>
      <w:r w:rsidR="00815294">
        <w:rPr>
          <w:color w:val="000000"/>
        </w:rPr>
        <w:t xml:space="preserve"> w</w:t>
      </w:r>
      <w:r w:rsidR="009726A4">
        <w:rPr>
          <w:color w:val="000000"/>
        </w:rPr>
        <w:t>ere the main effect of Group and the Group*S</w:t>
      </w:r>
      <w:r w:rsidR="00815294">
        <w:rPr>
          <w:color w:val="000000"/>
        </w:rPr>
        <w:t xml:space="preserve">ide interaction. </w:t>
      </w:r>
    </w:p>
    <w:p w14:paraId="646BDACD" w14:textId="77777777" w:rsidR="006338A2" w:rsidRDefault="006338A2" w:rsidP="00067195">
      <w:pPr>
        <w:tabs>
          <w:tab w:val="left" w:pos="720"/>
          <w:tab w:val="left" w:pos="1170"/>
          <w:tab w:val="center" w:pos="3840"/>
        </w:tabs>
        <w:spacing w:before="120"/>
        <w:ind w:right="600"/>
        <w:jc w:val="both"/>
        <w:rPr>
          <w:rFonts w:ascii="Arial" w:hAnsi="Arial" w:cs="Arial"/>
          <w:b/>
          <w:color w:val="000000"/>
          <w:sz w:val="28"/>
          <w:szCs w:val="28"/>
        </w:rPr>
      </w:pPr>
    </w:p>
    <w:p w14:paraId="18B5DDB7" w14:textId="77777777" w:rsidR="00415A55" w:rsidRPr="00415A55" w:rsidRDefault="002A3051">
      <w:pPr>
        <w:pStyle w:val="Heading2"/>
      </w:pPr>
      <w:r>
        <w:t xml:space="preserve">EEG </w:t>
      </w:r>
      <w:r w:rsidR="00415A55" w:rsidRPr="00415A55">
        <w:t>Source</w:t>
      </w:r>
      <w:r w:rsidR="0075008D">
        <w:t>-</w:t>
      </w:r>
      <w:r w:rsidR="00415A55" w:rsidRPr="00415A55">
        <w:t>Level Analysis</w:t>
      </w:r>
    </w:p>
    <w:p w14:paraId="140776E5" w14:textId="36A0F14C" w:rsidR="006338A2" w:rsidRDefault="00523000">
      <w:r>
        <w:t>A</w:t>
      </w:r>
      <w:r w:rsidR="00415A55" w:rsidRPr="00415A55">
        <w:t xml:space="preserve">nalysis at the source level was based on time windows </w:t>
      </w:r>
      <w:r w:rsidR="009A0107" w:rsidRPr="00415A55">
        <w:t xml:space="preserve">defined </w:t>
      </w:r>
      <w:r w:rsidR="009A0107">
        <w:t>from</w:t>
      </w:r>
      <w:r w:rsidR="00415A55" w:rsidRPr="00415A55">
        <w:t xml:space="preserve"> </w:t>
      </w:r>
      <w:r w:rsidR="005527BF">
        <w:t xml:space="preserve">group </w:t>
      </w:r>
      <w:r w:rsidR="00415A55" w:rsidRPr="00415A55">
        <w:t xml:space="preserve">differences on the sensor level. </w:t>
      </w:r>
      <w:r w:rsidR="005527BF">
        <w:t>Canonical s</w:t>
      </w:r>
      <w:r w:rsidR="00415A55" w:rsidRPr="00415A55">
        <w:t xml:space="preserve">ensor locations were </w:t>
      </w:r>
      <w:proofErr w:type="spellStart"/>
      <w:r w:rsidR="00415A55" w:rsidRPr="00415A55">
        <w:t>coregistered</w:t>
      </w:r>
      <w:proofErr w:type="spellEnd"/>
      <w:r w:rsidR="00415A55" w:rsidRPr="00415A55">
        <w:t xml:space="preserve"> with the canonical head model in SPM. </w:t>
      </w:r>
      <w:r w:rsidR="005527BF">
        <w:t>L</w:t>
      </w:r>
      <w:r w:rsidR="005527BF" w:rsidRPr="00415A55">
        <w:t xml:space="preserve">ead field computation </w:t>
      </w:r>
      <w:r w:rsidR="005527BF">
        <w:t>used a</w:t>
      </w:r>
      <w:r w:rsidR="00415A55" w:rsidRPr="00415A55">
        <w:t xml:space="preserve"> boundary element model (Phillips, </w:t>
      </w:r>
      <w:proofErr w:type="spellStart"/>
      <w:r w:rsidR="00415A55" w:rsidRPr="00415A55">
        <w:t>Mattout</w:t>
      </w:r>
      <w:proofErr w:type="spellEnd"/>
      <w:r w:rsidR="00415A55" w:rsidRPr="00415A55">
        <w:t xml:space="preserve">, &amp; </w:t>
      </w:r>
      <w:proofErr w:type="spellStart"/>
      <w:r w:rsidR="00415A55" w:rsidRPr="00415A55">
        <w:t>Friston</w:t>
      </w:r>
      <w:proofErr w:type="spellEnd"/>
      <w:r w:rsidR="00415A55" w:rsidRPr="00415A55">
        <w:t xml:space="preserve">, 2007). </w:t>
      </w:r>
      <w:r w:rsidR="005527BF">
        <w:t xml:space="preserve">The </w:t>
      </w:r>
      <w:r w:rsidR="00415A55" w:rsidRPr="00415A55">
        <w:t xml:space="preserve">Bayesian source reconstruction method </w:t>
      </w:r>
      <w:r w:rsidR="005527BF">
        <w:t xml:space="preserve">in SPM was used </w:t>
      </w:r>
      <w:r w:rsidR="00415A55" w:rsidRPr="00415A55">
        <w:t>(</w:t>
      </w:r>
      <w:proofErr w:type="spellStart"/>
      <w:r w:rsidR="00415A55" w:rsidRPr="00415A55">
        <w:t>Mattout</w:t>
      </w:r>
      <w:proofErr w:type="spellEnd"/>
      <w:r w:rsidR="00415A55" w:rsidRPr="00415A55">
        <w:t xml:space="preserve">, Phillips, Penny, </w:t>
      </w:r>
      <w:proofErr w:type="spellStart"/>
      <w:r w:rsidR="00415A55" w:rsidRPr="00415A55">
        <w:t>Rugg</w:t>
      </w:r>
      <w:proofErr w:type="spellEnd"/>
      <w:r w:rsidR="00415A55" w:rsidRPr="00415A55">
        <w:t xml:space="preserve">, &amp; </w:t>
      </w:r>
      <w:proofErr w:type="spellStart"/>
      <w:r w:rsidR="00415A55" w:rsidRPr="00415A55">
        <w:t>Friston</w:t>
      </w:r>
      <w:proofErr w:type="spellEnd"/>
      <w:r w:rsidR="00415A55" w:rsidRPr="00415A55">
        <w:t xml:space="preserve">, 2006) with </w:t>
      </w:r>
      <w:r w:rsidR="005527BF">
        <w:t>Multiple Spare Priors</w:t>
      </w:r>
      <w:r w:rsidR="00415A55" w:rsidRPr="00415A55">
        <w:t xml:space="preserve"> to </w:t>
      </w:r>
      <w:r w:rsidR="005527BF">
        <w:t>estimate</w:t>
      </w:r>
      <w:r w:rsidR="00415A55" w:rsidRPr="00415A55">
        <w:t xml:space="preserve"> source</w:t>
      </w:r>
      <w:r w:rsidR="005527BF">
        <w:t>s</w:t>
      </w:r>
      <w:r w:rsidR="00415A55" w:rsidRPr="00415A55">
        <w:t xml:space="preserve"> </w:t>
      </w:r>
      <w:r w:rsidR="005527BF">
        <w:t xml:space="preserve">across the </w:t>
      </w:r>
      <w:r w:rsidR="000E6B33">
        <w:t xml:space="preserve">temporal window of interest </w:t>
      </w:r>
      <w:r w:rsidR="005527BF">
        <w:t>(</w:t>
      </w:r>
      <w:r w:rsidR="000E6B33">
        <w:t>100 to 4</w:t>
      </w:r>
      <w:r w:rsidR="005527BF">
        <w:t xml:space="preserve">00 </w:t>
      </w:r>
      <w:proofErr w:type="spellStart"/>
      <w:r w:rsidR="005527BF">
        <w:t>ms</w:t>
      </w:r>
      <w:proofErr w:type="spellEnd"/>
      <w:r w:rsidR="00415A55" w:rsidRPr="00415A55">
        <w:t xml:space="preserve">). </w:t>
      </w:r>
      <w:r w:rsidR="005527BF">
        <w:t>Subsequently, s</w:t>
      </w:r>
      <w:r w:rsidR="00415A55" w:rsidRPr="00415A55">
        <w:t xml:space="preserve">ource activity was averaged </w:t>
      </w:r>
      <w:r w:rsidR="005527BF">
        <w:t xml:space="preserve">in each time </w:t>
      </w:r>
      <w:r w:rsidR="00415A55" w:rsidRPr="00415A55">
        <w:t>window</w:t>
      </w:r>
      <w:r w:rsidR="005527BF">
        <w:t xml:space="preserve"> corresponding to the latency of significant effect</w:t>
      </w:r>
      <w:r w:rsidR="001D1018">
        <w:t>s of interest</w:t>
      </w:r>
      <w:r w:rsidR="005527BF">
        <w:t xml:space="preserve"> </w:t>
      </w:r>
      <w:r w:rsidR="001D1018">
        <w:t xml:space="preserve">from </w:t>
      </w:r>
      <w:r w:rsidR="005527BF">
        <w:t>th</w:t>
      </w:r>
      <w:r w:rsidR="009A0107">
        <w:t>e sensor-space analyses. Using F</w:t>
      </w:r>
      <w:r w:rsidR="00415A55" w:rsidRPr="00415A55">
        <w:t xml:space="preserve"> contrasts</w:t>
      </w:r>
      <w:r w:rsidR="005527BF">
        <w:t>,</w:t>
      </w:r>
      <w:r w:rsidR="00415A55" w:rsidRPr="00415A55">
        <w:t xml:space="preserve"> </w:t>
      </w:r>
      <w:r w:rsidR="001D1018">
        <w:t>significant</w:t>
      </w:r>
      <w:r w:rsidR="005527BF">
        <w:t xml:space="preserve"> </w:t>
      </w:r>
      <w:r w:rsidR="00415A55" w:rsidRPr="00415A55">
        <w:t xml:space="preserve">differences </w:t>
      </w:r>
      <w:r w:rsidR="005527BF">
        <w:t xml:space="preserve">were identified </w:t>
      </w:r>
      <w:r w:rsidR="00415A55" w:rsidRPr="00415A55">
        <w:t>in source spac</w:t>
      </w:r>
      <w:r w:rsidR="005527BF">
        <w:t xml:space="preserve">e and reported </w:t>
      </w:r>
      <w:r w:rsidR="00415A55" w:rsidRPr="00415A55">
        <w:t>significant</w:t>
      </w:r>
      <w:r w:rsidR="009A0107">
        <w:t xml:space="preserve"> at a cluster-level significance of</w:t>
      </w:r>
      <w:r w:rsidR="00415A55" w:rsidRPr="00415A55">
        <w:t xml:space="preserve"> </w:t>
      </w:r>
      <w:r w:rsidR="00415A55" w:rsidRPr="00067195">
        <w:rPr>
          <w:i/>
        </w:rPr>
        <w:t>p</w:t>
      </w:r>
      <w:r w:rsidR="00415A55" w:rsidRPr="00415A55">
        <w:t xml:space="preserve"> </w:t>
      </w:r>
      <w:r w:rsidR="008023E9">
        <w:t xml:space="preserve">(FWE) </w:t>
      </w:r>
      <w:r w:rsidR="00415A55" w:rsidRPr="00415A55">
        <w:t xml:space="preserve">&lt; </w:t>
      </w:r>
      <w:r w:rsidR="005527BF">
        <w:t>0</w:t>
      </w:r>
      <w:r w:rsidR="009A0107">
        <w:t>.</w:t>
      </w:r>
      <w:r w:rsidR="008023E9">
        <w:t xml:space="preserve">05 when considering statistical maps </w:t>
      </w:r>
      <w:proofErr w:type="spellStart"/>
      <w:r w:rsidR="008023E9">
        <w:t>thresholded</w:t>
      </w:r>
      <w:proofErr w:type="spellEnd"/>
      <w:r w:rsidR="008023E9">
        <w:t xml:space="preserve"> at </w:t>
      </w:r>
      <w:r w:rsidR="008023E9" w:rsidRPr="00067195">
        <w:rPr>
          <w:i/>
        </w:rPr>
        <w:t>p</w:t>
      </w:r>
      <w:r w:rsidR="008023E9">
        <w:t xml:space="preserve"> &lt; 0.001</w:t>
      </w:r>
      <w:r w:rsidR="00415A55" w:rsidRPr="00415A55">
        <w:t>.</w:t>
      </w:r>
    </w:p>
    <w:p w14:paraId="267ACE2F" w14:textId="77777777" w:rsidR="005D67AD" w:rsidRPr="00415A55" w:rsidRDefault="005D67AD"/>
    <w:p w14:paraId="7D68F89E" w14:textId="77777777" w:rsidR="005527BF" w:rsidRDefault="001B645F">
      <w:pPr>
        <w:pStyle w:val="Heading2"/>
      </w:pPr>
      <w:r>
        <w:t>Brain-Behavioural Correlations</w:t>
      </w:r>
    </w:p>
    <w:p w14:paraId="3F16C5E7" w14:textId="3DC90B2B" w:rsidR="001B645F" w:rsidRDefault="001B645F">
      <w:r>
        <w:t>Neural correlates of behavioural outcomes in the patient group (namely, the hypothesised lower accuracy and slower re</w:t>
      </w:r>
      <w:r w:rsidR="00D90950">
        <w:t>sponse</w:t>
      </w:r>
      <w:r>
        <w:t xml:space="preserve"> times) were investigated in source space. Regions-of-interest were identified as those clusters </w:t>
      </w:r>
      <w:r w:rsidR="00133573">
        <w:t xml:space="preserve">in the </w:t>
      </w:r>
      <w:bookmarkStart w:id="30" w:name="OLE_LINK8"/>
      <w:r w:rsidR="00133573">
        <w:t xml:space="preserve">parietal and frontal lobe </w:t>
      </w:r>
      <w:bookmarkEnd w:id="30"/>
      <w:r>
        <w:t xml:space="preserve">showing significant Group effects in the SPM contrasts, and were extracted from the SPMs as </w:t>
      </w:r>
      <w:proofErr w:type="spellStart"/>
      <w:r>
        <w:t>eigenvariates</w:t>
      </w:r>
      <w:proofErr w:type="spellEnd"/>
      <w:r>
        <w:t xml:space="preserve">. To reduce the number of comparisons being made, </w:t>
      </w:r>
      <w:r w:rsidR="006404B5">
        <w:t xml:space="preserve">and because activity from bilateral sources was highly </w:t>
      </w:r>
      <w:proofErr w:type="spellStart"/>
      <w:r w:rsidR="006404B5">
        <w:t>multicollinear</w:t>
      </w:r>
      <w:proofErr w:type="spellEnd"/>
      <w:r w:rsidR="006404B5">
        <w:t xml:space="preserve"> at midline locations including </w:t>
      </w:r>
      <w:proofErr w:type="spellStart"/>
      <w:r w:rsidR="006404B5">
        <w:t>precuneus</w:t>
      </w:r>
      <w:proofErr w:type="spellEnd"/>
      <w:r w:rsidR="006404B5">
        <w:t xml:space="preserve"> and SMA, </w:t>
      </w:r>
      <w:r>
        <w:t xml:space="preserve">where bilateral </w:t>
      </w:r>
      <w:r>
        <w:lastRenderedPageBreak/>
        <w:t>group differences were evident, sources from both clusters were averaged together prior to correlation analysis. Correlations using Spearman’s rank coefficient were conducted in the patient group only to understand behavioural variance within this group (also, accuracy scores in the control group were not variant enough to justify such analyses within the control group).</w:t>
      </w:r>
    </w:p>
    <w:p w14:paraId="24B8F4DA" w14:textId="77777777" w:rsidR="008023E9" w:rsidRDefault="008023E9"/>
    <w:p w14:paraId="67B2F62C" w14:textId="77777777" w:rsidR="00917A9C" w:rsidRDefault="00917A9C">
      <w:pPr>
        <w:pStyle w:val="Heading2"/>
      </w:pPr>
      <w:r>
        <w:t>Secondary (exploratory) correlation analyses</w:t>
      </w:r>
    </w:p>
    <w:p w14:paraId="6D65124F" w14:textId="1DE07673" w:rsidR="001A5F64" w:rsidRDefault="00917A9C">
      <w:r>
        <w:t xml:space="preserve">As clinical data were collected using a number of questionnaires (clinical pain ratings, anxiety depression, limb functioning, neglect-like symptoms), we performed exploratory analyses to test for correlations between these clinical variables and digit discrimination task-related (behavioural and EEG) outcomes. </w:t>
      </w:r>
      <w:r w:rsidR="00B4139B">
        <w:t xml:space="preserve">As well as testing against EEG source activity, we also explored clinical variable relationships with sensor-space clusters. Finally, we </w:t>
      </w:r>
      <w:r>
        <w:t>explored relationships between sensor-space clusters in the EEG data across the different latencies, as well as source-space clusters across latencies.</w:t>
      </w:r>
    </w:p>
    <w:p w14:paraId="597C451A" w14:textId="687B62A4" w:rsidR="001A5F64" w:rsidRDefault="00905FA1">
      <w:r w:rsidRPr="00905FA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7243E77" w14:textId="77777777" w:rsidR="00AD5BCD" w:rsidRDefault="00AD5BCD">
      <w:pPr>
        <w:pStyle w:val="Heading1"/>
      </w:pPr>
      <w:r>
        <w:t>R</w:t>
      </w:r>
      <w:r w:rsidRPr="00DC73BF">
        <w:t xml:space="preserve">esults  </w:t>
      </w:r>
    </w:p>
    <w:p w14:paraId="79634FEA" w14:textId="1AF4E816" w:rsidR="009C5C21" w:rsidRPr="00103026" w:rsidRDefault="009C5C21" w:rsidP="00A83D52">
      <w:r>
        <w:t xml:space="preserve">See Supplementary Results for details of the participant characteristics. </w:t>
      </w:r>
    </w:p>
    <w:p w14:paraId="7A466710" w14:textId="24BC186A" w:rsidR="0024498A" w:rsidRPr="00103026" w:rsidRDefault="0024498A" w:rsidP="00A83D52">
      <w:pPr>
        <w:pStyle w:val="Heading2"/>
      </w:pPr>
      <w:r>
        <w:t>Digit discrimination performance: Worse and more variable in CRPS patients</w:t>
      </w:r>
    </w:p>
    <w:p w14:paraId="4523FE71" w14:textId="70F12199" w:rsidR="00067195" w:rsidRDefault="00067195" w:rsidP="00067195">
      <w:pPr>
        <w:pStyle w:val="ListParagraph"/>
        <w:ind w:left="0"/>
      </w:pPr>
      <w:r>
        <w:t>We hypothesised worse digit discrimination performance in the CRPS compared to the HC group in at least one of the metrics of accuracy and response time</w:t>
      </w:r>
      <w:r w:rsidR="0062652F">
        <w:t xml:space="preserve"> (RT)</w:t>
      </w:r>
      <w:r>
        <w:t xml:space="preserve">. This hypothesis was supported. Accuracy in digit discrimination was lower on average for CRPS patients vs. </w:t>
      </w:r>
      <w:r>
        <w:lastRenderedPageBreak/>
        <w:t xml:space="preserve">healthy controls (HCs), but as shown in Figure 1b this was clearly driven by a small number of CRPS patients. The remainder of the CRPS group’s accuracy overlapped with that of the HCs, leading to a distribution of data strongly skewed towards high accuracy. </w:t>
      </w:r>
      <w:r w:rsidR="0062652F">
        <w:t>Inferential statistics</w:t>
      </w:r>
      <w:r>
        <w:t xml:space="preserve"> on the accuracy data provided a medium-to-large effect size in comparing the two groups (Table </w:t>
      </w:r>
      <w:r w:rsidR="009C5C21">
        <w:t>1</w:t>
      </w:r>
      <w:r>
        <w:t xml:space="preserve">) with a </w:t>
      </w:r>
      <w:r w:rsidRPr="00067195">
        <w:rPr>
          <w:i/>
        </w:rPr>
        <w:t xml:space="preserve">p </w:t>
      </w:r>
      <w:r>
        <w:t xml:space="preserve">value of just over 0.01 (which remains significant after Bonferroni correction for the two tests – on accuracy and </w:t>
      </w:r>
      <w:r w:rsidR="0062652F">
        <w:t>RT</w:t>
      </w:r>
      <w:r>
        <w:t xml:space="preserve"> – used to address the hypothesis). For the </w:t>
      </w:r>
      <w:r w:rsidR="0062652F">
        <w:t>RT</w:t>
      </w:r>
      <w:r w:rsidR="00786A0F">
        <w:t xml:space="preserve"> data (Table </w:t>
      </w:r>
      <w:r w:rsidR="009C5C21">
        <w:t>2</w:t>
      </w:r>
      <w:r w:rsidR="00786A0F">
        <w:t xml:space="preserve"> and Figure 1b)</w:t>
      </w:r>
      <w:r>
        <w:t xml:space="preserve"> the group effect was stronger. In the CRPS group, while the distribution of t</w:t>
      </w:r>
      <w:r w:rsidR="00786A0F">
        <w:t>he data was skewed towards longer</w:t>
      </w:r>
      <w:r>
        <w:t xml:space="preserve"> RTs (Figure 1b), this did not appear to be strongly driven by such a small number of patients as for accuracy data. In addition, RTs showed overall greater variability in the CRPS group compared to the HC group. On average, RTs were longer in CRPS compared to HC participants with inferential statistics (Table </w:t>
      </w:r>
      <w:r w:rsidR="009C5C21">
        <w:t>2</w:t>
      </w:r>
      <w:r>
        <w:t>) revealing a large effect size with strong statistical significance.</w:t>
      </w:r>
    </w:p>
    <w:p w14:paraId="46DA70BE" w14:textId="77777777" w:rsidR="00067195" w:rsidRDefault="00067195" w:rsidP="00067195">
      <w:pPr>
        <w:pStyle w:val="ListParagraph"/>
        <w:ind w:left="0"/>
      </w:pPr>
    </w:p>
    <w:p w14:paraId="79ECD415" w14:textId="306C5BBA" w:rsidR="0024498A" w:rsidRDefault="0024498A" w:rsidP="00A83D52">
      <w:pPr>
        <w:pStyle w:val="Heading2"/>
      </w:pPr>
      <w:r>
        <w:t>Longer response times to CRPS affected vs. CRPS unaffected side stimulation</w:t>
      </w:r>
    </w:p>
    <w:p w14:paraId="1749AA9D" w14:textId="2A1B9326" w:rsidR="00862A6A" w:rsidRDefault="00AE6FF3" w:rsidP="00067195">
      <w:r>
        <w:t xml:space="preserve">We further hypothesised that in the CRPS group, there would be worse performance (for at least one of the metrics) on the affected vs. the unaffected side of the body, indicating some </w:t>
      </w:r>
      <w:proofErr w:type="spellStart"/>
      <w:r>
        <w:t>somatotopic</w:t>
      </w:r>
      <w:proofErr w:type="spellEnd"/>
      <w:r>
        <w:t xml:space="preserve"> specificity </w:t>
      </w:r>
      <w:r w:rsidR="00B4604D">
        <w:t>i</w:t>
      </w:r>
      <w:r>
        <w:t xml:space="preserve">n the CRPS group. </w:t>
      </w:r>
      <w:r w:rsidR="00541B8E">
        <w:t xml:space="preserve">As shown in Figure 1b, there was some indication of worse performance on the affected side compared to the unaffected side in CRPS patients. To address this hypothesis statistically, we looked at both the main effect of Side (pooling over both groups) and the interaction between Group and Side (a Group contrast on the subtracted Side data, i.e. unaffected minus affected side – Table </w:t>
      </w:r>
      <w:r w:rsidR="009C5C21">
        <w:t>1</w:t>
      </w:r>
      <w:r w:rsidR="00541B8E">
        <w:t xml:space="preserve">). </w:t>
      </w:r>
      <w:r w:rsidR="0024609D">
        <w:t>For accuracy data, t</w:t>
      </w:r>
      <w:r w:rsidR="00541B8E">
        <w:t xml:space="preserve">here was a significant main effect of Side (remaining significant after Bonferroni correction for four tests) with a large effect size, but no significant interaction between </w:t>
      </w:r>
      <w:r w:rsidR="00541B8E">
        <w:lastRenderedPageBreak/>
        <w:t>Group and Side</w:t>
      </w:r>
      <w:r w:rsidR="004F5260">
        <w:t xml:space="preserve"> (although for this interaction there was a medium effect size with a p value of 0.055, suggesting caution is required in drawing strong conclusions from these results)</w:t>
      </w:r>
      <w:r w:rsidR="00541B8E">
        <w:t xml:space="preserve">. </w:t>
      </w:r>
      <w:r w:rsidR="00CA0CD5">
        <w:t>Hence, there is little evidence for a Side effect</w:t>
      </w:r>
      <w:r w:rsidR="0024609D">
        <w:t xml:space="preserve"> on accuracy</w:t>
      </w:r>
      <w:r w:rsidR="00CA0CD5">
        <w:t xml:space="preserve"> that is specific to the CRPS group, </w:t>
      </w:r>
      <w:r w:rsidR="00A63191">
        <w:t xml:space="preserve">possibly due to a bias in performance </w:t>
      </w:r>
      <w:r w:rsidR="00CA0CD5">
        <w:t xml:space="preserve">in the HC group </w:t>
      </w:r>
      <w:r w:rsidR="00A63191">
        <w:t>favouring the dominant hand (the “affected” condition in healthy controls mostly included data from the non-dominant hand).</w:t>
      </w:r>
      <w:r w:rsidR="0024609D">
        <w:t xml:space="preserve"> Conversely, for RTs there was no significant effect of </w:t>
      </w:r>
      <w:r w:rsidR="00862A6A">
        <w:t xml:space="preserve">Side </w:t>
      </w:r>
      <w:r w:rsidR="0024609D">
        <w:t>across the two groups pooled together</w:t>
      </w:r>
      <w:r w:rsidR="00862A6A">
        <w:t xml:space="preserve"> and the effect size was small</w:t>
      </w:r>
      <w:r w:rsidR="0024609D">
        <w:t xml:space="preserve"> </w:t>
      </w:r>
      <w:r w:rsidR="00862A6A">
        <w:t xml:space="preserve">(Table </w:t>
      </w:r>
      <w:r w:rsidR="009C5C21">
        <w:t>2</w:t>
      </w:r>
      <w:r w:rsidR="00862A6A">
        <w:t>), but there was a significant interaction effect of Group and Side with a large effect size. It is visible from Figure 1b that on average, RTs were longer on the affected side in the CRPS group, but not in the HC group. Hence, RTs appear to be more specifically affected than accuracy by the side of the body stimulated in CRPS patients.</w:t>
      </w:r>
    </w:p>
    <w:p w14:paraId="0023098D" w14:textId="77777777" w:rsidR="00862A6A" w:rsidRDefault="00862A6A" w:rsidP="00067195"/>
    <w:p w14:paraId="4807A904" w14:textId="50B0ABD0" w:rsidR="0024498A" w:rsidRDefault="0024498A" w:rsidP="00A83D52">
      <w:pPr>
        <w:pStyle w:val="Heading2"/>
      </w:pPr>
      <w:r>
        <w:t>Performance decrements to rare stimuli are more apparent in CRPS patients</w:t>
      </w:r>
    </w:p>
    <w:p w14:paraId="3EE0D20D" w14:textId="7EE8CF33" w:rsidR="00862A6A" w:rsidRDefault="0024609D" w:rsidP="00862A6A">
      <w:r>
        <w:t xml:space="preserve">A separate hypothesis was that </w:t>
      </w:r>
      <w:r w:rsidR="00862A6A">
        <w:t>RTs</w:t>
      </w:r>
      <w:r>
        <w:t xml:space="preserve"> would be longer on digits stimulated more rarely, but that this effect would be less apparent in the CRPS group due to a loss of discrimination accuracy.</w:t>
      </w:r>
      <w:r w:rsidR="00862A6A">
        <w:t xml:space="preserve"> This hypothesis was </w:t>
      </w:r>
      <w:r w:rsidR="00293789">
        <w:t xml:space="preserve">only partly </w:t>
      </w:r>
      <w:r w:rsidR="00862A6A">
        <w:t>substantiated. A visible delay of RTs is evident for both groups in Figure 1b on more rarely stimulated middle digits (D2-D4) compared to more frequently stimulated digits (D1 and D5).</w:t>
      </w:r>
      <w:r>
        <w:t xml:space="preserve"> </w:t>
      </w:r>
      <w:r w:rsidR="00862A6A">
        <w:t xml:space="preserve">Indeed, using inferential statistics pooling over both groups, there was a very strong Digit Type effect (Table </w:t>
      </w:r>
      <w:r w:rsidR="009C5C21">
        <w:t>2</w:t>
      </w:r>
      <w:r w:rsidR="00862A6A">
        <w:t xml:space="preserve">). </w:t>
      </w:r>
      <w:r w:rsidR="00293789">
        <w:t>However</w:t>
      </w:r>
      <w:r w:rsidR="00862A6A">
        <w:t>, there was a medium-sized effect on the interaction between Group and Digit Type</w:t>
      </w:r>
      <w:r w:rsidR="00293789">
        <w:t xml:space="preserve"> in the opposite direction to that hypothesised</w:t>
      </w:r>
      <w:r w:rsidR="00862A6A">
        <w:t xml:space="preserve">, with the mean difference in RTs between rare and frequently stimulated digits being </w:t>
      </w:r>
      <w:r w:rsidR="00293789">
        <w:t xml:space="preserve">473 (SD 308) for the CRPS group and 203 (SD 108) for the HC group. In other words, there is no evidence to support the hypothesis that there is less </w:t>
      </w:r>
      <w:r w:rsidR="00293789">
        <w:lastRenderedPageBreak/>
        <w:t>cognitive cost to stimulating rare (vs</w:t>
      </w:r>
      <w:r w:rsidR="0062652F">
        <w:t>.</w:t>
      </w:r>
      <w:r w:rsidR="00293789">
        <w:t xml:space="preserve"> frequent) digit locations in CRPS patients because they are less able to discriminate the location changes.</w:t>
      </w:r>
    </w:p>
    <w:p w14:paraId="1A85D204" w14:textId="77777777" w:rsidR="0024609D" w:rsidRDefault="0024609D" w:rsidP="00067195"/>
    <w:p w14:paraId="1A32DCBD" w14:textId="4461D2C9" w:rsidR="0024609D" w:rsidRDefault="00862A6A" w:rsidP="0062652F">
      <w:pPr>
        <w:pStyle w:val="ListParagraph"/>
        <w:ind w:left="0"/>
      </w:pPr>
      <w:r>
        <w:t>There is also a suggestion from</w:t>
      </w:r>
      <w:r w:rsidR="00293789">
        <w:t xml:space="preserve"> the boxplot of</w:t>
      </w:r>
      <w:r>
        <w:t xml:space="preserve"> Figure 1b of lower accuracy on middle digits (D2-D4 condition), compared to D1 and D5, in the CRPS group. </w:t>
      </w:r>
      <w:r w:rsidR="00293789">
        <w:t>While this is not relevant to our hypothesis, f</w:t>
      </w:r>
      <w:r>
        <w:t>or exploratory purposes, the statistics for the Digit Type</w:t>
      </w:r>
      <w:r w:rsidR="00293789">
        <w:t xml:space="preserve"> effect</w:t>
      </w:r>
      <w:r>
        <w:t xml:space="preserve"> </w:t>
      </w:r>
      <w:r w:rsidR="00293789">
        <w:t xml:space="preserve">and interaction between Group and Digit Type </w:t>
      </w:r>
      <w:r>
        <w:t xml:space="preserve">are also shown for the accuracy data in Table </w:t>
      </w:r>
      <w:r w:rsidR="009C5C21">
        <w:t>1</w:t>
      </w:r>
      <w:r w:rsidR="00293789">
        <w:t xml:space="preserve">. In sum, accuracy was overall lower for rarer digit stimulations, but there was no evidence of this differing between groups. </w:t>
      </w:r>
    </w:p>
    <w:p w14:paraId="2457CCFC" w14:textId="77777777" w:rsidR="006D1F81" w:rsidRDefault="006D1F81" w:rsidP="00067195">
      <w:pPr>
        <w:pStyle w:val="ListParagraph"/>
        <w:ind w:left="0"/>
        <w:jc w:val="both"/>
        <w:rPr>
          <w:rFonts w:ascii="Arial" w:hAnsi="Arial" w:cs="Arial"/>
        </w:rPr>
      </w:pPr>
    </w:p>
    <w:p w14:paraId="2B7A7BFC" w14:textId="445B46C3" w:rsidR="002E7A29" w:rsidRDefault="00A84E5C">
      <w:pPr>
        <w:pStyle w:val="Heading2"/>
      </w:pPr>
      <w:r>
        <w:t>SEPs are augmented in CRPS patients at mid and late latencies</w:t>
      </w:r>
    </w:p>
    <w:p w14:paraId="363A0CA6" w14:textId="7EBE7889" w:rsidR="00E01007" w:rsidRDefault="00A14489">
      <w:r>
        <w:t xml:space="preserve">SPM sensor-space analyses were conducted on spatially-transformed sensor data (see Methods) such that all contralateral responses </w:t>
      </w:r>
      <w:r w:rsidR="007B14AD">
        <w:t>appeared</w:t>
      </w:r>
      <w:r>
        <w:t xml:space="preserve"> on the right side of the scalp</w:t>
      </w:r>
      <w:r w:rsidR="007B14AD">
        <w:t xml:space="preserve"> topography</w:t>
      </w:r>
      <w:r>
        <w:t xml:space="preserve">. </w:t>
      </w:r>
      <w:r w:rsidR="0027671E">
        <w:t>In Experiment 1, t</w:t>
      </w:r>
      <w:r w:rsidR="00E471F7">
        <w:t>he main effect of G</w:t>
      </w:r>
      <w:r w:rsidR="008A01D8">
        <w:t xml:space="preserve">roup </w:t>
      </w:r>
      <w:r w:rsidR="0027671E" w:rsidRPr="001D1018">
        <w:t>revealed significantly higher amplitude responses in</w:t>
      </w:r>
      <w:r w:rsidR="008A01D8">
        <w:t xml:space="preserve"> the CRPS group compared to the HC group </w:t>
      </w:r>
      <w:r w:rsidR="008A01D8" w:rsidRPr="001D1018">
        <w:t>(Figure</w:t>
      </w:r>
      <w:r w:rsidR="008A01D8">
        <w:t>s 2 and 3,</w:t>
      </w:r>
      <w:r w:rsidR="008A01D8" w:rsidRPr="001D1018">
        <w:t xml:space="preserve"> and Table </w:t>
      </w:r>
      <w:r w:rsidR="009C5C21">
        <w:t>3</w:t>
      </w:r>
      <w:r w:rsidR="008A01D8" w:rsidRPr="001D1018">
        <w:t>)</w:t>
      </w:r>
      <w:r w:rsidR="008A01D8">
        <w:t xml:space="preserve"> in</w:t>
      </w:r>
      <w:r w:rsidR="0027671E" w:rsidRPr="001D1018">
        <w:t xml:space="preserve"> a </w:t>
      </w:r>
      <w:r w:rsidR="008039E3">
        <w:t xml:space="preserve">contralateral </w:t>
      </w:r>
      <w:r w:rsidR="008A01D8">
        <w:t>negative-polarity cluster at 132ms</w:t>
      </w:r>
      <w:r w:rsidR="008039E3">
        <w:t xml:space="preserve"> </w:t>
      </w:r>
      <w:bookmarkStart w:id="31" w:name="OLE_LINK31"/>
      <w:r w:rsidR="008A01D8">
        <w:t>(mean [95% CIs]: CRPS -2.65 [-3.26, -2.05]; HC -0.94 [-1.54, -0.34])</w:t>
      </w:r>
      <w:bookmarkEnd w:id="31"/>
      <w:r w:rsidR="008A01D8">
        <w:t xml:space="preserve"> </w:t>
      </w:r>
      <w:r w:rsidR="008039E3">
        <w:t xml:space="preserve">and a </w:t>
      </w:r>
      <w:r w:rsidR="008A01D8">
        <w:t>positive-polarity</w:t>
      </w:r>
      <w:r w:rsidR="008A01D8" w:rsidRPr="001D1018">
        <w:t xml:space="preserve"> </w:t>
      </w:r>
      <w:proofErr w:type="spellStart"/>
      <w:r w:rsidR="0027671E" w:rsidRPr="001D1018">
        <w:t>fronto</w:t>
      </w:r>
      <w:proofErr w:type="spellEnd"/>
      <w:r w:rsidR="0027671E" w:rsidRPr="001D1018">
        <w:t xml:space="preserve">-central cluster at 268ms </w:t>
      </w:r>
      <w:bookmarkStart w:id="32" w:name="OLE_LINK33"/>
      <w:r w:rsidR="008A01D8">
        <w:t>(mean [95% CIs]: CRPS 4.34 [2.94, 5.73]; HC 2.08 [0.67, 3.47])</w:t>
      </w:r>
      <w:r w:rsidR="0027671E" w:rsidRPr="001D1018">
        <w:t xml:space="preserve">. </w:t>
      </w:r>
      <w:bookmarkEnd w:id="32"/>
      <w:r w:rsidR="00E01007">
        <w:t>The positive peak at 268ms is consistent in timing and topography with a P300 response</w:t>
      </w:r>
      <w:r w:rsidR="009F482D">
        <w:t xml:space="preserve">. </w:t>
      </w:r>
      <w:r w:rsidR="00E01007">
        <w:t>However, t</w:t>
      </w:r>
      <w:r w:rsidR="00D551CD">
        <w:t xml:space="preserve">here were no main effects of Digit </w:t>
      </w:r>
      <w:r w:rsidR="00840318">
        <w:t xml:space="preserve">Type </w:t>
      </w:r>
      <w:r w:rsidR="00D551CD">
        <w:t xml:space="preserve">or Side at either </w:t>
      </w:r>
      <w:r w:rsidR="00E01007">
        <w:t xml:space="preserve">the 132ms or the 268ms </w:t>
      </w:r>
      <w:r w:rsidR="00D551CD">
        <w:t xml:space="preserve">latency. </w:t>
      </w:r>
      <w:r w:rsidR="009F482D">
        <w:t xml:space="preserve">Exploring this further, this response was not qualitatively different when comparing the rarest (8% probability) to the less rare (37.5%) trials (Supplementary Figure S2). </w:t>
      </w:r>
      <w:r w:rsidR="00E01007">
        <w:t xml:space="preserve">The lack of a Digit Type effect is </w:t>
      </w:r>
      <w:r w:rsidR="00E01007">
        <w:lastRenderedPageBreak/>
        <w:t xml:space="preserve">contrary to our </w:t>
      </w:r>
      <w:r w:rsidR="00067195">
        <w:t>prediction</w:t>
      </w:r>
      <w:r w:rsidR="00E01007">
        <w:t xml:space="preserve"> that the P300 amplitude would be modulated by spatial probability. </w:t>
      </w:r>
    </w:p>
    <w:p w14:paraId="7384BE9A" w14:textId="77777777" w:rsidR="00E01007" w:rsidRDefault="00E01007"/>
    <w:p w14:paraId="5A4260F0" w14:textId="13FE9735" w:rsidR="00D551CD" w:rsidRDefault="00D551CD">
      <w:r>
        <w:t>At 132ms, the Group differences appear visually to be larger for the affected side compared t</w:t>
      </w:r>
      <w:r w:rsidR="00493DCE">
        <w:t>o the unaffected side (Figure 2b</w:t>
      </w:r>
      <w:r>
        <w:t>); however, this did not translate into</w:t>
      </w:r>
      <w:r w:rsidR="00E50F6F">
        <w:t xml:space="preserve"> </w:t>
      </w:r>
      <w:r>
        <w:t>a</w:t>
      </w:r>
      <w:r w:rsidR="008039E3">
        <w:t xml:space="preserve"> statistically significant interaction</w:t>
      </w:r>
      <w:r>
        <w:t xml:space="preserve"> </w:t>
      </w:r>
      <w:r w:rsidR="008039E3">
        <w:t>between Group*Side</w:t>
      </w:r>
      <w:r w:rsidR="00E01007">
        <w:t xml:space="preserve">, nor was there </w:t>
      </w:r>
      <w:r w:rsidR="008039E3">
        <w:t>a</w:t>
      </w:r>
      <w:r w:rsidR="00E01007">
        <w:t xml:space="preserve">n interaction of </w:t>
      </w:r>
      <w:r w:rsidR="008039E3">
        <w:t>Group*Digit</w:t>
      </w:r>
      <w:r w:rsidR="00E471F7">
        <w:t xml:space="preserve"> Type</w:t>
      </w:r>
      <w:r>
        <w:t xml:space="preserve">. </w:t>
      </w:r>
      <w:r w:rsidR="00E01007">
        <w:t xml:space="preserve">On the other hand, it is visually clear that at 268ms </w:t>
      </w:r>
      <w:bookmarkStart w:id="33" w:name="OLE_LINK23"/>
      <w:bookmarkStart w:id="34" w:name="OLE_LINK24"/>
      <w:bookmarkStart w:id="35" w:name="OLE_LINK25"/>
      <w:r w:rsidR="00E01007">
        <w:t>(Figure 3</w:t>
      </w:r>
      <w:r w:rsidR="00840318">
        <w:t>b</w:t>
      </w:r>
      <w:r w:rsidR="00E01007">
        <w:t>)</w:t>
      </w:r>
      <w:r>
        <w:t xml:space="preserve"> </w:t>
      </w:r>
      <w:bookmarkEnd w:id="33"/>
      <w:bookmarkEnd w:id="34"/>
      <w:bookmarkEnd w:id="35"/>
      <w:r w:rsidR="00E01007">
        <w:t>there are only</w:t>
      </w:r>
      <w:r>
        <w:t xml:space="preserve"> Group effects </w:t>
      </w:r>
      <w:r w:rsidR="00E01007">
        <w:t>and no interactions between Group and either Side or Digit Type, as borne out by the lack of statistical evidence for such interactions here either</w:t>
      </w:r>
      <w:r>
        <w:t xml:space="preserve">. </w:t>
      </w:r>
    </w:p>
    <w:p w14:paraId="3A7C8354" w14:textId="77777777" w:rsidR="00D551CD" w:rsidRDefault="00D551CD"/>
    <w:p w14:paraId="4E5FE7C5" w14:textId="2774756D" w:rsidR="004C6664" w:rsidRDefault="0027671E" w:rsidP="00A83D52">
      <w:r>
        <w:t>In Ex</w:t>
      </w:r>
      <w:r w:rsidR="008039E3">
        <w:t>periment 2, the main effect of G</w:t>
      </w:r>
      <w:r>
        <w:t xml:space="preserve">roup </w:t>
      </w:r>
      <w:r w:rsidRPr="001D1018">
        <w:t>reveal</w:t>
      </w:r>
      <w:r>
        <w:t>ed</w:t>
      </w:r>
      <w:r w:rsidRPr="001D1018">
        <w:t xml:space="preserve"> </w:t>
      </w:r>
      <w:r w:rsidR="008039E3">
        <w:t xml:space="preserve">a similar contralateral effect as Experiment 1 although slightly earlier at 124ms (Figure </w:t>
      </w:r>
      <w:r w:rsidR="00122B6F">
        <w:t>4</w:t>
      </w:r>
      <w:r w:rsidR="00840318">
        <w:t>a</w:t>
      </w:r>
      <w:r w:rsidR="008039E3">
        <w:t>)</w:t>
      </w:r>
      <w:r w:rsidR="008A01D8">
        <w:t xml:space="preserve">, with larger </w:t>
      </w:r>
      <w:r w:rsidR="00493DCE">
        <w:t xml:space="preserve">(more negative) </w:t>
      </w:r>
      <w:r w:rsidR="008A01D8">
        <w:t>responses in the CRPS group (mean [95% CIs]: CRP</w:t>
      </w:r>
      <w:r w:rsidR="00EC032F">
        <w:t>S -0.42 [-0.53, -0.31]; HC -0.18 [-0.29, -0.06</w:t>
      </w:r>
      <w:r w:rsidR="008A01D8">
        <w:t>])</w:t>
      </w:r>
      <w:r w:rsidR="00E01007">
        <w:t>. Again, mirroring the data from Experiment 1, there is the visual resemblance of a possibly larger Group effect for the affected side than for the unaffected side</w:t>
      </w:r>
      <w:r w:rsidR="00BD527D">
        <w:t xml:space="preserve"> (Figure 4b)</w:t>
      </w:r>
      <w:r w:rsidR="00E01007">
        <w:t>, and yet no</w:t>
      </w:r>
      <w:r w:rsidR="008039E3">
        <w:t xml:space="preserve"> </w:t>
      </w:r>
      <w:r w:rsidR="00E01007">
        <w:t xml:space="preserve">statistically significant </w:t>
      </w:r>
      <w:r w:rsidR="008039E3">
        <w:t>interaction effects w</w:t>
      </w:r>
      <w:r w:rsidR="004D2EAF">
        <w:t xml:space="preserve">ere </w:t>
      </w:r>
      <w:r w:rsidR="00161753">
        <w:t>eviden</w:t>
      </w:r>
      <w:r w:rsidR="00122B6F">
        <w:t>t.</w:t>
      </w:r>
      <w:r w:rsidR="00A43465">
        <w:t xml:space="preserve"> There was no Group effect at around the latency of a P300 response, but for comparison with Experiment 1 the data from Experiment 2 are plotted at 268ms (Figure 5).</w:t>
      </w:r>
      <w:bookmarkStart w:id="36" w:name="OLE_LINK60"/>
      <w:bookmarkStart w:id="37" w:name="OLE_LINK61"/>
    </w:p>
    <w:p w14:paraId="033EFD08" w14:textId="77777777" w:rsidR="00103026" w:rsidRDefault="00103026" w:rsidP="00A83D52"/>
    <w:bookmarkEnd w:id="36"/>
    <w:bookmarkEnd w:id="37"/>
    <w:p w14:paraId="221291B6" w14:textId="08E93265" w:rsidR="000B60BF" w:rsidRPr="000B60BF" w:rsidRDefault="00A84E5C">
      <w:pPr>
        <w:pStyle w:val="Heading2"/>
      </w:pPr>
      <w:r>
        <w:t>Reduced parietal and greater frontal cortical responses in CRPS patients</w:t>
      </w:r>
    </w:p>
    <w:p w14:paraId="0E2890E9" w14:textId="34FBD82C" w:rsidR="00D25908" w:rsidRDefault="00D9434F">
      <w:r>
        <w:t xml:space="preserve">Sources of SEPs were estimated at latencies showing statistical significance in sensor-space. At each latency and for each group, contrasts are firstly reported for source activity (across all conditions) relative to pre-stimulus baseline </w:t>
      </w:r>
      <w:r w:rsidR="00B40B6A" w:rsidRPr="00B40B6A">
        <w:t>(</w:t>
      </w:r>
      <w:r w:rsidR="00B40B6A" w:rsidRPr="00A83D52">
        <w:t>-200ms to 0ms</w:t>
      </w:r>
      <w:r w:rsidR="00B40B6A" w:rsidRPr="00B40B6A">
        <w:t>)</w:t>
      </w:r>
      <w:r w:rsidR="00B40B6A">
        <w:t xml:space="preserve"> </w:t>
      </w:r>
      <w:r>
        <w:t xml:space="preserve">as one-sided t-contrasts </w:t>
      </w:r>
      <w:r>
        <w:lastRenderedPageBreak/>
        <w:t xml:space="preserve">(Tables </w:t>
      </w:r>
      <w:r w:rsidR="009F482D">
        <w:t xml:space="preserve">S4 </w:t>
      </w:r>
      <w:r>
        <w:t xml:space="preserve">and </w:t>
      </w:r>
      <w:r w:rsidR="009F482D">
        <w:t>S5</w:t>
      </w:r>
      <w:r>
        <w:t xml:space="preserve">, and Figures 2c, 3c and 4c). Secondly, group effects are reported as two-sided F-contrasts (Table </w:t>
      </w:r>
      <w:r w:rsidR="00B333F2">
        <w:t>4</w:t>
      </w:r>
      <w:r>
        <w:t>). To summarise the results in relation to the hypothesised group differences,</w:t>
      </w:r>
      <w:r w:rsidRPr="00552E5E">
        <w:t xml:space="preserve"> </w:t>
      </w:r>
      <w:r>
        <w:t xml:space="preserve">CRPS patients showed reduced activity in the </w:t>
      </w:r>
      <w:proofErr w:type="spellStart"/>
      <w:r>
        <w:t>precuneus</w:t>
      </w:r>
      <w:proofErr w:type="spellEnd"/>
      <w:r>
        <w:t xml:space="preserve"> and superior parietal lobe bilaterally in both Experiment 1 and Experiment 2 at middle latencies (132/124ms), suggesting a task-independent tactile processing deficit. On the other hand, greater activity was found in superior frontal areas in the CRPS group compared to the HC group in Experimental 1 (under task demands), which provide</w:t>
      </w:r>
      <w:r w:rsidR="0062652F">
        <w:t>s</w:t>
      </w:r>
      <w:r>
        <w:t xml:space="preserve"> an explanation for the augmented responses found in the CRPS group in the analyses of sensor-space data. Specifically, middle latency responses were greater in a rostro-dorsal region of superior frontal lobe, while greater activity centred on the SMA at the later (268ms) latency.</w:t>
      </w:r>
      <w:r w:rsidR="000E7783">
        <w:t xml:space="preserve"> These results are discussed in greater detail in the Supplementary Results section.</w:t>
      </w:r>
    </w:p>
    <w:p w14:paraId="1C00CF80" w14:textId="77777777" w:rsidR="00014063" w:rsidRDefault="00014063"/>
    <w:p w14:paraId="66252DB3" w14:textId="3CA0EC39" w:rsidR="0006226F" w:rsidRDefault="00A84E5C">
      <w:pPr>
        <w:pStyle w:val="Heading2"/>
      </w:pPr>
      <w:bookmarkStart w:id="38" w:name="OLE_LINK45"/>
      <w:bookmarkStart w:id="39" w:name="OLE_LINK46"/>
      <w:r>
        <w:t>SMA source activity correlates with response time in CRPS patients</w:t>
      </w:r>
    </w:p>
    <w:p w14:paraId="71EACA2B" w14:textId="765FD87B" w:rsidR="000E4C47" w:rsidRPr="00133573" w:rsidRDefault="000E4C47">
      <w:r>
        <w:t>Temporal regions-of-interest from sensor-space topography maps (</w:t>
      </w:r>
      <w:r w:rsidR="00355650">
        <w:t>leftmost on Figures 2a, 3a and 4a</w:t>
      </w:r>
      <w:r>
        <w:t>) at 132ms and 268ms (Experiment 1) and 124ms (Experiment 2) were extracted for correlation analyses with behavioural data (accuracy and response time) in the patient group. No statistically significant correlations were found.</w:t>
      </w:r>
    </w:p>
    <w:p w14:paraId="376BCF24" w14:textId="77777777" w:rsidR="000E4C47" w:rsidRPr="008052BE" w:rsidRDefault="000E4C47" w:rsidP="00D9434F"/>
    <w:bookmarkEnd w:id="38"/>
    <w:bookmarkEnd w:id="39"/>
    <w:p w14:paraId="3B5721D1" w14:textId="4271AB36" w:rsidR="00133573" w:rsidRDefault="00CF5705">
      <w:r>
        <w:t>R</w:t>
      </w:r>
      <w:r w:rsidR="00133573">
        <w:t xml:space="preserve">egions-of-interest </w:t>
      </w:r>
      <w:r>
        <w:t>in the source data (cluster</w:t>
      </w:r>
      <w:r w:rsidR="00355650">
        <w:t>s</w:t>
      </w:r>
      <w:r>
        <w:t xml:space="preserve"> showing group differences in parietal and frontal areas) were also </w:t>
      </w:r>
      <w:r w:rsidR="00133573">
        <w:t>extracted for correlation analyses with behavioural data (accuracy and response time) in the patient group</w:t>
      </w:r>
      <w:r>
        <w:t xml:space="preserve">. Bilateral clusters were averaged together prior to analysis, resulting in a total of eight correlations (Table </w:t>
      </w:r>
      <w:r w:rsidR="00B333F2">
        <w:t>5</w:t>
      </w:r>
      <w:r>
        <w:t xml:space="preserve">). </w:t>
      </w:r>
      <w:r w:rsidR="00133573">
        <w:t xml:space="preserve">After Bonferroni correction for </w:t>
      </w:r>
      <w:r w:rsidR="00133573">
        <w:lastRenderedPageBreak/>
        <w:t xml:space="preserve">multiple comparisons, </w:t>
      </w:r>
      <w:r>
        <w:t xml:space="preserve">a </w:t>
      </w:r>
      <w:r w:rsidR="00133573">
        <w:t xml:space="preserve">significant effect </w:t>
      </w:r>
      <w:r w:rsidR="002E73D7">
        <w:t xml:space="preserve">was </w:t>
      </w:r>
      <w:r w:rsidR="00133573">
        <w:t>found for response time</w:t>
      </w:r>
      <w:r w:rsidR="002E73D7">
        <w:t xml:space="preserve"> - a </w:t>
      </w:r>
      <w:r w:rsidR="00133573">
        <w:t>positive correlation with source activity in SMA at 268ms during Experiment 1</w:t>
      </w:r>
      <w:r w:rsidR="002E73D7">
        <w:t xml:space="preserve"> (</w:t>
      </w:r>
      <w:r w:rsidR="005A6C69">
        <w:t>Figure</w:t>
      </w:r>
      <w:r>
        <w:t xml:space="preserve"> </w:t>
      </w:r>
      <w:r w:rsidR="005A6C69">
        <w:t>3</w:t>
      </w:r>
      <w:r w:rsidR="00355650">
        <w:t>d</w:t>
      </w:r>
      <w:r w:rsidR="002E73D7">
        <w:t>)</w:t>
      </w:r>
      <w:r w:rsidR="00BD7923">
        <w:t xml:space="preserve">. </w:t>
      </w:r>
    </w:p>
    <w:p w14:paraId="2E28609B" w14:textId="77777777" w:rsidR="004C6664" w:rsidRDefault="004C6664">
      <w:pPr>
        <w:pStyle w:val="Heading2"/>
      </w:pPr>
    </w:p>
    <w:p w14:paraId="78202EC5" w14:textId="1DC204C5" w:rsidR="000873D0" w:rsidRDefault="00A84E5C">
      <w:pPr>
        <w:pStyle w:val="Heading2"/>
      </w:pPr>
      <w:r>
        <w:t>Late-latency SEPs predict physical functioning of the affected limb</w:t>
      </w:r>
    </w:p>
    <w:p w14:paraId="05AF33D5" w14:textId="09499B94" w:rsidR="00ED738E" w:rsidRDefault="00643EC6">
      <w:r>
        <w:t xml:space="preserve">Supplementary tables </w:t>
      </w:r>
      <w:r w:rsidR="009F482D">
        <w:t xml:space="preserve">S6 </w:t>
      </w:r>
      <w:r>
        <w:t xml:space="preserve">to </w:t>
      </w:r>
      <w:r w:rsidR="009F482D">
        <w:t xml:space="preserve">S8 </w:t>
      </w:r>
      <w:r>
        <w:t>show the results of exploratory correlation analyses. Due to the large number of comparisons</w:t>
      </w:r>
      <w:r w:rsidR="0062652F">
        <w:t xml:space="preserve"> in the correlations of SEP data with clinical variables</w:t>
      </w:r>
      <w:r>
        <w:t>, only one relationship merits attention due to its strong correlation (</w:t>
      </w:r>
      <w:proofErr w:type="spellStart"/>
      <w:r w:rsidRPr="00643EC6">
        <w:rPr>
          <w:i/>
        </w:rPr>
        <w:t>r</w:t>
      </w:r>
      <w:r w:rsidRPr="00643EC6">
        <w:rPr>
          <w:i/>
          <w:vertAlign w:val="subscript"/>
        </w:rPr>
        <w:t>s</w:t>
      </w:r>
      <w:proofErr w:type="spellEnd"/>
      <w:r w:rsidRPr="00643EC6">
        <w:rPr>
          <w:i/>
        </w:rPr>
        <w:t xml:space="preserve"> =</w:t>
      </w:r>
      <w:r>
        <w:rPr>
          <w:i/>
        </w:rPr>
        <w:t xml:space="preserve"> </w:t>
      </w:r>
      <w:r w:rsidRPr="00643EC6">
        <w:t>.829</w:t>
      </w:r>
      <w:r>
        <w:t xml:space="preserve">, </w:t>
      </w:r>
      <w:r w:rsidRPr="00643EC6">
        <w:rPr>
          <w:i/>
        </w:rPr>
        <w:t>p</w:t>
      </w:r>
      <w:r w:rsidRPr="00643EC6">
        <w:t xml:space="preserve"> </w:t>
      </w:r>
      <w:r>
        <w:t xml:space="preserve">= 0.0005) that survives multiple comparisons correction, namely the positive correlation between sensor-space cluster activity at 268ms in Experiment 1 with the lower/upper extremity function index, indicating that large P300-like responses predict higher levels of physical functioning of the affected limb in CRPS patients. </w:t>
      </w:r>
      <w:r w:rsidR="00F16EE5">
        <w:t xml:space="preserve">Also of note is a correlation between the parietal and frontal sources showing group effects at 132ms in Experiment 1, which were correlated in both groups. Otherwise, sources were not correlated across latencies. </w:t>
      </w:r>
    </w:p>
    <w:p w14:paraId="7360F302" w14:textId="5E527808" w:rsidR="0095314A" w:rsidRDefault="0095314A" w:rsidP="00D9434F">
      <w:pPr>
        <w:rPr>
          <w:rFonts w:asciiTheme="majorHAnsi" w:eastAsiaTheme="majorEastAsia" w:hAnsiTheme="majorHAnsi" w:cstheme="majorBidi"/>
          <w:b/>
          <w:bCs/>
          <w:kern w:val="32"/>
          <w:sz w:val="28"/>
          <w:szCs w:val="32"/>
        </w:rPr>
      </w:pPr>
    </w:p>
    <w:p w14:paraId="695782D8" w14:textId="77777777" w:rsidR="00961337" w:rsidRPr="00AC4075" w:rsidRDefault="00961337">
      <w:pPr>
        <w:pStyle w:val="Heading1"/>
      </w:pPr>
      <w:r w:rsidRPr="00AC4075">
        <w:t>Discussion</w:t>
      </w:r>
    </w:p>
    <w:p w14:paraId="5D4380B1" w14:textId="3EB13B3B" w:rsidR="00E47F3B" w:rsidRDefault="00FA1DE1">
      <w:r>
        <w:t xml:space="preserve">The </w:t>
      </w:r>
      <w:r w:rsidR="00024A9B">
        <w:t>findings</w:t>
      </w:r>
      <w:r>
        <w:t xml:space="preserve"> are consistent with our </w:t>
      </w:r>
      <w:r w:rsidR="00D53C9B">
        <w:t xml:space="preserve">main </w:t>
      </w:r>
      <w:r>
        <w:t>hypothesis</w:t>
      </w:r>
      <w:r w:rsidR="00AD63E6">
        <w:t xml:space="preserve"> that </w:t>
      </w:r>
      <w:r w:rsidR="00D53C9B">
        <w:t xml:space="preserve">cognitive processing during </w:t>
      </w:r>
      <w:r>
        <w:t xml:space="preserve">tactile </w:t>
      </w:r>
      <w:r w:rsidR="00AD63E6">
        <w:t>perceptual decision-making</w:t>
      </w:r>
      <w:r>
        <w:t>,</w:t>
      </w:r>
      <w:r w:rsidR="00AD63E6">
        <w:t xml:space="preserve"> </w:t>
      </w:r>
      <w:r>
        <w:t>downstream of early</w:t>
      </w:r>
      <w:r w:rsidR="00D53C9B">
        <w:t>-latency</w:t>
      </w:r>
      <w:r>
        <w:t xml:space="preserve"> </w:t>
      </w:r>
      <w:proofErr w:type="spellStart"/>
      <w:r>
        <w:t>somatotopic</w:t>
      </w:r>
      <w:proofErr w:type="spellEnd"/>
      <w:r>
        <w:t xml:space="preserve"> mapping, is altered </w:t>
      </w:r>
      <w:r w:rsidR="002F4AC1">
        <w:t xml:space="preserve">in patients with CRPS. </w:t>
      </w:r>
      <w:r w:rsidR="00EB4D1C">
        <w:t>Secondarily, c</w:t>
      </w:r>
      <w:r w:rsidR="002A39E9">
        <w:t xml:space="preserve">onsistent with previous reports </w:t>
      </w:r>
      <w:r w:rsidR="002A39E9">
        <w:fldChar w:fldCharType="begin" w:fldLock="1"/>
      </w:r>
      <w:r w:rsidR="00ED42D4">
        <w:instrText>ADDIN CSL_CITATION { "citationItems" : [ { "id" : "ITEM-1", "itemData" : { "DOI" : "10.1016/j.pain.2004.05.019", "ISSN" : "0304-3959", "PMID" : "15288417", "abstract" : "To investigate neglect, extinction, and body-perception in patients suffering from complex regional pain syndrome (CRPS). So-called 'neglect-like' symptoms have been reported in CRPS, however no studies have yet analyzed this phenomenon which might substantiate the theory of the central nervous system involvement in the pathophysiology of CRPS. A total of 114 patients with CRPS of the upper limb underwent bedside neurological examination. 'Neglect-like' symptoms were determined by asking all patients what kind of feeling they had toward the affected hand (feeling of foreignness). Hemispatial neglect was tested with the line bisection task in 29 patients and sensory extinction to simultaneous stimulation in 40 patients. The ability to identify fingers after tactile stimulation was tested in 73 patients. Independently of the affected side and disease duration, 54.4% of the patients reported that their hand felt 'foreign' or 'strange'. The ability to identify fingers was impaired in 48% on the affected hand and in 6.5% on the unaffected hand ( X(2) = 33.52, df = 1, p &lt; 0.0001). These findings were related to pain intensity, illness duration and the extent of sensory deficits. No typical abnormalities indicating neglect were found in the line bisection test. Sensory extinction was normal in all patients. A large proportion of CRPS patients have disturbances of the self-perception of the hand, indicating an alteration of higher central nervous system processing. There are no indicators that classic neglect or extinction contribute to these findings. Physical therapy of such patients should take this observation into consideration.", "author" : [ { "dropping-particle" : "", "family" : "F\u00f6rderreuther", "given" : "S", "non-dropping-particle" : "", "parse-names" : false, "suffix" : "" }, { "dropping-particle" : "", "family" : "Sailer", "given" : "U", "non-dropping-particle" : "", "parse-names" : false, "suffix" : "" }, { "dropping-particle" : "", "family" : "Straube", "given" : "A", "non-dropping-particle" : "", "parse-names" : false, "suffix" : "" } ], "container-title" : "Pain", "id" : "ITEM-1", "issue" : "3", "issued" : { "date-parts" : [ [ "2004", "8" ] ] }, "page" : "756-61", "title" : "Impaired self-perception of the hand in complex regional pain syndrome (CRPS).", "type" : "article-journal", "volume" : "110" }, "uris" : [ "http://www.mendeley.com/documents/?uuid=53c9af93-1fa1-4577-9571-016ac6f504e7" ] }, { "id" : "ITEM-2", "itemData" : { "DOI" : "10.1097/AJP.0000000000000434", "ISSN" : "0749-8047", "PMID" : "27662180", "abstract" : "OBJECTIVES Delays in diagnosis occur with Complex Regional Pain Syndrome (CRPS). We define and prospectively demonstrate that novel bedside tests measuring body perception disruption can identify patients with CRPS post-fracture. METHODS The objectives of our study were to define and validate four bedside tests; to identify the prevalence of positive tests in patients with CRPS and other chronic pain conditions and to assess the clinical utility (Sensitivity; Specificity; Positive Predictive value; Negative Predictive Value) for identifying CRPS within a Fracture cohort. This was a single UK teaching hospital prospective cohort study with 313 recruits from healthy volunteers and patients with chronic pain conditions.Four novel tests were Finger Perception (FP), Hand Laterality identification (HL), Astereognosis (AS) and Body Scheme (BS) report. Five questionnaires (Brief Pain Inventory; Upper Extremity Functional Index; Lower Extremity Functional Index; Neglect-like Symptom Questionnaire; Hospital Anxiety and Depression Score) assessed the multidimensional pain experience. RESULTS FP &amp; BS were the best performing tests. Prospective monitoring of fracture patients showed that out of 7 fracture patients (total n=47) who had both finger misperception and abnormal body scheme report at initial testing, 3 developed persistent pain with 1 having a formal diagnosis of CRPS. DISCUSSION Novel signs are reliable, easy to perform and present in chronic pain patients. FP and BS have significant clinical utility in predicting persistent pain in a fracture group thereby allowing targeted early intervention.", "author" : [ { "dropping-particle" : "", "family" : "Kuttikat", "given" : "Anoop", "non-dropping-particle" : "", "parse-names" : false, "suffix" : "" }, { "dropping-particle" : "", "family" : "Shaikh", "given" : "Maliha", "non-dropping-particle" : "", "parse-names" : false, "suffix" : "" }, { "dropping-particle" : "", "family" : "Oomatia", "given" : "Amin", "non-dropping-particle" : "", "parse-names" : false, "suffix" : "" }, { "dropping-particle" : "", "family" : "Parker", "given" : "Richard", "non-dropping-particle" : "", "parse-names" : false, "suffix" : "" }, { "dropping-particle" : "", "family" : "Shenker", "given" : "Nicholas", "non-dropping-particle" : "", "parse-names" : false, "suffix" : "" } ], "container-title" : "The Clinical Journal of Pain", "id" : "ITEM-2", "issued" : { "date-parts" : [ [ "2016", "9", "21" ] ] }, "page" : "1", "title" : "Novel Signs and their Clinical Utility in Diagnosing Complex Regional Pain Syndrome (CRPS) \u2013 A Prospective Observational Cohort Study", "type" : "article-journal" }, "uris" : [ "http://www.mendeley.com/documents/?uuid=bda8e72f-c99a-3ecc-bb5b-9b8044e9bf2f" ] } ], "mendeley" : { "formattedCitation" : "&lt;sup&gt;12,21&lt;/sup&gt;", "plainTextFormattedCitation" : "12,21", "previouslyFormattedCitation" : "&lt;sup&gt;12,21&lt;/sup&gt;" }, "properties" : { "noteIndex" : 0 }, "schema" : "https://github.com/citation-style-language/schema/raw/master/csl-citation.json" }</w:instrText>
      </w:r>
      <w:r w:rsidR="002A39E9">
        <w:fldChar w:fldCharType="separate"/>
      </w:r>
      <w:r w:rsidR="00666857" w:rsidRPr="00666857">
        <w:rPr>
          <w:noProof/>
          <w:vertAlign w:val="superscript"/>
        </w:rPr>
        <w:t>12,21</w:t>
      </w:r>
      <w:r w:rsidR="002A39E9">
        <w:fldChar w:fldCharType="end"/>
      </w:r>
      <w:r w:rsidR="002A39E9">
        <w:t xml:space="preserve">, there was evidence </w:t>
      </w:r>
      <w:r w:rsidR="00D53C9B">
        <w:t>of</w:t>
      </w:r>
      <w:r w:rsidR="002A39E9">
        <w:t xml:space="preserve"> less accurate digit discrimination </w:t>
      </w:r>
      <w:r w:rsidR="00D53C9B">
        <w:t xml:space="preserve">and longer response times </w:t>
      </w:r>
      <w:r w:rsidR="002A39E9">
        <w:t>in CRPS patients compared to controls, but</w:t>
      </w:r>
      <w:r w:rsidR="00D53C9B">
        <w:t xml:space="preserve"> a high degree of between-subject variability indicating heterogeneity in the mechanisms driving these performance indices. </w:t>
      </w:r>
      <w:r w:rsidR="00EB4D1C">
        <w:t>Interestingly</w:t>
      </w:r>
      <w:r w:rsidR="00D53C9B">
        <w:t>, response times appear to</w:t>
      </w:r>
      <w:r w:rsidR="002A39E9">
        <w:t xml:space="preserve"> </w:t>
      </w:r>
      <w:r w:rsidR="00D53C9B">
        <w:lastRenderedPageBreak/>
        <w:t xml:space="preserve">provide a more robust behavioural marker of perceptual decision-making deficits in CRPS patients </w:t>
      </w:r>
      <w:r w:rsidR="00EB4D1C">
        <w:t xml:space="preserve">than measures of digit discrimination </w:t>
      </w:r>
      <w:r w:rsidR="006D3FD6">
        <w:t>accuracy:</w:t>
      </w:r>
      <w:r w:rsidR="00EB4D1C">
        <w:t xml:space="preserve"> Not only was </w:t>
      </w:r>
      <w:r w:rsidR="00D53C9B">
        <w:t xml:space="preserve">the </w:t>
      </w:r>
      <w:r w:rsidR="00EB4D1C">
        <w:t>response time</w:t>
      </w:r>
      <w:r w:rsidR="00D53C9B">
        <w:t xml:space="preserve"> difference between groups a </w:t>
      </w:r>
      <w:r w:rsidR="00EB4D1C">
        <w:t>stronger effect, but it was also more evenly distributed across patients</w:t>
      </w:r>
      <w:r w:rsidR="00D53C9B">
        <w:t xml:space="preserve"> </w:t>
      </w:r>
      <w:r w:rsidR="00EB4D1C">
        <w:t>and more sensitive to stimulation on the affected vs. the unaffected side of the body</w:t>
      </w:r>
      <w:r w:rsidR="002A39E9">
        <w:t>. Furthermore, response times provided utility in characterising sources of augmented P300-like responses in SMA</w:t>
      </w:r>
      <w:r w:rsidR="006D3FD6">
        <w:t>, positively correlating</w:t>
      </w:r>
      <w:r w:rsidR="002A39E9">
        <w:t xml:space="preserve"> with longer response times in CRPS patients. Conversely, decrements in activation of </w:t>
      </w:r>
      <w:proofErr w:type="spellStart"/>
      <w:r w:rsidR="002A39E9">
        <w:t>precuneus</w:t>
      </w:r>
      <w:proofErr w:type="spellEnd"/>
      <w:r w:rsidR="002A39E9">
        <w:t xml:space="preserve"> and superior parietal lobe in patients with CRPS (compared to healthy controls) were not related to performance markers; further investigation is required as to the origin and functional consequences of these parietal lobe decrements. </w:t>
      </w:r>
    </w:p>
    <w:p w14:paraId="01ACF98B" w14:textId="77777777" w:rsidR="00A61966" w:rsidRDefault="00A61966"/>
    <w:p w14:paraId="64CBA2DB" w14:textId="0B13C583" w:rsidR="002A39E9" w:rsidRDefault="00F55CE2" w:rsidP="002A39E9">
      <w:r>
        <w:t>A</w:t>
      </w:r>
      <w:r w:rsidR="002A39E9">
        <w:t xml:space="preserve"> limitation of the present study was the </w:t>
      </w:r>
      <w:r w:rsidR="006D3FD6">
        <w:t>small</w:t>
      </w:r>
      <w:r w:rsidR="002A39E9">
        <w:t xml:space="preserve"> sample size, which can impact the </w:t>
      </w:r>
      <w:r w:rsidR="006D3FD6">
        <w:t xml:space="preserve">robustness and </w:t>
      </w:r>
      <w:r w:rsidR="002A39E9">
        <w:t xml:space="preserve">generalisability of group comparisons. Furthermore, the variable nature of the behavioural and EEG outcomes suggests that future research should focus on exploring this variability in relation to clinical heterogeneity. </w:t>
      </w:r>
      <w:r w:rsidR="00117B89">
        <w:t>One</w:t>
      </w:r>
      <w:r w:rsidR="002A39E9">
        <w:t xml:space="preserve"> example is disease duration (which in the current study ranged from 1 year to 14 years); to date, there has been no systematic investigation of abnormal tactile perception of cortical processing</w:t>
      </w:r>
      <w:r w:rsidR="00117B89">
        <w:t xml:space="preserve"> in CRPS</w:t>
      </w:r>
      <w:r w:rsidR="002A39E9">
        <w:t xml:space="preserve"> in relation to this factor.</w:t>
      </w:r>
      <w:r w:rsidR="006139A8">
        <w:t xml:space="preserve"> </w:t>
      </w:r>
      <w:bookmarkStart w:id="40" w:name="OLE_LINK34"/>
      <w:bookmarkStart w:id="41" w:name="OLE_LINK36"/>
      <w:r w:rsidR="00DD022F">
        <w:t xml:space="preserve">A more complex confound is that of medication use: certain medications (such as opioids) may reduce cognitive performance, but also more severely affected patients are more likely to be prescribed such medication; establishing cause and effect is impossible from cross-sectional data. </w:t>
      </w:r>
      <w:bookmarkEnd w:id="40"/>
      <w:bookmarkEnd w:id="41"/>
      <w:r w:rsidR="006139A8">
        <w:t xml:space="preserve">Lastly, it is instructive to note that digit misperceptions occur in other types of chronic pain </w:t>
      </w:r>
      <w:r w:rsidR="006139A8">
        <w:fldChar w:fldCharType="begin" w:fldLock="1"/>
      </w:r>
      <w:r w:rsidR="00ED42D4">
        <w:instrText>ADDIN CSL_CITATION { "citationItems" : [ { "id" : "ITEM-1", "itemData" : { "DOI" : "10.1097/AJP.0000000000000434", "ISSN" : "0749-8047", "PMID" : "27662180", "abstract" : "OBJECTIVES Delays in diagnosis occur with Complex Regional Pain Syndrome (CRPS). We define and prospectively demonstrate that novel bedside tests measuring body perception disruption can identify patients with CRPS post-fracture. METHODS The objectives of our study were to define and validate four bedside tests; to identify the prevalence of positive tests in patients with CRPS and other chronic pain conditions and to assess the clinical utility (Sensitivity; Specificity; Positive Predictive value; Negative Predictive Value) for identifying CRPS within a Fracture cohort. This was a single UK teaching hospital prospective cohort study with 313 recruits from healthy volunteers and patients with chronic pain conditions.Four novel tests were Finger Perception (FP), Hand Laterality identification (HL), Astereognosis (AS) and Body Scheme (BS) report. Five questionnaires (Brief Pain Inventory; Upper Extremity Functional Index; Lower Extremity Functional Index; Neglect-like Symptom Questionnaire; Hospital Anxiety and Depression Score) assessed the multidimensional pain experience. RESULTS FP &amp; BS were the best performing tests. Prospective monitoring of fracture patients showed that out of 7 fracture patients (total n=47) who had both finger misperception and abnormal body scheme report at initial testing, 3 developed persistent pain with 1 having a formal diagnosis of CRPS. DISCUSSION Novel signs are reliable, easy to perform and present in chronic pain patients. FP and BS have significant clinical utility in predicting persistent pain in a fracture group thereby allowing targeted early intervention.", "author" : [ { "dropping-particle" : "", "family" : "Kuttikat", "given" : "Anoop", "non-dropping-particle" : "", "parse-names" : false, "suffix" : "" }, { "dropping-particle" : "", "family" : "Shaikh", "given" : "Maliha", "non-dropping-particle" : "", "parse-names" : false, "suffix" : "" }, { "dropping-particle" : "", "family" : "Oomatia", "given" : "Amin", "non-dropping-particle" : "", "parse-names" : false, "suffix" : "" }, { "dropping-particle" : "", "family" : "Parker", "given" : "Richard", "non-dropping-particle" : "", "parse-names" : false, "suffix" : "" }, { "dropping-particle" : "", "family" : "Shenker", "given" : "Nicholas", "non-dropping-particle" : "", "parse-names" : false, "suffix" : "" } ], "container-title" : "The Clinical Journal of Pain", "id" : "ITEM-1", "issued" : { "date-parts" : [ [ "2016", "9", "21" ] ] }, "page" : "1", "title" : "Novel Signs and their Clinical Utility in Diagnosing Complex Regional Pain Syndrome (CRPS) \u2013 A Prospective Observational Cohort Study", "type" : "article-journal" }, "uris" : [ "http://www.mendeley.com/documents/?uuid=bda8e72f-c99a-3ecc-bb5b-9b8044e9bf2f" ] } ], "mendeley" : { "formattedCitation" : "&lt;sup&gt;21&lt;/sup&gt;", "plainTextFormattedCitation" : "21", "previouslyFormattedCitation" : "&lt;sup&gt;21&lt;/sup&gt;" }, "properties" : { "noteIndex" : 0 }, "schema" : "https://github.com/citation-style-language/schema/raw/master/csl-citation.json" }</w:instrText>
      </w:r>
      <w:r w:rsidR="006139A8">
        <w:fldChar w:fldCharType="separate"/>
      </w:r>
      <w:r w:rsidR="00666857" w:rsidRPr="00666857">
        <w:rPr>
          <w:noProof/>
          <w:vertAlign w:val="superscript"/>
        </w:rPr>
        <w:t>21</w:t>
      </w:r>
      <w:r w:rsidR="006139A8">
        <w:fldChar w:fldCharType="end"/>
      </w:r>
      <w:r w:rsidR="002A7CE3" w:rsidRPr="002A7CE3">
        <w:t xml:space="preserve">. However, P300 responses from visual or auditory oddball stimuli can be either increased or decreased depending on the population of chronic pain </w:t>
      </w:r>
      <w:r w:rsidR="002A7CE3" w:rsidRPr="002A7CE3">
        <w:lastRenderedPageBreak/>
        <w:t>patients studied</w:t>
      </w:r>
      <w:r w:rsidR="002A7CE3">
        <w:t xml:space="preserve"> </w:t>
      </w:r>
      <w:r w:rsidR="00BC440D">
        <w:fldChar w:fldCharType="begin" w:fldLock="1"/>
      </w:r>
      <w:r w:rsidR="00ED42D4">
        <w:instrText>ADDIN CSL_CITATION { "citationItems" : [ { "id" : "ITEM-1", "itemData" : { "DOI" : "10.1007/s11062-015-9510-5", "ISSN" : "0090-2977", "author" : [ { "dropping-particle" : "", "family" : "Tomasevic-Todorovic", "given" : "S.", "non-dropping-particle" : "", "parse-names" : false, "suffix" : "" }, { "dropping-particle" : "", "family" : "Boskovic", "given" : "K.", "non-dropping-particle" : "", "parse-names" : false, "suffix" : "" }, { "dropping-particle" : "", "family" : "Filipovic", "given" : "D.", "non-dropping-particle" : "", "parse-names" : false, "suffix" : "" }, { "dropping-particle" : "", "family" : "Milekic", "given" : "B.", "non-dropping-particle" : "", "parse-names" : false, "suffix" : "" }, { "dropping-particle" : "", "family" : "Grajic", "given" : "M.", "non-dropping-particle" : "", "parse-names" : false, "suffix" : "" }, { "dropping-particle" : "", "family" : "Hanna", "given" : "F.", "non-dropping-particle" : "", "parse-names" : false, "suffix" : "" } ], "container-title" : "Neurophysiology", "id" : "ITEM-1", "issue" : "2", "issued" : { "date-parts" : [ [ "2015", "4", "26" ] ] }, "page" : "138-143", "publisher" : "Springer US", "title" : "Auditory Event-Related P300 Potentials in Rheumatoid Arthritis Patients", "type" : "article-journal", "volume" : "47" }, "uris" : [ "http://www.mendeley.com/documents/?uuid=5fd1856b-6006-381a-8b3b-8bd77ba798d9" ] }, { "id" : "ITEM-2", "itemData" : { "ISBN" : "4935146336002", "ISSN" : "0304-3959", "abstract" : "The aim of the study was to investigate to what extent cortical hyper-reactivity to visual stimuli is present in upper limb amputees. Five amputees with phantom limb pain (PLP), five amputees without PLP (Non-PLP) and 10 healthy controls (HC) were investigated using a visual oddball paradigm. Two hundred visual stimuli were presented with target stimuli occurring at a probability of 25% and standard stimuli at a probability of 75%. Event-related potentials were recorded from nine scalp positions (F3, F4, Fz, C3, C4, Cz, P3, P4, Pz). The PLP-patients had significantly higher P300-amplitudes to both types of stimuli compared to the non-PLP-patients. The HC were not significantly different from both amputee groups. P300-amplitude to targets at frontal sites in the hemisphere contralateral to the amputation was higher in the PLP patients. P300-latencies to target stimuli differed only at frontal sites with PLP-patients showing significantly longer latencies than non-PLP-patients. To standard stimuli, however, they showed significantly shorter latencies at central and parietal scalp positions. The HC had significantly shorter latencies than both amputee groups. The size of the P300-amplitude was positively correlated with the intensity of PLP. These findings suggest a higher magnitude of non-specific cortical excitability in amputees with PLP and a reduced excitability in amputees without PLP. This extends previous findings of differences in cortical excitability in PLP and non-PLP patients in the sensorimotor domain.", "author" : [ { "dropping-particle" : "", "family" : "Karl", "given" : "Anke", "non-dropping-particle" : "", "parse-names" : false, "suffix" : "" }, { "dropping-particle" : "", "family" : "Diers", "given" : "Martin", "non-dropping-particle" : "", "parse-names" : false, "suffix" : "" }, { "dropping-particle" : "", "family" : "Flor", "given" : "Herta", "non-dropping-particle" : "", "parse-names" : false, "suffix" : "" } ], "container-title" : "Pain", "id" : "ITEM-2", "issue" : "1-2", "issued" : { "date-parts" : [ [ "2004", "7" ] ] }, "page" : "40-8", "title" : "P300-amplitudes in upper limb amputees with and without phantom limb pain in a visual oddball paradigm.", "type" : "article-journal", "volume" : "110" }, "uris" : [ "http://www.mendeley.com/documents/?uuid=d8e1e2be-10fb-44c1-ae45-b2b721bdc5fd" ] } ], "mendeley" : { "formattedCitation" : "&lt;sup&gt;18,40&lt;/sup&gt;", "plainTextFormattedCitation" : "18,40", "previouslyFormattedCitation" : "&lt;sup&gt;18,39&lt;/sup&gt;" }, "properties" : { "noteIndex" : 0 }, "schema" : "https://github.com/citation-style-language/schema/raw/master/csl-citation.json" }</w:instrText>
      </w:r>
      <w:r w:rsidR="00BC440D">
        <w:fldChar w:fldCharType="separate"/>
      </w:r>
      <w:r w:rsidR="00ED42D4" w:rsidRPr="00ED42D4">
        <w:rPr>
          <w:noProof/>
          <w:vertAlign w:val="superscript"/>
        </w:rPr>
        <w:t>18,40</w:t>
      </w:r>
      <w:r w:rsidR="00BC440D">
        <w:fldChar w:fldCharType="end"/>
      </w:r>
      <w:r w:rsidR="002A7CE3" w:rsidRPr="002A7CE3">
        <w:t xml:space="preserve">. Further research is required to </w:t>
      </w:r>
      <w:r w:rsidR="00117B89">
        <w:t xml:space="preserve">identify </w:t>
      </w:r>
      <w:r w:rsidR="002A7CE3" w:rsidRPr="002A7CE3">
        <w:t>common and unique mechanisms driving these effects in patients with different diagnoses</w:t>
      </w:r>
      <w:r w:rsidR="006139A8">
        <w:t>.</w:t>
      </w:r>
    </w:p>
    <w:p w14:paraId="10081332" w14:textId="58B548F9" w:rsidR="00663630" w:rsidRDefault="00663630"/>
    <w:p w14:paraId="31D7B4D2" w14:textId="5B6E64B1" w:rsidR="00BA15EC" w:rsidRDefault="00BA15EC" w:rsidP="00BA15EC">
      <w:pPr>
        <w:rPr>
          <w:rStyle w:val="apple-converted-space"/>
          <w:color w:val="000000"/>
          <w:shd w:val="clear" w:color="auto" w:fill="FFFFFF"/>
        </w:rPr>
      </w:pPr>
      <w:r>
        <w:rPr>
          <w:rStyle w:val="apple-converted-space"/>
          <w:color w:val="000000"/>
          <w:shd w:val="clear" w:color="auto" w:fill="FFFFFF"/>
        </w:rPr>
        <w:t>A further limitation is that</w:t>
      </w:r>
      <w:r w:rsidRPr="00B3242E">
        <w:rPr>
          <w:rStyle w:val="apple-converted-space"/>
          <w:color w:val="000000"/>
          <w:shd w:val="clear" w:color="auto" w:fill="FFFFFF"/>
        </w:rPr>
        <w:t xml:space="preserve"> </w:t>
      </w:r>
      <w:r>
        <w:rPr>
          <w:rStyle w:val="apple-converted-space"/>
          <w:color w:val="000000"/>
          <w:shd w:val="clear" w:color="auto" w:fill="FFFFFF"/>
        </w:rPr>
        <w:t xml:space="preserve">the experiment failed to identify differential EEG responses to stimulation at more rare (8% probability) vs. less rare (37.5% probability) digit locations. It could be that </w:t>
      </w:r>
      <w:r w:rsidR="00F6092D">
        <w:rPr>
          <w:rStyle w:val="apple-converted-space"/>
          <w:color w:val="000000"/>
          <w:shd w:val="clear" w:color="auto" w:fill="FFFFFF"/>
        </w:rPr>
        <w:t>the relative difference in rarity between conditions was not sufficient – 37.5% is still quite rare</w:t>
      </w:r>
      <w:r>
        <w:t>. On the other hand, response times were sensitive to the effect of rarity, and, counter to our predictions, CRPS patients were more sensitive to this effect rather than less. A p</w:t>
      </w:r>
      <w:r w:rsidR="00403881">
        <w:t>lausible</w:t>
      </w:r>
      <w:r>
        <w:t xml:space="preserve"> explanation is that longer response times on the middle three digits </w:t>
      </w:r>
      <w:r w:rsidR="00403881">
        <w:t>were affected by the</w:t>
      </w:r>
      <w:r>
        <w:t xml:space="preserve"> additional spatial ambiguity arising from the fact that each of the middle digits (D2-D4) has two adjacent digits rather than just one for the outer digits (D1 and D5). CRPS patients may be more sensitive to this spatial ambiguity than controls.</w:t>
      </w:r>
      <w:r>
        <w:rPr>
          <w:rStyle w:val="apple-converted-space"/>
          <w:color w:val="000000"/>
          <w:shd w:val="clear" w:color="auto" w:fill="FFFFFF"/>
        </w:rPr>
        <w:t xml:space="preserve"> The experiment was therefore not well optimised to </w:t>
      </w:r>
      <w:r w:rsidR="00403881">
        <w:rPr>
          <w:rStyle w:val="apple-converted-space"/>
          <w:color w:val="000000"/>
          <w:shd w:val="clear" w:color="auto" w:fill="FFFFFF"/>
        </w:rPr>
        <w:t>measure the effect of</w:t>
      </w:r>
      <w:r>
        <w:rPr>
          <w:rStyle w:val="apple-converted-space"/>
          <w:color w:val="000000"/>
          <w:shd w:val="clear" w:color="auto" w:fill="FFFFFF"/>
        </w:rPr>
        <w:t xml:space="preserve"> novelty-related responses</w:t>
      </w:r>
      <w:r>
        <w:t xml:space="preserve"> as a potential marker of ine</w:t>
      </w:r>
      <w:r w:rsidR="00403881">
        <w:t>ffective spatial discrimination in CRPS.</w:t>
      </w:r>
    </w:p>
    <w:p w14:paraId="506E6A13" w14:textId="77777777" w:rsidR="00757320" w:rsidRDefault="00757320">
      <w:pPr>
        <w:rPr>
          <w:rStyle w:val="apple-converted-space"/>
          <w:color w:val="000000"/>
          <w:shd w:val="clear" w:color="auto" w:fill="FFFFFF"/>
        </w:rPr>
      </w:pPr>
    </w:p>
    <w:p w14:paraId="25CEE3BA" w14:textId="45344381" w:rsidR="00831945" w:rsidRDefault="00403881">
      <w:r>
        <w:t xml:space="preserve">In the following, we discuss the results with reference to our two other predictions, that of augmented cognitive processing in patients specific to task demands, and altered task-independent processing related to spatial representations of the body. </w:t>
      </w:r>
    </w:p>
    <w:p w14:paraId="3964080B" w14:textId="77777777" w:rsidR="007E28A0" w:rsidRDefault="007E28A0"/>
    <w:p w14:paraId="4D957279" w14:textId="66E37D8A" w:rsidR="00B235EF" w:rsidRDefault="007F1A6F">
      <w:pPr>
        <w:pStyle w:val="Heading2"/>
      </w:pPr>
      <w:r>
        <w:t>Late-latency SEPs</w:t>
      </w:r>
      <w:r w:rsidR="00D17F9C">
        <w:t xml:space="preserve"> mark abnormal </w:t>
      </w:r>
      <w:r w:rsidR="002C4F7D">
        <w:t>cognitive processing</w:t>
      </w:r>
      <w:r w:rsidR="00D17F9C">
        <w:t xml:space="preserve"> in CRPS</w:t>
      </w:r>
    </w:p>
    <w:p w14:paraId="008778B5" w14:textId="31DDB11F" w:rsidR="00663630" w:rsidRDefault="003F052D">
      <w:r>
        <w:rPr>
          <w:color w:val="000000"/>
          <w:shd w:val="clear" w:color="auto" w:fill="FFFFFF"/>
        </w:rPr>
        <w:t>A key finding</w:t>
      </w:r>
      <w:r w:rsidR="000133A7">
        <w:rPr>
          <w:color w:val="000000"/>
          <w:shd w:val="clear" w:color="auto" w:fill="FFFFFF"/>
        </w:rPr>
        <w:t xml:space="preserve"> </w:t>
      </w:r>
      <w:r>
        <w:rPr>
          <w:color w:val="000000"/>
          <w:shd w:val="clear" w:color="auto" w:fill="FFFFFF"/>
        </w:rPr>
        <w:t xml:space="preserve">relating to our hypothesis </w:t>
      </w:r>
      <w:r w:rsidR="000133A7">
        <w:rPr>
          <w:color w:val="000000"/>
          <w:shd w:val="clear" w:color="auto" w:fill="FFFFFF"/>
        </w:rPr>
        <w:t xml:space="preserve">was </w:t>
      </w:r>
      <w:r>
        <w:rPr>
          <w:color w:val="000000"/>
          <w:shd w:val="clear" w:color="auto" w:fill="FFFFFF"/>
        </w:rPr>
        <w:t>the</w:t>
      </w:r>
      <w:r w:rsidR="000133A7">
        <w:rPr>
          <w:color w:val="000000"/>
          <w:shd w:val="clear" w:color="auto" w:fill="FFFFFF"/>
        </w:rPr>
        <w:t xml:space="preserve"> larger amplitude response at 268ms in CRPS patients compared to controls. </w:t>
      </w:r>
      <w:r w:rsidR="00E605A1">
        <w:rPr>
          <w:color w:val="000000"/>
          <w:shd w:val="clear" w:color="auto" w:fill="FFFFFF"/>
        </w:rPr>
        <w:t xml:space="preserve">The latency and scalp distribution </w:t>
      </w:r>
      <w:r w:rsidR="000133A7">
        <w:rPr>
          <w:color w:val="000000"/>
          <w:shd w:val="clear" w:color="auto" w:fill="FFFFFF"/>
        </w:rPr>
        <w:t>of this effect is consistent with a</w:t>
      </w:r>
      <w:r w:rsidR="00DD76C0">
        <w:rPr>
          <w:color w:val="000000"/>
          <w:shd w:val="clear" w:color="auto" w:fill="FFFFFF"/>
        </w:rPr>
        <w:t xml:space="preserve"> P300; while also observed</w:t>
      </w:r>
      <w:r w:rsidR="00FA6BB6">
        <w:rPr>
          <w:color w:val="000000"/>
          <w:shd w:val="clear" w:color="auto" w:fill="FFFFFF"/>
        </w:rPr>
        <w:t xml:space="preserve"> in Experiment 2</w:t>
      </w:r>
      <w:r w:rsidR="00DD76C0">
        <w:rPr>
          <w:color w:val="000000"/>
          <w:shd w:val="clear" w:color="auto" w:fill="FFFFFF"/>
        </w:rPr>
        <w:t>, it was substantially diminished (</w:t>
      </w:r>
      <w:r w:rsidR="000C57F7">
        <w:rPr>
          <w:color w:val="000000"/>
          <w:shd w:val="clear" w:color="auto" w:fill="FFFFFF"/>
        </w:rPr>
        <w:t>indicating</w:t>
      </w:r>
      <w:r w:rsidR="00DD76C0">
        <w:rPr>
          <w:color w:val="000000"/>
          <w:shd w:val="clear" w:color="auto" w:fill="FFFFFF"/>
        </w:rPr>
        <w:t xml:space="preserve"> </w:t>
      </w:r>
      <w:r w:rsidR="000C57F7">
        <w:rPr>
          <w:color w:val="000000"/>
          <w:shd w:val="clear" w:color="auto" w:fill="FFFFFF"/>
        </w:rPr>
        <w:lastRenderedPageBreak/>
        <w:t>sensitivity to</w:t>
      </w:r>
      <w:r w:rsidR="00DD76C0">
        <w:rPr>
          <w:color w:val="000000"/>
          <w:shd w:val="clear" w:color="auto" w:fill="FFFFFF"/>
        </w:rPr>
        <w:t xml:space="preserve"> task demands) and there was no group difference</w:t>
      </w:r>
      <w:r w:rsidR="00110B80">
        <w:rPr>
          <w:color w:val="000000"/>
          <w:shd w:val="clear" w:color="auto" w:fill="FFFFFF"/>
        </w:rPr>
        <w:t xml:space="preserve">. </w:t>
      </w:r>
      <w:r w:rsidR="00117B89">
        <w:rPr>
          <w:color w:val="000000"/>
          <w:shd w:val="clear" w:color="auto" w:fill="FFFFFF"/>
        </w:rPr>
        <w:t>This</w:t>
      </w:r>
      <w:r>
        <w:rPr>
          <w:color w:val="000000"/>
          <w:shd w:val="clear" w:color="auto" w:fill="FFFFFF"/>
        </w:rPr>
        <w:t xml:space="preserve"> supports the view that</w:t>
      </w:r>
      <w:r w:rsidR="00E605A1">
        <w:t xml:space="preserve"> augmented </w:t>
      </w:r>
      <w:r w:rsidR="000C57F7">
        <w:t xml:space="preserve">task-related </w:t>
      </w:r>
      <w:r>
        <w:t xml:space="preserve">activity </w:t>
      </w:r>
      <w:r w:rsidR="00E605A1">
        <w:t>at 268ms</w:t>
      </w:r>
      <w:r w:rsidR="00DD76C0">
        <w:t xml:space="preserve"> </w:t>
      </w:r>
      <w:r w:rsidR="00E605A1">
        <w:t xml:space="preserve">in CRPS patients is due to </w:t>
      </w:r>
      <w:r w:rsidR="000C57F7">
        <w:t>greater attentional resource</w:t>
      </w:r>
      <w:r w:rsidR="00117B89">
        <w:t xml:space="preserve"> allocation</w:t>
      </w:r>
      <w:r w:rsidR="00E605A1">
        <w:t xml:space="preserve"> </w:t>
      </w:r>
      <w:r w:rsidR="00117B89">
        <w:t xml:space="preserve">required </w:t>
      </w:r>
      <w:r w:rsidR="000C57F7">
        <w:t>to perform the</w:t>
      </w:r>
      <w:r w:rsidR="00E605A1">
        <w:t xml:space="preserve"> task</w:t>
      </w:r>
      <w:r w:rsidR="00117B89">
        <w:t>.</w:t>
      </w:r>
    </w:p>
    <w:p w14:paraId="570E3107" w14:textId="77777777" w:rsidR="00663630" w:rsidRDefault="00663630"/>
    <w:p w14:paraId="692CB183" w14:textId="42326305" w:rsidR="003D0945" w:rsidRDefault="00663630">
      <w:pPr>
        <w:rPr>
          <w:rStyle w:val="apple-converted-space"/>
          <w:color w:val="000000"/>
          <w:shd w:val="clear" w:color="auto" w:fill="FFFFFF"/>
        </w:rPr>
      </w:pPr>
      <w:r>
        <w:t xml:space="preserve">However, </w:t>
      </w:r>
      <w:r w:rsidR="00117B89">
        <w:t xml:space="preserve">the P300 </w:t>
      </w:r>
      <w:r w:rsidR="00E04DBC">
        <w:t>is influenced by both endogenous (</w:t>
      </w:r>
      <w:r w:rsidR="003F052D">
        <w:t>related to task demands</w:t>
      </w:r>
      <w:r w:rsidR="00E04DBC">
        <w:t>) and exogenous (stimulus-driven) processes</w:t>
      </w:r>
      <w:r w:rsidR="006D3FD6">
        <w:t>.</w:t>
      </w:r>
      <w:r w:rsidR="003D0945">
        <w:t xml:space="preserve"> </w:t>
      </w:r>
      <w:r w:rsidR="0082478D">
        <w:t>T</w:t>
      </w:r>
      <w:r w:rsidR="00F6092D">
        <w:t>he task-specificity of the group effect on the P300 suggests a role for endogenous processes,</w:t>
      </w:r>
      <w:r w:rsidR="0082478D">
        <w:t xml:space="preserve"> such that the high between-subject variance in the P300 response may relate to individual differences in perceived task difficulty.</w:t>
      </w:r>
      <w:r w:rsidR="00F6092D">
        <w:t xml:space="preserve"> </w:t>
      </w:r>
      <w:r w:rsidR="0082478D">
        <w:t xml:space="preserve">However, </w:t>
      </w:r>
      <w:r w:rsidR="00F6092D">
        <w:t>some characteristics of the response also</w:t>
      </w:r>
      <w:r w:rsidR="003D0945">
        <w:t xml:space="preserve"> </w:t>
      </w:r>
      <w:r w:rsidR="0015468D">
        <w:t xml:space="preserve">bring us to cautiously </w:t>
      </w:r>
      <w:r w:rsidR="00F6092D">
        <w:t xml:space="preserve">suggest a role for bottom-up deficits in CRPS patients. </w:t>
      </w:r>
      <w:r w:rsidR="00E1263E">
        <w:rPr>
          <w:rStyle w:val="apple-converted-space"/>
          <w:color w:val="000000"/>
          <w:shd w:val="clear" w:color="auto" w:fill="FFFFFF"/>
        </w:rPr>
        <w:t xml:space="preserve">There are </w:t>
      </w:r>
      <w:r w:rsidR="005F00C2">
        <w:rPr>
          <w:rStyle w:val="apple-converted-space"/>
          <w:color w:val="000000"/>
          <w:shd w:val="clear" w:color="auto" w:fill="FFFFFF"/>
        </w:rPr>
        <w:t xml:space="preserve">three </w:t>
      </w:r>
      <w:r w:rsidR="00E1263E">
        <w:rPr>
          <w:rStyle w:val="apple-converted-space"/>
          <w:color w:val="000000"/>
          <w:shd w:val="clear" w:color="auto" w:fill="FFFFFF"/>
        </w:rPr>
        <w:t>characteristics of our results that suggest</w:t>
      </w:r>
      <w:r w:rsidR="00214356">
        <w:rPr>
          <w:rStyle w:val="apple-converted-space"/>
          <w:color w:val="000000"/>
          <w:shd w:val="clear" w:color="auto" w:fill="FFFFFF"/>
        </w:rPr>
        <w:t xml:space="preserve"> the group difference a</w:t>
      </w:r>
      <w:r w:rsidR="00E1263E">
        <w:rPr>
          <w:rStyle w:val="apple-converted-space"/>
          <w:color w:val="000000"/>
          <w:shd w:val="clear" w:color="auto" w:fill="FFFFFF"/>
        </w:rPr>
        <w:t xml:space="preserve">t 268ms in the present study </w:t>
      </w:r>
      <w:r w:rsidR="00214356">
        <w:rPr>
          <w:rStyle w:val="apple-converted-space"/>
          <w:color w:val="000000"/>
          <w:shd w:val="clear" w:color="auto" w:fill="FFFFFF"/>
        </w:rPr>
        <w:t>reflect</w:t>
      </w:r>
      <w:r w:rsidR="00E1263E">
        <w:rPr>
          <w:rStyle w:val="apple-converted-space"/>
          <w:color w:val="000000"/>
          <w:shd w:val="clear" w:color="auto" w:fill="FFFFFF"/>
        </w:rPr>
        <w:t>s</w:t>
      </w:r>
      <w:r w:rsidR="00214356">
        <w:rPr>
          <w:rStyle w:val="apple-converted-space"/>
          <w:color w:val="000000"/>
          <w:shd w:val="clear" w:color="auto" w:fill="FFFFFF"/>
        </w:rPr>
        <w:t xml:space="preserve"> differences in P3a-like </w:t>
      </w:r>
      <w:r w:rsidR="0015468D">
        <w:rPr>
          <w:rStyle w:val="apple-converted-space"/>
          <w:color w:val="000000"/>
          <w:shd w:val="clear" w:color="auto" w:fill="FFFFFF"/>
        </w:rPr>
        <w:t>novelty (exogenous) responses rather than P3b-like endogenous responses</w:t>
      </w:r>
      <w:r w:rsidR="00214356">
        <w:rPr>
          <w:rStyle w:val="apple-converted-space"/>
          <w:color w:val="000000"/>
          <w:shd w:val="clear" w:color="auto" w:fill="FFFFFF"/>
        </w:rPr>
        <w:t>. Firstly,</w:t>
      </w:r>
      <w:r w:rsidR="00E1263E">
        <w:rPr>
          <w:rStyle w:val="apple-converted-space"/>
          <w:color w:val="000000"/>
          <w:shd w:val="clear" w:color="auto" w:fill="FFFFFF"/>
        </w:rPr>
        <w:t xml:space="preserve"> the early</w:t>
      </w:r>
      <w:r w:rsidR="00214356">
        <w:rPr>
          <w:rStyle w:val="apple-converted-space"/>
          <w:color w:val="000000"/>
          <w:shd w:val="clear" w:color="auto" w:fill="FFFFFF"/>
        </w:rPr>
        <w:t xml:space="preserve"> latency </w:t>
      </w:r>
      <w:r w:rsidR="00E1263E">
        <w:rPr>
          <w:rStyle w:val="apple-converted-space"/>
          <w:color w:val="000000"/>
          <w:shd w:val="clear" w:color="auto" w:fill="FFFFFF"/>
        </w:rPr>
        <w:t xml:space="preserve">(for a P300) </w:t>
      </w:r>
      <w:r w:rsidR="00214356">
        <w:rPr>
          <w:rStyle w:val="apple-converted-space"/>
          <w:color w:val="000000"/>
          <w:shd w:val="clear" w:color="auto" w:fill="FFFFFF"/>
        </w:rPr>
        <w:t xml:space="preserve">and </w:t>
      </w:r>
      <w:proofErr w:type="spellStart"/>
      <w:r w:rsidR="00214356">
        <w:rPr>
          <w:rStyle w:val="apple-converted-space"/>
          <w:color w:val="000000"/>
          <w:shd w:val="clear" w:color="auto" w:fill="FFFFFF"/>
        </w:rPr>
        <w:t>front</w:t>
      </w:r>
      <w:r w:rsidR="00E1263E">
        <w:rPr>
          <w:rStyle w:val="apple-converted-space"/>
          <w:color w:val="000000"/>
          <w:shd w:val="clear" w:color="auto" w:fill="FFFFFF"/>
        </w:rPr>
        <w:t>o</w:t>
      </w:r>
      <w:proofErr w:type="spellEnd"/>
      <w:r w:rsidR="00214356">
        <w:rPr>
          <w:rStyle w:val="apple-converted-space"/>
          <w:color w:val="000000"/>
          <w:shd w:val="clear" w:color="auto" w:fill="FFFFFF"/>
        </w:rPr>
        <w:t>-central scalp distribution</w:t>
      </w:r>
      <w:r w:rsidR="00E1263E">
        <w:rPr>
          <w:rStyle w:val="apple-converted-space"/>
          <w:color w:val="000000"/>
          <w:shd w:val="clear" w:color="auto" w:fill="FFFFFF"/>
        </w:rPr>
        <w:t xml:space="preserve"> is reminiscent of a P3a</w:t>
      </w:r>
      <w:r w:rsidR="0015468D">
        <w:rPr>
          <w:rStyle w:val="apple-converted-space"/>
          <w:color w:val="000000"/>
          <w:shd w:val="clear" w:color="auto" w:fill="FFFFFF"/>
        </w:rPr>
        <w:t xml:space="preserve"> </w:t>
      </w:r>
      <w:r w:rsidR="0015468D">
        <w:fldChar w:fldCharType="begin" w:fldLock="1"/>
      </w:r>
      <w:r w:rsidR="00ED42D4">
        <w:instrText>ADDIN CSL_CITATION { "citationItems" : [ { "id" : "ITEM-1", "itemData" : { "abstract" : "The empirical and theoretical development of the P300 event-related brain potential (ERP) is reviewed by considering factors that contribute to its amplitude, latency, and general characteristics. The neuropsychological origins of the P3a and P3b subcomponents are detailed, and how target/ standard discrimination difficulty modulates scalp topography is discussed. The neural loci of P3a and P3b generation are outlined, and a cognitive model is proffered: P3a originates from stimulusdriven frontal attention mechanisms during task processing, whereas P3b originates from temporalparietal activity associated with attention and appears related to subsequent memory processing. Neurotransmitter actions associating P3a to frontal/dopaminergic and P3b to parietal/norepinephrine pathways are highlighted. Neuroinhibition is suggested as an overarching theoretical mechanism for P300, which is elicited when stimulus detection engages memory operations", "author" : [ { "dropping-particle" : "", "family" : "Polich", "given" : "John", "non-dropping-particle" : "", "parse-names" : false, "suffix" : "" } ], "container-title" : "Clinical Neurophysiology", "id" : "ITEM-1", "issue" : "10", "issued" : { "date-parts" : [ [ "2009" ] ] }, "page" : "2128-2148", "title" : "Updating P300: An Integrative Theory of P3a and P3b", "type" : "article-journal", "volume" : "118" }, "uris" : [ "http://www.mendeley.com/documents/?uuid=1b1b6bdc-23cb-4ef3-865f-4afb97a8a52e" ] }, { "id" : "ITEM-2", "itemData" : { "ISSN" : "0926-6410", "PMID" : "9714727", "abstract" : "A three-stimulus oddball paradigm (target, standard, nontarget) was employed in which subjects responded to an infrequent target, when its discrimination from the frequent standard was difficult. In separate auditory and visual modality conditions, the stimulus characteristics of an infrequent nontarget were manipulated such that its perceptual distinctiveness from the target was varied systematically. For both the low and high distinctiveness conditions, target stimulus P300 amplitude was larger than the nontarget only at the parietal electrode. In contrast, nontarget P3a amplitude was larger and earlier than the target P300 over the frontal/central electrode sites. The distinctiveness manipulation between the target and nontarget produced larger P3a component profiles for the auditory compared to visual stimuli. The results support previous findings that target/standard stimulus context determines P3a generation for both auditory and visual stimulus modalities and suggest that the distinctiveness of the eliciting stimulus contributes to P3a amplitude. Theoretical implications are discussed.", "author" : [ { "dropping-particle" : "", "family" : "Comerchero", "given" : "M D", "non-dropping-particle" : "", "parse-names" : false, "suffix" : "" }, { "dropping-particle" : "", "family" : "Polich", "given" : "J", "non-dropping-particle" : "", "parse-names" : false, "suffix" : "" } ], "container-title" : "Brain research. Cognitive brain research", "id" : "ITEM-2", "issue" : "1", "issued" : { "date-parts" : [ [ "1998", "7" ] ] }, "page" : "41-8", "title" : "P3a, perceptual distinctiveness, and stimulus modality.", "type" : "article-journal", "volume" : "7" }, "uris" : [ "http://www.mendeley.com/documents/?uuid=0c612a63-e24f-3208-bfe8-68a8f3c9bcb1" ] } ], "mendeley" : { "formattedCitation" : "&lt;sup&gt;8,31&lt;/sup&gt;", "plainTextFormattedCitation" : "8,31", "previouslyFormattedCitation" : "&lt;sup&gt;8,30&lt;/sup&gt;" }, "properties" : { "noteIndex" : 0 }, "schema" : "https://github.com/citation-style-language/schema/raw/master/csl-citation.json" }</w:instrText>
      </w:r>
      <w:r w:rsidR="0015468D">
        <w:fldChar w:fldCharType="separate"/>
      </w:r>
      <w:r w:rsidR="00ED42D4" w:rsidRPr="00ED42D4">
        <w:rPr>
          <w:noProof/>
          <w:vertAlign w:val="superscript"/>
        </w:rPr>
        <w:t>8,31</w:t>
      </w:r>
      <w:r w:rsidR="0015468D">
        <w:fldChar w:fldCharType="end"/>
      </w:r>
      <w:r w:rsidR="00E1263E">
        <w:rPr>
          <w:rStyle w:val="apple-converted-space"/>
          <w:color w:val="000000"/>
          <w:shd w:val="clear" w:color="auto" w:fill="FFFFFF"/>
        </w:rPr>
        <w:t xml:space="preserve">. Secondly, </w:t>
      </w:r>
      <w:r w:rsidR="00217EF7">
        <w:rPr>
          <w:rStyle w:val="apple-converted-space"/>
          <w:color w:val="000000"/>
          <w:shd w:val="clear" w:color="auto" w:fill="FFFFFF"/>
        </w:rPr>
        <w:t>the stimulus probabilities</w:t>
      </w:r>
      <w:r w:rsidR="00E1263E">
        <w:rPr>
          <w:rStyle w:val="apple-converted-space"/>
          <w:color w:val="000000"/>
          <w:shd w:val="clear" w:color="auto" w:fill="FFFFFF"/>
        </w:rPr>
        <w:t xml:space="preserve"> </w:t>
      </w:r>
      <w:r w:rsidR="00217EF7">
        <w:rPr>
          <w:rStyle w:val="apple-converted-space"/>
          <w:color w:val="000000"/>
          <w:shd w:val="clear" w:color="auto" w:fill="FFFFFF"/>
        </w:rPr>
        <w:t>ranged from</w:t>
      </w:r>
      <w:r w:rsidR="00E1263E">
        <w:rPr>
          <w:rStyle w:val="apple-converted-space"/>
          <w:color w:val="000000"/>
          <w:shd w:val="clear" w:color="auto" w:fill="FFFFFF"/>
        </w:rPr>
        <w:t xml:space="preserve"> </w:t>
      </w:r>
      <w:r w:rsidR="00217EF7">
        <w:rPr>
          <w:rStyle w:val="apple-converted-space"/>
          <w:color w:val="000000"/>
          <w:shd w:val="clear" w:color="auto" w:fill="FFFFFF"/>
        </w:rPr>
        <w:t xml:space="preserve">8% to 37.5% depending on the digit, each of which can be considered spatially rare and therefore ‘novel’. </w:t>
      </w:r>
      <w:r w:rsidR="00D0120E">
        <w:rPr>
          <w:rStyle w:val="apple-converted-space"/>
          <w:color w:val="000000"/>
          <w:shd w:val="clear" w:color="auto" w:fill="FFFFFF"/>
        </w:rPr>
        <w:t xml:space="preserve">Thirdly, </w:t>
      </w:r>
      <w:r w:rsidR="00D53224">
        <w:rPr>
          <w:rStyle w:val="apple-converted-space"/>
          <w:color w:val="000000"/>
          <w:shd w:val="clear" w:color="auto" w:fill="FFFFFF"/>
        </w:rPr>
        <w:t>previous studies of</w:t>
      </w:r>
      <w:r w:rsidR="00BF1D30">
        <w:rPr>
          <w:rStyle w:val="apple-converted-space"/>
          <w:color w:val="000000"/>
          <w:shd w:val="clear" w:color="auto" w:fill="FFFFFF"/>
        </w:rPr>
        <w:t xml:space="preserve"> visual P3b-like components have identified </w:t>
      </w:r>
      <w:r w:rsidR="004E426E">
        <w:rPr>
          <w:rStyle w:val="apple-converted-space"/>
          <w:color w:val="000000"/>
          <w:shd w:val="clear" w:color="auto" w:fill="FFFFFF"/>
        </w:rPr>
        <w:t>that</w:t>
      </w:r>
      <w:r w:rsidR="00D53224">
        <w:rPr>
          <w:rStyle w:val="apple-converted-space"/>
          <w:color w:val="000000"/>
          <w:shd w:val="clear" w:color="auto" w:fill="FFFFFF"/>
        </w:rPr>
        <w:t xml:space="preserve"> </w:t>
      </w:r>
      <w:r w:rsidR="00BF1D30">
        <w:rPr>
          <w:rStyle w:val="apple-converted-space"/>
          <w:color w:val="000000"/>
          <w:shd w:val="clear" w:color="auto" w:fill="FFFFFF"/>
        </w:rPr>
        <w:t xml:space="preserve">amplitudes </w:t>
      </w:r>
      <w:r w:rsidR="004E426E">
        <w:rPr>
          <w:rStyle w:val="apple-converted-space"/>
          <w:color w:val="000000"/>
          <w:shd w:val="clear" w:color="auto" w:fill="FFFFFF"/>
        </w:rPr>
        <w:t>are</w:t>
      </w:r>
      <w:r w:rsidR="00D53224">
        <w:rPr>
          <w:rStyle w:val="apple-converted-space"/>
          <w:color w:val="000000"/>
          <w:shd w:val="clear" w:color="auto" w:fill="FFFFFF"/>
        </w:rPr>
        <w:t xml:space="preserve"> </w:t>
      </w:r>
      <w:r w:rsidR="00BF1D30">
        <w:rPr>
          <w:rStyle w:val="apple-converted-space"/>
          <w:color w:val="000000"/>
          <w:shd w:val="clear" w:color="auto" w:fill="FFFFFF"/>
        </w:rPr>
        <w:t>negative</w:t>
      </w:r>
      <w:r w:rsidR="004E426E">
        <w:rPr>
          <w:rStyle w:val="apple-converted-space"/>
          <w:color w:val="000000"/>
          <w:shd w:val="clear" w:color="auto" w:fill="FFFFFF"/>
        </w:rPr>
        <w:t>ly</w:t>
      </w:r>
      <w:r w:rsidR="00D53224">
        <w:rPr>
          <w:rStyle w:val="apple-converted-space"/>
          <w:color w:val="000000"/>
          <w:shd w:val="clear" w:color="auto" w:fill="FFFFFF"/>
        </w:rPr>
        <w:t xml:space="preserve"> </w:t>
      </w:r>
      <w:r w:rsidR="004E426E">
        <w:rPr>
          <w:rStyle w:val="apple-converted-space"/>
          <w:color w:val="000000"/>
          <w:shd w:val="clear" w:color="auto" w:fill="FFFFFF"/>
        </w:rPr>
        <w:t>related</w:t>
      </w:r>
      <w:r w:rsidR="00D53224">
        <w:rPr>
          <w:rStyle w:val="apple-converted-space"/>
          <w:color w:val="000000"/>
          <w:shd w:val="clear" w:color="auto" w:fill="FFFFFF"/>
        </w:rPr>
        <w:t xml:space="preserve"> with RTs to the stimulus, </w:t>
      </w:r>
      <w:r w:rsidR="00BF1D30">
        <w:rPr>
          <w:rStyle w:val="apple-converted-space"/>
          <w:color w:val="000000"/>
          <w:shd w:val="clear" w:color="auto" w:fill="FFFFFF"/>
        </w:rPr>
        <w:t xml:space="preserve">possibly reflecting greater endogenous attention to the task </w:t>
      </w:r>
      <w:r w:rsidR="00BF1D30">
        <w:rPr>
          <w:rStyle w:val="apple-converted-space"/>
          <w:color w:val="000000"/>
          <w:shd w:val="clear" w:color="auto" w:fill="FFFFFF"/>
        </w:rPr>
        <w:fldChar w:fldCharType="begin" w:fldLock="1"/>
      </w:r>
      <w:r w:rsidR="00ED42D4">
        <w:rPr>
          <w:rStyle w:val="apple-converted-space"/>
          <w:color w:val="000000"/>
          <w:shd w:val="clear" w:color="auto" w:fill="FFFFFF"/>
        </w:rPr>
        <w:instrText>ADDIN CSL_CITATION { "citationItems" : [ { "id" : "ITEM-1", "itemData" : { "DOI" : "10.3389/fnhum.2014.00557", "PMID" : "25120458", "abstract" : "The neural correlates of intraindividual response variability were investigated in a serial choice reaction time (CRT) task. Reaction times (RTs) from the faster and slower portions of the RT distribution for the task were separately aggregated and associated P300 event-related potentials computed. Independent behavioral measures of executive function and IQ were also recorded. Across frontal, fronto-central, central, centro-parietal and parietal scalp regions, P300 amplitudes were significantly greater for faster relative to slower behavioral responses. However, P300 peak amplitude latencies did not differ according to the speed of the behavioral RT. Importantly, controlling for select independent measures of executive function attenuated shared variance in P300 amplitude for faster and slower trials. The findings suggest that P300 amplitude rather than latency is associated with the speed of behavioral RTs, and the possibility that fluctuations in executive control underlie variability in speeded responding.", "author" : [ { "dropping-particle" : "", "family" : "Ramchurn", "given" : "Anusha", "non-dropping-particle" : "", "parse-names" : false, "suffix" : "" }, { "dropping-particle" : "", "family" : "Fockert", "given" : "Jan W", "non-dropping-particle" : "de", "parse-names" : false, "suffix" : "" }, { "dropping-particle" : "", "family" : "Mason", "given" : "Luke", "non-dropping-particle" : "", "parse-names" : false, "suffix" : "" }, { "dropping-particle" : "", "family" : "Darling", "given" : "Stephen", "non-dropping-particle" : "", "parse-names" : false, "suffix" : "" }, { "dropping-particle" : "", "family" : "Bunce", "given" : "David", "non-dropping-particle" : "", "parse-names" : false, "suffix" : "" } ], "container-title" : "Frontiers in human neuroscience", "id" : "ITEM-1", "issued" : { "date-parts" : [ [ "2014" ] ] }, "page" : "557", "publisher" : "Frontiers Media SA", "title" : "Intraindividual reaction time variability affects P300 amplitude rather than latency.", "type" : "article-journal", "volume" : "8" }, "uris" : [ "http://www.mendeley.com/documents/?uuid=217056d1-b4ad-3748-9cb0-52fa5522c768" ] } ], "mendeley" : { "formattedCitation" : "&lt;sup&gt;34&lt;/sup&gt;", "plainTextFormattedCitation" : "34", "previouslyFormattedCitation" : "&lt;sup&gt;33&lt;/sup&gt;" }, "properties" : { "noteIndex" : 0 }, "schema" : "https://github.com/citation-style-language/schema/raw/master/csl-citation.json" }</w:instrText>
      </w:r>
      <w:r w:rsidR="00BF1D30">
        <w:rPr>
          <w:rStyle w:val="apple-converted-space"/>
          <w:color w:val="000000"/>
          <w:shd w:val="clear" w:color="auto" w:fill="FFFFFF"/>
        </w:rPr>
        <w:fldChar w:fldCharType="separate"/>
      </w:r>
      <w:r w:rsidR="00ED42D4" w:rsidRPr="00ED42D4">
        <w:rPr>
          <w:rStyle w:val="apple-converted-space"/>
          <w:noProof/>
          <w:color w:val="000000"/>
          <w:shd w:val="clear" w:color="auto" w:fill="FFFFFF"/>
          <w:vertAlign w:val="superscript"/>
        </w:rPr>
        <w:t>34</w:t>
      </w:r>
      <w:r w:rsidR="00BF1D30">
        <w:rPr>
          <w:rStyle w:val="apple-converted-space"/>
          <w:color w:val="000000"/>
          <w:shd w:val="clear" w:color="auto" w:fill="FFFFFF"/>
        </w:rPr>
        <w:fldChar w:fldCharType="end"/>
      </w:r>
      <w:r w:rsidR="00BF1D30">
        <w:rPr>
          <w:rStyle w:val="apple-converted-space"/>
          <w:color w:val="000000"/>
          <w:shd w:val="clear" w:color="auto" w:fill="FFFFFF"/>
        </w:rPr>
        <w:t xml:space="preserve">; this is </w:t>
      </w:r>
      <w:r w:rsidR="00D53224">
        <w:rPr>
          <w:rStyle w:val="apple-converted-space"/>
          <w:color w:val="000000"/>
          <w:shd w:val="clear" w:color="auto" w:fill="FFFFFF"/>
        </w:rPr>
        <w:t xml:space="preserve">opposite to our finding in CRPS patients when considering </w:t>
      </w:r>
      <w:r w:rsidR="00F91585">
        <w:rPr>
          <w:rStyle w:val="apple-converted-space"/>
          <w:color w:val="000000"/>
          <w:shd w:val="clear" w:color="auto" w:fill="FFFFFF"/>
        </w:rPr>
        <w:t xml:space="preserve">SMA </w:t>
      </w:r>
      <w:r w:rsidR="00D53224">
        <w:rPr>
          <w:rStyle w:val="apple-converted-space"/>
          <w:color w:val="000000"/>
          <w:shd w:val="clear" w:color="auto" w:fill="FFFFFF"/>
        </w:rPr>
        <w:t>sources of the 268ms</w:t>
      </w:r>
      <w:r w:rsidR="00BF1D30">
        <w:rPr>
          <w:rStyle w:val="apple-converted-space"/>
          <w:color w:val="000000"/>
          <w:shd w:val="clear" w:color="auto" w:fill="FFFFFF"/>
        </w:rPr>
        <w:t>, a finding more consistent with s</w:t>
      </w:r>
      <w:r w:rsidR="00D53224">
        <w:rPr>
          <w:rStyle w:val="apple-converted-space"/>
          <w:color w:val="000000"/>
          <w:shd w:val="clear" w:color="auto" w:fill="FFFFFF"/>
        </w:rPr>
        <w:t>t</w:t>
      </w:r>
      <w:r w:rsidR="00BF1D30">
        <w:rPr>
          <w:rStyle w:val="apple-converted-space"/>
          <w:color w:val="000000"/>
          <w:shd w:val="clear" w:color="auto" w:fill="FFFFFF"/>
        </w:rPr>
        <w:t>imulus-driven processes interrupting and delaying decision-making and subsequent response to stimuli.</w:t>
      </w:r>
      <w:r w:rsidR="00D53224">
        <w:rPr>
          <w:rStyle w:val="apple-converted-space"/>
          <w:color w:val="000000"/>
          <w:shd w:val="clear" w:color="auto" w:fill="FFFFFF"/>
        </w:rPr>
        <w:t xml:space="preserve"> </w:t>
      </w:r>
      <w:r w:rsidR="00F91585" w:rsidRPr="00FC5511">
        <w:t xml:space="preserve">Shorter RTs to visual targets have </w:t>
      </w:r>
      <w:r w:rsidR="00F91585">
        <w:t xml:space="preserve">also </w:t>
      </w:r>
      <w:r w:rsidR="00F91585" w:rsidRPr="00FC5511">
        <w:t xml:space="preserve">previously been found to be preceded by greater </w:t>
      </w:r>
      <w:r w:rsidR="00F91585" w:rsidRPr="00FC5511">
        <w:rPr>
          <w:i/>
        </w:rPr>
        <w:t>pre</w:t>
      </w:r>
      <w:r w:rsidR="00F91585" w:rsidRPr="00FC5511">
        <w:t xml:space="preserve">-stimulus activation of SMA, thought to promote top-down vigilance towards expected stimuli </w:t>
      </w:r>
      <w:r w:rsidR="00F91585" w:rsidRPr="00FC5511">
        <w:fldChar w:fldCharType="begin" w:fldLock="1"/>
      </w:r>
      <w:r w:rsidR="00ED42D4">
        <w:instrText>ADDIN CSL_CITATION { "citationItems" : [ { "id" : "ITEM-1", "itemData" : { "author" : [ { "dropping-particle" : "", "family" : "Hinds", "given" : "Oliver", "non-dropping-particle" : "", "parse-names" : false, "suffix" : "" }, { "dropping-particle" : "", "family" : "Thompson", "given" : "Todd W.", "non-dropping-particle" : "", "parse-names" : false, "suffix" : "" }, { "dropping-particle" : "", "family" : "Ghosh", "given" : "Satrajit", "non-dropping-particle" : "", "parse-names" : false, "suffix" : "" }, { "dropping-particle" : "", "family" : "Yoo", "given" : "Julie J.", "non-dropping-particle" : "", "parse-names" : false, "suffix" : "" }, { "dropping-particle" : "", "family" : "Whitfield-Gabrieli", "given" : "Susan", "non-dropping-particle" : "", "parse-names" : false, "suffix" : "" }, { "dropping-particle" : "", "family" : "Triantafyllou", "given" : "Christina", "non-dropping-particle" : "", "parse-names" : false, "suffix" : "" }, { "dropping-particle" : "", "family" : "Gabrieli", "given" : "John D. E.", "non-dropping-particle" : "", "parse-names" : false, "suffix" : "" } ], "container-title" : "Journal of Neurophysiology", "id" : "ITEM-1", "issue" : "5", "issued" : { "date-parts" : [ [ "2013" ] ] }, "title" : "Roles of default-mode network and supplementary motor area in human vigilance performance: evidence from real-time fMRI", "type" : "article-journal", "volume" : "109" }, "uris" : [ "http://www.mendeley.com/documents/?uuid=b680307f-2047-3260-a30e-1397f86bd7bf" ] } ], "mendeley" : { "formattedCitation" : "&lt;sup&gt;16&lt;/sup&gt;", "plainTextFormattedCitation" : "16", "previouslyFormattedCitation" : "&lt;sup&gt;16&lt;/sup&gt;" }, "properties" : { "noteIndex" : 0 }, "schema" : "https://github.com/citation-style-language/schema/raw/master/csl-citation.json" }</w:instrText>
      </w:r>
      <w:r w:rsidR="00F91585" w:rsidRPr="00FC5511">
        <w:fldChar w:fldCharType="separate"/>
      </w:r>
      <w:r w:rsidR="00666857" w:rsidRPr="00666857">
        <w:rPr>
          <w:noProof/>
          <w:vertAlign w:val="superscript"/>
        </w:rPr>
        <w:t>16</w:t>
      </w:r>
      <w:r w:rsidR="00F91585" w:rsidRPr="00FC5511">
        <w:fldChar w:fldCharType="end"/>
      </w:r>
      <w:r w:rsidR="00F91585" w:rsidRPr="00FC5511">
        <w:t xml:space="preserve">. In the present study, </w:t>
      </w:r>
      <w:r w:rsidR="00F91585" w:rsidRPr="00FC5511">
        <w:rPr>
          <w:i/>
        </w:rPr>
        <w:t>post</w:t>
      </w:r>
      <w:r w:rsidR="00F91585" w:rsidRPr="00FC5511">
        <w:t xml:space="preserve">-stimulus SMA activity predicted </w:t>
      </w:r>
      <w:r w:rsidR="00F91585" w:rsidRPr="000F004A">
        <w:rPr>
          <w:i/>
        </w:rPr>
        <w:t>longer</w:t>
      </w:r>
      <w:r w:rsidR="00F91585" w:rsidRPr="00FC5511">
        <w:t xml:space="preserve"> rather than shorter RTs, suggestive of stimulus-driven disruption of </w:t>
      </w:r>
      <w:r w:rsidR="002F0AE4">
        <w:t>task</w:t>
      </w:r>
      <w:r w:rsidR="002F0AE4" w:rsidRPr="00FC5511">
        <w:t xml:space="preserve"> </w:t>
      </w:r>
      <w:r w:rsidR="00F91585" w:rsidRPr="00FC5511">
        <w:lastRenderedPageBreak/>
        <w:t>performance rather than top-down vigilance</w:t>
      </w:r>
      <w:r w:rsidR="0015468D">
        <w:t>. Further investigation is needed to test this</w:t>
      </w:r>
      <w:r w:rsidR="002F0AE4">
        <w:t xml:space="preserve"> hypothesis </w:t>
      </w:r>
      <w:r w:rsidR="0015468D">
        <w:t>of specifically exogenous deficits in CRPS</w:t>
      </w:r>
      <w:r w:rsidR="000C497B">
        <w:t>.</w:t>
      </w:r>
    </w:p>
    <w:p w14:paraId="7A306503" w14:textId="77777777" w:rsidR="003D0945" w:rsidRDefault="003D0945">
      <w:pPr>
        <w:rPr>
          <w:rStyle w:val="apple-converted-space"/>
          <w:color w:val="000000"/>
          <w:shd w:val="clear" w:color="auto" w:fill="FFFFFF"/>
        </w:rPr>
      </w:pPr>
    </w:p>
    <w:p w14:paraId="62B8B997" w14:textId="24288F43" w:rsidR="0053652D" w:rsidRDefault="00F6092D">
      <w:pPr>
        <w:rPr>
          <w:rStyle w:val="apple-converted-space"/>
          <w:color w:val="000000"/>
          <w:shd w:val="clear" w:color="auto" w:fill="FFFFFF"/>
        </w:rPr>
      </w:pPr>
      <w:r>
        <w:t xml:space="preserve">Interestingly, the magnitude of the P300 activity in CRPS patients predicted better limb functioning, suggesting it compensates to the disease rather than directly marking disease pathology, but we can only speculate about why this might be the case. </w:t>
      </w:r>
      <w:r w:rsidR="003D0945">
        <w:t xml:space="preserve">While SMA is a premotor area that has an important role in the </w:t>
      </w:r>
      <w:r w:rsidR="003D0945" w:rsidRPr="003B25C0">
        <w:t>control of movements</w:t>
      </w:r>
      <w:r w:rsidR="003D0945">
        <w:t>, it has also been implicated in broader perceptual and decision-making functions. Bilateral SMA (as well as, to a less</w:t>
      </w:r>
      <w:r w:rsidR="0053652D">
        <w:t>er</w:t>
      </w:r>
      <w:r w:rsidR="003D0945">
        <w:t xml:space="preserve"> extent, right </w:t>
      </w:r>
      <w:proofErr w:type="spellStart"/>
      <w:r w:rsidR="003D0945">
        <w:t>precuneus</w:t>
      </w:r>
      <w:proofErr w:type="spellEnd"/>
      <w:r w:rsidR="003D0945">
        <w:t xml:space="preserve">) is particularly involved in maintenance of working memory required to discriminate between tactile stimuli separated by short delays </w:t>
      </w:r>
      <w:r w:rsidR="003D0945">
        <w:fldChar w:fldCharType="begin" w:fldLock="1"/>
      </w:r>
      <w:r w:rsidR="00ED42D4">
        <w:instrText>ADDIN CSL_CITATION { "citationItems" : [ { "id" : "ITEM-1", "itemData" : { "DOI" : "10.1038/nrn1058", "ISBN" : "1471-003X (Print)\\r1471-003X (Linking)", "ISSN" : "1471003X", "PMID" : "12612633", "abstract" : "Recent studies combining psychophysical and neurophysiological experiments in behaving monkeys have provided new insights into how several cortical areas integrate efforts to solve a vibrotactile discrimination task. In particular, these studies have addressed how neural codes are related to perception, working memory and decision making in this model. The primary somatosensory cortex drives higher cortical areas where past and current sensory information are combined, such that a comparison of the two evolves into a behavioural decision. These and other observations in visual tasks indicate that decisions emerge from highly-distributed processes in which the details of a scheduled motor plan are gradually specified by sensory information.", "author" : [ { "dropping-particle" : "", "family" : "Romo", "given" : "R", "non-dropping-particle" : "", "parse-names" : false, "suffix" : "" }, { "dropping-particle" : "", "family" : "Salinas", "given" : "E", "non-dropping-particle" : "", "parse-names" : false, "suffix" : "" } ], "container-title" : "Nat Rev Neurosci", "id" : "ITEM-1", "issue" : "3", "issued" : { "date-parts" : [ [ "2003" ] ] }, "page" : "203-218", "title" : "Flutter discrimination: neural codes, perception, memory and decision making", "type" : "article-journal", "volume" : "4" }, "uris" : [ "http://www.mendeley.com/documents/?uuid=01d07509-32f8-4f4b-8c42-513be4b20cb1", "http://www.mendeley.com/documents/?uuid=99635ee3-8dde-41f7-ae37-ea32643862c7" ] }, { "id" : "ITEM-2", "itemData" : { "DOI" : "10.1016/S0896-6273(02)00613-X", "ISBN" : "0896-6273", "ISSN" : "08966273", "PMID" : "11906701", "abstract" : "The events linking sensory discrimination to motor action remain unclear. It is not known, for example, whether the motor areas of the frontal lobe receive the result of the discrimination process from other areas or whether they actively participate in it. To investigate this, we trained monkeys to discriminate between two mechanical vibrations applied sequentially to the fingertips; here subjects had to recall the first vibration, compare it to the second one, and indicate with a hand/arm movement which of the two vibrations had the higher frequency. We recorded the activity of single neurons in medial premotor cortex (MPC) and found that their responses correlate with the diverse stages of the discrimination process. Thus, activity in MPC reflects the temporal evolution of the decision-making process leading to action selection during this perceptual task.", "author" : [ { "dropping-particle" : "", "family" : "Hern\u00e1ndez", "given" : "Adri\u00e1n", "non-dropping-particle" : "", "parse-names" : false, "suffix" : "" }, { "dropping-particle" : "", "family" : "Zainos", "given" : "Antonio", "non-dropping-particle" : "", "parse-names" : false, "suffix" : "" }, { "dropping-particle" : "", "family" : "Romo", "given" : "Ranulfo", "non-dropping-particle" : "", "parse-names" : false, "suffix" : "" } ], "container-title" : "Neuron", "id" : "ITEM-2", "issue" : "6", "issued" : { "date-parts" : [ [ "2002" ] ] }, "page" : "959-972", "title" : "Temporal evolution of a decision-making process in medial premotor cortex", "type" : "article-journal", "volume" : "33" }, "uris" : [ "http://www.mendeley.com/documents/?uuid=652591f9-efe8-427c-b101-fc1ab4ce6002", "http://www.mendeley.com/documents/?uuid=b1a45186-19cc-4582-bb7b-ecc6577e5647" ] }, { "id" : "ITEM-3", "itemData" : { "DOI" : "10.1523/JNEUROSCI.2767-06.2006", "ISSN" : "1529-2401", "PMID" : "17182773", "abstract" : "Recent neurophysiological studies in macaques identified a network of brain regions related to vibrotactile working memory (WM), including somatosensory, motor, premotor, and prefrontal cortex. In these studies, monkeys decided which of two vibrotactile stimuli that were sequentially applied to their fingertips and separated by a short delay had the higher vibration frequency. Using the same task, the objective of the present study was to identify the neural correlates related to the different task periods (encoding, maintenance, and decision making) of vibrotactile WM in the human brain. For this purpose, we used event-related functional magnetic resonance imaging and contrasted WM trials with a control condition of vibrotactile stimulation that did not require maintenance and decision making. We found that vibrotactile WM has a similar but not identical neural organization in humans and monkeys. Consistent with neurophysiological data in monkeys and behavioral studies in humans, the primary somatosensory and the ventral premotor cortex exhibited increased activity during encoding. Maintenance of a vibrotactile memory trace evoked activity in the premotor and ventrolateral prefrontal cortex. Decision making caused activation in the somatosensory, premotor, and lateral prefrontal cortex. However, human vibrotactile WM recruited additional areas. Decision making activated a broader network than that studied thus far in monkeys. Maintenance and decision making additionally activated the inferior parietal lobe. Although the different task components evoked activity in distinctive neural networks, there was considerable overlap of activity, especially regarding maintenance and decision making, indicating that similar neural mechanisms are required for the subprocesses related to these task components.", "author" : [ { "dropping-particle" : "", "family" : "Preuschhof", "given" : "Claudia", "non-dropping-particle" : "", "parse-names" : false, "suffix" : "" }, { "dropping-particle" : "", "family" : "Heekeren", "given" : "Hauke R", "non-dropping-particle" : "", "parse-names" : false, "suffix" : "" }, { "dropping-particle" : "", "family" : "Taskin", "given" : "Birol", "non-dropping-particle" : "", "parse-names" : false, "suffix" : "" }, { "dropping-particle" : "", "family" : "Schubert", "given" : "Torsten", "non-dropping-particle" : "", "parse-names" : false, "suffix" : "" }, { "dropping-particle" : "", "family" : "Villringer", "given" : "Arno", "non-dropping-particle" : "", "parse-names" : false, "suffix" : "" } ], "container-title" : "Journal of Neuroscience", "id" : "ITEM-3", "issue" : "51", "issued" : { "date-parts" : [ [ "2006" ] ] }, "page" : "13231-13239", "title" : "Neural correlates of vibrotactile working memory in the human brain.", "type" : "article-journal", "volume" : "26" }, "uris" : [ "http://www.mendeley.com/documents/?uuid=e86a4663-8da6-4791-990e-f7ff043122b0" ] } ], "mendeley" : { "formattedCitation" : "&lt;sup&gt;15,32,35&lt;/sup&gt;", "plainTextFormattedCitation" : "15,32,35", "previouslyFormattedCitation" : "&lt;sup&gt;15,31,34&lt;/sup&gt;" }, "properties" : { "noteIndex" : 0 }, "schema" : "https://github.com/citation-style-language/schema/raw/master/csl-citation.json" }</w:instrText>
      </w:r>
      <w:r w:rsidR="003D0945">
        <w:fldChar w:fldCharType="separate"/>
      </w:r>
      <w:r w:rsidR="00ED42D4" w:rsidRPr="00ED42D4">
        <w:rPr>
          <w:noProof/>
          <w:vertAlign w:val="superscript"/>
        </w:rPr>
        <w:t>15,32,35</w:t>
      </w:r>
      <w:r w:rsidR="003D0945">
        <w:fldChar w:fldCharType="end"/>
      </w:r>
      <w:r w:rsidR="003D0945">
        <w:t xml:space="preserve">, as well as in a subsequent decision-making phase </w:t>
      </w:r>
      <w:r w:rsidR="003D0945">
        <w:fldChar w:fldCharType="begin" w:fldLock="1"/>
      </w:r>
      <w:r w:rsidR="00ED42D4">
        <w:instrText>ADDIN CSL_CITATION { "citationItems" : [ { "id" : "ITEM-1", "itemData" : { "DOI" : "10.1523/JNEUROSCI.2767-06.2006", "ISSN" : "1529-2401", "PMID" : "17182773", "abstract" : "Recent neurophysiological studies in macaques identified a network of brain regions related to vibrotactile working memory (WM), including somatosensory, motor, premotor, and prefrontal cortex. In these studies, monkeys decided which of two vibrotactile stimuli that were sequentially applied to their fingertips and separated by a short delay had the higher vibration frequency. Using the same task, the objective of the present study was to identify the neural correlates related to the different task periods (encoding, maintenance, and decision making) of vibrotactile WM in the human brain. For this purpose, we used event-related functional magnetic resonance imaging and contrasted WM trials with a control condition of vibrotactile stimulation that did not require maintenance and decision making. We found that vibrotactile WM has a similar but not identical neural organization in humans and monkeys. Consistent with neurophysiological data in monkeys and behavioral studies in humans, the primary somatosensory and the ventral premotor cortex exhibited increased activity during encoding. Maintenance of a vibrotactile memory trace evoked activity in the premotor and ventrolateral prefrontal cortex. Decision making caused activation in the somatosensory, premotor, and lateral prefrontal cortex. However, human vibrotactile WM recruited additional areas. Decision making activated a broader network than that studied thus far in monkeys. Maintenance and decision making additionally activated the inferior parietal lobe. Although the different task components evoked activity in distinctive neural networks, there was considerable overlap of activity, especially regarding maintenance and decision making, indicating that similar neural mechanisms are required for the subprocesses related to these task components.", "author" : [ { "dropping-particle" : "", "family" : "Preuschhof", "given" : "Claudia", "non-dropping-particle" : "", "parse-names" : false, "suffix" : "" }, { "dropping-particle" : "", "family" : "Heekeren", "given" : "Hauke R", "non-dropping-particle" : "", "parse-names" : false, "suffix" : "" }, { "dropping-particle" : "", "family" : "Taskin", "given" : "Birol", "non-dropping-particle" : "", "parse-names" : false, "suffix" : "" }, { "dropping-particle" : "", "family" : "Schubert", "given" : "Torsten", "non-dropping-particle" : "", "parse-names" : false, "suffix" : "" }, { "dropping-particle" : "", "family" : "Villringer", "given" : "Arno", "non-dropping-particle" : "", "parse-names" : false, "suffix" : "" } ], "container-title" : "Journal of Neuroscience", "id" : "ITEM-1", "issue" : "51", "issued" : { "date-parts" : [ [ "2006" ] ] }, "page" : "13231-13239", "title" : "Neural correlates of vibrotactile working memory in the human brain.", "type" : "article-journal", "volume" : "26" }, "uris" : [ "http://www.mendeley.com/documents/?uuid=cafdccda-20d9-4973-8544-a1d9de48b3ee", "http://www.mendeley.com/documents/?uuid=e86a4663-8da6-4791-990e-f7ff043122b0" ] } ], "mendeley" : { "formattedCitation" : "&lt;sup&gt;33&lt;/sup&gt;", "plainTextFormattedCitation" : "33", "previouslyFormattedCitation" : "&lt;sup&gt;32&lt;/sup&gt;" }, "properties" : { "noteIndex" : 0 }, "schema" : "https://github.com/citation-style-language/schema/raw/master/csl-citation.json" }</w:instrText>
      </w:r>
      <w:r w:rsidR="003D0945">
        <w:fldChar w:fldCharType="separate"/>
      </w:r>
      <w:r w:rsidR="00ED42D4" w:rsidRPr="00ED42D4">
        <w:rPr>
          <w:noProof/>
          <w:vertAlign w:val="superscript"/>
        </w:rPr>
        <w:t>33</w:t>
      </w:r>
      <w:r w:rsidR="003D0945">
        <w:fldChar w:fldCharType="end"/>
      </w:r>
      <w:r w:rsidR="003D0945">
        <w:t xml:space="preserve">. </w:t>
      </w:r>
      <w:r>
        <w:rPr>
          <w:color w:val="000000"/>
          <w:shd w:val="clear" w:color="auto" w:fill="FFFFFF"/>
        </w:rPr>
        <w:t xml:space="preserve">Therefore, it may be that higher-level cognitive processing of lower-level deficits in spatial representation of the body (e.g. in parietal lobe – </w:t>
      </w:r>
      <w:r w:rsidR="003D46D8">
        <w:rPr>
          <w:color w:val="000000"/>
          <w:shd w:val="clear" w:color="auto" w:fill="FFFFFF"/>
        </w:rPr>
        <w:t>see</w:t>
      </w:r>
      <w:r>
        <w:rPr>
          <w:color w:val="000000"/>
          <w:shd w:val="clear" w:color="auto" w:fill="FFFFFF"/>
        </w:rPr>
        <w:t xml:space="preserve"> next section) in CRPS patients is adaptive in that it re-directs attentional resources and slows decision time in order to gather more sensory evidence to make more informed decisions.</w:t>
      </w:r>
      <w:r w:rsidR="004C3641">
        <w:rPr>
          <w:color w:val="000000"/>
          <w:shd w:val="clear" w:color="auto" w:fill="FFFFFF"/>
        </w:rPr>
        <w:t xml:space="preserve"> </w:t>
      </w:r>
      <w:r w:rsidR="00C23BC3">
        <w:rPr>
          <w:color w:val="000000"/>
          <w:shd w:val="clear" w:color="auto" w:fill="FFFFFF"/>
        </w:rPr>
        <w:t>This explanation remains a cautious hypothesis until evidence is found that P300 amplitude variability in CRPS patients reflects an evidence accumulation process.</w:t>
      </w:r>
    </w:p>
    <w:p w14:paraId="369472EF" w14:textId="77777777" w:rsidR="00251692" w:rsidRPr="004E426E" w:rsidRDefault="00251692">
      <w:pPr>
        <w:rPr>
          <w:color w:val="FF0000"/>
        </w:rPr>
      </w:pPr>
    </w:p>
    <w:p w14:paraId="2C8F7E69" w14:textId="1AAFE3B0" w:rsidR="003E0F75" w:rsidRDefault="00905630">
      <w:pPr>
        <w:pStyle w:val="Heading2"/>
      </w:pPr>
      <w:r>
        <w:t>Parietal lobe de</w:t>
      </w:r>
      <w:r w:rsidR="006F0945">
        <w:t>crements</w:t>
      </w:r>
      <w:r>
        <w:t xml:space="preserve"> in tactile processing in CRPS</w:t>
      </w:r>
    </w:p>
    <w:p w14:paraId="76634E5B" w14:textId="727F160A" w:rsidR="008052BE" w:rsidRPr="009F1DE8" w:rsidRDefault="008052BE">
      <w:r w:rsidRPr="009F1DE8">
        <w:t xml:space="preserve">Our analysis of SEPs and their sources at 124-132ms correspond to </w:t>
      </w:r>
      <w:r w:rsidR="006F0945">
        <w:t>that</w:t>
      </w:r>
      <w:r w:rsidRPr="009F1DE8">
        <w:t xml:space="preserve"> commonly labelled as the N140 component of the SEP, which have </w:t>
      </w:r>
      <w:r w:rsidR="006F0945">
        <w:t xml:space="preserve">been </w:t>
      </w:r>
      <w:r w:rsidRPr="009F1DE8">
        <w:t xml:space="preserve">attributed to activity in SI and SII </w:t>
      </w:r>
      <w:r w:rsidRPr="00AF2BCF">
        <w:fldChar w:fldCharType="begin" w:fldLock="1"/>
      </w:r>
      <w:r w:rsidR="00ED42D4">
        <w:instrText>ADDIN CSL_CITATION { "citationItems" : [ { "id" : "ITEM-1", "itemData" : { "DOI" : "10.1002/mus.1203", "ISBN" : "0148-639X (Print)\\r0148-639X (Linking)", "ISSN" : "0148639X", "PMID" : "11745977", "abstract" : "The cerebral generators of the P300 potential evoked by somatosensory stimuli were investigated. Event-related potentials elicited by an oddball paradigm were recorded in 15 healthy subjects by 19 scalp electrodes. Nontarget and target electric stimuli were delivered on the anterior surface of the left elbow and of the wrist, respectively. Target traces showed an N140 potential followed by a widely distributed P300 response. Dipolar source modeling of target traces resulted in a six-dipole model. In the earlier latency range (up to 200 ms), one dipole in the contralateral perirolandic region and two dipoles in the parasylvian cortex of both hemispheres were activated. Two dipolar sources located bilaterally in the medial temporal region (MTR) showed their maximal activity at the P300 latency. Finally, a dipole in the contralateral frontal lobe was activated both at the latency of the N140 response and after 200 ms. It was found that two symmetrical MTR sources and a frontal dipole contributed to P300 generation.", "author" : [ { "dropping-particle" : "", "family" : "Valeriani", "given" : "Massimiliano", "non-dropping-particle" : "", "parse-names" : false, "suffix" : "" }, { "dropping-particle" : "", "family" : "Fraioli", "given" : "Lucia", "non-dropping-particle" : "", "parse-names" : false, "suffix" : "" }, { "dropping-particle" : "", "family" : "Ranghi", "given" : "Francesca", "non-dropping-particle" : "", "parse-names" : false, "suffix" : "" }, { "dropping-particle" : "", "family" : "Giaquinto", "given" : "Salvatore", "non-dropping-particle" : "", "parse-names" : false, "suffix" : "" } ], "container-title" : "Muscle and Nerve", "id" : "ITEM-1", "issue" : "12", "issued" : { "date-parts" : [ [ "2001" ] ] }, "page" : "1677-1686", "title" : "Dipolar source modeling of the P300 event-related potential after somatosensory stimulation", "type" : "article-journal", "volume" : "24" }, "uris" : [ "http://www.mendeley.com/documents/?uuid=298d2791-9e51-44ea-bcd0-e95227f2ca32", "http://www.mendeley.com/documents/?uuid=07e31bf0-a067-4870-8781-8483068003b0" ] }, { "id" : "ITEM-2", "itemData" : { "DOI" : "10.1016/0306-4522(96)00287-4", "ISBN" : "0306-4522 (Print)\\r0306-4522 (Linking)", "ISSN" : "03064522", "PMID" : "8923541", "abstract" : "Cognitive event-related potentials, such as P300, are sensitive to manipulations of psychological variables and may provide evidence to support theories of brain mechanisms involved in cognition. However, the relationship between event-related potentials and the active neural structures is not yet understood. Electrical stimulation of the index and little fingers of the left hand in the context of a somatosensory target discrimination task, performed by healthy human subjects, elicited the middle-latency component of somatosensory evoked potentials, N60, the long-latency component, N140, and the P300 component. Identification of the generators for both the earlier components and P300, using equivalent electrical dipole modeling, was performed. Individual spatiotemporal seven-dipole models were developed in order to suggest locations of the sources generating each subject's scalp-recorded wave forms. Three dipoles with fairly weak moments, located in the primary and secondary sensory areas, explained the middle- and long-latency somatosensory evoked potential components, and the remaining four dipoles (4-7), with stronger dipole moments, were active during P300. There was a clear temporal separation of dipole activity between the somatosensory evoked potential components and the P300 component. Dipoles 4 and 5 were found quite symmetrically in the parahippocampal areas of the two hemispheres, while dipoles 6 and 7 were slightly asymmetrical. Dipole 7 was found in the left hippocampal area. Dipole 6 appeared in the right insular cortex. The locations of the four dipoles implicated in the generation of the somatosensory P300 were compared with the locations of four dipoles accounting for the auditory evoked P300 described in our previous paper [Tarkka et al. (1995) Electroenceph. clin. Neurophysiol. 96, 538-545]. No substantial difference in source locations of the P300 was found between auditory and somatosensory modality other than an asymmetrical activity in the somatosensory modality contralateral to the stimulated hand.", "author" : [ { "dropping-particle" : "", "family" : "Tarkka", "given" : "I. M.", "non-dropping-particle" : "", "parse-names" : false, "suffix" : "" }, { "dropping-particle" : "", "family" : "Micheloyannis", "given" : "S.", "non-dropping-particle" : "", "parse-names" : false, "suffix" : "" }, { "dropping-particle" : "", "family" : "Stoki", "given" : "D. S.", "non-dropping-particle" : "", "parse-names" : false, "suffix" : "" } ], "container-title" : "Neuroscience", "id" : "ITEM-2", "issue" : "1", "issued" : { "date-parts" : [ [ "1996" ] ] }, "page" : "275-287", "title" : "Generators for human P300 elicited by somatosensory stimuli using multiple dipole source analysis", "type" : "article-journal", "volume" : "75" }, "uris" : [ "http://www.mendeley.com/documents/?uuid=fb9cd73d-415d-4d0f-8e2d-979095f1dc36" ] } ], "mendeley" : { "formattedCitation" : "&lt;sup&gt;39,42&lt;/sup&gt;", "plainTextFormattedCitation" : "39,42", "previouslyFormattedCitation" : "&lt;sup&gt;38,41&lt;/sup&gt;" }, "properties" : { "noteIndex" : 0 }, "schema" : "https://github.com/citation-style-language/schema/raw/master/csl-citation.json" }</w:instrText>
      </w:r>
      <w:r w:rsidRPr="00AF2BCF">
        <w:fldChar w:fldCharType="separate"/>
      </w:r>
      <w:r w:rsidR="00ED42D4" w:rsidRPr="00ED42D4">
        <w:rPr>
          <w:noProof/>
          <w:vertAlign w:val="superscript"/>
        </w:rPr>
        <w:t>39,42</w:t>
      </w:r>
      <w:r w:rsidRPr="00AF2BCF">
        <w:fldChar w:fldCharType="end"/>
      </w:r>
      <w:r w:rsidRPr="009F1DE8">
        <w:t xml:space="preserve">, as well as medial temporal (e.g. </w:t>
      </w:r>
      <w:proofErr w:type="spellStart"/>
      <w:r w:rsidRPr="009F1DE8">
        <w:t>parahippocampal</w:t>
      </w:r>
      <w:proofErr w:type="spellEnd"/>
      <w:r w:rsidRPr="009F1DE8">
        <w:t xml:space="preserve">) regions, contralateral frontal cortex and insular cortex </w:t>
      </w:r>
      <w:r w:rsidRPr="00AF2BCF">
        <w:fldChar w:fldCharType="begin" w:fldLock="1"/>
      </w:r>
      <w:r w:rsidR="00ED42D4">
        <w:instrText>ADDIN CSL_CITATION { "citationItems" : [ { "id" : "ITEM-1", "itemData" : { "DOI" : "10.1002/mus.1203", "ISBN" : "0148-639X (Print)\\r0148-639X (Linking)", "ISSN" : "0148639X", "PMID" : "11745977", "abstract" : "The cerebral generators of the P300 potential evoked by somatosensory stimuli were investigated. Event-related potentials elicited by an oddball paradigm were recorded in 15 healthy subjects by 19 scalp electrodes. Nontarget and target electric stimuli were delivered on the anterior surface of the left elbow and of the wrist, respectively. Target traces showed an N140 potential followed by a widely distributed P300 response. Dipolar source modeling of target traces resulted in a six-dipole model. In the earlier latency range (up to 200 ms), one dipole in the contralateral perirolandic region and two dipoles in the parasylvian cortex of both hemispheres were activated. Two dipolar sources located bilaterally in the medial temporal region (MTR) showed their maximal activity at the P300 latency. Finally, a dipole in the contralateral frontal lobe was activated both at the latency of the N140 response and after 200 ms. It was found that two symmetrical MTR sources and a frontal dipole contributed to P300 generation.", "author" : [ { "dropping-particle" : "", "family" : "Valeriani", "given" : "Massimiliano", "non-dropping-particle" : "", "parse-names" : false, "suffix" : "" }, { "dropping-particle" : "", "family" : "Fraioli", "given" : "Lucia", "non-dropping-particle" : "", "parse-names" : false, "suffix" : "" }, { "dropping-particle" : "", "family" : "Ranghi", "given" : "Francesca", "non-dropping-particle" : "", "parse-names" : false, "suffix" : "" }, { "dropping-particle" : "", "family" : "Giaquinto", "given" : "Salvatore", "non-dropping-particle" : "", "parse-names" : false, "suffix" : "" } ], "container-title" : "Muscle and Nerve", "id" : "ITEM-1", "issue" : "12", "issued" : { "date-parts" : [ [ "2001" ] ] }, "page" : "1677-1686", "title" : "Dipolar source modeling of the P300 event-related potential after somatosensory stimulation", "type" : "article-journal", "volume" : "24" }, "uris" : [ "http://www.mendeley.com/documents/?uuid=298d2791-9e51-44ea-bcd0-e95227f2ca32", "http://www.mendeley.com/documents/?uuid=07e31bf0-a067-4870-8781-8483068003b0" ] }, { "id" : "ITEM-2", "itemData" : { "DOI" : "10.1016/0306-4522(96)00287-4", "ISBN" : "0306-4522 (Print)\\r0306-4522 (Linking)", "ISSN" : "03064522", "PMID" : "8923541", "abstract" : "Cognitive event-related potentials, such as P300, are sensitive to manipulations of psychological variables and may provide evidence to support theories of brain mechanisms involved in cognition. However, the relationship between event-related potentials and the active neural structures is not yet understood. Electrical stimulation of the index and little fingers of the left hand in the context of a somatosensory target discrimination task, performed by healthy human subjects, elicited the middle-latency component of somatosensory evoked potentials, N60, the long-latency component, N140, and the P300 component. Identification of the generators for both the earlier components and P300, using equivalent electrical dipole modeling, was performed. Individual spatiotemporal seven-dipole models were developed in order to suggest locations of the sources generating each subject's scalp-recorded wave forms. Three dipoles with fairly weak moments, located in the primary and secondary sensory areas, explained the middle- and long-latency somatosensory evoked potential components, and the remaining four dipoles (4-7), with stronger dipole moments, were active during P300. There was a clear temporal separation of dipole activity between the somatosensory evoked potential components and the P300 component. Dipoles 4 and 5 were found quite symmetrically in the parahippocampal areas of the two hemispheres, while dipoles 6 and 7 were slightly asymmetrical. Dipole 7 was found in the left hippocampal area. Dipole 6 appeared in the right insular cortex. The locations of the four dipoles implicated in the generation of the somatosensory P300 were compared with the locations of four dipoles accounting for the auditory evoked P300 described in our previous paper [Tarkka et al. (1995) Electroenceph. clin. Neurophysiol. 96, 538-545]. No substantial difference in source locations of the P300 was found between auditory and somatosensory modality other than an asymmetrical activity in the somatosensory modality contralateral to the stimulated hand.", "author" : [ { "dropping-particle" : "", "family" : "Tarkka", "given" : "I. M.", "non-dropping-particle" : "", "parse-names" : false, "suffix" : "" }, { "dropping-particle" : "", "family" : "Micheloyannis", "given" : "S.", "non-dropping-particle" : "", "parse-names" : false, "suffix" : "" }, { "dropping-particle" : "", "family" : "Stoki", "given" : "D. S.", "non-dropping-particle" : "", "parse-names" : false, "suffix" : "" } ], "container-title" : "Neuroscience", "id" : "ITEM-2", "issue" : "1", "issued" : { "date-parts" : [ [ "1996" ] ] }, "page" : "275-287", "title" : "Generators for human P300 elicited by somatosensory stimuli using multiple dipole source analysis", "type" : "article-journal", "volume" : "75" }, "uris" : [ "http://www.mendeley.com/documents/?uuid=fb9cd73d-415d-4d0f-8e2d-979095f1dc36" ] } ], "mendeley" : { "formattedCitation" : "&lt;sup&gt;39,42&lt;/sup&gt;", "plainTextFormattedCitation" : "39,42", "previouslyFormattedCitation" : "&lt;sup&gt;38,41&lt;/sup&gt;" }, "properties" : { "noteIndex" : 0 }, "schema" : "https://github.com/citation-style-language/schema/raw/master/csl-citation.json" }</w:instrText>
      </w:r>
      <w:r w:rsidRPr="00AF2BCF">
        <w:fldChar w:fldCharType="separate"/>
      </w:r>
      <w:r w:rsidR="00ED42D4" w:rsidRPr="00ED42D4">
        <w:rPr>
          <w:noProof/>
          <w:vertAlign w:val="superscript"/>
        </w:rPr>
        <w:t>39,42</w:t>
      </w:r>
      <w:r w:rsidRPr="00AF2BCF">
        <w:fldChar w:fldCharType="end"/>
      </w:r>
      <w:r w:rsidRPr="009F1DE8">
        <w:t xml:space="preserve">. </w:t>
      </w:r>
      <w:r w:rsidR="009F1DE8">
        <w:t xml:space="preserve">Our source results are in broad agreement with </w:t>
      </w:r>
      <w:r w:rsidR="006F0945">
        <w:t>this previous literature</w:t>
      </w:r>
      <w:r w:rsidR="009F1DE8">
        <w:t xml:space="preserve">, except for additional activation of superior parietal lobe (SPL) and </w:t>
      </w:r>
      <w:proofErr w:type="spellStart"/>
      <w:r w:rsidR="009F1DE8">
        <w:t>precuneus</w:t>
      </w:r>
      <w:proofErr w:type="spellEnd"/>
      <w:r w:rsidR="009F1DE8">
        <w:t xml:space="preserve"> in our study.</w:t>
      </w:r>
    </w:p>
    <w:p w14:paraId="5AC1E674" w14:textId="77777777" w:rsidR="008052BE" w:rsidRDefault="008052BE"/>
    <w:p w14:paraId="77C0556A" w14:textId="3A82F202" w:rsidR="00251692" w:rsidRDefault="00251692" w:rsidP="00251692">
      <w:r>
        <w:t>In CRPS patients compared to healthy controls, we found a similar augmentation (in terms of latency and scalp distribution) of the negative polarity potential at 132ms in Experiment 1 compared to that at 124ms in Experiment 2. On the other hand, in both experiments, CRPS patients (compared to healthy controls) displayed de</w:t>
      </w:r>
      <w:r w:rsidR="00F6092D">
        <w:t>crements</w:t>
      </w:r>
      <w:r>
        <w:t xml:space="preserve"> in tactile processing in the </w:t>
      </w:r>
      <w:proofErr w:type="spellStart"/>
      <w:r>
        <w:t>precuneus</w:t>
      </w:r>
      <w:proofErr w:type="spellEnd"/>
      <w:r>
        <w:t xml:space="preserve"> and SPL, which are likely related to the smaller positivity in posterior midline electrodes observable at mid-latencies. Hence, a mid-latency shift was observed in patients away from parietal processing and towards frontal activity. The fact that parietal lobe decrements were observed in both experiments</w:t>
      </w:r>
      <w:r w:rsidRPr="008816CF">
        <w:t xml:space="preserve"> </w:t>
      </w:r>
      <w:r>
        <w:t xml:space="preserve">shows that it occurs independently of task demands. </w:t>
      </w:r>
    </w:p>
    <w:p w14:paraId="2899C642" w14:textId="77777777" w:rsidR="00251692" w:rsidRDefault="00251692" w:rsidP="00251692"/>
    <w:p w14:paraId="2E57AA78" w14:textId="419CF1F0" w:rsidR="00251692" w:rsidRDefault="00251692" w:rsidP="00251692">
      <w:r>
        <w:t xml:space="preserve">Functional imaging findings suggest the SPL and </w:t>
      </w:r>
      <w:proofErr w:type="spellStart"/>
      <w:r>
        <w:t>precuneus</w:t>
      </w:r>
      <w:proofErr w:type="spellEnd"/>
      <w:r>
        <w:t xml:space="preserve"> have an important </w:t>
      </w:r>
      <w:r w:rsidRPr="004A1EEB">
        <w:t xml:space="preserve">role in </w:t>
      </w:r>
      <w:proofErr w:type="spellStart"/>
      <w:r w:rsidRPr="004A1EEB">
        <w:t>visuo</w:t>
      </w:r>
      <w:proofErr w:type="spellEnd"/>
      <w:r w:rsidRPr="004A1EEB">
        <w:t xml:space="preserve">-spatial </w:t>
      </w:r>
      <w:r>
        <w:t xml:space="preserve">representation </w:t>
      </w:r>
      <w:r>
        <w:fldChar w:fldCharType="begin" w:fldLock="1"/>
      </w:r>
      <w:r w:rsidR="00ED42D4">
        <w:instrText>ADDIN CSL_CITATION { "citationItems" : [ { "id" : "ITEM-1", "itemData" : { "DOI" : "10.1093/brain/awl004", "ISSN" : "0006-8950", "author" : [ { "dropping-particle" : "", "family" : "Cavanna", "given" : "A. E.", "non-dropping-particle" : "", "parse-names" : false, "suffix" : "" }, { "dropping-particle" : "", "family" : "Trimble", "given" : "Michael R.", "non-dropping-particle" : "", "parse-names" : false, "suffix" : "" } ], "container-title" : "Brain", "id" : "ITEM-1", "issue" : "3", "issued" : { "date-parts" : [ [ "2006", "1", "6" ] ] }, "page" : "564-583", "publisher" : "Oxford University Press", "title" : "The precuneus: a review of its functional anatomy and behavioural correlates", "type" : "article-journal", "volume" : "129" }, "uris" : [ "http://www.mendeley.com/documents/?uuid=3a3d30bd-fc08-3045-abe7-b93f7bcc0d6f"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00666857" w:rsidRPr="00666857">
        <w:rPr>
          <w:noProof/>
          <w:vertAlign w:val="superscript"/>
        </w:rPr>
        <w:t>4</w:t>
      </w:r>
      <w:r>
        <w:fldChar w:fldCharType="end"/>
      </w:r>
      <w:r w:rsidRPr="004A1EEB">
        <w:rPr>
          <w:shd w:val="clear" w:color="auto" w:fill="FFFFFF"/>
        </w:rPr>
        <w:t>.</w:t>
      </w:r>
      <w:r>
        <w:t xml:space="preserve"> Previously, research has found that </w:t>
      </w:r>
      <w:proofErr w:type="spellStart"/>
      <w:r>
        <w:t>precuneus</w:t>
      </w:r>
      <w:proofErr w:type="spellEnd"/>
      <w:r>
        <w:t xml:space="preserve"> is active during tracking of spatial changes in visual stimuli </w:t>
      </w:r>
      <w:r>
        <w:fldChar w:fldCharType="begin" w:fldLock="1"/>
      </w:r>
      <w:r w:rsidR="00ED42D4">
        <w:instrText>ADDIN CSL_CITATION { "citationItems" : [ { "id" : "ITEM-1", "itemData" : { "DOI" : "10.1016/j.brainres.2006.12.067", "ISBN" : "0006-8993 (Print)", "ISSN" : "00068993", "PMID" : "17275792", "abstract" : "Recent perceptual neuroimaging studies have shown that intermodal selective attention extracts relevant information from one modality at the expense of another at the level of unimodal sensory cortex. The present paper sought 1) to determine the effects of intermodal selective attention on primary somatosensory cortex (S1) during continuous sensorimotor transformations, 2) to investigate the interactions of spatial relationship between the target and distracter modalities on S1 and 3) to identify any potential modulators during continuous sensorimotor transformations. Functional MRI was acquired while participants (n = 10) received simultaneous vibrotactile and visuospatial stimulation. In each condition, participants tracked either vibrotactile stimulation (25??Hz), applied to the right index finger with variable intensity, or a visuospatial stimulus, a centrally presented dial where the spatial position of a needle randomly moved, by applying graded force to a force sensing resistor. The distracter modality either originated from a location that was spatially related or distinct to the target that guided movement. Vibrotactile tracking resulted in decreased S1 activation relative to when it was task-irrelevant. Neither S1 activity nor tracking performance was influenced by spatial relationship. In addition the superior parietal lobe/precuneus (BA 7), inferior parietal lobe (BA 40), precentral gyrus (BA 6) and secondary visual areas (BA 18 and 19) may modulate the extraction of task-relevant information while the insula (BA 13) may do so during cases of spatial conflict. We conclude that modulation of S1 is important to the proper execution of sensory-guided movements and that sensorimotor requirements determine the mechanisms of intermodal selective attention. ?? 2007 Elsevier B.V. All rights reserved.", "author" : [ { "dropping-particle" : "", "family" : "Meehan", "given" : "Sean K.", "non-dropping-particle" : "", "parse-names" : false, "suffix" : "" }, { "dropping-particle" : "", "family" : "Staines", "given" : "W. Richard", "non-dropping-particle" : "", "parse-names" : false, "suffix" : "" } ], "container-title" : "Brain Research", "id" : "ITEM-1", "issue" : "1", "issued" : { "date-parts" : [ [ "2007" ] ] }, "page" : "148-158", "title" : "The effect of task-relevance on primary somatosensory cortex during continuous sensory-guided movement in the presence of bimodal competition", "type" : "article-journal", "volume" : "1138" }, "uris" : [ "http://www.mendeley.com/documents/?uuid=2017709d-8071-4dcb-b2d7-eccc048eff2f", "http://www.mendeley.com/documents/?uuid=d7ff9a5c-748f-471a-8d59-d1f7679c8bf6" ] } ], "mendeley" : { "formattedCitation" : "&lt;sup&gt;25&lt;/sup&gt;", "plainTextFormattedCitation" : "25", "previouslyFormattedCitation" : "&lt;sup&gt;24&lt;/sup&gt;" }, "properties" : { "noteIndex" : 0 }, "schema" : "https://github.com/citation-style-language/schema/raw/master/csl-citation.json" }</w:instrText>
      </w:r>
      <w:r>
        <w:fldChar w:fldCharType="separate"/>
      </w:r>
      <w:r w:rsidR="00ED42D4" w:rsidRPr="00ED42D4">
        <w:rPr>
          <w:noProof/>
          <w:vertAlign w:val="superscript"/>
        </w:rPr>
        <w:t>25</w:t>
      </w:r>
      <w:r>
        <w:fldChar w:fldCharType="end"/>
      </w:r>
      <w:r>
        <w:t xml:space="preserve"> and processes </w:t>
      </w:r>
      <w:proofErr w:type="spellStart"/>
      <w:r w:rsidRPr="00F72C3B">
        <w:t>visuo</w:t>
      </w:r>
      <w:proofErr w:type="spellEnd"/>
      <w:r w:rsidRPr="00F72C3B">
        <w:t xml:space="preserve">-tactile </w:t>
      </w:r>
      <w:r>
        <w:t xml:space="preserve">mismatch responses </w:t>
      </w:r>
      <w:r w:rsidRPr="00F72C3B">
        <w:t>in concert with the medial temporal lobe</w:t>
      </w:r>
      <w:r w:rsidRPr="004A1EEB">
        <w:t xml:space="preserve"> </w:t>
      </w:r>
      <w:r>
        <w:fldChar w:fldCharType="begin" w:fldLock="1"/>
      </w:r>
      <w:r w:rsidR="00ED42D4">
        <w:instrText>ADDIN CSL_CITATION { "citationItems" : [ { "id" : "ITEM-1", "itemData" : { "DOI" : "10.1016/j.neuropsychologia.2014.09.028", "ISBN" : "1873-3514 (Electronic)\\r0028-3932 (Linking)", "ISSN" : "18733514", "PMID" : "25281887", "abstract" : "Visual clues as to the physical substance of manufactured objects can be misleading. For example, a plastic ring can appear to be made of gold. However, we can avoid misidentifying an object's substance by comparing visual and tactile information. As compared to the spatial properties of an object (e.g., orientation), however, little information regarding physical object properties (material properties) is shared between vision and touch. How can such different kinds of information be compared in the brain? One possibility is that the visuo-tactile comparison of material information is mediated by associations that are previously learned between the two modalities. Previous studies suggest that a cortical network involving the medial temporal lobe and precuneus plays a critical role in the retrieval of information from long-term memory. Here, we used functional magnetic resonance imaging (fMRI) to test whether these brain regions are involved in the visuo-tactile comparison of material properties. The stimuli consisted of surfaces in which an oriented plastic bar was placed on a background texture. Twenty-two healthy participants determined whether the orientations of visually- and tactually-presented bar stimuli were congruent in the orientation conditions, and whether visually- and tactually-presented background textures were congruent in the texture conditions. The texture conditions revealed greater activation of the fusiform gyrus, medial temporal lobe and lateral prefrontal cortex compared with the orientation conditions. In the texture conditions, the precuneus showed greater response to incongruent stimuli than to congruent stimuli. This incongruency effect was greater for the texture conditions than for the orientation conditions. These results suggest that the precuneus is involved in detecting incongruency between tactile and visual texture information in concert with the medial temporal lobe, which is tightly linked with long-term memory.", "author" : [ { "dropping-particle" : "", "family" : "Kitada", "given" : "Ryo", "non-dropping-particle" : "", "parse-names" : false, "suffix" : "" }, { "dropping-particle" : "", "family" : "Sasaki", "given" : "Akihiro T.", "non-dropping-particle" : "", "parse-names" : false, "suffix" : "" }, { "dropping-particle" : "", "family" : "Okamoto", "given" : "Yuko", "non-dropping-particle" : "", "parse-names" : false, "suffix" : "" }, { "dropping-particle" : "", "family" : "Kochiyama", "given" : "Takanori", "non-dropping-particle" : "", "parse-names" : false, "suffix" : "" }, { "dropping-particle" : "", "family" : "Sadato", "given" : "Norihiro", "non-dropping-particle" : "", "parse-names" : false, "suffix" : "" } ], "container-title" : "Neuropsychologia", "id" : "ITEM-1", "issued" : { "date-parts" : [ [ "2014" ] ] }, "page" : "252-262", "title" : "Role of the precuneus in the detection of incongruency between tactile and visual texture information: A functional MRI study", "type" : "article-journal", "volume" : "64" }, "uris" : [ "http://www.mendeley.com/documents/?uuid=58e86ddb-4680-4138-9662-d6e485c6b432", "http://www.mendeley.com/documents/?uuid=c9eb770b-551b-4b6c-9da3-8fa75bf15aae" ] } ], "mendeley" : { "formattedCitation" : "&lt;sup&gt;19&lt;/sup&gt;", "plainTextFormattedCitation" : "19", "previouslyFormattedCitation" : "&lt;sup&gt;19&lt;/sup&gt;" }, "properties" : { "noteIndex" : 0 }, "schema" : "https://github.com/citation-style-language/schema/raw/master/csl-citation.json" }</w:instrText>
      </w:r>
      <w:r>
        <w:fldChar w:fldCharType="separate"/>
      </w:r>
      <w:r w:rsidR="00666857" w:rsidRPr="00666857">
        <w:rPr>
          <w:noProof/>
          <w:vertAlign w:val="superscript"/>
        </w:rPr>
        <w:t>19</w:t>
      </w:r>
      <w:r>
        <w:fldChar w:fldCharType="end"/>
      </w:r>
      <w:r>
        <w:t xml:space="preserve">. Therefore, a plausible hypothesis is that reduced SPL and </w:t>
      </w:r>
      <w:proofErr w:type="spellStart"/>
      <w:r>
        <w:t>precuneus</w:t>
      </w:r>
      <w:proofErr w:type="spellEnd"/>
      <w:r>
        <w:t xml:space="preserve"> activity in tactile spatial tasks in patients with CRPS reflects deficits in </w:t>
      </w:r>
      <w:proofErr w:type="spellStart"/>
      <w:r>
        <w:t>visuo</w:t>
      </w:r>
      <w:proofErr w:type="spellEnd"/>
      <w:r>
        <w:t xml:space="preserve">-spatial representations of the body. Behavioural characterisation of these cortical changes in future studies may be well served by measures of hand laterality recognition </w:t>
      </w:r>
      <w:r>
        <w:fldChar w:fldCharType="begin" w:fldLock="1"/>
      </w:r>
      <w:r w:rsidR="00ED42D4">
        <w:instrText>ADDIN CSL_CITATION { "citationItems" : [ { "id" : "ITEM-1", "itemData" : { "ISSN" : "1526-632X", "PMID" : "15210879", "abstract" : "BACKGROUND: People with complex regional pain syndrome (CRPS) take longer to recognize the laterality of a pictured hand when it coincides with their affected hand. The author explored two aspects of this phenomenon: whether the duration of symptoms relates to the extent of the delay and whether guarding-type mechanisms are involved.\n\nMETHODS: Eighteen patients with CRPS type 1 of the wrist and 18 matched control subjects performed a hand laterality recognition task. McGill pain questionnaire, Neuropathic Pain Scale, and response time (RT) to recognize hand laterality were analyzed. Regressions related 1) mean RT for patients to the duration of symptoms and to pain intensity; and 2) mean RT for each picture to the predicted pain on executing that movement as judged by the patient, and to the awkwardness of the movement that would be required.\n\nRESULTS: For patients, the duration of symptoms correlated with mean RT (Spearman rho = 0.44; p = 0.02). Predicted pain rating explained 45% of the variance in RT for each picture for each patient (p &lt; 0.01).\n\nCONCLUSIONS: The results suggest that in patients with complex regional pain syndrome type 1, delayed recognition of hand laterality is related to the duration of symptoms and to the pain that would be evoked by executing the movement. The former is consistent with chronic pain and disuse and may involve reorganization of the cortical correlate of body schema. The latter is consistent with a guarding-type response that probably occurs upstream of the motor cortex at a motor planning level.", "author" : [ { "dropping-particle" : "", "family" : "Moseley", "given" : "G Lorimer", "non-dropping-particle" : "", "parse-names" : false, "suffix" : "" } ], "container-title" : "Neurology", "id" : "ITEM-1", "issue" : "12", "issued" : { "date-parts" : [ [ "2004", "6" ] ] }, "page" : "2182-6", "title" : "Why do people with complex regional pain syndrome take longer to recognize their affected hand?", "type" : "article-journal", "volume" : "62" }, "uris" : [ "http://www.mendeley.com/documents/?uuid=75d60d4e-1a9e-472c-a00e-70107b06f72a" ] } ], "mendeley" : { "formattedCitation" : "&lt;sup&gt;26&lt;/sup&gt;", "plainTextFormattedCitation" : "26", "previouslyFormattedCitation" : "&lt;sup&gt;25&lt;/sup&gt;" }, "properties" : { "noteIndex" : 0 }, "schema" : "https://github.com/citation-style-language/schema/raw/master/csl-citation.json" }</w:instrText>
      </w:r>
      <w:r>
        <w:fldChar w:fldCharType="separate"/>
      </w:r>
      <w:r w:rsidR="00ED42D4" w:rsidRPr="00ED42D4">
        <w:rPr>
          <w:noProof/>
          <w:vertAlign w:val="superscript"/>
        </w:rPr>
        <w:t>26</w:t>
      </w:r>
      <w:r>
        <w:fldChar w:fldCharType="end"/>
      </w:r>
      <w:r>
        <w:t xml:space="preserve">, on which performance is likely </w:t>
      </w:r>
      <w:proofErr w:type="spellStart"/>
      <w:r>
        <w:t>subserved</w:t>
      </w:r>
      <w:proofErr w:type="spellEnd"/>
      <w:r>
        <w:t xml:space="preserve"> by visuospatial functions. </w:t>
      </w:r>
    </w:p>
    <w:p w14:paraId="21D5F606" w14:textId="77777777" w:rsidR="00DA654D" w:rsidRDefault="00DA654D">
      <w:pPr>
        <w:rPr>
          <w:color w:val="FF0000"/>
        </w:rPr>
      </w:pPr>
    </w:p>
    <w:p w14:paraId="075163B9" w14:textId="77777777" w:rsidR="00BD76E4" w:rsidRDefault="00662B03">
      <w:pPr>
        <w:pStyle w:val="Heading2"/>
      </w:pPr>
      <w:r>
        <w:t>Conclusion</w:t>
      </w:r>
    </w:p>
    <w:p w14:paraId="703AB452" w14:textId="3A0FF031" w:rsidR="00251692" w:rsidRDefault="00251692" w:rsidP="00251692">
      <w:r>
        <w:t xml:space="preserve">There is an unmet need to better characterise CRPS patients in terms of underlying mechanisms to aid early detection and treatment. Our study confirms highly variable tactile </w:t>
      </w:r>
      <w:r>
        <w:lastRenderedPageBreak/>
        <w:t xml:space="preserve">discrimination performance across CRPS patients, and points to previously </w:t>
      </w:r>
      <w:proofErr w:type="gramStart"/>
      <w:r>
        <w:t>undiscovered</w:t>
      </w:r>
      <w:proofErr w:type="gramEnd"/>
      <w:r>
        <w:t xml:space="preserve"> cortical processes at mid-to-late latencies relating to </w:t>
      </w:r>
      <w:r w:rsidR="00F6092D">
        <w:t xml:space="preserve">some aspects of </w:t>
      </w:r>
      <w:r>
        <w:rPr>
          <w:color w:val="000000"/>
          <w:shd w:val="clear" w:color="auto" w:fill="FFFFFF"/>
        </w:rPr>
        <w:t>task performance</w:t>
      </w:r>
      <w:r>
        <w:t xml:space="preserve">. Further research is required to fully characterise the pathophysiology and compensatory mechanisms underlying tactile discrimination performance in CRPS. </w:t>
      </w:r>
      <w:r w:rsidRPr="00CD4B45">
        <w:t xml:space="preserve">Future </w:t>
      </w:r>
      <w:r>
        <w:t>studies</w:t>
      </w:r>
      <w:r w:rsidRPr="00CD4B45">
        <w:t xml:space="preserve"> would benefit from larger sample sizes that can </w:t>
      </w:r>
      <w:r>
        <w:t>cluster</w:t>
      </w:r>
      <w:r w:rsidRPr="00CD4B45">
        <w:t xml:space="preserve"> patients into </w:t>
      </w:r>
      <w:r>
        <w:t xml:space="preserve">mechanistically </w:t>
      </w:r>
      <w:r w:rsidRPr="00CD4B45">
        <w:t>homogeneous subgroups</w:t>
      </w:r>
      <w:r>
        <w:t xml:space="preserve"> and test for differential prognosis and treatment responses in these subgroups</w:t>
      </w:r>
      <w:r w:rsidRPr="00CD4B45">
        <w:t>.</w:t>
      </w:r>
    </w:p>
    <w:p w14:paraId="2949945A" w14:textId="77777777" w:rsidR="0056603B" w:rsidRDefault="0056603B"/>
    <w:p w14:paraId="06CD1B96" w14:textId="77777777" w:rsidR="00F2192C" w:rsidRPr="00AF6EEE" w:rsidRDefault="00F2192C">
      <w:pPr>
        <w:pStyle w:val="Heading1"/>
        <w:rPr>
          <w:rFonts w:asciiTheme="minorHAnsi" w:hAnsiTheme="minorHAnsi"/>
          <w:sz w:val="24"/>
          <w:szCs w:val="24"/>
        </w:rPr>
      </w:pPr>
      <w:r w:rsidRPr="00AF6EEE">
        <w:rPr>
          <w:rFonts w:asciiTheme="minorHAnsi" w:hAnsiTheme="minorHAnsi"/>
          <w:sz w:val="24"/>
          <w:szCs w:val="24"/>
        </w:rPr>
        <w:t>R</w:t>
      </w:r>
      <w:r w:rsidRPr="00AF6EEE">
        <w:rPr>
          <w:rStyle w:val="Heading2Char"/>
          <w:rFonts w:asciiTheme="minorHAnsi" w:hAnsiTheme="minorHAnsi"/>
          <w:b/>
          <w:bCs/>
          <w:i w:val="0"/>
          <w:iCs w:val="0"/>
          <w:szCs w:val="24"/>
        </w:rPr>
        <w:t>eferences</w:t>
      </w:r>
    </w:p>
    <w:p w14:paraId="46DB150A" w14:textId="1F880D28" w:rsidR="00ED42D4" w:rsidRPr="00ED42D4" w:rsidRDefault="00F2192C" w:rsidP="00ED42D4">
      <w:pPr>
        <w:widowControl w:val="0"/>
        <w:autoSpaceDE w:val="0"/>
        <w:autoSpaceDN w:val="0"/>
        <w:adjustRightInd w:val="0"/>
        <w:ind w:left="640" w:hanging="640"/>
        <w:rPr>
          <w:rFonts w:ascii="Calibri" w:hAnsi="Calibri"/>
          <w:noProof/>
        </w:rPr>
      </w:pPr>
      <w:r w:rsidRPr="00AF6EEE">
        <w:rPr>
          <w:rFonts w:cs="Arial"/>
        </w:rPr>
        <w:fldChar w:fldCharType="begin" w:fldLock="1"/>
      </w:r>
      <w:r w:rsidRPr="00AF6EEE">
        <w:rPr>
          <w:rFonts w:cs="Arial"/>
        </w:rPr>
        <w:instrText xml:space="preserve">ADDIN Mendeley Bibliography CSL_BIBLIOGRAPHY </w:instrText>
      </w:r>
      <w:r w:rsidRPr="00AF6EEE">
        <w:rPr>
          <w:rFonts w:cs="Arial"/>
        </w:rPr>
        <w:fldChar w:fldCharType="separate"/>
      </w:r>
      <w:r w:rsidR="00ED42D4" w:rsidRPr="00ED42D4">
        <w:rPr>
          <w:rFonts w:ascii="Calibri" w:hAnsi="Calibri"/>
          <w:noProof/>
        </w:rPr>
        <w:t xml:space="preserve">1. </w:t>
      </w:r>
      <w:r w:rsidR="00ED42D4" w:rsidRPr="00ED42D4">
        <w:rPr>
          <w:rFonts w:ascii="Calibri" w:hAnsi="Calibri"/>
          <w:noProof/>
        </w:rPr>
        <w:tab/>
        <w:t>Barrett LF, Simmons WK: Interoceptive predictions in the brain. Nat Rev Neurosci [Internet] 16:419–29, 2015 [cited 2016 Aug 9]. Available from: http://www.ncbi.nlm.nih.gov/pubmed/26016744</w:t>
      </w:r>
    </w:p>
    <w:p w14:paraId="5DC2F7C6"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 </w:t>
      </w:r>
      <w:r w:rsidRPr="00ED42D4">
        <w:rPr>
          <w:rFonts w:ascii="Calibri" w:hAnsi="Calibri"/>
          <w:noProof/>
        </w:rPr>
        <w:tab/>
        <w:t xml:space="preserve">Bell AJ, Sejnowski TJ: An information-maximization approach to blind separation and blind deconvolution. Neural Comput 7:1129–59, 1995. </w:t>
      </w:r>
    </w:p>
    <w:p w14:paraId="1BA84A4A"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 </w:t>
      </w:r>
      <w:r w:rsidRPr="00ED42D4">
        <w:rPr>
          <w:rFonts w:ascii="Calibri" w:hAnsi="Calibri"/>
          <w:noProof/>
        </w:rPr>
        <w:tab/>
        <w:t xml:space="preserve">Binkley JM, Stratford PW, Lott SA, Riddle DL: The Lower Extremity Functional Scale ( LEFS ): Scale Development , Measurement Properties , and Clinical Application. Phys Ther 79:371–83, 1999. </w:t>
      </w:r>
    </w:p>
    <w:p w14:paraId="2236A6D1"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4. </w:t>
      </w:r>
      <w:r w:rsidRPr="00ED42D4">
        <w:rPr>
          <w:rFonts w:ascii="Calibri" w:hAnsi="Calibri"/>
          <w:noProof/>
        </w:rPr>
        <w:tab/>
        <w:t>Cavanna AE, Trimble MR: The precuneus: a review of its functional anatomy and behavioural correlates. Brain [Internet] Oxford University Press; 129:564–83, 2006 [cited 2017 Feb 9]. Available from: https://academic.oup.com/brain/article-lookup/doi/10.1093/brain/awl004</w:t>
      </w:r>
    </w:p>
    <w:p w14:paraId="25AA60AA"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5. </w:t>
      </w:r>
      <w:r w:rsidRPr="00ED42D4">
        <w:rPr>
          <w:rFonts w:ascii="Calibri" w:hAnsi="Calibri"/>
          <w:noProof/>
        </w:rPr>
        <w:tab/>
        <w:t xml:space="preserve">Chennu S, Finoia P, Kamau E, Monti MM, Allanson J, Pickard JD, Owen AM, Bekinschtein TA: Dissociable endogenous and exogenous attention in disorders of consciousness. NeuroImage Clin [Internet] 3:450–61, 2013 [cited 2017 Mar 24]. </w:t>
      </w:r>
      <w:r w:rsidRPr="00ED42D4">
        <w:rPr>
          <w:rFonts w:ascii="Calibri" w:hAnsi="Calibri"/>
          <w:noProof/>
        </w:rPr>
        <w:lastRenderedPageBreak/>
        <w:t>Available from: http://linkinghub.elsevier.com/retrieve/pii/S2213158213001381</w:t>
      </w:r>
    </w:p>
    <w:p w14:paraId="144B3134"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6. </w:t>
      </w:r>
      <w:r w:rsidRPr="00ED42D4">
        <w:rPr>
          <w:rFonts w:ascii="Calibri" w:hAnsi="Calibri"/>
          <w:noProof/>
        </w:rPr>
        <w:tab/>
        <w:t xml:space="preserve">Chennu S, Noreika V, Gueorguiev D, Blenkmann A, Kochen S, Ibáñez A, Owen AM, Bekinschtein TA: Expectation and attention in hierarchical auditory prediction. J Neurosci 33:11194–205, 2013. </w:t>
      </w:r>
    </w:p>
    <w:p w14:paraId="23AB4A65"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7. </w:t>
      </w:r>
      <w:r w:rsidRPr="00ED42D4">
        <w:rPr>
          <w:rFonts w:ascii="Calibri" w:hAnsi="Calibri"/>
          <w:noProof/>
        </w:rPr>
        <w:tab/>
        <w:t xml:space="preserve">Cleeland CS, Ryan KM: Pain assessment: global use of the Brief Pain Inventory. Ann Acad Med Singapore 23:129–38, 1994. </w:t>
      </w:r>
    </w:p>
    <w:p w14:paraId="7D51C880"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8. </w:t>
      </w:r>
      <w:r w:rsidRPr="00ED42D4">
        <w:rPr>
          <w:rFonts w:ascii="Calibri" w:hAnsi="Calibri"/>
          <w:noProof/>
        </w:rPr>
        <w:tab/>
        <w:t>Comerchero MD, Polich J: P3a, perceptual distinctiveness, and stimulus modality. Brain Res Cogn Brain Res [Internet] 7:41–8, 1998 [cited 2017 Feb 14]. Available from: http://www.ncbi.nlm.nih.gov/pubmed/9714727</w:t>
      </w:r>
    </w:p>
    <w:p w14:paraId="4585BF1A"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9. </w:t>
      </w:r>
      <w:r w:rsidRPr="00ED42D4">
        <w:rPr>
          <w:rFonts w:ascii="Calibri" w:hAnsi="Calibri"/>
          <w:noProof/>
        </w:rPr>
        <w:tab/>
        <w:t xml:space="preserve">Delorme A, Makeig S: EEGLAB: an open source toolbox for analysis of single-trial EEG dynamics including independent component analysis. J Neurosci Methods 134:9–21, 2004. </w:t>
      </w:r>
    </w:p>
    <w:p w14:paraId="370111CD"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10. </w:t>
      </w:r>
      <w:r w:rsidRPr="00ED42D4">
        <w:rPr>
          <w:rFonts w:ascii="Calibri" w:hAnsi="Calibri"/>
          <w:noProof/>
        </w:rPr>
        <w:tab/>
        <w:t xml:space="preserve">DeMirci S, Savas S: The auditory event related potentials in episodic and chronic pain sufferers. Eur J pain 6:239–44, 2002. </w:t>
      </w:r>
    </w:p>
    <w:p w14:paraId="3F14B8A5"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11. </w:t>
      </w:r>
      <w:r w:rsidRPr="00ED42D4">
        <w:rPr>
          <w:rFonts w:ascii="Calibri" w:hAnsi="Calibri"/>
          <w:noProof/>
        </w:rPr>
        <w:tab/>
        <w:t>Duncan CC, Barry RJ, Connolly JF, Fischer C, Michie PT, Näätänen R, Polich J, Reinvang I, Van Petten C: Event-related potentials in clinical research: Guidelines for eliciting, recording, and quantifying mismatch negativity, P300, and N400. Clin Neurophysiol [Internet] 120:1883–908, 2009 [cited 2017 May 15]. Available from: http://www.sciencedirect.com/science/article/pii/S1388245709005185</w:t>
      </w:r>
    </w:p>
    <w:p w14:paraId="18FC5D3F"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12. </w:t>
      </w:r>
      <w:r w:rsidRPr="00ED42D4">
        <w:rPr>
          <w:rFonts w:ascii="Calibri" w:hAnsi="Calibri"/>
          <w:noProof/>
        </w:rPr>
        <w:tab/>
        <w:t>Förderreuther S, Sailer U, Straube A: Impaired self-perception of the hand in complex regional pain syndrome (CRPS). Pain [Internet] 110:756–61, 2004 [cited 2014 Sep 24]. Available from: http://www.ncbi.nlm.nih.gov/pubmed/15288417</w:t>
      </w:r>
    </w:p>
    <w:p w14:paraId="2492026B"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13. </w:t>
      </w:r>
      <w:r w:rsidRPr="00ED42D4">
        <w:rPr>
          <w:rFonts w:ascii="Calibri" w:hAnsi="Calibri"/>
          <w:noProof/>
        </w:rPr>
        <w:tab/>
        <w:t xml:space="preserve">Galer B, Jensen MP: Neglect-like symptoms in CRPS.Results of a self-administered </w:t>
      </w:r>
      <w:r w:rsidRPr="00ED42D4">
        <w:rPr>
          <w:rFonts w:ascii="Calibri" w:hAnsi="Calibri"/>
          <w:noProof/>
        </w:rPr>
        <w:lastRenderedPageBreak/>
        <w:t xml:space="preserve">survey. J Pain Symptom Manage 18:213–7, 1999. </w:t>
      </w:r>
    </w:p>
    <w:p w14:paraId="1073961F"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14. </w:t>
      </w:r>
      <w:r w:rsidRPr="00ED42D4">
        <w:rPr>
          <w:rFonts w:ascii="Calibri" w:hAnsi="Calibri"/>
          <w:noProof/>
        </w:rPr>
        <w:tab/>
        <w:t>Harden RN, Bruehl S, Stanton-Hicks M, Wilson PR: Proposed new diagnostic criteria for complex regional pain syndrome. Pain Med [Internet] 8:326–31, 2007 [cited 2014 Nov 11]. Available from: http://www.ncbi.nlm.nih.gov/pubmed/17610454</w:t>
      </w:r>
    </w:p>
    <w:p w14:paraId="3D52CF2C"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15. </w:t>
      </w:r>
      <w:r w:rsidRPr="00ED42D4">
        <w:rPr>
          <w:rFonts w:ascii="Calibri" w:hAnsi="Calibri"/>
          <w:noProof/>
        </w:rPr>
        <w:tab/>
        <w:t xml:space="preserve">Hernández A, Zainos A, Romo R: Temporal evolution of a decision-making process in medial premotor cortex. Neuron 33:959–72, 2002. </w:t>
      </w:r>
    </w:p>
    <w:p w14:paraId="2CE28F65"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16. </w:t>
      </w:r>
      <w:r w:rsidRPr="00ED42D4">
        <w:rPr>
          <w:rFonts w:ascii="Calibri" w:hAnsi="Calibri"/>
          <w:noProof/>
        </w:rPr>
        <w:tab/>
        <w:t xml:space="preserve">Hinds O, Thompson TW, Ghosh S, Yoo JJ, Whitfield-Gabrieli S, Triantafyllou C, Gabrieli JDE: Roles of default-mode network and supplementary motor area in human vigilance performance: evidence from real-time fMRI. J Neurophysiol 109:, 2013. </w:t>
      </w:r>
    </w:p>
    <w:p w14:paraId="0AA3E951"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17. </w:t>
      </w:r>
      <w:r w:rsidRPr="00ED42D4">
        <w:rPr>
          <w:rFonts w:ascii="Calibri" w:hAnsi="Calibri"/>
          <w:noProof/>
        </w:rPr>
        <w:tab/>
        <w:t xml:space="preserve">IBM: IBM SPSS Statistics for Windows, Version 21.0. Armonk, NY: IBM Corp. 2012. </w:t>
      </w:r>
    </w:p>
    <w:p w14:paraId="4D3A70D0"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18. </w:t>
      </w:r>
      <w:r w:rsidRPr="00ED42D4">
        <w:rPr>
          <w:rFonts w:ascii="Calibri" w:hAnsi="Calibri"/>
          <w:noProof/>
        </w:rPr>
        <w:tab/>
        <w:t xml:space="preserve">Karl A, Diers M, Flor H: P300-amplitudes in upper limb amputees with and without phantom limb pain in a visual oddball paradigm. Pain 110:40–8, 2004. </w:t>
      </w:r>
    </w:p>
    <w:p w14:paraId="5606B1BB"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19. </w:t>
      </w:r>
      <w:r w:rsidRPr="00ED42D4">
        <w:rPr>
          <w:rFonts w:ascii="Calibri" w:hAnsi="Calibri"/>
          <w:noProof/>
        </w:rPr>
        <w:tab/>
        <w:t xml:space="preserve">Kitada R, Sasaki AT, Okamoto Y, Kochiyama T, Sadato N: Role of the precuneus in the detection of incongruency between tactile and visual texture information: A functional MRI study. Neuropsychologia 64:252–62, 2014. </w:t>
      </w:r>
    </w:p>
    <w:p w14:paraId="59DD286D"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20. </w:t>
      </w:r>
      <w:r w:rsidRPr="00ED42D4">
        <w:rPr>
          <w:rFonts w:ascii="Calibri" w:hAnsi="Calibri"/>
          <w:noProof/>
        </w:rPr>
        <w:tab/>
        <w:t>Kuttikat A, Noreika V, Shenker N, Chennu S, Bekinschtein T, Brown CA: Neurocognitive and Neuroplastic Mechanisms of Novel Clinical Signs in CRPS. Front Hum Neurosci [Internet] Frontiers; 10:16, 2016 [cited 2016 Aug 30]. Available from: http://journal.frontiersin.org/Article/10.3389/fnhum.2016.00016/abstract</w:t>
      </w:r>
    </w:p>
    <w:p w14:paraId="1464C11B"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21. </w:t>
      </w:r>
      <w:r w:rsidRPr="00ED42D4">
        <w:rPr>
          <w:rFonts w:ascii="Calibri" w:hAnsi="Calibri"/>
          <w:noProof/>
        </w:rPr>
        <w:tab/>
        <w:t>Kuttikat A, Shaikh M, Oomatia A, Parker R, Shenker N: Novel Signs and their Clinical Utility in Diagnosing Complex Regional Pain Syndrome (CRPS) – A Prospective Observational Cohort Study. Clin J Pain [Internet] :1, 2016 [cited 2017 Feb 16]. Available from: http://www.ncbi.nlm.nih.gov/pubmed/27662180</w:t>
      </w:r>
    </w:p>
    <w:p w14:paraId="7850E4AC"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lastRenderedPageBreak/>
        <w:t xml:space="preserve">22. </w:t>
      </w:r>
      <w:r w:rsidRPr="00ED42D4">
        <w:rPr>
          <w:rFonts w:ascii="Calibri" w:hAnsi="Calibri"/>
          <w:noProof/>
        </w:rPr>
        <w:tab/>
        <w:t xml:space="preserve">Litvak V, Friston K: Electromagnetic source reconstruction for group studies. Neuroimage The Wellcome Trust Centre for Neuroimaging, University College London, UK. v.litvak@ion.ucl.ac.uk; 42:1490–8, 2008. </w:t>
      </w:r>
    </w:p>
    <w:p w14:paraId="52619FB5"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23. </w:t>
      </w:r>
      <w:r w:rsidRPr="00ED42D4">
        <w:rPr>
          <w:rFonts w:ascii="Calibri" w:hAnsi="Calibri"/>
          <w:noProof/>
        </w:rPr>
        <w:tab/>
        <w:t>Litvak V, Mattout J, Kiebel S, Phillips C, Henson R, Kilner J, Barnes G, Oostenveld R, Daunizeau J, Flandin G, Penny W, Friston K: EEG and MEG data analysis in SPM8. Comput Intell Neurosci [Internet] Hindawi Publishing Corporation; 2011:852961, 2011 [cited 2017 Mar 22]. Available from: http://www.ncbi.nlm.nih.gov/pubmed/21437221</w:t>
      </w:r>
    </w:p>
    <w:p w14:paraId="0638BB19"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24. </w:t>
      </w:r>
      <w:r w:rsidRPr="00ED42D4">
        <w:rPr>
          <w:rFonts w:ascii="Calibri" w:hAnsi="Calibri"/>
          <w:noProof/>
        </w:rPr>
        <w:tab/>
        <w:t xml:space="preserve">Marinus J, Moseley GL, Birklein F, Baron R, Maihöfner C, Kingery WS, van Hilten JJ: Clinical features and pathophysiology of CRPS. Lancet Neurol Elsevier Ltd; 10:637–48, 2011. </w:t>
      </w:r>
    </w:p>
    <w:p w14:paraId="496E677A"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25. </w:t>
      </w:r>
      <w:r w:rsidRPr="00ED42D4">
        <w:rPr>
          <w:rFonts w:ascii="Calibri" w:hAnsi="Calibri"/>
          <w:noProof/>
        </w:rPr>
        <w:tab/>
        <w:t xml:space="preserve">Meehan SK, Staines WR: The effect of task-relevance on primary somatosensory cortex during continuous sensory-guided movement in the presence of bimodal competition. Brain Res 1138:148–58, 2007. </w:t>
      </w:r>
    </w:p>
    <w:p w14:paraId="2B849268"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26. </w:t>
      </w:r>
      <w:r w:rsidRPr="00ED42D4">
        <w:rPr>
          <w:rFonts w:ascii="Calibri" w:hAnsi="Calibri"/>
          <w:noProof/>
        </w:rPr>
        <w:tab/>
        <w:t xml:space="preserve">Moseley GL: Why do people with complex regional pain syndrome take longer to recognize their affected hand? Neurology 62:2182–6, 2004. </w:t>
      </w:r>
    </w:p>
    <w:p w14:paraId="17F16684"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27. </w:t>
      </w:r>
      <w:r w:rsidRPr="00ED42D4">
        <w:rPr>
          <w:rFonts w:ascii="Calibri" w:hAnsi="Calibri"/>
          <w:noProof/>
        </w:rPr>
        <w:tab/>
        <w:t xml:space="preserve">Parra M a, Ascencio LL, Urquina HF, Manes F, Ibáñez AM: P300 and neuropsychological assessment in mild cognitive impairment and Alzheimer dementia. Front Neurol 3:172, 2012. </w:t>
      </w:r>
    </w:p>
    <w:p w14:paraId="22F69B6A"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28. </w:t>
      </w:r>
      <w:r w:rsidRPr="00ED42D4">
        <w:rPr>
          <w:rFonts w:ascii="Calibri" w:hAnsi="Calibri"/>
          <w:noProof/>
        </w:rPr>
        <w:tab/>
        <w:t>Di Pietro F, McAuley JH, Parkitny L, Lotze M, Wand BM, Moseley GL, Stanton TR: Primary somatosensory cortex function in complex regional pain syndrome: a systematic review and meta-analysis. J Pain [Internet] 14:1001–18, 2013 [cited 2014 Sep 11]. Available from: http://www.ncbi.nlm.nih.gov/pubmed/23726046</w:t>
      </w:r>
    </w:p>
    <w:p w14:paraId="69B4F398"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lastRenderedPageBreak/>
        <w:t xml:space="preserve">29. </w:t>
      </w:r>
      <w:r w:rsidRPr="00ED42D4">
        <w:rPr>
          <w:rFonts w:ascii="Calibri" w:hAnsi="Calibri"/>
          <w:noProof/>
        </w:rPr>
        <w:tab/>
        <w:t>Di Pietro F, Stanton TR, Moseley GL, Lotze M, McAuley JH: Interhemispheric somatosensory differences in chronic pain reflect abnormality of the Healthy side. Hum Brain Mapp [Internet] 36:508–18, 2015 [cited 2015 Feb 4]. Available from: http://www.ncbi.nlm.nih.gov/pubmed/25256887</w:t>
      </w:r>
    </w:p>
    <w:p w14:paraId="5DF1F000"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30. </w:t>
      </w:r>
      <w:r w:rsidRPr="00ED42D4">
        <w:rPr>
          <w:rFonts w:ascii="Calibri" w:hAnsi="Calibri"/>
          <w:noProof/>
        </w:rPr>
        <w:tab/>
        <w:t>Pleger B, Ragert P, Schwenkreis P, Förster A-F, Wilimzig C, Dinse H, Nicolas V, Maier C, Tegenthoff M: Patterns of cortical reorganization parallel impaired tactile discrimination and pain intensity in complex regional pain syndrome. Neuroimage [Internet] 32:503–10, 2006 [cited 2014 Sep 11]. Available from: http://www.ncbi.nlm.nih.gov/pubmed/16753306</w:t>
      </w:r>
    </w:p>
    <w:p w14:paraId="25910B6A"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31. </w:t>
      </w:r>
      <w:r w:rsidRPr="00ED42D4">
        <w:rPr>
          <w:rFonts w:ascii="Calibri" w:hAnsi="Calibri"/>
          <w:noProof/>
        </w:rPr>
        <w:tab/>
        <w:t xml:space="preserve">Polich J: Updating P300: An Integrative Theory of P3a and P3b. Clin Neurophysiol 118:2128–48, 2009. </w:t>
      </w:r>
    </w:p>
    <w:p w14:paraId="486FAC10"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32. </w:t>
      </w:r>
      <w:r w:rsidRPr="00ED42D4">
        <w:rPr>
          <w:rFonts w:ascii="Calibri" w:hAnsi="Calibri"/>
          <w:noProof/>
        </w:rPr>
        <w:tab/>
        <w:t xml:space="preserve">Preuschhof C, Heekeren HR, Taskin B, Schubert T, Villringer A: Neural correlates of vibrotactile working memory in the human brain. J Neurosci 26:13231–9, 2006. </w:t>
      </w:r>
    </w:p>
    <w:p w14:paraId="7F28B162"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33. </w:t>
      </w:r>
      <w:r w:rsidRPr="00ED42D4">
        <w:rPr>
          <w:rFonts w:ascii="Calibri" w:hAnsi="Calibri"/>
          <w:noProof/>
        </w:rPr>
        <w:tab/>
        <w:t>Preuschhof C, Heekeren HR, Taskin B, Schubert T, Villringer A: Neural correlates of vibrotactile working memory in the human brain. J Neurosci [Internet] 26:13231–9, 2006. Available from: http://eutils.ncbi.nlm.nih.gov/entrez/eutils/elink.fcgi?dbfrom=pubmed&amp;id=17182773&amp;retmode=ref&amp;cmd=prlinks%5Cnpapers2://publication/doi/10.1523/JNEUROSCI.2767-06.2006</w:t>
      </w:r>
    </w:p>
    <w:p w14:paraId="5729F90E"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34. </w:t>
      </w:r>
      <w:r w:rsidRPr="00ED42D4">
        <w:rPr>
          <w:rFonts w:ascii="Calibri" w:hAnsi="Calibri"/>
          <w:noProof/>
        </w:rPr>
        <w:tab/>
        <w:t>Ramchurn A, de Fockert JW, Mason L, Darling S, Bunce D: Intraindividual reaction time variability affects P300 amplitude rather than latency. Front Hum Neurosci [Internet] Frontiers Media SA; 8:557, 2014 [cited 2017 Feb 11]. Available from: http://www.ncbi.nlm.nih.gov/pubmed/25120458</w:t>
      </w:r>
    </w:p>
    <w:p w14:paraId="0044830E"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lastRenderedPageBreak/>
        <w:t xml:space="preserve">35. </w:t>
      </w:r>
      <w:r w:rsidRPr="00ED42D4">
        <w:rPr>
          <w:rFonts w:ascii="Calibri" w:hAnsi="Calibri"/>
          <w:noProof/>
        </w:rPr>
        <w:tab/>
        <w:t>Romo R, Salinas E: Flutter discrimination: neural codes, perception, memory and decision making. Nat Rev Neurosci [Internet] 4:203–18, 2003. Available from: http://www.ncbi.nlm.nih.gov/pubmed/12612633</w:t>
      </w:r>
    </w:p>
    <w:p w14:paraId="5F6451F4"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36. </w:t>
      </w:r>
      <w:r w:rsidRPr="00ED42D4">
        <w:rPr>
          <w:rFonts w:ascii="Calibri" w:hAnsi="Calibri"/>
          <w:noProof/>
        </w:rPr>
        <w:tab/>
        <w:t xml:space="preserve">Snaith RP: Health and Quality of Life Outcomes. 4:6–9, 2003. </w:t>
      </w:r>
    </w:p>
    <w:p w14:paraId="26A8DB61"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37. </w:t>
      </w:r>
      <w:r w:rsidRPr="00ED42D4">
        <w:rPr>
          <w:rFonts w:ascii="Calibri" w:hAnsi="Calibri"/>
          <w:noProof/>
        </w:rPr>
        <w:tab/>
        <w:t xml:space="preserve">Stratford PW, Binkley JM, Stratford D: Development and initial validation of the upper extremity functional index. Physiother Canada 53:259–67, 2001. </w:t>
      </w:r>
    </w:p>
    <w:p w14:paraId="36F4E305"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38. </w:t>
      </w:r>
      <w:r w:rsidRPr="00ED42D4">
        <w:rPr>
          <w:rFonts w:ascii="Calibri" w:hAnsi="Calibri"/>
          <w:noProof/>
        </w:rPr>
        <w:tab/>
        <w:t xml:space="preserve">Tandon OP, Kumar A, Dhar D, Battacharya A: Event-related evoked potential responses ( P 300 ) following epidural methylprednisolone therapy in chronic low back pain patients. Anaesthesia 52:1173–6, 1997. </w:t>
      </w:r>
    </w:p>
    <w:p w14:paraId="6BB5F4EE"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39. </w:t>
      </w:r>
      <w:r w:rsidRPr="00ED42D4">
        <w:rPr>
          <w:rFonts w:ascii="Calibri" w:hAnsi="Calibri"/>
          <w:noProof/>
        </w:rPr>
        <w:tab/>
        <w:t xml:space="preserve">Tarkka IM, Micheloyannis S, Stoki DS: Generators for human P300 elicited by somatosensory stimuli using multiple dipole source analysis. Neuroscience 75:275–87, 1996. </w:t>
      </w:r>
    </w:p>
    <w:p w14:paraId="3E823E8E"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40. </w:t>
      </w:r>
      <w:r w:rsidRPr="00ED42D4">
        <w:rPr>
          <w:rFonts w:ascii="Calibri" w:hAnsi="Calibri"/>
          <w:noProof/>
        </w:rPr>
        <w:tab/>
        <w:t>Tomasevic-Todorovic S, Boskovic K, Filipovic D, Milekic B, Grajic M, Hanna F: Auditory Event-Related P300 Potentials in Rheumatoid Arthritis Patients. Neurophysiology [Internet] Springer US; 47:138–43, 2015 [cited 2017 Sep 11]. Available from: http://link.springer.com/10.1007/s11062-015-9510-5</w:t>
      </w:r>
    </w:p>
    <w:p w14:paraId="25A69D3D"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41. </w:t>
      </w:r>
      <w:r w:rsidRPr="00ED42D4">
        <w:rPr>
          <w:rFonts w:ascii="Calibri" w:hAnsi="Calibri"/>
          <w:noProof/>
        </w:rPr>
        <w:tab/>
        <w:t>Turetsky BI, Calkins ME, Light GA, Olincy A, Radant AD, Swerdlow NR: Neurophysiological Endophenotypes of Schizophrenia: The Viability of Selected Candidate Measures. Schizophr Bull [Internet] 33:69–94, 2006 [cited 2017 Feb 13]. Available from: http://www.ncbi.nlm.nih.gov/pubmed/17135482</w:t>
      </w:r>
    </w:p>
    <w:p w14:paraId="03EAE3DD"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t xml:space="preserve">42. </w:t>
      </w:r>
      <w:r w:rsidRPr="00ED42D4">
        <w:rPr>
          <w:rFonts w:ascii="Calibri" w:hAnsi="Calibri"/>
          <w:noProof/>
        </w:rPr>
        <w:tab/>
        <w:t xml:space="preserve">Valeriani M, Fraioli L, Ranghi F, Giaquinto S: Dipolar source modeling of the P300 event-related potential after somatosensory stimulation. Muscle and Nerve 24:1677–86, 2001. </w:t>
      </w:r>
    </w:p>
    <w:p w14:paraId="65343953" w14:textId="77777777" w:rsidR="00ED42D4" w:rsidRPr="00ED42D4" w:rsidRDefault="00ED42D4" w:rsidP="00ED42D4">
      <w:pPr>
        <w:widowControl w:val="0"/>
        <w:autoSpaceDE w:val="0"/>
        <w:autoSpaceDN w:val="0"/>
        <w:adjustRightInd w:val="0"/>
        <w:ind w:left="640" w:hanging="640"/>
        <w:rPr>
          <w:rFonts w:ascii="Calibri" w:hAnsi="Calibri"/>
          <w:noProof/>
        </w:rPr>
      </w:pPr>
      <w:r w:rsidRPr="00ED42D4">
        <w:rPr>
          <w:rFonts w:ascii="Calibri" w:hAnsi="Calibri"/>
          <w:noProof/>
        </w:rPr>
        <w:lastRenderedPageBreak/>
        <w:t xml:space="preserve">43. </w:t>
      </w:r>
      <w:r w:rsidRPr="00ED42D4">
        <w:rPr>
          <w:rFonts w:ascii="Calibri" w:hAnsi="Calibri"/>
          <w:noProof/>
        </w:rPr>
        <w:tab/>
        <w:t>van Velzen GAJ, Rombouts SARB, van Buchem MA, Marinus J, van Hilten JJ: Is the brain of complex regional pain syndrome patients truly different? Eur J Pain [Internet] 20:1622–33, 2016 [cited 2017 Sep 13]. Available from: http://doi.wiley.com/10.1002/ejp.882</w:t>
      </w:r>
    </w:p>
    <w:p w14:paraId="4AF19094" w14:textId="2F607BB2" w:rsidR="00AD5BCD" w:rsidRPr="00AF6EEE" w:rsidRDefault="00F2192C">
      <w:pPr>
        <w:pStyle w:val="NormalWeb"/>
        <w:spacing w:line="480" w:lineRule="auto"/>
        <w:ind w:left="480" w:hanging="480"/>
        <w:divId w:val="2141027734"/>
        <w:rPr>
          <w:rFonts w:asciiTheme="minorHAnsi" w:hAnsiTheme="minorHAnsi"/>
        </w:rPr>
      </w:pPr>
      <w:r w:rsidRPr="00AF6EEE">
        <w:rPr>
          <w:rFonts w:asciiTheme="minorHAnsi" w:hAnsiTheme="minorHAnsi" w:cs="Arial"/>
        </w:rPr>
        <w:lastRenderedPageBreak/>
        <w:fldChar w:fldCharType="end"/>
      </w:r>
      <w:r w:rsidR="008C1847" w:rsidRPr="00AF6EEE">
        <w:rPr>
          <w:rFonts w:asciiTheme="minorHAnsi" w:hAnsiTheme="minorHAnsi" w:cs="Arial"/>
        </w:rPr>
        <w:t xml:space="preserve"> </w:t>
      </w:r>
      <w:r w:rsidR="00827161" w:rsidRPr="00827161">
        <w:rPr>
          <w:rFonts w:asciiTheme="minorHAnsi" w:hAnsiTheme="minorHAnsi" w:cs="Arial"/>
          <w:noProof/>
          <w:lang w:eastAsia="zh-CN"/>
        </w:rPr>
        <w:lastRenderedPageBreak/>
        <w:drawing>
          <wp:inline distT="0" distB="0" distL="0" distR="0" wp14:anchorId="447A1F58" wp14:editId="2376186F">
            <wp:extent cx="6838950" cy="8639175"/>
            <wp:effectExtent l="0" t="0" r="0" b="9525"/>
            <wp:docPr id="2" name="Picture 2" descr="C:\Users\Chris\Google Drive\2. Cambridge University\Publications\CRPS EEG\v12\PP fig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Google Drive\2. Cambridge University\Publications\CRPS EEG\v12\PP figures\Fi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8639175"/>
                    </a:xfrm>
                    <a:prstGeom prst="rect">
                      <a:avLst/>
                    </a:prstGeom>
                    <a:noFill/>
                    <a:ln>
                      <a:noFill/>
                    </a:ln>
                  </pic:spPr>
                </pic:pic>
              </a:graphicData>
            </a:graphic>
          </wp:inline>
        </w:drawing>
      </w:r>
    </w:p>
    <w:p w14:paraId="03BD64FE" w14:textId="77777777" w:rsidR="004C6664" w:rsidRDefault="004C6664" w:rsidP="004C6664">
      <w:pPr>
        <w:rPr>
          <w:i/>
        </w:rPr>
      </w:pPr>
      <w:r w:rsidRPr="009D0045">
        <w:rPr>
          <w:b/>
          <w:i/>
        </w:rPr>
        <w:lastRenderedPageBreak/>
        <w:t>Figure 1</w:t>
      </w:r>
      <w:r w:rsidRPr="009D0045">
        <w:rPr>
          <w:i/>
        </w:rPr>
        <w:t xml:space="preserve">: (A) The number of tactile stimuli delivered to each digit (randomised on each hand in turn) and the number assignment to each digit that the subject used to respond as to which digit was stimulated. (B) Behavioural results. </w:t>
      </w:r>
      <w:r>
        <w:rPr>
          <w:i/>
        </w:rPr>
        <w:t>Top</w:t>
      </w:r>
      <w:r w:rsidRPr="009D0045">
        <w:rPr>
          <w:i/>
        </w:rPr>
        <w:t xml:space="preserve">: </w:t>
      </w:r>
      <w:r>
        <w:rPr>
          <w:i/>
        </w:rPr>
        <w:t>A</w:t>
      </w:r>
      <w:r w:rsidRPr="009D0045">
        <w:rPr>
          <w:i/>
        </w:rPr>
        <w:t xml:space="preserve">ccuracy data. </w:t>
      </w:r>
      <w:r>
        <w:rPr>
          <w:i/>
        </w:rPr>
        <w:t>Bottom</w:t>
      </w:r>
      <w:r w:rsidRPr="009D0045">
        <w:rPr>
          <w:i/>
        </w:rPr>
        <w:t xml:space="preserve">: </w:t>
      </w:r>
      <w:r>
        <w:rPr>
          <w:i/>
        </w:rPr>
        <w:t>R</w:t>
      </w:r>
      <w:r w:rsidRPr="009D0045">
        <w:rPr>
          <w:i/>
        </w:rPr>
        <w:t xml:space="preserve">esponse time data. Plots </w:t>
      </w:r>
      <w:r>
        <w:rPr>
          <w:i/>
        </w:rPr>
        <w:t>on the left (jittered dot plot) and right (box plot) are different representations of the same data.</w:t>
      </w:r>
    </w:p>
    <w:p w14:paraId="64425230" w14:textId="40F1CFA3" w:rsidR="004C6664" w:rsidRDefault="00827161" w:rsidP="004C6664">
      <w:pPr>
        <w:rPr>
          <w:rFonts w:asciiTheme="majorHAnsi" w:eastAsiaTheme="majorEastAsia" w:hAnsiTheme="majorHAnsi" w:cstheme="majorBidi"/>
          <w:b/>
          <w:bCs/>
          <w:kern w:val="32"/>
          <w:sz w:val="28"/>
          <w:szCs w:val="32"/>
        </w:rPr>
      </w:pPr>
      <w:r w:rsidRPr="00827161">
        <w:rPr>
          <w:rFonts w:cs="Arial"/>
          <w:noProof/>
          <w:lang w:eastAsia="zh-CN"/>
        </w:rPr>
        <w:drawing>
          <wp:inline distT="0" distB="0" distL="0" distR="0" wp14:anchorId="17B76B12" wp14:editId="1E234BFD">
            <wp:extent cx="5731510" cy="6359882"/>
            <wp:effectExtent l="0" t="0" r="2540" b="3175"/>
            <wp:docPr id="3" name="Picture 3" descr="C:\Users\Chris\Google Drive\2. Cambridge University\Publications\CRPS EEG\v12\PP 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Google Drive\2. Cambridge University\Publications\CRPS EEG\v12\PP figures\Fi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359882"/>
                    </a:xfrm>
                    <a:prstGeom prst="rect">
                      <a:avLst/>
                    </a:prstGeom>
                    <a:noFill/>
                    <a:ln>
                      <a:noFill/>
                    </a:ln>
                  </pic:spPr>
                </pic:pic>
              </a:graphicData>
            </a:graphic>
          </wp:inline>
        </w:drawing>
      </w:r>
    </w:p>
    <w:p w14:paraId="6932FDDF" w14:textId="77777777" w:rsidR="004C6664" w:rsidRPr="009D0045" w:rsidRDefault="004C6664" w:rsidP="004C6664">
      <w:pPr>
        <w:rPr>
          <w:i/>
        </w:rPr>
      </w:pPr>
      <w:r w:rsidRPr="009D0045">
        <w:rPr>
          <w:b/>
          <w:i/>
        </w:rPr>
        <w:lastRenderedPageBreak/>
        <w:t>Figure 2:</w:t>
      </w:r>
      <w:r w:rsidRPr="009D0045">
        <w:rPr>
          <w:i/>
        </w:rPr>
        <w:t xml:space="preserve"> Experiment 1</w:t>
      </w:r>
      <w:r>
        <w:rPr>
          <w:i/>
        </w:rPr>
        <w:t xml:space="preserve"> data at 132ms</w:t>
      </w:r>
      <w:r w:rsidRPr="009D0045">
        <w:rPr>
          <w:i/>
        </w:rPr>
        <w:t xml:space="preserve">. A) </w:t>
      </w:r>
      <w:r>
        <w:rPr>
          <w:i/>
        </w:rPr>
        <w:t xml:space="preserve">Left: </w:t>
      </w:r>
      <w:r w:rsidRPr="009D0045">
        <w:rPr>
          <w:i/>
        </w:rPr>
        <w:t xml:space="preserve">Statistical Parametric Map identifying greater negative polarity response at 132ms in the CRPS vs. HC </w:t>
      </w:r>
      <w:r>
        <w:rPr>
          <w:i/>
        </w:rPr>
        <w:t xml:space="preserve">group over contralateral temporal and </w:t>
      </w:r>
      <w:r w:rsidRPr="009D0045">
        <w:rPr>
          <w:i/>
        </w:rPr>
        <w:t xml:space="preserve">parietal electrodes. Image </w:t>
      </w:r>
      <w:r>
        <w:rPr>
          <w:i/>
        </w:rPr>
        <w:t>is</w:t>
      </w:r>
      <w:r w:rsidRPr="009D0045">
        <w:rPr>
          <w:i/>
        </w:rPr>
        <w:t xml:space="preserve"> </w:t>
      </w:r>
      <w:proofErr w:type="spellStart"/>
      <w:r w:rsidRPr="009D0045">
        <w:rPr>
          <w:i/>
        </w:rPr>
        <w:t>thresholded</w:t>
      </w:r>
      <w:proofErr w:type="spellEnd"/>
      <w:r w:rsidRPr="009D0045">
        <w:rPr>
          <w:i/>
        </w:rPr>
        <w:t xml:space="preserve"> at p &lt; 0.001 uncorrected. </w:t>
      </w:r>
      <w:r>
        <w:rPr>
          <w:i/>
        </w:rPr>
        <w:t>Middle:</w:t>
      </w:r>
      <w:r w:rsidRPr="009D0045">
        <w:rPr>
          <w:i/>
        </w:rPr>
        <w:t xml:space="preserve"> </w:t>
      </w:r>
      <w:r>
        <w:rPr>
          <w:i/>
        </w:rPr>
        <w:t>G</w:t>
      </w:r>
      <w:r w:rsidRPr="009D0045">
        <w:rPr>
          <w:i/>
        </w:rPr>
        <w:t>rand-average topographic maps from each group</w:t>
      </w:r>
      <w:r>
        <w:rPr>
          <w:i/>
        </w:rPr>
        <w:t xml:space="preserve">; white filled circles show the three electrodes </w:t>
      </w:r>
      <w:r w:rsidRPr="009D0045">
        <w:rPr>
          <w:i/>
        </w:rPr>
        <w:t>with the most negative amplitude at 132ms</w:t>
      </w:r>
      <w:r>
        <w:rPr>
          <w:i/>
        </w:rPr>
        <w:t xml:space="preserve"> that were averaged to display the waveform</w:t>
      </w:r>
      <w:r w:rsidRPr="009D0045">
        <w:rPr>
          <w:i/>
        </w:rPr>
        <w:t xml:space="preserve">. </w:t>
      </w:r>
      <w:r>
        <w:rPr>
          <w:i/>
        </w:rPr>
        <w:t xml:space="preserve">Right: </w:t>
      </w:r>
      <w:r w:rsidRPr="009D0045">
        <w:rPr>
          <w:i/>
        </w:rPr>
        <w:t>Waveform</w:t>
      </w:r>
      <w:r>
        <w:rPr>
          <w:i/>
        </w:rPr>
        <w:t xml:space="preserve">s with 95% confidence intervals showing the latency at 132ms (black line) and the temporal extent of the SPM sensor-space cluster (grey box). </w:t>
      </w:r>
      <w:r w:rsidRPr="009D0045">
        <w:rPr>
          <w:i/>
        </w:rPr>
        <w:t xml:space="preserve">B) </w:t>
      </w:r>
      <w:r>
        <w:rPr>
          <w:i/>
        </w:rPr>
        <w:t xml:space="preserve">Two representations (jittered dot plot, left; box plot, right) of the activity in the significant sensor-space cluster for each group, side and digit type. </w:t>
      </w:r>
      <w:r w:rsidRPr="009D0045">
        <w:rPr>
          <w:i/>
        </w:rPr>
        <w:t xml:space="preserve">C) Source-space results from the contrasts </w:t>
      </w:r>
      <w:r>
        <w:rPr>
          <w:i/>
        </w:rPr>
        <w:t>N132 a</w:t>
      </w:r>
      <w:r w:rsidRPr="009D0045">
        <w:rPr>
          <w:i/>
        </w:rPr>
        <w:t>ctivity vs. Baseline (</w:t>
      </w:r>
      <w:r>
        <w:rPr>
          <w:i/>
        </w:rPr>
        <w:t>-200ms to 0ms, top</w:t>
      </w:r>
      <w:r w:rsidRPr="009D0045">
        <w:rPr>
          <w:i/>
        </w:rPr>
        <w:t>) and CRPS vs HC group (</w:t>
      </w:r>
      <w:r>
        <w:rPr>
          <w:i/>
        </w:rPr>
        <w:t>bottom</w:t>
      </w:r>
      <w:r w:rsidRPr="009D0045">
        <w:rPr>
          <w:i/>
        </w:rPr>
        <w:t>) and their overlap (pink).</w:t>
      </w:r>
    </w:p>
    <w:p w14:paraId="30445429" w14:textId="049419B8" w:rsidR="00AD5BCD" w:rsidRPr="00AF6EEE" w:rsidRDefault="00827161">
      <w:r w:rsidRPr="00827161">
        <w:rPr>
          <w:rFonts w:cs="Arial"/>
          <w:noProof/>
          <w:lang w:eastAsia="zh-CN"/>
        </w:rPr>
        <w:lastRenderedPageBreak/>
        <w:drawing>
          <wp:inline distT="0" distB="0" distL="0" distR="0" wp14:anchorId="40AB4E95" wp14:editId="62E349D2">
            <wp:extent cx="5731510" cy="6437498"/>
            <wp:effectExtent l="0" t="0" r="2540" b="1905"/>
            <wp:docPr id="4" name="Picture 4" descr="C:\Users\Chris\Google Drive\2. Cambridge University\Publications\CRPS EEG\v12\PP 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Google Drive\2. Cambridge University\Publications\CRPS EEG\v12\PP figures\Fig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437498"/>
                    </a:xfrm>
                    <a:prstGeom prst="rect">
                      <a:avLst/>
                    </a:prstGeom>
                    <a:noFill/>
                    <a:ln>
                      <a:noFill/>
                    </a:ln>
                  </pic:spPr>
                </pic:pic>
              </a:graphicData>
            </a:graphic>
          </wp:inline>
        </w:drawing>
      </w:r>
    </w:p>
    <w:p w14:paraId="2420B067" w14:textId="77777777" w:rsidR="004C6664" w:rsidRDefault="004C6664" w:rsidP="004C6664">
      <w:pPr>
        <w:rPr>
          <w:i/>
        </w:rPr>
      </w:pPr>
      <w:r>
        <w:rPr>
          <w:b/>
          <w:i/>
        </w:rPr>
        <w:t>Figure 3</w:t>
      </w:r>
      <w:r w:rsidRPr="009D0045">
        <w:rPr>
          <w:b/>
          <w:i/>
        </w:rPr>
        <w:t>:</w:t>
      </w:r>
      <w:r>
        <w:rPr>
          <w:i/>
        </w:rPr>
        <w:t xml:space="preserve"> </w:t>
      </w:r>
      <w:r w:rsidRPr="009D0045">
        <w:rPr>
          <w:i/>
        </w:rPr>
        <w:t>Experiment 1</w:t>
      </w:r>
      <w:r>
        <w:rPr>
          <w:i/>
        </w:rPr>
        <w:t xml:space="preserve"> data at 268ms</w:t>
      </w:r>
      <w:r w:rsidRPr="009D0045">
        <w:rPr>
          <w:i/>
        </w:rPr>
        <w:t xml:space="preserve">. A) </w:t>
      </w:r>
      <w:r>
        <w:rPr>
          <w:i/>
        </w:rPr>
        <w:t xml:space="preserve">Left: </w:t>
      </w:r>
      <w:r w:rsidRPr="009D0045">
        <w:rPr>
          <w:i/>
        </w:rPr>
        <w:t xml:space="preserve">Statistical Parametric Map identifying greater </w:t>
      </w:r>
      <w:r>
        <w:rPr>
          <w:i/>
        </w:rPr>
        <w:t>positive polarity response at 268</w:t>
      </w:r>
      <w:r w:rsidRPr="009D0045">
        <w:rPr>
          <w:i/>
        </w:rPr>
        <w:t xml:space="preserve">ms in the CRPS vs. HC </w:t>
      </w:r>
      <w:r>
        <w:rPr>
          <w:i/>
        </w:rPr>
        <w:t xml:space="preserve">group over </w:t>
      </w:r>
      <w:proofErr w:type="spellStart"/>
      <w:r>
        <w:rPr>
          <w:i/>
        </w:rPr>
        <w:t>frontocentral</w:t>
      </w:r>
      <w:proofErr w:type="spellEnd"/>
      <w:r w:rsidRPr="009D0045">
        <w:rPr>
          <w:i/>
        </w:rPr>
        <w:t xml:space="preserve"> electrodes. Image </w:t>
      </w:r>
      <w:r>
        <w:rPr>
          <w:i/>
        </w:rPr>
        <w:t>is</w:t>
      </w:r>
      <w:r w:rsidRPr="009D0045">
        <w:rPr>
          <w:i/>
        </w:rPr>
        <w:t xml:space="preserve"> </w:t>
      </w:r>
      <w:proofErr w:type="spellStart"/>
      <w:r w:rsidRPr="009D0045">
        <w:rPr>
          <w:i/>
        </w:rPr>
        <w:t>thresholded</w:t>
      </w:r>
      <w:proofErr w:type="spellEnd"/>
      <w:r w:rsidRPr="009D0045">
        <w:rPr>
          <w:i/>
        </w:rPr>
        <w:t xml:space="preserve"> at p &lt; 0.001 uncorrected. </w:t>
      </w:r>
      <w:r>
        <w:rPr>
          <w:i/>
        </w:rPr>
        <w:t>Middle:</w:t>
      </w:r>
      <w:r w:rsidRPr="009D0045">
        <w:rPr>
          <w:i/>
        </w:rPr>
        <w:t xml:space="preserve"> </w:t>
      </w:r>
      <w:r>
        <w:rPr>
          <w:i/>
        </w:rPr>
        <w:t>G</w:t>
      </w:r>
      <w:r w:rsidRPr="009D0045">
        <w:rPr>
          <w:i/>
        </w:rPr>
        <w:t>rand-average topographic maps from each group</w:t>
      </w:r>
      <w:r>
        <w:rPr>
          <w:i/>
        </w:rPr>
        <w:t xml:space="preserve">; white filled circles show the three electrodes </w:t>
      </w:r>
      <w:r w:rsidRPr="009D0045">
        <w:rPr>
          <w:i/>
        </w:rPr>
        <w:t>with th</w:t>
      </w:r>
      <w:r>
        <w:rPr>
          <w:i/>
        </w:rPr>
        <w:t>e most positive amplitude at 268</w:t>
      </w:r>
      <w:r w:rsidRPr="009D0045">
        <w:rPr>
          <w:i/>
        </w:rPr>
        <w:t>ms</w:t>
      </w:r>
      <w:r>
        <w:rPr>
          <w:i/>
        </w:rPr>
        <w:t xml:space="preserve"> that were averaged to display the waveform</w:t>
      </w:r>
      <w:r w:rsidRPr="009D0045">
        <w:rPr>
          <w:i/>
        </w:rPr>
        <w:t xml:space="preserve">. </w:t>
      </w:r>
      <w:r>
        <w:rPr>
          <w:i/>
        </w:rPr>
        <w:t xml:space="preserve">Right: </w:t>
      </w:r>
      <w:r w:rsidRPr="009D0045">
        <w:rPr>
          <w:i/>
        </w:rPr>
        <w:t>Waveform</w:t>
      </w:r>
      <w:r>
        <w:rPr>
          <w:i/>
        </w:rPr>
        <w:t xml:space="preserve">s with </w:t>
      </w:r>
      <w:r>
        <w:rPr>
          <w:i/>
        </w:rPr>
        <w:lastRenderedPageBreak/>
        <w:t xml:space="preserve">95% confidence intervals showing the latency at 268ms (black line) and the temporal extent of the SPM sensor-space cluster (grey box). </w:t>
      </w:r>
      <w:r w:rsidRPr="009D0045">
        <w:rPr>
          <w:i/>
        </w:rPr>
        <w:t xml:space="preserve">B) </w:t>
      </w:r>
      <w:r>
        <w:rPr>
          <w:i/>
        </w:rPr>
        <w:t xml:space="preserve">Two representations (jittered dot plot, left; box plot, right) of the activity in the significant sensor-space cluster for each group, side and digit type. </w:t>
      </w:r>
      <w:r w:rsidRPr="009D0045">
        <w:rPr>
          <w:i/>
        </w:rPr>
        <w:t xml:space="preserve">C) Source-space results from the contrasts </w:t>
      </w:r>
      <w:r>
        <w:rPr>
          <w:i/>
        </w:rPr>
        <w:t>P268 a</w:t>
      </w:r>
      <w:r w:rsidRPr="009D0045">
        <w:rPr>
          <w:i/>
        </w:rPr>
        <w:t>ctivity vs. Baseline (</w:t>
      </w:r>
      <w:r>
        <w:rPr>
          <w:i/>
        </w:rPr>
        <w:t>-200ms to 0ms, top</w:t>
      </w:r>
      <w:r w:rsidRPr="009D0045">
        <w:rPr>
          <w:i/>
        </w:rPr>
        <w:t>) and CRPS vs HC group (</w:t>
      </w:r>
      <w:r>
        <w:rPr>
          <w:i/>
        </w:rPr>
        <w:t>bottom</w:t>
      </w:r>
      <w:r w:rsidRPr="009D0045">
        <w:rPr>
          <w:i/>
        </w:rPr>
        <w:t>).</w:t>
      </w:r>
      <w:r>
        <w:rPr>
          <w:i/>
        </w:rPr>
        <w:t xml:space="preserve"> D) Non-parametric correlation of activity in bilateral Supplementary Motor Area (SMA, cluster defined from the CRPS &gt; HC group contrast) with digit discrimination response time.</w:t>
      </w:r>
    </w:p>
    <w:p w14:paraId="485D6CEE" w14:textId="217CE2D4" w:rsidR="00AD5BCD" w:rsidRPr="00AF6EEE" w:rsidRDefault="00827161">
      <w:r w:rsidRPr="00827161">
        <w:rPr>
          <w:rFonts w:cs="Arial"/>
          <w:noProof/>
          <w:lang w:eastAsia="zh-CN"/>
        </w:rPr>
        <w:lastRenderedPageBreak/>
        <w:drawing>
          <wp:inline distT="0" distB="0" distL="0" distR="0" wp14:anchorId="4F16AC7E" wp14:editId="33E43092">
            <wp:extent cx="5695950" cy="6381750"/>
            <wp:effectExtent l="0" t="0" r="0" b="0"/>
            <wp:docPr id="5" name="Picture 5" descr="C:\Users\Chris\Google Drive\2. Cambridge University\Publications\CRPS EEG\v12\PP fig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Google Drive\2. Cambridge University\Publications\CRPS EEG\v12\PP figures\Fi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6381750"/>
                    </a:xfrm>
                    <a:prstGeom prst="rect">
                      <a:avLst/>
                    </a:prstGeom>
                    <a:noFill/>
                    <a:ln>
                      <a:noFill/>
                    </a:ln>
                  </pic:spPr>
                </pic:pic>
              </a:graphicData>
            </a:graphic>
          </wp:inline>
        </w:drawing>
      </w:r>
    </w:p>
    <w:p w14:paraId="40B65761" w14:textId="77777777" w:rsidR="004C6664" w:rsidRDefault="004C6664" w:rsidP="004C6664">
      <w:pPr>
        <w:rPr>
          <w:i/>
        </w:rPr>
      </w:pPr>
      <w:r>
        <w:rPr>
          <w:b/>
          <w:i/>
        </w:rPr>
        <w:t>Figure 4</w:t>
      </w:r>
      <w:r w:rsidRPr="009D0045">
        <w:rPr>
          <w:b/>
          <w:i/>
        </w:rPr>
        <w:t>:</w:t>
      </w:r>
      <w:r>
        <w:rPr>
          <w:i/>
        </w:rPr>
        <w:t xml:space="preserve"> Experiment 2 data at 124ms</w:t>
      </w:r>
      <w:r w:rsidRPr="009D0045">
        <w:rPr>
          <w:i/>
        </w:rPr>
        <w:t xml:space="preserve">. A) </w:t>
      </w:r>
      <w:r>
        <w:rPr>
          <w:i/>
        </w:rPr>
        <w:t xml:space="preserve">Left: </w:t>
      </w:r>
      <w:r w:rsidRPr="009D0045">
        <w:rPr>
          <w:i/>
        </w:rPr>
        <w:t>Statistical Parametric Map identifying greater n</w:t>
      </w:r>
      <w:r>
        <w:rPr>
          <w:i/>
        </w:rPr>
        <w:t>egative polarity response at 124</w:t>
      </w:r>
      <w:r w:rsidRPr="009D0045">
        <w:rPr>
          <w:i/>
        </w:rPr>
        <w:t xml:space="preserve">ms in the CRPS vs. HC </w:t>
      </w:r>
      <w:r>
        <w:rPr>
          <w:i/>
        </w:rPr>
        <w:t xml:space="preserve">group over contralateral temporal and </w:t>
      </w:r>
      <w:r w:rsidRPr="009D0045">
        <w:rPr>
          <w:i/>
        </w:rPr>
        <w:t xml:space="preserve">parietal electrodes. Image </w:t>
      </w:r>
      <w:r>
        <w:rPr>
          <w:i/>
        </w:rPr>
        <w:t>is</w:t>
      </w:r>
      <w:r w:rsidRPr="009D0045">
        <w:rPr>
          <w:i/>
        </w:rPr>
        <w:t xml:space="preserve"> </w:t>
      </w:r>
      <w:proofErr w:type="spellStart"/>
      <w:r w:rsidRPr="009D0045">
        <w:rPr>
          <w:i/>
        </w:rPr>
        <w:t>thresholded</w:t>
      </w:r>
      <w:proofErr w:type="spellEnd"/>
      <w:r w:rsidRPr="009D0045">
        <w:rPr>
          <w:i/>
        </w:rPr>
        <w:t xml:space="preserve"> at p &lt; 0.001 uncorrected. </w:t>
      </w:r>
      <w:r>
        <w:rPr>
          <w:i/>
        </w:rPr>
        <w:t>Middle:</w:t>
      </w:r>
      <w:r w:rsidRPr="009D0045">
        <w:rPr>
          <w:i/>
        </w:rPr>
        <w:t xml:space="preserve"> </w:t>
      </w:r>
      <w:r>
        <w:rPr>
          <w:i/>
        </w:rPr>
        <w:t>G</w:t>
      </w:r>
      <w:r w:rsidRPr="009D0045">
        <w:rPr>
          <w:i/>
        </w:rPr>
        <w:t>rand-average topographic maps from each group</w:t>
      </w:r>
      <w:r>
        <w:rPr>
          <w:i/>
        </w:rPr>
        <w:t xml:space="preserve">; white filled circles show the three electrodes </w:t>
      </w:r>
      <w:r w:rsidRPr="009D0045">
        <w:rPr>
          <w:i/>
        </w:rPr>
        <w:t>with th</w:t>
      </w:r>
      <w:r>
        <w:rPr>
          <w:i/>
        </w:rPr>
        <w:t>e most negative amplitude at 124</w:t>
      </w:r>
      <w:r w:rsidRPr="009D0045">
        <w:rPr>
          <w:i/>
        </w:rPr>
        <w:t>ms</w:t>
      </w:r>
      <w:r>
        <w:rPr>
          <w:i/>
        </w:rPr>
        <w:t xml:space="preserve"> that were averaged to display the waveform</w:t>
      </w:r>
      <w:r w:rsidRPr="009D0045">
        <w:rPr>
          <w:i/>
        </w:rPr>
        <w:t xml:space="preserve">. </w:t>
      </w:r>
      <w:r>
        <w:rPr>
          <w:i/>
        </w:rPr>
        <w:lastRenderedPageBreak/>
        <w:t xml:space="preserve">Right: </w:t>
      </w:r>
      <w:r w:rsidRPr="009D0045">
        <w:rPr>
          <w:i/>
        </w:rPr>
        <w:t>Waveform</w:t>
      </w:r>
      <w:r>
        <w:rPr>
          <w:i/>
        </w:rPr>
        <w:t xml:space="preserve">s with 95% confidence intervals showing the latency at 124ms (black line) and the temporal extent of the SPM sensor-space cluster (grey box). </w:t>
      </w:r>
      <w:r w:rsidRPr="009D0045">
        <w:rPr>
          <w:i/>
        </w:rPr>
        <w:t xml:space="preserve">B) </w:t>
      </w:r>
      <w:r>
        <w:rPr>
          <w:i/>
        </w:rPr>
        <w:t xml:space="preserve">Two representations (jittered dot plot, left; box plot, right) of the activity in the significant sensor-space cluster for each group, side and digit type. </w:t>
      </w:r>
      <w:r w:rsidRPr="009D0045">
        <w:rPr>
          <w:i/>
        </w:rPr>
        <w:t xml:space="preserve">C) Source-space results from the contrasts </w:t>
      </w:r>
      <w:r>
        <w:rPr>
          <w:i/>
        </w:rPr>
        <w:t>N124 a</w:t>
      </w:r>
      <w:r w:rsidRPr="009D0045">
        <w:rPr>
          <w:i/>
        </w:rPr>
        <w:t>ctivity vs. Baseline (</w:t>
      </w:r>
      <w:r>
        <w:rPr>
          <w:i/>
        </w:rPr>
        <w:t>-200ms to 0ms, top</w:t>
      </w:r>
      <w:r w:rsidRPr="009D0045">
        <w:rPr>
          <w:i/>
        </w:rPr>
        <w:t>) and CRPS vs HC group (</w:t>
      </w:r>
      <w:r>
        <w:rPr>
          <w:i/>
        </w:rPr>
        <w:t>bottom</w:t>
      </w:r>
      <w:r w:rsidRPr="009D0045">
        <w:rPr>
          <w:i/>
        </w:rPr>
        <w:t>).</w:t>
      </w:r>
    </w:p>
    <w:p w14:paraId="4328BD9A" w14:textId="793E780E" w:rsidR="00AD5BCD" w:rsidRDefault="00827161">
      <w:r w:rsidRPr="00827161">
        <w:rPr>
          <w:rFonts w:cs="Arial"/>
          <w:noProof/>
          <w:lang w:eastAsia="zh-CN"/>
        </w:rPr>
        <w:drawing>
          <wp:inline distT="0" distB="0" distL="0" distR="0" wp14:anchorId="6C90B183" wp14:editId="05F6D552">
            <wp:extent cx="3943350" cy="2066925"/>
            <wp:effectExtent l="0" t="0" r="0" b="9525"/>
            <wp:docPr id="1" name="Picture 1" descr="C:\Users\Chris\Google Drive\2. Cambridge University\Publications\CRPS EEG\v12\PP figur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Google Drive\2. Cambridge University\Publications\CRPS EEG\v12\PP figures\Fig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066925"/>
                    </a:xfrm>
                    <a:prstGeom prst="rect">
                      <a:avLst/>
                    </a:prstGeom>
                    <a:noFill/>
                    <a:ln>
                      <a:noFill/>
                    </a:ln>
                  </pic:spPr>
                </pic:pic>
              </a:graphicData>
            </a:graphic>
          </wp:inline>
        </w:drawing>
      </w:r>
    </w:p>
    <w:p w14:paraId="13314387" w14:textId="77777777" w:rsidR="004C6664" w:rsidRDefault="004C6664" w:rsidP="004C6664">
      <w:pPr>
        <w:rPr>
          <w:i/>
        </w:rPr>
      </w:pPr>
      <w:r>
        <w:rPr>
          <w:b/>
          <w:i/>
        </w:rPr>
        <w:t>Figure 5</w:t>
      </w:r>
      <w:r w:rsidRPr="009D0045">
        <w:rPr>
          <w:b/>
          <w:i/>
        </w:rPr>
        <w:t>:</w:t>
      </w:r>
      <w:r>
        <w:rPr>
          <w:i/>
        </w:rPr>
        <w:t xml:space="preserve"> Experiment 2 data at 268ms</w:t>
      </w:r>
      <w:r w:rsidRPr="008A2943">
        <w:rPr>
          <w:i/>
        </w:rPr>
        <w:t xml:space="preserve"> </w:t>
      </w:r>
      <w:r>
        <w:rPr>
          <w:i/>
        </w:rPr>
        <w:t>demonstrating a P300-like response but no group effects.</w:t>
      </w:r>
      <w:r w:rsidRPr="009D0045">
        <w:rPr>
          <w:i/>
        </w:rPr>
        <w:t xml:space="preserve"> </w:t>
      </w:r>
      <w:r>
        <w:rPr>
          <w:i/>
        </w:rPr>
        <w:t xml:space="preserve">Left: </w:t>
      </w:r>
      <w:r w:rsidRPr="009D0045">
        <w:rPr>
          <w:i/>
        </w:rPr>
        <w:t>Waveform</w:t>
      </w:r>
      <w:r>
        <w:rPr>
          <w:i/>
        </w:rPr>
        <w:t>s with 95% confidence intervals showing the latency at 268ms (black line) at which the topographic maps are displayed. Right:</w:t>
      </w:r>
      <w:r w:rsidRPr="009D0045">
        <w:rPr>
          <w:i/>
        </w:rPr>
        <w:t xml:space="preserve"> </w:t>
      </w:r>
      <w:r>
        <w:rPr>
          <w:i/>
        </w:rPr>
        <w:t>G</w:t>
      </w:r>
      <w:r w:rsidRPr="009D0045">
        <w:rPr>
          <w:i/>
        </w:rPr>
        <w:t>rand-average topographic maps from each group</w:t>
      </w:r>
      <w:r>
        <w:rPr>
          <w:i/>
        </w:rPr>
        <w:t xml:space="preserve">; white filled circles show the three electrodes </w:t>
      </w:r>
      <w:r w:rsidRPr="009D0045">
        <w:rPr>
          <w:i/>
        </w:rPr>
        <w:t xml:space="preserve">with the most </w:t>
      </w:r>
      <w:r>
        <w:rPr>
          <w:i/>
        </w:rPr>
        <w:t>positive amplitude at 268</w:t>
      </w:r>
      <w:r w:rsidRPr="009D0045">
        <w:rPr>
          <w:i/>
        </w:rPr>
        <w:t>ms</w:t>
      </w:r>
      <w:r>
        <w:rPr>
          <w:i/>
        </w:rPr>
        <w:t xml:space="preserve"> that were averaged to create the waveform. </w:t>
      </w:r>
    </w:p>
    <w:p w14:paraId="36B9DBC7" w14:textId="77777777" w:rsidR="004C6664" w:rsidRPr="00AF6EEE" w:rsidRDefault="004C6664"/>
    <w:p w14:paraId="0CFEA04E" w14:textId="2B2BA070" w:rsidR="00827161" w:rsidRDefault="00827161">
      <w:pPr>
        <w:spacing w:line="240" w:lineRule="auto"/>
      </w:pPr>
      <w:r>
        <w:br w:type="page"/>
      </w:r>
    </w:p>
    <w:p w14:paraId="38081182" w14:textId="77777777" w:rsidR="00827161" w:rsidRDefault="00827161" w:rsidP="00827161"/>
    <w:p w14:paraId="28946811" w14:textId="77777777" w:rsidR="00827161" w:rsidRDefault="00827161" w:rsidP="00827161">
      <w:pPr>
        <w:rPr>
          <w:i/>
        </w:rPr>
      </w:pPr>
      <w:r w:rsidRPr="009D0045">
        <w:rPr>
          <w:b/>
          <w:i/>
        </w:rPr>
        <w:t xml:space="preserve">Table </w:t>
      </w:r>
      <w:r>
        <w:rPr>
          <w:b/>
          <w:i/>
        </w:rPr>
        <w:t>1</w:t>
      </w:r>
      <w:r w:rsidRPr="009D0045">
        <w:rPr>
          <w:i/>
        </w:rPr>
        <w:t xml:space="preserve">: </w:t>
      </w:r>
      <w:r>
        <w:rPr>
          <w:i/>
        </w:rPr>
        <w:t>Non-parametric test statistics for accuracy</w:t>
      </w:r>
    </w:p>
    <w:tbl>
      <w:tblPr>
        <w:tblStyle w:val="PlainTable11"/>
        <w:tblW w:w="8704" w:type="dxa"/>
        <w:tblLook w:val="04A0" w:firstRow="1" w:lastRow="0" w:firstColumn="1" w:lastColumn="0" w:noHBand="0" w:noVBand="1"/>
      </w:tblPr>
      <w:tblGrid>
        <w:gridCol w:w="1587"/>
        <w:gridCol w:w="1810"/>
        <w:gridCol w:w="1492"/>
        <w:gridCol w:w="1943"/>
        <w:gridCol w:w="1872"/>
      </w:tblGrid>
      <w:tr w:rsidR="00827161" w14:paraId="15B61650" w14:textId="77777777" w:rsidTr="00F3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606924B9" w14:textId="77777777" w:rsidR="00827161" w:rsidRPr="00067195" w:rsidRDefault="00827161" w:rsidP="00F3750E">
            <w:pPr>
              <w:jc w:val="center"/>
              <w:rPr>
                <w:i/>
              </w:rPr>
            </w:pPr>
            <w:r w:rsidRPr="00C57F9C">
              <w:rPr>
                <w:i/>
              </w:rPr>
              <w:t>Group / Group effect</w:t>
            </w:r>
          </w:p>
        </w:tc>
        <w:tc>
          <w:tcPr>
            <w:tcW w:w="1810" w:type="dxa"/>
          </w:tcPr>
          <w:p w14:paraId="3CB2B129" w14:textId="77777777" w:rsidR="00827161" w:rsidRPr="00C57F9C" w:rsidRDefault="00827161" w:rsidP="00F3750E">
            <w:pPr>
              <w:jc w:val="center"/>
              <w:cnfStyle w:val="100000000000" w:firstRow="1" w:lastRow="0" w:firstColumn="0" w:lastColumn="0" w:oddVBand="0" w:evenVBand="0" w:oddHBand="0" w:evenHBand="0" w:firstRowFirstColumn="0" w:firstRowLastColumn="0" w:lastRowFirstColumn="0" w:lastRowLastColumn="0"/>
              <w:rPr>
                <w:i/>
              </w:rPr>
            </w:pPr>
            <w:r w:rsidRPr="003B21D6">
              <w:rPr>
                <w:i/>
              </w:rPr>
              <w:t>Condition / Condition effect</w:t>
            </w:r>
          </w:p>
        </w:tc>
        <w:tc>
          <w:tcPr>
            <w:tcW w:w="1492" w:type="dxa"/>
          </w:tcPr>
          <w:p w14:paraId="2E435793" w14:textId="77777777" w:rsidR="00827161" w:rsidRPr="002A3874" w:rsidRDefault="00827161" w:rsidP="00F3750E">
            <w:pPr>
              <w:jc w:val="center"/>
              <w:cnfStyle w:val="100000000000" w:firstRow="1" w:lastRow="0" w:firstColumn="0" w:lastColumn="0" w:oddVBand="0" w:evenVBand="0" w:oddHBand="0" w:evenHBand="0" w:firstRowFirstColumn="0" w:firstRowLastColumn="0" w:lastRowFirstColumn="0" w:lastRowLastColumn="0"/>
              <w:rPr>
                <w:i/>
              </w:rPr>
            </w:pPr>
            <w:r>
              <w:rPr>
                <w:i/>
              </w:rPr>
              <w:t>Z statistic</w:t>
            </w:r>
          </w:p>
        </w:tc>
        <w:tc>
          <w:tcPr>
            <w:tcW w:w="1943" w:type="dxa"/>
          </w:tcPr>
          <w:p w14:paraId="68836888" w14:textId="77777777" w:rsidR="00827161" w:rsidRPr="002A3874" w:rsidRDefault="00827161" w:rsidP="00F3750E">
            <w:pPr>
              <w:jc w:val="center"/>
              <w:cnfStyle w:val="100000000000" w:firstRow="1" w:lastRow="0" w:firstColumn="0" w:lastColumn="0" w:oddVBand="0" w:evenVBand="0" w:oddHBand="0" w:evenHBand="0" w:firstRowFirstColumn="0" w:firstRowLastColumn="0" w:lastRowFirstColumn="0" w:lastRowLastColumn="0"/>
              <w:rPr>
                <w:i/>
              </w:rPr>
            </w:pPr>
            <w:r w:rsidRPr="002A3874">
              <w:rPr>
                <w:i/>
              </w:rPr>
              <w:t>p</w:t>
            </w:r>
          </w:p>
        </w:tc>
        <w:tc>
          <w:tcPr>
            <w:tcW w:w="1872" w:type="dxa"/>
          </w:tcPr>
          <w:p w14:paraId="144E2A36" w14:textId="77777777" w:rsidR="00827161" w:rsidRPr="002A3874" w:rsidRDefault="00827161" w:rsidP="00F3750E">
            <w:pPr>
              <w:jc w:val="center"/>
              <w:cnfStyle w:val="100000000000" w:firstRow="1" w:lastRow="0" w:firstColumn="0" w:lastColumn="0" w:oddVBand="0" w:evenVBand="0" w:oddHBand="0" w:evenHBand="0" w:firstRowFirstColumn="0" w:firstRowLastColumn="0" w:lastRowFirstColumn="0" w:lastRowLastColumn="0"/>
              <w:rPr>
                <w:i/>
              </w:rPr>
            </w:pPr>
            <w:r>
              <w:rPr>
                <w:i/>
              </w:rPr>
              <w:t>Effect size (Z/√N)</w:t>
            </w:r>
          </w:p>
        </w:tc>
      </w:tr>
      <w:tr w:rsidR="00827161" w14:paraId="7129243D" w14:textId="77777777" w:rsidTr="00F3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vMerge w:val="restart"/>
          </w:tcPr>
          <w:p w14:paraId="0582B37D" w14:textId="77777777" w:rsidR="00827161" w:rsidRPr="00C57F9C" w:rsidRDefault="00827161" w:rsidP="00F3750E">
            <w:pPr>
              <w:jc w:val="center"/>
            </w:pPr>
            <w:r w:rsidRPr="00C57F9C">
              <w:t>CRPS &lt; HC</w:t>
            </w:r>
          </w:p>
          <w:p w14:paraId="022C6D46" w14:textId="77777777" w:rsidR="00827161" w:rsidRPr="003B21D6" w:rsidRDefault="00827161" w:rsidP="00F3750E">
            <w:pPr>
              <w:jc w:val="center"/>
            </w:pPr>
            <w:r w:rsidRPr="00C57F9C">
              <w:t>(N = 26)</w:t>
            </w:r>
          </w:p>
        </w:tc>
        <w:tc>
          <w:tcPr>
            <w:tcW w:w="1810" w:type="dxa"/>
          </w:tcPr>
          <w:p w14:paraId="7D68C601" w14:textId="77777777" w:rsidR="00827161" w:rsidRPr="003B21D6" w:rsidRDefault="00827161" w:rsidP="00F3750E">
            <w:pPr>
              <w:jc w:val="center"/>
              <w:cnfStyle w:val="000000100000" w:firstRow="0" w:lastRow="0" w:firstColumn="0" w:lastColumn="0" w:oddVBand="0" w:evenVBand="0" w:oddHBand="1" w:evenHBand="0" w:firstRowFirstColumn="0" w:firstRowLastColumn="0" w:lastRowFirstColumn="0" w:lastRowLastColumn="0"/>
              <w:rPr>
                <w:b/>
                <w:i/>
              </w:rPr>
            </w:pPr>
            <w:r w:rsidRPr="003B21D6">
              <w:rPr>
                <w:b/>
              </w:rPr>
              <w:t>All conditions</w:t>
            </w:r>
          </w:p>
        </w:tc>
        <w:tc>
          <w:tcPr>
            <w:tcW w:w="1492" w:type="dxa"/>
          </w:tcPr>
          <w:p w14:paraId="378121AE" w14:textId="77777777" w:rsidR="00827161" w:rsidRPr="00E6367B" w:rsidRDefault="00827161" w:rsidP="00F3750E">
            <w:pPr>
              <w:jc w:val="center"/>
              <w:cnfStyle w:val="000000100000" w:firstRow="0" w:lastRow="0" w:firstColumn="0" w:lastColumn="0" w:oddVBand="0" w:evenVBand="0" w:oddHBand="1" w:evenHBand="0" w:firstRowFirstColumn="0" w:firstRowLastColumn="0" w:lastRowFirstColumn="0" w:lastRowLastColumn="0"/>
              <w:rPr>
                <w:i/>
              </w:rPr>
            </w:pPr>
            <w:r>
              <w:t>2.28</w:t>
            </w:r>
          </w:p>
        </w:tc>
        <w:tc>
          <w:tcPr>
            <w:tcW w:w="1943" w:type="dxa"/>
          </w:tcPr>
          <w:p w14:paraId="6FF5F0CA" w14:textId="77777777" w:rsidR="00827161" w:rsidRPr="008F2969" w:rsidRDefault="00827161" w:rsidP="00F3750E">
            <w:pPr>
              <w:jc w:val="center"/>
              <w:cnfStyle w:val="000000100000" w:firstRow="0" w:lastRow="0" w:firstColumn="0" w:lastColumn="0" w:oddVBand="0" w:evenVBand="0" w:oddHBand="1" w:evenHBand="0" w:firstRowFirstColumn="0" w:firstRowLastColumn="0" w:lastRowFirstColumn="0" w:lastRowLastColumn="0"/>
            </w:pPr>
            <w:r w:rsidRPr="008F2969">
              <w:t>0.011</w:t>
            </w:r>
            <w:r>
              <w:t>*</w:t>
            </w:r>
          </w:p>
        </w:tc>
        <w:tc>
          <w:tcPr>
            <w:tcW w:w="1872" w:type="dxa"/>
          </w:tcPr>
          <w:p w14:paraId="49237AC1" w14:textId="77777777" w:rsidR="00827161" w:rsidRDefault="00827161" w:rsidP="00F3750E">
            <w:pPr>
              <w:jc w:val="center"/>
              <w:cnfStyle w:val="000000100000" w:firstRow="0" w:lastRow="0" w:firstColumn="0" w:lastColumn="0" w:oddVBand="0" w:evenVBand="0" w:oddHBand="1" w:evenHBand="0" w:firstRowFirstColumn="0" w:firstRowLastColumn="0" w:lastRowFirstColumn="0" w:lastRowLastColumn="0"/>
            </w:pPr>
            <w:r>
              <w:t>0.44</w:t>
            </w:r>
          </w:p>
        </w:tc>
      </w:tr>
      <w:tr w:rsidR="00827161" w14:paraId="64A04716" w14:textId="77777777" w:rsidTr="00F3750E">
        <w:tc>
          <w:tcPr>
            <w:cnfStyle w:val="001000000000" w:firstRow="0" w:lastRow="0" w:firstColumn="1" w:lastColumn="0" w:oddVBand="0" w:evenVBand="0" w:oddHBand="0" w:evenHBand="0" w:firstRowFirstColumn="0" w:firstRowLastColumn="0" w:lastRowFirstColumn="0" w:lastRowLastColumn="0"/>
            <w:tcW w:w="1587" w:type="dxa"/>
            <w:vMerge/>
          </w:tcPr>
          <w:p w14:paraId="5260281A" w14:textId="77777777" w:rsidR="00827161" w:rsidRPr="003B21D6" w:rsidRDefault="00827161" w:rsidP="00F3750E">
            <w:pPr>
              <w:jc w:val="center"/>
            </w:pPr>
          </w:p>
        </w:tc>
        <w:tc>
          <w:tcPr>
            <w:tcW w:w="1810" w:type="dxa"/>
          </w:tcPr>
          <w:p w14:paraId="4DEF55AC" w14:textId="77777777" w:rsidR="00827161" w:rsidRPr="003B21D6" w:rsidRDefault="00827161" w:rsidP="00F3750E">
            <w:pPr>
              <w:jc w:val="center"/>
              <w:cnfStyle w:val="000000000000" w:firstRow="0" w:lastRow="0" w:firstColumn="0" w:lastColumn="0" w:oddVBand="0" w:evenVBand="0" w:oddHBand="0" w:evenHBand="0" w:firstRowFirstColumn="0" w:firstRowLastColumn="0" w:lastRowFirstColumn="0" w:lastRowLastColumn="0"/>
              <w:rPr>
                <w:b/>
                <w:i/>
              </w:rPr>
            </w:pPr>
            <w:r w:rsidRPr="003B21D6">
              <w:rPr>
                <w:b/>
              </w:rPr>
              <w:t xml:space="preserve">Side (unaffected </w:t>
            </w:r>
            <w:r>
              <w:rPr>
                <w:b/>
              </w:rPr>
              <w:t>-</w:t>
            </w:r>
            <w:r w:rsidRPr="003B21D6">
              <w:rPr>
                <w:b/>
              </w:rPr>
              <w:t xml:space="preserve"> affected)</w:t>
            </w:r>
          </w:p>
        </w:tc>
        <w:tc>
          <w:tcPr>
            <w:tcW w:w="1492" w:type="dxa"/>
          </w:tcPr>
          <w:p w14:paraId="71B6745C" w14:textId="77777777" w:rsidR="00827161" w:rsidRPr="00E6367B" w:rsidRDefault="00827161" w:rsidP="00F3750E">
            <w:pPr>
              <w:jc w:val="center"/>
              <w:cnfStyle w:val="000000000000" w:firstRow="0" w:lastRow="0" w:firstColumn="0" w:lastColumn="0" w:oddVBand="0" w:evenVBand="0" w:oddHBand="0" w:evenHBand="0" w:firstRowFirstColumn="0" w:firstRowLastColumn="0" w:lastRowFirstColumn="0" w:lastRowLastColumn="0"/>
              <w:rPr>
                <w:i/>
              </w:rPr>
            </w:pPr>
            <w:r>
              <w:t>1.65</w:t>
            </w:r>
          </w:p>
        </w:tc>
        <w:tc>
          <w:tcPr>
            <w:tcW w:w="1943" w:type="dxa"/>
          </w:tcPr>
          <w:p w14:paraId="7F9AD532" w14:textId="77777777" w:rsidR="00827161" w:rsidRPr="008F2969" w:rsidRDefault="00827161" w:rsidP="00F3750E">
            <w:pPr>
              <w:jc w:val="center"/>
              <w:cnfStyle w:val="000000000000" w:firstRow="0" w:lastRow="0" w:firstColumn="0" w:lastColumn="0" w:oddVBand="0" w:evenVBand="0" w:oddHBand="0" w:evenHBand="0" w:firstRowFirstColumn="0" w:firstRowLastColumn="0" w:lastRowFirstColumn="0" w:lastRowLastColumn="0"/>
            </w:pPr>
            <w:r w:rsidRPr="008F2969">
              <w:t>0.</w:t>
            </w:r>
            <w:r>
              <w:t>055</w:t>
            </w:r>
          </w:p>
        </w:tc>
        <w:tc>
          <w:tcPr>
            <w:tcW w:w="1872" w:type="dxa"/>
          </w:tcPr>
          <w:p w14:paraId="71F1CF07" w14:textId="77777777" w:rsidR="00827161" w:rsidRDefault="00827161" w:rsidP="00F3750E">
            <w:pPr>
              <w:jc w:val="center"/>
              <w:cnfStyle w:val="000000000000" w:firstRow="0" w:lastRow="0" w:firstColumn="0" w:lastColumn="0" w:oddVBand="0" w:evenVBand="0" w:oddHBand="0" w:evenHBand="0" w:firstRowFirstColumn="0" w:firstRowLastColumn="0" w:lastRowFirstColumn="0" w:lastRowLastColumn="0"/>
            </w:pPr>
            <w:r>
              <w:t>0.32</w:t>
            </w:r>
          </w:p>
        </w:tc>
      </w:tr>
      <w:tr w:rsidR="00827161" w14:paraId="6BD743F0" w14:textId="77777777" w:rsidTr="00F3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vMerge/>
          </w:tcPr>
          <w:p w14:paraId="73D40775" w14:textId="77777777" w:rsidR="00827161" w:rsidRPr="003B21D6" w:rsidRDefault="00827161" w:rsidP="00F3750E">
            <w:pPr>
              <w:jc w:val="center"/>
            </w:pPr>
          </w:p>
        </w:tc>
        <w:tc>
          <w:tcPr>
            <w:tcW w:w="1810" w:type="dxa"/>
          </w:tcPr>
          <w:p w14:paraId="282F05FF" w14:textId="77777777" w:rsidR="00827161" w:rsidRPr="003B21D6" w:rsidRDefault="00827161" w:rsidP="00F3750E">
            <w:pPr>
              <w:jc w:val="center"/>
              <w:cnfStyle w:val="000000100000" w:firstRow="0" w:lastRow="0" w:firstColumn="0" w:lastColumn="0" w:oddVBand="0" w:evenVBand="0" w:oddHBand="1" w:evenHBand="0" w:firstRowFirstColumn="0" w:firstRowLastColumn="0" w:lastRowFirstColumn="0" w:lastRowLastColumn="0"/>
              <w:rPr>
                <w:b/>
                <w:i/>
              </w:rPr>
            </w:pPr>
            <w:r w:rsidRPr="003B21D6">
              <w:rPr>
                <w:b/>
              </w:rPr>
              <w:t xml:space="preserve">Digit Type (rare </w:t>
            </w:r>
            <w:r>
              <w:rPr>
                <w:b/>
              </w:rPr>
              <w:t>-</w:t>
            </w:r>
            <w:r w:rsidRPr="003B21D6">
              <w:rPr>
                <w:b/>
              </w:rPr>
              <w:t xml:space="preserve"> frequent)</w:t>
            </w:r>
          </w:p>
        </w:tc>
        <w:tc>
          <w:tcPr>
            <w:tcW w:w="1492" w:type="dxa"/>
          </w:tcPr>
          <w:p w14:paraId="2F05D018" w14:textId="77777777" w:rsidR="00827161" w:rsidRPr="00E6367B" w:rsidRDefault="00827161" w:rsidP="00F3750E">
            <w:pPr>
              <w:jc w:val="center"/>
              <w:cnfStyle w:val="000000100000" w:firstRow="0" w:lastRow="0" w:firstColumn="0" w:lastColumn="0" w:oddVBand="0" w:evenVBand="0" w:oddHBand="1" w:evenHBand="0" w:firstRowFirstColumn="0" w:firstRowLastColumn="0" w:lastRowFirstColumn="0" w:lastRowLastColumn="0"/>
              <w:rPr>
                <w:i/>
              </w:rPr>
            </w:pPr>
            <w:r>
              <w:t>1.65</w:t>
            </w:r>
          </w:p>
        </w:tc>
        <w:tc>
          <w:tcPr>
            <w:tcW w:w="1943" w:type="dxa"/>
          </w:tcPr>
          <w:p w14:paraId="0D0CF500" w14:textId="77777777" w:rsidR="00827161" w:rsidRPr="008F2969" w:rsidRDefault="00827161" w:rsidP="00F3750E">
            <w:pPr>
              <w:jc w:val="center"/>
              <w:cnfStyle w:val="000000100000" w:firstRow="0" w:lastRow="0" w:firstColumn="0" w:lastColumn="0" w:oddVBand="0" w:evenVBand="0" w:oddHBand="1" w:evenHBand="0" w:firstRowFirstColumn="0" w:firstRowLastColumn="0" w:lastRowFirstColumn="0" w:lastRowLastColumn="0"/>
            </w:pPr>
            <w:r w:rsidRPr="008F2969">
              <w:t>0.</w:t>
            </w:r>
            <w:r>
              <w:t>055</w:t>
            </w:r>
          </w:p>
        </w:tc>
        <w:tc>
          <w:tcPr>
            <w:tcW w:w="1872" w:type="dxa"/>
          </w:tcPr>
          <w:p w14:paraId="451FB107" w14:textId="77777777" w:rsidR="00827161" w:rsidRDefault="00827161" w:rsidP="00F3750E">
            <w:pPr>
              <w:jc w:val="center"/>
              <w:cnfStyle w:val="000000100000" w:firstRow="0" w:lastRow="0" w:firstColumn="0" w:lastColumn="0" w:oddVBand="0" w:evenVBand="0" w:oddHBand="1" w:evenHBand="0" w:firstRowFirstColumn="0" w:firstRowLastColumn="0" w:lastRowFirstColumn="0" w:lastRowLastColumn="0"/>
            </w:pPr>
            <w:r>
              <w:t>0.32</w:t>
            </w:r>
          </w:p>
        </w:tc>
      </w:tr>
      <w:tr w:rsidR="00827161" w14:paraId="13612D5C" w14:textId="77777777" w:rsidTr="00F3750E">
        <w:tc>
          <w:tcPr>
            <w:cnfStyle w:val="001000000000" w:firstRow="0" w:lastRow="0" w:firstColumn="1" w:lastColumn="0" w:oddVBand="0" w:evenVBand="0" w:oddHBand="0" w:evenHBand="0" w:firstRowFirstColumn="0" w:firstRowLastColumn="0" w:lastRowFirstColumn="0" w:lastRowLastColumn="0"/>
            <w:tcW w:w="1587" w:type="dxa"/>
          </w:tcPr>
          <w:p w14:paraId="3C564BB1" w14:textId="77777777" w:rsidR="00827161" w:rsidRPr="003B21D6" w:rsidRDefault="00827161" w:rsidP="00F3750E">
            <w:pPr>
              <w:jc w:val="center"/>
            </w:pPr>
            <w:r w:rsidRPr="003B21D6">
              <w:t>CRPS &amp; HC</w:t>
            </w:r>
          </w:p>
          <w:p w14:paraId="55A2A8BB" w14:textId="77777777" w:rsidR="00827161" w:rsidRPr="003B21D6" w:rsidRDefault="00827161" w:rsidP="00F3750E">
            <w:pPr>
              <w:jc w:val="center"/>
            </w:pPr>
            <w:r w:rsidRPr="003B21D6">
              <w:t>(N = 26)</w:t>
            </w:r>
          </w:p>
        </w:tc>
        <w:tc>
          <w:tcPr>
            <w:tcW w:w="1810" w:type="dxa"/>
          </w:tcPr>
          <w:p w14:paraId="5C2FE932" w14:textId="77777777" w:rsidR="00827161" w:rsidRPr="003B21D6" w:rsidRDefault="00827161" w:rsidP="00F3750E">
            <w:pPr>
              <w:jc w:val="center"/>
              <w:cnfStyle w:val="000000000000" w:firstRow="0" w:lastRow="0" w:firstColumn="0" w:lastColumn="0" w:oddVBand="0" w:evenVBand="0" w:oddHBand="0" w:evenHBand="0" w:firstRowFirstColumn="0" w:firstRowLastColumn="0" w:lastRowFirstColumn="0" w:lastRowLastColumn="0"/>
              <w:rPr>
                <w:b/>
                <w:i/>
              </w:rPr>
            </w:pPr>
            <w:r w:rsidRPr="003B21D6">
              <w:rPr>
                <w:b/>
              </w:rPr>
              <w:t>Side (affected &lt; unaffected)</w:t>
            </w:r>
          </w:p>
        </w:tc>
        <w:tc>
          <w:tcPr>
            <w:tcW w:w="1492" w:type="dxa"/>
          </w:tcPr>
          <w:p w14:paraId="35120625" w14:textId="77777777" w:rsidR="00827161" w:rsidRDefault="00827161" w:rsidP="00F3750E">
            <w:pPr>
              <w:jc w:val="center"/>
              <w:cnfStyle w:val="000000000000" w:firstRow="0" w:lastRow="0" w:firstColumn="0" w:lastColumn="0" w:oddVBand="0" w:evenVBand="0" w:oddHBand="0" w:evenHBand="0" w:firstRowFirstColumn="0" w:firstRowLastColumn="0" w:lastRowFirstColumn="0" w:lastRowLastColumn="0"/>
            </w:pPr>
            <w:r>
              <w:t>2.65</w:t>
            </w:r>
          </w:p>
        </w:tc>
        <w:tc>
          <w:tcPr>
            <w:tcW w:w="1943" w:type="dxa"/>
          </w:tcPr>
          <w:p w14:paraId="0F829143" w14:textId="77777777" w:rsidR="00827161" w:rsidRPr="008F2969" w:rsidRDefault="00827161" w:rsidP="00F3750E">
            <w:pPr>
              <w:jc w:val="center"/>
              <w:cnfStyle w:val="000000000000" w:firstRow="0" w:lastRow="0" w:firstColumn="0" w:lastColumn="0" w:oddVBand="0" w:evenVBand="0" w:oddHBand="0" w:evenHBand="0" w:firstRowFirstColumn="0" w:firstRowLastColumn="0" w:lastRowFirstColumn="0" w:lastRowLastColumn="0"/>
            </w:pPr>
            <w:r>
              <w:t>0.004*</w:t>
            </w:r>
          </w:p>
        </w:tc>
        <w:tc>
          <w:tcPr>
            <w:tcW w:w="1872" w:type="dxa"/>
          </w:tcPr>
          <w:p w14:paraId="1F0B6652" w14:textId="77777777" w:rsidR="00827161" w:rsidRDefault="00827161" w:rsidP="00F3750E">
            <w:pPr>
              <w:jc w:val="center"/>
              <w:cnfStyle w:val="000000000000" w:firstRow="0" w:lastRow="0" w:firstColumn="0" w:lastColumn="0" w:oddVBand="0" w:evenVBand="0" w:oddHBand="0" w:evenHBand="0" w:firstRowFirstColumn="0" w:firstRowLastColumn="0" w:lastRowFirstColumn="0" w:lastRowLastColumn="0"/>
            </w:pPr>
            <w:r>
              <w:t>0.52</w:t>
            </w:r>
          </w:p>
        </w:tc>
      </w:tr>
      <w:tr w:rsidR="00827161" w14:paraId="5588BE33" w14:textId="77777777" w:rsidTr="00F3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1215E689" w14:textId="77777777" w:rsidR="00827161" w:rsidRPr="003B21D6" w:rsidRDefault="00827161" w:rsidP="00F3750E">
            <w:pPr>
              <w:jc w:val="center"/>
            </w:pPr>
            <w:r w:rsidRPr="003B21D6">
              <w:t>CRPS &amp; HC</w:t>
            </w:r>
          </w:p>
          <w:p w14:paraId="6D39CD84" w14:textId="77777777" w:rsidR="00827161" w:rsidRPr="003B21D6" w:rsidRDefault="00827161" w:rsidP="00F3750E">
            <w:pPr>
              <w:jc w:val="center"/>
            </w:pPr>
            <w:r w:rsidRPr="003B21D6">
              <w:t>(N = 26)</w:t>
            </w:r>
          </w:p>
        </w:tc>
        <w:tc>
          <w:tcPr>
            <w:tcW w:w="1810" w:type="dxa"/>
          </w:tcPr>
          <w:p w14:paraId="5D8E202F" w14:textId="77777777" w:rsidR="00827161" w:rsidRPr="003B21D6" w:rsidRDefault="00827161" w:rsidP="00F3750E">
            <w:pPr>
              <w:jc w:val="center"/>
              <w:cnfStyle w:val="000000100000" w:firstRow="0" w:lastRow="0" w:firstColumn="0" w:lastColumn="0" w:oddVBand="0" w:evenVBand="0" w:oddHBand="1" w:evenHBand="0" w:firstRowFirstColumn="0" w:firstRowLastColumn="0" w:lastRowFirstColumn="0" w:lastRowLastColumn="0"/>
              <w:rPr>
                <w:b/>
                <w:i/>
              </w:rPr>
            </w:pPr>
            <w:r w:rsidRPr="003B21D6">
              <w:rPr>
                <w:b/>
              </w:rPr>
              <w:t xml:space="preserve">Digit Type </w:t>
            </w:r>
            <w:r w:rsidRPr="006A2C44">
              <w:rPr>
                <w:b/>
              </w:rPr>
              <w:t xml:space="preserve">(rare </w:t>
            </w:r>
            <w:r>
              <w:rPr>
                <w:b/>
              </w:rPr>
              <w:t>-</w:t>
            </w:r>
            <w:r w:rsidRPr="006A2C44">
              <w:rPr>
                <w:b/>
              </w:rPr>
              <w:t xml:space="preserve"> frequent)</w:t>
            </w:r>
          </w:p>
        </w:tc>
        <w:tc>
          <w:tcPr>
            <w:tcW w:w="1492" w:type="dxa"/>
          </w:tcPr>
          <w:p w14:paraId="3075A62F" w14:textId="77777777" w:rsidR="00827161" w:rsidRPr="00E6367B" w:rsidRDefault="00827161" w:rsidP="00F3750E">
            <w:pPr>
              <w:jc w:val="center"/>
              <w:cnfStyle w:val="000000100000" w:firstRow="0" w:lastRow="0" w:firstColumn="0" w:lastColumn="0" w:oddVBand="0" w:evenVBand="0" w:oddHBand="1" w:evenHBand="0" w:firstRowFirstColumn="0" w:firstRowLastColumn="0" w:lastRowFirstColumn="0" w:lastRowLastColumn="0"/>
              <w:rPr>
                <w:i/>
              </w:rPr>
            </w:pPr>
            <w:r>
              <w:t>3.19</w:t>
            </w:r>
          </w:p>
        </w:tc>
        <w:tc>
          <w:tcPr>
            <w:tcW w:w="1943" w:type="dxa"/>
          </w:tcPr>
          <w:p w14:paraId="2C751D43" w14:textId="77777777" w:rsidR="00827161" w:rsidRDefault="00827161" w:rsidP="00F3750E">
            <w:pPr>
              <w:jc w:val="center"/>
              <w:cnfStyle w:val="000000100000" w:firstRow="0" w:lastRow="0" w:firstColumn="0" w:lastColumn="0" w:oddVBand="0" w:evenVBand="0" w:oddHBand="1" w:evenHBand="0" w:firstRowFirstColumn="0" w:firstRowLastColumn="0" w:lastRowFirstColumn="0" w:lastRowLastColumn="0"/>
            </w:pPr>
            <w:r>
              <w:t>&lt;0.001*</w:t>
            </w:r>
          </w:p>
        </w:tc>
        <w:tc>
          <w:tcPr>
            <w:tcW w:w="1872" w:type="dxa"/>
          </w:tcPr>
          <w:p w14:paraId="23F0520F" w14:textId="77777777" w:rsidR="00827161" w:rsidRDefault="00827161" w:rsidP="00F3750E">
            <w:pPr>
              <w:jc w:val="center"/>
              <w:cnfStyle w:val="000000100000" w:firstRow="0" w:lastRow="0" w:firstColumn="0" w:lastColumn="0" w:oddVBand="0" w:evenVBand="0" w:oddHBand="1" w:evenHBand="0" w:firstRowFirstColumn="0" w:firstRowLastColumn="0" w:lastRowFirstColumn="0" w:lastRowLastColumn="0"/>
            </w:pPr>
            <w:r>
              <w:t>0.63</w:t>
            </w:r>
          </w:p>
        </w:tc>
      </w:tr>
    </w:tbl>
    <w:p w14:paraId="79F57F91" w14:textId="77777777" w:rsidR="00827161" w:rsidRPr="009D0045" w:rsidRDefault="00827161" w:rsidP="00827161">
      <w:pPr>
        <w:rPr>
          <w:i/>
        </w:rPr>
      </w:pPr>
      <w:r>
        <w:t xml:space="preserve">One-tailed uncorrected </w:t>
      </w:r>
      <w:r w:rsidRPr="006A2C44">
        <w:rPr>
          <w:i/>
        </w:rPr>
        <w:t>p</w:t>
      </w:r>
      <w:r>
        <w:t xml:space="preserve"> values shown; * indicates significant after Bonferroni correction; &amp; indicates pooled data, &lt; or &gt; indicates a statistical contrast, - indicates subtraction of </w:t>
      </w:r>
      <w:proofErr w:type="spellStart"/>
      <w:r>
        <w:t>meaned</w:t>
      </w:r>
      <w:proofErr w:type="spellEnd"/>
      <w:r>
        <w:t xml:space="preserve"> data.</w:t>
      </w:r>
    </w:p>
    <w:p w14:paraId="5A2BE419" w14:textId="77777777" w:rsidR="00827161" w:rsidRDefault="00827161" w:rsidP="00827161"/>
    <w:p w14:paraId="60DA67D3" w14:textId="77777777" w:rsidR="00827161" w:rsidRDefault="00827161" w:rsidP="00827161"/>
    <w:p w14:paraId="43B6AAA0" w14:textId="28CE55DA" w:rsidR="00827161" w:rsidRDefault="00827161">
      <w:pPr>
        <w:spacing w:line="240" w:lineRule="auto"/>
      </w:pPr>
      <w:r>
        <w:br w:type="page"/>
      </w:r>
    </w:p>
    <w:p w14:paraId="0D8E06FC" w14:textId="77777777" w:rsidR="00827161" w:rsidRDefault="00827161" w:rsidP="00827161">
      <w:pPr>
        <w:rPr>
          <w:i/>
        </w:rPr>
      </w:pPr>
      <w:r>
        <w:rPr>
          <w:b/>
          <w:i/>
        </w:rPr>
        <w:lastRenderedPageBreak/>
        <w:t>Table 2</w:t>
      </w:r>
      <w:r>
        <w:rPr>
          <w:i/>
        </w:rPr>
        <w:t>: Non-parametric test statistics for response time</w:t>
      </w:r>
    </w:p>
    <w:tbl>
      <w:tblPr>
        <w:tblStyle w:val="PlainTable11"/>
        <w:tblW w:w="8704" w:type="dxa"/>
        <w:tblLook w:val="04A0" w:firstRow="1" w:lastRow="0" w:firstColumn="1" w:lastColumn="0" w:noHBand="0" w:noVBand="1"/>
      </w:tblPr>
      <w:tblGrid>
        <w:gridCol w:w="1587"/>
        <w:gridCol w:w="1810"/>
        <w:gridCol w:w="1492"/>
        <w:gridCol w:w="1943"/>
        <w:gridCol w:w="1872"/>
      </w:tblGrid>
      <w:tr w:rsidR="00827161" w14:paraId="30D87580" w14:textId="77777777" w:rsidTr="0082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EB835" w14:textId="77777777" w:rsidR="00827161" w:rsidRDefault="00827161">
            <w:pPr>
              <w:jc w:val="center"/>
              <w:rPr>
                <w:i/>
              </w:rPr>
            </w:pPr>
            <w:r>
              <w:rPr>
                <w:i/>
              </w:rPr>
              <w:t>Group / Group effect</w:t>
            </w:r>
          </w:p>
        </w:tc>
        <w:tc>
          <w:tcPr>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DD87BE" w14:textId="77777777" w:rsidR="00827161" w:rsidRDefault="00827161">
            <w:pPr>
              <w:jc w:val="center"/>
              <w:cnfStyle w:val="100000000000" w:firstRow="1" w:lastRow="0" w:firstColumn="0" w:lastColumn="0" w:oddVBand="0" w:evenVBand="0" w:oddHBand="0" w:evenHBand="0" w:firstRowFirstColumn="0" w:firstRowLastColumn="0" w:lastRowFirstColumn="0" w:lastRowLastColumn="0"/>
              <w:rPr>
                <w:i/>
              </w:rPr>
            </w:pPr>
            <w:r>
              <w:rPr>
                <w:i/>
              </w:rPr>
              <w:t>Condition / Condition effect</w:t>
            </w:r>
          </w:p>
        </w:tc>
        <w:tc>
          <w:tcPr>
            <w:tcW w:w="1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AD7098" w14:textId="77777777" w:rsidR="00827161" w:rsidRDefault="00827161">
            <w:pPr>
              <w:jc w:val="center"/>
              <w:cnfStyle w:val="100000000000" w:firstRow="1" w:lastRow="0" w:firstColumn="0" w:lastColumn="0" w:oddVBand="0" w:evenVBand="0" w:oddHBand="0" w:evenHBand="0" w:firstRowFirstColumn="0" w:firstRowLastColumn="0" w:lastRowFirstColumn="0" w:lastRowLastColumn="0"/>
              <w:rPr>
                <w:i/>
              </w:rPr>
            </w:pPr>
            <w:r>
              <w:rPr>
                <w:i/>
              </w:rPr>
              <w:t>Z statistic</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C558B3" w14:textId="77777777" w:rsidR="00827161" w:rsidRDefault="00827161">
            <w:pPr>
              <w:jc w:val="center"/>
              <w:cnfStyle w:val="100000000000" w:firstRow="1" w:lastRow="0" w:firstColumn="0" w:lastColumn="0" w:oddVBand="0" w:evenVBand="0" w:oddHBand="0" w:evenHBand="0" w:firstRowFirstColumn="0" w:firstRowLastColumn="0" w:lastRowFirstColumn="0" w:lastRowLastColumn="0"/>
              <w:rPr>
                <w:i/>
              </w:rPr>
            </w:pPr>
            <w:r>
              <w:rPr>
                <w:i/>
              </w:rPr>
              <w:t>p</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E8B0EF" w14:textId="77777777" w:rsidR="00827161" w:rsidRDefault="00827161">
            <w:pPr>
              <w:jc w:val="center"/>
              <w:cnfStyle w:val="100000000000" w:firstRow="1" w:lastRow="0" w:firstColumn="0" w:lastColumn="0" w:oddVBand="0" w:evenVBand="0" w:oddHBand="0" w:evenHBand="0" w:firstRowFirstColumn="0" w:firstRowLastColumn="0" w:lastRowFirstColumn="0" w:lastRowLastColumn="0"/>
              <w:rPr>
                <w:i/>
              </w:rPr>
            </w:pPr>
            <w:r>
              <w:rPr>
                <w:i/>
              </w:rPr>
              <w:t>Effect size (Z/√N)</w:t>
            </w:r>
          </w:p>
        </w:tc>
      </w:tr>
      <w:tr w:rsidR="00827161" w14:paraId="5AB120DC" w14:textId="77777777" w:rsidTr="008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207D92" w14:textId="77777777" w:rsidR="00827161" w:rsidRDefault="00827161">
            <w:pPr>
              <w:jc w:val="center"/>
            </w:pPr>
            <w:r>
              <w:t>CRPS &lt; HC</w:t>
            </w:r>
          </w:p>
          <w:p w14:paraId="287E5495" w14:textId="77777777" w:rsidR="00827161" w:rsidRDefault="00827161">
            <w:pPr>
              <w:jc w:val="center"/>
            </w:pPr>
            <w:r>
              <w:t>(N = 26)</w:t>
            </w:r>
          </w:p>
        </w:tc>
        <w:tc>
          <w:tcPr>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FAC6D"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rPr>
                <w:b/>
                <w:i/>
              </w:rPr>
            </w:pPr>
            <w:r>
              <w:rPr>
                <w:b/>
              </w:rPr>
              <w:t>All conditions</w:t>
            </w:r>
          </w:p>
        </w:tc>
        <w:tc>
          <w:tcPr>
            <w:tcW w:w="1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69255"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rPr>
                <w:i/>
              </w:rPr>
            </w:pPr>
            <w:r>
              <w:t>2.54</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28C4B0"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0.005*</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0E4670"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0.50</w:t>
            </w:r>
          </w:p>
        </w:tc>
      </w:tr>
      <w:tr w:rsidR="00827161" w14:paraId="5E59F719" w14:textId="77777777" w:rsidTr="0082716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468085" w14:textId="77777777" w:rsidR="00827161" w:rsidRDefault="00827161">
            <w:pPr>
              <w:spacing w:line="240" w:lineRule="auto"/>
            </w:pPr>
          </w:p>
        </w:tc>
        <w:tc>
          <w:tcPr>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BD5E09"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rPr>
                <w:b/>
                <w:i/>
              </w:rPr>
            </w:pPr>
            <w:r>
              <w:rPr>
                <w:b/>
              </w:rPr>
              <w:t>Side (unaffected - affected)</w:t>
            </w:r>
          </w:p>
        </w:tc>
        <w:tc>
          <w:tcPr>
            <w:tcW w:w="1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D5271"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rPr>
                <w:i/>
              </w:rPr>
            </w:pPr>
            <w:r>
              <w:t>2.85</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E0845B"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pPr>
            <w:r>
              <w:t>0.002*</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425F98"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pPr>
            <w:r>
              <w:t>0.56</w:t>
            </w:r>
          </w:p>
        </w:tc>
      </w:tr>
      <w:tr w:rsidR="00827161" w14:paraId="57156109" w14:textId="77777777" w:rsidTr="008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6972B8" w14:textId="77777777" w:rsidR="00827161" w:rsidRDefault="00827161">
            <w:pPr>
              <w:spacing w:line="240" w:lineRule="auto"/>
            </w:pPr>
          </w:p>
        </w:tc>
        <w:tc>
          <w:tcPr>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62C141"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rPr>
                <w:b/>
                <w:i/>
              </w:rPr>
            </w:pPr>
            <w:r>
              <w:rPr>
                <w:b/>
              </w:rPr>
              <w:t>Digit Type (rare - frequent)</w:t>
            </w:r>
          </w:p>
        </w:tc>
        <w:tc>
          <w:tcPr>
            <w:tcW w:w="1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9CAE3C"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rPr>
                <w:i/>
              </w:rPr>
            </w:pPr>
            <w:r>
              <w:t>2.33</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5028C"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0.010*</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F8B08"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0.46</w:t>
            </w:r>
          </w:p>
        </w:tc>
      </w:tr>
      <w:tr w:rsidR="00827161" w14:paraId="7A6D8EE7" w14:textId="77777777" w:rsidTr="00827161">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3879C6" w14:textId="77777777" w:rsidR="00827161" w:rsidRDefault="00827161">
            <w:pPr>
              <w:jc w:val="center"/>
            </w:pPr>
            <w:r>
              <w:t>CRPS &amp; HC</w:t>
            </w:r>
          </w:p>
          <w:p w14:paraId="13A4832A" w14:textId="77777777" w:rsidR="00827161" w:rsidRDefault="00827161">
            <w:pPr>
              <w:jc w:val="center"/>
            </w:pPr>
            <w:r>
              <w:t>(N = 26)</w:t>
            </w:r>
          </w:p>
        </w:tc>
        <w:tc>
          <w:tcPr>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89AC1"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rPr>
                <w:b/>
                <w:i/>
              </w:rPr>
            </w:pPr>
            <w:r>
              <w:rPr>
                <w:b/>
              </w:rPr>
              <w:t>Side (affected &lt; unaffected)</w:t>
            </w:r>
          </w:p>
        </w:tc>
        <w:tc>
          <w:tcPr>
            <w:tcW w:w="1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65B64D"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pPr>
            <w:r>
              <w:t>1.41</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0FA029"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pPr>
            <w:r>
              <w:t>0.080</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8005DB" w14:textId="77777777" w:rsidR="00827161" w:rsidRDefault="00827161">
            <w:pPr>
              <w:jc w:val="center"/>
              <w:cnfStyle w:val="000000000000" w:firstRow="0" w:lastRow="0" w:firstColumn="0" w:lastColumn="0" w:oddVBand="0" w:evenVBand="0" w:oddHBand="0" w:evenHBand="0" w:firstRowFirstColumn="0" w:firstRowLastColumn="0" w:lastRowFirstColumn="0" w:lastRowLastColumn="0"/>
            </w:pPr>
            <w:r>
              <w:t>0.28</w:t>
            </w:r>
          </w:p>
        </w:tc>
      </w:tr>
      <w:tr w:rsidR="00827161" w14:paraId="68971779" w14:textId="77777777" w:rsidTr="00827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1026EF" w14:textId="77777777" w:rsidR="00827161" w:rsidRDefault="00827161">
            <w:pPr>
              <w:jc w:val="center"/>
            </w:pPr>
            <w:r>
              <w:t>CRPS &amp; HC</w:t>
            </w:r>
          </w:p>
          <w:p w14:paraId="7EB271C4" w14:textId="77777777" w:rsidR="00827161" w:rsidRDefault="00827161">
            <w:pPr>
              <w:jc w:val="center"/>
            </w:pPr>
            <w:r>
              <w:t>(N = 26)</w:t>
            </w:r>
          </w:p>
        </w:tc>
        <w:tc>
          <w:tcPr>
            <w:tcW w:w="1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C36F54"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rPr>
                <w:b/>
                <w:i/>
              </w:rPr>
            </w:pPr>
            <w:r>
              <w:rPr>
                <w:b/>
              </w:rPr>
              <w:t>Digit Type (rare &lt; frequent)</w:t>
            </w:r>
          </w:p>
        </w:tc>
        <w:tc>
          <w:tcPr>
            <w:tcW w:w="14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92BE8F"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4.43</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5401"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&lt;0.001*</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4A552" w14:textId="77777777" w:rsidR="00827161" w:rsidRDefault="00827161">
            <w:pPr>
              <w:jc w:val="center"/>
              <w:cnfStyle w:val="000000100000" w:firstRow="0" w:lastRow="0" w:firstColumn="0" w:lastColumn="0" w:oddVBand="0" w:evenVBand="0" w:oddHBand="1" w:evenHBand="0" w:firstRowFirstColumn="0" w:firstRowLastColumn="0" w:lastRowFirstColumn="0" w:lastRowLastColumn="0"/>
            </w:pPr>
            <w:r>
              <w:t>0.89</w:t>
            </w:r>
          </w:p>
        </w:tc>
      </w:tr>
    </w:tbl>
    <w:p w14:paraId="076C7140" w14:textId="77777777" w:rsidR="00827161" w:rsidRDefault="00827161" w:rsidP="00827161">
      <w:pPr>
        <w:rPr>
          <w:i/>
        </w:rPr>
      </w:pPr>
    </w:p>
    <w:p w14:paraId="66415421" w14:textId="77777777" w:rsidR="00827161" w:rsidRDefault="00827161" w:rsidP="00827161">
      <w:r>
        <w:t xml:space="preserve">One-tailed uncorrected </w:t>
      </w:r>
      <w:r>
        <w:rPr>
          <w:i/>
        </w:rPr>
        <w:t>p</w:t>
      </w:r>
      <w:r>
        <w:t xml:space="preserve"> values shown; * indicates significant after Bonferroni correction; &amp; indicates pooled data, &lt; or &gt; indicates a statistical contrast, - indicates subtraction of </w:t>
      </w:r>
      <w:proofErr w:type="spellStart"/>
      <w:r>
        <w:t>meaned</w:t>
      </w:r>
      <w:proofErr w:type="spellEnd"/>
      <w:r>
        <w:t xml:space="preserve"> data.</w:t>
      </w:r>
    </w:p>
    <w:p w14:paraId="73455272" w14:textId="77777777" w:rsidR="00827161" w:rsidRDefault="00827161" w:rsidP="00827161"/>
    <w:p w14:paraId="4578E529" w14:textId="77777777" w:rsidR="00827161" w:rsidRDefault="00827161" w:rsidP="00827161"/>
    <w:p w14:paraId="0EC060CB" w14:textId="43282552" w:rsidR="002D505A" w:rsidRDefault="002D505A">
      <w:pPr>
        <w:spacing w:line="240" w:lineRule="auto"/>
      </w:pPr>
      <w:r>
        <w:br w:type="page"/>
      </w:r>
    </w:p>
    <w:p w14:paraId="571B8716" w14:textId="77777777" w:rsidR="002D505A" w:rsidRDefault="002D505A" w:rsidP="002D505A">
      <w:pPr>
        <w:rPr>
          <w:i/>
        </w:rPr>
      </w:pPr>
      <w:r>
        <w:rPr>
          <w:b/>
          <w:i/>
        </w:rPr>
        <w:lastRenderedPageBreak/>
        <w:t>Table 3:</w:t>
      </w:r>
      <w:r>
        <w:rPr>
          <w:i/>
        </w:rPr>
        <w:t xml:space="preserve"> Sensor-space results from the Group effect contrast</w:t>
      </w:r>
    </w:p>
    <w:tbl>
      <w:tblPr>
        <w:tblStyle w:val="PlainTable11"/>
        <w:tblW w:w="5000" w:type="pct"/>
        <w:tblLook w:val="04A0" w:firstRow="1" w:lastRow="0" w:firstColumn="1" w:lastColumn="0" w:noHBand="0" w:noVBand="1"/>
      </w:tblPr>
      <w:tblGrid>
        <w:gridCol w:w="1766"/>
        <w:gridCol w:w="1502"/>
        <w:gridCol w:w="1089"/>
        <w:gridCol w:w="1089"/>
        <w:gridCol w:w="954"/>
        <w:gridCol w:w="1309"/>
        <w:gridCol w:w="1307"/>
      </w:tblGrid>
      <w:tr w:rsidR="002D505A" w14:paraId="30E0354C" w14:textId="77777777" w:rsidTr="002D505A">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1A38DA" w14:textId="77777777" w:rsidR="002D505A" w:rsidRDefault="002D505A">
            <w:pPr>
              <w:rPr>
                <w:rFonts w:ascii="Arial" w:hAnsi="Arial" w:cs="Arial"/>
                <w:color w:val="FF0000"/>
                <w:sz w:val="20"/>
                <w:szCs w:val="20"/>
              </w:rPr>
            </w:pPr>
            <w:r>
              <w:rPr>
                <w:rFonts w:ascii="Arial" w:hAnsi="Arial" w:cs="Arial"/>
                <w:color w:val="FF0000"/>
                <w:sz w:val="20"/>
                <w:szCs w:val="20"/>
              </w:rPr>
              <w:t> </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3D637"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Spatial coordinates</w:t>
            </w:r>
          </w:p>
          <w:p w14:paraId="793DDFB5"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X, Y</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BC19E4"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Latency (</w:t>
            </w:r>
            <w:proofErr w:type="spellStart"/>
            <w:r>
              <w:rPr>
                <w:rFonts w:ascii="Arial" w:hAnsi="Arial" w:cs="Arial"/>
                <w:sz w:val="20"/>
                <w:szCs w:val="20"/>
              </w:rPr>
              <w:t>ms</w:t>
            </w:r>
            <w:proofErr w:type="spellEnd"/>
            <w:r>
              <w:rPr>
                <w:rFonts w:ascii="Arial" w:hAnsi="Arial" w:cs="Arial"/>
                <w:sz w:val="20"/>
                <w:szCs w:val="20"/>
              </w:rPr>
              <w:t>)</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A127A"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F</w:t>
            </w:r>
          </w:p>
        </w:tc>
        <w:tc>
          <w:tcPr>
            <w:tcW w:w="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E39335"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33DA2"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i/>
                <w:sz w:val="20"/>
                <w:szCs w:val="20"/>
              </w:rPr>
              <w:t>p</w:t>
            </w:r>
            <w:r>
              <w:rPr>
                <w:rFonts w:ascii="Arial" w:hAnsi="Arial" w:cs="Arial"/>
                <w:sz w:val="20"/>
                <w:szCs w:val="20"/>
              </w:rPr>
              <w:t xml:space="preserve"> FWE</w:t>
            </w:r>
          </w:p>
          <w:p w14:paraId="06B0407A"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(cluster-level)</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4CE1"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p</w:t>
            </w:r>
            <w:r>
              <w:rPr>
                <w:rFonts w:ascii="Arial" w:hAnsi="Arial" w:cs="Arial"/>
                <w:sz w:val="20"/>
                <w:szCs w:val="20"/>
              </w:rPr>
              <w:t xml:space="preserve"> </w:t>
            </w:r>
            <w:bookmarkStart w:id="42" w:name="OLE_LINK62"/>
            <w:bookmarkStart w:id="43" w:name="OLE_LINK63"/>
            <w:r>
              <w:rPr>
                <w:rFonts w:ascii="Arial" w:hAnsi="Arial" w:cs="Arial"/>
                <w:sz w:val="20"/>
                <w:szCs w:val="20"/>
              </w:rPr>
              <w:t xml:space="preserve">FWE </w:t>
            </w:r>
            <w:bookmarkEnd w:id="42"/>
            <w:bookmarkEnd w:id="43"/>
            <w:r>
              <w:rPr>
                <w:rFonts w:ascii="Arial" w:hAnsi="Arial" w:cs="Arial"/>
                <w:sz w:val="20"/>
                <w:szCs w:val="20"/>
              </w:rPr>
              <w:t>(voxel-level)</w:t>
            </w:r>
          </w:p>
        </w:tc>
      </w:tr>
      <w:tr w:rsidR="002D505A" w14:paraId="631C67B4" w14:textId="77777777" w:rsidTr="002D50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696B1E" w14:textId="77777777" w:rsidR="002D505A" w:rsidRDefault="002D505A">
            <w:pPr>
              <w:rPr>
                <w:rFonts w:ascii="Arial" w:hAnsi="Arial" w:cs="Arial"/>
                <w:color w:val="000000"/>
                <w:sz w:val="20"/>
                <w:szCs w:val="20"/>
              </w:rPr>
            </w:pPr>
            <w:r>
              <w:rPr>
                <w:rFonts w:ascii="Arial" w:hAnsi="Arial" w:cs="Arial"/>
                <w:color w:val="000000"/>
                <w:sz w:val="20"/>
                <w:szCs w:val="20"/>
              </w:rPr>
              <w:t>Experiment 1</w:t>
            </w:r>
          </w:p>
          <w:p w14:paraId="7B3F34D0" w14:textId="77777777" w:rsidR="002D505A" w:rsidRDefault="002D505A">
            <w:pPr>
              <w:rPr>
                <w:rFonts w:ascii="Arial" w:hAnsi="Arial" w:cs="Arial"/>
                <w:color w:val="000000"/>
                <w:sz w:val="20"/>
                <w:szCs w:val="20"/>
              </w:rPr>
            </w:pP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2DA0460"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0, 18</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E6B79C"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268</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E1EA240"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34.31</w:t>
            </w:r>
          </w:p>
        </w:tc>
        <w:tc>
          <w:tcPr>
            <w:tcW w:w="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8437580"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2100</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FF79E7"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0.002</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F47AEB"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&lt;0.001</w:t>
            </w:r>
          </w:p>
        </w:tc>
      </w:tr>
      <w:tr w:rsidR="002D505A" w14:paraId="74269541" w14:textId="77777777" w:rsidTr="002D505A">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C35887" w14:textId="77777777" w:rsidR="002D505A" w:rsidRDefault="002D505A">
            <w:pPr>
              <w:spacing w:line="240" w:lineRule="auto"/>
              <w:rPr>
                <w:rFonts w:ascii="Arial" w:hAnsi="Arial" w:cs="Arial"/>
                <w:color w:val="000000"/>
                <w:sz w:val="20"/>
                <w:szCs w:val="20"/>
              </w:rPr>
            </w:pP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82821B7"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60, -30</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A227D3"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132</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5DE81ED"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26.76</w:t>
            </w:r>
          </w:p>
        </w:tc>
        <w:tc>
          <w:tcPr>
            <w:tcW w:w="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42B2463"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1322</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1FA1C9"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0.014</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8E8239"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0.003</w:t>
            </w:r>
          </w:p>
        </w:tc>
      </w:tr>
      <w:tr w:rsidR="002D505A" w14:paraId="74B8E890" w14:textId="77777777" w:rsidTr="002D50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8C292" w14:textId="77777777" w:rsidR="002D505A" w:rsidRDefault="002D505A">
            <w:pPr>
              <w:rPr>
                <w:rFonts w:ascii="Arial" w:hAnsi="Arial" w:cs="Arial"/>
                <w:color w:val="000000"/>
                <w:sz w:val="20"/>
                <w:szCs w:val="20"/>
              </w:rPr>
            </w:pPr>
            <w:r>
              <w:rPr>
                <w:rFonts w:ascii="Arial" w:hAnsi="Arial" w:cs="Arial"/>
                <w:color w:val="000000"/>
                <w:sz w:val="20"/>
                <w:szCs w:val="20"/>
              </w:rPr>
              <w:t>Experiment 2</w:t>
            </w:r>
          </w:p>
          <w:p w14:paraId="278D1A81" w14:textId="77777777" w:rsidR="002D505A" w:rsidRDefault="002D505A">
            <w:pPr>
              <w:rPr>
                <w:rFonts w:ascii="Arial" w:hAnsi="Arial" w:cs="Arial"/>
                <w:color w:val="000000"/>
                <w:sz w:val="20"/>
                <w:szCs w:val="20"/>
              </w:rPr>
            </w:pP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B3E9AEE"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5BCA9505"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 -25</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C3C4B3"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425DBF60"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124</w:t>
            </w:r>
          </w:p>
        </w:tc>
        <w:tc>
          <w:tcPr>
            <w:tcW w:w="6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1839022"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4F3D1C0D"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24.23</w:t>
            </w:r>
          </w:p>
        </w:tc>
        <w:tc>
          <w:tcPr>
            <w:tcW w:w="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66A054C"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5C5A27FF"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903</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BD575A"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3FCCD8E2"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0.022</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A930FE"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65C94069"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0.011</w:t>
            </w:r>
          </w:p>
        </w:tc>
      </w:tr>
    </w:tbl>
    <w:p w14:paraId="74BED625" w14:textId="77777777" w:rsidR="002D505A" w:rsidRDefault="002D505A" w:rsidP="002D505A">
      <w:r>
        <w:t xml:space="preserve">Spatial coordinates are indicated by X (left to right) and Y (posterior to anterior). </w:t>
      </w:r>
      <w:bookmarkStart w:id="44" w:name="OLE_LINK69"/>
      <w:bookmarkStart w:id="45" w:name="OLE_LINK68"/>
      <w:r>
        <w:t>Statistics include variance explained by the full model (</w:t>
      </w:r>
      <w:r>
        <w:rPr>
          <w:i/>
        </w:rPr>
        <w:t xml:space="preserve">F </w:t>
      </w:r>
      <w:r>
        <w:t xml:space="preserve">ratio), </w:t>
      </w:r>
      <w:bookmarkEnd w:id="44"/>
      <w:bookmarkEnd w:id="45"/>
      <w:r>
        <w:t xml:space="preserve">the cluster extent (k: number of voxels) and </w:t>
      </w:r>
      <w:proofErr w:type="gramStart"/>
      <w:r>
        <w:t>its</w:t>
      </w:r>
      <w:proofErr w:type="gramEnd"/>
      <w:r>
        <w:t xml:space="preserve"> associated cluster-level </w:t>
      </w:r>
      <w:r>
        <w:rPr>
          <w:i/>
        </w:rPr>
        <w:t>P</w:t>
      </w:r>
      <w:r>
        <w:t xml:space="preserve">-value (FWE corrected), in addition to the smallest voxel-level </w:t>
      </w:r>
      <w:r>
        <w:rPr>
          <w:i/>
        </w:rPr>
        <w:t>P-</w:t>
      </w:r>
      <w:r>
        <w:t>value (FWE-corrected) within the cluster.</w:t>
      </w:r>
    </w:p>
    <w:p w14:paraId="582A30C4" w14:textId="77777777" w:rsidR="002D505A" w:rsidRDefault="002D505A" w:rsidP="002D505A"/>
    <w:p w14:paraId="762C8D5B" w14:textId="659DBB9F" w:rsidR="002D505A" w:rsidRDefault="002D505A">
      <w:pPr>
        <w:spacing w:line="240" w:lineRule="auto"/>
      </w:pPr>
      <w:r>
        <w:br w:type="page"/>
      </w:r>
    </w:p>
    <w:p w14:paraId="0F7ACEA1" w14:textId="77777777" w:rsidR="002D505A" w:rsidRDefault="002D505A" w:rsidP="002D505A">
      <w:pPr>
        <w:rPr>
          <w:rFonts w:cs="Arial"/>
          <w:i/>
        </w:rPr>
      </w:pPr>
      <w:r>
        <w:rPr>
          <w:rFonts w:cs="Arial"/>
          <w:b/>
          <w:i/>
        </w:rPr>
        <w:lastRenderedPageBreak/>
        <w:t>Table 4:</w:t>
      </w:r>
      <w:r>
        <w:rPr>
          <w:rFonts w:cs="Arial"/>
          <w:i/>
        </w:rPr>
        <w:t xml:space="preserve"> Source-space results</w:t>
      </w:r>
      <w:bookmarkStart w:id="46" w:name="OLE_LINK26"/>
      <w:r>
        <w:rPr>
          <w:rFonts w:cs="Arial"/>
          <w:i/>
        </w:rPr>
        <w:t xml:space="preserve"> for the contrast of CRPS group vs. HC grou</w:t>
      </w:r>
      <w:bookmarkEnd w:id="46"/>
      <w:r>
        <w:rPr>
          <w:rFonts w:cs="Arial"/>
          <w:i/>
        </w:rPr>
        <w:t>p</w:t>
      </w:r>
    </w:p>
    <w:tbl>
      <w:tblPr>
        <w:tblStyle w:val="PlainTable11"/>
        <w:tblW w:w="5400" w:type="pct"/>
        <w:tblLook w:val="04A0" w:firstRow="1" w:lastRow="0" w:firstColumn="1" w:lastColumn="0" w:noHBand="0" w:noVBand="1"/>
      </w:tblPr>
      <w:tblGrid>
        <w:gridCol w:w="1847"/>
        <w:gridCol w:w="982"/>
        <w:gridCol w:w="1974"/>
        <w:gridCol w:w="1436"/>
        <w:gridCol w:w="680"/>
        <w:gridCol w:w="970"/>
        <w:gridCol w:w="935"/>
        <w:gridCol w:w="913"/>
      </w:tblGrid>
      <w:tr w:rsidR="002D505A" w14:paraId="4DF6CC28" w14:textId="77777777" w:rsidTr="002D505A">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55C263" w14:textId="77777777" w:rsidR="002D505A" w:rsidRDefault="002D505A">
            <w:pPr>
              <w:rPr>
                <w:sz w:val="22"/>
                <w:szCs w:val="22"/>
              </w:rPr>
            </w:pPr>
            <w:r>
              <w:rPr>
                <w:sz w:val="22"/>
                <w:szCs w:val="22"/>
              </w:rPr>
              <w:t> </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F503D"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Latency (</w:t>
            </w:r>
            <w:proofErr w:type="spellStart"/>
            <w:r>
              <w:rPr>
                <w:sz w:val="22"/>
                <w:szCs w:val="22"/>
              </w:rPr>
              <w:t>ms</w:t>
            </w:r>
            <w:proofErr w:type="spellEnd"/>
            <w:r>
              <w:rPr>
                <w:sz w:val="22"/>
                <w:szCs w:val="22"/>
              </w:rPr>
              <w:t>)</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6332A"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Region</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65A799"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Spatial MNI coordinates</w:t>
            </w:r>
          </w:p>
          <w:p w14:paraId="35DB9484"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X, Y, Z</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DD5037"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B13AB"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 FWE (cluster-level)</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E37BF"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F</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7D962B" w14:textId="77777777" w:rsidR="002D505A" w:rsidRDefault="002D505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 FWE (peak-level)</w:t>
            </w:r>
          </w:p>
        </w:tc>
      </w:tr>
      <w:tr w:rsidR="002D505A" w14:paraId="20A12132" w14:textId="77777777" w:rsidTr="002D50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0300E3" w14:textId="77777777" w:rsidR="002D505A" w:rsidRDefault="002D505A">
            <w:pPr>
              <w:rPr>
                <w:b w:val="0"/>
                <w:color w:val="000000"/>
                <w:sz w:val="22"/>
                <w:szCs w:val="22"/>
              </w:rPr>
            </w:pPr>
            <w:r>
              <w:rPr>
                <w:b w:val="0"/>
                <w:color w:val="000000"/>
                <w:sz w:val="22"/>
                <w:szCs w:val="22"/>
              </w:rPr>
              <w:t>Experiment 1</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45BC96"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132</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60A235"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proofErr w:type="spellStart"/>
            <w:r>
              <w:rPr>
                <w:color w:val="000000"/>
                <w:sz w:val="22"/>
                <w:szCs w:val="22"/>
              </w:rPr>
              <w:t>Precuneus</w:t>
            </w:r>
            <w:proofErr w:type="spellEnd"/>
            <w:r>
              <w:rPr>
                <w:color w:val="000000"/>
                <w:sz w:val="22"/>
                <w:szCs w:val="22"/>
              </w:rPr>
              <w:t xml:space="preserve"> / </w:t>
            </w:r>
          </w:p>
          <w:p w14:paraId="7A3B8B50"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Sup. Parietal (I)</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5C87E1" w14:textId="77777777" w:rsidR="002D505A" w:rsidRDefault="002D505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 -54, 66</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D59A7B"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268</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942F10"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0.004</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DE2C23"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24.15</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5024D0"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0.04</w:t>
            </w:r>
          </w:p>
        </w:tc>
      </w:tr>
      <w:tr w:rsidR="002D505A" w14:paraId="153DE6A1" w14:textId="77777777" w:rsidTr="002D505A">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8348A3" w14:textId="77777777" w:rsidR="002D505A" w:rsidRDefault="002D505A">
            <w:pPr>
              <w:spacing w:line="240" w:lineRule="auto"/>
              <w:rPr>
                <w:color w:val="000000"/>
                <w:sz w:val="22"/>
                <w:szCs w:val="22"/>
              </w:rPr>
            </w:pP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868E60"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132</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10C7B2"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bookmarkStart w:id="47" w:name="OLE_LINK32"/>
            <w:proofErr w:type="spellStart"/>
            <w:r>
              <w:rPr>
                <w:color w:val="000000"/>
                <w:sz w:val="22"/>
                <w:szCs w:val="22"/>
              </w:rPr>
              <w:t>Precuneus</w:t>
            </w:r>
            <w:proofErr w:type="spellEnd"/>
            <w:r>
              <w:rPr>
                <w:color w:val="000000"/>
                <w:sz w:val="22"/>
                <w:szCs w:val="22"/>
              </w:rPr>
              <w:t xml:space="preserve"> / </w:t>
            </w:r>
          </w:p>
          <w:p w14:paraId="4EC9FB2A"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Sup. Parietal (C)</w:t>
            </w:r>
            <w:bookmarkEnd w:id="47"/>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B54BB5"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sz w:val="22"/>
                <w:szCs w:val="22"/>
              </w:rPr>
              <w:t>22, -56, 64</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26233E"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293</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22B5BF"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0.003</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A35162" w14:textId="77777777" w:rsidR="002D505A" w:rsidRDefault="002D505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21.19</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5CCC7" w14:textId="77777777" w:rsidR="002D505A" w:rsidRDefault="002D505A">
            <w:pPr>
              <w:jc w:val="center"/>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0.14</w:t>
            </w:r>
          </w:p>
        </w:tc>
      </w:tr>
      <w:tr w:rsidR="002D505A" w14:paraId="06E1691B" w14:textId="77777777" w:rsidTr="002D505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C57D8B" w14:textId="77777777" w:rsidR="002D505A" w:rsidRDefault="002D505A">
            <w:pPr>
              <w:spacing w:line="240" w:lineRule="auto"/>
              <w:rPr>
                <w:color w:val="000000"/>
                <w:sz w:val="22"/>
                <w:szCs w:val="22"/>
              </w:rPr>
            </w:pP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6DE2CF"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132</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30A93"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Medial Sup. Frontal (C)</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D97F0C" w14:textId="77777777" w:rsidR="002D505A" w:rsidRDefault="002D505A">
            <w:pPr>
              <w:cnfStyle w:val="000000100000" w:firstRow="0" w:lastRow="0" w:firstColumn="0" w:lastColumn="0" w:oddVBand="0" w:evenVBand="0" w:oddHBand="1" w:evenHBand="0" w:firstRowFirstColumn="0" w:firstRowLastColumn="0" w:lastRowFirstColumn="0" w:lastRowLastColumn="0"/>
              <w:rPr>
                <w:sz w:val="22"/>
                <w:szCs w:val="22"/>
              </w:rPr>
            </w:pPr>
            <w:r>
              <w:rPr>
                <w:color w:val="000000"/>
                <w:sz w:val="22"/>
                <w:szCs w:val="22"/>
              </w:rPr>
              <w:t>8, 52, 34</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EBBA70"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189</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5C34AE"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0.02</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5DB074" w14:textId="77777777" w:rsidR="002D505A" w:rsidRDefault="002D505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22.26</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4749A7" w14:textId="77777777" w:rsidR="002D505A" w:rsidRDefault="002D505A">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0.09</w:t>
            </w:r>
          </w:p>
        </w:tc>
      </w:tr>
      <w:tr w:rsidR="002D505A" w14:paraId="0E5F4358" w14:textId="77777777" w:rsidTr="002D505A">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89F7B2" w14:textId="77777777" w:rsidR="002D505A" w:rsidRDefault="002D505A">
            <w:pPr>
              <w:spacing w:line="240" w:lineRule="auto"/>
              <w:rPr>
                <w:color w:val="000000"/>
                <w:sz w:val="22"/>
                <w:szCs w:val="22"/>
              </w:rPr>
            </w:pP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014B3"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268</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56D0DF"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SMA </w:t>
            </w:r>
            <w:bookmarkStart w:id="48" w:name="OLE_LINK35"/>
            <w:r>
              <w:rPr>
                <w:color w:val="000000"/>
                <w:sz w:val="22"/>
                <w:szCs w:val="22"/>
              </w:rPr>
              <w:t>/ Sup. Frontal (I)</w:t>
            </w:r>
            <w:bookmarkEnd w:id="48"/>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97DD8B"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-16, 0 , 68</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1AF1F0"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764</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C07939"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&lt;0.001</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77546"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57.83</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AB1AF"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bookmarkStart w:id="49" w:name="OLE_LINK28"/>
            <w:r>
              <w:rPr>
                <w:color w:val="000000"/>
                <w:sz w:val="22"/>
                <w:szCs w:val="22"/>
              </w:rPr>
              <w:t>&lt;0.001</w:t>
            </w:r>
            <w:bookmarkEnd w:id="49"/>
          </w:p>
        </w:tc>
      </w:tr>
      <w:tr w:rsidR="002D505A" w14:paraId="03F03022" w14:textId="77777777" w:rsidTr="002D505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A7465B" w14:textId="77777777" w:rsidR="002D505A" w:rsidRDefault="002D505A">
            <w:pPr>
              <w:spacing w:line="240" w:lineRule="auto"/>
              <w:rPr>
                <w:color w:val="000000"/>
                <w:sz w:val="22"/>
                <w:szCs w:val="22"/>
              </w:rPr>
            </w:pP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430485"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268</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115F13"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SMA / Sup. Frontal (C)</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791FEF"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10, 4, 68</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CB1154"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592</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64A6E0"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&lt;0.001</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628D4E"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35.20</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D3D070"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&lt;0.001</w:t>
            </w:r>
          </w:p>
        </w:tc>
      </w:tr>
      <w:tr w:rsidR="002D505A" w14:paraId="1827594B" w14:textId="77777777" w:rsidTr="002D505A">
        <w:trPr>
          <w:trHeight w:val="300"/>
        </w:trPr>
        <w:tc>
          <w:tcPr>
            <w:cnfStyle w:val="001000000000" w:firstRow="0" w:lastRow="0" w:firstColumn="1" w:lastColumn="0" w:oddVBand="0" w:evenVBand="0" w:oddHBand="0" w:evenHBand="0" w:firstRowFirstColumn="0" w:firstRowLastColumn="0" w:lastRowFirstColumn="0" w:lastRowLastColumn="0"/>
            <w:tcW w:w="951"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733ADB" w14:textId="77777777" w:rsidR="002D505A" w:rsidRDefault="002D505A">
            <w:pPr>
              <w:rPr>
                <w:b w:val="0"/>
                <w:color w:val="000000"/>
                <w:sz w:val="22"/>
                <w:szCs w:val="22"/>
              </w:rPr>
            </w:pPr>
            <w:r>
              <w:rPr>
                <w:b w:val="0"/>
                <w:color w:val="000000"/>
                <w:sz w:val="22"/>
                <w:szCs w:val="22"/>
              </w:rPr>
              <w:t>Experiment 2</w:t>
            </w: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A5A75E"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124</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12A9C0"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bookmarkStart w:id="50" w:name="OLE_LINK30"/>
            <w:bookmarkStart w:id="51" w:name="OLE_LINK29"/>
            <w:proofErr w:type="spellStart"/>
            <w:r>
              <w:rPr>
                <w:color w:val="000000"/>
                <w:sz w:val="22"/>
                <w:szCs w:val="22"/>
              </w:rPr>
              <w:t>Precuneus</w:t>
            </w:r>
            <w:proofErr w:type="spellEnd"/>
            <w:r>
              <w:rPr>
                <w:color w:val="000000"/>
                <w:sz w:val="22"/>
                <w:szCs w:val="22"/>
              </w:rPr>
              <w:t xml:space="preserve"> / </w:t>
            </w:r>
            <w:bookmarkEnd w:id="50"/>
          </w:p>
          <w:p w14:paraId="6406F41A"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Sup. Parietal</w:t>
            </w:r>
            <w:bookmarkEnd w:id="51"/>
            <w:r>
              <w:rPr>
                <w:color w:val="000000"/>
                <w:sz w:val="22"/>
                <w:szCs w:val="22"/>
              </w:rPr>
              <w:t xml:space="preserve"> (I)</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CF82FA"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 -58, 66</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E0A27D"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469</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C65E04"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bookmarkStart w:id="52" w:name="OLE_LINK27"/>
            <w:r>
              <w:rPr>
                <w:color w:val="000000"/>
                <w:sz w:val="22"/>
                <w:szCs w:val="22"/>
              </w:rPr>
              <w:t>&lt;0.001</w:t>
            </w:r>
            <w:bookmarkEnd w:id="52"/>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1199AA"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29.08</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410345" w14:textId="77777777" w:rsidR="002D505A" w:rsidRDefault="002D505A">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0.012</w:t>
            </w:r>
          </w:p>
        </w:tc>
      </w:tr>
      <w:tr w:rsidR="002D505A" w14:paraId="2195FAB3" w14:textId="77777777" w:rsidTr="002D50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9942F3" w14:textId="77777777" w:rsidR="002D505A" w:rsidRDefault="002D505A">
            <w:pPr>
              <w:spacing w:line="240" w:lineRule="auto"/>
              <w:rPr>
                <w:color w:val="000000"/>
                <w:sz w:val="22"/>
                <w:szCs w:val="22"/>
              </w:rPr>
            </w:pPr>
          </w:p>
        </w:tc>
        <w:tc>
          <w:tcPr>
            <w:tcW w:w="5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AA40A9"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124</w:t>
            </w:r>
          </w:p>
        </w:tc>
        <w:tc>
          <w:tcPr>
            <w:tcW w:w="10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7F922D"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proofErr w:type="spellStart"/>
            <w:r>
              <w:rPr>
                <w:color w:val="000000"/>
                <w:sz w:val="22"/>
                <w:szCs w:val="22"/>
              </w:rPr>
              <w:t>Precuneus</w:t>
            </w:r>
            <w:proofErr w:type="spellEnd"/>
            <w:r>
              <w:rPr>
                <w:color w:val="000000"/>
                <w:sz w:val="22"/>
                <w:szCs w:val="22"/>
              </w:rPr>
              <w:t xml:space="preserve"> / </w:t>
            </w:r>
          </w:p>
          <w:p w14:paraId="591788B6"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Sup. Parietal (C)</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E48914"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-8, -56, 64</w:t>
            </w:r>
          </w:p>
        </w:tc>
        <w:tc>
          <w:tcPr>
            <w:tcW w:w="3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6BB1BD"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338</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8E61AD"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0.006</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5DE4B"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26.22</w:t>
            </w:r>
          </w:p>
        </w:tc>
        <w:tc>
          <w:tcPr>
            <w:tcW w:w="4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6DE924" w14:textId="77777777" w:rsidR="002D505A" w:rsidRDefault="002D505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0.003</w:t>
            </w:r>
          </w:p>
        </w:tc>
      </w:tr>
    </w:tbl>
    <w:p w14:paraId="11BF58BB" w14:textId="77777777" w:rsidR="002D505A" w:rsidRDefault="002D505A" w:rsidP="002D505A">
      <w:r>
        <w:t>Spatial coordinates are indicated by X (left to right), Y (posterior to anterior) and Z (inferior to superior). Statistics include variance explained by the full model (</w:t>
      </w:r>
      <w:r>
        <w:rPr>
          <w:i/>
        </w:rPr>
        <w:t xml:space="preserve">F </w:t>
      </w:r>
      <w:r>
        <w:t xml:space="preserve">ratio), the cluster extent (k: number of voxels) and </w:t>
      </w:r>
      <w:proofErr w:type="gramStart"/>
      <w:r>
        <w:t>its</w:t>
      </w:r>
      <w:proofErr w:type="gramEnd"/>
      <w:r>
        <w:t xml:space="preserve"> associated cluster-level </w:t>
      </w:r>
      <w:r>
        <w:rPr>
          <w:i/>
        </w:rPr>
        <w:t>P</w:t>
      </w:r>
      <w:r>
        <w:t xml:space="preserve">-value (FWE corrected), in addition to voxel-level statistics including the minimum </w:t>
      </w:r>
      <w:r>
        <w:rPr>
          <w:i/>
        </w:rPr>
        <w:t>P-</w:t>
      </w:r>
      <w:r>
        <w:t>value (FWE-corrected) within the cluster.</w:t>
      </w:r>
    </w:p>
    <w:p w14:paraId="6F33BC98" w14:textId="12606927" w:rsidR="002D505A" w:rsidRDefault="002D505A">
      <w:pPr>
        <w:spacing w:line="240" w:lineRule="auto"/>
      </w:pPr>
      <w:r>
        <w:br w:type="page"/>
      </w:r>
    </w:p>
    <w:p w14:paraId="2B711E33" w14:textId="77777777" w:rsidR="002D505A" w:rsidRPr="001D02AF" w:rsidRDefault="002D505A" w:rsidP="002D505A">
      <w:pPr>
        <w:rPr>
          <w:b/>
        </w:rPr>
      </w:pPr>
      <w:r w:rsidRPr="001D02AF">
        <w:rPr>
          <w:b/>
        </w:rPr>
        <w:lastRenderedPageBreak/>
        <w:t xml:space="preserve">Table </w:t>
      </w:r>
      <w:r>
        <w:rPr>
          <w:b/>
        </w:rPr>
        <w:t>5</w:t>
      </w:r>
      <w:r w:rsidRPr="001D02AF">
        <w:rPr>
          <w:b/>
        </w:rPr>
        <w:t xml:space="preserve">: </w:t>
      </w:r>
      <w:r>
        <w:t>Source</w:t>
      </w:r>
      <w:r w:rsidRPr="003B3E5D">
        <w:t>-behaviour correlation results</w:t>
      </w:r>
    </w:p>
    <w:tbl>
      <w:tblPr>
        <w:tblStyle w:val="PlainTable11"/>
        <w:tblW w:w="0" w:type="auto"/>
        <w:tblLook w:val="04A0" w:firstRow="1" w:lastRow="0" w:firstColumn="1" w:lastColumn="0" w:noHBand="0" w:noVBand="1"/>
      </w:tblPr>
      <w:tblGrid>
        <w:gridCol w:w="1803"/>
        <w:gridCol w:w="1803"/>
        <w:gridCol w:w="1803"/>
        <w:gridCol w:w="1803"/>
        <w:gridCol w:w="1804"/>
      </w:tblGrid>
      <w:tr w:rsidR="002D505A" w14:paraId="59F5E57E" w14:textId="77777777" w:rsidTr="00F3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2DA04E30" w14:textId="77777777" w:rsidR="002D505A" w:rsidRDefault="002D505A" w:rsidP="00F3750E"/>
        </w:tc>
        <w:tc>
          <w:tcPr>
            <w:tcW w:w="5409" w:type="dxa"/>
            <w:gridSpan w:val="3"/>
          </w:tcPr>
          <w:p w14:paraId="79E46219" w14:textId="77777777" w:rsidR="002D505A" w:rsidRDefault="002D505A" w:rsidP="00F3750E">
            <w:pPr>
              <w:jc w:val="center"/>
              <w:cnfStyle w:val="100000000000" w:firstRow="1" w:lastRow="0" w:firstColumn="0" w:lastColumn="0" w:oddVBand="0" w:evenVBand="0" w:oddHBand="0" w:evenHBand="0" w:firstRowFirstColumn="0" w:firstRowLastColumn="0" w:lastRowFirstColumn="0" w:lastRowLastColumn="0"/>
            </w:pPr>
            <w:r>
              <w:t>Experiment 1</w:t>
            </w:r>
          </w:p>
        </w:tc>
        <w:tc>
          <w:tcPr>
            <w:tcW w:w="1804" w:type="dxa"/>
          </w:tcPr>
          <w:p w14:paraId="4994510B" w14:textId="77777777" w:rsidR="002D505A" w:rsidRDefault="002D505A" w:rsidP="00F3750E">
            <w:pPr>
              <w:jc w:val="center"/>
              <w:cnfStyle w:val="100000000000" w:firstRow="1" w:lastRow="0" w:firstColumn="0" w:lastColumn="0" w:oddVBand="0" w:evenVBand="0" w:oddHBand="0" w:evenHBand="0" w:firstRowFirstColumn="0" w:firstRowLastColumn="0" w:lastRowFirstColumn="0" w:lastRowLastColumn="0"/>
            </w:pPr>
            <w:r>
              <w:t>Experiment 2</w:t>
            </w:r>
          </w:p>
        </w:tc>
      </w:tr>
      <w:tr w:rsidR="002D505A" w14:paraId="3A817A02" w14:textId="77777777" w:rsidTr="00F3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Pr>
          <w:p w14:paraId="4971EC16" w14:textId="77777777" w:rsidR="002D505A" w:rsidRDefault="002D505A" w:rsidP="00F3750E"/>
        </w:tc>
        <w:tc>
          <w:tcPr>
            <w:tcW w:w="1803" w:type="dxa"/>
          </w:tcPr>
          <w:p w14:paraId="327AF59D"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proofErr w:type="spellStart"/>
            <w:r>
              <w:t>Precuneus</w:t>
            </w:r>
            <w:proofErr w:type="spellEnd"/>
            <w:r>
              <w:t>, 132ms</w:t>
            </w:r>
          </w:p>
        </w:tc>
        <w:tc>
          <w:tcPr>
            <w:tcW w:w="1803" w:type="dxa"/>
          </w:tcPr>
          <w:p w14:paraId="322D57E9"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r>
              <w:t xml:space="preserve">Sup. frontal, 132ms </w:t>
            </w:r>
          </w:p>
        </w:tc>
        <w:tc>
          <w:tcPr>
            <w:tcW w:w="1803" w:type="dxa"/>
          </w:tcPr>
          <w:p w14:paraId="10925140"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r>
              <w:t>SMA, 268ms</w:t>
            </w:r>
          </w:p>
        </w:tc>
        <w:tc>
          <w:tcPr>
            <w:tcW w:w="1804" w:type="dxa"/>
          </w:tcPr>
          <w:p w14:paraId="5843C24A"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proofErr w:type="spellStart"/>
            <w:r>
              <w:t>Precuneus</w:t>
            </w:r>
            <w:proofErr w:type="spellEnd"/>
            <w:r>
              <w:t>, 124ms</w:t>
            </w:r>
          </w:p>
        </w:tc>
      </w:tr>
      <w:tr w:rsidR="002D505A" w14:paraId="0DC898F9" w14:textId="77777777" w:rsidTr="00F3750E">
        <w:tc>
          <w:tcPr>
            <w:cnfStyle w:val="001000000000" w:firstRow="0" w:lastRow="0" w:firstColumn="1" w:lastColumn="0" w:oddVBand="0" w:evenVBand="0" w:oddHBand="0" w:evenHBand="0" w:firstRowFirstColumn="0" w:firstRowLastColumn="0" w:lastRowFirstColumn="0" w:lastRowLastColumn="0"/>
            <w:tcW w:w="1803" w:type="dxa"/>
          </w:tcPr>
          <w:p w14:paraId="14327280" w14:textId="77777777" w:rsidR="002D505A" w:rsidRDefault="002D505A" w:rsidP="00F3750E">
            <w:r>
              <w:t>Accuracy</w:t>
            </w:r>
          </w:p>
        </w:tc>
        <w:tc>
          <w:tcPr>
            <w:tcW w:w="1803" w:type="dxa"/>
          </w:tcPr>
          <w:p w14:paraId="6E5F4ED2"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proofErr w:type="spellStart"/>
            <w:r w:rsidRPr="00A032E1">
              <w:rPr>
                <w:i/>
              </w:rPr>
              <w:t>r</w:t>
            </w:r>
            <w:r w:rsidRPr="00A032E1">
              <w:rPr>
                <w:i/>
                <w:vertAlign w:val="subscript"/>
              </w:rPr>
              <w:t>s</w:t>
            </w:r>
            <w:proofErr w:type="spellEnd"/>
            <w:r w:rsidRPr="00A032E1">
              <w:rPr>
                <w:i/>
              </w:rPr>
              <w:t xml:space="preserve"> =</w:t>
            </w:r>
            <w:r>
              <w:t xml:space="preserve"> .033</w:t>
            </w:r>
          </w:p>
          <w:p w14:paraId="595FC294"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r>
              <w:rPr>
                <w:i/>
              </w:rPr>
              <w:t>p</w:t>
            </w:r>
            <w:r w:rsidRPr="00A032E1">
              <w:rPr>
                <w:i/>
              </w:rPr>
              <w:t xml:space="preserve"> =</w:t>
            </w:r>
            <w:r>
              <w:t xml:space="preserve"> .915</w:t>
            </w:r>
          </w:p>
        </w:tc>
        <w:tc>
          <w:tcPr>
            <w:tcW w:w="1803" w:type="dxa"/>
          </w:tcPr>
          <w:p w14:paraId="49B87E02" w14:textId="77777777" w:rsidR="002D505A" w:rsidRPr="007A08B3" w:rsidRDefault="002D505A" w:rsidP="00F3750E">
            <w:pPr>
              <w:cnfStyle w:val="000000000000" w:firstRow="0" w:lastRow="0" w:firstColumn="0" w:lastColumn="0" w:oddVBand="0" w:evenVBand="0" w:oddHBand="0" w:evenHBand="0" w:firstRowFirstColumn="0" w:firstRowLastColumn="0" w:lastRowFirstColumn="0" w:lastRowLastColumn="0"/>
              <w:rPr>
                <w:i/>
              </w:rPr>
            </w:pPr>
            <w:proofErr w:type="spellStart"/>
            <w:r w:rsidRPr="00A032E1">
              <w:rPr>
                <w:i/>
              </w:rPr>
              <w:t>r</w:t>
            </w:r>
            <w:r w:rsidRPr="00A032E1">
              <w:rPr>
                <w:i/>
                <w:vertAlign w:val="subscript"/>
              </w:rPr>
              <w:t>s</w:t>
            </w:r>
            <w:proofErr w:type="spellEnd"/>
            <w:r w:rsidRPr="00A032E1">
              <w:rPr>
                <w:i/>
              </w:rPr>
              <w:t xml:space="preserve"> </w:t>
            </w:r>
            <w:r w:rsidRPr="00D9434F">
              <w:t>=</w:t>
            </w:r>
            <w:r w:rsidRPr="008973BE">
              <w:t xml:space="preserve"> </w:t>
            </w:r>
            <w:r w:rsidRPr="00D9434F">
              <w:t>.418</w:t>
            </w:r>
          </w:p>
          <w:p w14:paraId="45C6EF30"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r>
              <w:rPr>
                <w:i/>
              </w:rPr>
              <w:t>p</w:t>
            </w:r>
            <w:r w:rsidRPr="00A032E1">
              <w:rPr>
                <w:i/>
              </w:rPr>
              <w:t xml:space="preserve"> </w:t>
            </w:r>
            <w:r>
              <w:t>= .156</w:t>
            </w:r>
          </w:p>
        </w:tc>
        <w:tc>
          <w:tcPr>
            <w:tcW w:w="1803" w:type="dxa"/>
          </w:tcPr>
          <w:p w14:paraId="7BD2E3D1"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proofErr w:type="spellStart"/>
            <w:r w:rsidRPr="00A032E1">
              <w:rPr>
                <w:i/>
              </w:rPr>
              <w:t>r</w:t>
            </w:r>
            <w:r w:rsidRPr="00A032E1">
              <w:rPr>
                <w:i/>
                <w:vertAlign w:val="subscript"/>
              </w:rPr>
              <w:t>s</w:t>
            </w:r>
            <w:proofErr w:type="spellEnd"/>
            <w:r w:rsidRPr="00A032E1">
              <w:rPr>
                <w:i/>
              </w:rPr>
              <w:t xml:space="preserve"> =</w:t>
            </w:r>
            <w:r>
              <w:t xml:space="preserve"> -.192</w:t>
            </w:r>
          </w:p>
          <w:p w14:paraId="647AD1E5"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r>
              <w:rPr>
                <w:i/>
              </w:rPr>
              <w:t>p</w:t>
            </w:r>
            <w:r w:rsidRPr="00A032E1">
              <w:rPr>
                <w:i/>
              </w:rPr>
              <w:t xml:space="preserve"> =</w:t>
            </w:r>
            <w:r>
              <w:t xml:space="preserve"> .529</w:t>
            </w:r>
          </w:p>
        </w:tc>
        <w:tc>
          <w:tcPr>
            <w:tcW w:w="1804" w:type="dxa"/>
          </w:tcPr>
          <w:p w14:paraId="56D31987"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proofErr w:type="spellStart"/>
            <w:r w:rsidRPr="00A032E1">
              <w:rPr>
                <w:i/>
              </w:rPr>
              <w:t>r</w:t>
            </w:r>
            <w:r w:rsidRPr="00A032E1">
              <w:rPr>
                <w:i/>
                <w:vertAlign w:val="subscript"/>
              </w:rPr>
              <w:t>s</w:t>
            </w:r>
            <w:proofErr w:type="spellEnd"/>
            <w:r w:rsidRPr="00A032E1">
              <w:rPr>
                <w:i/>
              </w:rPr>
              <w:t xml:space="preserve"> =</w:t>
            </w:r>
            <w:r>
              <w:t xml:space="preserve"> -.484</w:t>
            </w:r>
          </w:p>
          <w:p w14:paraId="7B8739FD" w14:textId="77777777" w:rsidR="002D505A" w:rsidRDefault="002D505A" w:rsidP="00F3750E">
            <w:pPr>
              <w:cnfStyle w:val="000000000000" w:firstRow="0" w:lastRow="0" w:firstColumn="0" w:lastColumn="0" w:oddVBand="0" w:evenVBand="0" w:oddHBand="0" w:evenHBand="0" w:firstRowFirstColumn="0" w:firstRowLastColumn="0" w:lastRowFirstColumn="0" w:lastRowLastColumn="0"/>
            </w:pPr>
            <w:r>
              <w:rPr>
                <w:i/>
              </w:rPr>
              <w:t>p</w:t>
            </w:r>
            <w:r w:rsidRPr="00A032E1">
              <w:rPr>
                <w:i/>
              </w:rPr>
              <w:t xml:space="preserve"> =</w:t>
            </w:r>
            <w:r>
              <w:t xml:space="preserve"> .94</w:t>
            </w:r>
          </w:p>
        </w:tc>
      </w:tr>
      <w:tr w:rsidR="002D505A" w14:paraId="3C965EB4" w14:textId="77777777" w:rsidTr="00F37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3A137E3" w14:textId="77777777" w:rsidR="002D505A" w:rsidRDefault="002D505A" w:rsidP="00F3750E">
            <w:r>
              <w:t>Response time</w:t>
            </w:r>
          </w:p>
        </w:tc>
        <w:tc>
          <w:tcPr>
            <w:tcW w:w="1803" w:type="dxa"/>
          </w:tcPr>
          <w:p w14:paraId="3AE9D87B"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proofErr w:type="spellStart"/>
            <w:r w:rsidRPr="00A032E1">
              <w:rPr>
                <w:i/>
              </w:rPr>
              <w:t>r</w:t>
            </w:r>
            <w:r w:rsidRPr="00A032E1">
              <w:rPr>
                <w:i/>
                <w:vertAlign w:val="subscript"/>
              </w:rPr>
              <w:t>s</w:t>
            </w:r>
            <w:proofErr w:type="spellEnd"/>
            <w:r w:rsidRPr="00A032E1">
              <w:rPr>
                <w:i/>
              </w:rPr>
              <w:t xml:space="preserve"> =</w:t>
            </w:r>
            <w:r>
              <w:t xml:space="preserve"> .099</w:t>
            </w:r>
          </w:p>
          <w:p w14:paraId="3822B86E"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r>
              <w:rPr>
                <w:i/>
              </w:rPr>
              <w:t>p</w:t>
            </w:r>
            <w:r w:rsidRPr="00A032E1">
              <w:rPr>
                <w:i/>
              </w:rPr>
              <w:t xml:space="preserve"> =</w:t>
            </w:r>
            <w:r>
              <w:t xml:space="preserve"> .748</w:t>
            </w:r>
          </w:p>
        </w:tc>
        <w:tc>
          <w:tcPr>
            <w:tcW w:w="1803" w:type="dxa"/>
          </w:tcPr>
          <w:p w14:paraId="270A3452"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proofErr w:type="spellStart"/>
            <w:r w:rsidRPr="00A032E1">
              <w:rPr>
                <w:i/>
              </w:rPr>
              <w:t>r</w:t>
            </w:r>
            <w:r w:rsidRPr="00A032E1">
              <w:rPr>
                <w:i/>
                <w:vertAlign w:val="subscript"/>
              </w:rPr>
              <w:t>s</w:t>
            </w:r>
            <w:proofErr w:type="spellEnd"/>
            <w:r w:rsidRPr="00A032E1">
              <w:rPr>
                <w:i/>
              </w:rPr>
              <w:t xml:space="preserve"> =</w:t>
            </w:r>
            <w:r>
              <w:t xml:space="preserve"> -.060</w:t>
            </w:r>
          </w:p>
          <w:p w14:paraId="4D85F7E5"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r>
              <w:rPr>
                <w:i/>
              </w:rPr>
              <w:t>p</w:t>
            </w:r>
            <w:r w:rsidRPr="00A032E1">
              <w:rPr>
                <w:i/>
              </w:rPr>
              <w:t xml:space="preserve"> =</w:t>
            </w:r>
            <w:r>
              <w:t xml:space="preserve"> .845</w:t>
            </w:r>
          </w:p>
        </w:tc>
        <w:tc>
          <w:tcPr>
            <w:tcW w:w="1803" w:type="dxa"/>
          </w:tcPr>
          <w:p w14:paraId="2783D852" w14:textId="77777777" w:rsidR="002D505A" w:rsidRPr="007A08B3" w:rsidRDefault="002D505A" w:rsidP="00F3750E">
            <w:pPr>
              <w:cnfStyle w:val="000000100000" w:firstRow="0" w:lastRow="0" w:firstColumn="0" w:lastColumn="0" w:oddVBand="0" w:evenVBand="0" w:oddHBand="1" w:evenHBand="0" w:firstRowFirstColumn="0" w:firstRowLastColumn="0" w:lastRowFirstColumn="0" w:lastRowLastColumn="0"/>
              <w:rPr>
                <w:i/>
              </w:rPr>
            </w:pPr>
            <w:proofErr w:type="spellStart"/>
            <w:r w:rsidRPr="00A032E1">
              <w:rPr>
                <w:i/>
              </w:rPr>
              <w:t>r</w:t>
            </w:r>
            <w:r w:rsidRPr="00A032E1">
              <w:rPr>
                <w:i/>
                <w:vertAlign w:val="subscript"/>
              </w:rPr>
              <w:t>s</w:t>
            </w:r>
            <w:proofErr w:type="spellEnd"/>
            <w:r w:rsidRPr="00A032E1">
              <w:rPr>
                <w:i/>
              </w:rPr>
              <w:t xml:space="preserve"> =</w:t>
            </w:r>
            <w:r>
              <w:t xml:space="preserve"> </w:t>
            </w:r>
            <w:r w:rsidRPr="007A08B3">
              <w:rPr>
                <w:i/>
              </w:rPr>
              <w:t>.725*</w:t>
            </w:r>
          </w:p>
          <w:p w14:paraId="080E8A40"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r>
              <w:rPr>
                <w:i/>
              </w:rPr>
              <w:t>p</w:t>
            </w:r>
            <w:r w:rsidRPr="00A032E1">
              <w:rPr>
                <w:i/>
              </w:rPr>
              <w:t xml:space="preserve"> =</w:t>
            </w:r>
            <w:r>
              <w:t xml:space="preserve"> .005</w:t>
            </w:r>
          </w:p>
        </w:tc>
        <w:tc>
          <w:tcPr>
            <w:tcW w:w="1804" w:type="dxa"/>
          </w:tcPr>
          <w:p w14:paraId="30DA5F2A"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proofErr w:type="spellStart"/>
            <w:r w:rsidRPr="00A032E1">
              <w:rPr>
                <w:i/>
              </w:rPr>
              <w:t>r</w:t>
            </w:r>
            <w:r w:rsidRPr="00A032E1">
              <w:rPr>
                <w:i/>
                <w:vertAlign w:val="subscript"/>
              </w:rPr>
              <w:t>s</w:t>
            </w:r>
            <w:proofErr w:type="spellEnd"/>
            <w:r w:rsidRPr="00A032E1">
              <w:rPr>
                <w:i/>
              </w:rPr>
              <w:t xml:space="preserve"> =</w:t>
            </w:r>
            <w:r>
              <w:t xml:space="preserve"> .412</w:t>
            </w:r>
          </w:p>
          <w:p w14:paraId="4481A4A6" w14:textId="77777777" w:rsidR="002D505A" w:rsidRDefault="002D505A" w:rsidP="00F3750E">
            <w:pPr>
              <w:cnfStyle w:val="000000100000" w:firstRow="0" w:lastRow="0" w:firstColumn="0" w:lastColumn="0" w:oddVBand="0" w:evenVBand="0" w:oddHBand="1" w:evenHBand="0" w:firstRowFirstColumn="0" w:firstRowLastColumn="0" w:lastRowFirstColumn="0" w:lastRowLastColumn="0"/>
            </w:pPr>
            <w:r>
              <w:rPr>
                <w:i/>
              </w:rPr>
              <w:t>p</w:t>
            </w:r>
            <w:r w:rsidRPr="00A032E1">
              <w:rPr>
                <w:i/>
              </w:rPr>
              <w:t xml:space="preserve"> =</w:t>
            </w:r>
            <w:r>
              <w:t xml:space="preserve"> .162</w:t>
            </w:r>
          </w:p>
        </w:tc>
      </w:tr>
    </w:tbl>
    <w:p w14:paraId="6FBBF688" w14:textId="77777777" w:rsidR="002D505A" w:rsidRDefault="002D505A" w:rsidP="002D505A">
      <w:r w:rsidRPr="003B3E5D">
        <w:rPr>
          <w:i/>
        </w:rPr>
        <w:t>P</w:t>
      </w:r>
      <w:r>
        <w:t xml:space="preserve"> values are reported uncorrected; for multiple comparisons a threshold of significance is applied of </w:t>
      </w:r>
      <w:r w:rsidRPr="003B3E5D">
        <w:rPr>
          <w:i/>
        </w:rPr>
        <w:t>p</w:t>
      </w:r>
      <w:r>
        <w:t xml:space="preserve"> &lt; 0.0063. Significant values are denoted by an asterisk. </w:t>
      </w:r>
    </w:p>
    <w:p w14:paraId="18EDA2C4" w14:textId="77777777" w:rsidR="002D505A" w:rsidRDefault="002D505A" w:rsidP="002D505A"/>
    <w:p w14:paraId="6F89E748" w14:textId="77777777" w:rsidR="002D505A" w:rsidRDefault="002D505A" w:rsidP="002D505A"/>
    <w:p w14:paraId="17AEBD4F" w14:textId="77777777" w:rsidR="002D505A" w:rsidRDefault="002D505A">
      <w:pPr>
        <w:spacing w:line="240" w:lineRule="auto"/>
      </w:pPr>
    </w:p>
    <w:p w14:paraId="3446AEBB" w14:textId="77777777" w:rsidR="00AD5BCD" w:rsidRPr="00AF6EEE" w:rsidRDefault="00AD5BCD">
      <w:bookmarkStart w:id="53" w:name="_GoBack"/>
      <w:bookmarkEnd w:id="53"/>
    </w:p>
    <w:sectPr w:rsidR="00AD5BCD" w:rsidRPr="00AF6EEE" w:rsidSect="007D2D9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891FF" w14:textId="77777777" w:rsidR="00451B77" w:rsidRDefault="00451B77" w:rsidP="002F1376">
      <w:pPr>
        <w:spacing w:line="240" w:lineRule="auto"/>
      </w:pPr>
      <w:r>
        <w:separator/>
      </w:r>
    </w:p>
  </w:endnote>
  <w:endnote w:type="continuationSeparator" w:id="0">
    <w:p w14:paraId="48C4B482" w14:textId="77777777" w:rsidR="00451B77" w:rsidRDefault="00451B77" w:rsidP="002F1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251524"/>
      <w:docPartObj>
        <w:docPartGallery w:val="Page Numbers (Bottom of Page)"/>
        <w:docPartUnique/>
      </w:docPartObj>
    </w:sdtPr>
    <w:sdtEndPr>
      <w:rPr>
        <w:noProof/>
      </w:rPr>
    </w:sdtEndPr>
    <w:sdtContent>
      <w:p w14:paraId="03011610" w14:textId="13DEA01E" w:rsidR="00B333F2" w:rsidRDefault="00B333F2">
        <w:pPr>
          <w:pStyle w:val="Footer"/>
          <w:jc w:val="right"/>
        </w:pPr>
        <w:r>
          <w:fldChar w:fldCharType="begin"/>
        </w:r>
        <w:r>
          <w:instrText xml:space="preserve"> PAGE   \* MERGEFORMAT </w:instrText>
        </w:r>
        <w:r>
          <w:fldChar w:fldCharType="separate"/>
        </w:r>
        <w:r w:rsidR="002D505A">
          <w:rPr>
            <w:noProof/>
          </w:rPr>
          <w:t>48</w:t>
        </w:r>
        <w:r>
          <w:rPr>
            <w:noProof/>
          </w:rPr>
          <w:fldChar w:fldCharType="end"/>
        </w:r>
      </w:p>
    </w:sdtContent>
  </w:sdt>
  <w:p w14:paraId="5BB810B1" w14:textId="77777777" w:rsidR="00B333F2" w:rsidRDefault="00B33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2CCAE" w14:textId="77777777" w:rsidR="00451B77" w:rsidRDefault="00451B77" w:rsidP="002F1376">
      <w:pPr>
        <w:spacing w:line="240" w:lineRule="auto"/>
      </w:pPr>
      <w:r>
        <w:separator/>
      </w:r>
    </w:p>
  </w:footnote>
  <w:footnote w:type="continuationSeparator" w:id="0">
    <w:p w14:paraId="63F989F7" w14:textId="77777777" w:rsidR="00451B77" w:rsidRDefault="00451B77" w:rsidP="002F137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F0224"/>
    <w:multiLevelType w:val="hybridMultilevel"/>
    <w:tmpl w:val="519077DA"/>
    <w:lvl w:ilvl="0" w:tplc="1E7AB94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1BA5156"/>
    <w:multiLevelType w:val="hybridMultilevel"/>
    <w:tmpl w:val="B30E8EA0"/>
    <w:lvl w:ilvl="0" w:tplc="D158D39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B722F4"/>
    <w:multiLevelType w:val="hybridMultilevel"/>
    <w:tmpl w:val="D55252AE"/>
    <w:lvl w:ilvl="0" w:tplc="E5081F30">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126345"/>
    <w:multiLevelType w:val="multilevel"/>
    <w:tmpl w:val="C34CE474"/>
    <w:lvl w:ilvl="0">
      <w:start w:val="1"/>
      <w:numFmt w:val="decimal"/>
      <w:lvlText w:val="%1."/>
      <w:lvlJc w:val="left"/>
      <w:pPr>
        <w:ind w:left="720" w:hanging="360"/>
      </w:pPr>
      <w:rPr>
        <w:rFonts w:hint="default"/>
      </w:rPr>
    </w:lvl>
    <w:lvl w:ilvl="1">
      <w:start w:val="8"/>
      <w:numFmt w:val="decimal"/>
      <w:isLgl/>
      <w:lvlText w:val="%1.%2"/>
      <w:lvlJc w:val="left"/>
      <w:pPr>
        <w:ind w:left="1500" w:hanging="405"/>
      </w:pPr>
      <w:rPr>
        <w:rFonts w:hint="default"/>
      </w:rPr>
    </w:lvl>
    <w:lvl w:ilvl="2">
      <w:start w:val="1"/>
      <w:numFmt w:val="decimal"/>
      <w:isLgl/>
      <w:lvlText w:val="%1.%2.%3"/>
      <w:lvlJc w:val="left"/>
      <w:pPr>
        <w:ind w:left="2550" w:hanging="720"/>
      </w:pPr>
      <w:rPr>
        <w:rFonts w:hint="default"/>
      </w:rPr>
    </w:lvl>
    <w:lvl w:ilvl="3">
      <w:start w:val="1"/>
      <w:numFmt w:val="decimal"/>
      <w:isLgl/>
      <w:lvlText w:val="%1.%2.%3.%4"/>
      <w:lvlJc w:val="left"/>
      <w:pPr>
        <w:ind w:left="3645" w:hanging="108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475" w:hanging="1440"/>
      </w:pPr>
      <w:rPr>
        <w:rFonts w:hint="default"/>
      </w:rPr>
    </w:lvl>
    <w:lvl w:ilvl="6">
      <w:start w:val="1"/>
      <w:numFmt w:val="decimal"/>
      <w:isLgl/>
      <w:lvlText w:val="%1.%2.%3.%4.%5.%6.%7"/>
      <w:lvlJc w:val="left"/>
      <w:pPr>
        <w:ind w:left="6210" w:hanging="1440"/>
      </w:pPr>
      <w:rPr>
        <w:rFonts w:hint="default"/>
      </w:rPr>
    </w:lvl>
    <w:lvl w:ilvl="7">
      <w:start w:val="1"/>
      <w:numFmt w:val="decimal"/>
      <w:isLgl/>
      <w:lvlText w:val="%1.%2.%3.%4.%5.%6.%7.%8"/>
      <w:lvlJc w:val="left"/>
      <w:pPr>
        <w:ind w:left="7305" w:hanging="1800"/>
      </w:pPr>
      <w:rPr>
        <w:rFonts w:hint="default"/>
      </w:rPr>
    </w:lvl>
    <w:lvl w:ilvl="8">
      <w:start w:val="1"/>
      <w:numFmt w:val="decimal"/>
      <w:isLgl/>
      <w:lvlText w:val="%1.%2.%3.%4.%5.%6.%7.%8.%9"/>
      <w:lvlJc w:val="left"/>
      <w:pPr>
        <w:ind w:left="8040" w:hanging="1800"/>
      </w:pPr>
      <w:rPr>
        <w:rFonts w:hint="default"/>
      </w:rPr>
    </w:lvl>
  </w:abstractNum>
  <w:abstractNum w:abstractNumId="4" w15:restartNumberingAfterBreak="0">
    <w:nsid w:val="18791D99"/>
    <w:multiLevelType w:val="hybridMultilevel"/>
    <w:tmpl w:val="DE2CD740"/>
    <w:lvl w:ilvl="0" w:tplc="79A425A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05058"/>
    <w:multiLevelType w:val="hybridMultilevel"/>
    <w:tmpl w:val="EB9ED1E2"/>
    <w:lvl w:ilvl="0" w:tplc="7F22A4E2">
      <w:numFmt w:val="bullet"/>
      <w:lvlText w:val="-"/>
      <w:lvlJc w:val="left"/>
      <w:pPr>
        <w:ind w:left="720" w:hanging="360"/>
      </w:pPr>
      <w:rPr>
        <w:rFonts w:ascii="Calibri" w:eastAsiaTheme="minorEastAsia"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51A50"/>
    <w:multiLevelType w:val="hybridMultilevel"/>
    <w:tmpl w:val="631A5A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513181"/>
    <w:multiLevelType w:val="hybridMultilevel"/>
    <w:tmpl w:val="F8405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4393A"/>
    <w:multiLevelType w:val="hybridMultilevel"/>
    <w:tmpl w:val="262CB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A11CB8"/>
    <w:multiLevelType w:val="hybridMultilevel"/>
    <w:tmpl w:val="5F62C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8B2ABF"/>
    <w:multiLevelType w:val="hybridMultilevel"/>
    <w:tmpl w:val="EB688FBC"/>
    <w:lvl w:ilvl="0" w:tplc="75E087FA">
      <w:start w:val="1"/>
      <w:numFmt w:val="bullet"/>
      <w:lvlText w:val="-"/>
      <w:lvlJc w:val="left"/>
      <w:pPr>
        <w:ind w:left="720" w:hanging="360"/>
      </w:pPr>
      <w:rPr>
        <w:rFonts w:ascii="Calibri" w:eastAsiaTheme="minorEastAsia"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B35DA"/>
    <w:multiLevelType w:val="hybridMultilevel"/>
    <w:tmpl w:val="9DC403C6"/>
    <w:lvl w:ilvl="0" w:tplc="07BC02EE">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2" w15:restartNumberingAfterBreak="0">
    <w:nsid w:val="24A33FF9"/>
    <w:multiLevelType w:val="hybridMultilevel"/>
    <w:tmpl w:val="51FCA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F911A7"/>
    <w:multiLevelType w:val="hybridMultilevel"/>
    <w:tmpl w:val="1BD2D0B2"/>
    <w:lvl w:ilvl="0" w:tplc="9F306F3E">
      <w:start w:val="1"/>
      <w:numFmt w:val="decimal"/>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14" w15:restartNumberingAfterBreak="0">
    <w:nsid w:val="29817B31"/>
    <w:multiLevelType w:val="multilevel"/>
    <w:tmpl w:val="8BEEA510"/>
    <w:lvl w:ilvl="0">
      <w:start w:val="1"/>
      <w:numFmt w:val="decimal"/>
      <w:lvlText w:val="%1."/>
      <w:lvlJc w:val="left"/>
      <w:pPr>
        <w:tabs>
          <w:tab w:val="num" w:pos="1080"/>
        </w:tabs>
        <w:ind w:left="1080" w:hanging="72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5" w15:restartNumberingAfterBreak="0">
    <w:nsid w:val="298F0B1D"/>
    <w:multiLevelType w:val="hybridMultilevel"/>
    <w:tmpl w:val="2AF8B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5A3A73"/>
    <w:multiLevelType w:val="hybridMultilevel"/>
    <w:tmpl w:val="C6683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9967F7"/>
    <w:multiLevelType w:val="hybridMultilevel"/>
    <w:tmpl w:val="8864EE6A"/>
    <w:lvl w:ilvl="0" w:tplc="7456A47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C7397B"/>
    <w:multiLevelType w:val="hybridMultilevel"/>
    <w:tmpl w:val="33F6C4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D57118"/>
    <w:multiLevelType w:val="hybridMultilevel"/>
    <w:tmpl w:val="E684D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1051D2"/>
    <w:multiLevelType w:val="hybridMultilevel"/>
    <w:tmpl w:val="F7263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620E7A"/>
    <w:multiLevelType w:val="multilevel"/>
    <w:tmpl w:val="942E2DBA"/>
    <w:lvl w:ilvl="0">
      <w:start w:val="1"/>
      <w:numFmt w:val="decimal"/>
      <w:lvlText w:val="%1."/>
      <w:lvlJc w:val="left"/>
      <w:pPr>
        <w:tabs>
          <w:tab w:val="num" w:pos="1080"/>
        </w:tabs>
        <w:ind w:left="1080" w:hanging="720"/>
      </w:pPr>
      <w:rPr>
        <w:rFonts w:hint="default"/>
      </w:rPr>
    </w:lvl>
    <w:lvl w:ilvl="1">
      <w:start w:val="5"/>
      <w:numFmt w:val="decimal"/>
      <w:isLgl/>
      <w:lvlText w:val="%1.%2"/>
      <w:lvlJc w:val="left"/>
      <w:pPr>
        <w:ind w:left="2220" w:hanging="7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4860" w:hanging="1080"/>
      </w:pPr>
      <w:rPr>
        <w:rFonts w:hint="default"/>
      </w:rPr>
    </w:lvl>
    <w:lvl w:ilvl="4">
      <w:start w:val="1"/>
      <w:numFmt w:val="decimal"/>
      <w:isLgl/>
      <w:lvlText w:val="%1.%2.%3.%4.%5"/>
      <w:lvlJc w:val="left"/>
      <w:pPr>
        <w:ind w:left="6360" w:hanging="1440"/>
      </w:pPr>
      <w:rPr>
        <w:rFonts w:hint="default"/>
      </w:rPr>
    </w:lvl>
    <w:lvl w:ilvl="5">
      <w:start w:val="1"/>
      <w:numFmt w:val="decimal"/>
      <w:isLgl/>
      <w:lvlText w:val="%1.%2.%3.%4.%5.%6"/>
      <w:lvlJc w:val="left"/>
      <w:pPr>
        <w:ind w:left="7500" w:hanging="1440"/>
      </w:pPr>
      <w:rPr>
        <w:rFonts w:hint="default"/>
      </w:rPr>
    </w:lvl>
    <w:lvl w:ilvl="6">
      <w:start w:val="1"/>
      <w:numFmt w:val="decimal"/>
      <w:isLgl/>
      <w:lvlText w:val="%1.%2.%3.%4.%5.%6.%7"/>
      <w:lvlJc w:val="left"/>
      <w:pPr>
        <w:ind w:left="9000" w:hanging="1800"/>
      </w:pPr>
      <w:rPr>
        <w:rFonts w:hint="default"/>
      </w:rPr>
    </w:lvl>
    <w:lvl w:ilvl="7">
      <w:start w:val="1"/>
      <w:numFmt w:val="decimal"/>
      <w:isLgl/>
      <w:lvlText w:val="%1.%2.%3.%4.%5.%6.%7.%8"/>
      <w:lvlJc w:val="left"/>
      <w:pPr>
        <w:ind w:left="10140" w:hanging="1800"/>
      </w:pPr>
      <w:rPr>
        <w:rFonts w:hint="default"/>
      </w:rPr>
    </w:lvl>
    <w:lvl w:ilvl="8">
      <w:start w:val="1"/>
      <w:numFmt w:val="decimal"/>
      <w:isLgl/>
      <w:lvlText w:val="%1.%2.%3.%4.%5.%6.%7.%8.%9"/>
      <w:lvlJc w:val="left"/>
      <w:pPr>
        <w:ind w:left="11640" w:hanging="2160"/>
      </w:pPr>
      <w:rPr>
        <w:rFonts w:hint="default"/>
      </w:rPr>
    </w:lvl>
  </w:abstractNum>
  <w:abstractNum w:abstractNumId="22" w15:restartNumberingAfterBreak="0">
    <w:nsid w:val="39B8187B"/>
    <w:multiLevelType w:val="hybridMultilevel"/>
    <w:tmpl w:val="610C9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971A62"/>
    <w:multiLevelType w:val="multilevel"/>
    <w:tmpl w:val="B7CA6634"/>
    <w:lvl w:ilvl="0">
      <w:start w:val="4"/>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DB468C9"/>
    <w:multiLevelType w:val="hybridMultilevel"/>
    <w:tmpl w:val="631A5A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1605E3"/>
    <w:multiLevelType w:val="hybridMultilevel"/>
    <w:tmpl w:val="7E8A1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36512A"/>
    <w:multiLevelType w:val="hybridMultilevel"/>
    <w:tmpl w:val="69242A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211E95"/>
    <w:multiLevelType w:val="hybridMultilevel"/>
    <w:tmpl w:val="44D4EEC8"/>
    <w:lvl w:ilvl="0" w:tplc="E7265C2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6091A"/>
    <w:multiLevelType w:val="multilevel"/>
    <w:tmpl w:val="C926439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70"/>
        </w:tabs>
        <w:ind w:left="1470" w:hanging="39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29" w15:restartNumberingAfterBreak="0">
    <w:nsid w:val="56083A29"/>
    <w:multiLevelType w:val="hybridMultilevel"/>
    <w:tmpl w:val="89E223D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743736"/>
    <w:multiLevelType w:val="hybridMultilevel"/>
    <w:tmpl w:val="607A98EA"/>
    <w:lvl w:ilvl="0" w:tplc="8B523E8E">
      <w:start w:val="1"/>
      <w:numFmt w:val="upperRoman"/>
      <w:lvlText w:val="%1."/>
      <w:lvlJc w:val="left"/>
      <w:pPr>
        <w:tabs>
          <w:tab w:val="num" w:pos="1080"/>
        </w:tabs>
        <w:ind w:left="1080" w:hanging="720"/>
      </w:pPr>
      <w:rPr>
        <w:rFonts w:hint="default"/>
      </w:rPr>
    </w:lvl>
    <w:lvl w:ilvl="1" w:tplc="BFF48036">
      <w:start w:val="1"/>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7A060DA"/>
    <w:multiLevelType w:val="hybridMultilevel"/>
    <w:tmpl w:val="6890D910"/>
    <w:lvl w:ilvl="0" w:tplc="C10EB1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5C5DAE"/>
    <w:multiLevelType w:val="hybridMultilevel"/>
    <w:tmpl w:val="1BD2D0B2"/>
    <w:lvl w:ilvl="0" w:tplc="9F306F3E">
      <w:start w:val="1"/>
      <w:numFmt w:val="decimal"/>
      <w:lvlText w:val="%1."/>
      <w:lvlJc w:val="left"/>
      <w:pPr>
        <w:ind w:left="855" w:hanging="36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33" w15:restartNumberingAfterBreak="0">
    <w:nsid w:val="5A3607EC"/>
    <w:multiLevelType w:val="hybridMultilevel"/>
    <w:tmpl w:val="262CB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655059"/>
    <w:multiLevelType w:val="hybridMultilevel"/>
    <w:tmpl w:val="8528C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C95F5B"/>
    <w:multiLevelType w:val="hybridMultilevel"/>
    <w:tmpl w:val="C512EADE"/>
    <w:lvl w:ilvl="0" w:tplc="5E881CB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765C1C"/>
    <w:multiLevelType w:val="multilevel"/>
    <w:tmpl w:val="BA5E1AC4"/>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39E72D5"/>
    <w:multiLevelType w:val="hybridMultilevel"/>
    <w:tmpl w:val="28B40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341FCC"/>
    <w:multiLevelType w:val="hybridMultilevel"/>
    <w:tmpl w:val="18EC65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FD0550"/>
    <w:multiLevelType w:val="hybridMultilevel"/>
    <w:tmpl w:val="7794E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BB7095"/>
    <w:multiLevelType w:val="hybridMultilevel"/>
    <w:tmpl w:val="AB8824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625DE3"/>
    <w:multiLevelType w:val="hybridMultilevel"/>
    <w:tmpl w:val="2814F1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962B4A"/>
    <w:multiLevelType w:val="hybridMultilevel"/>
    <w:tmpl w:val="F78EA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2474C7"/>
    <w:multiLevelType w:val="hybridMultilevel"/>
    <w:tmpl w:val="65585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BE34A8"/>
    <w:multiLevelType w:val="hybridMultilevel"/>
    <w:tmpl w:val="F1AE4E08"/>
    <w:lvl w:ilvl="0" w:tplc="DBEC7DC0">
      <w:start w:val="1"/>
      <w:numFmt w:val="bullet"/>
      <w:pStyle w:val="Basic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53007"/>
    <w:multiLevelType w:val="hybridMultilevel"/>
    <w:tmpl w:val="8A1A8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8"/>
  </w:num>
  <w:num w:numId="3">
    <w:abstractNumId w:val="2"/>
  </w:num>
  <w:num w:numId="4">
    <w:abstractNumId w:val="29"/>
  </w:num>
  <w:num w:numId="5">
    <w:abstractNumId w:val="19"/>
  </w:num>
  <w:num w:numId="6">
    <w:abstractNumId w:val="0"/>
  </w:num>
  <w:num w:numId="7">
    <w:abstractNumId w:val="27"/>
  </w:num>
  <w:num w:numId="8">
    <w:abstractNumId w:val="38"/>
  </w:num>
  <w:num w:numId="9">
    <w:abstractNumId w:val="41"/>
  </w:num>
  <w:num w:numId="10">
    <w:abstractNumId w:val="40"/>
  </w:num>
  <w:num w:numId="11">
    <w:abstractNumId w:val="45"/>
  </w:num>
  <w:num w:numId="12">
    <w:abstractNumId w:val="14"/>
  </w:num>
  <w:num w:numId="13">
    <w:abstractNumId w:val="21"/>
  </w:num>
  <w:num w:numId="14">
    <w:abstractNumId w:val="17"/>
  </w:num>
  <w:num w:numId="15">
    <w:abstractNumId w:val="31"/>
  </w:num>
  <w:num w:numId="16">
    <w:abstractNumId w:val="18"/>
  </w:num>
  <w:num w:numId="17">
    <w:abstractNumId w:val="1"/>
  </w:num>
  <w:num w:numId="18">
    <w:abstractNumId w:val="3"/>
  </w:num>
  <w:num w:numId="19">
    <w:abstractNumId w:val="25"/>
  </w:num>
  <w:num w:numId="20">
    <w:abstractNumId w:val="9"/>
  </w:num>
  <w:num w:numId="21">
    <w:abstractNumId w:val="16"/>
  </w:num>
  <w:num w:numId="22">
    <w:abstractNumId w:val="44"/>
  </w:num>
  <w:num w:numId="23">
    <w:abstractNumId w:val="23"/>
  </w:num>
  <w:num w:numId="24">
    <w:abstractNumId w:val="43"/>
  </w:num>
  <w:num w:numId="25">
    <w:abstractNumId w:val="36"/>
  </w:num>
  <w:num w:numId="26">
    <w:abstractNumId w:val="32"/>
  </w:num>
  <w:num w:numId="27">
    <w:abstractNumId w:val="15"/>
  </w:num>
  <w:num w:numId="28">
    <w:abstractNumId w:val="39"/>
  </w:num>
  <w:num w:numId="29">
    <w:abstractNumId w:val="34"/>
  </w:num>
  <w:num w:numId="30">
    <w:abstractNumId w:val="11"/>
  </w:num>
  <w:num w:numId="31">
    <w:abstractNumId w:val="7"/>
  </w:num>
  <w:num w:numId="32">
    <w:abstractNumId w:val="13"/>
  </w:num>
  <w:num w:numId="33">
    <w:abstractNumId w:val="35"/>
  </w:num>
  <w:num w:numId="34">
    <w:abstractNumId w:val="20"/>
  </w:num>
  <w:num w:numId="35">
    <w:abstractNumId w:val="8"/>
  </w:num>
  <w:num w:numId="36">
    <w:abstractNumId w:val="33"/>
  </w:num>
  <w:num w:numId="37">
    <w:abstractNumId w:val="26"/>
  </w:num>
  <w:num w:numId="38">
    <w:abstractNumId w:val="10"/>
  </w:num>
  <w:num w:numId="39">
    <w:abstractNumId w:val="12"/>
  </w:num>
  <w:num w:numId="40">
    <w:abstractNumId w:val="6"/>
  </w:num>
  <w:num w:numId="41">
    <w:abstractNumId w:val="24"/>
  </w:num>
  <w:num w:numId="42">
    <w:abstractNumId w:val="5"/>
  </w:num>
  <w:num w:numId="43">
    <w:abstractNumId w:val="37"/>
  </w:num>
  <w:num w:numId="44">
    <w:abstractNumId w:val="4"/>
  </w:num>
  <w:num w:numId="45">
    <w:abstractNumId w:val="2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CD"/>
    <w:rsid w:val="00001131"/>
    <w:rsid w:val="0000204D"/>
    <w:rsid w:val="00002C40"/>
    <w:rsid w:val="00004FF0"/>
    <w:rsid w:val="00005827"/>
    <w:rsid w:val="00005DD8"/>
    <w:rsid w:val="00010C00"/>
    <w:rsid w:val="000110DF"/>
    <w:rsid w:val="00011AB3"/>
    <w:rsid w:val="000133A7"/>
    <w:rsid w:val="00013702"/>
    <w:rsid w:val="00014063"/>
    <w:rsid w:val="00016218"/>
    <w:rsid w:val="00016880"/>
    <w:rsid w:val="00020268"/>
    <w:rsid w:val="00024A9B"/>
    <w:rsid w:val="00024E62"/>
    <w:rsid w:val="00026DF3"/>
    <w:rsid w:val="00027E8A"/>
    <w:rsid w:val="000307DE"/>
    <w:rsid w:val="0003104E"/>
    <w:rsid w:val="00031EF5"/>
    <w:rsid w:val="00032777"/>
    <w:rsid w:val="000328B6"/>
    <w:rsid w:val="00032E68"/>
    <w:rsid w:val="00033AFF"/>
    <w:rsid w:val="000361C2"/>
    <w:rsid w:val="00040253"/>
    <w:rsid w:val="00040C1A"/>
    <w:rsid w:val="000411F5"/>
    <w:rsid w:val="00041818"/>
    <w:rsid w:val="00043AC4"/>
    <w:rsid w:val="00044A07"/>
    <w:rsid w:val="000452BF"/>
    <w:rsid w:val="00045DDB"/>
    <w:rsid w:val="00045E08"/>
    <w:rsid w:val="0004716E"/>
    <w:rsid w:val="00050C65"/>
    <w:rsid w:val="00050CED"/>
    <w:rsid w:val="00051166"/>
    <w:rsid w:val="000514D3"/>
    <w:rsid w:val="00052C20"/>
    <w:rsid w:val="0005478B"/>
    <w:rsid w:val="00055A45"/>
    <w:rsid w:val="000564F0"/>
    <w:rsid w:val="00056863"/>
    <w:rsid w:val="00057F66"/>
    <w:rsid w:val="00061683"/>
    <w:rsid w:val="00061C73"/>
    <w:rsid w:val="0006226F"/>
    <w:rsid w:val="00062311"/>
    <w:rsid w:val="000626C0"/>
    <w:rsid w:val="0006388E"/>
    <w:rsid w:val="00063A9B"/>
    <w:rsid w:val="00063D81"/>
    <w:rsid w:val="00064F41"/>
    <w:rsid w:val="00065861"/>
    <w:rsid w:val="000663D5"/>
    <w:rsid w:val="00066874"/>
    <w:rsid w:val="000670DF"/>
    <w:rsid w:val="00067195"/>
    <w:rsid w:val="00067A3F"/>
    <w:rsid w:val="00067FC9"/>
    <w:rsid w:val="000702AD"/>
    <w:rsid w:val="0007071A"/>
    <w:rsid w:val="00070CBF"/>
    <w:rsid w:val="00070E59"/>
    <w:rsid w:val="00071201"/>
    <w:rsid w:val="00071B04"/>
    <w:rsid w:val="0007225C"/>
    <w:rsid w:val="0007270A"/>
    <w:rsid w:val="00073E4C"/>
    <w:rsid w:val="00073EF8"/>
    <w:rsid w:val="00074ED9"/>
    <w:rsid w:val="00076B60"/>
    <w:rsid w:val="00076E40"/>
    <w:rsid w:val="00076F1A"/>
    <w:rsid w:val="0007714A"/>
    <w:rsid w:val="000776E5"/>
    <w:rsid w:val="00080979"/>
    <w:rsid w:val="00080DB3"/>
    <w:rsid w:val="00081532"/>
    <w:rsid w:val="000819A0"/>
    <w:rsid w:val="000825F7"/>
    <w:rsid w:val="00082FEB"/>
    <w:rsid w:val="00083892"/>
    <w:rsid w:val="00084B76"/>
    <w:rsid w:val="00084C30"/>
    <w:rsid w:val="00085780"/>
    <w:rsid w:val="00085EFF"/>
    <w:rsid w:val="0008639B"/>
    <w:rsid w:val="000865CD"/>
    <w:rsid w:val="000873D0"/>
    <w:rsid w:val="00091222"/>
    <w:rsid w:val="00091533"/>
    <w:rsid w:val="00091B90"/>
    <w:rsid w:val="00091DC1"/>
    <w:rsid w:val="00092D20"/>
    <w:rsid w:val="00093A3A"/>
    <w:rsid w:val="00093F6C"/>
    <w:rsid w:val="000953CC"/>
    <w:rsid w:val="0009659E"/>
    <w:rsid w:val="000965F5"/>
    <w:rsid w:val="000A0E1E"/>
    <w:rsid w:val="000A16D3"/>
    <w:rsid w:val="000A2BED"/>
    <w:rsid w:val="000A452A"/>
    <w:rsid w:val="000A6367"/>
    <w:rsid w:val="000A6ECD"/>
    <w:rsid w:val="000B2342"/>
    <w:rsid w:val="000B259A"/>
    <w:rsid w:val="000B55BF"/>
    <w:rsid w:val="000B55D7"/>
    <w:rsid w:val="000B5DAB"/>
    <w:rsid w:val="000B5FD7"/>
    <w:rsid w:val="000B60BF"/>
    <w:rsid w:val="000B6BCF"/>
    <w:rsid w:val="000B7614"/>
    <w:rsid w:val="000C1E8B"/>
    <w:rsid w:val="000C23E1"/>
    <w:rsid w:val="000C256B"/>
    <w:rsid w:val="000C258F"/>
    <w:rsid w:val="000C2908"/>
    <w:rsid w:val="000C2C0A"/>
    <w:rsid w:val="000C3541"/>
    <w:rsid w:val="000C3C3D"/>
    <w:rsid w:val="000C497B"/>
    <w:rsid w:val="000C57F7"/>
    <w:rsid w:val="000C7FF8"/>
    <w:rsid w:val="000D08E6"/>
    <w:rsid w:val="000D0CEB"/>
    <w:rsid w:val="000D3279"/>
    <w:rsid w:val="000D4311"/>
    <w:rsid w:val="000D5465"/>
    <w:rsid w:val="000D6245"/>
    <w:rsid w:val="000D6FFF"/>
    <w:rsid w:val="000E10E2"/>
    <w:rsid w:val="000E336D"/>
    <w:rsid w:val="000E34F1"/>
    <w:rsid w:val="000E4406"/>
    <w:rsid w:val="000E4C47"/>
    <w:rsid w:val="000E6B33"/>
    <w:rsid w:val="000E7783"/>
    <w:rsid w:val="000F004A"/>
    <w:rsid w:val="000F0AA4"/>
    <w:rsid w:val="000F12FA"/>
    <w:rsid w:val="000F5A91"/>
    <w:rsid w:val="000F6497"/>
    <w:rsid w:val="000F7288"/>
    <w:rsid w:val="000F7C70"/>
    <w:rsid w:val="00102082"/>
    <w:rsid w:val="001022DC"/>
    <w:rsid w:val="00103026"/>
    <w:rsid w:val="001042B7"/>
    <w:rsid w:val="00104995"/>
    <w:rsid w:val="001071A4"/>
    <w:rsid w:val="00110B80"/>
    <w:rsid w:val="00111D98"/>
    <w:rsid w:val="00111F90"/>
    <w:rsid w:val="001120F1"/>
    <w:rsid w:val="00113BAE"/>
    <w:rsid w:val="0011406B"/>
    <w:rsid w:val="001151FA"/>
    <w:rsid w:val="001153EF"/>
    <w:rsid w:val="00117076"/>
    <w:rsid w:val="00117365"/>
    <w:rsid w:val="00117B89"/>
    <w:rsid w:val="0012005D"/>
    <w:rsid w:val="00120D34"/>
    <w:rsid w:val="0012112B"/>
    <w:rsid w:val="001215C3"/>
    <w:rsid w:val="00121EAD"/>
    <w:rsid w:val="0012250E"/>
    <w:rsid w:val="00122B6F"/>
    <w:rsid w:val="001241F1"/>
    <w:rsid w:val="00124DD0"/>
    <w:rsid w:val="00124DD2"/>
    <w:rsid w:val="00124F3D"/>
    <w:rsid w:val="0012528C"/>
    <w:rsid w:val="001256E6"/>
    <w:rsid w:val="00130193"/>
    <w:rsid w:val="00132DD2"/>
    <w:rsid w:val="00133573"/>
    <w:rsid w:val="0013387E"/>
    <w:rsid w:val="00134B03"/>
    <w:rsid w:val="001353B1"/>
    <w:rsid w:val="00136C41"/>
    <w:rsid w:val="00137204"/>
    <w:rsid w:val="00137338"/>
    <w:rsid w:val="00137A4B"/>
    <w:rsid w:val="00137BB7"/>
    <w:rsid w:val="0014001D"/>
    <w:rsid w:val="001401AC"/>
    <w:rsid w:val="0014058E"/>
    <w:rsid w:val="00141168"/>
    <w:rsid w:val="001422E1"/>
    <w:rsid w:val="001438E2"/>
    <w:rsid w:val="0014462E"/>
    <w:rsid w:val="00145670"/>
    <w:rsid w:val="00147087"/>
    <w:rsid w:val="001478E5"/>
    <w:rsid w:val="00150271"/>
    <w:rsid w:val="00151401"/>
    <w:rsid w:val="00152A8A"/>
    <w:rsid w:val="00152CF1"/>
    <w:rsid w:val="0015310E"/>
    <w:rsid w:val="0015419B"/>
    <w:rsid w:val="0015468D"/>
    <w:rsid w:val="00156A31"/>
    <w:rsid w:val="00156E3B"/>
    <w:rsid w:val="00160841"/>
    <w:rsid w:val="00161753"/>
    <w:rsid w:val="00162CCE"/>
    <w:rsid w:val="0016380A"/>
    <w:rsid w:val="00163A7A"/>
    <w:rsid w:val="00163C0F"/>
    <w:rsid w:val="00164ED5"/>
    <w:rsid w:val="00165ECE"/>
    <w:rsid w:val="00166FC1"/>
    <w:rsid w:val="00167497"/>
    <w:rsid w:val="00167F17"/>
    <w:rsid w:val="001708D6"/>
    <w:rsid w:val="00171112"/>
    <w:rsid w:val="00171695"/>
    <w:rsid w:val="00171F7B"/>
    <w:rsid w:val="0017205A"/>
    <w:rsid w:val="00173614"/>
    <w:rsid w:val="00174093"/>
    <w:rsid w:val="00174BB6"/>
    <w:rsid w:val="0017549D"/>
    <w:rsid w:val="00175574"/>
    <w:rsid w:val="00176198"/>
    <w:rsid w:val="00176A83"/>
    <w:rsid w:val="00177B47"/>
    <w:rsid w:val="00177BCA"/>
    <w:rsid w:val="00180117"/>
    <w:rsid w:val="00180220"/>
    <w:rsid w:val="001807AB"/>
    <w:rsid w:val="001819D0"/>
    <w:rsid w:val="001820DB"/>
    <w:rsid w:val="00182A8D"/>
    <w:rsid w:val="001839B3"/>
    <w:rsid w:val="00184587"/>
    <w:rsid w:val="001845DB"/>
    <w:rsid w:val="001849EE"/>
    <w:rsid w:val="001850CE"/>
    <w:rsid w:val="00186808"/>
    <w:rsid w:val="001878B9"/>
    <w:rsid w:val="001901B3"/>
    <w:rsid w:val="00190E24"/>
    <w:rsid w:val="00191630"/>
    <w:rsid w:val="00191933"/>
    <w:rsid w:val="001924E7"/>
    <w:rsid w:val="00192557"/>
    <w:rsid w:val="00192FC0"/>
    <w:rsid w:val="001946B2"/>
    <w:rsid w:val="00194B98"/>
    <w:rsid w:val="0019623A"/>
    <w:rsid w:val="00196BC5"/>
    <w:rsid w:val="00197404"/>
    <w:rsid w:val="00197FCA"/>
    <w:rsid w:val="001A0DEE"/>
    <w:rsid w:val="001A1288"/>
    <w:rsid w:val="001A1B35"/>
    <w:rsid w:val="001A3B70"/>
    <w:rsid w:val="001A3D15"/>
    <w:rsid w:val="001A5C63"/>
    <w:rsid w:val="001A5F64"/>
    <w:rsid w:val="001A6272"/>
    <w:rsid w:val="001A6B4F"/>
    <w:rsid w:val="001B0AEA"/>
    <w:rsid w:val="001B28F5"/>
    <w:rsid w:val="001B2AAC"/>
    <w:rsid w:val="001B5E4C"/>
    <w:rsid w:val="001B5EE7"/>
    <w:rsid w:val="001B645F"/>
    <w:rsid w:val="001B723B"/>
    <w:rsid w:val="001B777C"/>
    <w:rsid w:val="001B7B94"/>
    <w:rsid w:val="001C08A3"/>
    <w:rsid w:val="001C0BDC"/>
    <w:rsid w:val="001C0C58"/>
    <w:rsid w:val="001C1CE0"/>
    <w:rsid w:val="001C237E"/>
    <w:rsid w:val="001C2C02"/>
    <w:rsid w:val="001C2DB5"/>
    <w:rsid w:val="001C3077"/>
    <w:rsid w:val="001C3368"/>
    <w:rsid w:val="001C58C3"/>
    <w:rsid w:val="001C6EF4"/>
    <w:rsid w:val="001D00F5"/>
    <w:rsid w:val="001D02AF"/>
    <w:rsid w:val="001D03CC"/>
    <w:rsid w:val="001D1018"/>
    <w:rsid w:val="001D1232"/>
    <w:rsid w:val="001D134E"/>
    <w:rsid w:val="001D244E"/>
    <w:rsid w:val="001D2A33"/>
    <w:rsid w:val="001D2C11"/>
    <w:rsid w:val="001D2F4B"/>
    <w:rsid w:val="001D3C5B"/>
    <w:rsid w:val="001D4579"/>
    <w:rsid w:val="001D71E8"/>
    <w:rsid w:val="001E1FE9"/>
    <w:rsid w:val="001E3A9A"/>
    <w:rsid w:val="001E74FD"/>
    <w:rsid w:val="001F0975"/>
    <w:rsid w:val="001F0DAB"/>
    <w:rsid w:val="001F13DC"/>
    <w:rsid w:val="001F1A8E"/>
    <w:rsid w:val="001F1B12"/>
    <w:rsid w:val="001F27C2"/>
    <w:rsid w:val="001F2E5E"/>
    <w:rsid w:val="001F30C2"/>
    <w:rsid w:val="001F4980"/>
    <w:rsid w:val="001F53C1"/>
    <w:rsid w:val="00200397"/>
    <w:rsid w:val="0020059D"/>
    <w:rsid w:val="0020095D"/>
    <w:rsid w:val="00200E3F"/>
    <w:rsid w:val="0020162D"/>
    <w:rsid w:val="002021DD"/>
    <w:rsid w:val="0020278D"/>
    <w:rsid w:val="00202DBC"/>
    <w:rsid w:val="0020447B"/>
    <w:rsid w:val="0020545C"/>
    <w:rsid w:val="002056B4"/>
    <w:rsid w:val="00206C17"/>
    <w:rsid w:val="0020786A"/>
    <w:rsid w:val="00211211"/>
    <w:rsid w:val="00211D7F"/>
    <w:rsid w:val="002124FC"/>
    <w:rsid w:val="0021350B"/>
    <w:rsid w:val="00213D3C"/>
    <w:rsid w:val="00214356"/>
    <w:rsid w:val="0021575B"/>
    <w:rsid w:val="00215C6E"/>
    <w:rsid w:val="00217296"/>
    <w:rsid w:val="00217EF7"/>
    <w:rsid w:val="00217F4D"/>
    <w:rsid w:val="00220107"/>
    <w:rsid w:val="00220B3F"/>
    <w:rsid w:val="00221A3D"/>
    <w:rsid w:val="002229E4"/>
    <w:rsid w:val="002231F2"/>
    <w:rsid w:val="00223A68"/>
    <w:rsid w:val="00224133"/>
    <w:rsid w:val="00224CB2"/>
    <w:rsid w:val="00225381"/>
    <w:rsid w:val="002253DD"/>
    <w:rsid w:val="00225455"/>
    <w:rsid w:val="00225B61"/>
    <w:rsid w:val="00225F94"/>
    <w:rsid w:val="00227302"/>
    <w:rsid w:val="00227666"/>
    <w:rsid w:val="00227E06"/>
    <w:rsid w:val="0023061E"/>
    <w:rsid w:val="00230673"/>
    <w:rsid w:val="002308E0"/>
    <w:rsid w:val="00230BF4"/>
    <w:rsid w:val="0023144D"/>
    <w:rsid w:val="00232601"/>
    <w:rsid w:val="00232CFB"/>
    <w:rsid w:val="002338C1"/>
    <w:rsid w:val="0023395C"/>
    <w:rsid w:val="00233AB3"/>
    <w:rsid w:val="00233EFF"/>
    <w:rsid w:val="00234225"/>
    <w:rsid w:val="0023529C"/>
    <w:rsid w:val="00237399"/>
    <w:rsid w:val="0024052E"/>
    <w:rsid w:val="002413C2"/>
    <w:rsid w:val="00244848"/>
    <w:rsid w:val="0024498A"/>
    <w:rsid w:val="0024609D"/>
    <w:rsid w:val="00247073"/>
    <w:rsid w:val="002472E7"/>
    <w:rsid w:val="00250AF5"/>
    <w:rsid w:val="00251692"/>
    <w:rsid w:val="002532D2"/>
    <w:rsid w:val="00254FAA"/>
    <w:rsid w:val="002554F1"/>
    <w:rsid w:val="00255DE3"/>
    <w:rsid w:val="00256AEF"/>
    <w:rsid w:val="00257C14"/>
    <w:rsid w:val="00260B97"/>
    <w:rsid w:val="00260E18"/>
    <w:rsid w:val="00260FFD"/>
    <w:rsid w:val="002620F4"/>
    <w:rsid w:val="0026234C"/>
    <w:rsid w:val="0026282D"/>
    <w:rsid w:val="0026464F"/>
    <w:rsid w:val="00266787"/>
    <w:rsid w:val="002669B5"/>
    <w:rsid w:val="00266A59"/>
    <w:rsid w:val="00266F54"/>
    <w:rsid w:val="002673AF"/>
    <w:rsid w:val="00267B83"/>
    <w:rsid w:val="00267E11"/>
    <w:rsid w:val="002704DE"/>
    <w:rsid w:val="00271CA1"/>
    <w:rsid w:val="00272EBC"/>
    <w:rsid w:val="002734DF"/>
    <w:rsid w:val="00274658"/>
    <w:rsid w:val="00274DA8"/>
    <w:rsid w:val="002757B1"/>
    <w:rsid w:val="00275F3B"/>
    <w:rsid w:val="00276126"/>
    <w:rsid w:val="0027671E"/>
    <w:rsid w:val="00276751"/>
    <w:rsid w:val="00276CD9"/>
    <w:rsid w:val="00276DAB"/>
    <w:rsid w:val="002773E0"/>
    <w:rsid w:val="00280C09"/>
    <w:rsid w:val="0028275E"/>
    <w:rsid w:val="00283129"/>
    <w:rsid w:val="00284B9C"/>
    <w:rsid w:val="0028774E"/>
    <w:rsid w:val="00287E05"/>
    <w:rsid w:val="002930FE"/>
    <w:rsid w:val="00293550"/>
    <w:rsid w:val="00293789"/>
    <w:rsid w:val="00293CCD"/>
    <w:rsid w:val="00294308"/>
    <w:rsid w:val="00294E7E"/>
    <w:rsid w:val="002960DB"/>
    <w:rsid w:val="002961A0"/>
    <w:rsid w:val="00297619"/>
    <w:rsid w:val="002A05D9"/>
    <w:rsid w:val="002A09E5"/>
    <w:rsid w:val="002A3051"/>
    <w:rsid w:val="002A3874"/>
    <w:rsid w:val="002A3883"/>
    <w:rsid w:val="002A39E9"/>
    <w:rsid w:val="002A4EBC"/>
    <w:rsid w:val="002A522B"/>
    <w:rsid w:val="002A6667"/>
    <w:rsid w:val="002A74F7"/>
    <w:rsid w:val="002A7CE3"/>
    <w:rsid w:val="002B1883"/>
    <w:rsid w:val="002B2CEC"/>
    <w:rsid w:val="002B3026"/>
    <w:rsid w:val="002B3D61"/>
    <w:rsid w:val="002B5AFB"/>
    <w:rsid w:val="002B6071"/>
    <w:rsid w:val="002B7317"/>
    <w:rsid w:val="002C0D94"/>
    <w:rsid w:val="002C1BC2"/>
    <w:rsid w:val="002C3038"/>
    <w:rsid w:val="002C3843"/>
    <w:rsid w:val="002C46DA"/>
    <w:rsid w:val="002C4E37"/>
    <w:rsid w:val="002C4F7D"/>
    <w:rsid w:val="002C5200"/>
    <w:rsid w:val="002C5211"/>
    <w:rsid w:val="002C613E"/>
    <w:rsid w:val="002C71AC"/>
    <w:rsid w:val="002C7BC8"/>
    <w:rsid w:val="002D0524"/>
    <w:rsid w:val="002D09E9"/>
    <w:rsid w:val="002D1FE6"/>
    <w:rsid w:val="002D505A"/>
    <w:rsid w:val="002D568D"/>
    <w:rsid w:val="002D7CFE"/>
    <w:rsid w:val="002D7DB4"/>
    <w:rsid w:val="002E3C9C"/>
    <w:rsid w:val="002E4703"/>
    <w:rsid w:val="002E47B7"/>
    <w:rsid w:val="002E5DE3"/>
    <w:rsid w:val="002E5EAA"/>
    <w:rsid w:val="002E73D7"/>
    <w:rsid w:val="002E7A29"/>
    <w:rsid w:val="002F0AE4"/>
    <w:rsid w:val="002F1376"/>
    <w:rsid w:val="002F1520"/>
    <w:rsid w:val="002F498D"/>
    <w:rsid w:val="002F4AC1"/>
    <w:rsid w:val="002F505E"/>
    <w:rsid w:val="002F6053"/>
    <w:rsid w:val="002F60D6"/>
    <w:rsid w:val="002F6E81"/>
    <w:rsid w:val="002F730B"/>
    <w:rsid w:val="00301683"/>
    <w:rsid w:val="003025EA"/>
    <w:rsid w:val="003031D1"/>
    <w:rsid w:val="003052E6"/>
    <w:rsid w:val="00305528"/>
    <w:rsid w:val="0030576C"/>
    <w:rsid w:val="00306402"/>
    <w:rsid w:val="003067C0"/>
    <w:rsid w:val="00307019"/>
    <w:rsid w:val="00307B4D"/>
    <w:rsid w:val="00310192"/>
    <w:rsid w:val="003107CD"/>
    <w:rsid w:val="00310C30"/>
    <w:rsid w:val="00311326"/>
    <w:rsid w:val="0031280A"/>
    <w:rsid w:val="003152A1"/>
    <w:rsid w:val="00315F9D"/>
    <w:rsid w:val="0031628C"/>
    <w:rsid w:val="00321303"/>
    <w:rsid w:val="0032160B"/>
    <w:rsid w:val="00321ACC"/>
    <w:rsid w:val="003221FF"/>
    <w:rsid w:val="0032339A"/>
    <w:rsid w:val="0032386D"/>
    <w:rsid w:val="00324918"/>
    <w:rsid w:val="0032562A"/>
    <w:rsid w:val="00326A45"/>
    <w:rsid w:val="00327FBB"/>
    <w:rsid w:val="0033006E"/>
    <w:rsid w:val="003306EB"/>
    <w:rsid w:val="003307F4"/>
    <w:rsid w:val="00330E9F"/>
    <w:rsid w:val="00332470"/>
    <w:rsid w:val="003357C2"/>
    <w:rsid w:val="00335BA7"/>
    <w:rsid w:val="003366FA"/>
    <w:rsid w:val="00336756"/>
    <w:rsid w:val="00337F2A"/>
    <w:rsid w:val="003402D1"/>
    <w:rsid w:val="0034124F"/>
    <w:rsid w:val="00342E67"/>
    <w:rsid w:val="00344D8E"/>
    <w:rsid w:val="00345250"/>
    <w:rsid w:val="0034694E"/>
    <w:rsid w:val="00346FD1"/>
    <w:rsid w:val="00347931"/>
    <w:rsid w:val="00351313"/>
    <w:rsid w:val="00351809"/>
    <w:rsid w:val="00351E57"/>
    <w:rsid w:val="0035262B"/>
    <w:rsid w:val="003529F7"/>
    <w:rsid w:val="003536B1"/>
    <w:rsid w:val="00355650"/>
    <w:rsid w:val="00355C51"/>
    <w:rsid w:val="003562E1"/>
    <w:rsid w:val="003566E1"/>
    <w:rsid w:val="003577E5"/>
    <w:rsid w:val="00360746"/>
    <w:rsid w:val="00361E09"/>
    <w:rsid w:val="00362D39"/>
    <w:rsid w:val="00362EBB"/>
    <w:rsid w:val="00364463"/>
    <w:rsid w:val="00364FF0"/>
    <w:rsid w:val="0036573B"/>
    <w:rsid w:val="00366547"/>
    <w:rsid w:val="003667F4"/>
    <w:rsid w:val="0036692C"/>
    <w:rsid w:val="00367F0C"/>
    <w:rsid w:val="003708FC"/>
    <w:rsid w:val="003710EF"/>
    <w:rsid w:val="003723E0"/>
    <w:rsid w:val="00372993"/>
    <w:rsid w:val="003741D1"/>
    <w:rsid w:val="003742B8"/>
    <w:rsid w:val="00375B89"/>
    <w:rsid w:val="00376BFA"/>
    <w:rsid w:val="00376CA1"/>
    <w:rsid w:val="00376F8F"/>
    <w:rsid w:val="003773D0"/>
    <w:rsid w:val="0037787E"/>
    <w:rsid w:val="00377B08"/>
    <w:rsid w:val="0038088B"/>
    <w:rsid w:val="00380A9D"/>
    <w:rsid w:val="00380D30"/>
    <w:rsid w:val="00383FA9"/>
    <w:rsid w:val="00384E90"/>
    <w:rsid w:val="00384EA9"/>
    <w:rsid w:val="00385308"/>
    <w:rsid w:val="003866D6"/>
    <w:rsid w:val="00386A24"/>
    <w:rsid w:val="00386B32"/>
    <w:rsid w:val="0038723A"/>
    <w:rsid w:val="00387700"/>
    <w:rsid w:val="00387CB5"/>
    <w:rsid w:val="00387DC2"/>
    <w:rsid w:val="003901C4"/>
    <w:rsid w:val="00390BAE"/>
    <w:rsid w:val="00392AF8"/>
    <w:rsid w:val="003931CC"/>
    <w:rsid w:val="003940FE"/>
    <w:rsid w:val="00394552"/>
    <w:rsid w:val="003960DA"/>
    <w:rsid w:val="00396C82"/>
    <w:rsid w:val="0039739D"/>
    <w:rsid w:val="003A0450"/>
    <w:rsid w:val="003A0C2F"/>
    <w:rsid w:val="003A3287"/>
    <w:rsid w:val="003A3315"/>
    <w:rsid w:val="003A442A"/>
    <w:rsid w:val="003A4AC5"/>
    <w:rsid w:val="003A5516"/>
    <w:rsid w:val="003A6421"/>
    <w:rsid w:val="003A7FDF"/>
    <w:rsid w:val="003B189A"/>
    <w:rsid w:val="003B1B97"/>
    <w:rsid w:val="003B25C0"/>
    <w:rsid w:val="003B3761"/>
    <w:rsid w:val="003B3E5D"/>
    <w:rsid w:val="003B3F5E"/>
    <w:rsid w:val="003B40A4"/>
    <w:rsid w:val="003B63AF"/>
    <w:rsid w:val="003B6AF9"/>
    <w:rsid w:val="003B6B51"/>
    <w:rsid w:val="003B6D14"/>
    <w:rsid w:val="003B763C"/>
    <w:rsid w:val="003C00DB"/>
    <w:rsid w:val="003C226E"/>
    <w:rsid w:val="003C321B"/>
    <w:rsid w:val="003C3B18"/>
    <w:rsid w:val="003C41E4"/>
    <w:rsid w:val="003C551B"/>
    <w:rsid w:val="003C5716"/>
    <w:rsid w:val="003C60EC"/>
    <w:rsid w:val="003C62EC"/>
    <w:rsid w:val="003C7125"/>
    <w:rsid w:val="003C774E"/>
    <w:rsid w:val="003D0006"/>
    <w:rsid w:val="003D0945"/>
    <w:rsid w:val="003D09D9"/>
    <w:rsid w:val="003D1035"/>
    <w:rsid w:val="003D1150"/>
    <w:rsid w:val="003D1720"/>
    <w:rsid w:val="003D27B0"/>
    <w:rsid w:val="003D3AF5"/>
    <w:rsid w:val="003D46D8"/>
    <w:rsid w:val="003D4CE3"/>
    <w:rsid w:val="003D4DFD"/>
    <w:rsid w:val="003D5698"/>
    <w:rsid w:val="003D6670"/>
    <w:rsid w:val="003D6C49"/>
    <w:rsid w:val="003D72D4"/>
    <w:rsid w:val="003E0F75"/>
    <w:rsid w:val="003E4746"/>
    <w:rsid w:val="003E5A8E"/>
    <w:rsid w:val="003E739B"/>
    <w:rsid w:val="003F052D"/>
    <w:rsid w:val="003F08B8"/>
    <w:rsid w:val="003F08EB"/>
    <w:rsid w:val="003F09FB"/>
    <w:rsid w:val="003F0FFB"/>
    <w:rsid w:val="003F15D0"/>
    <w:rsid w:val="003F1D96"/>
    <w:rsid w:val="003F1E8C"/>
    <w:rsid w:val="003F1EA1"/>
    <w:rsid w:val="003F1F29"/>
    <w:rsid w:val="003F2204"/>
    <w:rsid w:val="003F22C6"/>
    <w:rsid w:val="003F3AF5"/>
    <w:rsid w:val="003F4E48"/>
    <w:rsid w:val="003F59AD"/>
    <w:rsid w:val="003F615F"/>
    <w:rsid w:val="003F7B8B"/>
    <w:rsid w:val="004001FC"/>
    <w:rsid w:val="00401626"/>
    <w:rsid w:val="00401F14"/>
    <w:rsid w:val="004024F4"/>
    <w:rsid w:val="00403881"/>
    <w:rsid w:val="004038EF"/>
    <w:rsid w:val="00405DEF"/>
    <w:rsid w:val="00406B1E"/>
    <w:rsid w:val="0040750C"/>
    <w:rsid w:val="00411FC5"/>
    <w:rsid w:val="004121F8"/>
    <w:rsid w:val="0041236B"/>
    <w:rsid w:val="00412C75"/>
    <w:rsid w:val="00413D45"/>
    <w:rsid w:val="00413D7A"/>
    <w:rsid w:val="0041400D"/>
    <w:rsid w:val="00415A55"/>
    <w:rsid w:val="00415B2D"/>
    <w:rsid w:val="00415D7A"/>
    <w:rsid w:val="00417F30"/>
    <w:rsid w:val="004216A1"/>
    <w:rsid w:val="00424257"/>
    <w:rsid w:val="00424657"/>
    <w:rsid w:val="0042555D"/>
    <w:rsid w:val="004255AF"/>
    <w:rsid w:val="004255BE"/>
    <w:rsid w:val="0042575D"/>
    <w:rsid w:val="00425A37"/>
    <w:rsid w:val="004271C5"/>
    <w:rsid w:val="00427C5B"/>
    <w:rsid w:val="0043332A"/>
    <w:rsid w:val="00433995"/>
    <w:rsid w:val="00433A0F"/>
    <w:rsid w:val="0043472D"/>
    <w:rsid w:val="004362B0"/>
    <w:rsid w:val="0043631A"/>
    <w:rsid w:val="004378C1"/>
    <w:rsid w:val="00441913"/>
    <w:rsid w:val="00441EFB"/>
    <w:rsid w:val="00442F6A"/>
    <w:rsid w:val="00443648"/>
    <w:rsid w:val="004459D5"/>
    <w:rsid w:val="00446339"/>
    <w:rsid w:val="004477A0"/>
    <w:rsid w:val="00447AF3"/>
    <w:rsid w:val="00450798"/>
    <w:rsid w:val="00450DB9"/>
    <w:rsid w:val="0045158C"/>
    <w:rsid w:val="00451B77"/>
    <w:rsid w:val="004562F8"/>
    <w:rsid w:val="00460BBA"/>
    <w:rsid w:val="00462052"/>
    <w:rsid w:val="00462141"/>
    <w:rsid w:val="0046244D"/>
    <w:rsid w:val="0046301A"/>
    <w:rsid w:val="00463053"/>
    <w:rsid w:val="0046308D"/>
    <w:rsid w:val="00464E3E"/>
    <w:rsid w:val="00465F00"/>
    <w:rsid w:val="004662B1"/>
    <w:rsid w:val="00467221"/>
    <w:rsid w:val="0046771A"/>
    <w:rsid w:val="004702BE"/>
    <w:rsid w:val="004706C2"/>
    <w:rsid w:val="00471603"/>
    <w:rsid w:val="00471B4A"/>
    <w:rsid w:val="00472766"/>
    <w:rsid w:val="004734DB"/>
    <w:rsid w:val="00473751"/>
    <w:rsid w:val="00473B91"/>
    <w:rsid w:val="00473B9C"/>
    <w:rsid w:val="00474044"/>
    <w:rsid w:val="0047482F"/>
    <w:rsid w:val="0047519B"/>
    <w:rsid w:val="004754FA"/>
    <w:rsid w:val="00475B05"/>
    <w:rsid w:val="00475FEE"/>
    <w:rsid w:val="00476008"/>
    <w:rsid w:val="0047686B"/>
    <w:rsid w:val="00476D06"/>
    <w:rsid w:val="0047792F"/>
    <w:rsid w:val="004809DB"/>
    <w:rsid w:val="00480AB5"/>
    <w:rsid w:val="00480EBA"/>
    <w:rsid w:val="00482A4A"/>
    <w:rsid w:val="004834BD"/>
    <w:rsid w:val="00483709"/>
    <w:rsid w:val="0048434B"/>
    <w:rsid w:val="0048634F"/>
    <w:rsid w:val="00486536"/>
    <w:rsid w:val="004865CB"/>
    <w:rsid w:val="00486BF0"/>
    <w:rsid w:val="00487543"/>
    <w:rsid w:val="004918C5"/>
    <w:rsid w:val="00493DCE"/>
    <w:rsid w:val="004948E1"/>
    <w:rsid w:val="004955D9"/>
    <w:rsid w:val="0049656A"/>
    <w:rsid w:val="00496DB1"/>
    <w:rsid w:val="00497C9F"/>
    <w:rsid w:val="004A081D"/>
    <w:rsid w:val="004A1D56"/>
    <w:rsid w:val="004A1DB1"/>
    <w:rsid w:val="004A1EEB"/>
    <w:rsid w:val="004A20DB"/>
    <w:rsid w:val="004A2BF3"/>
    <w:rsid w:val="004A346B"/>
    <w:rsid w:val="004A4788"/>
    <w:rsid w:val="004A4901"/>
    <w:rsid w:val="004A4F57"/>
    <w:rsid w:val="004A519D"/>
    <w:rsid w:val="004A55BD"/>
    <w:rsid w:val="004A59D5"/>
    <w:rsid w:val="004B146B"/>
    <w:rsid w:val="004B27EE"/>
    <w:rsid w:val="004B3094"/>
    <w:rsid w:val="004B30D0"/>
    <w:rsid w:val="004B3821"/>
    <w:rsid w:val="004B4D47"/>
    <w:rsid w:val="004B5A6B"/>
    <w:rsid w:val="004B6D0F"/>
    <w:rsid w:val="004B6D41"/>
    <w:rsid w:val="004B6E90"/>
    <w:rsid w:val="004B74B6"/>
    <w:rsid w:val="004B75D5"/>
    <w:rsid w:val="004B7E69"/>
    <w:rsid w:val="004C1C88"/>
    <w:rsid w:val="004C1E00"/>
    <w:rsid w:val="004C2FBA"/>
    <w:rsid w:val="004C3641"/>
    <w:rsid w:val="004C36C4"/>
    <w:rsid w:val="004C434D"/>
    <w:rsid w:val="004C54C0"/>
    <w:rsid w:val="004C5632"/>
    <w:rsid w:val="004C5D51"/>
    <w:rsid w:val="004C6664"/>
    <w:rsid w:val="004C6A90"/>
    <w:rsid w:val="004C6B81"/>
    <w:rsid w:val="004C6F76"/>
    <w:rsid w:val="004D108B"/>
    <w:rsid w:val="004D2EAF"/>
    <w:rsid w:val="004D338C"/>
    <w:rsid w:val="004D3762"/>
    <w:rsid w:val="004D3E18"/>
    <w:rsid w:val="004D719D"/>
    <w:rsid w:val="004D734E"/>
    <w:rsid w:val="004D7906"/>
    <w:rsid w:val="004D7D28"/>
    <w:rsid w:val="004E0BD4"/>
    <w:rsid w:val="004E15B4"/>
    <w:rsid w:val="004E18B3"/>
    <w:rsid w:val="004E20B3"/>
    <w:rsid w:val="004E227B"/>
    <w:rsid w:val="004E426E"/>
    <w:rsid w:val="004E55A2"/>
    <w:rsid w:val="004E5B3F"/>
    <w:rsid w:val="004F2D30"/>
    <w:rsid w:val="004F2D3B"/>
    <w:rsid w:val="004F3C7B"/>
    <w:rsid w:val="004F5260"/>
    <w:rsid w:val="004F541C"/>
    <w:rsid w:val="005027D9"/>
    <w:rsid w:val="00503A09"/>
    <w:rsid w:val="00503AF9"/>
    <w:rsid w:val="00504255"/>
    <w:rsid w:val="00505373"/>
    <w:rsid w:val="005061ED"/>
    <w:rsid w:val="005071B1"/>
    <w:rsid w:val="00507500"/>
    <w:rsid w:val="00512642"/>
    <w:rsid w:val="00512C5D"/>
    <w:rsid w:val="00513922"/>
    <w:rsid w:val="005146FA"/>
    <w:rsid w:val="00516E52"/>
    <w:rsid w:val="00516F2F"/>
    <w:rsid w:val="0051745C"/>
    <w:rsid w:val="005226C8"/>
    <w:rsid w:val="00523000"/>
    <w:rsid w:val="005230E3"/>
    <w:rsid w:val="005253BC"/>
    <w:rsid w:val="00525CA7"/>
    <w:rsid w:val="00525E6E"/>
    <w:rsid w:val="0052703C"/>
    <w:rsid w:val="0053056B"/>
    <w:rsid w:val="005315D2"/>
    <w:rsid w:val="00533706"/>
    <w:rsid w:val="00534B27"/>
    <w:rsid w:val="00536413"/>
    <w:rsid w:val="005364BA"/>
    <w:rsid w:val="0053652D"/>
    <w:rsid w:val="00536EC3"/>
    <w:rsid w:val="00537D42"/>
    <w:rsid w:val="00540F9B"/>
    <w:rsid w:val="005410EF"/>
    <w:rsid w:val="00541481"/>
    <w:rsid w:val="00541B8E"/>
    <w:rsid w:val="00543616"/>
    <w:rsid w:val="0054459B"/>
    <w:rsid w:val="0054748E"/>
    <w:rsid w:val="00547938"/>
    <w:rsid w:val="00551150"/>
    <w:rsid w:val="0055137D"/>
    <w:rsid w:val="0055143C"/>
    <w:rsid w:val="0055201C"/>
    <w:rsid w:val="005527BF"/>
    <w:rsid w:val="00552E5E"/>
    <w:rsid w:val="00553AAB"/>
    <w:rsid w:val="005550DB"/>
    <w:rsid w:val="00555C90"/>
    <w:rsid w:val="00560A89"/>
    <w:rsid w:val="00561805"/>
    <w:rsid w:val="00561ACB"/>
    <w:rsid w:val="005625FE"/>
    <w:rsid w:val="00564603"/>
    <w:rsid w:val="00565357"/>
    <w:rsid w:val="005655B2"/>
    <w:rsid w:val="0056603B"/>
    <w:rsid w:val="0056623D"/>
    <w:rsid w:val="005669FC"/>
    <w:rsid w:val="00566E4F"/>
    <w:rsid w:val="00570DD5"/>
    <w:rsid w:val="00571054"/>
    <w:rsid w:val="00571780"/>
    <w:rsid w:val="00571985"/>
    <w:rsid w:val="00572BDD"/>
    <w:rsid w:val="00574103"/>
    <w:rsid w:val="00574668"/>
    <w:rsid w:val="005746C6"/>
    <w:rsid w:val="005765F7"/>
    <w:rsid w:val="0057724D"/>
    <w:rsid w:val="00581B1D"/>
    <w:rsid w:val="00582A2D"/>
    <w:rsid w:val="00583458"/>
    <w:rsid w:val="00584BB0"/>
    <w:rsid w:val="00585497"/>
    <w:rsid w:val="00586479"/>
    <w:rsid w:val="005864AE"/>
    <w:rsid w:val="0058688E"/>
    <w:rsid w:val="005874E5"/>
    <w:rsid w:val="005904AE"/>
    <w:rsid w:val="00590E18"/>
    <w:rsid w:val="00591550"/>
    <w:rsid w:val="0059278E"/>
    <w:rsid w:val="0059512A"/>
    <w:rsid w:val="0059537A"/>
    <w:rsid w:val="00595DF0"/>
    <w:rsid w:val="00597788"/>
    <w:rsid w:val="005A0800"/>
    <w:rsid w:val="005A1065"/>
    <w:rsid w:val="005A12F6"/>
    <w:rsid w:val="005A263B"/>
    <w:rsid w:val="005A2F56"/>
    <w:rsid w:val="005A4519"/>
    <w:rsid w:val="005A4E37"/>
    <w:rsid w:val="005A531F"/>
    <w:rsid w:val="005A5775"/>
    <w:rsid w:val="005A5AF6"/>
    <w:rsid w:val="005A6C69"/>
    <w:rsid w:val="005A7619"/>
    <w:rsid w:val="005B00D9"/>
    <w:rsid w:val="005B1CF0"/>
    <w:rsid w:val="005B25ED"/>
    <w:rsid w:val="005B2E2A"/>
    <w:rsid w:val="005B49DE"/>
    <w:rsid w:val="005B60A2"/>
    <w:rsid w:val="005B635B"/>
    <w:rsid w:val="005B71FA"/>
    <w:rsid w:val="005C01E7"/>
    <w:rsid w:val="005C065B"/>
    <w:rsid w:val="005C092A"/>
    <w:rsid w:val="005C208B"/>
    <w:rsid w:val="005C4020"/>
    <w:rsid w:val="005C4E2D"/>
    <w:rsid w:val="005C59A6"/>
    <w:rsid w:val="005C5B10"/>
    <w:rsid w:val="005C6075"/>
    <w:rsid w:val="005C6C7A"/>
    <w:rsid w:val="005C7780"/>
    <w:rsid w:val="005D004E"/>
    <w:rsid w:val="005D029A"/>
    <w:rsid w:val="005D196F"/>
    <w:rsid w:val="005D2167"/>
    <w:rsid w:val="005D256D"/>
    <w:rsid w:val="005D2C1F"/>
    <w:rsid w:val="005D3184"/>
    <w:rsid w:val="005D33E9"/>
    <w:rsid w:val="005D3746"/>
    <w:rsid w:val="005D3851"/>
    <w:rsid w:val="005D3EF5"/>
    <w:rsid w:val="005D5BCE"/>
    <w:rsid w:val="005D6504"/>
    <w:rsid w:val="005D67AD"/>
    <w:rsid w:val="005D71DC"/>
    <w:rsid w:val="005D734F"/>
    <w:rsid w:val="005D738B"/>
    <w:rsid w:val="005E07C8"/>
    <w:rsid w:val="005E2045"/>
    <w:rsid w:val="005E240C"/>
    <w:rsid w:val="005E2E53"/>
    <w:rsid w:val="005E32A3"/>
    <w:rsid w:val="005E35E8"/>
    <w:rsid w:val="005E378F"/>
    <w:rsid w:val="005E37F3"/>
    <w:rsid w:val="005E3967"/>
    <w:rsid w:val="005E3CD5"/>
    <w:rsid w:val="005E5C47"/>
    <w:rsid w:val="005E67FD"/>
    <w:rsid w:val="005F00C2"/>
    <w:rsid w:val="005F090E"/>
    <w:rsid w:val="005F0BAB"/>
    <w:rsid w:val="005F1B72"/>
    <w:rsid w:val="005F1CD0"/>
    <w:rsid w:val="005F325A"/>
    <w:rsid w:val="005F32C7"/>
    <w:rsid w:val="005F5111"/>
    <w:rsid w:val="005F6040"/>
    <w:rsid w:val="00601A15"/>
    <w:rsid w:val="006029AA"/>
    <w:rsid w:val="006076E7"/>
    <w:rsid w:val="00607ABE"/>
    <w:rsid w:val="00610440"/>
    <w:rsid w:val="006104F2"/>
    <w:rsid w:val="0061051B"/>
    <w:rsid w:val="0061099A"/>
    <w:rsid w:val="006117F9"/>
    <w:rsid w:val="00611BEA"/>
    <w:rsid w:val="00611F36"/>
    <w:rsid w:val="006137B2"/>
    <w:rsid w:val="006139A8"/>
    <w:rsid w:val="00614FEF"/>
    <w:rsid w:val="006154A4"/>
    <w:rsid w:val="0061555A"/>
    <w:rsid w:val="006158DF"/>
    <w:rsid w:val="00615B1D"/>
    <w:rsid w:val="00617960"/>
    <w:rsid w:val="006210C4"/>
    <w:rsid w:val="006213E9"/>
    <w:rsid w:val="006225E2"/>
    <w:rsid w:val="006264B6"/>
    <w:rsid w:val="0062652F"/>
    <w:rsid w:val="00627340"/>
    <w:rsid w:val="0062799D"/>
    <w:rsid w:val="00627B85"/>
    <w:rsid w:val="006300FA"/>
    <w:rsid w:val="00631371"/>
    <w:rsid w:val="00631BAE"/>
    <w:rsid w:val="00632DDD"/>
    <w:rsid w:val="00632F5E"/>
    <w:rsid w:val="006338A2"/>
    <w:rsid w:val="00634C2E"/>
    <w:rsid w:val="0063660C"/>
    <w:rsid w:val="00637A6D"/>
    <w:rsid w:val="00637EB2"/>
    <w:rsid w:val="006404B5"/>
    <w:rsid w:val="00640CB9"/>
    <w:rsid w:val="00641111"/>
    <w:rsid w:val="00641645"/>
    <w:rsid w:val="0064368F"/>
    <w:rsid w:val="00643EC6"/>
    <w:rsid w:val="006447BE"/>
    <w:rsid w:val="00645E5D"/>
    <w:rsid w:val="00646393"/>
    <w:rsid w:val="006534CE"/>
    <w:rsid w:val="0065413A"/>
    <w:rsid w:val="0065472F"/>
    <w:rsid w:val="006553B1"/>
    <w:rsid w:val="006558AA"/>
    <w:rsid w:val="00656C34"/>
    <w:rsid w:val="006600D2"/>
    <w:rsid w:val="006604B8"/>
    <w:rsid w:val="00660C7C"/>
    <w:rsid w:val="006625DF"/>
    <w:rsid w:val="006629D6"/>
    <w:rsid w:val="00662B03"/>
    <w:rsid w:val="00662F55"/>
    <w:rsid w:val="00663203"/>
    <w:rsid w:val="00663630"/>
    <w:rsid w:val="006638FC"/>
    <w:rsid w:val="0066544A"/>
    <w:rsid w:val="006657D5"/>
    <w:rsid w:val="00666857"/>
    <w:rsid w:val="0066693F"/>
    <w:rsid w:val="00667208"/>
    <w:rsid w:val="0066778F"/>
    <w:rsid w:val="00667FC8"/>
    <w:rsid w:val="006716AB"/>
    <w:rsid w:val="0067259E"/>
    <w:rsid w:val="00672E69"/>
    <w:rsid w:val="00674331"/>
    <w:rsid w:val="0067466C"/>
    <w:rsid w:val="00674842"/>
    <w:rsid w:val="00674AE1"/>
    <w:rsid w:val="00675217"/>
    <w:rsid w:val="0067735F"/>
    <w:rsid w:val="006779F1"/>
    <w:rsid w:val="00680794"/>
    <w:rsid w:val="0068147E"/>
    <w:rsid w:val="006817FD"/>
    <w:rsid w:val="006833FA"/>
    <w:rsid w:val="00684830"/>
    <w:rsid w:val="006851CD"/>
    <w:rsid w:val="00686543"/>
    <w:rsid w:val="00686658"/>
    <w:rsid w:val="00687581"/>
    <w:rsid w:val="00690014"/>
    <w:rsid w:val="00690207"/>
    <w:rsid w:val="0069192D"/>
    <w:rsid w:val="00692F4A"/>
    <w:rsid w:val="00693047"/>
    <w:rsid w:val="00693178"/>
    <w:rsid w:val="00695766"/>
    <w:rsid w:val="006957A2"/>
    <w:rsid w:val="00696014"/>
    <w:rsid w:val="006979F3"/>
    <w:rsid w:val="006A0E54"/>
    <w:rsid w:val="006A126F"/>
    <w:rsid w:val="006A1328"/>
    <w:rsid w:val="006A1C6E"/>
    <w:rsid w:val="006A23F5"/>
    <w:rsid w:val="006A2709"/>
    <w:rsid w:val="006A51C9"/>
    <w:rsid w:val="006A5523"/>
    <w:rsid w:val="006A5814"/>
    <w:rsid w:val="006A718E"/>
    <w:rsid w:val="006A7B1A"/>
    <w:rsid w:val="006A7E5C"/>
    <w:rsid w:val="006B0B16"/>
    <w:rsid w:val="006B0F3A"/>
    <w:rsid w:val="006B14D9"/>
    <w:rsid w:val="006B1DE9"/>
    <w:rsid w:val="006B236D"/>
    <w:rsid w:val="006B24AB"/>
    <w:rsid w:val="006B40F1"/>
    <w:rsid w:val="006B5080"/>
    <w:rsid w:val="006B532C"/>
    <w:rsid w:val="006C003E"/>
    <w:rsid w:val="006C0843"/>
    <w:rsid w:val="006C2307"/>
    <w:rsid w:val="006C2812"/>
    <w:rsid w:val="006C3E73"/>
    <w:rsid w:val="006C48A0"/>
    <w:rsid w:val="006C5963"/>
    <w:rsid w:val="006C764D"/>
    <w:rsid w:val="006C7B9B"/>
    <w:rsid w:val="006D04AD"/>
    <w:rsid w:val="006D1192"/>
    <w:rsid w:val="006D185A"/>
    <w:rsid w:val="006D18D8"/>
    <w:rsid w:val="006D1F81"/>
    <w:rsid w:val="006D2B24"/>
    <w:rsid w:val="006D3125"/>
    <w:rsid w:val="006D3FD6"/>
    <w:rsid w:val="006D4260"/>
    <w:rsid w:val="006D5208"/>
    <w:rsid w:val="006D67E9"/>
    <w:rsid w:val="006D684C"/>
    <w:rsid w:val="006D6E0C"/>
    <w:rsid w:val="006D737F"/>
    <w:rsid w:val="006D75AA"/>
    <w:rsid w:val="006D762C"/>
    <w:rsid w:val="006D79FD"/>
    <w:rsid w:val="006E011A"/>
    <w:rsid w:val="006E17F9"/>
    <w:rsid w:val="006E315D"/>
    <w:rsid w:val="006E3FEA"/>
    <w:rsid w:val="006E4000"/>
    <w:rsid w:val="006E440E"/>
    <w:rsid w:val="006E48D9"/>
    <w:rsid w:val="006E51F3"/>
    <w:rsid w:val="006E63DA"/>
    <w:rsid w:val="006E7E04"/>
    <w:rsid w:val="006F03E5"/>
    <w:rsid w:val="006F0945"/>
    <w:rsid w:val="006F0BEE"/>
    <w:rsid w:val="006F2636"/>
    <w:rsid w:val="006F28A3"/>
    <w:rsid w:val="006F52EC"/>
    <w:rsid w:val="006F54F3"/>
    <w:rsid w:val="006F69E9"/>
    <w:rsid w:val="00700353"/>
    <w:rsid w:val="00700496"/>
    <w:rsid w:val="0070134C"/>
    <w:rsid w:val="0070205F"/>
    <w:rsid w:val="0070335C"/>
    <w:rsid w:val="00703E19"/>
    <w:rsid w:val="0070402E"/>
    <w:rsid w:val="00705076"/>
    <w:rsid w:val="00705839"/>
    <w:rsid w:val="00705BC1"/>
    <w:rsid w:val="00710C8E"/>
    <w:rsid w:val="0071292A"/>
    <w:rsid w:val="00712C07"/>
    <w:rsid w:val="00713905"/>
    <w:rsid w:val="00713DAB"/>
    <w:rsid w:val="00713F9C"/>
    <w:rsid w:val="00715E14"/>
    <w:rsid w:val="00715F9C"/>
    <w:rsid w:val="0071603B"/>
    <w:rsid w:val="00716D30"/>
    <w:rsid w:val="0071775C"/>
    <w:rsid w:val="007217FF"/>
    <w:rsid w:val="00722929"/>
    <w:rsid w:val="00722F14"/>
    <w:rsid w:val="00723758"/>
    <w:rsid w:val="00723DB2"/>
    <w:rsid w:val="007240C4"/>
    <w:rsid w:val="00724DB6"/>
    <w:rsid w:val="00724E60"/>
    <w:rsid w:val="00725427"/>
    <w:rsid w:val="00725BE8"/>
    <w:rsid w:val="00725E17"/>
    <w:rsid w:val="0072603B"/>
    <w:rsid w:val="007264A7"/>
    <w:rsid w:val="00726B1D"/>
    <w:rsid w:val="00727413"/>
    <w:rsid w:val="007276DB"/>
    <w:rsid w:val="00727902"/>
    <w:rsid w:val="00727B76"/>
    <w:rsid w:val="00730B7B"/>
    <w:rsid w:val="0073143C"/>
    <w:rsid w:val="00733A1C"/>
    <w:rsid w:val="00736EA3"/>
    <w:rsid w:val="00737331"/>
    <w:rsid w:val="0074087B"/>
    <w:rsid w:val="00740959"/>
    <w:rsid w:val="00745493"/>
    <w:rsid w:val="00747845"/>
    <w:rsid w:val="0075008D"/>
    <w:rsid w:val="007502C3"/>
    <w:rsid w:val="007508EF"/>
    <w:rsid w:val="007511C2"/>
    <w:rsid w:val="00751D2B"/>
    <w:rsid w:val="0075393A"/>
    <w:rsid w:val="007551EC"/>
    <w:rsid w:val="0075662F"/>
    <w:rsid w:val="00757320"/>
    <w:rsid w:val="0076013B"/>
    <w:rsid w:val="007608D1"/>
    <w:rsid w:val="00761D55"/>
    <w:rsid w:val="00762562"/>
    <w:rsid w:val="00762CEE"/>
    <w:rsid w:val="00762D0E"/>
    <w:rsid w:val="00764158"/>
    <w:rsid w:val="00764437"/>
    <w:rsid w:val="007650A0"/>
    <w:rsid w:val="0076578E"/>
    <w:rsid w:val="00765E6B"/>
    <w:rsid w:val="00765F76"/>
    <w:rsid w:val="00767043"/>
    <w:rsid w:val="00767568"/>
    <w:rsid w:val="0077005C"/>
    <w:rsid w:val="00772462"/>
    <w:rsid w:val="007734DE"/>
    <w:rsid w:val="007762F3"/>
    <w:rsid w:val="007766D1"/>
    <w:rsid w:val="0077766D"/>
    <w:rsid w:val="007809BC"/>
    <w:rsid w:val="00780E72"/>
    <w:rsid w:val="00783B44"/>
    <w:rsid w:val="00786677"/>
    <w:rsid w:val="00786A0F"/>
    <w:rsid w:val="00791387"/>
    <w:rsid w:val="0079148E"/>
    <w:rsid w:val="007935A1"/>
    <w:rsid w:val="00793A59"/>
    <w:rsid w:val="007954CC"/>
    <w:rsid w:val="00795B51"/>
    <w:rsid w:val="00795C1F"/>
    <w:rsid w:val="007A08B3"/>
    <w:rsid w:val="007A208E"/>
    <w:rsid w:val="007A295B"/>
    <w:rsid w:val="007A2EB6"/>
    <w:rsid w:val="007A31EE"/>
    <w:rsid w:val="007A5444"/>
    <w:rsid w:val="007A5A33"/>
    <w:rsid w:val="007A5C8F"/>
    <w:rsid w:val="007A5CC8"/>
    <w:rsid w:val="007A7AE8"/>
    <w:rsid w:val="007A7FB5"/>
    <w:rsid w:val="007B010D"/>
    <w:rsid w:val="007B138C"/>
    <w:rsid w:val="007B14AD"/>
    <w:rsid w:val="007B2F4B"/>
    <w:rsid w:val="007B331B"/>
    <w:rsid w:val="007B3EFB"/>
    <w:rsid w:val="007B440B"/>
    <w:rsid w:val="007B5DBD"/>
    <w:rsid w:val="007B72BE"/>
    <w:rsid w:val="007C0B92"/>
    <w:rsid w:val="007C12E7"/>
    <w:rsid w:val="007C222C"/>
    <w:rsid w:val="007C2323"/>
    <w:rsid w:val="007C2773"/>
    <w:rsid w:val="007C37B7"/>
    <w:rsid w:val="007C526A"/>
    <w:rsid w:val="007C6D25"/>
    <w:rsid w:val="007C7DF5"/>
    <w:rsid w:val="007D086C"/>
    <w:rsid w:val="007D15BE"/>
    <w:rsid w:val="007D22ED"/>
    <w:rsid w:val="007D2D98"/>
    <w:rsid w:val="007D38AD"/>
    <w:rsid w:val="007D5889"/>
    <w:rsid w:val="007D72FA"/>
    <w:rsid w:val="007D75D5"/>
    <w:rsid w:val="007E06EA"/>
    <w:rsid w:val="007E0D4D"/>
    <w:rsid w:val="007E1F7B"/>
    <w:rsid w:val="007E28A0"/>
    <w:rsid w:val="007E3355"/>
    <w:rsid w:val="007E374C"/>
    <w:rsid w:val="007E3A90"/>
    <w:rsid w:val="007E4BB7"/>
    <w:rsid w:val="007E5722"/>
    <w:rsid w:val="007E5ED8"/>
    <w:rsid w:val="007E79B2"/>
    <w:rsid w:val="007F0651"/>
    <w:rsid w:val="007F1655"/>
    <w:rsid w:val="007F1744"/>
    <w:rsid w:val="007F1A6F"/>
    <w:rsid w:val="007F1ECD"/>
    <w:rsid w:val="007F1F4E"/>
    <w:rsid w:val="007F3FBC"/>
    <w:rsid w:val="007F46F9"/>
    <w:rsid w:val="007F47E6"/>
    <w:rsid w:val="007F4FFB"/>
    <w:rsid w:val="007F4FFF"/>
    <w:rsid w:val="007F50AE"/>
    <w:rsid w:val="007F54FC"/>
    <w:rsid w:val="007F576B"/>
    <w:rsid w:val="007F6545"/>
    <w:rsid w:val="007F7BF4"/>
    <w:rsid w:val="00801241"/>
    <w:rsid w:val="0080179A"/>
    <w:rsid w:val="00801BCA"/>
    <w:rsid w:val="00801CED"/>
    <w:rsid w:val="008023E9"/>
    <w:rsid w:val="008028B1"/>
    <w:rsid w:val="008039E3"/>
    <w:rsid w:val="008052BE"/>
    <w:rsid w:val="00805435"/>
    <w:rsid w:val="00805EBF"/>
    <w:rsid w:val="00805F24"/>
    <w:rsid w:val="0080673A"/>
    <w:rsid w:val="00810B86"/>
    <w:rsid w:val="00811838"/>
    <w:rsid w:val="00812CA3"/>
    <w:rsid w:val="00814A07"/>
    <w:rsid w:val="00815092"/>
    <w:rsid w:val="00815294"/>
    <w:rsid w:val="0081684B"/>
    <w:rsid w:val="0082036F"/>
    <w:rsid w:val="0082125E"/>
    <w:rsid w:val="008217EB"/>
    <w:rsid w:val="00821A04"/>
    <w:rsid w:val="00821DA1"/>
    <w:rsid w:val="00822199"/>
    <w:rsid w:val="008226CD"/>
    <w:rsid w:val="0082478D"/>
    <w:rsid w:val="0082668D"/>
    <w:rsid w:val="0082674D"/>
    <w:rsid w:val="008267E8"/>
    <w:rsid w:val="008269FE"/>
    <w:rsid w:val="00826EA2"/>
    <w:rsid w:val="00827161"/>
    <w:rsid w:val="00827BE4"/>
    <w:rsid w:val="00831945"/>
    <w:rsid w:val="00832A99"/>
    <w:rsid w:val="00834DAD"/>
    <w:rsid w:val="00835514"/>
    <w:rsid w:val="0083556D"/>
    <w:rsid w:val="00835776"/>
    <w:rsid w:val="00835908"/>
    <w:rsid w:val="00835E8E"/>
    <w:rsid w:val="00836472"/>
    <w:rsid w:val="00837416"/>
    <w:rsid w:val="00840318"/>
    <w:rsid w:val="00841257"/>
    <w:rsid w:val="0084135F"/>
    <w:rsid w:val="00841585"/>
    <w:rsid w:val="00844015"/>
    <w:rsid w:val="0084406D"/>
    <w:rsid w:val="00844D6D"/>
    <w:rsid w:val="00846315"/>
    <w:rsid w:val="00850DA4"/>
    <w:rsid w:val="008513AA"/>
    <w:rsid w:val="00852E49"/>
    <w:rsid w:val="00853D20"/>
    <w:rsid w:val="008540F0"/>
    <w:rsid w:val="008549EB"/>
    <w:rsid w:val="00855289"/>
    <w:rsid w:val="00855488"/>
    <w:rsid w:val="0085603C"/>
    <w:rsid w:val="00857D4D"/>
    <w:rsid w:val="0086100E"/>
    <w:rsid w:val="008618D5"/>
    <w:rsid w:val="00861EB3"/>
    <w:rsid w:val="00862A6A"/>
    <w:rsid w:val="0086360B"/>
    <w:rsid w:val="008642F6"/>
    <w:rsid w:val="00864608"/>
    <w:rsid w:val="00864FF8"/>
    <w:rsid w:val="008654F1"/>
    <w:rsid w:val="00865DED"/>
    <w:rsid w:val="00865FB4"/>
    <w:rsid w:val="00870696"/>
    <w:rsid w:val="008724F7"/>
    <w:rsid w:val="00872AC2"/>
    <w:rsid w:val="00873196"/>
    <w:rsid w:val="00874DB2"/>
    <w:rsid w:val="00874F66"/>
    <w:rsid w:val="00875632"/>
    <w:rsid w:val="00875A82"/>
    <w:rsid w:val="008762EC"/>
    <w:rsid w:val="0087642C"/>
    <w:rsid w:val="00876632"/>
    <w:rsid w:val="00877542"/>
    <w:rsid w:val="008777EF"/>
    <w:rsid w:val="00880837"/>
    <w:rsid w:val="008816CF"/>
    <w:rsid w:val="00881A0D"/>
    <w:rsid w:val="00881A21"/>
    <w:rsid w:val="008826E2"/>
    <w:rsid w:val="008845D0"/>
    <w:rsid w:val="00885E8B"/>
    <w:rsid w:val="008863AD"/>
    <w:rsid w:val="008874D8"/>
    <w:rsid w:val="00887F39"/>
    <w:rsid w:val="008933A4"/>
    <w:rsid w:val="00893E8B"/>
    <w:rsid w:val="00896529"/>
    <w:rsid w:val="00896A70"/>
    <w:rsid w:val="00896CE5"/>
    <w:rsid w:val="00897154"/>
    <w:rsid w:val="008973BE"/>
    <w:rsid w:val="008A01D8"/>
    <w:rsid w:val="008A0704"/>
    <w:rsid w:val="008A16B0"/>
    <w:rsid w:val="008A2943"/>
    <w:rsid w:val="008A32F7"/>
    <w:rsid w:val="008A45B4"/>
    <w:rsid w:val="008A598A"/>
    <w:rsid w:val="008A5AA5"/>
    <w:rsid w:val="008A7164"/>
    <w:rsid w:val="008A7DC4"/>
    <w:rsid w:val="008B088C"/>
    <w:rsid w:val="008B11B8"/>
    <w:rsid w:val="008B135A"/>
    <w:rsid w:val="008B1A5D"/>
    <w:rsid w:val="008B1B2E"/>
    <w:rsid w:val="008B2B60"/>
    <w:rsid w:val="008B30A0"/>
    <w:rsid w:val="008B36C3"/>
    <w:rsid w:val="008B43A6"/>
    <w:rsid w:val="008B47DE"/>
    <w:rsid w:val="008B49BE"/>
    <w:rsid w:val="008B5004"/>
    <w:rsid w:val="008B67F3"/>
    <w:rsid w:val="008B737C"/>
    <w:rsid w:val="008C0E99"/>
    <w:rsid w:val="008C1847"/>
    <w:rsid w:val="008C2194"/>
    <w:rsid w:val="008C4F85"/>
    <w:rsid w:val="008C5CDC"/>
    <w:rsid w:val="008C5CDF"/>
    <w:rsid w:val="008C680B"/>
    <w:rsid w:val="008D14AF"/>
    <w:rsid w:val="008D201F"/>
    <w:rsid w:val="008D353E"/>
    <w:rsid w:val="008D40C3"/>
    <w:rsid w:val="008D4A6E"/>
    <w:rsid w:val="008D62C4"/>
    <w:rsid w:val="008D6DCE"/>
    <w:rsid w:val="008E0FB1"/>
    <w:rsid w:val="008E2790"/>
    <w:rsid w:val="008E322B"/>
    <w:rsid w:val="008E3CCF"/>
    <w:rsid w:val="008E419A"/>
    <w:rsid w:val="008E57F1"/>
    <w:rsid w:val="008F0040"/>
    <w:rsid w:val="008F2969"/>
    <w:rsid w:val="008F2B1A"/>
    <w:rsid w:val="008F525A"/>
    <w:rsid w:val="008F581D"/>
    <w:rsid w:val="008F64B1"/>
    <w:rsid w:val="008F6BD1"/>
    <w:rsid w:val="008F76F5"/>
    <w:rsid w:val="00900F69"/>
    <w:rsid w:val="00901DAC"/>
    <w:rsid w:val="00903C6B"/>
    <w:rsid w:val="0090503B"/>
    <w:rsid w:val="00905630"/>
    <w:rsid w:val="00905D8D"/>
    <w:rsid w:val="00905FA1"/>
    <w:rsid w:val="00906432"/>
    <w:rsid w:val="009076A0"/>
    <w:rsid w:val="00907A28"/>
    <w:rsid w:val="00907E65"/>
    <w:rsid w:val="00907E66"/>
    <w:rsid w:val="0091015C"/>
    <w:rsid w:val="00912531"/>
    <w:rsid w:val="00912D99"/>
    <w:rsid w:val="00916DA9"/>
    <w:rsid w:val="00916F3C"/>
    <w:rsid w:val="009172CF"/>
    <w:rsid w:val="009178EC"/>
    <w:rsid w:val="00917A9C"/>
    <w:rsid w:val="0092007B"/>
    <w:rsid w:val="00920790"/>
    <w:rsid w:val="00920D89"/>
    <w:rsid w:val="009212B4"/>
    <w:rsid w:val="00921F72"/>
    <w:rsid w:val="009239F9"/>
    <w:rsid w:val="00923A4B"/>
    <w:rsid w:val="00923DDF"/>
    <w:rsid w:val="0092405E"/>
    <w:rsid w:val="009240CE"/>
    <w:rsid w:val="0092482A"/>
    <w:rsid w:val="00924CC1"/>
    <w:rsid w:val="0092597B"/>
    <w:rsid w:val="009270C8"/>
    <w:rsid w:val="00927BC6"/>
    <w:rsid w:val="00927E15"/>
    <w:rsid w:val="009304F6"/>
    <w:rsid w:val="009314BE"/>
    <w:rsid w:val="00931B12"/>
    <w:rsid w:val="00932E98"/>
    <w:rsid w:val="00933D25"/>
    <w:rsid w:val="00933E4A"/>
    <w:rsid w:val="00935F7B"/>
    <w:rsid w:val="0093669E"/>
    <w:rsid w:val="009371CD"/>
    <w:rsid w:val="009403ED"/>
    <w:rsid w:val="0094059D"/>
    <w:rsid w:val="00941494"/>
    <w:rsid w:val="0094205D"/>
    <w:rsid w:val="00942B25"/>
    <w:rsid w:val="0094307B"/>
    <w:rsid w:val="00943C00"/>
    <w:rsid w:val="00943CD7"/>
    <w:rsid w:val="0094425E"/>
    <w:rsid w:val="0094569A"/>
    <w:rsid w:val="0094605C"/>
    <w:rsid w:val="0094706F"/>
    <w:rsid w:val="00947352"/>
    <w:rsid w:val="00947365"/>
    <w:rsid w:val="00950AA4"/>
    <w:rsid w:val="00952866"/>
    <w:rsid w:val="009530C8"/>
    <w:rsid w:val="0095314A"/>
    <w:rsid w:val="0095398F"/>
    <w:rsid w:val="00953E49"/>
    <w:rsid w:val="00953EDA"/>
    <w:rsid w:val="00955B87"/>
    <w:rsid w:val="009607FC"/>
    <w:rsid w:val="009610A5"/>
    <w:rsid w:val="00961337"/>
    <w:rsid w:val="0096141F"/>
    <w:rsid w:val="0096275B"/>
    <w:rsid w:val="0096339B"/>
    <w:rsid w:val="009642C0"/>
    <w:rsid w:val="00964C90"/>
    <w:rsid w:val="0096549D"/>
    <w:rsid w:val="00965C8A"/>
    <w:rsid w:val="00966B3D"/>
    <w:rsid w:val="00967249"/>
    <w:rsid w:val="00967F24"/>
    <w:rsid w:val="00970F57"/>
    <w:rsid w:val="00971BF2"/>
    <w:rsid w:val="00972161"/>
    <w:rsid w:val="009726A4"/>
    <w:rsid w:val="00973109"/>
    <w:rsid w:val="00974C9D"/>
    <w:rsid w:val="00974E92"/>
    <w:rsid w:val="009760A0"/>
    <w:rsid w:val="00976169"/>
    <w:rsid w:val="009765B1"/>
    <w:rsid w:val="00977ECE"/>
    <w:rsid w:val="009801ED"/>
    <w:rsid w:val="00980708"/>
    <w:rsid w:val="00981420"/>
    <w:rsid w:val="00981FCE"/>
    <w:rsid w:val="00982AF0"/>
    <w:rsid w:val="00983DE3"/>
    <w:rsid w:val="00983ECA"/>
    <w:rsid w:val="009855AA"/>
    <w:rsid w:val="00985C0E"/>
    <w:rsid w:val="0099018F"/>
    <w:rsid w:val="009915F8"/>
    <w:rsid w:val="009925F2"/>
    <w:rsid w:val="00993A43"/>
    <w:rsid w:val="0099617E"/>
    <w:rsid w:val="00996CFC"/>
    <w:rsid w:val="00996EE6"/>
    <w:rsid w:val="00996FFF"/>
    <w:rsid w:val="00997D95"/>
    <w:rsid w:val="009A0107"/>
    <w:rsid w:val="009A1108"/>
    <w:rsid w:val="009A2AFB"/>
    <w:rsid w:val="009A3EE0"/>
    <w:rsid w:val="009A4901"/>
    <w:rsid w:val="009A54DA"/>
    <w:rsid w:val="009A6BBA"/>
    <w:rsid w:val="009A71D5"/>
    <w:rsid w:val="009B19A1"/>
    <w:rsid w:val="009B20A3"/>
    <w:rsid w:val="009B3B26"/>
    <w:rsid w:val="009B3DBE"/>
    <w:rsid w:val="009B55ED"/>
    <w:rsid w:val="009B66A1"/>
    <w:rsid w:val="009C158A"/>
    <w:rsid w:val="009C24F3"/>
    <w:rsid w:val="009C27C7"/>
    <w:rsid w:val="009C439F"/>
    <w:rsid w:val="009C4522"/>
    <w:rsid w:val="009C4722"/>
    <w:rsid w:val="009C50F2"/>
    <w:rsid w:val="009C58F0"/>
    <w:rsid w:val="009C5B10"/>
    <w:rsid w:val="009C5B22"/>
    <w:rsid w:val="009C5C21"/>
    <w:rsid w:val="009C6480"/>
    <w:rsid w:val="009C6738"/>
    <w:rsid w:val="009D0045"/>
    <w:rsid w:val="009D08CF"/>
    <w:rsid w:val="009D0CF7"/>
    <w:rsid w:val="009D10D5"/>
    <w:rsid w:val="009D4264"/>
    <w:rsid w:val="009D52FC"/>
    <w:rsid w:val="009D7C64"/>
    <w:rsid w:val="009D7EE3"/>
    <w:rsid w:val="009D7F48"/>
    <w:rsid w:val="009E04D3"/>
    <w:rsid w:val="009E3453"/>
    <w:rsid w:val="009E3C2C"/>
    <w:rsid w:val="009E4528"/>
    <w:rsid w:val="009E4610"/>
    <w:rsid w:val="009E49CB"/>
    <w:rsid w:val="009E4F45"/>
    <w:rsid w:val="009E60B3"/>
    <w:rsid w:val="009E67D3"/>
    <w:rsid w:val="009E755D"/>
    <w:rsid w:val="009E7FF6"/>
    <w:rsid w:val="009F06F8"/>
    <w:rsid w:val="009F0F1B"/>
    <w:rsid w:val="009F1985"/>
    <w:rsid w:val="009F1DE8"/>
    <w:rsid w:val="009F3DAD"/>
    <w:rsid w:val="009F4020"/>
    <w:rsid w:val="009F416D"/>
    <w:rsid w:val="009F43E8"/>
    <w:rsid w:val="009F482D"/>
    <w:rsid w:val="009F6835"/>
    <w:rsid w:val="009F70B4"/>
    <w:rsid w:val="00A0055D"/>
    <w:rsid w:val="00A00955"/>
    <w:rsid w:val="00A00C49"/>
    <w:rsid w:val="00A02FAD"/>
    <w:rsid w:val="00A032E1"/>
    <w:rsid w:val="00A04C5D"/>
    <w:rsid w:val="00A07282"/>
    <w:rsid w:val="00A10668"/>
    <w:rsid w:val="00A10CBF"/>
    <w:rsid w:val="00A11130"/>
    <w:rsid w:val="00A12388"/>
    <w:rsid w:val="00A13B7E"/>
    <w:rsid w:val="00A14489"/>
    <w:rsid w:val="00A15883"/>
    <w:rsid w:val="00A164CA"/>
    <w:rsid w:val="00A16908"/>
    <w:rsid w:val="00A16CE0"/>
    <w:rsid w:val="00A20436"/>
    <w:rsid w:val="00A22E08"/>
    <w:rsid w:val="00A22FFB"/>
    <w:rsid w:val="00A246A0"/>
    <w:rsid w:val="00A24700"/>
    <w:rsid w:val="00A2477D"/>
    <w:rsid w:val="00A26289"/>
    <w:rsid w:val="00A2769B"/>
    <w:rsid w:val="00A30346"/>
    <w:rsid w:val="00A30A92"/>
    <w:rsid w:val="00A3292C"/>
    <w:rsid w:val="00A34023"/>
    <w:rsid w:val="00A3490E"/>
    <w:rsid w:val="00A35539"/>
    <w:rsid w:val="00A365D2"/>
    <w:rsid w:val="00A36A5B"/>
    <w:rsid w:val="00A37896"/>
    <w:rsid w:val="00A3796F"/>
    <w:rsid w:val="00A401D1"/>
    <w:rsid w:val="00A405EC"/>
    <w:rsid w:val="00A40E10"/>
    <w:rsid w:val="00A4145E"/>
    <w:rsid w:val="00A41672"/>
    <w:rsid w:val="00A4171F"/>
    <w:rsid w:val="00A41721"/>
    <w:rsid w:val="00A41F3F"/>
    <w:rsid w:val="00A42556"/>
    <w:rsid w:val="00A42EE7"/>
    <w:rsid w:val="00A43465"/>
    <w:rsid w:val="00A44080"/>
    <w:rsid w:val="00A45945"/>
    <w:rsid w:val="00A46318"/>
    <w:rsid w:val="00A50CD3"/>
    <w:rsid w:val="00A51703"/>
    <w:rsid w:val="00A51F45"/>
    <w:rsid w:val="00A53434"/>
    <w:rsid w:val="00A539B5"/>
    <w:rsid w:val="00A547E1"/>
    <w:rsid w:val="00A54801"/>
    <w:rsid w:val="00A54846"/>
    <w:rsid w:val="00A5743E"/>
    <w:rsid w:val="00A57B39"/>
    <w:rsid w:val="00A617F9"/>
    <w:rsid w:val="00A61966"/>
    <w:rsid w:val="00A61A50"/>
    <w:rsid w:val="00A62777"/>
    <w:rsid w:val="00A62CBC"/>
    <w:rsid w:val="00A63191"/>
    <w:rsid w:val="00A65204"/>
    <w:rsid w:val="00A654E4"/>
    <w:rsid w:val="00A663A4"/>
    <w:rsid w:val="00A66DDB"/>
    <w:rsid w:val="00A72612"/>
    <w:rsid w:val="00A74385"/>
    <w:rsid w:val="00A760F4"/>
    <w:rsid w:val="00A77143"/>
    <w:rsid w:val="00A773B7"/>
    <w:rsid w:val="00A776E1"/>
    <w:rsid w:val="00A80467"/>
    <w:rsid w:val="00A83202"/>
    <w:rsid w:val="00A83847"/>
    <w:rsid w:val="00A83D52"/>
    <w:rsid w:val="00A846DB"/>
    <w:rsid w:val="00A84E5C"/>
    <w:rsid w:val="00A85672"/>
    <w:rsid w:val="00A8595C"/>
    <w:rsid w:val="00A862F8"/>
    <w:rsid w:val="00A87ABC"/>
    <w:rsid w:val="00A91177"/>
    <w:rsid w:val="00A91F2A"/>
    <w:rsid w:val="00A9206B"/>
    <w:rsid w:val="00A921C7"/>
    <w:rsid w:val="00A9288B"/>
    <w:rsid w:val="00A9311C"/>
    <w:rsid w:val="00A9483E"/>
    <w:rsid w:val="00A95117"/>
    <w:rsid w:val="00A959FD"/>
    <w:rsid w:val="00AA0945"/>
    <w:rsid w:val="00AA10AC"/>
    <w:rsid w:val="00AA183E"/>
    <w:rsid w:val="00AA208B"/>
    <w:rsid w:val="00AA6D8D"/>
    <w:rsid w:val="00AB06E0"/>
    <w:rsid w:val="00AB08BD"/>
    <w:rsid w:val="00AB169F"/>
    <w:rsid w:val="00AB43FE"/>
    <w:rsid w:val="00AB446C"/>
    <w:rsid w:val="00AB44E1"/>
    <w:rsid w:val="00AB4636"/>
    <w:rsid w:val="00AB4CAF"/>
    <w:rsid w:val="00AB6240"/>
    <w:rsid w:val="00AB63A6"/>
    <w:rsid w:val="00AB6845"/>
    <w:rsid w:val="00AB785B"/>
    <w:rsid w:val="00AC0DCE"/>
    <w:rsid w:val="00AC1293"/>
    <w:rsid w:val="00AC2183"/>
    <w:rsid w:val="00AC271E"/>
    <w:rsid w:val="00AC3C7E"/>
    <w:rsid w:val="00AC4075"/>
    <w:rsid w:val="00AC49E7"/>
    <w:rsid w:val="00AC7C0A"/>
    <w:rsid w:val="00AD2CC1"/>
    <w:rsid w:val="00AD32C7"/>
    <w:rsid w:val="00AD3414"/>
    <w:rsid w:val="00AD3AA6"/>
    <w:rsid w:val="00AD49ED"/>
    <w:rsid w:val="00AD4F2C"/>
    <w:rsid w:val="00AD56FA"/>
    <w:rsid w:val="00AD5BCD"/>
    <w:rsid w:val="00AD61CC"/>
    <w:rsid w:val="00AD63E6"/>
    <w:rsid w:val="00AE0028"/>
    <w:rsid w:val="00AE09A7"/>
    <w:rsid w:val="00AE3C8C"/>
    <w:rsid w:val="00AE49EE"/>
    <w:rsid w:val="00AE4CB3"/>
    <w:rsid w:val="00AE6BE9"/>
    <w:rsid w:val="00AE6FF3"/>
    <w:rsid w:val="00AE732E"/>
    <w:rsid w:val="00AE7F7B"/>
    <w:rsid w:val="00AF0518"/>
    <w:rsid w:val="00AF0EC3"/>
    <w:rsid w:val="00AF2781"/>
    <w:rsid w:val="00AF2BCF"/>
    <w:rsid w:val="00AF3018"/>
    <w:rsid w:val="00AF35F1"/>
    <w:rsid w:val="00AF3AED"/>
    <w:rsid w:val="00AF3DC4"/>
    <w:rsid w:val="00AF4863"/>
    <w:rsid w:val="00AF509B"/>
    <w:rsid w:val="00AF52B9"/>
    <w:rsid w:val="00AF6535"/>
    <w:rsid w:val="00AF6DE1"/>
    <w:rsid w:val="00AF6EEE"/>
    <w:rsid w:val="00B00904"/>
    <w:rsid w:val="00B02A62"/>
    <w:rsid w:val="00B02BD5"/>
    <w:rsid w:val="00B02D74"/>
    <w:rsid w:val="00B031CE"/>
    <w:rsid w:val="00B03844"/>
    <w:rsid w:val="00B05175"/>
    <w:rsid w:val="00B0566C"/>
    <w:rsid w:val="00B06D29"/>
    <w:rsid w:val="00B07B8E"/>
    <w:rsid w:val="00B10612"/>
    <w:rsid w:val="00B112F6"/>
    <w:rsid w:val="00B11823"/>
    <w:rsid w:val="00B11CC8"/>
    <w:rsid w:val="00B12373"/>
    <w:rsid w:val="00B12906"/>
    <w:rsid w:val="00B12FA5"/>
    <w:rsid w:val="00B13756"/>
    <w:rsid w:val="00B1491A"/>
    <w:rsid w:val="00B15148"/>
    <w:rsid w:val="00B17388"/>
    <w:rsid w:val="00B1771C"/>
    <w:rsid w:val="00B209DF"/>
    <w:rsid w:val="00B219FD"/>
    <w:rsid w:val="00B2339C"/>
    <w:rsid w:val="00B235EF"/>
    <w:rsid w:val="00B2460C"/>
    <w:rsid w:val="00B25E08"/>
    <w:rsid w:val="00B27DD0"/>
    <w:rsid w:val="00B309EE"/>
    <w:rsid w:val="00B32021"/>
    <w:rsid w:val="00B32410"/>
    <w:rsid w:val="00B3242E"/>
    <w:rsid w:val="00B333F2"/>
    <w:rsid w:val="00B343EA"/>
    <w:rsid w:val="00B34A94"/>
    <w:rsid w:val="00B35DB9"/>
    <w:rsid w:val="00B3716D"/>
    <w:rsid w:val="00B379C3"/>
    <w:rsid w:val="00B40B6A"/>
    <w:rsid w:val="00B4139B"/>
    <w:rsid w:val="00B41B41"/>
    <w:rsid w:val="00B41C02"/>
    <w:rsid w:val="00B429D4"/>
    <w:rsid w:val="00B42D63"/>
    <w:rsid w:val="00B42E1D"/>
    <w:rsid w:val="00B43913"/>
    <w:rsid w:val="00B44AE0"/>
    <w:rsid w:val="00B4604D"/>
    <w:rsid w:val="00B469D7"/>
    <w:rsid w:val="00B473E4"/>
    <w:rsid w:val="00B502B0"/>
    <w:rsid w:val="00B51008"/>
    <w:rsid w:val="00B51017"/>
    <w:rsid w:val="00B528DC"/>
    <w:rsid w:val="00B52BED"/>
    <w:rsid w:val="00B52FDA"/>
    <w:rsid w:val="00B54C4B"/>
    <w:rsid w:val="00B557BD"/>
    <w:rsid w:val="00B5702D"/>
    <w:rsid w:val="00B57AA8"/>
    <w:rsid w:val="00B604E5"/>
    <w:rsid w:val="00B6122A"/>
    <w:rsid w:val="00B64A56"/>
    <w:rsid w:val="00B657F7"/>
    <w:rsid w:val="00B66E7C"/>
    <w:rsid w:val="00B674C2"/>
    <w:rsid w:val="00B70060"/>
    <w:rsid w:val="00B7029B"/>
    <w:rsid w:val="00B70D81"/>
    <w:rsid w:val="00B70F51"/>
    <w:rsid w:val="00B71647"/>
    <w:rsid w:val="00B72F61"/>
    <w:rsid w:val="00B72FFD"/>
    <w:rsid w:val="00B73DFE"/>
    <w:rsid w:val="00B75748"/>
    <w:rsid w:val="00B76070"/>
    <w:rsid w:val="00B76651"/>
    <w:rsid w:val="00B77723"/>
    <w:rsid w:val="00B777F2"/>
    <w:rsid w:val="00B8142A"/>
    <w:rsid w:val="00B8158F"/>
    <w:rsid w:val="00B82A57"/>
    <w:rsid w:val="00B8377A"/>
    <w:rsid w:val="00B83C31"/>
    <w:rsid w:val="00B844B8"/>
    <w:rsid w:val="00B86E3E"/>
    <w:rsid w:val="00B87BF6"/>
    <w:rsid w:val="00B87E66"/>
    <w:rsid w:val="00B900DE"/>
    <w:rsid w:val="00B90CDA"/>
    <w:rsid w:val="00B9209A"/>
    <w:rsid w:val="00B93AD0"/>
    <w:rsid w:val="00B94217"/>
    <w:rsid w:val="00B949FD"/>
    <w:rsid w:val="00B95395"/>
    <w:rsid w:val="00B96C1C"/>
    <w:rsid w:val="00B96F9C"/>
    <w:rsid w:val="00B97265"/>
    <w:rsid w:val="00B976A5"/>
    <w:rsid w:val="00BA15EC"/>
    <w:rsid w:val="00BA170A"/>
    <w:rsid w:val="00BA1A7C"/>
    <w:rsid w:val="00BA22A5"/>
    <w:rsid w:val="00BA2406"/>
    <w:rsid w:val="00BA293C"/>
    <w:rsid w:val="00BA2D49"/>
    <w:rsid w:val="00BA3D85"/>
    <w:rsid w:val="00BB093C"/>
    <w:rsid w:val="00BB0A29"/>
    <w:rsid w:val="00BB1C6A"/>
    <w:rsid w:val="00BB22AB"/>
    <w:rsid w:val="00BB33D1"/>
    <w:rsid w:val="00BB564E"/>
    <w:rsid w:val="00BB61E8"/>
    <w:rsid w:val="00BB6930"/>
    <w:rsid w:val="00BC0507"/>
    <w:rsid w:val="00BC0C9B"/>
    <w:rsid w:val="00BC10DA"/>
    <w:rsid w:val="00BC1BC5"/>
    <w:rsid w:val="00BC1D18"/>
    <w:rsid w:val="00BC28BE"/>
    <w:rsid w:val="00BC2F30"/>
    <w:rsid w:val="00BC39A4"/>
    <w:rsid w:val="00BC3C47"/>
    <w:rsid w:val="00BC440D"/>
    <w:rsid w:val="00BC48F3"/>
    <w:rsid w:val="00BC4A2D"/>
    <w:rsid w:val="00BC4A81"/>
    <w:rsid w:val="00BC5892"/>
    <w:rsid w:val="00BC6931"/>
    <w:rsid w:val="00BC6AA1"/>
    <w:rsid w:val="00BC775A"/>
    <w:rsid w:val="00BD0592"/>
    <w:rsid w:val="00BD1808"/>
    <w:rsid w:val="00BD180F"/>
    <w:rsid w:val="00BD1905"/>
    <w:rsid w:val="00BD1D6B"/>
    <w:rsid w:val="00BD2261"/>
    <w:rsid w:val="00BD366A"/>
    <w:rsid w:val="00BD3995"/>
    <w:rsid w:val="00BD527D"/>
    <w:rsid w:val="00BD550B"/>
    <w:rsid w:val="00BD55B8"/>
    <w:rsid w:val="00BD589A"/>
    <w:rsid w:val="00BD76E4"/>
    <w:rsid w:val="00BD7923"/>
    <w:rsid w:val="00BE02D2"/>
    <w:rsid w:val="00BE0E62"/>
    <w:rsid w:val="00BE2055"/>
    <w:rsid w:val="00BE38E6"/>
    <w:rsid w:val="00BE6DCF"/>
    <w:rsid w:val="00BE7998"/>
    <w:rsid w:val="00BE7DA0"/>
    <w:rsid w:val="00BE7E05"/>
    <w:rsid w:val="00BF03F4"/>
    <w:rsid w:val="00BF09C5"/>
    <w:rsid w:val="00BF1AAB"/>
    <w:rsid w:val="00BF1D30"/>
    <w:rsid w:val="00BF2BCA"/>
    <w:rsid w:val="00BF5EEE"/>
    <w:rsid w:val="00BF6DB1"/>
    <w:rsid w:val="00C00693"/>
    <w:rsid w:val="00C01142"/>
    <w:rsid w:val="00C01525"/>
    <w:rsid w:val="00C0159C"/>
    <w:rsid w:val="00C0167A"/>
    <w:rsid w:val="00C04B52"/>
    <w:rsid w:val="00C0546A"/>
    <w:rsid w:val="00C055E9"/>
    <w:rsid w:val="00C06240"/>
    <w:rsid w:val="00C07586"/>
    <w:rsid w:val="00C10D7D"/>
    <w:rsid w:val="00C1229F"/>
    <w:rsid w:val="00C1271C"/>
    <w:rsid w:val="00C13B59"/>
    <w:rsid w:val="00C13C08"/>
    <w:rsid w:val="00C1434C"/>
    <w:rsid w:val="00C1538E"/>
    <w:rsid w:val="00C15D6C"/>
    <w:rsid w:val="00C15E47"/>
    <w:rsid w:val="00C17293"/>
    <w:rsid w:val="00C17F85"/>
    <w:rsid w:val="00C21D1D"/>
    <w:rsid w:val="00C225DC"/>
    <w:rsid w:val="00C23BC3"/>
    <w:rsid w:val="00C23CA4"/>
    <w:rsid w:val="00C23F7B"/>
    <w:rsid w:val="00C23FF3"/>
    <w:rsid w:val="00C24004"/>
    <w:rsid w:val="00C24497"/>
    <w:rsid w:val="00C2670D"/>
    <w:rsid w:val="00C27193"/>
    <w:rsid w:val="00C27F61"/>
    <w:rsid w:val="00C30461"/>
    <w:rsid w:val="00C30B91"/>
    <w:rsid w:val="00C30CB9"/>
    <w:rsid w:val="00C32C1B"/>
    <w:rsid w:val="00C33A58"/>
    <w:rsid w:val="00C34B98"/>
    <w:rsid w:val="00C3500B"/>
    <w:rsid w:val="00C35F1B"/>
    <w:rsid w:val="00C40BD4"/>
    <w:rsid w:val="00C4174D"/>
    <w:rsid w:val="00C42AEC"/>
    <w:rsid w:val="00C42ED3"/>
    <w:rsid w:val="00C43BB3"/>
    <w:rsid w:val="00C45579"/>
    <w:rsid w:val="00C4579F"/>
    <w:rsid w:val="00C45B86"/>
    <w:rsid w:val="00C50EFB"/>
    <w:rsid w:val="00C5201E"/>
    <w:rsid w:val="00C52FC7"/>
    <w:rsid w:val="00C53F00"/>
    <w:rsid w:val="00C5440E"/>
    <w:rsid w:val="00C549AA"/>
    <w:rsid w:val="00C54EAB"/>
    <w:rsid w:val="00C57D9A"/>
    <w:rsid w:val="00C57F9C"/>
    <w:rsid w:val="00C60C93"/>
    <w:rsid w:val="00C60F2E"/>
    <w:rsid w:val="00C61C6E"/>
    <w:rsid w:val="00C632BD"/>
    <w:rsid w:val="00C6488A"/>
    <w:rsid w:val="00C656F8"/>
    <w:rsid w:val="00C66184"/>
    <w:rsid w:val="00C67EA1"/>
    <w:rsid w:val="00C70120"/>
    <w:rsid w:val="00C703CA"/>
    <w:rsid w:val="00C7106C"/>
    <w:rsid w:val="00C71B8A"/>
    <w:rsid w:val="00C72658"/>
    <w:rsid w:val="00C73A3E"/>
    <w:rsid w:val="00C74AF0"/>
    <w:rsid w:val="00C74CB8"/>
    <w:rsid w:val="00C7530E"/>
    <w:rsid w:val="00C766D4"/>
    <w:rsid w:val="00C768F4"/>
    <w:rsid w:val="00C77F23"/>
    <w:rsid w:val="00C80312"/>
    <w:rsid w:val="00C832F5"/>
    <w:rsid w:val="00C83721"/>
    <w:rsid w:val="00C848D0"/>
    <w:rsid w:val="00C84B37"/>
    <w:rsid w:val="00C8679B"/>
    <w:rsid w:val="00C871A6"/>
    <w:rsid w:val="00C90F85"/>
    <w:rsid w:val="00C91702"/>
    <w:rsid w:val="00C91F91"/>
    <w:rsid w:val="00C9204B"/>
    <w:rsid w:val="00C924CE"/>
    <w:rsid w:val="00C92B88"/>
    <w:rsid w:val="00C93363"/>
    <w:rsid w:val="00C95D1F"/>
    <w:rsid w:val="00C968D5"/>
    <w:rsid w:val="00C969DD"/>
    <w:rsid w:val="00CA000C"/>
    <w:rsid w:val="00CA0CD5"/>
    <w:rsid w:val="00CA18EC"/>
    <w:rsid w:val="00CA4A20"/>
    <w:rsid w:val="00CA4C38"/>
    <w:rsid w:val="00CA5820"/>
    <w:rsid w:val="00CA6A88"/>
    <w:rsid w:val="00CA7CB9"/>
    <w:rsid w:val="00CB0FB9"/>
    <w:rsid w:val="00CB1085"/>
    <w:rsid w:val="00CB1267"/>
    <w:rsid w:val="00CB1C73"/>
    <w:rsid w:val="00CB34EC"/>
    <w:rsid w:val="00CB3CAE"/>
    <w:rsid w:val="00CB5220"/>
    <w:rsid w:val="00CB57B2"/>
    <w:rsid w:val="00CB68CD"/>
    <w:rsid w:val="00CB7BFC"/>
    <w:rsid w:val="00CC1152"/>
    <w:rsid w:val="00CC1DE6"/>
    <w:rsid w:val="00CC33BF"/>
    <w:rsid w:val="00CC3BDE"/>
    <w:rsid w:val="00CC3C35"/>
    <w:rsid w:val="00CC5B3C"/>
    <w:rsid w:val="00CC642F"/>
    <w:rsid w:val="00CC68CA"/>
    <w:rsid w:val="00CC6F4A"/>
    <w:rsid w:val="00CD1185"/>
    <w:rsid w:val="00CD1C6B"/>
    <w:rsid w:val="00CD26CB"/>
    <w:rsid w:val="00CD2D08"/>
    <w:rsid w:val="00CD3279"/>
    <w:rsid w:val="00CD3A42"/>
    <w:rsid w:val="00CD3B97"/>
    <w:rsid w:val="00CD460E"/>
    <w:rsid w:val="00CD4B21"/>
    <w:rsid w:val="00CD4B45"/>
    <w:rsid w:val="00CD51EC"/>
    <w:rsid w:val="00CD63E0"/>
    <w:rsid w:val="00CE0080"/>
    <w:rsid w:val="00CE0684"/>
    <w:rsid w:val="00CE160C"/>
    <w:rsid w:val="00CE164A"/>
    <w:rsid w:val="00CE2F03"/>
    <w:rsid w:val="00CE341A"/>
    <w:rsid w:val="00CE5016"/>
    <w:rsid w:val="00CE5254"/>
    <w:rsid w:val="00CE54FE"/>
    <w:rsid w:val="00CE57E0"/>
    <w:rsid w:val="00CE5BC3"/>
    <w:rsid w:val="00CE7545"/>
    <w:rsid w:val="00CF162F"/>
    <w:rsid w:val="00CF1EEA"/>
    <w:rsid w:val="00CF36D1"/>
    <w:rsid w:val="00CF3AA3"/>
    <w:rsid w:val="00CF3F2F"/>
    <w:rsid w:val="00CF5705"/>
    <w:rsid w:val="00CF60FB"/>
    <w:rsid w:val="00CF61D6"/>
    <w:rsid w:val="00CF6989"/>
    <w:rsid w:val="00CF7D1C"/>
    <w:rsid w:val="00D0080D"/>
    <w:rsid w:val="00D00F4E"/>
    <w:rsid w:val="00D0120E"/>
    <w:rsid w:val="00D0141D"/>
    <w:rsid w:val="00D01904"/>
    <w:rsid w:val="00D01DCF"/>
    <w:rsid w:val="00D02D5A"/>
    <w:rsid w:val="00D0373B"/>
    <w:rsid w:val="00D05B8E"/>
    <w:rsid w:val="00D05CD8"/>
    <w:rsid w:val="00D10016"/>
    <w:rsid w:val="00D10606"/>
    <w:rsid w:val="00D13ED0"/>
    <w:rsid w:val="00D13F25"/>
    <w:rsid w:val="00D141FA"/>
    <w:rsid w:val="00D14293"/>
    <w:rsid w:val="00D14C24"/>
    <w:rsid w:val="00D15235"/>
    <w:rsid w:val="00D15709"/>
    <w:rsid w:val="00D16E0A"/>
    <w:rsid w:val="00D17F9C"/>
    <w:rsid w:val="00D205EF"/>
    <w:rsid w:val="00D2264A"/>
    <w:rsid w:val="00D232AA"/>
    <w:rsid w:val="00D23EBA"/>
    <w:rsid w:val="00D240E4"/>
    <w:rsid w:val="00D244C1"/>
    <w:rsid w:val="00D25908"/>
    <w:rsid w:val="00D25974"/>
    <w:rsid w:val="00D25A35"/>
    <w:rsid w:val="00D264A4"/>
    <w:rsid w:val="00D264F4"/>
    <w:rsid w:val="00D267BC"/>
    <w:rsid w:val="00D26B3A"/>
    <w:rsid w:val="00D26C45"/>
    <w:rsid w:val="00D26C4C"/>
    <w:rsid w:val="00D31024"/>
    <w:rsid w:val="00D318A4"/>
    <w:rsid w:val="00D32C8D"/>
    <w:rsid w:val="00D33D65"/>
    <w:rsid w:val="00D35211"/>
    <w:rsid w:val="00D44ED2"/>
    <w:rsid w:val="00D44ED5"/>
    <w:rsid w:val="00D47D5A"/>
    <w:rsid w:val="00D502B8"/>
    <w:rsid w:val="00D50ECD"/>
    <w:rsid w:val="00D51BF3"/>
    <w:rsid w:val="00D531BD"/>
    <w:rsid w:val="00D53224"/>
    <w:rsid w:val="00D53C9B"/>
    <w:rsid w:val="00D54855"/>
    <w:rsid w:val="00D551CD"/>
    <w:rsid w:val="00D55442"/>
    <w:rsid w:val="00D5550E"/>
    <w:rsid w:val="00D56A7C"/>
    <w:rsid w:val="00D577ED"/>
    <w:rsid w:val="00D60701"/>
    <w:rsid w:val="00D611EF"/>
    <w:rsid w:val="00D62269"/>
    <w:rsid w:val="00D62A6F"/>
    <w:rsid w:val="00D633B5"/>
    <w:rsid w:val="00D63844"/>
    <w:rsid w:val="00D643E0"/>
    <w:rsid w:val="00D647A1"/>
    <w:rsid w:val="00D66398"/>
    <w:rsid w:val="00D6696B"/>
    <w:rsid w:val="00D701B1"/>
    <w:rsid w:val="00D7091D"/>
    <w:rsid w:val="00D71326"/>
    <w:rsid w:val="00D715B6"/>
    <w:rsid w:val="00D72EF7"/>
    <w:rsid w:val="00D73422"/>
    <w:rsid w:val="00D7365C"/>
    <w:rsid w:val="00D73EEA"/>
    <w:rsid w:val="00D74620"/>
    <w:rsid w:val="00D75764"/>
    <w:rsid w:val="00D771D6"/>
    <w:rsid w:val="00D82B64"/>
    <w:rsid w:val="00D846BE"/>
    <w:rsid w:val="00D865C5"/>
    <w:rsid w:val="00D866DE"/>
    <w:rsid w:val="00D8730E"/>
    <w:rsid w:val="00D87E7E"/>
    <w:rsid w:val="00D90682"/>
    <w:rsid w:val="00D90950"/>
    <w:rsid w:val="00D93287"/>
    <w:rsid w:val="00D93F91"/>
    <w:rsid w:val="00D9434F"/>
    <w:rsid w:val="00D95CA7"/>
    <w:rsid w:val="00D9635E"/>
    <w:rsid w:val="00D9683F"/>
    <w:rsid w:val="00D9688C"/>
    <w:rsid w:val="00DA03FE"/>
    <w:rsid w:val="00DA0553"/>
    <w:rsid w:val="00DA07FD"/>
    <w:rsid w:val="00DA15A5"/>
    <w:rsid w:val="00DA15C6"/>
    <w:rsid w:val="00DA174E"/>
    <w:rsid w:val="00DA3652"/>
    <w:rsid w:val="00DA6248"/>
    <w:rsid w:val="00DA654D"/>
    <w:rsid w:val="00DA6968"/>
    <w:rsid w:val="00DA7494"/>
    <w:rsid w:val="00DA7FB0"/>
    <w:rsid w:val="00DB0B10"/>
    <w:rsid w:val="00DB15CE"/>
    <w:rsid w:val="00DB1BEA"/>
    <w:rsid w:val="00DB2679"/>
    <w:rsid w:val="00DB28B5"/>
    <w:rsid w:val="00DB2B83"/>
    <w:rsid w:val="00DB2E56"/>
    <w:rsid w:val="00DB42A0"/>
    <w:rsid w:val="00DB4588"/>
    <w:rsid w:val="00DB5383"/>
    <w:rsid w:val="00DB5A12"/>
    <w:rsid w:val="00DB635B"/>
    <w:rsid w:val="00DB6EEF"/>
    <w:rsid w:val="00DB7A8D"/>
    <w:rsid w:val="00DB7D21"/>
    <w:rsid w:val="00DB7F44"/>
    <w:rsid w:val="00DC03DD"/>
    <w:rsid w:val="00DC099C"/>
    <w:rsid w:val="00DC0B18"/>
    <w:rsid w:val="00DC148C"/>
    <w:rsid w:val="00DC40F3"/>
    <w:rsid w:val="00DC5FB7"/>
    <w:rsid w:val="00DC6D59"/>
    <w:rsid w:val="00DD022F"/>
    <w:rsid w:val="00DD0DD8"/>
    <w:rsid w:val="00DD286F"/>
    <w:rsid w:val="00DD31A2"/>
    <w:rsid w:val="00DD47F5"/>
    <w:rsid w:val="00DD5744"/>
    <w:rsid w:val="00DD5A67"/>
    <w:rsid w:val="00DD6002"/>
    <w:rsid w:val="00DD76C0"/>
    <w:rsid w:val="00DD77A8"/>
    <w:rsid w:val="00DD7D75"/>
    <w:rsid w:val="00DE09BF"/>
    <w:rsid w:val="00DE2F1C"/>
    <w:rsid w:val="00DE4908"/>
    <w:rsid w:val="00DE62BB"/>
    <w:rsid w:val="00DE64B1"/>
    <w:rsid w:val="00DE6722"/>
    <w:rsid w:val="00DE6764"/>
    <w:rsid w:val="00DF1266"/>
    <w:rsid w:val="00DF2714"/>
    <w:rsid w:val="00DF283A"/>
    <w:rsid w:val="00DF31ED"/>
    <w:rsid w:val="00DF36BE"/>
    <w:rsid w:val="00DF52FB"/>
    <w:rsid w:val="00DF5428"/>
    <w:rsid w:val="00DF62ED"/>
    <w:rsid w:val="00DF6A0B"/>
    <w:rsid w:val="00DF7B9E"/>
    <w:rsid w:val="00DF7F71"/>
    <w:rsid w:val="00E002A0"/>
    <w:rsid w:val="00E01007"/>
    <w:rsid w:val="00E01D65"/>
    <w:rsid w:val="00E023F2"/>
    <w:rsid w:val="00E04DBC"/>
    <w:rsid w:val="00E0502A"/>
    <w:rsid w:val="00E051EB"/>
    <w:rsid w:val="00E05B8D"/>
    <w:rsid w:val="00E06533"/>
    <w:rsid w:val="00E10719"/>
    <w:rsid w:val="00E1263E"/>
    <w:rsid w:val="00E12F1F"/>
    <w:rsid w:val="00E13B27"/>
    <w:rsid w:val="00E16BE5"/>
    <w:rsid w:val="00E205B3"/>
    <w:rsid w:val="00E22C1E"/>
    <w:rsid w:val="00E2471A"/>
    <w:rsid w:val="00E24A9E"/>
    <w:rsid w:val="00E24D8F"/>
    <w:rsid w:val="00E26380"/>
    <w:rsid w:val="00E26990"/>
    <w:rsid w:val="00E26D75"/>
    <w:rsid w:val="00E27015"/>
    <w:rsid w:val="00E30703"/>
    <w:rsid w:val="00E30802"/>
    <w:rsid w:val="00E3280C"/>
    <w:rsid w:val="00E334DF"/>
    <w:rsid w:val="00E35FEA"/>
    <w:rsid w:val="00E37740"/>
    <w:rsid w:val="00E40602"/>
    <w:rsid w:val="00E42512"/>
    <w:rsid w:val="00E42B29"/>
    <w:rsid w:val="00E42D3C"/>
    <w:rsid w:val="00E435DC"/>
    <w:rsid w:val="00E43636"/>
    <w:rsid w:val="00E45107"/>
    <w:rsid w:val="00E4510E"/>
    <w:rsid w:val="00E45ADD"/>
    <w:rsid w:val="00E45F2D"/>
    <w:rsid w:val="00E471F7"/>
    <w:rsid w:val="00E474B8"/>
    <w:rsid w:val="00E47F3B"/>
    <w:rsid w:val="00E506D9"/>
    <w:rsid w:val="00E50F6F"/>
    <w:rsid w:val="00E5164E"/>
    <w:rsid w:val="00E52D5F"/>
    <w:rsid w:val="00E54B11"/>
    <w:rsid w:val="00E54C37"/>
    <w:rsid w:val="00E55AEE"/>
    <w:rsid w:val="00E55E32"/>
    <w:rsid w:val="00E562A9"/>
    <w:rsid w:val="00E56628"/>
    <w:rsid w:val="00E572F6"/>
    <w:rsid w:val="00E605A1"/>
    <w:rsid w:val="00E61DD9"/>
    <w:rsid w:val="00E6367B"/>
    <w:rsid w:val="00E63C2A"/>
    <w:rsid w:val="00E63C52"/>
    <w:rsid w:val="00E63D8C"/>
    <w:rsid w:val="00E64CCF"/>
    <w:rsid w:val="00E657FF"/>
    <w:rsid w:val="00E673B9"/>
    <w:rsid w:val="00E70603"/>
    <w:rsid w:val="00E71DEF"/>
    <w:rsid w:val="00E72880"/>
    <w:rsid w:val="00E731EF"/>
    <w:rsid w:val="00E736A3"/>
    <w:rsid w:val="00E7409C"/>
    <w:rsid w:val="00E74A6A"/>
    <w:rsid w:val="00E7500A"/>
    <w:rsid w:val="00E76995"/>
    <w:rsid w:val="00E76B41"/>
    <w:rsid w:val="00E776AC"/>
    <w:rsid w:val="00E77EE2"/>
    <w:rsid w:val="00E77F28"/>
    <w:rsid w:val="00E80D04"/>
    <w:rsid w:val="00E814B8"/>
    <w:rsid w:val="00E8463A"/>
    <w:rsid w:val="00E85492"/>
    <w:rsid w:val="00E85686"/>
    <w:rsid w:val="00E86632"/>
    <w:rsid w:val="00E87030"/>
    <w:rsid w:val="00E87368"/>
    <w:rsid w:val="00E92D20"/>
    <w:rsid w:val="00E92F01"/>
    <w:rsid w:val="00E93162"/>
    <w:rsid w:val="00E941D2"/>
    <w:rsid w:val="00E956D3"/>
    <w:rsid w:val="00E96989"/>
    <w:rsid w:val="00E96E26"/>
    <w:rsid w:val="00EA0BD2"/>
    <w:rsid w:val="00EA1E9A"/>
    <w:rsid w:val="00EA3B3A"/>
    <w:rsid w:val="00EA41A9"/>
    <w:rsid w:val="00EA558E"/>
    <w:rsid w:val="00EA5DB1"/>
    <w:rsid w:val="00EA695D"/>
    <w:rsid w:val="00EA6B76"/>
    <w:rsid w:val="00EB0D9C"/>
    <w:rsid w:val="00EB188C"/>
    <w:rsid w:val="00EB3362"/>
    <w:rsid w:val="00EB4C2F"/>
    <w:rsid w:val="00EB4D0E"/>
    <w:rsid w:val="00EB4D1C"/>
    <w:rsid w:val="00EB4E43"/>
    <w:rsid w:val="00EB5456"/>
    <w:rsid w:val="00EB5920"/>
    <w:rsid w:val="00EB5C60"/>
    <w:rsid w:val="00EC032F"/>
    <w:rsid w:val="00EC19D8"/>
    <w:rsid w:val="00EC372B"/>
    <w:rsid w:val="00EC3C3A"/>
    <w:rsid w:val="00EC6089"/>
    <w:rsid w:val="00EC670D"/>
    <w:rsid w:val="00ED06ED"/>
    <w:rsid w:val="00ED176F"/>
    <w:rsid w:val="00ED3E91"/>
    <w:rsid w:val="00ED42D4"/>
    <w:rsid w:val="00ED50AC"/>
    <w:rsid w:val="00ED6F67"/>
    <w:rsid w:val="00ED738E"/>
    <w:rsid w:val="00EE0512"/>
    <w:rsid w:val="00EE0CEC"/>
    <w:rsid w:val="00EE260B"/>
    <w:rsid w:val="00EE2A83"/>
    <w:rsid w:val="00EE382D"/>
    <w:rsid w:val="00EE4009"/>
    <w:rsid w:val="00EE434A"/>
    <w:rsid w:val="00EE4AFC"/>
    <w:rsid w:val="00EF0444"/>
    <w:rsid w:val="00EF096E"/>
    <w:rsid w:val="00EF0B40"/>
    <w:rsid w:val="00EF0DCF"/>
    <w:rsid w:val="00EF2896"/>
    <w:rsid w:val="00EF2E3D"/>
    <w:rsid w:val="00EF4A05"/>
    <w:rsid w:val="00EF51F8"/>
    <w:rsid w:val="00EF57F7"/>
    <w:rsid w:val="00EF5CB2"/>
    <w:rsid w:val="00EF6905"/>
    <w:rsid w:val="00EF74BE"/>
    <w:rsid w:val="00EF7FDD"/>
    <w:rsid w:val="00F00511"/>
    <w:rsid w:val="00F00DD7"/>
    <w:rsid w:val="00F026DF"/>
    <w:rsid w:val="00F0489D"/>
    <w:rsid w:val="00F04DE2"/>
    <w:rsid w:val="00F05BEE"/>
    <w:rsid w:val="00F116AA"/>
    <w:rsid w:val="00F1242E"/>
    <w:rsid w:val="00F125EB"/>
    <w:rsid w:val="00F128E3"/>
    <w:rsid w:val="00F13238"/>
    <w:rsid w:val="00F1361D"/>
    <w:rsid w:val="00F13905"/>
    <w:rsid w:val="00F144CF"/>
    <w:rsid w:val="00F14AF0"/>
    <w:rsid w:val="00F14D6F"/>
    <w:rsid w:val="00F1574B"/>
    <w:rsid w:val="00F16EE5"/>
    <w:rsid w:val="00F17992"/>
    <w:rsid w:val="00F205E4"/>
    <w:rsid w:val="00F2108E"/>
    <w:rsid w:val="00F2192C"/>
    <w:rsid w:val="00F22111"/>
    <w:rsid w:val="00F22C10"/>
    <w:rsid w:val="00F22D06"/>
    <w:rsid w:val="00F242BB"/>
    <w:rsid w:val="00F2479E"/>
    <w:rsid w:val="00F24883"/>
    <w:rsid w:val="00F24BD2"/>
    <w:rsid w:val="00F24D65"/>
    <w:rsid w:val="00F25106"/>
    <w:rsid w:val="00F25FF3"/>
    <w:rsid w:val="00F27129"/>
    <w:rsid w:val="00F27171"/>
    <w:rsid w:val="00F27F7B"/>
    <w:rsid w:val="00F30180"/>
    <w:rsid w:val="00F30A29"/>
    <w:rsid w:val="00F317A7"/>
    <w:rsid w:val="00F3222B"/>
    <w:rsid w:val="00F347DA"/>
    <w:rsid w:val="00F354E1"/>
    <w:rsid w:val="00F3689D"/>
    <w:rsid w:val="00F37905"/>
    <w:rsid w:val="00F401F4"/>
    <w:rsid w:val="00F40EA4"/>
    <w:rsid w:val="00F40F12"/>
    <w:rsid w:val="00F41189"/>
    <w:rsid w:val="00F43A4F"/>
    <w:rsid w:val="00F44081"/>
    <w:rsid w:val="00F4581E"/>
    <w:rsid w:val="00F466B9"/>
    <w:rsid w:val="00F47B6C"/>
    <w:rsid w:val="00F5077B"/>
    <w:rsid w:val="00F50B67"/>
    <w:rsid w:val="00F50CD3"/>
    <w:rsid w:val="00F511A7"/>
    <w:rsid w:val="00F51262"/>
    <w:rsid w:val="00F51CD7"/>
    <w:rsid w:val="00F52256"/>
    <w:rsid w:val="00F551DB"/>
    <w:rsid w:val="00F55AD3"/>
    <w:rsid w:val="00F55CE2"/>
    <w:rsid w:val="00F56187"/>
    <w:rsid w:val="00F56569"/>
    <w:rsid w:val="00F56ACF"/>
    <w:rsid w:val="00F60341"/>
    <w:rsid w:val="00F608C4"/>
    <w:rsid w:val="00F6092D"/>
    <w:rsid w:val="00F61FDF"/>
    <w:rsid w:val="00F62895"/>
    <w:rsid w:val="00F63199"/>
    <w:rsid w:val="00F6328E"/>
    <w:rsid w:val="00F632AB"/>
    <w:rsid w:val="00F63A8F"/>
    <w:rsid w:val="00F63ACF"/>
    <w:rsid w:val="00F65AB2"/>
    <w:rsid w:val="00F66710"/>
    <w:rsid w:val="00F66DE4"/>
    <w:rsid w:val="00F675DB"/>
    <w:rsid w:val="00F70065"/>
    <w:rsid w:val="00F703C9"/>
    <w:rsid w:val="00F70AB9"/>
    <w:rsid w:val="00F72C3B"/>
    <w:rsid w:val="00F7330F"/>
    <w:rsid w:val="00F73AAC"/>
    <w:rsid w:val="00F73C20"/>
    <w:rsid w:val="00F73CEE"/>
    <w:rsid w:val="00F744B5"/>
    <w:rsid w:val="00F766B3"/>
    <w:rsid w:val="00F77869"/>
    <w:rsid w:val="00F778F1"/>
    <w:rsid w:val="00F80B2D"/>
    <w:rsid w:val="00F815C9"/>
    <w:rsid w:val="00F8251B"/>
    <w:rsid w:val="00F82C00"/>
    <w:rsid w:val="00F83A56"/>
    <w:rsid w:val="00F83DFF"/>
    <w:rsid w:val="00F83FD8"/>
    <w:rsid w:val="00F84050"/>
    <w:rsid w:val="00F85469"/>
    <w:rsid w:val="00F85AB1"/>
    <w:rsid w:val="00F86769"/>
    <w:rsid w:val="00F8682A"/>
    <w:rsid w:val="00F86E76"/>
    <w:rsid w:val="00F87A82"/>
    <w:rsid w:val="00F87D5D"/>
    <w:rsid w:val="00F90DDF"/>
    <w:rsid w:val="00F91585"/>
    <w:rsid w:val="00F930A9"/>
    <w:rsid w:val="00F94EBD"/>
    <w:rsid w:val="00F96168"/>
    <w:rsid w:val="00F96706"/>
    <w:rsid w:val="00F9698A"/>
    <w:rsid w:val="00F9779B"/>
    <w:rsid w:val="00FA1DE1"/>
    <w:rsid w:val="00FA2876"/>
    <w:rsid w:val="00FA4F26"/>
    <w:rsid w:val="00FA6A63"/>
    <w:rsid w:val="00FA6BB6"/>
    <w:rsid w:val="00FA71E5"/>
    <w:rsid w:val="00FB101E"/>
    <w:rsid w:val="00FB1193"/>
    <w:rsid w:val="00FB156A"/>
    <w:rsid w:val="00FB1BD3"/>
    <w:rsid w:val="00FB1CB2"/>
    <w:rsid w:val="00FB1F04"/>
    <w:rsid w:val="00FB35AA"/>
    <w:rsid w:val="00FB5498"/>
    <w:rsid w:val="00FB5513"/>
    <w:rsid w:val="00FB762C"/>
    <w:rsid w:val="00FC22A2"/>
    <w:rsid w:val="00FC4A88"/>
    <w:rsid w:val="00FC5511"/>
    <w:rsid w:val="00FC58C8"/>
    <w:rsid w:val="00FC655F"/>
    <w:rsid w:val="00FC6D61"/>
    <w:rsid w:val="00FD1EC8"/>
    <w:rsid w:val="00FD221E"/>
    <w:rsid w:val="00FD2EED"/>
    <w:rsid w:val="00FD3067"/>
    <w:rsid w:val="00FD4E06"/>
    <w:rsid w:val="00FD4E96"/>
    <w:rsid w:val="00FD7414"/>
    <w:rsid w:val="00FD7525"/>
    <w:rsid w:val="00FE0D4D"/>
    <w:rsid w:val="00FE1CA6"/>
    <w:rsid w:val="00FE35FA"/>
    <w:rsid w:val="00FE382C"/>
    <w:rsid w:val="00FE6FBA"/>
    <w:rsid w:val="00FF0F1B"/>
    <w:rsid w:val="00FF174D"/>
    <w:rsid w:val="00FF17CF"/>
    <w:rsid w:val="00FF1AFD"/>
    <w:rsid w:val="00FF26D4"/>
    <w:rsid w:val="00FF329E"/>
    <w:rsid w:val="00FF37A1"/>
    <w:rsid w:val="00FF448E"/>
    <w:rsid w:val="00FF53F2"/>
    <w:rsid w:val="00FF6E82"/>
    <w:rsid w:val="00FF702C"/>
    <w:rsid w:val="00FF7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869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3D5"/>
    <w:pPr>
      <w:spacing w:line="480" w:lineRule="auto"/>
    </w:pPr>
    <w:rPr>
      <w:sz w:val="24"/>
      <w:szCs w:val="24"/>
    </w:rPr>
  </w:style>
  <w:style w:type="paragraph" w:styleId="Heading1">
    <w:name w:val="heading 1"/>
    <w:basedOn w:val="Normal"/>
    <w:next w:val="Normal"/>
    <w:link w:val="Heading1Char"/>
    <w:uiPriority w:val="9"/>
    <w:qFormat/>
    <w:rsid w:val="00CB5220"/>
    <w:pPr>
      <w:keepNext/>
      <w:spacing w:before="240" w:after="60"/>
      <w:outlineLvl w:val="0"/>
    </w:pPr>
    <w:rPr>
      <w:rFonts w:asciiTheme="majorHAnsi" w:eastAsiaTheme="majorEastAsia" w:hAnsiTheme="majorHAnsi" w:cstheme="majorBidi"/>
      <w:b/>
      <w:bCs/>
      <w:kern w:val="32"/>
      <w:sz w:val="28"/>
      <w:szCs w:val="32"/>
    </w:rPr>
  </w:style>
  <w:style w:type="paragraph" w:styleId="Heading2">
    <w:name w:val="heading 2"/>
    <w:basedOn w:val="Normal"/>
    <w:next w:val="Normal"/>
    <w:link w:val="Heading2Char"/>
    <w:uiPriority w:val="9"/>
    <w:unhideWhenUsed/>
    <w:qFormat/>
    <w:rsid w:val="003773D0"/>
    <w:pPr>
      <w:keepNext/>
      <w:spacing w:before="240" w:after="60"/>
      <w:outlineLvl w:val="1"/>
    </w:pPr>
    <w:rPr>
      <w:rFonts w:asciiTheme="majorHAnsi" w:eastAsiaTheme="majorEastAsia" w:hAnsiTheme="majorHAnsi" w:cstheme="majorBidi"/>
      <w:b/>
      <w:bCs/>
      <w:i/>
      <w:iCs/>
      <w:szCs w:val="28"/>
    </w:rPr>
  </w:style>
  <w:style w:type="paragraph" w:styleId="Heading3">
    <w:name w:val="heading 3"/>
    <w:basedOn w:val="Normal"/>
    <w:next w:val="Normal"/>
    <w:link w:val="Heading3Char"/>
    <w:uiPriority w:val="9"/>
    <w:unhideWhenUsed/>
    <w:qFormat/>
    <w:rsid w:val="00132DD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32DD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132DD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132DD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132DD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132DD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132DD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220"/>
    <w:rPr>
      <w:rFonts w:asciiTheme="majorHAnsi" w:eastAsiaTheme="majorEastAsia" w:hAnsiTheme="majorHAnsi" w:cstheme="majorBidi"/>
      <w:b/>
      <w:bCs/>
      <w:kern w:val="32"/>
      <w:sz w:val="28"/>
      <w:szCs w:val="32"/>
    </w:rPr>
  </w:style>
  <w:style w:type="paragraph" w:styleId="NoSpacing">
    <w:name w:val="No Spacing"/>
    <w:basedOn w:val="Normal"/>
    <w:uiPriority w:val="1"/>
    <w:qFormat/>
    <w:rsid w:val="00132DD2"/>
    <w:rPr>
      <w:szCs w:val="32"/>
    </w:rPr>
  </w:style>
  <w:style w:type="character" w:customStyle="1" w:styleId="Heading2Char">
    <w:name w:val="Heading 2 Char"/>
    <w:basedOn w:val="DefaultParagraphFont"/>
    <w:link w:val="Heading2"/>
    <w:uiPriority w:val="9"/>
    <w:rsid w:val="003773D0"/>
    <w:rPr>
      <w:rFonts w:asciiTheme="majorHAnsi" w:eastAsiaTheme="majorEastAsia" w:hAnsiTheme="majorHAnsi" w:cstheme="majorBidi"/>
      <w:b/>
      <w:bCs/>
      <w:i/>
      <w:iCs/>
      <w:sz w:val="24"/>
      <w:szCs w:val="28"/>
    </w:rPr>
  </w:style>
  <w:style w:type="paragraph" w:customStyle="1" w:styleId="Default">
    <w:name w:val="Default"/>
    <w:rsid w:val="00AD5BCD"/>
    <w:pPr>
      <w:autoSpaceDE w:val="0"/>
      <w:autoSpaceDN w:val="0"/>
      <w:adjustRightInd w:val="0"/>
    </w:pPr>
    <w:rPr>
      <w:rFonts w:ascii="Arial" w:eastAsia="Times New Roman" w:hAnsi="Arial" w:cs="Arial"/>
      <w:color w:val="000000"/>
      <w:sz w:val="24"/>
      <w:szCs w:val="24"/>
      <w:lang w:eastAsia="en-GB"/>
    </w:rPr>
  </w:style>
  <w:style w:type="paragraph" w:styleId="NormalWeb">
    <w:name w:val="Normal (Web)"/>
    <w:basedOn w:val="Default"/>
    <w:next w:val="Default"/>
    <w:uiPriority w:val="99"/>
    <w:rsid w:val="00AD5BCD"/>
    <w:rPr>
      <w:rFonts w:cs="Times New Roman"/>
      <w:color w:val="auto"/>
    </w:rPr>
  </w:style>
  <w:style w:type="paragraph" w:styleId="BalloonText">
    <w:name w:val="Balloon Text"/>
    <w:basedOn w:val="Normal"/>
    <w:link w:val="BalloonTextChar"/>
    <w:rsid w:val="00AD5BCD"/>
    <w:rPr>
      <w:rFonts w:ascii="Tahoma" w:hAnsi="Tahoma" w:cs="Tahoma"/>
      <w:sz w:val="16"/>
      <w:szCs w:val="16"/>
    </w:rPr>
  </w:style>
  <w:style w:type="character" w:customStyle="1" w:styleId="BalloonTextChar">
    <w:name w:val="Balloon Text Char"/>
    <w:basedOn w:val="DefaultParagraphFont"/>
    <w:link w:val="BalloonText"/>
    <w:rsid w:val="00AD5BCD"/>
    <w:rPr>
      <w:rFonts w:ascii="Tahoma" w:eastAsia="Times New Roman" w:hAnsi="Tahoma" w:cs="Tahoma"/>
      <w:sz w:val="16"/>
      <w:szCs w:val="16"/>
      <w:lang w:eastAsia="en-GB"/>
    </w:rPr>
  </w:style>
  <w:style w:type="paragraph" w:styleId="BodyText">
    <w:name w:val="Body Text"/>
    <w:basedOn w:val="Normal"/>
    <w:link w:val="BodyTextChar"/>
    <w:rsid w:val="00AD5BCD"/>
    <w:pPr>
      <w:spacing w:line="360" w:lineRule="auto"/>
      <w:jc w:val="both"/>
    </w:pPr>
  </w:style>
  <w:style w:type="character" w:customStyle="1" w:styleId="BodyTextChar">
    <w:name w:val="Body Text Char"/>
    <w:basedOn w:val="DefaultParagraphFont"/>
    <w:link w:val="BodyText"/>
    <w:rsid w:val="00AD5BCD"/>
    <w:rPr>
      <w:rFonts w:ascii="Times New Roman" w:eastAsia="Times New Roman" w:hAnsi="Times New Roman" w:cs="Times New Roman"/>
      <w:sz w:val="24"/>
      <w:szCs w:val="24"/>
      <w:lang w:eastAsia="en-GB"/>
    </w:rPr>
  </w:style>
  <w:style w:type="paragraph" w:customStyle="1" w:styleId="Basictext">
    <w:name w:val="Basic text"/>
    <w:basedOn w:val="Normal"/>
    <w:autoRedefine/>
    <w:rsid w:val="00AD5BCD"/>
    <w:pPr>
      <w:widowControl w:val="0"/>
      <w:tabs>
        <w:tab w:val="left" w:pos="1620"/>
        <w:tab w:val="left" w:pos="9180"/>
      </w:tabs>
      <w:spacing w:line="360" w:lineRule="auto"/>
      <w:jc w:val="both"/>
    </w:pPr>
    <w:rPr>
      <w:rFonts w:ascii="Arial" w:hAnsi="Arial" w:cs="Arial"/>
    </w:rPr>
  </w:style>
  <w:style w:type="paragraph" w:styleId="ListParagraph">
    <w:name w:val="List Paragraph"/>
    <w:basedOn w:val="Normal"/>
    <w:uiPriority w:val="34"/>
    <w:qFormat/>
    <w:rsid w:val="00132DD2"/>
    <w:pPr>
      <w:ind w:left="720"/>
      <w:contextualSpacing/>
    </w:pPr>
  </w:style>
  <w:style w:type="paragraph" w:styleId="Header">
    <w:name w:val="header"/>
    <w:basedOn w:val="Normal"/>
    <w:link w:val="HeaderChar"/>
    <w:uiPriority w:val="99"/>
    <w:rsid w:val="00AD5BCD"/>
    <w:pPr>
      <w:tabs>
        <w:tab w:val="center" w:pos="4513"/>
        <w:tab w:val="right" w:pos="9026"/>
      </w:tabs>
    </w:pPr>
  </w:style>
  <w:style w:type="character" w:customStyle="1" w:styleId="HeaderChar">
    <w:name w:val="Header Char"/>
    <w:basedOn w:val="DefaultParagraphFont"/>
    <w:link w:val="Header"/>
    <w:uiPriority w:val="99"/>
    <w:rsid w:val="00AD5BCD"/>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D5BCD"/>
    <w:pPr>
      <w:tabs>
        <w:tab w:val="center" w:pos="4513"/>
        <w:tab w:val="right" w:pos="9026"/>
      </w:tabs>
    </w:pPr>
  </w:style>
  <w:style w:type="character" w:customStyle="1" w:styleId="FooterChar">
    <w:name w:val="Footer Char"/>
    <w:basedOn w:val="DefaultParagraphFont"/>
    <w:link w:val="Footer"/>
    <w:uiPriority w:val="99"/>
    <w:rsid w:val="00AD5BCD"/>
    <w:rPr>
      <w:rFonts w:ascii="Times New Roman" w:eastAsia="Times New Roman" w:hAnsi="Times New Roman" w:cs="Times New Roman"/>
      <w:sz w:val="24"/>
      <w:szCs w:val="24"/>
      <w:lang w:eastAsia="en-GB"/>
    </w:rPr>
  </w:style>
  <w:style w:type="paragraph" w:styleId="CommentText">
    <w:name w:val="annotation text"/>
    <w:basedOn w:val="Normal"/>
    <w:link w:val="CommentTextChar"/>
    <w:autoRedefine/>
    <w:rsid w:val="00AD5BCD"/>
    <w:pPr>
      <w:spacing w:before="80" w:after="80" w:line="360" w:lineRule="auto"/>
      <w:ind w:right="-23"/>
      <w:jc w:val="both"/>
    </w:pPr>
    <w:rPr>
      <w:rFonts w:ascii="Arial" w:hAnsi="Arial" w:cs="Arial"/>
      <w:iCs/>
      <w:sz w:val="22"/>
      <w:szCs w:val="20"/>
    </w:rPr>
  </w:style>
  <w:style w:type="character" w:customStyle="1" w:styleId="CommentTextChar">
    <w:name w:val="Comment Text Char"/>
    <w:basedOn w:val="DefaultParagraphFont"/>
    <w:link w:val="CommentText"/>
    <w:rsid w:val="00AD5BCD"/>
    <w:rPr>
      <w:rFonts w:ascii="Arial" w:eastAsia="Times New Roman" w:hAnsi="Arial" w:cs="Arial"/>
      <w:iCs/>
      <w:szCs w:val="20"/>
    </w:rPr>
  </w:style>
  <w:style w:type="paragraph" w:customStyle="1" w:styleId="Basictablec">
    <w:name w:val="Basic table c"/>
    <w:basedOn w:val="Basictext"/>
    <w:autoRedefine/>
    <w:rsid w:val="00AD5BCD"/>
    <w:pPr>
      <w:spacing w:line="240" w:lineRule="auto"/>
      <w:jc w:val="center"/>
    </w:pPr>
    <w:rPr>
      <w:sz w:val="22"/>
      <w:szCs w:val="22"/>
    </w:rPr>
  </w:style>
  <w:style w:type="paragraph" w:customStyle="1" w:styleId="Basictextbullets">
    <w:name w:val="Basic text bullets"/>
    <w:basedOn w:val="Normal"/>
    <w:autoRedefine/>
    <w:rsid w:val="00AD5BCD"/>
    <w:pPr>
      <w:numPr>
        <w:numId w:val="22"/>
      </w:numPr>
      <w:spacing w:line="360" w:lineRule="auto"/>
      <w:jc w:val="both"/>
    </w:pPr>
    <w:rPr>
      <w:rFonts w:ascii="Arial" w:hAnsi="Arial" w:cs="Arial"/>
    </w:rPr>
  </w:style>
  <w:style w:type="character" w:styleId="Emphasis">
    <w:name w:val="Emphasis"/>
    <w:basedOn w:val="DefaultParagraphFont"/>
    <w:uiPriority w:val="20"/>
    <w:qFormat/>
    <w:rsid w:val="00132DD2"/>
    <w:rPr>
      <w:rFonts w:asciiTheme="minorHAnsi" w:hAnsiTheme="minorHAnsi"/>
      <w:b/>
      <w:i/>
      <w:iCs/>
    </w:rPr>
  </w:style>
  <w:style w:type="table" w:styleId="TableGrid">
    <w:name w:val="Table Grid"/>
    <w:basedOn w:val="TableNormal"/>
    <w:uiPriority w:val="59"/>
    <w:rsid w:val="00AD5BCD"/>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5BCD"/>
    <w:rPr>
      <w:color w:val="0000FF"/>
      <w:u w:val="single"/>
    </w:rPr>
  </w:style>
  <w:style w:type="table" w:styleId="MediumList2-Accent1">
    <w:name w:val="Medium List 2 Accent 1"/>
    <w:basedOn w:val="TableNormal"/>
    <w:uiPriority w:val="66"/>
    <w:rsid w:val="00AD5BCD"/>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132DD2"/>
    <w:pPr>
      <w:outlineLvl w:val="9"/>
    </w:pPr>
  </w:style>
  <w:style w:type="paragraph" w:styleId="TOC2">
    <w:name w:val="toc 2"/>
    <w:basedOn w:val="Normal"/>
    <w:next w:val="Normal"/>
    <w:autoRedefine/>
    <w:uiPriority w:val="39"/>
    <w:rsid w:val="00AD5BCD"/>
    <w:pPr>
      <w:spacing w:after="100"/>
      <w:ind w:left="240"/>
    </w:pPr>
  </w:style>
  <w:style w:type="paragraph" w:styleId="TOC1">
    <w:name w:val="toc 1"/>
    <w:basedOn w:val="Normal"/>
    <w:next w:val="Normal"/>
    <w:autoRedefine/>
    <w:uiPriority w:val="39"/>
    <w:unhideWhenUsed/>
    <w:rsid w:val="00AD5BCD"/>
    <w:pPr>
      <w:spacing w:after="100" w:line="276" w:lineRule="auto"/>
    </w:pPr>
    <w:rPr>
      <w:rFonts w:cstheme="minorBidi"/>
      <w:sz w:val="22"/>
      <w:szCs w:val="22"/>
      <w:lang w:val="en-US" w:eastAsia="ja-JP"/>
    </w:rPr>
  </w:style>
  <w:style w:type="paragraph" w:styleId="TOC3">
    <w:name w:val="toc 3"/>
    <w:basedOn w:val="Normal"/>
    <w:next w:val="Normal"/>
    <w:autoRedefine/>
    <w:uiPriority w:val="39"/>
    <w:unhideWhenUsed/>
    <w:rsid w:val="00AD5BCD"/>
    <w:pPr>
      <w:spacing w:after="100" w:line="276" w:lineRule="auto"/>
      <w:ind w:left="440"/>
    </w:pPr>
    <w:rPr>
      <w:rFonts w:cstheme="minorBidi"/>
      <w:sz w:val="22"/>
      <w:szCs w:val="22"/>
      <w:lang w:val="en-US" w:eastAsia="ja-JP"/>
    </w:rPr>
  </w:style>
  <w:style w:type="table" w:styleId="LightGrid-Accent4">
    <w:name w:val="Light Grid Accent 4"/>
    <w:basedOn w:val="TableNormal"/>
    <w:uiPriority w:val="62"/>
    <w:rsid w:val="00AD5BC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highlight">
    <w:name w:val="highlight"/>
    <w:basedOn w:val="DefaultParagraphFont"/>
    <w:rsid w:val="00AD5BCD"/>
  </w:style>
  <w:style w:type="table" w:styleId="MediumGrid3-Accent1">
    <w:name w:val="Medium Grid 3 Accent 1"/>
    <w:basedOn w:val="TableNormal"/>
    <w:uiPriority w:val="69"/>
    <w:rsid w:val="00AD5B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AD5BC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Classic2">
    <w:name w:val="Table Classic 2"/>
    <w:basedOn w:val="TableNormal"/>
    <w:rsid w:val="00AD5BCD"/>
    <w:rPr>
      <w:rFonts w:ascii="Times New Roman" w:eastAsia="Times New Roman" w:hAnsi="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6">
    <w:name w:val="Table List 6"/>
    <w:basedOn w:val="TableNormal"/>
    <w:rsid w:val="00AD5BCD"/>
    <w:rPr>
      <w:rFonts w:ascii="Times New Roman" w:eastAsia="Times New Roman" w:hAnsi="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MediumShading2-Accent4">
    <w:name w:val="Medium Shading 2 Accent 4"/>
    <w:basedOn w:val="TableNormal"/>
    <w:uiPriority w:val="64"/>
    <w:rsid w:val="00AD5BCD"/>
    <w:rPr>
      <w:rFonts w:ascii="Times New Roman" w:eastAsia="Times New Roman" w:hAnsi="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ormalWeb46">
    <w:name w:val="Normal (Web)46"/>
    <w:basedOn w:val="Normal"/>
    <w:rsid w:val="00AD5BCD"/>
  </w:style>
  <w:style w:type="paragraph" w:styleId="HTMLPreformatted">
    <w:name w:val="HTML Preformatted"/>
    <w:basedOn w:val="Normal"/>
    <w:link w:val="HTMLPreformattedChar"/>
    <w:uiPriority w:val="99"/>
    <w:unhideWhenUsed/>
    <w:rsid w:val="00AD5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D5BCD"/>
    <w:rPr>
      <w:rFonts w:ascii="Courier New" w:eastAsia="Times New Roman" w:hAnsi="Courier New" w:cs="Courier New"/>
      <w:sz w:val="20"/>
      <w:szCs w:val="20"/>
      <w:lang w:eastAsia="en-GB"/>
    </w:rPr>
  </w:style>
  <w:style w:type="table" w:styleId="MediumShading1-Accent4">
    <w:name w:val="Medium Shading 1 Accent 4"/>
    <w:basedOn w:val="TableNormal"/>
    <w:uiPriority w:val="63"/>
    <w:rsid w:val="00AD5BCD"/>
    <w:rPr>
      <w:rFonts w:ascii="Times New Roman" w:eastAsia="Times New Roman" w:hAnsi="Times New Roman"/>
      <w:sz w:val="20"/>
      <w:szCs w:val="20"/>
      <w:lang w:eastAsia="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132DD2"/>
    <w:rPr>
      <w:b/>
      <w:bCs/>
    </w:rPr>
  </w:style>
  <w:style w:type="table" w:styleId="LightShading">
    <w:name w:val="Light Shading"/>
    <w:basedOn w:val="TableNormal"/>
    <w:uiPriority w:val="60"/>
    <w:rsid w:val="00AF52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AF52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3-Accent4">
    <w:name w:val="Medium Grid 3 Accent 4"/>
    <w:basedOn w:val="TableNormal"/>
    <w:uiPriority w:val="69"/>
    <w:rsid w:val="007040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CommentReference">
    <w:name w:val="annotation reference"/>
    <w:basedOn w:val="DefaultParagraphFont"/>
    <w:uiPriority w:val="99"/>
    <w:semiHidden/>
    <w:unhideWhenUsed/>
    <w:rsid w:val="00361E09"/>
    <w:rPr>
      <w:sz w:val="16"/>
      <w:szCs w:val="16"/>
    </w:rPr>
  </w:style>
  <w:style w:type="paragraph" w:styleId="CommentSubject">
    <w:name w:val="annotation subject"/>
    <w:basedOn w:val="CommentText"/>
    <w:next w:val="CommentText"/>
    <w:link w:val="CommentSubjectChar"/>
    <w:uiPriority w:val="99"/>
    <w:semiHidden/>
    <w:unhideWhenUsed/>
    <w:rsid w:val="00361E09"/>
    <w:pPr>
      <w:spacing w:before="0" w:after="0" w:line="240" w:lineRule="auto"/>
      <w:ind w:right="0"/>
      <w:jc w:val="left"/>
    </w:pPr>
    <w:rPr>
      <w:rFonts w:ascii="Times New Roman" w:hAnsi="Times New Roman" w:cs="Times New Roman"/>
      <w:b/>
      <w:bCs/>
      <w:iCs w:val="0"/>
      <w:sz w:val="20"/>
      <w:lang w:eastAsia="en-GB"/>
    </w:rPr>
  </w:style>
  <w:style w:type="character" w:customStyle="1" w:styleId="CommentSubjectChar">
    <w:name w:val="Comment Subject Char"/>
    <w:basedOn w:val="CommentTextChar"/>
    <w:link w:val="CommentSubject"/>
    <w:uiPriority w:val="99"/>
    <w:semiHidden/>
    <w:rsid w:val="00361E09"/>
    <w:rPr>
      <w:rFonts w:ascii="Times New Roman" w:eastAsia="Times New Roman" w:hAnsi="Times New Roman" w:cs="Times New Roman"/>
      <w:b/>
      <w:bCs/>
      <w:iCs w:val="0"/>
      <w:sz w:val="20"/>
      <w:szCs w:val="20"/>
      <w:lang w:eastAsia="en-GB"/>
    </w:rPr>
  </w:style>
  <w:style w:type="character" w:customStyle="1" w:styleId="Heading3Char">
    <w:name w:val="Heading 3 Char"/>
    <w:basedOn w:val="DefaultParagraphFont"/>
    <w:link w:val="Heading3"/>
    <w:uiPriority w:val="9"/>
    <w:rsid w:val="00132DD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32DD2"/>
    <w:rPr>
      <w:rFonts w:cstheme="majorBidi"/>
      <w:b/>
      <w:bCs/>
      <w:sz w:val="28"/>
      <w:szCs w:val="28"/>
    </w:rPr>
  </w:style>
  <w:style w:type="character" w:customStyle="1" w:styleId="Heading5Char">
    <w:name w:val="Heading 5 Char"/>
    <w:basedOn w:val="DefaultParagraphFont"/>
    <w:link w:val="Heading5"/>
    <w:uiPriority w:val="9"/>
    <w:semiHidden/>
    <w:rsid w:val="00132DD2"/>
    <w:rPr>
      <w:rFonts w:cstheme="majorBidi"/>
      <w:b/>
      <w:bCs/>
      <w:i/>
      <w:iCs/>
      <w:sz w:val="26"/>
      <w:szCs w:val="26"/>
    </w:rPr>
  </w:style>
  <w:style w:type="character" w:customStyle="1" w:styleId="Heading6Char">
    <w:name w:val="Heading 6 Char"/>
    <w:basedOn w:val="DefaultParagraphFont"/>
    <w:link w:val="Heading6"/>
    <w:uiPriority w:val="9"/>
    <w:semiHidden/>
    <w:rsid w:val="00132DD2"/>
    <w:rPr>
      <w:rFonts w:cstheme="majorBidi"/>
      <w:b/>
      <w:bCs/>
    </w:rPr>
  </w:style>
  <w:style w:type="character" w:customStyle="1" w:styleId="Heading7Char">
    <w:name w:val="Heading 7 Char"/>
    <w:basedOn w:val="DefaultParagraphFont"/>
    <w:link w:val="Heading7"/>
    <w:uiPriority w:val="9"/>
    <w:semiHidden/>
    <w:rsid w:val="00132DD2"/>
    <w:rPr>
      <w:rFonts w:cstheme="majorBidi"/>
      <w:sz w:val="24"/>
      <w:szCs w:val="24"/>
    </w:rPr>
  </w:style>
  <w:style w:type="character" w:customStyle="1" w:styleId="Heading8Char">
    <w:name w:val="Heading 8 Char"/>
    <w:basedOn w:val="DefaultParagraphFont"/>
    <w:link w:val="Heading8"/>
    <w:uiPriority w:val="9"/>
    <w:semiHidden/>
    <w:rsid w:val="00132DD2"/>
    <w:rPr>
      <w:rFonts w:cstheme="majorBidi"/>
      <w:i/>
      <w:iCs/>
      <w:sz w:val="24"/>
      <w:szCs w:val="24"/>
    </w:rPr>
  </w:style>
  <w:style w:type="character" w:customStyle="1" w:styleId="Heading9Char">
    <w:name w:val="Heading 9 Char"/>
    <w:basedOn w:val="DefaultParagraphFont"/>
    <w:link w:val="Heading9"/>
    <w:uiPriority w:val="9"/>
    <w:semiHidden/>
    <w:rsid w:val="00132DD2"/>
    <w:rPr>
      <w:rFonts w:asciiTheme="majorHAnsi" w:eastAsiaTheme="majorEastAsia" w:hAnsiTheme="majorHAnsi" w:cstheme="majorBidi"/>
    </w:rPr>
  </w:style>
  <w:style w:type="paragraph" w:styleId="Caption">
    <w:name w:val="caption"/>
    <w:basedOn w:val="Normal"/>
    <w:next w:val="Normal"/>
    <w:uiPriority w:val="35"/>
    <w:semiHidden/>
    <w:unhideWhenUsed/>
    <w:rsid w:val="002C7BC8"/>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132DD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132DD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132DD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32DD2"/>
    <w:rPr>
      <w:rFonts w:asciiTheme="majorHAnsi" w:eastAsiaTheme="majorEastAsia" w:hAnsiTheme="majorHAnsi"/>
      <w:sz w:val="24"/>
      <w:szCs w:val="24"/>
    </w:rPr>
  </w:style>
  <w:style w:type="paragraph" w:styleId="Quote">
    <w:name w:val="Quote"/>
    <w:basedOn w:val="Normal"/>
    <w:next w:val="Normal"/>
    <w:link w:val="QuoteChar"/>
    <w:uiPriority w:val="29"/>
    <w:qFormat/>
    <w:rsid w:val="00132DD2"/>
    <w:rPr>
      <w:i/>
    </w:rPr>
  </w:style>
  <w:style w:type="character" w:customStyle="1" w:styleId="QuoteChar">
    <w:name w:val="Quote Char"/>
    <w:basedOn w:val="DefaultParagraphFont"/>
    <w:link w:val="Quote"/>
    <w:uiPriority w:val="29"/>
    <w:rsid w:val="00132DD2"/>
    <w:rPr>
      <w:i/>
      <w:sz w:val="24"/>
      <w:szCs w:val="24"/>
    </w:rPr>
  </w:style>
  <w:style w:type="paragraph" w:styleId="IntenseQuote">
    <w:name w:val="Intense Quote"/>
    <w:basedOn w:val="Normal"/>
    <w:next w:val="Normal"/>
    <w:link w:val="IntenseQuoteChar"/>
    <w:uiPriority w:val="30"/>
    <w:qFormat/>
    <w:rsid w:val="00132DD2"/>
    <w:pPr>
      <w:ind w:left="720" w:right="720"/>
    </w:pPr>
    <w:rPr>
      <w:b/>
      <w:i/>
      <w:szCs w:val="22"/>
    </w:rPr>
  </w:style>
  <w:style w:type="character" w:customStyle="1" w:styleId="IntenseQuoteChar">
    <w:name w:val="Intense Quote Char"/>
    <w:basedOn w:val="DefaultParagraphFont"/>
    <w:link w:val="IntenseQuote"/>
    <w:uiPriority w:val="30"/>
    <w:rsid w:val="00132DD2"/>
    <w:rPr>
      <w:b/>
      <w:i/>
      <w:sz w:val="24"/>
    </w:rPr>
  </w:style>
  <w:style w:type="character" w:styleId="SubtleEmphasis">
    <w:name w:val="Subtle Emphasis"/>
    <w:uiPriority w:val="19"/>
    <w:qFormat/>
    <w:rsid w:val="00132DD2"/>
    <w:rPr>
      <w:i/>
      <w:color w:val="5A5A5A" w:themeColor="text1" w:themeTint="A5"/>
    </w:rPr>
  </w:style>
  <w:style w:type="character" w:styleId="IntenseEmphasis">
    <w:name w:val="Intense Emphasis"/>
    <w:basedOn w:val="DefaultParagraphFont"/>
    <w:uiPriority w:val="21"/>
    <w:qFormat/>
    <w:rsid w:val="00132DD2"/>
    <w:rPr>
      <w:b/>
      <w:i/>
      <w:sz w:val="24"/>
      <w:szCs w:val="24"/>
      <w:u w:val="single"/>
    </w:rPr>
  </w:style>
  <w:style w:type="character" w:styleId="SubtleReference">
    <w:name w:val="Subtle Reference"/>
    <w:basedOn w:val="DefaultParagraphFont"/>
    <w:uiPriority w:val="31"/>
    <w:qFormat/>
    <w:rsid w:val="00132DD2"/>
    <w:rPr>
      <w:sz w:val="24"/>
      <w:szCs w:val="24"/>
      <w:u w:val="single"/>
    </w:rPr>
  </w:style>
  <w:style w:type="character" w:styleId="IntenseReference">
    <w:name w:val="Intense Reference"/>
    <w:basedOn w:val="DefaultParagraphFont"/>
    <w:uiPriority w:val="32"/>
    <w:qFormat/>
    <w:rsid w:val="00132DD2"/>
    <w:rPr>
      <w:b/>
      <w:sz w:val="24"/>
      <w:u w:val="single"/>
    </w:rPr>
  </w:style>
  <w:style w:type="character" w:styleId="BookTitle">
    <w:name w:val="Book Title"/>
    <w:basedOn w:val="DefaultParagraphFont"/>
    <w:uiPriority w:val="33"/>
    <w:qFormat/>
    <w:rsid w:val="00132DD2"/>
    <w:rPr>
      <w:rFonts w:asciiTheme="majorHAnsi" w:eastAsiaTheme="majorEastAsia" w:hAnsiTheme="majorHAnsi"/>
      <w:b/>
      <w:i/>
      <w:sz w:val="24"/>
      <w:szCs w:val="24"/>
    </w:rPr>
  </w:style>
  <w:style w:type="table" w:customStyle="1" w:styleId="GridTable1Light-Accent41">
    <w:name w:val="Grid Table 1 Light - Accent 41"/>
    <w:basedOn w:val="TableNormal"/>
    <w:uiPriority w:val="46"/>
    <w:rsid w:val="00C45B8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5Dark-Accent41">
    <w:name w:val="Grid Table 5 Dark - Accent 41"/>
    <w:basedOn w:val="TableNormal"/>
    <w:uiPriority w:val="50"/>
    <w:rsid w:val="00C45B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A1">
    <w:name w:val="A1"/>
    <w:uiPriority w:val="99"/>
    <w:rsid w:val="00574668"/>
    <w:rPr>
      <w:rFonts w:cs="Minion Pro"/>
      <w:color w:val="000000"/>
      <w:sz w:val="10"/>
      <w:szCs w:val="10"/>
    </w:rPr>
  </w:style>
  <w:style w:type="character" w:customStyle="1" w:styleId="apple-converted-space">
    <w:name w:val="apple-converted-space"/>
    <w:basedOn w:val="DefaultParagraphFont"/>
    <w:rsid w:val="00013702"/>
  </w:style>
  <w:style w:type="table" w:customStyle="1" w:styleId="TableGridLight1">
    <w:name w:val="Table Grid Light1"/>
    <w:basedOn w:val="TableNormal"/>
    <w:uiPriority w:val="40"/>
    <w:rsid w:val="00CB3C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44AE0"/>
    <w:rPr>
      <w:color w:val="800080" w:themeColor="followedHyperlink"/>
      <w:u w:val="single"/>
    </w:rPr>
  </w:style>
  <w:style w:type="table" w:customStyle="1" w:styleId="PlainTable11">
    <w:name w:val="Plain Table 11"/>
    <w:basedOn w:val="TableNormal"/>
    <w:uiPriority w:val="41"/>
    <w:rsid w:val="00D90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D9095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
    <w:name w:val="p1"/>
    <w:basedOn w:val="Normal"/>
    <w:rsid w:val="006B40F1"/>
    <w:pPr>
      <w:spacing w:line="240" w:lineRule="auto"/>
      <w:ind w:left="540" w:hanging="540"/>
    </w:pPr>
    <w:rPr>
      <w:rFonts w:ascii="Helvetica" w:hAnsi="Helvetica"/>
      <w:sz w:val="18"/>
      <w:szCs w:val="18"/>
      <w:lang w:val="en-US"/>
    </w:rPr>
  </w:style>
  <w:style w:type="character" w:styleId="LineNumber">
    <w:name w:val="line number"/>
    <w:basedOn w:val="DefaultParagraphFont"/>
    <w:uiPriority w:val="99"/>
    <w:semiHidden/>
    <w:unhideWhenUsed/>
    <w:rsid w:val="00CB6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1372">
      <w:bodyDiv w:val="1"/>
      <w:marLeft w:val="0"/>
      <w:marRight w:val="0"/>
      <w:marTop w:val="0"/>
      <w:marBottom w:val="0"/>
      <w:divBdr>
        <w:top w:val="none" w:sz="0" w:space="0" w:color="auto"/>
        <w:left w:val="none" w:sz="0" w:space="0" w:color="auto"/>
        <w:bottom w:val="none" w:sz="0" w:space="0" w:color="auto"/>
        <w:right w:val="none" w:sz="0" w:space="0" w:color="auto"/>
      </w:divBdr>
    </w:div>
    <w:div w:id="49960349">
      <w:bodyDiv w:val="1"/>
      <w:marLeft w:val="0"/>
      <w:marRight w:val="0"/>
      <w:marTop w:val="0"/>
      <w:marBottom w:val="0"/>
      <w:divBdr>
        <w:top w:val="none" w:sz="0" w:space="0" w:color="auto"/>
        <w:left w:val="none" w:sz="0" w:space="0" w:color="auto"/>
        <w:bottom w:val="none" w:sz="0" w:space="0" w:color="auto"/>
        <w:right w:val="none" w:sz="0" w:space="0" w:color="auto"/>
      </w:divBdr>
    </w:div>
    <w:div w:id="101926700">
      <w:bodyDiv w:val="1"/>
      <w:marLeft w:val="0"/>
      <w:marRight w:val="0"/>
      <w:marTop w:val="0"/>
      <w:marBottom w:val="0"/>
      <w:divBdr>
        <w:top w:val="none" w:sz="0" w:space="0" w:color="auto"/>
        <w:left w:val="none" w:sz="0" w:space="0" w:color="auto"/>
        <w:bottom w:val="none" w:sz="0" w:space="0" w:color="auto"/>
        <w:right w:val="none" w:sz="0" w:space="0" w:color="auto"/>
      </w:divBdr>
    </w:div>
    <w:div w:id="123544758">
      <w:bodyDiv w:val="1"/>
      <w:marLeft w:val="0"/>
      <w:marRight w:val="0"/>
      <w:marTop w:val="0"/>
      <w:marBottom w:val="0"/>
      <w:divBdr>
        <w:top w:val="none" w:sz="0" w:space="0" w:color="auto"/>
        <w:left w:val="none" w:sz="0" w:space="0" w:color="auto"/>
        <w:bottom w:val="none" w:sz="0" w:space="0" w:color="auto"/>
        <w:right w:val="none" w:sz="0" w:space="0" w:color="auto"/>
      </w:divBdr>
    </w:div>
    <w:div w:id="148206673">
      <w:bodyDiv w:val="1"/>
      <w:marLeft w:val="0"/>
      <w:marRight w:val="0"/>
      <w:marTop w:val="0"/>
      <w:marBottom w:val="0"/>
      <w:divBdr>
        <w:top w:val="none" w:sz="0" w:space="0" w:color="auto"/>
        <w:left w:val="none" w:sz="0" w:space="0" w:color="auto"/>
        <w:bottom w:val="none" w:sz="0" w:space="0" w:color="auto"/>
        <w:right w:val="none" w:sz="0" w:space="0" w:color="auto"/>
      </w:divBdr>
    </w:div>
    <w:div w:id="156845301">
      <w:bodyDiv w:val="1"/>
      <w:marLeft w:val="0"/>
      <w:marRight w:val="0"/>
      <w:marTop w:val="0"/>
      <w:marBottom w:val="0"/>
      <w:divBdr>
        <w:top w:val="none" w:sz="0" w:space="0" w:color="auto"/>
        <w:left w:val="none" w:sz="0" w:space="0" w:color="auto"/>
        <w:bottom w:val="none" w:sz="0" w:space="0" w:color="auto"/>
        <w:right w:val="none" w:sz="0" w:space="0" w:color="auto"/>
      </w:divBdr>
    </w:div>
    <w:div w:id="192771612">
      <w:bodyDiv w:val="1"/>
      <w:marLeft w:val="0"/>
      <w:marRight w:val="0"/>
      <w:marTop w:val="0"/>
      <w:marBottom w:val="0"/>
      <w:divBdr>
        <w:top w:val="none" w:sz="0" w:space="0" w:color="auto"/>
        <w:left w:val="none" w:sz="0" w:space="0" w:color="auto"/>
        <w:bottom w:val="none" w:sz="0" w:space="0" w:color="auto"/>
        <w:right w:val="none" w:sz="0" w:space="0" w:color="auto"/>
      </w:divBdr>
    </w:div>
    <w:div w:id="211501725">
      <w:bodyDiv w:val="1"/>
      <w:marLeft w:val="0"/>
      <w:marRight w:val="0"/>
      <w:marTop w:val="0"/>
      <w:marBottom w:val="0"/>
      <w:divBdr>
        <w:top w:val="none" w:sz="0" w:space="0" w:color="auto"/>
        <w:left w:val="none" w:sz="0" w:space="0" w:color="auto"/>
        <w:bottom w:val="none" w:sz="0" w:space="0" w:color="auto"/>
        <w:right w:val="none" w:sz="0" w:space="0" w:color="auto"/>
      </w:divBdr>
    </w:div>
    <w:div w:id="254290728">
      <w:bodyDiv w:val="1"/>
      <w:marLeft w:val="0"/>
      <w:marRight w:val="0"/>
      <w:marTop w:val="0"/>
      <w:marBottom w:val="0"/>
      <w:divBdr>
        <w:top w:val="none" w:sz="0" w:space="0" w:color="auto"/>
        <w:left w:val="none" w:sz="0" w:space="0" w:color="auto"/>
        <w:bottom w:val="none" w:sz="0" w:space="0" w:color="auto"/>
        <w:right w:val="none" w:sz="0" w:space="0" w:color="auto"/>
      </w:divBdr>
    </w:div>
    <w:div w:id="289022506">
      <w:bodyDiv w:val="1"/>
      <w:marLeft w:val="0"/>
      <w:marRight w:val="0"/>
      <w:marTop w:val="0"/>
      <w:marBottom w:val="0"/>
      <w:divBdr>
        <w:top w:val="none" w:sz="0" w:space="0" w:color="auto"/>
        <w:left w:val="none" w:sz="0" w:space="0" w:color="auto"/>
        <w:bottom w:val="none" w:sz="0" w:space="0" w:color="auto"/>
        <w:right w:val="none" w:sz="0" w:space="0" w:color="auto"/>
      </w:divBdr>
    </w:div>
    <w:div w:id="297878547">
      <w:bodyDiv w:val="1"/>
      <w:marLeft w:val="0"/>
      <w:marRight w:val="0"/>
      <w:marTop w:val="0"/>
      <w:marBottom w:val="0"/>
      <w:divBdr>
        <w:top w:val="none" w:sz="0" w:space="0" w:color="auto"/>
        <w:left w:val="none" w:sz="0" w:space="0" w:color="auto"/>
        <w:bottom w:val="none" w:sz="0" w:space="0" w:color="auto"/>
        <w:right w:val="none" w:sz="0" w:space="0" w:color="auto"/>
      </w:divBdr>
    </w:div>
    <w:div w:id="304774481">
      <w:bodyDiv w:val="1"/>
      <w:marLeft w:val="0"/>
      <w:marRight w:val="0"/>
      <w:marTop w:val="0"/>
      <w:marBottom w:val="0"/>
      <w:divBdr>
        <w:top w:val="none" w:sz="0" w:space="0" w:color="auto"/>
        <w:left w:val="none" w:sz="0" w:space="0" w:color="auto"/>
        <w:bottom w:val="none" w:sz="0" w:space="0" w:color="auto"/>
        <w:right w:val="none" w:sz="0" w:space="0" w:color="auto"/>
      </w:divBdr>
    </w:div>
    <w:div w:id="307324512">
      <w:bodyDiv w:val="1"/>
      <w:marLeft w:val="0"/>
      <w:marRight w:val="0"/>
      <w:marTop w:val="0"/>
      <w:marBottom w:val="0"/>
      <w:divBdr>
        <w:top w:val="none" w:sz="0" w:space="0" w:color="auto"/>
        <w:left w:val="none" w:sz="0" w:space="0" w:color="auto"/>
        <w:bottom w:val="none" w:sz="0" w:space="0" w:color="auto"/>
        <w:right w:val="none" w:sz="0" w:space="0" w:color="auto"/>
      </w:divBdr>
    </w:div>
    <w:div w:id="358898469">
      <w:bodyDiv w:val="1"/>
      <w:marLeft w:val="0"/>
      <w:marRight w:val="0"/>
      <w:marTop w:val="0"/>
      <w:marBottom w:val="0"/>
      <w:divBdr>
        <w:top w:val="none" w:sz="0" w:space="0" w:color="auto"/>
        <w:left w:val="none" w:sz="0" w:space="0" w:color="auto"/>
        <w:bottom w:val="none" w:sz="0" w:space="0" w:color="auto"/>
        <w:right w:val="none" w:sz="0" w:space="0" w:color="auto"/>
      </w:divBdr>
    </w:div>
    <w:div w:id="383914545">
      <w:bodyDiv w:val="1"/>
      <w:marLeft w:val="0"/>
      <w:marRight w:val="0"/>
      <w:marTop w:val="0"/>
      <w:marBottom w:val="0"/>
      <w:divBdr>
        <w:top w:val="none" w:sz="0" w:space="0" w:color="auto"/>
        <w:left w:val="none" w:sz="0" w:space="0" w:color="auto"/>
        <w:bottom w:val="none" w:sz="0" w:space="0" w:color="auto"/>
        <w:right w:val="none" w:sz="0" w:space="0" w:color="auto"/>
      </w:divBdr>
    </w:div>
    <w:div w:id="405956963">
      <w:bodyDiv w:val="1"/>
      <w:marLeft w:val="0"/>
      <w:marRight w:val="0"/>
      <w:marTop w:val="0"/>
      <w:marBottom w:val="0"/>
      <w:divBdr>
        <w:top w:val="none" w:sz="0" w:space="0" w:color="auto"/>
        <w:left w:val="none" w:sz="0" w:space="0" w:color="auto"/>
        <w:bottom w:val="none" w:sz="0" w:space="0" w:color="auto"/>
        <w:right w:val="none" w:sz="0" w:space="0" w:color="auto"/>
      </w:divBdr>
    </w:div>
    <w:div w:id="436560429">
      <w:bodyDiv w:val="1"/>
      <w:marLeft w:val="0"/>
      <w:marRight w:val="0"/>
      <w:marTop w:val="0"/>
      <w:marBottom w:val="0"/>
      <w:divBdr>
        <w:top w:val="none" w:sz="0" w:space="0" w:color="auto"/>
        <w:left w:val="none" w:sz="0" w:space="0" w:color="auto"/>
        <w:bottom w:val="none" w:sz="0" w:space="0" w:color="auto"/>
        <w:right w:val="none" w:sz="0" w:space="0" w:color="auto"/>
      </w:divBdr>
    </w:div>
    <w:div w:id="469716722">
      <w:bodyDiv w:val="1"/>
      <w:marLeft w:val="0"/>
      <w:marRight w:val="0"/>
      <w:marTop w:val="0"/>
      <w:marBottom w:val="0"/>
      <w:divBdr>
        <w:top w:val="none" w:sz="0" w:space="0" w:color="auto"/>
        <w:left w:val="none" w:sz="0" w:space="0" w:color="auto"/>
        <w:bottom w:val="none" w:sz="0" w:space="0" w:color="auto"/>
        <w:right w:val="none" w:sz="0" w:space="0" w:color="auto"/>
      </w:divBdr>
    </w:div>
    <w:div w:id="573510303">
      <w:bodyDiv w:val="1"/>
      <w:marLeft w:val="0"/>
      <w:marRight w:val="0"/>
      <w:marTop w:val="0"/>
      <w:marBottom w:val="0"/>
      <w:divBdr>
        <w:top w:val="none" w:sz="0" w:space="0" w:color="auto"/>
        <w:left w:val="none" w:sz="0" w:space="0" w:color="auto"/>
        <w:bottom w:val="none" w:sz="0" w:space="0" w:color="auto"/>
        <w:right w:val="none" w:sz="0" w:space="0" w:color="auto"/>
      </w:divBdr>
    </w:div>
    <w:div w:id="596209263">
      <w:bodyDiv w:val="1"/>
      <w:marLeft w:val="0"/>
      <w:marRight w:val="0"/>
      <w:marTop w:val="0"/>
      <w:marBottom w:val="0"/>
      <w:divBdr>
        <w:top w:val="none" w:sz="0" w:space="0" w:color="auto"/>
        <w:left w:val="none" w:sz="0" w:space="0" w:color="auto"/>
        <w:bottom w:val="none" w:sz="0" w:space="0" w:color="auto"/>
        <w:right w:val="none" w:sz="0" w:space="0" w:color="auto"/>
      </w:divBdr>
    </w:div>
    <w:div w:id="597107114">
      <w:bodyDiv w:val="1"/>
      <w:marLeft w:val="0"/>
      <w:marRight w:val="0"/>
      <w:marTop w:val="0"/>
      <w:marBottom w:val="0"/>
      <w:divBdr>
        <w:top w:val="none" w:sz="0" w:space="0" w:color="auto"/>
        <w:left w:val="none" w:sz="0" w:space="0" w:color="auto"/>
        <w:bottom w:val="none" w:sz="0" w:space="0" w:color="auto"/>
        <w:right w:val="none" w:sz="0" w:space="0" w:color="auto"/>
      </w:divBdr>
    </w:div>
    <w:div w:id="648441549">
      <w:bodyDiv w:val="1"/>
      <w:marLeft w:val="0"/>
      <w:marRight w:val="0"/>
      <w:marTop w:val="0"/>
      <w:marBottom w:val="0"/>
      <w:divBdr>
        <w:top w:val="none" w:sz="0" w:space="0" w:color="auto"/>
        <w:left w:val="none" w:sz="0" w:space="0" w:color="auto"/>
        <w:bottom w:val="none" w:sz="0" w:space="0" w:color="auto"/>
        <w:right w:val="none" w:sz="0" w:space="0" w:color="auto"/>
      </w:divBdr>
    </w:div>
    <w:div w:id="720059579">
      <w:bodyDiv w:val="1"/>
      <w:marLeft w:val="0"/>
      <w:marRight w:val="0"/>
      <w:marTop w:val="0"/>
      <w:marBottom w:val="0"/>
      <w:divBdr>
        <w:top w:val="none" w:sz="0" w:space="0" w:color="auto"/>
        <w:left w:val="none" w:sz="0" w:space="0" w:color="auto"/>
        <w:bottom w:val="none" w:sz="0" w:space="0" w:color="auto"/>
        <w:right w:val="none" w:sz="0" w:space="0" w:color="auto"/>
      </w:divBdr>
    </w:div>
    <w:div w:id="769467498">
      <w:bodyDiv w:val="1"/>
      <w:marLeft w:val="0"/>
      <w:marRight w:val="0"/>
      <w:marTop w:val="0"/>
      <w:marBottom w:val="0"/>
      <w:divBdr>
        <w:top w:val="none" w:sz="0" w:space="0" w:color="auto"/>
        <w:left w:val="none" w:sz="0" w:space="0" w:color="auto"/>
        <w:bottom w:val="none" w:sz="0" w:space="0" w:color="auto"/>
        <w:right w:val="none" w:sz="0" w:space="0" w:color="auto"/>
      </w:divBdr>
    </w:div>
    <w:div w:id="780687998">
      <w:bodyDiv w:val="1"/>
      <w:marLeft w:val="0"/>
      <w:marRight w:val="0"/>
      <w:marTop w:val="0"/>
      <w:marBottom w:val="0"/>
      <w:divBdr>
        <w:top w:val="none" w:sz="0" w:space="0" w:color="auto"/>
        <w:left w:val="none" w:sz="0" w:space="0" w:color="auto"/>
        <w:bottom w:val="none" w:sz="0" w:space="0" w:color="auto"/>
        <w:right w:val="none" w:sz="0" w:space="0" w:color="auto"/>
      </w:divBdr>
    </w:div>
    <w:div w:id="797721749">
      <w:bodyDiv w:val="1"/>
      <w:marLeft w:val="0"/>
      <w:marRight w:val="0"/>
      <w:marTop w:val="0"/>
      <w:marBottom w:val="0"/>
      <w:divBdr>
        <w:top w:val="none" w:sz="0" w:space="0" w:color="auto"/>
        <w:left w:val="none" w:sz="0" w:space="0" w:color="auto"/>
        <w:bottom w:val="none" w:sz="0" w:space="0" w:color="auto"/>
        <w:right w:val="none" w:sz="0" w:space="0" w:color="auto"/>
      </w:divBdr>
    </w:div>
    <w:div w:id="814034493">
      <w:bodyDiv w:val="1"/>
      <w:marLeft w:val="0"/>
      <w:marRight w:val="0"/>
      <w:marTop w:val="0"/>
      <w:marBottom w:val="0"/>
      <w:divBdr>
        <w:top w:val="none" w:sz="0" w:space="0" w:color="auto"/>
        <w:left w:val="none" w:sz="0" w:space="0" w:color="auto"/>
        <w:bottom w:val="none" w:sz="0" w:space="0" w:color="auto"/>
        <w:right w:val="none" w:sz="0" w:space="0" w:color="auto"/>
      </w:divBdr>
    </w:div>
    <w:div w:id="856967772">
      <w:bodyDiv w:val="1"/>
      <w:marLeft w:val="0"/>
      <w:marRight w:val="0"/>
      <w:marTop w:val="0"/>
      <w:marBottom w:val="0"/>
      <w:divBdr>
        <w:top w:val="none" w:sz="0" w:space="0" w:color="auto"/>
        <w:left w:val="none" w:sz="0" w:space="0" w:color="auto"/>
        <w:bottom w:val="none" w:sz="0" w:space="0" w:color="auto"/>
        <w:right w:val="none" w:sz="0" w:space="0" w:color="auto"/>
      </w:divBdr>
    </w:div>
    <w:div w:id="859783600">
      <w:bodyDiv w:val="1"/>
      <w:marLeft w:val="0"/>
      <w:marRight w:val="0"/>
      <w:marTop w:val="0"/>
      <w:marBottom w:val="0"/>
      <w:divBdr>
        <w:top w:val="none" w:sz="0" w:space="0" w:color="auto"/>
        <w:left w:val="none" w:sz="0" w:space="0" w:color="auto"/>
        <w:bottom w:val="none" w:sz="0" w:space="0" w:color="auto"/>
        <w:right w:val="none" w:sz="0" w:space="0" w:color="auto"/>
      </w:divBdr>
    </w:div>
    <w:div w:id="880938227">
      <w:bodyDiv w:val="1"/>
      <w:marLeft w:val="0"/>
      <w:marRight w:val="0"/>
      <w:marTop w:val="0"/>
      <w:marBottom w:val="0"/>
      <w:divBdr>
        <w:top w:val="none" w:sz="0" w:space="0" w:color="auto"/>
        <w:left w:val="none" w:sz="0" w:space="0" w:color="auto"/>
        <w:bottom w:val="none" w:sz="0" w:space="0" w:color="auto"/>
        <w:right w:val="none" w:sz="0" w:space="0" w:color="auto"/>
      </w:divBdr>
    </w:div>
    <w:div w:id="914358787">
      <w:bodyDiv w:val="1"/>
      <w:marLeft w:val="0"/>
      <w:marRight w:val="0"/>
      <w:marTop w:val="0"/>
      <w:marBottom w:val="0"/>
      <w:divBdr>
        <w:top w:val="none" w:sz="0" w:space="0" w:color="auto"/>
        <w:left w:val="none" w:sz="0" w:space="0" w:color="auto"/>
        <w:bottom w:val="none" w:sz="0" w:space="0" w:color="auto"/>
        <w:right w:val="none" w:sz="0" w:space="0" w:color="auto"/>
      </w:divBdr>
    </w:div>
    <w:div w:id="921599447">
      <w:bodyDiv w:val="1"/>
      <w:marLeft w:val="0"/>
      <w:marRight w:val="0"/>
      <w:marTop w:val="0"/>
      <w:marBottom w:val="0"/>
      <w:divBdr>
        <w:top w:val="none" w:sz="0" w:space="0" w:color="auto"/>
        <w:left w:val="none" w:sz="0" w:space="0" w:color="auto"/>
        <w:bottom w:val="none" w:sz="0" w:space="0" w:color="auto"/>
        <w:right w:val="none" w:sz="0" w:space="0" w:color="auto"/>
      </w:divBdr>
      <w:divsChild>
        <w:div w:id="152835673">
          <w:marLeft w:val="0"/>
          <w:marRight w:val="0"/>
          <w:marTop w:val="0"/>
          <w:marBottom w:val="0"/>
          <w:divBdr>
            <w:top w:val="none" w:sz="0" w:space="0" w:color="auto"/>
            <w:left w:val="none" w:sz="0" w:space="0" w:color="auto"/>
            <w:bottom w:val="none" w:sz="0" w:space="0" w:color="auto"/>
            <w:right w:val="none" w:sz="0" w:space="0" w:color="auto"/>
          </w:divBdr>
        </w:div>
        <w:div w:id="1229269910">
          <w:marLeft w:val="0"/>
          <w:marRight w:val="0"/>
          <w:marTop w:val="0"/>
          <w:marBottom w:val="0"/>
          <w:divBdr>
            <w:top w:val="none" w:sz="0" w:space="0" w:color="auto"/>
            <w:left w:val="none" w:sz="0" w:space="0" w:color="auto"/>
            <w:bottom w:val="none" w:sz="0" w:space="0" w:color="auto"/>
            <w:right w:val="none" w:sz="0" w:space="0" w:color="auto"/>
          </w:divBdr>
        </w:div>
        <w:div w:id="1412000934">
          <w:marLeft w:val="0"/>
          <w:marRight w:val="0"/>
          <w:marTop w:val="0"/>
          <w:marBottom w:val="0"/>
          <w:divBdr>
            <w:top w:val="none" w:sz="0" w:space="0" w:color="auto"/>
            <w:left w:val="none" w:sz="0" w:space="0" w:color="auto"/>
            <w:bottom w:val="none" w:sz="0" w:space="0" w:color="auto"/>
            <w:right w:val="none" w:sz="0" w:space="0" w:color="auto"/>
          </w:divBdr>
        </w:div>
        <w:div w:id="1441224705">
          <w:marLeft w:val="0"/>
          <w:marRight w:val="0"/>
          <w:marTop w:val="0"/>
          <w:marBottom w:val="0"/>
          <w:divBdr>
            <w:top w:val="none" w:sz="0" w:space="0" w:color="auto"/>
            <w:left w:val="none" w:sz="0" w:space="0" w:color="auto"/>
            <w:bottom w:val="none" w:sz="0" w:space="0" w:color="auto"/>
            <w:right w:val="none" w:sz="0" w:space="0" w:color="auto"/>
          </w:divBdr>
        </w:div>
        <w:div w:id="1486386827">
          <w:marLeft w:val="0"/>
          <w:marRight w:val="0"/>
          <w:marTop w:val="0"/>
          <w:marBottom w:val="0"/>
          <w:divBdr>
            <w:top w:val="none" w:sz="0" w:space="0" w:color="auto"/>
            <w:left w:val="none" w:sz="0" w:space="0" w:color="auto"/>
            <w:bottom w:val="none" w:sz="0" w:space="0" w:color="auto"/>
            <w:right w:val="none" w:sz="0" w:space="0" w:color="auto"/>
          </w:divBdr>
        </w:div>
      </w:divsChild>
    </w:div>
    <w:div w:id="933905575">
      <w:bodyDiv w:val="1"/>
      <w:marLeft w:val="0"/>
      <w:marRight w:val="0"/>
      <w:marTop w:val="0"/>
      <w:marBottom w:val="0"/>
      <w:divBdr>
        <w:top w:val="none" w:sz="0" w:space="0" w:color="auto"/>
        <w:left w:val="none" w:sz="0" w:space="0" w:color="auto"/>
        <w:bottom w:val="none" w:sz="0" w:space="0" w:color="auto"/>
        <w:right w:val="none" w:sz="0" w:space="0" w:color="auto"/>
      </w:divBdr>
    </w:div>
    <w:div w:id="978535404">
      <w:bodyDiv w:val="1"/>
      <w:marLeft w:val="0"/>
      <w:marRight w:val="0"/>
      <w:marTop w:val="0"/>
      <w:marBottom w:val="0"/>
      <w:divBdr>
        <w:top w:val="none" w:sz="0" w:space="0" w:color="auto"/>
        <w:left w:val="none" w:sz="0" w:space="0" w:color="auto"/>
        <w:bottom w:val="none" w:sz="0" w:space="0" w:color="auto"/>
        <w:right w:val="none" w:sz="0" w:space="0" w:color="auto"/>
      </w:divBdr>
    </w:div>
    <w:div w:id="982925044">
      <w:bodyDiv w:val="1"/>
      <w:marLeft w:val="0"/>
      <w:marRight w:val="0"/>
      <w:marTop w:val="0"/>
      <w:marBottom w:val="0"/>
      <w:divBdr>
        <w:top w:val="none" w:sz="0" w:space="0" w:color="auto"/>
        <w:left w:val="none" w:sz="0" w:space="0" w:color="auto"/>
        <w:bottom w:val="none" w:sz="0" w:space="0" w:color="auto"/>
        <w:right w:val="none" w:sz="0" w:space="0" w:color="auto"/>
      </w:divBdr>
    </w:div>
    <w:div w:id="1023437827">
      <w:bodyDiv w:val="1"/>
      <w:marLeft w:val="0"/>
      <w:marRight w:val="0"/>
      <w:marTop w:val="0"/>
      <w:marBottom w:val="0"/>
      <w:divBdr>
        <w:top w:val="none" w:sz="0" w:space="0" w:color="auto"/>
        <w:left w:val="none" w:sz="0" w:space="0" w:color="auto"/>
        <w:bottom w:val="none" w:sz="0" w:space="0" w:color="auto"/>
        <w:right w:val="none" w:sz="0" w:space="0" w:color="auto"/>
      </w:divBdr>
    </w:div>
    <w:div w:id="1028332320">
      <w:bodyDiv w:val="1"/>
      <w:marLeft w:val="0"/>
      <w:marRight w:val="0"/>
      <w:marTop w:val="0"/>
      <w:marBottom w:val="0"/>
      <w:divBdr>
        <w:top w:val="none" w:sz="0" w:space="0" w:color="auto"/>
        <w:left w:val="none" w:sz="0" w:space="0" w:color="auto"/>
        <w:bottom w:val="none" w:sz="0" w:space="0" w:color="auto"/>
        <w:right w:val="none" w:sz="0" w:space="0" w:color="auto"/>
      </w:divBdr>
    </w:div>
    <w:div w:id="1035622681">
      <w:bodyDiv w:val="1"/>
      <w:marLeft w:val="0"/>
      <w:marRight w:val="0"/>
      <w:marTop w:val="0"/>
      <w:marBottom w:val="0"/>
      <w:divBdr>
        <w:top w:val="none" w:sz="0" w:space="0" w:color="auto"/>
        <w:left w:val="none" w:sz="0" w:space="0" w:color="auto"/>
        <w:bottom w:val="none" w:sz="0" w:space="0" w:color="auto"/>
        <w:right w:val="none" w:sz="0" w:space="0" w:color="auto"/>
      </w:divBdr>
    </w:div>
    <w:div w:id="1047602407">
      <w:bodyDiv w:val="1"/>
      <w:marLeft w:val="0"/>
      <w:marRight w:val="0"/>
      <w:marTop w:val="0"/>
      <w:marBottom w:val="0"/>
      <w:divBdr>
        <w:top w:val="none" w:sz="0" w:space="0" w:color="auto"/>
        <w:left w:val="none" w:sz="0" w:space="0" w:color="auto"/>
        <w:bottom w:val="none" w:sz="0" w:space="0" w:color="auto"/>
        <w:right w:val="none" w:sz="0" w:space="0" w:color="auto"/>
      </w:divBdr>
    </w:div>
    <w:div w:id="1050805706">
      <w:bodyDiv w:val="1"/>
      <w:marLeft w:val="0"/>
      <w:marRight w:val="0"/>
      <w:marTop w:val="0"/>
      <w:marBottom w:val="0"/>
      <w:divBdr>
        <w:top w:val="none" w:sz="0" w:space="0" w:color="auto"/>
        <w:left w:val="none" w:sz="0" w:space="0" w:color="auto"/>
        <w:bottom w:val="none" w:sz="0" w:space="0" w:color="auto"/>
        <w:right w:val="none" w:sz="0" w:space="0" w:color="auto"/>
      </w:divBdr>
    </w:div>
    <w:div w:id="1133258181">
      <w:bodyDiv w:val="1"/>
      <w:marLeft w:val="0"/>
      <w:marRight w:val="0"/>
      <w:marTop w:val="0"/>
      <w:marBottom w:val="0"/>
      <w:divBdr>
        <w:top w:val="none" w:sz="0" w:space="0" w:color="auto"/>
        <w:left w:val="none" w:sz="0" w:space="0" w:color="auto"/>
        <w:bottom w:val="none" w:sz="0" w:space="0" w:color="auto"/>
        <w:right w:val="none" w:sz="0" w:space="0" w:color="auto"/>
      </w:divBdr>
    </w:div>
    <w:div w:id="1196506515">
      <w:bodyDiv w:val="1"/>
      <w:marLeft w:val="0"/>
      <w:marRight w:val="0"/>
      <w:marTop w:val="0"/>
      <w:marBottom w:val="0"/>
      <w:divBdr>
        <w:top w:val="none" w:sz="0" w:space="0" w:color="auto"/>
        <w:left w:val="none" w:sz="0" w:space="0" w:color="auto"/>
        <w:bottom w:val="none" w:sz="0" w:space="0" w:color="auto"/>
        <w:right w:val="none" w:sz="0" w:space="0" w:color="auto"/>
      </w:divBdr>
    </w:div>
    <w:div w:id="1228808971">
      <w:bodyDiv w:val="1"/>
      <w:marLeft w:val="0"/>
      <w:marRight w:val="0"/>
      <w:marTop w:val="0"/>
      <w:marBottom w:val="0"/>
      <w:divBdr>
        <w:top w:val="none" w:sz="0" w:space="0" w:color="auto"/>
        <w:left w:val="none" w:sz="0" w:space="0" w:color="auto"/>
        <w:bottom w:val="none" w:sz="0" w:space="0" w:color="auto"/>
        <w:right w:val="none" w:sz="0" w:space="0" w:color="auto"/>
      </w:divBdr>
    </w:div>
    <w:div w:id="1255627895">
      <w:bodyDiv w:val="1"/>
      <w:marLeft w:val="0"/>
      <w:marRight w:val="0"/>
      <w:marTop w:val="0"/>
      <w:marBottom w:val="0"/>
      <w:divBdr>
        <w:top w:val="none" w:sz="0" w:space="0" w:color="auto"/>
        <w:left w:val="none" w:sz="0" w:space="0" w:color="auto"/>
        <w:bottom w:val="none" w:sz="0" w:space="0" w:color="auto"/>
        <w:right w:val="none" w:sz="0" w:space="0" w:color="auto"/>
      </w:divBdr>
    </w:div>
    <w:div w:id="1260338187">
      <w:bodyDiv w:val="1"/>
      <w:marLeft w:val="0"/>
      <w:marRight w:val="0"/>
      <w:marTop w:val="0"/>
      <w:marBottom w:val="0"/>
      <w:divBdr>
        <w:top w:val="none" w:sz="0" w:space="0" w:color="auto"/>
        <w:left w:val="none" w:sz="0" w:space="0" w:color="auto"/>
        <w:bottom w:val="none" w:sz="0" w:space="0" w:color="auto"/>
        <w:right w:val="none" w:sz="0" w:space="0" w:color="auto"/>
      </w:divBdr>
      <w:divsChild>
        <w:div w:id="829564689">
          <w:marLeft w:val="0"/>
          <w:marRight w:val="0"/>
          <w:marTop w:val="0"/>
          <w:marBottom w:val="0"/>
          <w:divBdr>
            <w:top w:val="none" w:sz="0" w:space="0" w:color="auto"/>
            <w:left w:val="none" w:sz="0" w:space="0" w:color="auto"/>
            <w:bottom w:val="none" w:sz="0" w:space="0" w:color="auto"/>
            <w:right w:val="none" w:sz="0" w:space="0" w:color="auto"/>
          </w:divBdr>
        </w:div>
        <w:div w:id="1152330120">
          <w:marLeft w:val="0"/>
          <w:marRight w:val="0"/>
          <w:marTop w:val="0"/>
          <w:marBottom w:val="0"/>
          <w:divBdr>
            <w:top w:val="none" w:sz="0" w:space="0" w:color="auto"/>
            <w:left w:val="none" w:sz="0" w:space="0" w:color="auto"/>
            <w:bottom w:val="none" w:sz="0" w:space="0" w:color="auto"/>
            <w:right w:val="none" w:sz="0" w:space="0" w:color="auto"/>
          </w:divBdr>
        </w:div>
        <w:div w:id="1315989279">
          <w:marLeft w:val="0"/>
          <w:marRight w:val="0"/>
          <w:marTop w:val="0"/>
          <w:marBottom w:val="0"/>
          <w:divBdr>
            <w:top w:val="none" w:sz="0" w:space="0" w:color="auto"/>
            <w:left w:val="none" w:sz="0" w:space="0" w:color="auto"/>
            <w:bottom w:val="none" w:sz="0" w:space="0" w:color="auto"/>
            <w:right w:val="none" w:sz="0" w:space="0" w:color="auto"/>
          </w:divBdr>
        </w:div>
      </w:divsChild>
    </w:div>
    <w:div w:id="1265650365">
      <w:bodyDiv w:val="1"/>
      <w:marLeft w:val="0"/>
      <w:marRight w:val="0"/>
      <w:marTop w:val="0"/>
      <w:marBottom w:val="0"/>
      <w:divBdr>
        <w:top w:val="none" w:sz="0" w:space="0" w:color="auto"/>
        <w:left w:val="none" w:sz="0" w:space="0" w:color="auto"/>
        <w:bottom w:val="none" w:sz="0" w:space="0" w:color="auto"/>
        <w:right w:val="none" w:sz="0" w:space="0" w:color="auto"/>
      </w:divBdr>
      <w:divsChild>
        <w:div w:id="327444244">
          <w:marLeft w:val="0"/>
          <w:marRight w:val="0"/>
          <w:marTop w:val="0"/>
          <w:marBottom w:val="0"/>
          <w:divBdr>
            <w:top w:val="none" w:sz="0" w:space="0" w:color="auto"/>
            <w:left w:val="none" w:sz="0" w:space="0" w:color="auto"/>
            <w:bottom w:val="none" w:sz="0" w:space="0" w:color="auto"/>
            <w:right w:val="none" w:sz="0" w:space="0" w:color="auto"/>
          </w:divBdr>
          <w:divsChild>
            <w:div w:id="1203901002">
              <w:marLeft w:val="0"/>
              <w:marRight w:val="0"/>
              <w:marTop w:val="0"/>
              <w:marBottom w:val="0"/>
              <w:divBdr>
                <w:top w:val="none" w:sz="0" w:space="0" w:color="auto"/>
                <w:left w:val="none" w:sz="0" w:space="0" w:color="auto"/>
                <w:bottom w:val="none" w:sz="0" w:space="0" w:color="auto"/>
                <w:right w:val="none" w:sz="0" w:space="0" w:color="auto"/>
              </w:divBdr>
              <w:divsChild>
                <w:div w:id="642272877">
                  <w:marLeft w:val="0"/>
                  <w:marRight w:val="0"/>
                  <w:marTop w:val="0"/>
                  <w:marBottom w:val="0"/>
                  <w:divBdr>
                    <w:top w:val="none" w:sz="0" w:space="0" w:color="auto"/>
                    <w:left w:val="none" w:sz="0" w:space="0" w:color="auto"/>
                    <w:bottom w:val="none" w:sz="0" w:space="0" w:color="auto"/>
                    <w:right w:val="none" w:sz="0" w:space="0" w:color="auto"/>
                  </w:divBdr>
                  <w:divsChild>
                    <w:div w:id="1739523029">
                      <w:marLeft w:val="0"/>
                      <w:marRight w:val="0"/>
                      <w:marTop w:val="0"/>
                      <w:marBottom w:val="0"/>
                      <w:divBdr>
                        <w:top w:val="none" w:sz="0" w:space="0" w:color="auto"/>
                        <w:left w:val="none" w:sz="0" w:space="0" w:color="auto"/>
                        <w:bottom w:val="none" w:sz="0" w:space="0" w:color="auto"/>
                        <w:right w:val="none" w:sz="0" w:space="0" w:color="auto"/>
                      </w:divBdr>
                      <w:divsChild>
                        <w:div w:id="1856648127">
                          <w:marLeft w:val="0"/>
                          <w:marRight w:val="0"/>
                          <w:marTop w:val="0"/>
                          <w:marBottom w:val="0"/>
                          <w:divBdr>
                            <w:top w:val="none" w:sz="0" w:space="0" w:color="auto"/>
                            <w:left w:val="none" w:sz="0" w:space="0" w:color="auto"/>
                            <w:bottom w:val="none" w:sz="0" w:space="0" w:color="auto"/>
                            <w:right w:val="none" w:sz="0" w:space="0" w:color="auto"/>
                          </w:divBdr>
                          <w:divsChild>
                            <w:div w:id="1803302019">
                              <w:marLeft w:val="0"/>
                              <w:marRight w:val="0"/>
                              <w:marTop w:val="0"/>
                              <w:marBottom w:val="0"/>
                              <w:divBdr>
                                <w:top w:val="none" w:sz="0" w:space="0" w:color="auto"/>
                                <w:left w:val="none" w:sz="0" w:space="0" w:color="auto"/>
                                <w:bottom w:val="none" w:sz="0" w:space="0" w:color="auto"/>
                                <w:right w:val="none" w:sz="0" w:space="0" w:color="auto"/>
                              </w:divBdr>
                              <w:divsChild>
                                <w:div w:id="1933123158">
                                  <w:marLeft w:val="0"/>
                                  <w:marRight w:val="0"/>
                                  <w:marTop w:val="0"/>
                                  <w:marBottom w:val="0"/>
                                  <w:divBdr>
                                    <w:top w:val="none" w:sz="0" w:space="0" w:color="auto"/>
                                    <w:left w:val="none" w:sz="0" w:space="0" w:color="auto"/>
                                    <w:bottom w:val="none" w:sz="0" w:space="0" w:color="auto"/>
                                    <w:right w:val="none" w:sz="0" w:space="0" w:color="auto"/>
                                  </w:divBdr>
                                  <w:divsChild>
                                    <w:div w:id="459612167">
                                      <w:marLeft w:val="0"/>
                                      <w:marRight w:val="0"/>
                                      <w:marTop w:val="0"/>
                                      <w:marBottom w:val="0"/>
                                      <w:divBdr>
                                        <w:top w:val="none" w:sz="0" w:space="0" w:color="auto"/>
                                        <w:left w:val="none" w:sz="0" w:space="0" w:color="auto"/>
                                        <w:bottom w:val="none" w:sz="0" w:space="0" w:color="auto"/>
                                        <w:right w:val="none" w:sz="0" w:space="0" w:color="auto"/>
                                      </w:divBdr>
                                      <w:divsChild>
                                        <w:div w:id="1563368483">
                                          <w:marLeft w:val="0"/>
                                          <w:marRight w:val="0"/>
                                          <w:marTop w:val="0"/>
                                          <w:marBottom w:val="0"/>
                                          <w:divBdr>
                                            <w:top w:val="none" w:sz="0" w:space="0" w:color="auto"/>
                                            <w:left w:val="none" w:sz="0" w:space="0" w:color="auto"/>
                                            <w:bottom w:val="none" w:sz="0" w:space="0" w:color="auto"/>
                                            <w:right w:val="none" w:sz="0" w:space="0" w:color="auto"/>
                                          </w:divBdr>
                                          <w:divsChild>
                                            <w:div w:id="1680235463">
                                              <w:marLeft w:val="0"/>
                                              <w:marRight w:val="0"/>
                                              <w:marTop w:val="0"/>
                                              <w:marBottom w:val="0"/>
                                              <w:divBdr>
                                                <w:top w:val="none" w:sz="0" w:space="0" w:color="auto"/>
                                                <w:left w:val="none" w:sz="0" w:space="0" w:color="auto"/>
                                                <w:bottom w:val="none" w:sz="0" w:space="0" w:color="auto"/>
                                                <w:right w:val="none" w:sz="0" w:space="0" w:color="auto"/>
                                              </w:divBdr>
                                              <w:divsChild>
                                                <w:div w:id="485706699">
                                                  <w:marLeft w:val="0"/>
                                                  <w:marRight w:val="0"/>
                                                  <w:marTop w:val="0"/>
                                                  <w:marBottom w:val="0"/>
                                                  <w:divBdr>
                                                    <w:top w:val="none" w:sz="0" w:space="0" w:color="auto"/>
                                                    <w:left w:val="none" w:sz="0" w:space="0" w:color="auto"/>
                                                    <w:bottom w:val="none" w:sz="0" w:space="0" w:color="auto"/>
                                                    <w:right w:val="none" w:sz="0" w:space="0" w:color="auto"/>
                                                  </w:divBdr>
                                                  <w:divsChild>
                                                    <w:div w:id="489249017">
                                                      <w:marLeft w:val="0"/>
                                                      <w:marRight w:val="0"/>
                                                      <w:marTop w:val="0"/>
                                                      <w:marBottom w:val="0"/>
                                                      <w:divBdr>
                                                        <w:top w:val="none" w:sz="0" w:space="0" w:color="auto"/>
                                                        <w:left w:val="none" w:sz="0" w:space="0" w:color="auto"/>
                                                        <w:bottom w:val="none" w:sz="0" w:space="0" w:color="auto"/>
                                                        <w:right w:val="none" w:sz="0" w:space="0" w:color="auto"/>
                                                      </w:divBdr>
                                                      <w:divsChild>
                                                        <w:div w:id="83384605">
                                                          <w:marLeft w:val="0"/>
                                                          <w:marRight w:val="0"/>
                                                          <w:marTop w:val="0"/>
                                                          <w:marBottom w:val="0"/>
                                                          <w:divBdr>
                                                            <w:top w:val="none" w:sz="0" w:space="0" w:color="auto"/>
                                                            <w:left w:val="none" w:sz="0" w:space="0" w:color="auto"/>
                                                            <w:bottom w:val="none" w:sz="0" w:space="0" w:color="auto"/>
                                                            <w:right w:val="none" w:sz="0" w:space="0" w:color="auto"/>
                                                          </w:divBdr>
                                                          <w:divsChild>
                                                            <w:div w:id="466704866">
                                                              <w:marLeft w:val="0"/>
                                                              <w:marRight w:val="0"/>
                                                              <w:marTop w:val="0"/>
                                                              <w:marBottom w:val="0"/>
                                                              <w:divBdr>
                                                                <w:top w:val="none" w:sz="0" w:space="0" w:color="auto"/>
                                                                <w:left w:val="none" w:sz="0" w:space="0" w:color="auto"/>
                                                                <w:bottom w:val="none" w:sz="0" w:space="0" w:color="auto"/>
                                                                <w:right w:val="none" w:sz="0" w:space="0" w:color="auto"/>
                                                              </w:divBdr>
                                                              <w:divsChild>
                                                                <w:div w:id="1485850284">
                                                                  <w:marLeft w:val="0"/>
                                                                  <w:marRight w:val="0"/>
                                                                  <w:marTop w:val="0"/>
                                                                  <w:marBottom w:val="0"/>
                                                                  <w:divBdr>
                                                                    <w:top w:val="none" w:sz="0" w:space="0" w:color="auto"/>
                                                                    <w:left w:val="none" w:sz="0" w:space="0" w:color="auto"/>
                                                                    <w:bottom w:val="none" w:sz="0" w:space="0" w:color="auto"/>
                                                                    <w:right w:val="none" w:sz="0" w:space="0" w:color="auto"/>
                                                                  </w:divBdr>
                                                                  <w:divsChild>
                                                                    <w:div w:id="296036425">
                                                                      <w:marLeft w:val="0"/>
                                                                      <w:marRight w:val="0"/>
                                                                      <w:marTop w:val="0"/>
                                                                      <w:marBottom w:val="0"/>
                                                                      <w:divBdr>
                                                                        <w:top w:val="none" w:sz="0" w:space="0" w:color="auto"/>
                                                                        <w:left w:val="none" w:sz="0" w:space="0" w:color="auto"/>
                                                                        <w:bottom w:val="none" w:sz="0" w:space="0" w:color="auto"/>
                                                                        <w:right w:val="none" w:sz="0" w:space="0" w:color="auto"/>
                                                                      </w:divBdr>
                                                                      <w:divsChild>
                                                                        <w:div w:id="446782120">
                                                                          <w:marLeft w:val="0"/>
                                                                          <w:marRight w:val="0"/>
                                                                          <w:marTop w:val="0"/>
                                                                          <w:marBottom w:val="0"/>
                                                                          <w:divBdr>
                                                                            <w:top w:val="none" w:sz="0" w:space="0" w:color="auto"/>
                                                                            <w:left w:val="none" w:sz="0" w:space="0" w:color="auto"/>
                                                                            <w:bottom w:val="none" w:sz="0" w:space="0" w:color="auto"/>
                                                                            <w:right w:val="none" w:sz="0" w:space="0" w:color="auto"/>
                                                                          </w:divBdr>
                                                                          <w:divsChild>
                                                                            <w:div w:id="686180343">
                                                                              <w:marLeft w:val="0"/>
                                                                              <w:marRight w:val="0"/>
                                                                              <w:marTop w:val="0"/>
                                                                              <w:marBottom w:val="0"/>
                                                                              <w:divBdr>
                                                                                <w:top w:val="none" w:sz="0" w:space="0" w:color="auto"/>
                                                                                <w:left w:val="none" w:sz="0" w:space="0" w:color="auto"/>
                                                                                <w:bottom w:val="none" w:sz="0" w:space="0" w:color="auto"/>
                                                                                <w:right w:val="none" w:sz="0" w:space="0" w:color="auto"/>
                                                                              </w:divBdr>
                                                                              <w:divsChild>
                                                                                <w:div w:id="541982909">
                                                                                  <w:marLeft w:val="0"/>
                                                                                  <w:marRight w:val="0"/>
                                                                                  <w:marTop w:val="0"/>
                                                                                  <w:marBottom w:val="0"/>
                                                                                  <w:divBdr>
                                                                                    <w:top w:val="none" w:sz="0" w:space="0" w:color="auto"/>
                                                                                    <w:left w:val="none" w:sz="0" w:space="0" w:color="auto"/>
                                                                                    <w:bottom w:val="none" w:sz="0" w:space="0" w:color="auto"/>
                                                                                    <w:right w:val="none" w:sz="0" w:space="0" w:color="auto"/>
                                                                                  </w:divBdr>
                                                                                  <w:divsChild>
                                                                                    <w:div w:id="2072730090">
                                                                                      <w:marLeft w:val="0"/>
                                                                                      <w:marRight w:val="0"/>
                                                                                      <w:marTop w:val="0"/>
                                                                                      <w:marBottom w:val="0"/>
                                                                                      <w:divBdr>
                                                                                        <w:top w:val="none" w:sz="0" w:space="0" w:color="auto"/>
                                                                                        <w:left w:val="none" w:sz="0" w:space="0" w:color="auto"/>
                                                                                        <w:bottom w:val="none" w:sz="0" w:space="0" w:color="auto"/>
                                                                                        <w:right w:val="none" w:sz="0" w:space="0" w:color="auto"/>
                                                                                      </w:divBdr>
                                                                                      <w:divsChild>
                                                                                        <w:div w:id="1362390624">
                                                                                          <w:marLeft w:val="0"/>
                                                                                          <w:marRight w:val="0"/>
                                                                                          <w:marTop w:val="0"/>
                                                                                          <w:marBottom w:val="0"/>
                                                                                          <w:divBdr>
                                                                                            <w:top w:val="none" w:sz="0" w:space="0" w:color="auto"/>
                                                                                            <w:left w:val="none" w:sz="0" w:space="0" w:color="auto"/>
                                                                                            <w:bottom w:val="none" w:sz="0" w:space="0" w:color="auto"/>
                                                                                            <w:right w:val="none" w:sz="0" w:space="0" w:color="auto"/>
                                                                                          </w:divBdr>
                                                                                          <w:divsChild>
                                                                                            <w:div w:id="461849214">
                                                                                              <w:marLeft w:val="0"/>
                                                                                              <w:marRight w:val="0"/>
                                                                                              <w:marTop w:val="0"/>
                                                                                              <w:marBottom w:val="0"/>
                                                                                              <w:divBdr>
                                                                                                <w:top w:val="none" w:sz="0" w:space="0" w:color="auto"/>
                                                                                                <w:left w:val="none" w:sz="0" w:space="0" w:color="auto"/>
                                                                                                <w:bottom w:val="none" w:sz="0" w:space="0" w:color="auto"/>
                                                                                                <w:right w:val="none" w:sz="0" w:space="0" w:color="auto"/>
                                                                                              </w:divBdr>
                                                                                              <w:divsChild>
                                                                                                <w:div w:id="132021800">
                                                                                                  <w:marLeft w:val="0"/>
                                                                                                  <w:marRight w:val="0"/>
                                                                                                  <w:marTop w:val="0"/>
                                                                                                  <w:marBottom w:val="0"/>
                                                                                                  <w:divBdr>
                                                                                                    <w:top w:val="none" w:sz="0" w:space="0" w:color="auto"/>
                                                                                                    <w:left w:val="none" w:sz="0" w:space="0" w:color="auto"/>
                                                                                                    <w:bottom w:val="none" w:sz="0" w:space="0" w:color="auto"/>
                                                                                                    <w:right w:val="none" w:sz="0" w:space="0" w:color="auto"/>
                                                                                                  </w:divBdr>
                                                                                                  <w:divsChild>
                                                                                                    <w:div w:id="1766996487">
                                                                                                      <w:marLeft w:val="0"/>
                                                                                                      <w:marRight w:val="0"/>
                                                                                                      <w:marTop w:val="0"/>
                                                                                                      <w:marBottom w:val="0"/>
                                                                                                      <w:divBdr>
                                                                                                        <w:top w:val="none" w:sz="0" w:space="0" w:color="auto"/>
                                                                                                        <w:left w:val="none" w:sz="0" w:space="0" w:color="auto"/>
                                                                                                        <w:bottom w:val="none" w:sz="0" w:space="0" w:color="auto"/>
                                                                                                        <w:right w:val="none" w:sz="0" w:space="0" w:color="auto"/>
                                                                                                      </w:divBdr>
                                                                                                      <w:divsChild>
                                                                                                        <w:div w:id="136387605">
                                                                                                          <w:marLeft w:val="0"/>
                                                                                                          <w:marRight w:val="0"/>
                                                                                                          <w:marTop w:val="0"/>
                                                                                                          <w:marBottom w:val="0"/>
                                                                                                          <w:divBdr>
                                                                                                            <w:top w:val="none" w:sz="0" w:space="0" w:color="auto"/>
                                                                                                            <w:left w:val="none" w:sz="0" w:space="0" w:color="auto"/>
                                                                                                            <w:bottom w:val="none" w:sz="0" w:space="0" w:color="auto"/>
                                                                                                            <w:right w:val="none" w:sz="0" w:space="0" w:color="auto"/>
                                                                                                          </w:divBdr>
                                                                                                          <w:divsChild>
                                                                                                            <w:div w:id="128085845">
                                                                                                              <w:marLeft w:val="0"/>
                                                                                                              <w:marRight w:val="0"/>
                                                                                                              <w:marTop w:val="0"/>
                                                                                                              <w:marBottom w:val="0"/>
                                                                                                              <w:divBdr>
                                                                                                                <w:top w:val="none" w:sz="0" w:space="0" w:color="auto"/>
                                                                                                                <w:left w:val="none" w:sz="0" w:space="0" w:color="auto"/>
                                                                                                                <w:bottom w:val="none" w:sz="0" w:space="0" w:color="auto"/>
                                                                                                                <w:right w:val="none" w:sz="0" w:space="0" w:color="auto"/>
                                                                                                              </w:divBdr>
                                                                                                              <w:divsChild>
                                                                                                                <w:div w:id="1023096865">
                                                                                                                  <w:marLeft w:val="0"/>
                                                                                                                  <w:marRight w:val="0"/>
                                                                                                                  <w:marTop w:val="0"/>
                                                                                                                  <w:marBottom w:val="0"/>
                                                                                                                  <w:divBdr>
                                                                                                                    <w:top w:val="none" w:sz="0" w:space="0" w:color="auto"/>
                                                                                                                    <w:left w:val="none" w:sz="0" w:space="0" w:color="auto"/>
                                                                                                                    <w:bottom w:val="none" w:sz="0" w:space="0" w:color="auto"/>
                                                                                                                    <w:right w:val="none" w:sz="0" w:space="0" w:color="auto"/>
                                                                                                                  </w:divBdr>
                                                                                                                  <w:divsChild>
                                                                                                                    <w:div w:id="1052848574">
                                                                                                                      <w:marLeft w:val="0"/>
                                                                                                                      <w:marRight w:val="0"/>
                                                                                                                      <w:marTop w:val="0"/>
                                                                                                                      <w:marBottom w:val="0"/>
                                                                                                                      <w:divBdr>
                                                                                                                        <w:top w:val="none" w:sz="0" w:space="0" w:color="auto"/>
                                                                                                                        <w:left w:val="none" w:sz="0" w:space="0" w:color="auto"/>
                                                                                                                        <w:bottom w:val="none" w:sz="0" w:space="0" w:color="auto"/>
                                                                                                                        <w:right w:val="none" w:sz="0" w:space="0" w:color="auto"/>
                                                                                                                      </w:divBdr>
                                                                                                                      <w:divsChild>
                                                                                                                        <w:div w:id="1333873722">
                                                                                                                          <w:marLeft w:val="0"/>
                                                                                                                          <w:marRight w:val="0"/>
                                                                                                                          <w:marTop w:val="0"/>
                                                                                                                          <w:marBottom w:val="0"/>
                                                                                                                          <w:divBdr>
                                                                                                                            <w:top w:val="none" w:sz="0" w:space="0" w:color="auto"/>
                                                                                                                            <w:left w:val="none" w:sz="0" w:space="0" w:color="auto"/>
                                                                                                                            <w:bottom w:val="none" w:sz="0" w:space="0" w:color="auto"/>
                                                                                                                            <w:right w:val="none" w:sz="0" w:space="0" w:color="auto"/>
                                                                                                                          </w:divBdr>
                                                                                                                          <w:divsChild>
                                                                                                                            <w:div w:id="597837800">
                                                                                                                              <w:marLeft w:val="0"/>
                                                                                                                              <w:marRight w:val="0"/>
                                                                                                                              <w:marTop w:val="0"/>
                                                                                                                              <w:marBottom w:val="0"/>
                                                                                                                              <w:divBdr>
                                                                                                                                <w:top w:val="none" w:sz="0" w:space="0" w:color="auto"/>
                                                                                                                                <w:left w:val="none" w:sz="0" w:space="0" w:color="auto"/>
                                                                                                                                <w:bottom w:val="none" w:sz="0" w:space="0" w:color="auto"/>
                                                                                                                                <w:right w:val="none" w:sz="0" w:space="0" w:color="auto"/>
                                                                                                                              </w:divBdr>
                                                                                                                              <w:divsChild>
                                                                                                                                <w:div w:id="2077782751">
                                                                                                                                  <w:marLeft w:val="0"/>
                                                                                                                                  <w:marRight w:val="0"/>
                                                                                                                                  <w:marTop w:val="0"/>
                                                                                                                                  <w:marBottom w:val="0"/>
                                                                                                                                  <w:divBdr>
                                                                                                                                    <w:top w:val="none" w:sz="0" w:space="0" w:color="auto"/>
                                                                                                                                    <w:left w:val="none" w:sz="0" w:space="0" w:color="auto"/>
                                                                                                                                    <w:bottom w:val="none" w:sz="0" w:space="0" w:color="auto"/>
                                                                                                                                    <w:right w:val="none" w:sz="0" w:space="0" w:color="auto"/>
                                                                                                                                  </w:divBdr>
                                                                                                                                  <w:divsChild>
                                                                                                                                    <w:div w:id="2141027734">
                                                                                                                                      <w:marLeft w:val="0"/>
                                                                                                                                      <w:marRight w:val="0"/>
                                                                                                                                      <w:marTop w:val="0"/>
                                                                                                                                      <w:marBottom w:val="0"/>
                                                                                                                                      <w:divBdr>
                                                                                                                                        <w:top w:val="none" w:sz="0" w:space="0" w:color="auto"/>
                                                                                                                                        <w:left w:val="none" w:sz="0" w:space="0" w:color="auto"/>
                                                                                                                                        <w:bottom w:val="none" w:sz="0" w:space="0" w:color="auto"/>
                                                                                                                                        <w:right w:val="none" w:sz="0" w:space="0" w:color="auto"/>
                                                                                                                                      </w:divBdr>
                                                                                                                                      <w:divsChild>
                                                                                                                                        <w:div w:id="70809577">
                                                                                                                                          <w:marLeft w:val="0"/>
                                                                                                                                          <w:marRight w:val="0"/>
                                                                                                                                          <w:marTop w:val="0"/>
                                                                                                                                          <w:marBottom w:val="0"/>
                                                                                                                                          <w:divBdr>
                                                                                                                                            <w:top w:val="none" w:sz="0" w:space="0" w:color="auto"/>
                                                                                                                                            <w:left w:val="none" w:sz="0" w:space="0" w:color="auto"/>
                                                                                                                                            <w:bottom w:val="none" w:sz="0" w:space="0" w:color="auto"/>
                                                                                                                                            <w:right w:val="none" w:sz="0" w:space="0" w:color="auto"/>
                                                                                                                                          </w:divBdr>
                                                                                                                                          <w:divsChild>
                                                                                                                                            <w:div w:id="89202851">
                                                                                                                                              <w:marLeft w:val="0"/>
                                                                                                                                              <w:marRight w:val="0"/>
                                                                                                                                              <w:marTop w:val="0"/>
                                                                                                                                              <w:marBottom w:val="0"/>
                                                                                                                                              <w:divBdr>
                                                                                                                                                <w:top w:val="none" w:sz="0" w:space="0" w:color="auto"/>
                                                                                                                                                <w:left w:val="none" w:sz="0" w:space="0" w:color="auto"/>
                                                                                                                                                <w:bottom w:val="none" w:sz="0" w:space="0" w:color="auto"/>
                                                                                                                                                <w:right w:val="none" w:sz="0" w:space="0" w:color="auto"/>
                                                                                                                                              </w:divBdr>
                                                                                                                                              <w:divsChild>
                                                                                                                                                <w:div w:id="8559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215710">
      <w:bodyDiv w:val="1"/>
      <w:marLeft w:val="0"/>
      <w:marRight w:val="0"/>
      <w:marTop w:val="0"/>
      <w:marBottom w:val="0"/>
      <w:divBdr>
        <w:top w:val="none" w:sz="0" w:space="0" w:color="auto"/>
        <w:left w:val="none" w:sz="0" w:space="0" w:color="auto"/>
        <w:bottom w:val="none" w:sz="0" w:space="0" w:color="auto"/>
        <w:right w:val="none" w:sz="0" w:space="0" w:color="auto"/>
      </w:divBdr>
    </w:div>
    <w:div w:id="1474984825">
      <w:bodyDiv w:val="1"/>
      <w:marLeft w:val="0"/>
      <w:marRight w:val="0"/>
      <w:marTop w:val="0"/>
      <w:marBottom w:val="0"/>
      <w:divBdr>
        <w:top w:val="none" w:sz="0" w:space="0" w:color="auto"/>
        <w:left w:val="none" w:sz="0" w:space="0" w:color="auto"/>
        <w:bottom w:val="none" w:sz="0" w:space="0" w:color="auto"/>
        <w:right w:val="none" w:sz="0" w:space="0" w:color="auto"/>
      </w:divBdr>
    </w:div>
    <w:div w:id="1498156647">
      <w:bodyDiv w:val="1"/>
      <w:marLeft w:val="0"/>
      <w:marRight w:val="0"/>
      <w:marTop w:val="0"/>
      <w:marBottom w:val="0"/>
      <w:divBdr>
        <w:top w:val="none" w:sz="0" w:space="0" w:color="auto"/>
        <w:left w:val="none" w:sz="0" w:space="0" w:color="auto"/>
        <w:bottom w:val="none" w:sz="0" w:space="0" w:color="auto"/>
        <w:right w:val="none" w:sz="0" w:space="0" w:color="auto"/>
      </w:divBdr>
    </w:div>
    <w:div w:id="1498420017">
      <w:bodyDiv w:val="1"/>
      <w:marLeft w:val="0"/>
      <w:marRight w:val="0"/>
      <w:marTop w:val="0"/>
      <w:marBottom w:val="0"/>
      <w:divBdr>
        <w:top w:val="none" w:sz="0" w:space="0" w:color="auto"/>
        <w:left w:val="none" w:sz="0" w:space="0" w:color="auto"/>
        <w:bottom w:val="none" w:sz="0" w:space="0" w:color="auto"/>
        <w:right w:val="none" w:sz="0" w:space="0" w:color="auto"/>
      </w:divBdr>
    </w:div>
    <w:div w:id="1499688451">
      <w:bodyDiv w:val="1"/>
      <w:marLeft w:val="0"/>
      <w:marRight w:val="0"/>
      <w:marTop w:val="0"/>
      <w:marBottom w:val="0"/>
      <w:divBdr>
        <w:top w:val="none" w:sz="0" w:space="0" w:color="auto"/>
        <w:left w:val="none" w:sz="0" w:space="0" w:color="auto"/>
        <w:bottom w:val="none" w:sz="0" w:space="0" w:color="auto"/>
        <w:right w:val="none" w:sz="0" w:space="0" w:color="auto"/>
      </w:divBdr>
    </w:div>
    <w:div w:id="1535658543">
      <w:bodyDiv w:val="1"/>
      <w:marLeft w:val="0"/>
      <w:marRight w:val="0"/>
      <w:marTop w:val="0"/>
      <w:marBottom w:val="0"/>
      <w:divBdr>
        <w:top w:val="none" w:sz="0" w:space="0" w:color="auto"/>
        <w:left w:val="none" w:sz="0" w:space="0" w:color="auto"/>
        <w:bottom w:val="none" w:sz="0" w:space="0" w:color="auto"/>
        <w:right w:val="none" w:sz="0" w:space="0" w:color="auto"/>
      </w:divBdr>
    </w:div>
    <w:div w:id="1574122502">
      <w:bodyDiv w:val="1"/>
      <w:marLeft w:val="0"/>
      <w:marRight w:val="0"/>
      <w:marTop w:val="0"/>
      <w:marBottom w:val="0"/>
      <w:divBdr>
        <w:top w:val="none" w:sz="0" w:space="0" w:color="auto"/>
        <w:left w:val="none" w:sz="0" w:space="0" w:color="auto"/>
        <w:bottom w:val="none" w:sz="0" w:space="0" w:color="auto"/>
        <w:right w:val="none" w:sz="0" w:space="0" w:color="auto"/>
      </w:divBdr>
    </w:div>
    <w:div w:id="1609852057">
      <w:bodyDiv w:val="1"/>
      <w:marLeft w:val="0"/>
      <w:marRight w:val="0"/>
      <w:marTop w:val="0"/>
      <w:marBottom w:val="0"/>
      <w:divBdr>
        <w:top w:val="none" w:sz="0" w:space="0" w:color="auto"/>
        <w:left w:val="none" w:sz="0" w:space="0" w:color="auto"/>
        <w:bottom w:val="none" w:sz="0" w:space="0" w:color="auto"/>
        <w:right w:val="none" w:sz="0" w:space="0" w:color="auto"/>
      </w:divBdr>
    </w:div>
    <w:div w:id="1625844978">
      <w:bodyDiv w:val="1"/>
      <w:marLeft w:val="0"/>
      <w:marRight w:val="0"/>
      <w:marTop w:val="0"/>
      <w:marBottom w:val="0"/>
      <w:divBdr>
        <w:top w:val="none" w:sz="0" w:space="0" w:color="auto"/>
        <w:left w:val="none" w:sz="0" w:space="0" w:color="auto"/>
        <w:bottom w:val="none" w:sz="0" w:space="0" w:color="auto"/>
        <w:right w:val="none" w:sz="0" w:space="0" w:color="auto"/>
      </w:divBdr>
    </w:div>
    <w:div w:id="1637908264">
      <w:bodyDiv w:val="1"/>
      <w:marLeft w:val="0"/>
      <w:marRight w:val="0"/>
      <w:marTop w:val="0"/>
      <w:marBottom w:val="0"/>
      <w:divBdr>
        <w:top w:val="none" w:sz="0" w:space="0" w:color="auto"/>
        <w:left w:val="none" w:sz="0" w:space="0" w:color="auto"/>
        <w:bottom w:val="none" w:sz="0" w:space="0" w:color="auto"/>
        <w:right w:val="none" w:sz="0" w:space="0" w:color="auto"/>
      </w:divBdr>
    </w:div>
    <w:div w:id="1675953571">
      <w:bodyDiv w:val="1"/>
      <w:marLeft w:val="0"/>
      <w:marRight w:val="0"/>
      <w:marTop w:val="0"/>
      <w:marBottom w:val="0"/>
      <w:divBdr>
        <w:top w:val="none" w:sz="0" w:space="0" w:color="auto"/>
        <w:left w:val="none" w:sz="0" w:space="0" w:color="auto"/>
        <w:bottom w:val="none" w:sz="0" w:space="0" w:color="auto"/>
        <w:right w:val="none" w:sz="0" w:space="0" w:color="auto"/>
      </w:divBdr>
    </w:div>
    <w:div w:id="1705593388">
      <w:bodyDiv w:val="1"/>
      <w:marLeft w:val="0"/>
      <w:marRight w:val="0"/>
      <w:marTop w:val="0"/>
      <w:marBottom w:val="0"/>
      <w:divBdr>
        <w:top w:val="none" w:sz="0" w:space="0" w:color="auto"/>
        <w:left w:val="none" w:sz="0" w:space="0" w:color="auto"/>
        <w:bottom w:val="none" w:sz="0" w:space="0" w:color="auto"/>
        <w:right w:val="none" w:sz="0" w:space="0" w:color="auto"/>
      </w:divBdr>
    </w:div>
    <w:div w:id="1748727523">
      <w:bodyDiv w:val="1"/>
      <w:marLeft w:val="0"/>
      <w:marRight w:val="0"/>
      <w:marTop w:val="0"/>
      <w:marBottom w:val="0"/>
      <w:divBdr>
        <w:top w:val="none" w:sz="0" w:space="0" w:color="auto"/>
        <w:left w:val="none" w:sz="0" w:space="0" w:color="auto"/>
        <w:bottom w:val="none" w:sz="0" w:space="0" w:color="auto"/>
        <w:right w:val="none" w:sz="0" w:space="0" w:color="auto"/>
      </w:divBdr>
    </w:div>
    <w:div w:id="1763254667">
      <w:bodyDiv w:val="1"/>
      <w:marLeft w:val="0"/>
      <w:marRight w:val="0"/>
      <w:marTop w:val="0"/>
      <w:marBottom w:val="0"/>
      <w:divBdr>
        <w:top w:val="none" w:sz="0" w:space="0" w:color="auto"/>
        <w:left w:val="none" w:sz="0" w:space="0" w:color="auto"/>
        <w:bottom w:val="none" w:sz="0" w:space="0" w:color="auto"/>
        <w:right w:val="none" w:sz="0" w:space="0" w:color="auto"/>
      </w:divBdr>
    </w:div>
    <w:div w:id="1782604334">
      <w:bodyDiv w:val="1"/>
      <w:marLeft w:val="0"/>
      <w:marRight w:val="0"/>
      <w:marTop w:val="0"/>
      <w:marBottom w:val="0"/>
      <w:divBdr>
        <w:top w:val="none" w:sz="0" w:space="0" w:color="auto"/>
        <w:left w:val="none" w:sz="0" w:space="0" w:color="auto"/>
        <w:bottom w:val="none" w:sz="0" w:space="0" w:color="auto"/>
        <w:right w:val="none" w:sz="0" w:space="0" w:color="auto"/>
      </w:divBdr>
    </w:div>
    <w:div w:id="1822966524">
      <w:bodyDiv w:val="1"/>
      <w:marLeft w:val="0"/>
      <w:marRight w:val="0"/>
      <w:marTop w:val="0"/>
      <w:marBottom w:val="0"/>
      <w:divBdr>
        <w:top w:val="none" w:sz="0" w:space="0" w:color="auto"/>
        <w:left w:val="none" w:sz="0" w:space="0" w:color="auto"/>
        <w:bottom w:val="none" w:sz="0" w:space="0" w:color="auto"/>
        <w:right w:val="none" w:sz="0" w:space="0" w:color="auto"/>
      </w:divBdr>
    </w:div>
    <w:div w:id="1893345119">
      <w:bodyDiv w:val="1"/>
      <w:marLeft w:val="0"/>
      <w:marRight w:val="0"/>
      <w:marTop w:val="0"/>
      <w:marBottom w:val="0"/>
      <w:divBdr>
        <w:top w:val="none" w:sz="0" w:space="0" w:color="auto"/>
        <w:left w:val="none" w:sz="0" w:space="0" w:color="auto"/>
        <w:bottom w:val="none" w:sz="0" w:space="0" w:color="auto"/>
        <w:right w:val="none" w:sz="0" w:space="0" w:color="auto"/>
      </w:divBdr>
    </w:div>
    <w:div w:id="1947272988">
      <w:bodyDiv w:val="1"/>
      <w:marLeft w:val="0"/>
      <w:marRight w:val="0"/>
      <w:marTop w:val="0"/>
      <w:marBottom w:val="0"/>
      <w:divBdr>
        <w:top w:val="none" w:sz="0" w:space="0" w:color="auto"/>
        <w:left w:val="none" w:sz="0" w:space="0" w:color="auto"/>
        <w:bottom w:val="none" w:sz="0" w:space="0" w:color="auto"/>
        <w:right w:val="none" w:sz="0" w:space="0" w:color="auto"/>
      </w:divBdr>
    </w:div>
    <w:div w:id="1977371958">
      <w:bodyDiv w:val="1"/>
      <w:marLeft w:val="0"/>
      <w:marRight w:val="0"/>
      <w:marTop w:val="0"/>
      <w:marBottom w:val="0"/>
      <w:divBdr>
        <w:top w:val="none" w:sz="0" w:space="0" w:color="auto"/>
        <w:left w:val="none" w:sz="0" w:space="0" w:color="auto"/>
        <w:bottom w:val="none" w:sz="0" w:space="0" w:color="auto"/>
        <w:right w:val="none" w:sz="0" w:space="0" w:color="auto"/>
      </w:divBdr>
      <w:divsChild>
        <w:div w:id="1759793122">
          <w:marLeft w:val="0"/>
          <w:marRight w:val="0"/>
          <w:marTop w:val="0"/>
          <w:marBottom w:val="0"/>
          <w:divBdr>
            <w:top w:val="none" w:sz="0" w:space="0" w:color="auto"/>
            <w:left w:val="none" w:sz="0" w:space="0" w:color="auto"/>
            <w:bottom w:val="none" w:sz="0" w:space="0" w:color="auto"/>
            <w:right w:val="none" w:sz="0" w:space="0" w:color="auto"/>
          </w:divBdr>
        </w:div>
        <w:div w:id="756445701">
          <w:marLeft w:val="0"/>
          <w:marRight w:val="0"/>
          <w:marTop w:val="0"/>
          <w:marBottom w:val="0"/>
          <w:divBdr>
            <w:top w:val="none" w:sz="0" w:space="0" w:color="auto"/>
            <w:left w:val="none" w:sz="0" w:space="0" w:color="auto"/>
            <w:bottom w:val="none" w:sz="0" w:space="0" w:color="auto"/>
            <w:right w:val="none" w:sz="0" w:space="0" w:color="auto"/>
          </w:divBdr>
        </w:div>
        <w:div w:id="1703286231">
          <w:marLeft w:val="0"/>
          <w:marRight w:val="0"/>
          <w:marTop w:val="0"/>
          <w:marBottom w:val="0"/>
          <w:divBdr>
            <w:top w:val="none" w:sz="0" w:space="0" w:color="auto"/>
            <w:left w:val="none" w:sz="0" w:space="0" w:color="auto"/>
            <w:bottom w:val="none" w:sz="0" w:space="0" w:color="auto"/>
            <w:right w:val="none" w:sz="0" w:space="0" w:color="auto"/>
          </w:divBdr>
        </w:div>
        <w:div w:id="1725366523">
          <w:marLeft w:val="0"/>
          <w:marRight w:val="0"/>
          <w:marTop w:val="0"/>
          <w:marBottom w:val="0"/>
          <w:divBdr>
            <w:top w:val="none" w:sz="0" w:space="0" w:color="auto"/>
            <w:left w:val="none" w:sz="0" w:space="0" w:color="auto"/>
            <w:bottom w:val="none" w:sz="0" w:space="0" w:color="auto"/>
            <w:right w:val="none" w:sz="0" w:space="0" w:color="auto"/>
          </w:divBdr>
        </w:div>
        <w:div w:id="926769040">
          <w:marLeft w:val="0"/>
          <w:marRight w:val="0"/>
          <w:marTop w:val="0"/>
          <w:marBottom w:val="0"/>
          <w:divBdr>
            <w:top w:val="none" w:sz="0" w:space="0" w:color="auto"/>
            <w:left w:val="none" w:sz="0" w:space="0" w:color="auto"/>
            <w:bottom w:val="none" w:sz="0" w:space="0" w:color="auto"/>
            <w:right w:val="none" w:sz="0" w:space="0" w:color="auto"/>
          </w:divBdr>
        </w:div>
        <w:div w:id="1286503028">
          <w:marLeft w:val="0"/>
          <w:marRight w:val="0"/>
          <w:marTop w:val="0"/>
          <w:marBottom w:val="0"/>
          <w:divBdr>
            <w:top w:val="none" w:sz="0" w:space="0" w:color="auto"/>
            <w:left w:val="none" w:sz="0" w:space="0" w:color="auto"/>
            <w:bottom w:val="none" w:sz="0" w:space="0" w:color="auto"/>
            <w:right w:val="none" w:sz="0" w:space="0" w:color="auto"/>
          </w:divBdr>
        </w:div>
        <w:div w:id="1755979638">
          <w:marLeft w:val="0"/>
          <w:marRight w:val="0"/>
          <w:marTop w:val="0"/>
          <w:marBottom w:val="0"/>
          <w:divBdr>
            <w:top w:val="none" w:sz="0" w:space="0" w:color="auto"/>
            <w:left w:val="none" w:sz="0" w:space="0" w:color="auto"/>
            <w:bottom w:val="none" w:sz="0" w:space="0" w:color="auto"/>
            <w:right w:val="none" w:sz="0" w:space="0" w:color="auto"/>
          </w:divBdr>
        </w:div>
      </w:divsChild>
    </w:div>
    <w:div w:id="2020962534">
      <w:bodyDiv w:val="1"/>
      <w:marLeft w:val="0"/>
      <w:marRight w:val="0"/>
      <w:marTop w:val="0"/>
      <w:marBottom w:val="0"/>
      <w:divBdr>
        <w:top w:val="none" w:sz="0" w:space="0" w:color="auto"/>
        <w:left w:val="none" w:sz="0" w:space="0" w:color="auto"/>
        <w:bottom w:val="none" w:sz="0" w:space="0" w:color="auto"/>
        <w:right w:val="none" w:sz="0" w:space="0" w:color="auto"/>
      </w:divBdr>
    </w:div>
    <w:div w:id="2028477768">
      <w:bodyDiv w:val="1"/>
      <w:marLeft w:val="0"/>
      <w:marRight w:val="0"/>
      <w:marTop w:val="0"/>
      <w:marBottom w:val="0"/>
      <w:divBdr>
        <w:top w:val="none" w:sz="0" w:space="0" w:color="auto"/>
        <w:left w:val="none" w:sz="0" w:space="0" w:color="auto"/>
        <w:bottom w:val="none" w:sz="0" w:space="0" w:color="auto"/>
        <w:right w:val="none" w:sz="0" w:space="0" w:color="auto"/>
      </w:divBdr>
    </w:div>
    <w:div w:id="213177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b79@liverpool.ac.u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fil.ion.ucl.ac.uk/sp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9A412D7-EF91-4AC4-8E82-FE8809AF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49</Pages>
  <Words>31229</Words>
  <Characters>178011</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Kuttikat</dc:creator>
  <cp:keywords/>
  <dc:description/>
  <cp:lastModifiedBy>Chris Brown</cp:lastModifiedBy>
  <cp:revision>7</cp:revision>
  <cp:lastPrinted>2017-06-07T14:14:00Z</cp:lastPrinted>
  <dcterms:created xsi:type="dcterms:W3CDTF">2017-11-26T06:15:00Z</dcterms:created>
  <dcterms:modified xsi:type="dcterms:W3CDTF">2017-11-27T08:21:00Z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http://www.zotero.org/styles/british-journal-of-pharmacology</vt:lpwstr>
  </property>
  <property fmtid="{D5CDD505-2E9C-101B-9397-08002B2CF9AE}" pid="10" name="Mendeley Recent Style Name 3_1">
    <vt:lpwstr>British Journal of Pharmacology</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http://www.zotero.org/styles/the-journal-of-pain</vt:lpwstr>
  </property>
  <property fmtid="{D5CDD505-2E9C-101B-9397-08002B2CF9AE}" pid="22" name="Mendeley Recent Style Name 9_1">
    <vt:lpwstr>The Journal of Pain</vt:lpwstr>
  </property>
  <property fmtid="{D5CDD505-2E9C-101B-9397-08002B2CF9AE}" pid="23" name="Mendeley Unique User Id_1">
    <vt:lpwstr>3b7b1bf8-4da0-3a34-8490-911770c25e32</vt:lpwstr>
  </property>
  <property fmtid="{D5CDD505-2E9C-101B-9397-08002B2CF9AE}" pid="24" name="Mendeley Citation Style_1">
    <vt:lpwstr>http://www.zotero.org/styles/the-journal-of-pain</vt:lpwstr>
  </property>
</Properties>
</file>