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1B" w:rsidRDefault="008D02F9" w:rsidP="00FC692F">
      <w:pPr>
        <w:spacing w:line="480" w:lineRule="auto"/>
        <w:rPr>
          <w:b/>
          <w:bCs/>
        </w:rPr>
      </w:pPr>
      <w:bookmarkStart w:id="0" w:name="OLE_LINK3"/>
      <w:r w:rsidRPr="003B5716">
        <w:rPr>
          <w:b/>
          <w:bCs/>
        </w:rPr>
        <w:t xml:space="preserve">The effect of family </w:t>
      </w:r>
      <w:r w:rsidR="008243F6" w:rsidRPr="003B5716">
        <w:rPr>
          <w:b/>
          <w:bCs/>
        </w:rPr>
        <w:t>control</w:t>
      </w:r>
      <w:r w:rsidR="00D40A54" w:rsidRPr="003B5716">
        <w:rPr>
          <w:b/>
          <w:bCs/>
        </w:rPr>
        <w:t xml:space="preserve"> on</w:t>
      </w:r>
      <w:r w:rsidR="00DC42EF" w:rsidRPr="003B5716">
        <w:rPr>
          <w:b/>
          <w:bCs/>
        </w:rPr>
        <w:t xml:space="preserve"> value and risk</w:t>
      </w:r>
      <w:r w:rsidR="000C4BFB" w:rsidRPr="003B5716">
        <w:rPr>
          <w:b/>
          <w:bCs/>
        </w:rPr>
        <w:t>-taking</w:t>
      </w:r>
      <w:r w:rsidR="004842D2">
        <w:rPr>
          <w:b/>
          <w:bCs/>
        </w:rPr>
        <w:t xml:space="preserve"> in Mexico</w:t>
      </w:r>
      <w:r w:rsidR="00D209D1" w:rsidRPr="003B5716">
        <w:rPr>
          <w:b/>
          <w:bCs/>
        </w:rPr>
        <w:t xml:space="preserve">: </w:t>
      </w:r>
      <w:r w:rsidR="00C8435B" w:rsidRPr="003B5716">
        <w:rPr>
          <w:b/>
          <w:bCs/>
        </w:rPr>
        <w:t xml:space="preserve">A socioemotional wealth </w:t>
      </w:r>
      <w:r w:rsidR="008352FB" w:rsidRPr="003B5716">
        <w:rPr>
          <w:b/>
          <w:bCs/>
        </w:rPr>
        <w:t>approach</w:t>
      </w:r>
    </w:p>
    <w:p w:rsidR="004A74B8" w:rsidRDefault="004A74B8" w:rsidP="004A74B8">
      <w:pPr>
        <w:autoSpaceDE w:val="0"/>
        <w:autoSpaceDN w:val="0"/>
        <w:adjustRightInd w:val="0"/>
        <w:rPr>
          <w:color w:val="000000"/>
          <w:sz w:val="16"/>
          <w:szCs w:val="16"/>
        </w:rPr>
      </w:pPr>
      <w:r>
        <w:rPr>
          <w:color w:val="000000"/>
        </w:rPr>
        <w:t>Jannine Poletti-</w:t>
      </w:r>
      <w:proofErr w:type="spellStart"/>
      <w:r>
        <w:rPr>
          <w:color w:val="000000"/>
        </w:rPr>
        <w:t>Hughes</w:t>
      </w:r>
      <w:r>
        <w:rPr>
          <w:color w:val="000000"/>
          <w:sz w:val="16"/>
          <w:szCs w:val="16"/>
        </w:rPr>
        <w:t>a</w:t>
      </w:r>
      <w:proofErr w:type="spellEnd"/>
      <w:r>
        <w:rPr>
          <w:color w:val="000000"/>
          <w:sz w:val="16"/>
          <w:szCs w:val="16"/>
        </w:rPr>
        <w:t xml:space="preserve"> </w:t>
      </w:r>
      <w:r>
        <w:rPr>
          <w:color w:val="000000"/>
        </w:rPr>
        <w:t xml:space="preserve">and Jonathan </w:t>
      </w:r>
      <w:proofErr w:type="spellStart"/>
      <w:r>
        <w:rPr>
          <w:color w:val="000000"/>
        </w:rPr>
        <w:t>Williams</w:t>
      </w:r>
      <w:r>
        <w:rPr>
          <w:color w:val="000000"/>
          <w:sz w:val="16"/>
          <w:szCs w:val="16"/>
        </w:rPr>
        <w:t>b</w:t>
      </w:r>
      <w:proofErr w:type="spellEnd"/>
    </w:p>
    <w:p w:rsidR="004A74B8" w:rsidRDefault="004A74B8" w:rsidP="004A74B8">
      <w:pPr>
        <w:autoSpaceDE w:val="0"/>
        <w:autoSpaceDN w:val="0"/>
        <w:adjustRightInd w:val="0"/>
        <w:rPr>
          <w:color w:val="000000"/>
        </w:rPr>
      </w:pPr>
      <w:proofErr w:type="spellStart"/>
      <w:proofErr w:type="gramStart"/>
      <w:r>
        <w:rPr>
          <w:color w:val="000000"/>
          <w:sz w:val="16"/>
          <w:szCs w:val="16"/>
        </w:rPr>
        <w:t>a</w:t>
      </w:r>
      <w:r>
        <w:rPr>
          <w:color w:val="000000"/>
        </w:rPr>
        <w:t>University</w:t>
      </w:r>
      <w:proofErr w:type="spellEnd"/>
      <w:proofErr w:type="gramEnd"/>
      <w:r>
        <w:rPr>
          <w:color w:val="000000"/>
        </w:rPr>
        <w:t xml:space="preserve"> of Liverpool, The Management School, Liverpool, L69 7ZH, Tel.</w:t>
      </w:r>
    </w:p>
    <w:p w:rsidR="004A74B8" w:rsidRDefault="004A74B8" w:rsidP="004A74B8">
      <w:pPr>
        <w:autoSpaceDE w:val="0"/>
        <w:autoSpaceDN w:val="0"/>
        <w:adjustRightInd w:val="0"/>
        <w:rPr>
          <w:color w:val="000000"/>
        </w:rPr>
      </w:pPr>
      <w:r>
        <w:rPr>
          <w:color w:val="000000"/>
        </w:rPr>
        <w:t>+44(0)1517953807, Fax: +44 (0) 151 7953001.</w:t>
      </w:r>
    </w:p>
    <w:p w:rsidR="004A74B8" w:rsidRDefault="004A74B8" w:rsidP="004A74B8">
      <w:pPr>
        <w:autoSpaceDE w:val="0"/>
        <w:autoSpaceDN w:val="0"/>
        <w:adjustRightInd w:val="0"/>
        <w:rPr>
          <w:color w:val="000000"/>
        </w:rPr>
      </w:pPr>
      <w:r>
        <w:rPr>
          <w:color w:val="000000"/>
        </w:rPr>
        <w:t xml:space="preserve">Email: jpoletti@liv.ac.uk. </w:t>
      </w:r>
      <w:proofErr w:type="gramStart"/>
      <w:r>
        <w:rPr>
          <w:color w:val="000000"/>
        </w:rPr>
        <w:t>Corresponding author.</w:t>
      </w:r>
      <w:proofErr w:type="gramEnd"/>
    </w:p>
    <w:p w:rsidR="004A74B8" w:rsidRDefault="004A74B8" w:rsidP="004A74B8">
      <w:pPr>
        <w:autoSpaceDE w:val="0"/>
        <w:autoSpaceDN w:val="0"/>
        <w:adjustRightInd w:val="0"/>
        <w:rPr>
          <w:color w:val="000000"/>
        </w:rPr>
      </w:pPr>
      <w:proofErr w:type="spellStart"/>
      <w:proofErr w:type="gramStart"/>
      <w:r>
        <w:rPr>
          <w:color w:val="000000"/>
          <w:sz w:val="16"/>
          <w:szCs w:val="16"/>
        </w:rPr>
        <w:t>b</w:t>
      </w:r>
      <w:r>
        <w:rPr>
          <w:color w:val="000000"/>
        </w:rPr>
        <w:t>Bangor</w:t>
      </w:r>
      <w:proofErr w:type="spellEnd"/>
      <w:proofErr w:type="gramEnd"/>
      <w:r>
        <w:rPr>
          <w:color w:val="000000"/>
        </w:rPr>
        <w:t xml:space="preserve"> Business School, Bangor University, Hen </w:t>
      </w:r>
      <w:proofErr w:type="spellStart"/>
      <w:r>
        <w:rPr>
          <w:color w:val="000000"/>
        </w:rPr>
        <w:t>Goleg</w:t>
      </w:r>
      <w:proofErr w:type="spellEnd"/>
      <w:r>
        <w:rPr>
          <w:color w:val="000000"/>
        </w:rPr>
        <w:t>, College Road, Bangor,</w:t>
      </w:r>
    </w:p>
    <w:p w:rsidR="004A74B8" w:rsidRDefault="004A74B8" w:rsidP="004A74B8">
      <w:pPr>
        <w:autoSpaceDE w:val="0"/>
        <w:autoSpaceDN w:val="0"/>
        <w:adjustRightInd w:val="0"/>
        <w:rPr>
          <w:color w:val="000000"/>
        </w:rPr>
      </w:pPr>
      <w:r>
        <w:rPr>
          <w:color w:val="000000"/>
        </w:rPr>
        <w:t>LL57 2DG, Tel. +44 (0) 1248 38 2642, Fax: + 44 (0) 1248 4382277.</w:t>
      </w:r>
    </w:p>
    <w:p w:rsidR="004A74B8" w:rsidRDefault="004A74B8" w:rsidP="004A74B8">
      <w:pPr>
        <w:autoSpaceDE w:val="0"/>
        <w:autoSpaceDN w:val="0"/>
        <w:adjustRightInd w:val="0"/>
        <w:rPr>
          <w:color w:val="0000FF"/>
        </w:rPr>
      </w:pPr>
      <w:r>
        <w:rPr>
          <w:color w:val="000000"/>
        </w:rPr>
        <w:t xml:space="preserve">Email: </w:t>
      </w:r>
      <w:r>
        <w:rPr>
          <w:color w:val="0000FF"/>
        </w:rPr>
        <w:t>jon.williams@bangor.ac.uk</w:t>
      </w:r>
    </w:p>
    <w:p w:rsidR="004A74B8" w:rsidRDefault="004A74B8" w:rsidP="004A74B8">
      <w:pPr>
        <w:autoSpaceDE w:val="0"/>
        <w:autoSpaceDN w:val="0"/>
        <w:adjustRightInd w:val="0"/>
        <w:rPr>
          <w:b/>
          <w:bCs/>
          <w:color w:val="000000"/>
        </w:rPr>
      </w:pPr>
    </w:p>
    <w:p w:rsidR="004A74B8" w:rsidRDefault="004A74B8" w:rsidP="004A74B8">
      <w:pPr>
        <w:autoSpaceDE w:val="0"/>
        <w:autoSpaceDN w:val="0"/>
        <w:adjustRightInd w:val="0"/>
        <w:rPr>
          <w:b/>
          <w:bCs/>
          <w:color w:val="000000"/>
        </w:rPr>
      </w:pPr>
      <w:r>
        <w:rPr>
          <w:b/>
          <w:bCs/>
          <w:color w:val="000000"/>
        </w:rPr>
        <w:t>Acknowledgments</w:t>
      </w:r>
    </w:p>
    <w:p w:rsidR="004A74B8" w:rsidRDefault="004A74B8" w:rsidP="004A74B8">
      <w:pPr>
        <w:autoSpaceDE w:val="0"/>
        <w:autoSpaceDN w:val="0"/>
        <w:adjustRightInd w:val="0"/>
        <w:rPr>
          <w:color w:val="000000"/>
        </w:rPr>
      </w:pPr>
      <w:r>
        <w:rPr>
          <w:color w:val="000000"/>
        </w:rPr>
        <w:t xml:space="preserve">We are grateful to Lynn </w:t>
      </w:r>
      <w:proofErr w:type="spellStart"/>
      <w:r>
        <w:rPr>
          <w:color w:val="000000"/>
        </w:rPr>
        <w:t>Hodgkinson</w:t>
      </w:r>
      <w:proofErr w:type="spellEnd"/>
      <w:r>
        <w:rPr>
          <w:color w:val="000000"/>
        </w:rPr>
        <w:t xml:space="preserve">, </w:t>
      </w:r>
      <w:proofErr w:type="spellStart"/>
      <w:r>
        <w:rPr>
          <w:color w:val="000000"/>
        </w:rPr>
        <w:t>Dyfrig</w:t>
      </w:r>
      <w:proofErr w:type="spellEnd"/>
      <w:r>
        <w:rPr>
          <w:color w:val="000000"/>
        </w:rPr>
        <w:t xml:space="preserve"> Hughes and participants of the Global</w:t>
      </w:r>
    </w:p>
    <w:p w:rsidR="004A74B8" w:rsidRDefault="004A74B8" w:rsidP="004A74B8">
      <w:pPr>
        <w:autoSpaceDE w:val="0"/>
        <w:autoSpaceDN w:val="0"/>
        <w:adjustRightInd w:val="0"/>
        <w:rPr>
          <w:color w:val="000000"/>
        </w:rPr>
      </w:pPr>
      <w:r>
        <w:rPr>
          <w:color w:val="000000"/>
        </w:rPr>
        <w:t>Conference on Business and Finance and the Financial Management Conference for</w:t>
      </w:r>
    </w:p>
    <w:p w:rsidR="004A74B8" w:rsidRDefault="004A74B8" w:rsidP="004A74B8">
      <w:pPr>
        <w:autoSpaceDE w:val="0"/>
        <w:autoSpaceDN w:val="0"/>
        <w:adjustRightInd w:val="0"/>
        <w:rPr>
          <w:color w:val="000000"/>
        </w:rPr>
      </w:pPr>
      <w:proofErr w:type="gramStart"/>
      <w:r>
        <w:rPr>
          <w:color w:val="000000"/>
        </w:rPr>
        <w:t>feedback</w:t>
      </w:r>
      <w:proofErr w:type="gramEnd"/>
      <w:r>
        <w:rPr>
          <w:color w:val="000000"/>
        </w:rPr>
        <w:t xml:space="preserve"> provided. We thank Bangor University for financial support and Tatiana de la</w:t>
      </w:r>
    </w:p>
    <w:p w:rsidR="004A74B8" w:rsidRPr="003B5716" w:rsidRDefault="004A74B8" w:rsidP="004A74B8">
      <w:pPr>
        <w:spacing w:line="480" w:lineRule="auto"/>
        <w:rPr>
          <w:b/>
          <w:bCs/>
        </w:rPr>
      </w:pPr>
      <w:proofErr w:type="gramStart"/>
      <w:r>
        <w:rPr>
          <w:color w:val="000000"/>
        </w:rPr>
        <w:t>Garza for research assistance.</w:t>
      </w:r>
      <w:proofErr w:type="gramEnd"/>
    </w:p>
    <w:bookmarkEnd w:id="0"/>
    <w:p w:rsidR="001E2C39" w:rsidRPr="003B5716" w:rsidRDefault="002E5B68" w:rsidP="00FC692F">
      <w:pPr>
        <w:spacing w:line="480" w:lineRule="auto"/>
        <w:jc w:val="center"/>
        <w:rPr>
          <w:b/>
          <w:bCs/>
        </w:rPr>
      </w:pPr>
      <w:r w:rsidRPr="003B5716">
        <w:rPr>
          <w:b/>
          <w:bCs/>
        </w:rPr>
        <w:t>A</w:t>
      </w:r>
      <w:r w:rsidR="00173849" w:rsidRPr="003B5716">
        <w:rPr>
          <w:b/>
          <w:bCs/>
        </w:rPr>
        <w:t>bstract</w:t>
      </w:r>
    </w:p>
    <w:p w:rsidR="00424591" w:rsidRPr="003B5716" w:rsidRDefault="004842D2" w:rsidP="00FC692F">
      <w:pPr>
        <w:spacing w:line="480" w:lineRule="auto"/>
        <w:ind w:firstLine="567"/>
      </w:pPr>
      <w:r>
        <w:t>We construct</w:t>
      </w:r>
      <w:r w:rsidR="0046075A" w:rsidRPr="003B5716">
        <w:t xml:space="preserve"> </w:t>
      </w:r>
      <w:r w:rsidR="00925092" w:rsidRPr="003B5716">
        <w:t xml:space="preserve">an analytical framework </w:t>
      </w:r>
      <w:r w:rsidR="0046075A" w:rsidRPr="003B5716">
        <w:t xml:space="preserve">to </w:t>
      </w:r>
      <w:r w:rsidR="00925092" w:rsidRPr="003B5716">
        <w:t xml:space="preserve">incorporate agency and stewardship perspectives, </w:t>
      </w:r>
      <w:r w:rsidR="00910C50" w:rsidRPr="003B5716">
        <w:t xml:space="preserve">and </w:t>
      </w:r>
      <w:r w:rsidR="00925092" w:rsidRPr="003B5716">
        <w:t xml:space="preserve">the concept of </w:t>
      </w:r>
      <w:r w:rsidR="00C8435B" w:rsidRPr="003B5716">
        <w:t>socioemotional wealth</w:t>
      </w:r>
      <w:r w:rsidR="004E57BA" w:rsidRPr="003B5716">
        <w:t xml:space="preserve"> (SEW)</w:t>
      </w:r>
      <w:r w:rsidR="0046075A" w:rsidRPr="003B5716">
        <w:t xml:space="preserve">, </w:t>
      </w:r>
      <w:r>
        <w:t>to analyse the effect of</w:t>
      </w:r>
      <w:r w:rsidRPr="003B5716">
        <w:t xml:space="preserve"> family participation </w:t>
      </w:r>
      <w:r>
        <w:t xml:space="preserve">on </w:t>
      </w:r>
      <w:r w:rsidRPr="003B5716">
        <w:t xml:space="preserve">firm value and </w:t>
      </w:r>
      <w:r>
        <w:t xml:space="preserve">corporate </w:t>
      </w:r>
      <w:r w:rsidRPr="003B5716">
        <w:t>risk-taking</w:t>
      </w:r>
      <w:r>
        <w:t xml:space="preserve"> in Mexico</w:t>
      </w:r>
      <w:r w:rsidRPr="003B5716">
        <w:t xml:space="preserve">. </w:t>
      </w:r>
      <w:r>
        <w:t>W</w:t>
      </w:r>
      <w:r w:rsidR="00925092" w:rsidRPr="003B5716">
        <w:t xml:space="preserve">e </w:t>
      </w:r>
      <w:r w:rsidR="00910C50" w:rsidRPr="003B5716">
        <w:t xml:space="preserve">find family firms </w:t>
      </w:r>
      <w:r w:rsidR="00424591" w:rsidRPr="003B5716">
        <w:t xml:space="preserve">enjoy higher </w:t>
      </w:r>
      <w:r w:rsidR="00910C50" w:rsidRPr="003B5716">
        <w:t xml:space="preserve">value and </w:t>
      </w:r>
      <w:r w:rsidR="00E1146B" w:rsidRPr="003B5716">
        <w:t xml:space="preserve">tolerate higher levels of risk </w:t>
      </w:r>
      <w:r w:rsidR="00424591" w:rsidRPr="003B5716">
        <w:t>than non-family c</w:t>
      </w:r>
      <w:r w:rsidR="007C3B45" w:rsidRPr="003B5716">
        <w:t xml:space="preserve">oncerns. </w:t>
      </w:r>
      <w:r w:rsidR="007464AD" w:rsidRPr="003B5716">
        <w:t>This differential</w:t>
      </w:r>
      <w:r w:rsidR="00E1146B" w:rsidRPr="003B5716">
        <w:t xml:space="preserve"> becomes more important in more highly valued firms and more risk tolerant firms. </w:t>
      </w:r>
      <w:r w:rsidR="005879F0" w:rsidRPr="003B5716">
        <w:t>Whereas t</w:t>
      </w:r>
      <w:r w:rsidR="00B34750" w:rsidRPr="003B5716">
        <w:t xml:space="preserve">he differential is </w:t>
      </w:r>
      <w:r w:rsidR="00E1146B" w:rsidRPr="003B5716">
        <w:t xml:space="preserve">also </w:t>
      </w:r>
      <w:r w:rsidR="00B34750" w:rsidRPr="003B5716">
        <w:t xml:space="preserve">positively associated with the </w:t>
      </w:r>
      <w:r w:rsidR="007464AD" w:rsidRPr="003B5716">
        <w:t xml:space="preserve">cash ownership </w:t>
      </w:r>
      <w:r w:rsidR="00B34750" w:rsidRPr="003B5716">
        <w:t xml:space="preserve">of controlling </w:t>
      </w:r>
      <w:r w:rsidR="007464AD" w:rsidRPr="003B5716">
        <w:t>famil</w:t>
      </w:r>
      <w:r w:rsidR="00B34750" w:rsidRPr="003B5716">
        <w:t>ies</w:t>
      </w:r>
      <w:r w:rsidR="005879F0" w:rsidRPr="003B5716">
        <w:t>, the observed v</w:t>
      </w:r>
      <w:r w:rsidR="007B7A50" w:rsidRPr="003B5716">
        <w:t>alue</w:t>
      </w:r>
      <w:r w:rsidR="001879D0" w:rsidRPr="003B5716">
        <w:t>/ risk</w:t>
      </w:r>
      <w:r w:rsidR="007B7A50" w:rsidRPr="003B5716">
        <w:t xml:space="preserve"> effects entrench at higher levels of family </w:t>
      </w:r>
      <w:proofErr w:type="gramStart"/>
      <w:r w:rsidR="007B7A50" w:rsidRPr="003B5716">
        <w:t>ownership</w:t>
      </w:r>
      <w:proofErr w:type="gramEnd"/>
      <w:r w:rsidR="007B7A50" w:rsidRPr="003B5716">
        <w:t xml:space="preserve"> (i.e. </w:t>
      </w:r>
      <w:r w:rsidR="005879F0" w:rsidRPr="003B5716">
        <w:t xml:space="preserve">above </w:t>
      </w:r>
      <w:r w:rsidR="007B7A50" w:rsidRPr="003B5716">
        <w:t>40%</w:t>
      </w:r>
      <w:r w:rsidR="005879F0" w:rsidRPr="003B5716">
        <w:t>-</w:t>
      </w:r>
      <w:r w:rsidR="001879D0" w:rsidRPr="003B5716">
        <w:t>50%</w:t>
      </w:r>
      <w:r w:rsidR="007B7A50" w:rsidRPr="003B5716">
        <w:t xml:space="preserve">). </w:t>
      </w:r>
      <w:r w:rsidR="004E57BA" w:rsidRPr="003B5716">
        <w:t>We test whether the risk-taking preference of family firms is a mixture of two types of risk, performance hazard risk, which captures the familial desire to preserve SEW; and venturing risk, which firms take in expectation of improving future performance.</w:t>
      </w:r>
      <w:r w:rsidR="00D51792" w:rsidRPr="003B5716">
        <w:t xml:space="preserve"> </w:t>
      </w:r>
      <w:r w:rsidR="008C3A14" w:rsidRPr="003B5716">
        <w:t xml:space="preserve">Family firms seem to take more performance hazard risk independently of </w:t>
      </w:r>
      <w:r w:rsidR="00926C9B" w:rsidRPr="003B5716">
        <w:t xml:space="preserve">their </w:t>
      </w:r>
      <w:r w:rsidR="00F32C40" w:rsidRPr="003B5716">
        <w:t>cash flow ownership, which suggests that</w:t>
      </w:r>
      <w:r w:rsidR="001879D0" w:rsidRPr="003B5716">
        <w:t xml:space="preserve"> </w:t>
      </w:r>
      <w:r w:rsidR="00F32C40" w:rsidRPr="003B5716">
        <w:t>f</w:t>
      </w:r>
      <w:r w:rsidR="00C8435B" w:rsidRPr="003B5716">
        <w:t>amily firms</w:t>
      </w:r>
      <w:r w:rsidR="00986790" w:rsidRPr="003B5716">
        <w:t xml:space="preserve"> perceive patrimony as a means of safeguarding resources for heirs, which raises tolerance to performance </w:t>
      </w:r>
      <w:r w:rsidR="00C8435B" w:rsidRPr="003B5716">
        <w:t xml:space="preserve">hazard </w:t>
      </w:r>
      <w:r w:rsidR="00986790" w:rsidRPr="003B5716">
        <w:t>risk</w:t>
      </w:r>
      <w:r w:rsidR="00F32C40" w:rsidRPr="003B5716">
        <w:t>.</w:t>
      </w:r>
      <w:r w:rsidR="00D51792" w:rsidRPr="003B5716">
        <w:t xml:space="preserve"> </w:t>
      </w:r>
      <w:r w:rsidR="0023672F">
        <w:t>Firm v</w:t>
      </w:r>
      <w:r w:rsidR="00D51792" w:rsidRPr="003B5716">
        <w:t>alue increase</w:t>
      </w:r>
      <w:r w:rsidR="0023672F">
        <w:t>s</w:t>
      </w:r>
      <w:bookmarkStart w:id="1" w:name="_GoBack"/>
      <w:bookmarkEnd w:id="1"/>
      <w:r w:rsidR="00D51792" w:rsidRPr="003B5716">
        <w:t xml:space="preserve"> when firms follow good corporate governance practices</w:t>
      </w:r>
      <w:r w:rsidR="00E62D52">
        <w:t xml:space="preserve">. </w:t>
      </w:r>
    </w:p>
    <w:p w:rsidR="00121D4A" w:rsidRPr="003B5716" w:rsidRDefault="00424591" w:rsidP="00FC692F">
      <w:pPr>
        <w:spacing w:line="480" w:lineRule="auto"/>
        <w:ind w:firstLine="567"/>
      </w:pPr>
      <w:r w:rsidRPr="003B5716">
        <w:lastRenderedPageBreak/>
        <w:t xml:space="preserve"> </w:t>
      </w:r>
    </w:p>
    <w:p w:rsidR="009D2B20" w:rsidRPr="003B5716" w:rsidRDefault="009D2B20" w:rsidP="00FC692F">
      <w:pPr>
        <w:spacing w:line="480" w:lineRule="auto"/>
      </w:pPr>
    </w:p>
    <w:p w:rsidR="008E61AF" w:rsidRPr="003B5716" w:rsidRDefault="00AE3B25" w:rsidP="00FC692F">
      <w:pPr>
        <w:spacing w:line="480" w:lineRule="auto"/>
      </w:pPr>
      <w:r w:rsidRPr="003B5716">
        <w:t xml:space="preserve">Keywords: Mexico; </w:t>
      </w:r>
      <w:r w:rsidR="00D209D1" w:rsidRPr="003B5716">
        <w:t>family firms;</w:t>
      </w:r>
      <w:r w:rsidR="005046CC" w:rsidRPr="003B5716">
        <w:t xml:space="preserve"> </w:t>
      </w:r>
      <w:r w:rsidR="008352FB" w:rsidRPr="003B5716">
        <w:t>socioemotional wealth</w:t>
      </w:r>
      <w:r w:rsidR="002E59ED" w:rsidRPr="003B5716">
        <w:t xml:space="preserve">; corporate </w:t>
      </w:r>
      <w:r w:rsidR="00D209D1" w:rsidRPr="003B5716">
        <w:t>g</w:t>
      </w:r>
      <w:r w:rsidR="002E59ED" w:rsidRPr="003B5716">
        <w:t>overnance</w:t>
      </w:r>
      <w:r w:rsidR="008352FB" w:rsidRPr="003B5716">
        <w:t xml:space="preserve">; </w:t>
      </w:r>
      <w:r w:rsidR="009C6AF6" w:rsidRPr="003B5716">
        <w:t xml:space="preserve">performance; </w:t>
      </w:r>
      <w:r w:rsidR="008352FB" w:rsidRPr="003B5716">
        <w:t>risk-taking</w:t>
      </w:r>
      <w:r w:rsidRPr="003B5716">
        <w:t>.</w:t>
      </w:r>
    </w:p>
    <w:p w:rsidR="008E61AF" w:rsidRPr="003B5716" w:rsidRDefault="008E61AF" w:rsidP="00FC692F">
      <w:pPr>
        <w:rPr>
          <w:b/>
        </w:rPr>
      </w:pPr>
      <w:r w:rsidRPr="003B5716">
        <w:rPr>
          <w:b/>
        </w:rPr>
        <w:br w:type="page"/>
      </w:r>
    </w:p>
    <w:p w:rsidR="008F12BE" w:rsidRPr="003B5716" w:rsidRDefault="008F12BE" w:rsidP="00FC692F">
      <w:pPr>
        <w:pStyle w:val="ListParagraph"/>
        <w:numPr>
          <w:ilvl w:val="0"/>
          <w:numId w:val="4"/>
        </w:numPr>
        <w:spacing w:line="480" w:lineRule="auto"/>
        <w:rPr>
          <w:b/>
          <w:bCs/>
        </w:rPr>
      </w:pPr>
      <w:r w:rsidRPr="003B5716">
        <w:rPr>
          <w:b/>
          <w:bCs/>
        </w:rPr>
        <w:lastRenderedPageBreak/>
        <w:t>I</w:t>
      </w:r>
      <w:r w:rsidR="00D34307" w:rsidRPr="003B5716">
        <w:rPr>
          <w:b/>
          <w:bCs/>
        </w:rPr>
        <w:t>ntroduction</w:t>
      </w:r>
    </w:p>
    <w:p w:rsidR="00F706BA" w:rsidRPr="003B5716" w:rsidRDefault="009F5DA3" w:rsidP="00FC692F">
      <w:pPr>
        <w:spacing w:line="480" w:lineRule="auto"/>
        <w:ind w:firstLine="567"/>
      </w:pPr>
      <w:r w:rsidRPr="003B5716">
        <w:t>We</w:t>
      </w:r>
      <w:r w:rsidR="009043C3" w:rsidRPr="003B5716">
        <w:t xml:space="preserve"> </w:t>
      </w:r>
      <w:r w:rsidR="00EF3978" w:rsidRPr="003B5716">
        <w:t>investigat</w:t>
      </w:r>
      <w:r w:rsidR="009043C3" w:rsidRPr="003B5716">
        <w:t xml:space="preserve">e </w:t>
      </w:r>
      <w:r w:rsidR="003C0FAF" w:rsidRPr="003B5716">
        <w:t>the performance</w:t>
      </w:r>
      <w:r w:rsidR="007114C8" w:rsidRPr="003B5716">
        <w:t>, measured by corporate value and risk-taking,</w:t>
      </w:r>
      <w:r w:rsidR="003C0FAF" w:rsidRPr="003B5716">
        <w:t xml:space="preserve"> of family firms in Mexico </w:t>
      </w:r>
      <w:r w:rsidR="00EF3978" w:rsidRPr="003B5716">
        <w:t>within an agency-theoretic framework</w:t>
      </w:r>
      <w:r w:rsidR="00544DB2" w:rsidRPr="003B5716">
        <w:t xml:space="preserve">, which </w:t>
      </w:r>
      <w:r w:rsidR="00EF3978" w:rsidRPr="003B5716">
        <w:t xml:space="preserve">implicitly accounts for the </w:t>
      </w:r>
      <w:r w:rsidR="008E74FA" w:rsidRPr="003B5716">
        <w:t>intricacies of familial relationships</w:t>
      </w:r>
      <w:r w:rsidR="00EF3978" w:rsidRPr="003B5716">
        <w:t xml:space="preserve">. </w:t>
      </w:r>
      <w:r w:rsidR="00544DB2" w:rsidRPr="003B5716">
        <w:t>We motivate our study</w:t>
      </w:r>
      <w:r w:rsidR="0008531A" w:rsidRPr="003B5716">
        <w:t xml:space="preserve"> on</w:t>
      </w:r>
      <w:r w:rsidR="00544DB2" w:rsidRPr="003B5716">
        <w:t xml:space="preserve"> </w:t>
      </w:r>
      <w:r w:rsidR="0008531A" w:rsidRPr="003B5716">
        <w:t xml:space="preserve">a new perspective to explain the financial </w:t>
      </w:r>
      <w:r w:rsidR="008939DA" w:rsidRPr="003B5716">
        <w:t>behaviour</w:t>
      </w:r>
      <w:r w:rsidR="0008531A" w:rsidRPr="003B5716">
        <w:t xml:space="preserve"> of family businesses</w:t>
      </w:r>
      <w:r w:rsidRPr="003B5716">
        <w:t xml:space="preserve"> based on non-financial reasons</w:t>
      </w:r>
      <w:r w:rsidR="006804BD" w:rsidRPr="003B5716">
        <w:t>,</w:t>
      </w:r>
      <w:r w:rsidR="0008531A" w:rsidRPr="003B5716">
        <w:t xml:space="preserve"> which </w:t>
      </w:r>
      <w:r w:rsidR="00DB782A" w:rsidRPr="003B5716">
        <w:t xml:space="preserve">carries the label of </w:t>
      </w:r>
      <w:r w:rsidR="0008531A" w:rsidRPr="003B5716">
        <w:t xml:space="preserve">socioemotional wealth (SEW). </w:t>
      </w:r>
      <w:proofErr w:type="spellStart"/>
      <w:r w:rsidR="00996E41" w:rsidRPr="003B5716">
        <w:t>Gómez-Mejía</w:t>
      </w:r>
      <w:proofErr w:type="spellEnd"/>
      <w:r w:rsidR="004F266B">
        <w:t xml:space="preserve"> et al (2007) </w:t>
      </w:r>
      <w:r w:rsidR="0008531A" w:rsidRPr="003B5716">
        <w:t xml:space="preserve">initially developed </w:t>
      </w:r>
      <w:r w:rsidR="00F53403" w:rsidRPr="003B5716">
        <w:t xml:space="preserve">the concept of </w:t>
      </w:r>
      <w:r w:rsidR="00996E41" w:rsidRPr="003B5716">
        <w:t>SEW</w:t>
      </w:r>
      <w:r w:rsidR="00F53403" w:rsidRPr="003B5716">
        <w:t xml:space="preserve">, with </w:t>
      </w:r>
      <w:proofErr w:type="spellStart"/>
      <w:r w:rsidR="0008531A" w:rsidRPr="003B5716">
        <w:t>Berrone</w:t>
      </w:r>
      <w:proofErr w:type="spellEnd"/>
      <w:r w:rsidR="004F266B">
        <w:t xml:space="preserve"> et al </w:t>
      </w:r>
      <w:r w:rsidR="00F53403" w:rsidRPr="003B5716">
        <w:t>(</w:t>
      </w:r>
      <w:r w:rsidR="0008531A" w:rsidRPr="003B5716">
        <w:t>2012)</w:t>
      </w:r>
      <w:r w:rsidR="00F53403" w:rsidRPr="003B5716">
        <w:t xml:space="preserve"> suggesting </w:t>
      </w:r>
      <w:r w:rsidR="00F91AEE" w:rsidRPr="003B5716">
        <w:t xml:space="preserve">SEW </w:t>
      </w:r>
      <w:r w:rsidR="00F53403" w:rsidRPr="003B5716">
        <w:t>is worthy of further research</w:t>
      </w:r>
      <w:r w:rsidR="0008531A" w:rsidRPr="003B5716">
        <w:t>. The</w:t>
      </w:r>
      <w:r w:rsidR="00F53403" w:rsidRPr="003B5716">
        <w:t xml:space="preserve"> </w:t>
      </w:r>
      <w:r w:rsidR="0008531A" w:rsidRPr="003B5716">
        <w:t xml:space="preserve">Mexican </w:t>
      </w:r>
      <w:r w:rsidR="009C6AF6" w:rsidRPr="003B5716">
        <w:t>setting</w:t>
      </w:r>
      <w:r w:rsidR="0008531A" w:rsidRPr="003B5716">
        <w:t xml:space="preserve"> is relevant</w:t>
      </w:r>
      <w:r w:rsidRPr="003B5716">
        <w:t xml:space="preserve"> </w:t>
      </w:r>
      <w:r w:rsidR="009C6AF6" w:rsidRPr="003B5716">
        <w:t>since</w:t>
      </w:r>
      <w:r w:rsidR="00B4134F" w:rsidRPr="003B5716">
        <w:t xml:space="preserve"> Mexico is </w:t>
      </w:r>
      <w:r w:rsidRPr="003B5716">
        <w:t>the country with the highest proportion of family firms</w:t>
      </w:r>
      <w:r w:rsidR="009C6AF6" w:rsidRPr="003B5716">
        <w:t xml:space="preserve"> (La </w:t>
      </w:r>
      <w:proofErr w:type="spellStart"/>
      <w:r w:rsidR="009C6AF6" w:rsidRPr="003B5716">
        <w:t>Porta</w:t>
      </w:r>
      <w:proofErr w:type="spellEnd"/>
      <w:r w:rsidR="004F266B">
        <w:t xml:space="preserve"> et al, </w:t>
      </w:r>
      <w:r w:rsidR="009C6AF6" w:rsidRPr="003B5716">
        <w:t>1999)</w:t>
      </w:r>
      <w:r w:rsidRPr="003B5716">
        <w:t xml:space="preserve">. Although the family ownership model dominates in Mexico, and generally across Latin America, </w:t>
      </w:r>
      <w:r w:rsidR="009C6AF6" w:rsidRPr="003B5716">
        <w:t>empirical research</w:t>
      </w:r>
      <w:r w:rsidRPr="003B5716">
        <w:t xml:space="preserve"> on family firm performance for the region is scant albeit demonstrative of the complexities of family businesses (</w:t>
      </w:r>
      <w:proofErr w:type="spellStart"/>
      <w:r w:rsidRPr="003B5716">
        <w:t>Brenes</w:t>
      </w:r>
      <w:proofErr w:type="spellEnd"/>
      <w:r w:rsidR="004F266B">
        <w:t xml:space="preserve"> et al</w:t>
      </w:r>
      <w:r w:rsidRPr="003B5716">
        <w:t>, 2011; Chong and Lopez-de-</w:t>
      </w:r>
      <w:proofErr w:type="spellStart"/>
      <w:r w:rsidRPr="003B5716">
        <w:t>Silanes</w:t>
      </w:r>
      <w:proofErr w:type="spellEnd"/>
      <w:r w:rsidRPr="003B5716">
        <w:t xml:space="preserve">, 2007; </w:t>
      </w:r>
      <w:proofErr w:type="spellStart"/>
      <w:r w:rsidRPr="003B5716">
        <w:t>González</w:t>
      </w:r>
      <w:proofErr w:type="spellEnd"/>
      <w:r w:rsidR="004F266B">
        <w:t xml:space="preserve"> et al, </w:t>
      </w:r>
      <w:r w:rsidRPr="003B5716">
        <w:t xml:space="preserve">2012; </w:t>
      </w:r>
      <w:proofErr w:type="spellStart"/>
      <w:r w:rsidRPr="003B5716">
        <w:t>Machuga</w:t>
      </w:r>
      <w:proofErr w:type="spellEnd"/>
      <w:r w:rsidRPr="003B5716">
        <w:t xml:space="preserve"> </w:t>
      </w:r>
      <w:r w:rsidR="004F266B">
        <w:t xml:space="preserve">and </w:t>
      </w:r>
      <w:proofErr w:type="spellStart"/>
      <w:r w:rsidRPr="003B5716">
        <w:t>Teitel</w:t>
      </w:r>
      <w:proofErr w:type="spellEnd"/>
      <w:r w:rsidRPr="003B5716">
        <w:t>, 2009).</w:t>
      </w:r>
      <w:r w:rsidR="00F706BA" w:rsidRPr="003B5716">
        <w:rPr>
          <w:rStyle w:val="FootnoteReference"/>
        </w:rPr>
        <w:footnoteReference w:id="1"/>
      </w:r>
      <w:r w:rsidR="00F706BA" w:rsidRPr="003B5716">
        <w:t xml:space="preserve"> </w:t>
      </w:r>
    </w:p>
    <w:p w:rsidR="00F706BA" w:rsidRPr="003B5716" w:rsidRDefault="00F706BA" w:rsidP="00FC692F">
      <w:pPr>
        <w:spacing w:line="480" w:lineRule="auto"/>
        <w:ind w:firstLine="567"/>
      </w:pPr>
      <w:r w:rsidRPr="003B5716">
        <w:t xml:space="preserve">We motivate our study on the decision by Mexico’s Stock Exchange to introduce - in 1999 with subsequent amendments - a Mexican Code of Corporate Governance (MCCG). For firms in countries like Mexico, enacting codes of best practice effectively substitute for observed institutional frailties, especially if the codes comply with international standards (La </w:t>
      </w:r>
      <w:proofErr w:type="spellStart"/>
      <w:r w:rsidRPr="003B5716">
        <w:t>Porta</w:t>
      </w:r>
      <w:proofErr w:type="spellEnd"/>
      <w:r w:rsidRPr="003B5716">
        <w:t xml:space="preserve"> et al, 1998; Poletti-Hughes, 2009). Compliance offers family firms a vehicle for resolving intra-familial conflicts (</w:t>
      </w:r>
      <w:proofErr w:type="spellStart"/>
      <w:r w:rsidRPr="003B5716">
        <w:t>Holan</w:t>
      </w:r>
      <w:proofErr w:type="spellEnd"/>
      <w:r w:rsidRPr="003B5716">
        <w:t xml:space="preserve"> </w:t>
      </w:r>
      <w:r w:rsidR="004F266B">
        <w:t>and</w:t>
      </w:r>
      <w:r w:rsidRPr="003B5716">
        <w:t xml:space="preserve"> </w:t>
      </w:r>
      <w:proofErr w:type="spellStart"/>
      <w:r w:rsidRPr="003B5716">
        <w:t>Sanz</w:t>
      </w:r>
      <w:proofErr w:type="spellEnd"/>
      <w:r w:rsidRPr="003B5716">
        <w:t xml:space="preserve">, 2006). The marked differences in institutional and environmental factors between an emerging nation like Mexico and western economies imply the established norms, obtained from studies of western firms, may not apply to Mexican firms, which infers that country-based studies like ours are an </w:t>
      </w:r>
      <w:r w:rsidRPr="003B5716">
        <w:lastRenderedPageBreak/>
        <w:t xml:space="preserve">appropriate conduit for knowledge development (La </w:t>
      </w:r>
      <w:proofErr w:type="spellStart"/>
      <w:r w:rsidRPr="003B5716">
        <w:t>Porta</w:t>
      </w:r>
      <w:proofErr w:type="spellEnd"/>
      <w:r w:rsidRPr="003B5716">
        <w:t xml:space="preserve"> et al, 1998, 2002; Kim and </w:t>
      </w:r>
      <w:proofErr w:type="spellStart"/>
      <w:r w:rsidRPr="003B5716">
        <w:t>Gao</w:t>
      </w:r>
      <w:proofErr w:type="spellEnd"/>
      <w:r w:rsidRPr="003B5716">
        <w:t xml:space="preserve">, 2013). </w:t>
      </w:r>
    </w:p>
    <w:p w:rsidR="00F706BA" w:rsidRPr="003B5716" w:rsidRDefault="00F706BA" w:rsidP="00FC692F">
      <w:pPr>
        <w:spacing w:line="480" w:lineRule="auto"/>
        <w:ind w:firstLine="567"/>
      </w:pPr>
      <w:r w:rsidRPr="003B5716">
        <w:t>We initiate our analytical framework from a broad perspective that performance differentials between family and non-family firms are indicative of the different principal-agent problems facing each cohort (</w:t>
      </w:r>
      <w:proofErr w:type="spellStart"/>
      <w:r w:rsidRPr="003B5716">
        <w:t>Villalonga</w:t>
      </w:r>
      <w:proofErr w:type="spellEnd"/>
      <w:r w:rsidRPr="003B5716">
        <w:t xml:space="preserve"> </w:t>
      </w:r>
      <w:r w:rsidR="004F266B">
        <w:t>and</w:t>
      </w:r>
      <w:r w:rsidRPr="003B5716">
        <w:t xml:space="preserve"> </w:t>
      </w:r>
      <w:proofErr w:type="spellStart"/>
      <w:r w:rsidRPr="003B5716">
        <w:t>Amit</w:t>
      </w:r>
      <w:proofErr w:type="spellEnd"/>
      <w:r w:rsidRPr="003B5716">
        <w:t xml:space="preserve">, 2006). In explaining why family firms outperform their non-family counterparts, Anderson and </w:t>
      </w:r>
      <w:proofErr w:type="spellStart"/>
      <w:r w:rsidRPr="003B5716">
        <w:t>Reeb</w:t>
      </w:r>
      <w:proofErr w:type="spellEnd"/>
      <w:r w:rsidRPr="003B5716">
        <w:t xml:space="preserve"> (2003) and </w:t>
      </w:r>
      <w:proofErr w:type="spellStart"/>
      <w:r w:rsidRPr="003B5716">
        <w:t>Maury</w:t>
      </w:r>
      <w:proofErr w:type="spellEnd"/>
      <w:r w:rsidRPr="003B5716">
        <w:t xml:space="preserve"> (2006) posit that family firms in western economies are more effective in controlling agency costs because family members serve as principal and agent. A more intricate explanation, utilising a stewardship perspective, suggests that the comparative advantage of family firms is due to collective behaviour and the subordination of personal interests t</w:t>
      </w:r>
      <w:r w:rsidR="004F266B">
        <w:t>o family objectives (</w:t>
      </w:r>
      <w:proofErr w:type="spellStart"/>
      <w:r w:rsidR="004F266B">
        <w:t>Eddleston</w:t>
      </w:r>
      <w:proofErr w:type="spellEnd"/>
      <w:r w:rsidR="004F266B">
        <w:t xml:space="preserve"> and</w:t>
      </w:r>
      <w:r w:rsidRPr="003B5716">
        <w:t xml:space="preserve"> </w:t>
      </w:r>
      <w:proofErr w:type="spellStart"/>
      <w:r w:rsidRPr="003B5716">
        <w:t>Kellermans</w:t>
      </w:r>
      <w:proofErr w:type="spellEnd"/>
      <w:r w:rsidRPr="003B5716">
        <w:t>, 2007). However, family firms could face intra-familial conflict, which creates antagonism amongst family members and leads to underperformance (Dyer, 2006). Irrespective of whether family members behave as agents or stewards, the family firm literature demonstrates that governance ultimately affects firm performance (Chrisman</w:t>
      </w:r>
      <w:r w:rsidR="004F266B">
        <w:t xml:space="preserve"> et al, </w:t>
      </w:r>
      <w:r w:rsidRPr="003B5716">
        <w:t xml:space="preserve">2007; </w:t>
      </w:r>
      <w:proofErr w:type="spellStart"/>
      <w:r w:rsidRPr="003B5716">
        <w:t>Jaskiewicz</w:t>
      </w:r>
      <w:proofErr w:type="spellEnd"/>
      <w:r w:rsidRPr="003B5716">
        <w:t xml:space="preserve"> </w:t>
      </w:r>
      <w:r w:rsidR="004F266B">
        <w:t>and</w:t>
      </w:r>
      <w:r w:rsidRPr="003B5716">
        <w:t xml:space="preserve"> Klein, 2007). </w:t>
      </w:r>
    </w:p>
    <w:p w:rsidR="00F706BA" w:rsidRPr="003B5716" w:rsidRDefault="00F706BA" w:rsidP="00FC692F">
      <w:pPr>
        <w:spacing w:line="480" w:lineRule="auto"/>
        <w:ind w:firstLine="567"/>
      </w:pPr>
      <w:r w:rsidRPr="003B5716">
        <w:t xml:space="preserve">We extend our analytical framework to incorporate developments in the family business literature as advocated by </w:t>
      </w:r>
      <w:proofErr w:type="spellStart"/>
      <w:r w:rsidRPr="003B5716">
        <w:t>Berrone</w:t>
      </w:r>
      <w:proofErr w:type="spellEnd"/>
      <w:r w:rsidRPr="003B5716">
        <w:t xml:space="preserve"> et al (2012). They make the case for the socioemotional wealth (SEW) approach to distinguish behavioural factors between family firms and non-family concerns. The concept of SEW or affective endowment contends that families, particularly in emerging countries, are emotionally connected to their firms or family entities (</w:t>
      </w:r>
      <w:proofErr w:type="spellStart"/>
      <w:r w:rsidRPr="003B5716">
        <w:t>Gómez-Mejía</w:t>
      </w:r>
      <w:proofErr w:type="spellEnd"/>
      <w:r w:rsidRPr="003B5716">
        <w:t xml:space="preserve"> et al, 2007). How SEW affects firm performance is ambiguous. One perspective sees family firms as value </w:t>
      </w:r>
      <w:proofErr w:type="spellStart"/>
      <w:r w:rsidRPr="003B5716">
        <w:t>maximisers</w:t>
      </w:r>
      <w:proofErr w:type="spellEnd"/>
      <w:r w:rsidRPr="003B5716">
        <w:t xml:space="preserve"> because of the inextricable links between firm value and familial wealth, which motivate family owners to control agency costs (James, 1999). In contrast, family owners prioritise firm survival over value maximisation because of patrimony and a fear of endangering familial wealth </w:t>
      </w:r>
      <w:r w:rsidRPr="003B5716">
        <w:lastRenderedPageBreak/>
        <w:t xml:space="preserve">(Thomsen </w:t>
      </w:r>
      <w:r w:rsidR="004F266B">
        <w:t>and</w:t>
      </w:r>
      <w:r w:rsidRPr="003B5716">
        <w:t xml:space="preserve"> Pedersen, 2000; </w:t>
      </w:r>
      <w:proofErr w:type="spellStart"/>
      <w:r w:rsidRPr="003B5716">
        <w:t>González</w:t>
      </w:r>
      <w:proofErr w:type="spellEnd"/>
      <w:r w:rsidRPr="003B5716">
        <w:t xml:space="preserve"> et al, 2012). In a SEW setting, families actively seek to retain familial ownership and control for subsequent generations though the desire to perpetuate can be driven also by non-financial criteria, such as, preservation of family authority, enjoyment of familial influence, inclusion of family members in key executive roles, continuation of family identity, among others (</w:t>
      </w:r>
      <w:proofErr w:type="spellStart"/>
      <w:r w:rsidRPr="003B5716">
        <w:t>Gómez-Mejía</w:t>
      </w:r>
      <w:proofErr w:type="spellEnd"/>
      <w:r w:rsidRPr="003B5716">
        <w:t xml:space="preserve"> et al, 2007). The use of patrimony to secure resources for heirs is a long-established, cultural tradition in Mexico (Ruiz-</w:t>
      </w:r>
      <w:proofErr w:type="spellStart"/>
      <w:r w:rsidRPr="003B5716">
        <w:t>Porras</w:t>
      </w:r>
      <w:proofErr w:type="spellEnd"/>
      <w:r w:rsidRPr="003B5716">
        <w:t xml:space="preserve"> </w:t>
      </w:r>
      <w:r w:rsidR="004F266B">
        <w:t>and</w:t>
      </w:r>
      <w:r w:rsidRPr="003B5716">
        <w:t xml:space="preserve"> </w:t>
      </w:r>
      <w:proofErr w:type="spellStart"/>
      <w:r w:rsidRPr="003B5716">
        <w:t>Steinwascher</w:t>
      </w:r>
      <w:proofErr w:type="spellEnd"/>
      <w:r w:rsidRPr="003B5716">
        <w:t xml:space="preserve">, 2007). </w:t>
      </w:r>
    </w:p>
    <w:p w:rsidR="00F706BA" w:rsidRPr="003B5716" w:rsidRDefault="00F706BA" w:rsidP="00FC692F">
      <w:pPr>
        <w:spacing w:line="480" w:lineRule="auto"/>
        <w:ind w:firstLine="567"/>
      </w:pPr>
      <w:r w:rsidRPr="003B5716">
        <w:t xml:space="preserve">Our analytical framework utilises a two-stage empirical approach: first, we examine the performance (firm value) differential between family firms and non-family concerns; second, we test if risk-taking behaviour explains value differentials. Our rationale invokes the behavioural agency problem (Wiseman </w:t>
      </w:r>
      <w:r w:rsidR="004F266B">
        <w:t xml:space="preserve">and </w:t>
      </w:r>
      <w:proofErr w:type="spellStart"/>
      <w:r w:rsidRPr="003B5716">
        <w:t>Gómez-Mejía</w:t>
      </w:r>
      <w:proofErr w:type="spellEnd"/>
      <w:r w:rsidRPr="003B5716">
        <w:t>, 1998) that combines elements of agency theory and prospect theory of the firm. Under this schema, the risk preferences of family controllers (agents) are heterogeneous and vary by strategic choices. Agents formulate their choices under a “loss aversion” framework that encourages risk-taking providing agents are more sensitive towards losing wealth than increasing it (</w:t>
      </w:r>
      <w:proofErr w:type="spellStart"/>
      <w:r w:rsidRPr="003B5716">
        <w:t>Tversky</w:t>
      </w:r>
      <w:proofErr w:type="spellEnd"/>
      <w:r w:rsidRPr="003B5716">
        <w:t xml:space="preserve"> </w:t>
      </w:r>
      <w:r w:rsidR="004F266B">
        <w:t>and</w:t>
      </w:r>
      <w:r w:rsidRPr="003B5716">
        <w:t xml:space="preserve"> </w:t>
      </w:r>
      <w:proofErr w:type="spellStart"/>
      <w:r w:rsidRPr="003B5716">
        <w:t>Kahneman</w:t>
      </w:r>
      <w:proofErr w:type="spellEnd"/>
      <w:r w:rsidRPr="003B5716">
        <w:t xml:space="preserve">, 1986, 1991). </w:t>
      </w:r>
    </w:p>
    <w:p w:rsidR="00F706BA" w:rsidRPr="003B5716" w:rsidRDefault="00F706BA" w:rsidP="00FC692F">
      <w:pPr>
        <w:spacing w:line="480" w:lineRule="auto"/>
        <w:ind w:firstLine="567"/>
      </w:pPr>
      <w:r w:rsidRPr="003B5716">
        <w:t>The strategic choice process can yield either favourable or unfavourable outcomes for economic development. For instance, perpetuating the family entity (or SEW) could induce conservative strategic choices for risk-taking that belie value maximisation principles, which in turn may dampen firms’ future growth opportunities with implication for the wider economy. Similarly, family owners may behave in a risk-averse manner because they hold an undiversified portfolio (</w:t>
      </w:r>
      <w:proofErr w:type="spellStart"/>
      <w:r w:rsidRPr="003B5716">
        <w:t>Morck</w:t>
      </w:r>
      <w:proofErr w:type="spellEnd"/>
      <w:r w:rsidRPr="003B5716">
        <w:t xml:space="preserve"> and </w:t>
      </w:r>
      <w:proofErr w:type="spellStart"/>
      <w:r w:rsidRPr="003B5716">
        <w:t>Yeung</w:t>
      </w:r>
      <w:proofErr w:type="spellEnd"/>
      <w:r w:rsidRPr="003B5716">
        <w:t xml:space="preserve">, 2003). Alternatively, strategically choosing to preserve SEW can incentivise family owners to increase their tolerance to risk. This view assumes the objective of family firms is long-term survival, which is expected to </w:t>
      </w:r>
      <w:r w:rsidRPr="003B5716">
        <w:lastRenderedPageBreak/>
        <w:t>converge with economic growth and competitive advantage (</w:t>
      </w:r>
      <w:proofErr w:type="spellStart"/>
      <w:r w:rsidRPr="003B5716">
        <w:t>Gómez-Mejía</w:t>
      </w:r>
      <w:proofErr w:type="spellEnd"/>
      <w:r w:rsidR="004F266B">
        <w:t xml:space="preserve"> et al, </w:t>
      </w:r>
      <w:r w:rsidRPr="003B5716">
        <w:t xml:space="preserve">2011; </w:t>
      </w:r>
      <w:proofErr w:type="spellStart"/>
      <w:r w:rsidRPr="003B5716">
        <w:t>Berrone</w:t>
      </w:r>
      <w:proofErr w:type="spellEnd"/>
      <w:r w:rsidRPr="003B5716">
        <w:t xml:space="preserve"> et al., 2012). </w:t>
      </w:r>
    </w:p>
    <w:p w:rsidR="00F706BA" w:rsidRPr="003B5716" w:rsidRDefault="00F706BA" w:rsidP="00FC692F">
      <w:pPr>
        <w:spacing w:line="480" w:lineRule="auto"/>
        <w:ind w:firstLine="567"/>
      </w:pPr>
      <w:r w:rsidRPr="003B5716">
        <w:t>We employ two-way cluster regression analysis to measure the effect of family control and ownership on firm performance. Two-way clustering improves the precision of standard errors leading to better inferences than one-way cluster type methods (Petersen, 2009; Thompson, 2011). Noting the potential for endogeneity problems to arise between performance and firms’ corporate governance structures, we treat certain ownership and control characteristics of firms as exogenous in the short-term for investigative purposes on grounds that these features are mostly time invariant (Adams</w:t>
      </w:r>
      <w:r w:rsidR="004F266B">
        <w:t xml:space="preserve"> et al, </w:t>
      </w:r>
      <w:r w:rsidRPr="003B5716">
        <w:t xml:space="preserve">2010). </w:t>
      </w:r>
      <w:r w:rsidR="008939DA">
        <w:t>Finally, w</w:t>
      </w:r>
      <w:r w:rsidRPr="003B5716">
        <w:t xml:space="preserve">e </w:t>
      </w:r>
      <w:r w:rsidR="008939DA">
        <w:t>use s</w:t>
      </w:r>
      <w:r w:rsidRPr="003B5716">
        <w:t>ystem generalized method of moments (</w:t>
      </w:r>
      <w:r w:rsidR="008939DA">
        <w:t>system-</w:t>
      </w:r>
      <w:r w:rsidRPr="003B5716">
        <w:t>GMM) to account for simultaneity, omitted variable bias, and dynamic endogeneity.</w:t>
      </w:r>
    </w:p>
    <w:p w:rsidR="00F706BA" w:rsidRPr="003B5716" w:rsidRDefault="00F706BA" w:rsidP="00880398">
      <w:pPr>
        <w:spacing w:line="480" w:lineRule="auto"/>
        <w:ind w:firstLine="567"/>
      </w:pPr>
      <w:r w:rsidRPr="003B5716">
        <w:t>We measure firm performance using indicators of corporate value and risk-taking. Our conjecture is that family firms in Mexico perceive family control as a means to enhance patrimony and safeguard SEW for heirs. To test this proposition, we draw on claims that the risk-taking preference of family firms is a mixture of two types of risk (</w:t>
      </w:r>
      <w:proofErr w:type="spellStart"/>
      <w:r w:rsidRPr="003B5716">
        <w:t>Gómez-Mejía</w:t>
      </w:r>
      <w:proofErr w:type="spellEnd"/>
      <w:r w:rsidRPr="003B5716">
        <w:t xml:space="preserve"> et al, 2007; 2011). </w:t>
      </w:r>
      <w:r w:rsidR="006F2CCA" w:rsidRPr="000C5881">
        <w:t>Accordingly, we construct indicators of performance hazard risk</w:t>
      </w:r>
      <w:r w:rsidR="00D71E6F" w:rsidRPr="000C5881">
        <w:t xml:space="preserve"> and venturing risk. Performance hazard risk </w:t>
      </w:r>
      <w:r w:rsidR="006F2CCA" w:rsidRPr="000C5881">
        <w:t>implies</w:t>
      </w:r>
      <w:r w:rsidR="00E07B12" w:rsidRPr="000C5881">
        <w:t xml:space="preserve"> the probability of failure</w:t>
      </w:r>
      <w:r w:rsidR="0027290A" w:rsidRPr="000C5881">
        <w:t>, threats to survival</w:t>
      </w:r>
      <w:r w:rsidR="00E07B12" w:rsidRPr="000C5881">
        <w:t xml:space="preserve"> or below-target performance</w:t>
      </w:r>
      <w:r w:rsidR="0027290A" w:rsidRPr="000C5881">
        <w:t xml:space="preserve"> actions that firms take with the </w:t>
      </w:r>
      <w:r w:rsidR="004C2052" w:rsidRPr="000C5881">
        <w:t>familial desire of</w:t>
      </w:r>
      <w:r w:rsidR="0027290A" w:rsidRPr="000C5881">
        <w:t xml:space="preserve"> </w:t>
      </w:r>
      <w:r w:rsidR="004C2052" w:rsidRPr="000C5881">
        <w:t>preserving SEW</w:t>
      </w:r>
      <w:r w:rsidR="00D71E6F" w:rsidRPr="000C5881">
        <w:t>. V</w:t>
      </w:r>
      <w:r w:rsidR="006F2CCA" w:rsidRPr="000C5881">
        <w:t>enturing risk</w:t>
      </w:r>
      <w:r w:rsidR="00D71E6F" w:rsidRPr="000C5881">
        <w:t xml:space="preserve"> </w:t>
      </w:r>
      <w:r w:rsidR="006F2CCA" w:rsidRPr="000C5881">
        <w:t xml:space="preserve">signifies the overall business risk </w:t>
      </w:r>
      <w:r w:rsidR="00880398" w:rsidRPr="000C5881">
        <w:t>that arises with the perusal of</w:t>
      </w:r>
      <w:r w:rsidR="004C2052" w:rsidRPr="000C5881">
        <w:t xml:space="preserve"> projects with uncertain returns but with an upside potential </w:t>
      </w:r>
      <w:r w:rsidR="006F2CCA" w:rsidRPr="000C5881">
        <w:t>that firms take in expectation of improving future performance.</w:t>
      </w:r>
      <w:r w:rsidRPr="000C5881">
        <w:t xml:space="preserve"> </w:t>
      </w:r>
      <w:r w:rsidR="0092063A" w:rsidRPr="000C5881">
        <w:rPr>
          <w:lang w:val="en-US"/>
        </w:rPr>
        <w:t>Un</w:t>
      </w:r>
      <w:r w:rsidR="00DD4ED9" w:rsidRPr="000C5881">
        <w:rPr>
          <w:lang w:val="en-US"/>
        </w:rPr>
        <w:t xml:space="preserve">der the SEW perspective, </w:t>
      </w:r>
      <w:r w:rsidR="00DD4ED9" w:rsidRPr="000C5881">
        <w:t>family</w:t>
      </w:r>
      <w:r w:rsidR="0092063A" w:rsidRPr="000C5881">
        <w:t xml:space="preserve"> firms may be more likely to make business decisions that decrease performance variability even when the short-term outcome is a below-target performance (performance hazard risk). At par, the willingness to select high variance projects might be less, reducing the overall firm risk (venturing risk). </w:t>
      </w:r>
      <w:r w:rsidRPr="00C75D23">
        <w:t>If our conjecture holds, family firms</w:t>
      </w:r>
      <w:r w:rsidRPr="003B5716">
        <w:t xml:space="preserve"> should tolerate performance </w:t>
      </w:r>
      <w:r w:rsidRPr="003B5716">
        <w:lastRenderedPageBreak/>
        <w:t>hazard risk if it preserves SEW and be averse to venturing risk (</w:t>
      </w:r>
      <w:proofErr w:type="spellStart"/>
      <w:r w:rsidRPr="003B5716">
        <w:t>Berrone</w:t>
      </w:r>
      <w:proofErr w:type="spellEnd"/>
      <w:r w:rsidRPr="003B5716">
        <w:t xml:space="preserve"> et al, 2012). A priori if our conjecture holds, we expect to find that performance hazard risk is the more dominant risk type for family firms in Mexico. To the best of our knowledge, this question remains unanswered in the extant literature. To expedite the analysis we carefully construct a dataset by means of hand collection for 101 listed Mexican firms between 2004 and</w:t>
      </w:r>
      <w:r w:rsidR="00610A2E">
        <w:t xml:space="preserve"> 2013.</w:t>
      </w:r>
    </w:p>
    <w:p w:rsidR="00F706BA" w:rsidRPr="003B5716" w:rsidRDefault="00F706BA" w:rsidP="00FC692F">
      <w:pPr>
        <w:spacing w:line="480" w:lineRule="auto"/>
        <w:ind w:firstLine="567"/>
      </w:pPr>
      <w:r w:rsidRPr="003B5716">
        <w:t xml:space="preserve">This study contributes to the corporate governance literature in various important aspects. First, we develop our study based on a new theoretical formulation within the family business literature, advocated by </w:t>
      </w:r>
      <w:proofErr w:type="spellStart"/>
      <w:r w:rsidRPr="003B5716">
        <w:t>Gómez-Mejía</w:t>
      </w:r>
      <w:proofErr w:type="spellEnd"/>
      <w:r w:rsidRPr="003B5716">
        <w:t xml:space="preserve"> et al (2007) and </w:t>
      </w:r>
      <w:proofErr w:type="spellStart"/>
      <w:r w:rsidRPr="003B5716">
        <w:t>Berrone</w:t>
      </w:r>
      <w:proofErr w:type="spellEnd"/>
      <w:r w:rsidRPr="003B5716">
        <w:t xml:space="preserve"> et al (2012) which suggests that corporate financial behaviour might be the result of non-financial reasons (socioemotional wealth). To our knowledge, this is the first empirical study in the financial literature to apply the socioemotional wealth spectrum to explain performance differentials between family and non-family firms. Second, we demonstrate with a robust analysis that in effect, in a country like Mexico where “familial” behaviour</w:t>
      </w:r>
      <w:r w:rsidR="00536849">
        <w:rPr>
          <w:rStyle w:val="FootnoteReference"/>
        </w:rPr>
        <w:footnoteReference w:id="2"/>
      </w:r>
      <w:r w:rsidRPr="003B5716">
        <w:t xml:space="preserve"> predominates, the theory of socioemotional wealth is fit for explaining our hypotheses. Our findings are relevant beyond the Mexican setting to other countries with cultural similarities, especially in Latin America, where familial behaviour dominates. By examining this relationship, this study not only provides further insights into our understanding of family businesses but also extends the literature on corporate value and risk-taking. We contribute to literature on firms’ value and corporate risk-taking by empirically testing whether the objectives of family firms follow a financial aim (venturing risk) or a non-financial aim (performance hazard risk).</w:t>
      </w:r>
    </w:p>
    <w:p w:rsidR="00F706BA" w:rsidRPr="003B5716" w:rsidRDefault="00F706BA" w:rsidP="00FC692F">
      <w:pPr>
        <w:spacing w:line="480" w:lineRule="auto"/>
        <w:ind w:firstLine="567"/>
      </w:pPr>
      <w:r w:rsidRPr="003B5716">
        <w:t xml:space="preserve">In preview, we offer two main results. Firstly, family firms are more highly valued than non-family concerns in Mexico. Secondly, family firms willingly assume risk, and </w:t>
      </w:r>
      <w:r w:rsidRPr="003B5716">
        <w:lastRenderedPageBreak/>
        <w:t>more specifically, performance hazard risk. The results support the SEW position that patrimonial objectives motivate the strategic choices of family firms, which conditions the behaviour of firms to assume additional performance hazard risk that in turn yields higher corporate value. Although our results are at odds with some previous findings of lower value and risk aversion at family firms (</w:t>
      </w:r>
      <w:proofErr w:type="spellStart"/>
      <w:r w:rsidRPr="003B5716">
        <w:t>Morck</w:t>
      </w:r>
      <w:proofErr w:type="spellEnd"/>
      <w:r w:rsidR="004F266B">
        <w:t xml:space="preserve"> et al, </w:t>
      </w:r>
      <w:r w:rsidRPr="003B5716">
        <w:t xml:space="preserve">2000; Perez-Gonzalez, 2006), we posit that the strategic choices of family businesses implicitly incorporate culture and tradition, which inform behavioural relationships and explain discrepancies in reported results. We suspect in countries like Mexico (and probably Latin America in general), the strength of family tradition increases the power of the SEW effect, and recommend that future research employs cross-country empirical analysis to consider this proposition. </w:t>
      </w:r>
    </w:p>
    <w:p w:rsidR="00F706BA" w:rsidRPr="003B5716" w:rsidRDefault="00F706BA" w:rsidP="00FC692F">
      <w:pPr>
        <w:spacing w:line="480" w:lineRule="auto"/>
        <w:ind w:firstLine="567"/>
      </w:pPr>
      <w:r w:rsidRPr="003B5716">
        <w:t>We structure the paper as follows. Section 2 presents the hypothesis development. Section 3 presents the Data. Section 4 and 5 presents the Methodology and Results, respectively. Section 6 concludes.</w:t>
      </w:r>
    </w:p>
    <w:p w:rsidR="00F706BA" w:rsidRPr="003B5716" w:rsidRDefault="00F706BA" w:rsidP="00FC692F">
      <w:pPr>
        <w:pStyle w:val="ListParagraph"/>
        <w:numPr>
          <w:ilvl w:val="0"/>
          <w:numId w:val="4"/>
        </w:numPr>
        <w:spacing w:line="480" w:lineRule="auto"/>
        <w:rPr>
          <w:b/>
        </w:rPr>
      </w:pPr>
      <w:r w:rsidRPr="003B5716">
        <w:rPr>
          <w:b/>
        </w:rPr>
        <w:t xml:space="preserve">Hypothesis Development: </w:t>
      </w:r>
    </w:p>
    <w:p w:rsidR="00F706BA" w:rsidRPr="003B5716" w:rsidRDefault="00F706BA" w:rsidP="00FC692F">
      <w:pPr>
        <w:pStyle w:val="ListParagraph"/>
        <w:numPr>
          <w:ilvl w:val="1"/>
          <w:numId w:val="4"/>
        </w:numPr>
        <w:spacing w:line="480" w:lineRule="auto"/>
        <w:rPr>
          <w:b/>
        </w:rPr>
      </w:pPr>
      <w:r w:rsidRPr="003B5716">
        <w:rPr>
          <w:b/>
        </w:rPr>
        <w:t xml:space="preserve">Firm value and ownership in family firms </w:t>
      </w:r>
    </w:p>
    <w:p w:rsidR="00F706BA" w:rsidRPr="003B5716" w:rsidRDefault="00F706BA" w:rsidP="00FC692F">
      <w:pPr>
        <w:spacing w:line="480" w:lineRule="auto"/>
        <w:ind w:firstLine="567"/>
      </w:pPr>
      <w:r w:rsidRPr="003B5716">
        <w:t xml:space="preserve">The ways in which families own, control and manage their firms could produce performance differentials not only amongst family firms but also between family and non-family concerns. The empirical record shows family firms outperform non-family in the US (Anderson </w:t>
      </w:r>
      <w:r w:rsidR="004F266B">
        <w:t>and</w:t>
      </w:r>
      <w:r w:rsidRPr="003B5716">
        <w:t xml:space="preserve"> </w:t>
      </w:r>
      <w:proofErr w:type="spellStart"/>
      <w:r w:rsidRPr="003B5716">
        <w:t>Reeb</w:t>
      </w:r>
      <w:proofErr w:type="spellEnd"/>
      <w:r w:rsidRPr="003B5716">
        <w:t>, 2003) and west Europe (</w:t>
      </w:r>
      <w:proofErr w:type="spellStart"/>
      <w:r w:rsidRPr="003B5716">
        <w:t>Maury</w:t>
      </w:r>
      <w:proofErr w:type="spellEnd"/>
      <w:r w:rsidRPr="003B5716">
        <w:t xml:space="preserve">, 2006). Agency theory and stewardship theory propose alternative explanations for this result. In an agency-theoretic framework, family controllers monitor </w:t>
      </w:r>
      <w:proofErr w:type="gramStart"/>
      <w:r w:rsidRPr="003B5716">
        <w:t xml:space="preserve">firm </w:t>
      </w:r>
      <w:r w:rsidR="007E496D" w:rsidRPr="003B5716">
        <w:t>managers, which</w:t>
      </w:r>
      <w:r w:rsidR="000E7CE0">
        <w:t xml:space="preserve"> </w:t>
      </w:r>
      <w:r w:rsidRPr="003B5716">
        <w:t>reduce</w:t>
      </w:r>
      <w:r w:rsidR="007E496D">
        <w:t>s</w:t>
      </w:r>
      <w:proofErr w:type="gramEnd"/>
      <w:r w:rsidRPr="003B5716">
        <w:t xml:space="preserve"> agency costs </w:t>
      </w:r>
      <w:r w:rsidR="000E7CE0">
        <w:t>and</w:t>
      </w:r>
      <w:r w:rsidRPr="003B5716">
        <w:t xml:space="preserve"> ultimately improve</w:t>
      </w:r>
      <w:r w:rsidR="007E496D">
        <w:t>s</w:t>
      </w:r>
      <w:r w:rsidRPr="003B5716">
        <w:t xml:space="preserve"> performance (La </w:t>
      </w:r>
      <w:proofErr w:type="spellStart"/>
      <w:r w:rsidRPr="003B5716">
        <w:t>Porta</w:t>
      </w:r>
      <w:proofErr w:type="spellEnd"/>
      <w:r w:rsidRPr="003B5716">
        <w:t xml:space="preserve"> et al, 1998). A stewardship perspective posits that feelings of responsibility and burden sharing motivate family members. Such feelings can create a shared familial objective to fulfil organisational goals assuming that family members demonstrate altruistic behaviour. In this setting, altruism binds the interests of </w:t>
      </w:r>
      <w:r w:rsidRPr="003B5716">
        <w:lastRenderedPageBreak/>
        <w:t>senior and junior family and fosters a participative strategic process, which lowers the propensity for intra-familial conflict leading to better firm performance (</w:t>
      </w:r>
      <w:proofErr w:type="spellStart"/>
      <w:r w:rsidRPr="003B5716">
        <w:t>Eddleston</w:t>
      </w:r>
      <w:proofErr w:type="spellEnd"/>
      <w:r w:rsidRPr="003B5716">
        <w:t xml:space="preserve"> </w:t>
      </w:r>
      <w:r w:rsidR="004F266B">
        <w:t>and</w:t>
      </w:r>
      <w:r w:rsidRPr="003B5716">
        <w:t xml:space="preserve"> </w:t>
      </w:r>
      <w:proofErr w:type="spellStart"/>
      <w:r w:rsidRPr="003B5716">
        <w:t>Kellermans</w:t>
      </w:r>
      <w:proofErr w:type="spellEnd"/>
      <w:r w:rsidRPr="003B5716">
        <w:t xml:space="preserve">, 2007).    </w:t>
      </w:r>
    </w:p>
    <w:p w:rsidR="00F706BA" w:rsidRPr="003B5716" w:rsidRDefault="00F706BA" w:rsidP="00FC692F">
      <w:pPr>
        <w:spacing w:line="480" w:lineRule="auto"/>
        <w:ind w:firstLine="567"/>
      </w:pPr>
      <w:r w:rsidRPr="003B5716">
        <w:t xml:space="preserve">The empirical norms of western economies need not repeat in emerging nations like Mexico. Premised on agency theory, family firms can underperform if family controllers expropriate resources at the expense of the firm and other family members (Jensen </w:t>
      </w:r>
      <w:r w:rsidR="004F266B">
        <w:t>and</w:t>
      </w:r>
      <w:r w:rsidRPr="003B5716">
        <w:t xml:space="preserve"> </w:t>
      </w:r>
      <w:proofErr w:type="spellStart"/>
      <w:r w:rsidRPr="003B5716">
        <w:t>Meckling</w:t>
      </w:r>
      <w:proofErr w:type="spellEnd"/>
      <w:r w:rsidRPr="003B5716">
        <w:t xml:space="preserve">, 1976; </w:t>
      </w:r>
      <w:proofErr w:type="spellStart"/>
      <w:r w:rsidRPr="003B5716">
        <w:t>Shleifer</w:t>
      </w:r>
      <w:proofErr w:type="spellEnd"/>
      <w:r w:rsidRPr="003B5716">
        <w:t xml:space="preserve"> </w:t>
      </w:r>
      <w:r w:rsidR="004F266B">
        <w:t>and</w:t>
      </w:r>
      <w:r w:rsidRPr="003B5716">
        <w:t xml:space="preserve"> </w:t>
      </w:r>
      <w:proofErr w:type="spellStart"/>
      <w:r w:rsidRPr="003B5716">
        <w:t>Vishny</w:t>
      </w:r>
      <w:proofErr w:type="spellEnd"/>
      <w:r w:rsidRPr="003B5716">
        <w:t xml:space="preserve">, 1986). Stewardship theorists develop this point. They argue that expropriation changes the behaviour of family controller’s from collectivist to self-interest. This change breeds familial conflict and deleteriously affects firm performance. Other sources of conflict similarly affect performance, for instance, sibling rivalry, marital disharmony, and dispersed ownership rights across family members. Such behavioural traits produce negative emotions and antagonism that create inefficiencies, which family members compound if they become unwilling to monitor, evaluate and discipline one another. Ultimately, this process incentivises opportunism and shirking behaviour that could retard firm performance (Dyer, 2006). </w:t>
      </w:r>
    </w:p>
    <w:p w:rsidR="00F706BA" w:rsidRPr="003B5716" w:rsidRDefault="00F706BA" w:rsidP="00FC7163">
      <w:pPr>
        <w:spacing w:line="480" w:lineRule="auto"/>
        <w:ind w:firstLine="567"/>
      </w:pPr>
      <w:r w:rsidRPr="003B5716">
        <w:t>The role of patrimony requires special attention in performance evaluation. In Mexico, a strong cultural tradition perceives patrimony as a vehicle to secure resources for heirs (Ruiz-</w:t>
      </w:r>
      <w:proofErr w:type="spellStart"/>
      <w:r w:rsidRPr="003B5716">
        <w:t>Porras</w:t>
      </w:r>
      <w:proofErr w:type="spellEnd"/>
      <w:r w:rsidRPr="003B5716">
        <w:t xml:space="preserve"> </w:t>
      </w:r>
      <w:r w:rsidR="004F266B">
        <w:t>and</w:t>
      </w:r>
      <w:r w:rsidRPr="003B5716">
        <w:t xml:space="preserve"> </w:t>
      </w:r>
      <w:proofErr w:type="spellStart"/>
      <w:r w:rsidRPr="003B5716">
        <w:t>Steinwascher</w:t>
      </w:r>
      <w:proofErr w:type="spellEnd"/>
      <w:r w:rsidRPr="003B5716">
        <w:t>, 2007). The benefits of patrimony include the components of socioemotional wealth (SEW): preserving family authority, enjoying family influence and continuing familial identity (</w:t>
      </w:r>
      <w:proofErr w:type="spellStart"/>
      <w:r w:rsidRPr="003B5716">
        <w:t>Gómez-Mejía</w:t>
      </w:r>
      <w:proofErr w:type="spellEnd"/>
      <w:r w:rsidRPr="003B5716">
        <w:t xml:space="preserve"> et al, 2007). Family controllers lengthen their tenure and control agency costs to maximise familial wealth. This feature of patrimony encourages longer investment horizons, which favourably influences investment efficiency and firm value (James, 1999; </w:t>
      </w:r>
      <w:proofErr w:type="spellStart"/>
      <w:r w:rsidRPr="003B5716">
        <w:t>Machuga</w:t>
      </w:r>
      <w:proofErr w:type="spellEnd"/>
      <w:r w:rsidRPr="003B5716">
        <w:t xml:space="preserve"> </w:t>
      </w:r>
      <w:r w:rsidR="004F266B">
        <w:t>and</w:t>
      </w:r>
      <w:r w:rsidRPr="003B5716">
        <w:t xml:space="preserve"> </w:t>
      </w:r>
      <w:proofErr w:type="spellStart"/>
      <w:r w:rsidRPr="003B5716">
        <w:t>Teitel</w:t>
      </w:r>
      <w:proofErr w:type="spellEnd"/>
      <w:r w:rsidRPr="003B5716">
        <w:t>, 2009). Longevity creates reputational and branding effects (</w:t>
      </w:r>
      <w:proofErr w:type="spellStart"/>
      <w:r w:rsidRPr="003B5716">
        <w:t>Demsetz</w:t>
      </w:r>
      <w:proofErr w:type="spellEnd"/>
      <w:r w:rsidRPr="003B5716">
        <w:t xml:space="preserve"> </w:t>
      </w:r>
      <w:r w:rsidR="004F266B">
        <w:t>and</w:t>
      </w:r>
      <w:r w:rsidRPr="003B5716">
        <w:t xml:space="preserve"> Lehn, 1985), and improves family relationships with external parties like banks with US family firms realising lower debt </w:t>
      </w:r>
      <w:r w:rsidRPr="003B5716">
        <w:lastRenderedPageBreak/>
        <w:t>financing costs (Anderson</w:t>
      </w:r>
      <w:r w:rsidR="004F266B">
        <w:t xml:space="preserve"> et al, </w:t>
      </w:r>
      <w:r w:rsidRPr="003B5716">
        <w:t>2004). Moreover, the prospect of family firm managers engaging in opportunistic behaviour is lower when debt holders perform stringent supervision (</w:t>
      </w:r>
      <w:proofErr w:type="spellStart"/>
      <w:r w:rsidRPr="003B5716">
        <w:t>González</w:t>
      </w:r>
      <w:proofErr w:type="spellEnd"/>
      <w:r w:rsidRPr="003B5716">
        <w:t xml:space="preserve"> et al, 2012). </w:t>
      </w:r>
    </w:p>
    <w:p w:rsidR="00F706BA" w:rsidRPr="003B5716" w:rsidRDefault="00F706BA" w:rsidP="00FC692F">
      <w:pPr>
        <w:spacing w:line="480" w:lineRule="auto"/>
        <w:ind w:firstLine="567"/>
      </w:pPr>
      <w:r w:rsidRPr="003B5716">
        <w:t xml:space="preserve">Under our analytical framework, how family control impacts firm value is indicative of a country’s culture and traditions, the incentives and opportunities of controlling shareholders, and a country’s legal protection (La </w:t>
      </w:r>
      <w:proofErr w:type="spellStart"/>
      <w:r w:rsidRPr="003B5716">
        <w:t>Porta</w:t>
      </w:r>
      <w:proofErr w:type="spellEnd"/>
      <w:r w:rsidRPr="003B5716">
        <w:t xml:space="preserve"> et al., 1998). We contend that patrimony constitutes a comparative advantage for family firms whose greater investment efficiency delivers higher firm value compared to non-family firms: </w:t>
      </w:r>
    </w:p>
    <w:p w:rsidR="00F706BA" w:rsidRPr="003B5716" w:rsidRDefault="00F706BA" w:rsidP="00FC692F">
      <w:pPr>
        <w:spacing w:line="480" w:lineRule="auto"/>
        <w:ind w:firstLine="567"/>
      </w:pPr>
      <w:r w:rsidRPr="003B5716">
        <w:rPr>
          <w:b/>
        </w:rPr>
        <w:t>H1a.</w:t>
      </w:r>
      <w:r w:rsidRPr="003B5716">
        <w:t xml:space="preserve"> Firm value is greater in family firms than in non-family concerns in Mexico</w:t>
      </w:r>
    </w:p>
    <w:p w:rsidR="00F706BA" w:rsidRPr="003B5716" w:rsidRDefault="00F706BA" w:rsidP="00FC692F">
      <w:pPr>
        <w:spacing w:line="480" w:lineRule="auto"/>
        <w:ind w:firstLine="567"/>
      </w:pPr>
      <w:r w:rsidRPr="003B5716">
        <w:t xml:space="preserve">The size of cash flow stakes owned by controlling shareholders affects firm value. Large cash flow holdings are consistent with fewer agency conflicts and higher firm values (see </w:t>
      </w:r>
      <w:proofErr w:type="spellStart"/>
      <w:r w:rsidRPr="003B5716">
        <w:t>Claessens</w:t>
      </w:r>
      <w:proofErr w:type="spellEnd"/>
      <w:r w:rsidR="004F266B">
        <w:t xml:space="preserve"> et al, </w:t>
      </w:r>
      <w:r w:rsidRPr="003B5716">
        <w:t>2002 on Asia; Gompers</w:t>
      </w:r>
      <w:r w:rsidR="004F266B">
        <w:t xml:space="preserve"> et al, </w:t>
      </w:r>
      <w:r w:rsidRPr="003B5716">
        <w:t>2004 on the US). Although the benefits of holding larger cash flow rights increase relative to the loss from expropriation (</w:t>
      </w:r>
      <w:proofErr w:type="spellStart"/>
      <w:r w:rsidRPr="003B5716">
        <w:t>Yeh</w:t>
      </w:r>
      <w:proofErr w:type="spellEnd"/>
      <w:r w:rsidRPr="003B5716">
        <w:t xml:space="preserve"> </w:t>
      </w:r>
      <w:r w:rsidR="004F266B">
        <w:t xml:space="preserve">and </w:t>
      </w:r>
      <w:proofErr w:type="spellStart"/>
      <w:r w:rsidRPr="003B5716">
        <w:t>Woidtke</w:t>
      </w:r>
      <w:proofErr w:type="spellEnd"/>
      <w:r w:rsidRPr="003B5716">
        <w:t xml:space="preserve">, 2005), the relationship between cash flow rights and firm value is non-linear: value diminishes when family control reaches 60% for US family firms (Anderson </w:t>
      </w:r>
      <w:r w:rsidR="004F266B">
        <w:t>and</w:t>
      </w:r>
      <w:r w:rsidRPr="003B5716">
        <w:t xml:space="preserve"> </w:t>
      </w:r>
      <w:proofErr w:type="spellStart"/>
      <w:r w:rsidRPr="003B5716">
        <w:t>Reeb</w:t>
      </w:r>
      <w:proofErr w:type="spellEnd"/>
      <w:r w:rsidRPr="003B5716">
        <w:t xml:space="preserve">, 2003) and 51% in European countries (Thomsen </w:t>
      </w:r>
      <w:r w:rsidR="004F266B">
        <w:t>and</w:t>
      </w:r>
      <w:r w:rsidRPr="003B5716">
        <w:t xml:space="preserve"> Pedersen, 2000). At lower levels of ownership, the positive alignment between cash flow rights and firm value could indicate that other (non-family) shareholders desire value maximisation and more effectively monitor firm activities. Nevertheless, the propensity for expropriation is increasing in cash flow rights, which suggests controlling shareholders could benefit from pursuing different objectives, including firm survival, technological innovation and growth (Anderson </w:t>
      </w:r>
      <w:r w:rsidR="004F266B">
        <w:t>and</w:t>
      </w:r>
      <w:r w:rsidRPr="003B5716">
        <w:t xml:space="preserve"> </w:t>
      </w:r>
      <w:proofErr w:type="spellStart"/>
      <w:r w:rsidRPr="003B5716">
        <w:t>Reeb</w:t>
      </w:r>
      <w:proofErr w:type="spellEnd"/>
      <w:r w:rsidRPr="003B5716">
        <w:t xml:space="preserve">, 2003). </w:t>
      </w:r>
    </w:p>
    <w:p w:rsidR="00F706BA" w:rsidRPr="003B5716" w:rsidRDefault="00F706BA" w:rsidP="00FC692F">
      <w:pPr>
        <w:spacing w:line="480" w:lineRule="auto"/>
        <w:ind w:firstLine="567"/>
      </w:pPr>
      <w:r w:rsidRPr="003B5716">
        <w:t>Higher levels of family control increase the propensity for entrenchment effects, which can reduce firm value if older members remain active albeit no longer effective in their roles (</w:t>
      </w:r>
      <w:proofErr w:type="spellStart"/>
      <w:r w:rsidRPr="003B5716">
        <w:t>Shleifer</w:t>
      </w:r>
      <w:proofErr w:type="spellEnd"/>
      <w:r w:rsidRPr="003B5716">
        <w:t xml:space="preserve"> </w:t>
      </w:r>
      <w:r w:rsidR="004F266B">
        <w:t>and</w:t>
      </w:r>
      <w:r w:rsidRPr="003B5716">
        <w:t xml:space="preserve"> </w:t>
      </w:r>
      <w:proofErr w:type="spellStart"/>
      <w:r w:rsidRPr="003B5716">
        <w:t>Vishny</w:t>
      </w:r>
      <w:proofErr w:type="spellEnd"/>
      <w:r w:rsidRPr="003B5716">
        <w:t xml:space="preserve">, 1997). Entrenchment restricts deployment of outside </w:t>
      </w:r>
      <w:r w:rsidRPr="003B5716">
        <w:lastRenderedPageBreak/>
        <w:t>entrepreneurial talent in favour of low-quality family members in key managerial roles, which increases the prosp</w:t>
      </w:r>
      <w:r w:rsidR="004F266B">
        <w:t>ect of expropriation (Buchanan and</w:t>
      </w:r>
      <w:r w:rsidRPr="003B5716">
        <w:t xml:space="preserve"> Yang, 2005; Perez-Gonzalez, 2006). Entrenchment can prevent family firms from responding promptly to underperformance and changing leadership (Dyer, 2006). Therefore, our second hypothesis posits a relationship between family cash flow rights and firm value: </w:t>
      </w:r>
    </w:p>
    <w:p w:rsidR="00F706BA" w:rsidRPr="003B5716" w:rsidRDefault="00F706BA" w:rsidP="00FC692F">
      <w:pPr>
        <w:spacing w:line="480" w:lineRule="auto"/>
        <w:ind w:firstLine="567"/>
      </w:pPr>
      <w:r w:rsidRPr="003B5716">
        <w:rPr>
          <w:b/>
        </w:rPr>
        <w:t>H1b.</w:t>
      </w:r>
      <w:r w:rsidRPr="003B5716">
        <w:t xml:space="preserve"> An inverted U-shape characterises the relation between firm value and family cash flow rights.</w:t>
      </w:r>
    </w:p>
    <w:p w:rsidR="00F706BA" w:rsidRPr="003B5716" w:rsidRDefault="00F706BA" w:rsidP="00FC692F">
      <w:pPr>
        <w:pStyle w:val="ListParagraph"/>
        <w:numPr>
          <w:ilvl w:val="1"/>
          <w:numId w:val="4"/>
        </w:numPr>
        <w:spacing w:line="480" w:lineRule="auto"/>
        <w:rPr>
          <w:b/>
        </w:rPr>
      </w:pPr>
      <w:r w:rsidRPr="003B5716">
        <w:rPr>
          <w:b/>
        </w:rPr>
        <w:t>Risk-taking in family firms</w:t>
      </w:r>
    </w:p>
    <w:p w:rsidR="00F706BA" w:rsidRPr="003B5716" w:rsidRDefault="00F706BA" w:rsidP="00452EFA">
      <w:pPr>
        <w:spacing w:line="480" w:lineRule="auto"/>
        <w:ind w:firstLine="567"/>
      </w:pPr>
      <w:r w:rsidRPr="003B5716">
        <w:t xml:space="preserve">We rationalize that firm value derives from controlling owners’ preference for risk. If individuals exhibit risk aversion in decision making when expected returns are equivalent, one would expect risk tolerance to increase in direct proportion to expected returns. Therefore, risk preference explains differences in the level and variance of expected returns on investments (March and </w:t>
      </w:r>
      <w:proofErr w:type="spellStart"/>
      <w:r w:rsidRPr="003B5716">
        <w:t>Shapira</w:t>
      </w:r>
      <w:proofErr w:type="spellEnd"/>
      <w:r w:rsidRPr="003B5716">
        <w:t xml:space="preserve">, 1987; </w:t>
      </w:r>
      <w:proofErr w:type="spellStart"/>
      <w:r w:rsidRPr="003B5716">
        <w:t>Shleifer</w:t>
      </w:r>
      <w:proofErr w:type="spellEnd"/>
      <w:r w:rsidRPr="003B5716">
        <w:t xml:space="preserve"> and </w:t>
      </w:r>
      <w:proofErr w:type="spellStart"/>
      <w:r w:rsidRPr="003B5716">
        <w:t>Vishny</w:t>
      </w:r>
      <w:proofErr w:type="spellEnd"/>
      <w:r w:rsidRPr="003B5716">
        <w:t>, 1986). However, the risk preferences of family controllers might incorporate other important familial objectives. Family ownership often promotes longer-term objectives, which raises involvement in entrepreneurial activities, for instance, expanding and renewing operations, and building on institutional capabilities (</w:t>
      </w:r>
      <w:proofErr w:type="spellStart"/>
      <w:r w:rsidRPr="003B5716">
        <w:t>Rogoff</w:t>
      </w:r>
      <w:proofErr w:type="spellEnd"/>
      <w:r w:rsidRPr="003B5716">
        <w:t xml:space="preserve"> </w:t>
      </w:r>
      <w:r w:rsidR="004F266B">
        <w:t>and</w:t>
      </w:r>
      <w:r w:rsidRPr="003B5716">
        <w:t xml:space="preserve"> Heck, 2003; Zahra</w:t>
      </w:r>
      <w:r w:rsidR="004F266B">
        <w:t xml:space="preserve"> et al, </w:t>
      </w:r>
      <w:r w:rsidRPr="003B5716">
        <w:t>1999). In contrast, the prospect of losing the benef</w:t>
      </w:r>
      <w:r w:rsidR="000E7CE0">
        <w:t xml:space="preserve">its of patrimony could induce </w:t>
      </w:r>
      <w:r w:rsidRPr="003B5716">
        <w:t>conservatism at family firms (</w:t>
      </w:r>
      <w:proofErr w:type="spellStart"/>
      <w:r w:rsidRPr="003B5716">
        <w:t>Naldi</w:t>
      </w:r>
      <w:proofErr w:type="spellEnd"/>
      <w:r w:rsidR="004F266B">
        <w:t xml:space="preserve"> et al, </w:t>
      </w:r>
      <w:r w:rsidRPr="003B5716">
        <w:t xml:space="preserve">2007). </w:t>
      </w:r>
      <w:r w:rsidR="008B091D" w:rsidRPr="00791F77">
        <w:t>A</w:t>
      </w:r>
      <w:r w:rsidR="008B091D">
        <w:t>gency theory offers a</w:t>
      </w:r>
      <w:r w:rsidR="008B091D" w:rsidRPr="00791F77">
        <w:t xml:space="preserve"> different notion of family risk taking</w:t>
      </w:r>
      <w:r w:rsidR="008B091D">
        <w:t xml:space="preserve">. </w:t>
      </w:r>
      <w:proofErr w:type="spellStart"/>
      <w:r w:rsidR="008B091D" w:rsidRPr="00791F77">
        <w:t>Lins</w:t>
      </w:r>
      <w:proofErr w:type="spellEnd"/>
      <w:r w:rsidR="004F266B">
        <w:t xml:space="preserve"> et al</w:t>
      </w:r>
      <w:r w:rsidR="008B091D" w:rsidRPr="00791F77">
        <w:t xml:space="preserve"> (2013) find that family-controlled firms underperform </w:t>
      </w:r>
      <w:r w:rsidR="008B091D">
        <w:t xml:space="preserve">due to </w:t>
      </w:r>
      <w:r w:rsidR="008B091D" w:rsidRPr="00791F77">
        <w:t xml:space="preserve">lowering investment to survive a financial crisis, </w:t>
      </w:r>
      <w:r w:rsidR="008B091D">
        <w:t xml:space="preserve">which is to the </w:t>
      </w:r>
      <w:r w:rsidR="008B091D" w:rsidRPr="00791F77">
        <w:t xml:space="preserve">detriment of outside shareholders.  </w:t>
      </w:r>
      <w:proofErr w:type="spellStart"/>
      <w:r w:rsidR="008B091D" w:rsidRPr="00791F77">
        <w:t>Attig</w:t>
      </w:r>
      <w:proofErr w:type="spellEnd"/>
      <w:r w:rsidR="004F266B">
        <w:t xml:space="preserve"> et al </w:t>
      </w:r>
      <w:r w:rsidR="008B091D" w:rsidRPr="00791F77">
        <w:t>(2016) find through a study of dividend policy, that family firms reduce cash holdings and cut investment expenditures even at times of high profitability</w:t>
      </w:r>
      <w:r w:rsidR="008B091D">
        <w:t xml:space="preserve">. This suggests </w:t>
      </w:r>
      <w:r w:rsidR="008B091D" w:rsidRPr="00791F77">
        <w:t xml:space="preserve">that the intrinsic reason for this behaviour is not the preservation of corporate resources but the extraction of private benefits. </w:t>
      </w:r>
      <w:proofErr w:type="spellStart"/>
      <w:r w:rsidR="008B091D" w:rsidRPr="00791F77">
        <w:t>Boubaker</w:t>
      </w:r>
      <w:proofErr w:type="spellEnd"/>
      <w:r w:rsidR="004F266B">
        <w:t xml:space="preserve"> et al </w:t>
      </w:r>
      <w:r w:rsidR="008B091D" w:rsidRPr="00791F77">
        <w:t>(2016) discuss that firms with a large</w:t>
      </w:r>
      <w:r w:rsidR="008B091D">
        <w:t xml:space="preserve"> </w:t>
      </w:r>
      <w:r w:rsidR="008B091D" w:rsidRPr="00791F77">
        <w:lastRenderedPageBreak/>
        <w:t xml:space="preserve">controlling shareholder take less corporate risk </w:t>
      </w:r>
      <w:r w:rsidR="008B091D">
        <w:t xml:space="preserve">because the dominant shareholder’s </w:t>
      </w:r>
      <w:r w:rsidR="008B091D" w:rsidRPr="00791F77">
        <w:t>investment is commonly not diversified</w:t>
      </w:r>
      <w:r w:rsidR="008B091D">
        <w:t xml:space="preserve">, which acts to </w:t>
      </w:r>
      <w:r w:rsidR="008B091D" w:rsidRPr="00791F77">
        <w:t>incentivis</w:t>
      </w:r>
      <w:r w:rsidR="008B091D">
        <w:t xml:space="preserve">e </w:t>
      </w:r>
      <w:r w:rsidR="008B091D" w:rsidRPr="00791F77">
        <w:t xml:space="preserve">the appropriation of existing wealth as opposed to the innovation to produce wealth. This effect is more compelling in family firms </w:t>
      </w:r>
      <w:r w:rsidR="008B091D">
        <w:t xml:space="preserve">because normally </w:t>
      </w:r>
      <w:r w:rsidR="008B091D" w:rsidRPr="00791F77">
        <w:t>holdings are less diversified.</w:t>
      </w:r>
      <w:r w:rsidR="002D31DB">
        <w:t xml:space="preserve"> </w:t>
      </w:r>
      <w:r w:rsidRPr="003B5716">
        <w:t>The empirical record on risk-taking by family firms is ambiguous due partly to incongruent definitions of risk (</w:t>
      </w:r>
      <w:proofErr w:type="spellStart"/>
      <w:r w:rsidRPr="003B5716">
        <w:t>Huybrechts</w:t>
      </w:r>
      <w:proofErr w:type="spellEnd"/>
      <w:r w:rsidR="004F266B">
        <w:t xml:space="preserve"> et al, </w:t>
      </w:r>
      <w:r w:rsidRPr="003B5716">
        <w:t xml:space="preserve">2013). We incorporate this result into our analytical framework and decompose risk into constituents to control for variation in risk-taking resulting from different </w:t>
      </w:r>
      <w:r w:rsidR="002170A3">
        <w:t>family</w:t>
      </w:r>
      <w:r w:rsidR="002170A3" w:rsidRPr="003B5716">
        <w:t xml:space="preserve"> </w:t>
      </w:r>
      <w:r w:rsidRPr="003B5716">
        <w:t xml:space="preserve">objectives.  </w:t>
      </w:r>
    </w:p>
    <w:p w:rsidR="00366565" w:rsidRDefault="00F706BA" w:rsidP="002D31DB">
      <w:pPr>
        <w:spacing w:line="480" w:lineRule="auto"/>
        <w:ind w:firstLine="567"/>
        <w:contextualSpacing/>
      </w:pPr>
      <w:r w:rsidRPr="003B5716">
        <w:t xml:space="preserve">We conjecture that Mexico’s family firms perceive family control as a rational way of safeguarding resources for heirs. Following </w:t>
      </w:r>
      <w:proofErr w:type="spellStart"/>
      <w:r w:rsidRPr="003B5716">
        <w:t>Gómez-Mejía</w:t>
      </w:r>
      <w:proofErr w:type="spellEnd"/>
      <w:r w:rsidRPr="003B5716">
        <w:t xml:space="preserve"> et al (2007, 2011)</w:t>
      </w:r>
      <w:r w:rsidR="000B59EB">
        <w:t>,</w:t>
      </w:r>
      <w:r w:rsidRPr="003B5716">
        <w:t xml:space="preserve"> we view the risk-preference of family firms as a mixture of two types of risk: performance hazard risk and venturing risk. </w:t>
      </w:r>
      <w:r w:rsidR="000B59EB" w:rsidRPr="00791F77">
        <w:t>Based on behavioural theory, performance hazard risk encapsulates the familial objective to preserve SEW although it increases the probability of below-target performance and bankruptcy. Under this premise, family controllers prefer to avoid a loss, especially when it refers to their socioemotional wealth</w:t>
      </w:r>
      <w:r w:rsidR="000B59EB">
        <w:t xml:space="preserve">. Therefore, family controllers are </w:t>
      </w:r>
      <w:r w:rsidR="000B59EB" w:rsidRPr="00791F77">
        <w:t xml:space="preserve">likely to accept threats to the firm's financial health (i.e., a greater probability of failure and below-target performance) to prevent that loss </w:t>
      </w:r>
      <w:r w:rsidR="000B59EB">
        <w:t xml:space="preserve">to SEW </w:t>
      </w:r>
      <w:r w:rsidR="000B59EB" w:rsidRPr="00791F77">
        <w:t>(e.g.</w:t>
      </w:r>
      <w:r w:rsidR="000B59EB">
        <w:t>,</w:t>
      </w:r>
      <w:r w:rsidR="000B59EB" w:rsidRPr="00791F77">
        <w:t xml:space="preserve"> acceptance of credit at high interest rates as an alternative of giving up equity to new investors). Gomez-Mejia et al (2007)</w:t>
      </w:r>
      <w:r w:rsidR="000B59EB">
        <w:t xml:space="preserve"> explain that </w:t>
      </w:r>
      <w:r w:rsidR="000B59EB" w:rsidRPr="00791F77">
        <w:t xml:space="preserve">this behaviour </w:t>
      </w:r>
      <w:r w:rsidR="000B59EB">
        <w:t xml:space="preserve">may appear </w:t>
      </w:r>
      <w:r w:rsidR="000B59EB" w:rsidRPr="00791F77">
        <w:t xml:space="preserve">irrational </w:t>
      </w:r>
      <w:r w:rsidR="000B59EB">
        <w:t xml:space="preserve">because </w:t>
      </w:r>
      <w:r w:rsidR="000B59EB" w:rsidRPr="00791F77">
        <w:t>organizational failure implies the loss of all socioemotional wealth</w:t>
      </w:r>
      <w:r w:rsidR="000B59EB">
        <w:t xml:space="preserve">. Nevertheless, family </w:t>
      </w:r>
      <w:r w:rsidR="000B59EB" w:rsidRPr="00791F77">
        <w:t xml:space="preserve">firms </w:t>
      </w:r>
      <w:r w:rsidR="000B59EB">
        <w:t xml:space="preserve">may </w:t>
      </w:r>
      <w:r w:rsidR="000B59EB" w:rsidRPr="00791F77">
        <w:t>willing</w:t>
      </w:r>
      <w:r w:rsidR="000B59EB">
        <w:t xml:space="preserve">ly assume </w:t>
      </w:r>
      <w:r w:rsidR="000B59EB" w:rsidRPr="00791F77">
        <w:t>performance hazard risk with the aim of preserving control of the family business</w:t>
      </w:r>
      <w:r w:rsidR="000B59EB">
        <w:t>,</w:t>
      </w:r>
      <w:r w:rsidR="000B59EB" w:rsidRPr="00791F77">
        <w:t xml:space="preserve"> under the belief that the</w:t>
      </w:r>
      <w:r w:rsidR="000B59EB">
        <w:t>y can manage the</w:t>
      </w:r>
      <w:r w:rsidR="000B59EB" w:rsidRPr="00791F77">
        <w:t xml:space="preserve"> acquired risk eventually as it originates from inside the organization (</w:t>
      </w:r>
      <w:proofErr w:type="spellStart"/>
      <w:r w:rsidR="000B59EB" w:rsidRPr="00791F77">
        <w:t>Shapira</w:t>
      </w:r>
      <w:proofErr w:type="spellEnd"/>
      <w:r w:rsidR="000B59EB" w:rsidRPr="00791F77">
        <w:t>, 1992)</w:t>
      </w:r>
      <w:r w:rsidR="000B59EB">
        <w:t xml:space="preserve">. </w:t>
      </w:r>
      <w:r w:rsidRPr="003B5716">
        <w:t xml:space="preserve">In contrast, family controllers assume venturing risks to improve firm performance when performance falls short of a desired level. Given these are forward-looking risks, firms face more variable and uncertain performance </w:t>
      </w:r>
      <w:r w:rsidRPr="003B5716">
        <w:lastRenderedPageBreak/>
        <w:t>outcomes. A priori family firms willingly tolerate performance hazard risk if it preserves SEW but demonstrate aversion to venturing risk (</w:t>
      </w:r>
      <w:proofErr w:type="spellStart"/>
      <w:r w:rsidRPr="003B5716">
        <w:t>Berrone</w:t>
      </w:r>
      <w:proofErr w:type="spellEnd"/>
      <w:r w:rsidRPr="003B5716">
        <w:t xml:space="preserve"> et al, 2012). </w:t>
      </w:r>
    </w:p>
    <w:p w:rsidR="00F706BA" w:rsidRPr="003B5716" w:rsidRDefault="00F706BA" w:rsidP="00FC692F">
      <w:pPr>
        <w:spacing w:line="480" w:lineRule="auto"/>
        <w:ind w:firstLine="567"/>
      </w:pPr>
      <w:r w:rsidRPr="003B5716">
        <w:t xml:space="preserve">Therefore, our analytical framework does not presume that family controllers take additional risks in expectation of higher returns. Rather, risk-tolerance maybe indicative of the objective to prioritise firm survival over value maximisation. Although risk-aversion could indicate failure to implement profitable growth strategies </w:t>
      </w:r>
      <w:r w:rsidR="004F266B">
        <w:t>(</w:t>
      </w:r>
      <w:proofErr w:type="spellStart"/>
      <w:r w:rsidR="004F266B">
        <w:t>Fama</w:t>
      </w:r>
      <w:proofErr w:type="spellEnd"/>
      <w:r w:rsidR="004F266B">
        <w:t xml:space="preserve"> and</w:t>
      </w:r>
      <w:r w:rsidR="00453DDA">
        <w:t xml:space="preserve"> Jensen, 1983; </w:t>
      </w:r>
      <w:proofErr w:type="spellStart"/>
      <w:r w:rsidR="00453DDA">
        <w:t>Morck</w:t>
      </w:r>
      <w:proofErr w:type="spellEnd"/>
      <w:r w:rsidR="00453DDA">
        <w:t xml:space="preserve"> et al</w:t>
      </w:r>
      <w:r w:rsidRPr="003B5716">
        <w:t>, 2000; Campbell</w:t>
      </w:r>
      <w:r w:rsidR="004F266B">
        <w:t xml:space="preserve"> et al, </w:t>
      </w:r>
      <w:r w:rsidRPr="003B5716">
        <w:t>2001), family firms in the US manage the inherent risks of growth strategies by using more affiliate directors in an advisory capacity that does not reduce the role of family controllers (Jones</w:t>
      </w:r>
      <w:r w:rsidR="004F266B">
        <w:t xml:space="preserve"> et al, </w:t>
      </w:r>
      <w:r w:rsidRPr="003B5716">
        <w:t>2008).</w:t>
      </w:r>
    </w:p>
    <w:p w:rsidR="00F706BA" w:rsidRPr="003B5716" w:rsidRDefault="00F706BA" w:rsidP="00FC692F">
      <w:pPr>
        <w:spacing w:line="480" w:lineRule="auto"/>
        <w:ind w:firstLine="567"/>
      </w:pPr>
      <w:r w:rsidRPr="003B5716">
        <w:t xml:space="preserve">Drawing on the preceding arguments, our final hypothesis posits that family firms are more risk tolerant than non-family firms, because the strategic objective of family firms is to preserve </w:t>
      </w:r>
      <w:proofErr w:type="gramStart"/>
      <w:r w:rsidRPr="003B5716">
        <w:t>SEW</w:t>
      </w:r>
      <w:proofErr w:type="gramEnd"/>
      <w:r w:rsidRPr="003B5716">
        <w:t>. Our analysis will shed light on which type of risk matters most for family firms in Mexico.</w:t>
      </w:r>
    </w:p>
    <w:p w:rsidR="00F706BA" w:rsidRPr="003B5716" w:rsidRDefault="00F706BA" w:rsidP="00FC692F">
      <w:pPr>
        <w:spacing w:line="480" w:lineRule="auto"/>
        <w:ind w:firstLine="567"/>
      </w:pPr>
      <w:r w:rsidRPr="003B5716">
        <w:rPr>
          <w:b/>
        </w:rPr>
        <w:t>H2a</w:t>
      </w:r>
      <w:r w:rsidRPr="003B5716">
        <w:t>. Family firms in Mexico take more</w:t>
      </w:r>
      <w:r w:rsidR="008939DA">
        <w:t xml:space="preserve"> </w:t>
      </w:r>
      <w:r w:rsidRPr="003B5716">
        <w:t>risk than non-family.</w:t>
      </w:r>
    </w:p>
    <w:p w:rsidR="00F706BA" w:rsidRPr="003B5716" w:rsidRDefault="00F706BA" w:rsidP="00FC692F">
      <w:pPr>
        <w:spacing w:line="480" w:lineRule="auto"/>
        <w:ind w:firstLine="567"/>
      </w:pPr>
      <w:r w:rsidRPr="003B5716">
        <w:rPr>
          <w:b/>
        </w:rPr>
        <w:t>H2b</w:t>
      </w:r>
      <w:r w:rsidRPr="003B5716">
        <w:t xml:space="preserve">. Risk-taking in family firms reflects the strategic objective of protecting patrimony over value maximisation. </w:t>
      </w:r>
    </w:p>
    <w:p w:rsidR="00F706BA" w:rsidRPr="003B5716" w:rsidRDefault="00F706BA" w:rsidP="00FC692F">
      <w:pPr>
        <w:pStyle w:val="ListParagraph"/>
        <w:numPr>
          <w:ilvl w:val="0"/>
          <w:numId w:val="4"/>
        </w:numPr>
        <w:spacing w:line="480" w:lineRule="auto"/>
        <w:rPr>
          <w:b/>
          <w:bCs/>
        </w:rPr>
      </w:pPr>
      <w:r w:rsidRPr="003B5716">
        <w:rPr>
          <w:b/>
          <w:bCs/>
        </w:rPr>
        <w:t>Data</w:t>
      </w:r>
    </w:p>
    <w:p w:rsidR="00F706BA" w:rsidRPr="003B5716" w:rsidRDefault="00F706BA" w:rsidP="00FC692F">
      <w:pPr>
        <w:spacing w:line="480" w:lineRule="auto"/>
        <w:ind w:firstLine="567"/>
      </w:pPr>
      <w:r w:rsidRPr="003B5716">
        <w:t xml:space="preserve">Initially we sample all non-financial publicly listed firms on the Mexican Stock Exchange during 2006 (112 out of 134 firms). Non-availability of some reports reduces the sample to 101 firms in 2006. The final dataset contains </w:t>
      </w:r>
      <w:r w:rsidR="00E62D52">
        <w:t>874</w:t>
      </w:r>
      <w:r w:rsidRPr="003B5716">
        <w:t xml:space="preserve"> firm-year observations distributed as firms (year): 88 (2004); 98(2005); 101 (2006); 97 (2007); 90 (2008); 87 (2009); 84 (2010)</w:t>
      </w:r>
      <w:r w:rsidR="00B17F5D">
        <w:t>; 79 (2011); 77 (2012); and 7</w:t>
      </w:r>
      <w:r w:rsidR="00E62D52">
        <w:t>3</w:t>
      </w:r>
      <w:r w:rsidR="00B17F5D">
        <w:t xml:space="preserve"> (2013). </w:t>
      </w:r>
      <w:r w:rsidRPr="003B5716">
        <w:t>We obtain ownership and board structure information, and market and financial data from annual reports and DataStream, respectively.</w:t>
      </w:r>
    </w:p>
    <w:p w:rsidR="00F706BA" w:rsidRPr="003B5716" w:rsidRDefault="00F706BA" w:rsidP="00FC692F">
      <w:pPr>
        <w:spacing w:line="480" w:lineRule="auto"/>
        <w:ind w:firstLine="567"/>
      </w:pPr>
      <w:r w:rsidRPr="003B5716">
        <w:lastRenderedPageBreak/>
        <w:t xml:space="preserve">Investigating relationships involving family firms and their value and risk-taking requires suitable proxies for value and risk. To measure value, we use </w:t>
      </w:r>
      <w:r w:rsidRPr="003B5716">
        <w:rPr>
          <w:i/>
        </w:rPr>
        <w:t xml:space="preserve">Tobin’s Q </w:t>
      </w:r>
      <w:r w:rsidRPr="003B5716">
        <w:t xml:space="preserve">– (total assets - book value of equity + market value of equity) / total assets); for robustness we employ a second value indicator - the </w:t>
      </w:r>
      <w:r w:rsidRPr="003B5716">
        <w:rPr>
          <w:i/>
        </w:rPr>
        <w:t>market-to-book ratio of equity</w:t>
      </w:r>
      <w:r w:rsidRPr="003B5716">
        <w:t xml:space="preserve">. </w:t>
      </w:r>
    </w:p>
    <w:p w:rsidR="00B2792D" w:rsidRDefault="00B2792D" w:rsidP="00F01EFD">
      <w:pPr>
        <w:spacing w:line="480" w:lineRule="auto"/>
        <w:ind w:firstLine="567"/>
      </w:pPr>
      <w:r w:rsidRPr="00AF12F6">
        <w:rPr>
          <w:rStyle w:val="apple-converted-space"/>
          <w:rFonts w:eastAsia="MS PGothic"/>
          <w:color w:val="000000"/>
        </w:rPr>
        <w:t xml:space="preserve">It is challenging to find proxy indicators of performance hazard risk and venturing risk because most risk indicators contain elements of each risk. Therefore, we follow </w:t>
      </w:r>
      <w:proofErr w:type="spellStart"/>
      <w:r w:rsidRPr="00AF12F6">
        <w:rPr>
          <w:rStyle w:val="apple-converted-space"/>
          <w:rFonts w:eastAsia="MS PGothic"/>
          <w:color w:val="000000"/>
        </w:rPr>
        <w:t>Gómez-Mejía</w:t>
      </w:r>
      <w:proofErr w:type="spellEnd"/>
      <w:r w:rsidRPr="00AF12F6">
        <w:rPr>
          <w:rStyle w:val="apple-converted-space"/>
          <w:rFonts w:eastAsia="MS PGothic"/>
          <w:color w:val="000000"/>
        </w:rPr>
        <w:t xml:space="preserve"> et al (2007) and proxy for performance hazard using the natural logarithm of sales</w:t>
      </w:r>
      <w:r w:rsidRPr="00AF12F6">
        <w:rPr>
          <w:rStyle w:val="apple-converted-space"/>
          <w:rFonts w:eastAsia="MS PGothic"/>
          <w:color w:val="000000"/>
          <w:vertAlign w:val="subscript"/>
        </w:rPr>
        <w:t>t-1</w:t>
      </w:r>
      <w:r w:rsidRPr="00AF12F6">
        <w:rPr>
          <w:rStyle w:val="apple-converted-space"/>
          <w:rFonts w:eastAsia="MS PGothic"/>
          <w:color w:val="000000"/>
        </w:rPr>
        <w:t>-to-sales</w:t>
      </w:r>
      <w:r w:rsidRPr="00AF12F6">
        <w:rPr>
          <w:rStyle w:val="apple-converted-space"/>
          <w:rFonts w:eastAsia="MS PGothic"/>
          <w:color w:val="000000"/>
          <w:vertAlign w:val="subscript"/>
        </w:rPr>
        <w:t>t</w:t>
      </w:r>
      <w:r w:rsidRPr="00AF12F6">
        <w:rPr>
          <w:rStyle w:val="apple-converted-space"/>
          <w:rFonts w:eastAsia="MS PGothic"/>
          <w:color w:val="000000"/>
        </w:rPr>
        <w:t>, this measure conceptualizes the possibility of negative outcomes</w:t>
      </w:r>
      <w:r>
        <w:rPr>
          <w:rStyle w:val="apple-converted-space"/>
          <w:rFonts w:eastAsia="MS PGothic"/>
          <w:color w:val="000000"/>
        </w:rPr>
        <w:t>,</w:t>
      </w:r>
      <w:r w:rsidRPr="00AF12F6">
        <w:rPr>
          <w:rStyle w:val="apple-converted-space"/>
          <w:rFonts w:eastAsia="MS PGothic"/>
          <w:color w:val="000000"/>
        </w:rPr>
        <w:t xml:space="preserve"> such as</w:t>
      </w:r>
      <w:r>
        <w:rPr>
          <w:rStyle w:val="apple-converted-space"/>
          <w:rFonts w:eastAsia="MS PGothic"/>
          <w:color w:val="000000"/>
        </w:rPr>
        <w:t>,</w:t>
      </w:r>
      <w:r w:rsidRPr="00AF12F6">
        <w:rPr>
          <w:rStyle w:val="apple-converted-space"/>
          <w:rFonts w:eastAsia="MS PGothic"/>
          <w:color w:val="000000"/>
        </w:rPr>
        <w:t xml:space="preserve"> the reduction of target achievements. Negative values indicate increasing performance (represented by sales), while positive ones are representative of decreasing performance. Hence, this variable increases as firm performance declines. </w:t>
      </w:r>
      <w:r>
        <w:rPr>
          <w:rStyle w:val="apple-converted-space"/>
          <w:rFonts w:eastAsia="MS PGothic"/>
          <w:color w:val="000000"/>
        </w:rPr>
        <w:t xml:space="preserve">Our indicator of venturing risk is termed </w:t>
      </w:r>
      <w:r w:rsidRPr="00AF12F6">
        <w:rPr>
          <w:rStyle w:val="apple-converted-space"/>
          <w:rFonts w:eastAsia="MS PGothic"/>
          <w:color w:val="000000"/>
        </w:rPr>
        <w:t>firm risk</w:t>
      </w:r>
      <w:r>
        <w:rPr>
          <w:rStyle w:val="apple-converted-space"/>
          <w:rFonts w:eastAsia="MS PGothic"/>
          <w:color w:val="000000"/>
        </w:rPr>
        <w:t xml:space="preserve">. We specify the </w:t>
      </w:r>
      <w:r w:rsidRPr="00AF12F6">
        <w:rPr>
          <w:rStyle w:val="apple-converted-space"/>
          <w:rFonts w:eastAsia="MS PGothic"/>
          <w:color w:val="000000"/>
        </w:rPr>
        <w:t>market model to estimat</w:t>
      </w:r>
      <w:r>
        <w:rPr>
          <w:rStyle w:val="apple-converted-space"/>
          <w:rFonts w:eastAsia="MS PGothic"/>
          <w:color w:val="000000"/>
        </w:rPr>
        <w:t xml:space="preserve">e beta to proxy systematic risk, and calculate </w:t>
      </w:r>
      <w:r w:rsidRPr="00AF12F6">
        <w:rPr>
          <w:rStyle w:val="apple-converted-space"/>
          <w:rFonts w:eastAsia="MS PGothic"/>
          <w:color w:val="000000"/>
        </w:rPr>
        <w:t xml:space="preserve">firm risk </w:t>
      </w:r>
      <w:r>
        <w:rPr>
          <w:rStyle w:val="apple-converted-space"/>
          <w:rFonts w:eastAsia="MS PGothic"/>
          <w:color w:val="000000"/>
        </w:rPr>
        <w:t xml:space="preserve">from </w:t>
      </w:r>
      <w:r w:rsidRPr="00AF12F6">
        <w:rPr>
          <w:rStyle w:val="apple-converted-space"/>
          <w:rFonts w:eastAsia="MS PGothic"/>
          <w:color w:val="000000"/>
        </w:rPr>
        <w:t xml:space="preserve">the standard deviation of the residuals of the regression. Venturing risk represents the actions that firms follow when performance falls below target, which also increases the likelihood of unexpected outcomes, causing variance in performance. Such variance arises when </w:t>
      </w:r>
      <w:r>
        <w:rPr>
          <w:rStyle w:val="apple-converted-space"/>
          <w:rFonts w:eastAsia="MS PGothic"/>
          <w:color w:val="000000"/>
        </w:rPr>
        <w:t xml:space="preserve">firms pursue </w:t>
      </w:r>
      <w:r w:rsidRPr="00AF12F6">
        <w:rPr>
          <w:rStyle w:val="apple-converted-space"/>
          <w:rFonts w:eastAsia="MS PGothic"/>
          <w:color w:val="000000"/>
        </w:rPr>
        <w:t>projects with uncertain returns</w:t>
      </w:r>
      <w:r>
        <w:rPr>
          <w:rStyle w:val="apple-converted-space"/>
          <w:rFonts w:eastAsia="MS PGothic"/>
          <w:color w:val="000000"/>
        </w:rPr>
        <w:t>,</w:t>
      </w:r>
      <w:r w:rsidRPr="00AF12F6">
        <w:rPr>
          <w:rStyle w:val="apple-converted-space"/>
          <w:rFonts w:eastAsia="MS PGothic"/>
          <w:color w:val="000000"/>
        </w:rPr>
        <w:t xml:space="preserve"> but with an upside potential</w:t>
      </w:r>
      <w:r>
        <w:rPr>
          <w:rStyle w:val="apple-converted-space"/>
          <w:rFonts w:eastAsia="MS PGothic"/>
          <w:color w:val="000000"/>
        </w:rPr>
        <w:t>,</w:t>
      </w:r>
      <w:r w:rsidRPr="00AF12F6">
        <w:rPr>
          <w:rStyle w:val="apple-converted-space"/>
          <w:rFonts w:eastAsia="MS PGothic"/>
          <w:color w:val="000000"/>
        </w:rPr>
        <w:t xml:space="preserve"> in search of improving firm performance. We define total risk as </w:t>
      </w:r>
      <w:proofErr w:type="spellStart"/>
      <w:r w:rsidRPr="00AF12F6">
        <w:rPr>
          <w:rStyle w:val="apple-converted-space"/>
          <w:rFonts w:eastAsia="MS PGothic"/>
          <w:color w:val="000000"/>
        </w:rPr>
        <w:t>Pathan’s</w:t>
      </w:r>
      <w:proofErr w:type="spellEnd"/>
      <w:r w:rsidRPr="00AF12F6">
        <w:rPr>
          <w:rStyle w:val="apple-converted-space"/>
          <w:rFonts w:eastAsia="MS PGothic"/>
          <w:color w:val="000000"/>
        </w:rPr>
        <w:t xml:space="preserve"> (2009) asset return risk indicator; the standard deviation of daily stock returns in year </w:t>
      </w:r>
      <w:r w:rsidRPr="00C70B0B">
        <w:rPr>
          <w:rStyle w:val="apple-converted-space"/>
          <w:rFonts w:eastAsia="MS PGothic"/>
          <w:i/>
          <w:color w:val="000000"/>
        </w:rPr>
        <w:t>t</w:t>
      </w:r>
      <w:r w:rsidRPr="00AF12F6">
        <w:rPr>
          <w:rStyle w:val="apple-converted-space"/>
          <w:rFonts w:eastAsia="MS PGothic"/>
          <w:color w:val="000000"/>
        </w:rPr>
        <w:t xml:space="preserve"> (total risk) times the annual ratio of market value of equity-to-book value of total assets of year </w:t>
      </w:r>
      <w:r w:rsidRPr="0057074C">
        <w:rPr>
          <w:rStyle w:val="apple-converted-space"/>
          <w:rFonts w:eastAsia="MS PGothic"/>
          <w:i/>
          <w:color w:val="000000"/>
        </w:rPr>
        <w:t>t</w:t>
      </w:r>
      <w:r w:rsidRPr="00AF12F6">
        <w:rPr>
          <w:rStyle w:val="apple-converted-space"/>
          <w:rFonts w:eastAsia="MS PGothic"/>
          <w:color w:val="000000"/>
        </w:rPr>
        <w:t xml:space="preserve"> times the square-root of 250 (number of trading days in a year). Total risk represents a composite of different types of risks that a firm takes and defines the general risk preferences of the corporation.</w:t>
      </w:r>
    </w:p>
    <w:p w:rsidR="00F706BA" w:rsidRPr="003B5716" w:rsidRDefault="00F706BA" w:rsidP="00FC692F">
      <w:pPr>
        <w:spacing w:line="480" w:lineRule="auto"/>
        <w:ind w:firstLine="567"/>
      </w:pPr>
      <w:r w:rsidRPr="003B5716">
        <w:t>To measure family control we identify the largest shareholder holding the majority of voting rights at a controlling threshold of 20% from annual reports. Our choice of threshold follows evidence that owners exert significant influence over firms at this level (</w:t>
      </w:r>
      <w:proofErr w:type="spellStart"/>
      <w:r w:rsidRPr="003B5716">
        <w:t>Claessens</w:t>
      </w:r>
      <w:proofErr w:type="spellEnd"/>
      <w:r w:rsidRPr="003B5716">
        <w:t xml:space="preserve"> </w:t>
      </w:r>
      <w:r w:rsidRPr="003B5716">
        <w:lastRenderedPageBreak/>
        <w:t xml:space="preserve">et al, 2002; La </w:t>
      </w:r>
      <w:proofErr w:type="spellStart"/>
      <w:r w:rsidRPr="003B5716">
        <w:t>Porta</w:t>
      </w:r>
      <w:proofErr w:type="spellEnd"/>
      <w:r w:rsidRPr="003B5716">
        <w:t xml:space="preserve"> et al, 2002). A binary variable identifies family-owned firms and equals one if the ultimate controller in the control chain is an individual, zero otherwise. Therefore, an ultimate controller is the shareholder owning the largest direct or indirect stake of voting rights. Ultimate control occurs when control rights exceed their cash flow rights through deviations from the one share–one vote rule, pyramiding and cross-holdings (</w:t>
      </w:r>
      <w:proofErr w:type="spellStart"/>
      <w:r w:rsidRPr="003B5716">
        <w:t>Faccio</w:t>
      </w:r>
      <w:proofErr w:type="spellEnd"/>
      <w:r w:rsidRPr="003B5716">
        <w:t xml:space="preserve"> </w:t>
      </w:r>
      <w:r w:rsidR="004F266B">
        <w:t>and</w:t>
      </w:r>
      <w:r w:rsidRPr="003B5716">
        <w:t xml:space="preserve"> Lang, 2002). A family in ultimate control holds a minimum of 20% of the controlling stake in the firm. Individuals are not in ultimate control at non-family concerns, which are held by the State, a voting trust (except when it is a family voting trust), or another corporation. We construct family corporate ownership [FCO] around the cash flow rights of a controlling family, and measure cash flow ownership over a scale of ten intervals each spanning ten percentage points: 1 represents the lowest (&gt;0% to &lt;10%) and 10 the highest range (90% to 100%) of cash flow ownership.</w:t>
      </w:r>
    </w:p>
    <w:p w:rsidR="00F706BA" w:rsidRPr="003B5716" w:rsidRDefault="00F706BA" w:rsidP="00FC692F">
      <w:pPr>
        <w:spacing w:line="480" w:lineRule="auto"/>
        <w:ind w:firstLine="567"/>
      </w:pPr>
      <w:r w:rsidRPr="003B5716">
        <w:t xml:space="preserve">Following </w:t>
      </w:r>
      <w:proofErr w:type="spellStart"/>
      <w:r w:rsidRPr="003B5716">
        <w:t>Villalonga</w:t>
      </w:r>
      <w:proofErr w:type="spellEnd"/>
      <w:r w:rsidRPr="003B5716">
        <w:t xml:space="preserve"> and </w:t>
      </w:r>
      <w:proofErr w:type="spellStart"/>
      <w:r w:rsidRPr="003B5716">
        <w:t>Amit</w:t>
      </w:r>
      <w:proofErr w:type="spellEnd"/>
      <w:r w:rsidRPr="003B5716">
        <w:t xml:space="preserve"> (2006), a binary variable (CEM) signals use of control mechanisms. CEM equals one if an ultimate controller enhances control through any of the following mechanisms: (</w:t>
      </w:r>
      <w:proofErr w:type="spellStart"/>
      <w:r w:rsidRPr="003B5716">
        <w:t>i</w:t>
      </w:r>
      <w:proofErr w:type="spellEnd"/>
      <w:r w:rsidRPr="003B5716">
        <w:t xml:space="preserve">) dual class shares: when shares carry limited voting rights for Mexican and foreign investors; (ii) pyramids: we deem control of Firm Y by pyramiding if the ultimate owner controls Y indirectly through another corporation that is not wholly controlled. Pyramiding implies a discrepancy exists between the largest shareholder’s control and ownership rights; (iii) multiple control chains: In Mexico, families consolidate their holding power through intra-familial agreements. </w:t>
      </w:r>
    </w:p>
    <w:p w:rsidR="00F706BA" w:rsidRPr="003B5716" w:rsidRDefault="00F706BA" w:rsidP="00FC692F">
      <w:pPr>
        <w:spacing w:line="480" w:lineRule="auto"/>
        <w:ind w:firstLine="567"/>
      </w:pPr>
      <w:r w:rsidRPr="003B5716">
        <w:t>We construct the BD Index to proxy the structure of the board of directors and control for inter-firm variation in corporate governance. BD increases by one unit if a firm complies with any of four good corporate governance practices recommended by the MCCG: (</w:t>
      </w:r>
      <w:proofErr w:type="spellStart"/>
      <w:r w:rsidRPr="003B5716">
        <w:t>i</w:t>
      </w:r>
      <w:proofErr w:type="spellEnd"/>
      <w:r w:rsidRPr="003B5716">
        <w:t xml:space="preserve">) Board size - the number of board members (excluding deputies but including the chairperson). BD increases by one if board size ranges from five to </w:t>
      </w:r>
      <w:r w:rsidR="002E45B9">
        <w:t>fifteen</w:t>
      </w:r>
      <w:r w:rsidRPr="003B5716">
        <w:t xml:space="preserve"> members; </w:t>
      </w:r>
      <w:r w:rsidRPr="003B5716">
        <w:lastRenderedPageBreak/>
        <w:t>(ii) Independenc</w:t>
      </w:r>
      <w:r w:rsidR="0028598F">
        <w:t>e</w:t>
      </w:r>
      <w:r w:rsidRPr="003B5716">
        <w:t xml:space="preserve"> - the ratio of independent directors-to-board size. Independent directors should not hold links to a firm and in the case of family firms are not family members. BD increases by one if the ratio equals at least 20%; (iii) Board experience - the ratio of the number of public directorships held by board members-to-board size. BD increases by one if the experience indicator lies between one and three. Boards become busier when members hold three or more directorships (Ferris</w:t>
      </w:r>
      <w:r w:rsidR="004F266B">
        <w:t xml:space="preserve"> et al, </w:t>
      </w:r>
      <w:r w:rsidRPr="003B5716">
        <w:t>2003); and (</w:t>
      </w:r>
      <w:proofErr w:type="gramStart"/>
      <w:r w:rsidRPr="003B5716">
        <w:t>iv</w:t>
      </w:r>
      <w:proofErr w:type="gramEnd"/>
      <w:r w:rsidRPr="003B5716">
        <w:t>) CEO-Chair</w:t>
      </w:r>
      <w:r w:rsidR="0028598F">
        <w:t xml:space="preserve">person </w:t>
      </w:r>
      <w:r w:rsidRPr="003B5716">
        <w:t xml:space="preserve">duality. BD increases by one when firms separate the roles of CEO and chairperson. </w:t>
      </w:r>
    </w:p>
    <w:p w:rsidR="00F706BA" w:rsidRPr="003B5716" w:rsidRDefault="00F706BA" w:rsidP="00FC692F">
      <w:pPr>
        <w:spacing w:line="480" w:lineRule="auto"/>
        <w:ind w:firstLine="567"/>
      </w:pPr>
      <w:r w:rsidRPr="003B5716">
        <w:t xml:space="preserve">Our regressions specify firm-level controls. Leverage is the ratio of total debt-to-market value of equity. The natural logarithm of total assets is proxy for size. In addition to conflicts of interest between owners and managers, agency theory identifies conflicts between equity holders and debt holders since debt contracts incentivise equity holders to invest in a sub-optimal manner. An asymmetric distribution of gains in favour of equity holders could encourage risk-taking even if investments prove to be value-decreasing (Harris </w:t>
      </w:r>
      <w:r w:rsidR="004F266B">
        <w:t>and</w:t>
      </w:r>
      <w:r w:rsidRPr="003B5716">
        <w:t xml:space="preserve"> </w:t>
      </w:r>
      <w:proofErr w:type="spellStart"/>
      <w:r w:rsidRPr="003B5716">
        <w:t>Raviv</w:t>
      </w:r>
      <w:proofErr w:type="spellEnd"/>
      <w:r w:rsidRPr="003B5716">
        <w:t>, 1991). Implicitly, increasing debt could signal a defensive strategy by equity holders because new debt issues lessens the probability that controllers will be voted out. It suggests the motivation of controllers is to secure private benefits. However, issuing debt could retard private benefits because the probability of bankruptcy is increasing in debt, ultimately erasing benefits, whilst debt covenants serve to constrain</w:t>
      </w:r>
      <w:r w:rsidR="004F266B">
        <w:t xml:space="preserve"> the control of owners (Harris and</w:t>
      </w:r>
      <w:r w:rsidRPr="003B5716">
        <w:t xml:space="preserve"> </w:t>
      </w:r>
      <w:proofErr w:type="spellStart"/>
      <w:r w:rsidRPr="003B5716">
        <w:t>Raviv</w:t>
      </w:r>
      <w:proofErr w:type="spellEnd"/>
      <w:r w:rsidRPr="003B5716">
        <w:t xml:space="preserve">, 1988). Similarly, the free cash flow hypothesis posits that commitment to pay out future cash flows to debt holders constrains the accrual of benefits to equity holders (Jensen, 1986). We elect to allow the data to reveal the relationship between firm value and leverage for Mexican firms, but expect a positive relation between leverage and our measure of venturing risk assuming managers transfer resources from bondholders to shareholders (Leland, 1998). </w:t>
      </w:r>
    </w:p>
    <w:p w:rsidR="00F706BA" w:rsidRPr="00102A4F" w:rsidRDefault="00F706BA" w:rsidP="00FC692F">
      <w:pPr>
        <w:spacing w:line="480" w:lineRule="auto"/>
        <w:ind w:firstLine="567"/>
      </w:pPr>
      <w:r w:rsidRPr="003B5716">
        <w:lastRenderedPageBreak/>
        <w:t xml:space="preserve">A priori size positively affects firm value and performance hazard risk if economies of scale create barriers to entry (Short </w:t>
      </w:r>
      <w:r w:rsidR="004F266B">
        <w:t>and</w:t>
      </w:r>
      <w:r w:rsidRPr="003B5716">
        <w:t xml:space="preserve"> </w:t>
      </w:r>
      <w:proofErr w:type="spellStart"/>
      <w:r w:rsidRPr="003B5716">
        <w:t>Keasey</w:t>
      </w:r>
      <w:proofErr w:type="spellEnd"/>
      <w:r w:rsidRPr="003B5716">
        <w:t>, 1999). Furthermore, larger firms enjoy wider access to internal and external funds. In terms of venturing risk, larger firms may demonstrate conservative behaviour when facing risky investment projects if the business is stable and</w:t>
      </w:r>
      <w:r w:rsidR="00453DDA">
        <w:t xml:space="preserve"> returns are less volatile (John</w:t>
      </w:r>
      <w:r w:rsidR="004F266B">
        <w:t xml:space="preserve"> et al, </w:t>
      </w:r>
      <w:r w:rsidRPr="003B5716">
        <w:t xml:space="preserve">2008). To control for risks associated with higher leverage, we use the fixed assets ratio - the ratio of net total plant and equipment-to-total assets. To control for growth opportunities, which imply more risk-taking (Nguyen, 2011), we specify the dividends ratio - cash dividends paid-to-equity, which also is a vehicle to monitor management performance </w:t>
      </w:r>
      <w:r w:rsidR="000671DB">
        <w:t xml:space="preserve">since firms that pay higher dividends and reveal greater detail on cash flow to the market may do so to minimise the risk of insider expropriation </w:t>
      </w:r>
      <w:r w:rsidRPr="003B5716">
        <w:t>(</w:t>
      </w:r>
      <w:proofErr w:type="spellStart"/>
      <w:r w:rsidRPr="003B5716">
        <w:t>González</w:t>
      </w:r>
      <w:proofErr w:type="spellEnd"/>
      <w:r w:rsidRPr="003B5716">
        <w:t xml:space="preserve"> et al, 2013). </w:t>
      </w:r>
      <w:r w:rsidR="000671DB">
        <w:t xml:space="preserve">However, firms beset with agency problems, say due to use of control enhancement mechanisms, might be </w:t>
      </w:r>
      <w:proofErr w:type="gramStart"/>
      <w:r w:rsidR="000671DB">
        <w:t>pay</w:t>
      </w:r>
      <w:proofErr w:type="gramEnd"/>
      <w:r w:rsidR="000671DB">
        <w:t xml:space="preserve"> a lower dividend (see </w:t>
      </w:r>
      <w:proofErr w:type="spellStart"/>
      <w:r w:rsidR="000671DB">
        <w:t>Attig</w:t>
      </w:r>
      <w:proofErr w:type="spellEnd"/>
      <w:r w:rsidR="000671DB">
        <w:t xml:space="preserve"> et al, 2016, for discussion on family firms and dividend policy. </w:t>
      </w:r>
      <w:r w:rsidR="00D055EF">
        <w:t xml:space="preserve">In the regressions that follow, we assign unity to positive values of the dividend ratio and zero otherwise. </w:t>
      </w:r>
      <w:r w:rsidR="000C390F">
        <w:t xml:space="preserve">We specify the number of years since incorporation in logarithms to measure firm age. </w:t>
      </w:r>
      <w:r w:rsidR="008E524C">
        <w:t xml:space="preserve">Aging firms could lose their ability to compete, which causes performance to deteriorate as the firm decays. In contrast, age could help firms become more efficient because they find their comparative advantage and learn-from-doing. Similarly, mature firms might be increasingly averse to risk in comparison to younger firms, or older firms simply grow more adept to managing risk. Age also affects a firm’s corporate governance with older firms expected to develop superior governance practices. </w:t>
      </w:r>
      <w:r w:rsidR="00102A4F">
        <w:t xml:space="preserve">Lastly, we specify a binary variable, </w:t>
      </w:r>
      <w:r w:rsidR="00102A4F">
        <w:rPr>
          <w:i/>
        </w:rPr>
        <w:t>Crisis</w:t>
      </w:r>
      <w:r w:rsidR="00102A4F">
        <w:t xml:space="preserve">, which equals unity for the years 2008 and 2009, and zero otherwise to control for the effects of the global financial crisis. </w:t>
      </w:r>
    </w:p>
    <w:p w:rsidR="00F706BA" w:rsidRPr="003B5716" w:rsidRDefault="00F706BA" w:rsidP="00264E8D">
      <w:pPr>
        <w:spacing w:line="480" w:lineRule="auto"/>
        <w:ind w:firstLine="567"/>
      </w:pPr>
      <w:r w:rsidRPr="003B5716">
        <w:t>Panel A in Table 1 shows the number of firm-year observations by ultimate controller. Family-owned firms account for 7</w:t>
      </w:r>
      <w:r w:rsidR="00B6526C">
        <w:t>6</w:t>
      </w:r>
      <w:r w:rsidR="00600560">
        <w:t>.2</w:t>
      </w:r>
      <w:r w:rsidRPr="003B5716">
        <w:t xml:space="preserve">% of observations of which approximately </w:t>
      </w:r>
      <w:r w:rsidR="00B6526C">
        <w:lastRenderedPageBreak/>
        <w:t>4</w:t>
      </w:r>
      <w:r w:rsidR="00600560">
        <w:t>7.9</w:t>
      </w:r>
      <w:r w:rsidRPr="003B5716">
        <w:t xml:space="preserve">% refer to firms where </w:t>
      </w:r>
      <w:r w:rsidR="002170A3">
        <w:t>family</w:t>
      </w:r>
      <w:r w:rsidRPr="003B5716">
        <w:t xml:space="preserve"> ownerships exceeds 50% of </w:t>
      </w:r>
      <w:r w:rsidR="00264E8D">
        <w:t xml:space="preserve">cash flow </w:t>
      </w:r>
      <w:r w:rsidRPr="003B5716">
        <w:t xml:space="preserve">rights; </w:t>
      </w:r>
      <w:r w:rsidR="00600560">
        <w:t>36.6</w:t>
      </w:r>
      <w:r w:rsidRPr="003B5716">
        <w:t xml:space="preserve">% where rights lie between 20% and 50%; and </w:t>
      </w:r>
      <w:r w:rsidR="00600560">
        <w:t>12.5</w:t>
      </w:r>
      <w:r w:rsidRPr="003B5716">
        <w:t>% family voting trusts. Non-family ownership divides across widely held firms (</w:t>
      </w:r>
      <w:r w:rsidR="00600560">
        <w:t>15</w:t>
      </w:r>
      <w:r w:rsidRPr="003B5716">
        <w:t>%) and others (</w:t>
      </w:r>
      <w:r w:rsidR="00600560">
        <w:t>8.8</w:t>
      </w:r>
      <w:r w:rsidRPr="003B5716">
        <w:t xml:space="preserve">% including foreign-owned, state-owned, voting trusts). We test for mean differences using </w:t>
      </w:r>
      <w:proofErr w:type="spellStart"/>
      <w:r w:rsidRPr="003B5716">
        <w:t>Tukey’s</w:t>
      </w:r>
      <w:proofErr w:type="spellEnd"/>
      <w:r w:rsidRPr="003B5716">
        <w:t xml:space="preserve"> adjustment for multiple comparisons. Firm value measured by Tobin’s Q is </w:t>
      </w:r>
      <w:r w:rsidR="00264E8D">
        <w:t xml:space="preserve">statistically comparable between family firms and widely held firms; within family firms, firms in which families control up to 20% of cash flow rights achieve a significantly larger Tobin’s Q ratio than firms where cash flow rights are greater. </w:t>
      </w:r>
      <w:r w:rsidRPr="003B5716">
        <w:t xml:space="preserve">Other non-family firms underperform both family majority firms and widely held firms (at 5 percent).  Panel B shows the distribution of CEM. The number of observations for firms using at least one </w:t>
      </w:r>
      <w:r w:rsidRPr="00B6526C">
        <w:t>CEM is 6</w:t>
      </w:r>
      <w:r w:rsidR="00B6526C" w:rsidRPr="00B6526C">
        <w:t>2</w:t>
      </w:r>
      <w:r w:rsidRPr="00B6526C">
        <w:t>%:</w:t>
      </w:r>
      <w:r w:rsidRPr="003B5716">
        <w:t xml:space="preserve"> the most popular type of CEM is multiple control chains (44%) followed by pyramids (18%) and dual class shares (14%). Panel C shows the components of the BD Index. Whilst most firms follow the MCCG recommendations, compliance is highest for independent directors and board size (at 9</w:t>
      </w:r>
      <w:r w:rsidR="00B6526C">
        <w:t>6</w:t>
      </w:r>
      <w:r w:rsidRPr="003B5716">
        <w:t xml:space="preserve">% and 86%, respectively). After dividing compliance into four cohorts in ascending order of compliance, we find the most compliant firms enjoy higher value and exhibit a greater tendency to risk-taking. </w:t>
      </w:r>
    </w:p>
    <w:p w:rsidR="00F706BA" w:rsidRPr="003B5716" w:rsidRDefault="00F706BA" w:rsidP="0028598F">
      <w:pPr>
        <w:spacing w:line="480" w:lineRule="auto"/>
        <w:ind w:firstLine="567"/>
        <w:jc w:val="center"/>
      </w:pPr>
      <w:r w:rsidRPr="003B5716">
        <w:t>Table 1 here</w:t>
      </w:r>
    </w:p>
    <w:p w:rsidR="00F706BA" w:rsidRPr="003B5716" w:rsidRDefault="00F706BA" w:rsidP="00FC692F">
      <w:pPr>
        <w:spacing w:line="480" w:lineRule="auto"/>
        <w:ind w:firstLine="567"/>
      </w:pPr>
      <w:r w:rsidRPr="003B5716">
        <w:t xml:space="preserve">Panel </w:t>
      </w:r>
      <w:proofErr w:type="gramStart"/>
      <w:r w:rsidRPr="003B5716">
        <w:t>A</w:t>
      </w:r>
      <w:proofErr w:type="gramEnd"/>
      <w:r w:rsidRPr="003B5716">
        <w:t xml:space="preserve"> of Table 2 shows descriptive firm values and risks across industrial sectors, and reports the results of tests for mean differences between family firms and non-family. Whereas family firms assume significantly </w:t>
      </w:r>
      <w:r w:rsidR="00E67A1B">
        <w:t xml:space="preserve">higher </w:t>
      </w:r>
      <w:r w:rsidR="00354917">
        <w:t xml:space="preserve">performance hazard and venturing risks (both 1 percent) and </w:t>
      </w:r>
      <w:r w:rsidRPr="003B5716">
        <w:t>greater total risk (</w:t>
      </w:r>
      <w:r w:rsidR="00354917">
        <w:t>5</w:t>
      </w:r>
      <w:r w:rsidRPr="003B5716">
        <w:t xml:space="preserve"> percent)</w:t>
      </w:r>
      <w:r w:rsidR="00354917">
        <w:t xml:space="preserve">, </w:t>
      </w:r>
      <w:r w:rsidRPr="003B5716">
        <w:t>they more frequently employ control mechanisms (1 percent) and operate smaller boards (</w:t>
      </w:r>
      <w:r w:rsidR="00354917">
        <w:t>1</w:t>
      </w:r>
      <w:r w:rsidRPr="003B5716">
        <w:t xml:space="preserve"> percent). Family f</w:t>
      </w:r>
      <w:r w:rsidR="00354917">
        <w:t xml:space="preserve">irms tend to be smaller, pay fewer dividends, </w:t>
      </w:r>
      <w:r w:rsidRPr="003B5716">
        <w:t>are less reliant on raising funds via ADRs</w:t>
      </w:r>
      <w:r w:rsidR="00354917">
        <w:t xml:space="preserve">, and are younger </w:t>
      </w:r>
      <w:r w:rsidRPr="003B5716">
        <w:t>(</w:t>
      </w:r>
      <w:r w:rsidR="00354917">
        <w:t xml:space="preserve">all at </w:t>
      </w:r>
      <w:r w:rsidRPr="003B5716">
        <w:t>1 percent)</w:t>
      </w:r>
      <w:r w:rsidR="00354917">
        <w:t xml:space="preserve">. </w:t>
      </w:r>
      <w:r w:rsidR="007A3A6D">
        <w:t xml:space="preserve">Although family firms </w:t>
      </w:r>
      <w:r w:rsidRPr="003B5716">
        <w:t>comply more readily with the MCCG</w:t>
      </w:r>
      <w:r w:rsidR="007A3A6D">
        <w:t xml:space="preserve">, the difference is insignificant. </w:t>
      </w:r>
    </w:p>
    <w:p w:rsidR="00F706BA" w:rsidRPr="003B5716" w:rsidRDefault="00F706BA" w:rsidP="0028598F">
      <w:pPr>
        <w:spacing w:line="480" w:lineRule="auto"/>
        <w:ind w:firstLine="567"/>
        <w:jc w:val="center"/>
      </w:pPr>
      <w:r w:rsidRPr="003B5716">
        <w:lastRenderedPageBreak/>
        <w:t>Table 2 here</w:t>
      </w:r>
    </w:p>
    <w:p w:rsidR="00F706BA" w:rsidRPr="003B5716" w:rsidRDefault="00F706BA" w:rsidP="00FC692F">
      <w:pPr>
        <w:spacing w:line="480" w:lineRule="auto"/>
        <w:ind w:firstLine="567"/>
        <w:jc w:val="center"/>
      </w:pPr>
    </w:p>
    <w:p w:rsidR="00F706BA" w:rsidRPr="003B5716" w:rsidRDefault="00F706BA" w:rsidP="00FC692F">
      <w:pPr>
        <w:pStyle w:val="ListParagraph"/>
        <w:numPr>
          <w:ilvl w:val="0"/>
          <w:numId w:val="4"/>
        </w:numPr>
        <w:spacing w:line="480" w:lineRule="auto"/>
        <w:rPr>
          <w:b/>
          <w:bCs/>
        </w:rPr>
      </w:pPr>
      <w:r w:rsidRPr="003B5716">
        <w:rPr>
          <w:b/>
          <w:bCs/>
        </w:rPr>
        <w:t xml:space="preserve">Methodology </w:t>
      </w:r>
    </w:p>
    <w:p w:rsidR="00F706BA" w:rsidRPr="003B5716" w:rsidRDefault="00F706BA">
      <w:pPr>
        <w:spacing w:line="480" w:lineRule="auto"/>
        <w:ind w:firstLine="567"/>
      </w:pPr>
      <w:r w:rsidRPr="003B5716">
        <w:t xml:space="preserve">Regression analysis determines if performance differentials exist between family and non-family firms. We use two-way cluster regressions (firm and year) because they improve the precision of standard errors yielding better inference than one-way cluster type methods even with a limited number of clusters (Petersen, 2009; Thompson, 2011). Improvements in precision obtain from adjusting the errors by weights that apply to the clusters to accommodate intra-group correlation by relaxing the normal requirement of independent observations. Equation [1] shows the abridged baseline model: </w:t>
      </w:r>
    </w:p>
    <w:p w:rsidR="00F706BA" w:rsidRPr="003B5716" w:rsidRDefault="00F706BA" w:rsidP="00FC692F">
      <w:pPr>
        <w:spacing w:line="480" w:lineRule="auto"/>
        <w:ind w:firstLine="567"/>
      </w:pPr>
    </w:p>
    <w:p w:rsidR="00F706BA" w:rsidRPr="003B5716" w:rsidRDefault="00E51CD3" w:rsidP="00FC692F">
      <w:pPr>
        <w:spacing w:line="480" w:lineRule="auto"/>
        <w:contextualSpacing/>
        <w:mirrorIndents/>
      </w:pP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Family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Governance</m:t>
                </m:r>
              </m:e>
              <m:sub>
                <m:r>
                  <w:rPr>
                    <w:rFonts w:ascii="Cambria Math" w:hAnsi="Cambria Math"/>
                  </w:rPr>
                  <m:t>it</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 xml:space="preserve"> Controls</m:t>
                </m:r>
              </m:e>
              <m:sub>
                <m:r>
                  <w:rPr>
                    <w:rFonts w:ascii="Cambria Math" w:hAnsi="Cambria Math"/>
                  </w:rPr>
                  <m:t>it-1</m:t>
                </m: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it</m:t>
            </m:r>
          </m:sub>
        </m:sSub>
      </m:oMath>
      <w:r w:rsidR="00F706BA" w:rsidRPr="003B5716">
        <w:t xml:space="preserve"> [1]</w:t>
      </w:r>
    </w:p>
    <w:p w:rsidR="00F706BA" w:rsidRPr="003B5716" w:rsidRDefault="00F706BA" w:rsidP="00FC692F">
      <w:pPr>
        <w:spacing w:line="480" w:lineRule="auto"/>
      </w:pPr>
    </w:p>
    <w:p w:rsidR="00F706BA" w:rsidRPr="003B5716" w:rsidRDefault="00F706BA" w:rsidP="00FC692F">
      <w:pPr>
        <w:spacing w:line="480" w:lineRule="auto"/>
      </w:pPr>
      <w:proofErr w:type="spellStart"/>
      <w:r w:rsidRPr="003B5716">
        <w:t>Y</w:t>
      </w:r>
      <w:r w:rsidRPr="003B5716">
        <w:rPr>
          <w:vertAlign w:val="subscript"/>
        </w:rPr>
        <w:t>it</w:t>
      </w:r>
      <w:proofErr w:type="spellEnd"/>
      <w:r w:rsidRPr="003B5716">
        <w:t xml:space="preserve"> measures value or risk-taking; Family equals one for family-owned firms, zero otherwise. In the value regressions, board structure (BD) and control mechanisms (CEM) proxy for governance; size, leverage</w:t>
      </w:r>
      <w:r w:rsidR="00A94112">
        <w:t xml:space="preserve">, </w:t>
      </w:r>
      <w:r w:rsidRPr="003B5716">
        <w:t>dividends</w:t>
      </w:r>
      <w:r w:rsidR="00A94112">
        <w:t>, fixed assets, and firm age</w:t>
      </w:r>
      <w:r w:rsidRPr="003B5716">
        <w:t xml:space="preserve"> </w:t>
      </w:r>
      <w:r w:rsidR="00A94112">
        <w:t xml:space="preserve">plus its quadratic term </w:t>
      </w:r>
      <w:r w:rsidRPr="003B5716">
        <w:t xml:space="preserve">are firm-level controls. </w:t>
      </w:r>
    </w:p>
    <w:p w:rsidR="00F706BA" w:rsidRPr="003B5716" w:rsidRDefault="00F706BA" w:rsidP="00015851">
      <w:pPr>
        <w:spacing w:line="480" w:lineRule="auto"/>
        <w:ind w:firstLine="567"/>
      </w:pPr>
      <w:r w:rsidRPr="003B5716">
        <w:t xml:space="preserve">Equation [2] replaces the binary indicator of family ownership with family corporate ownership (FCO), which measures the cash flow rights of family controllers, and a quadratic term to test for expected non-linear dynamics between cash flow rights and value: </w:t>
      </w:r>
    </w:p>
    <w:p w:rsidR="00F706BA" w:rsidRPr="003B5716" w:rsidRDefault="00F706BA" w:rsidP="00015851">
      <w:pPr>
        <w:spacing w:line="480" w:lineRule="auto"/>
        <w:ind w:firstLine="567"/>
      </w:pPr>
    </w:p>
    <w:p w:rsidR="00F706BA" w:rsidRPr="003B5716" w:rsidRDefault="00E51CD3" w:rsidP="006F0151">
      <w:pPr>
        <w:spacing w:line="480" w:lineRule="auto"/>
        <w:ind w:firstLine="567"/>
      </w:pP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FCO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FCO</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Governance</m:t>
                </m:r>
              </m:e>
              <m:sub>
                <m:r>
                  <w:rPr>
                    <w:rFonts w:ascii="Cambria Math" w:hAnsi="Cambria Math"/>
                  </w:rPr>
                  <m:t>it</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Controls</m:t>
                </m:r>
              </m:e>
              <m:sub>
                <m:r>
                  <w:rPr>
                    <w:rFonts w:ascii="Cambria Math" w:hAnsi="Cambria Math"/>
                  </w:rPr>
                  <m:t>it-1</m:t>
                </m:r>
              </m:sub>
            </m:sSub>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 xml:space="preserve">it </m:t>
            </m:r>
          </m:sub>
        </m:sSub>
        <m:r>
          <w:rPr>
            <w:rFonts w:ascii="Cambria Math" w:hAnsi="Cambria Math"/>
          </w:rPr>
          <m:t xml:space="preserve"> [2] </m:t>
        </m:r>
      </m:oMath>
      <w:r w:rsidR="00F706BA" w:rsidRPr="003B5716">
        <w:tab/>
      </w:r>
    </w:p>
    <w:p w:rsidR="00F706BA" w:rsidRPr="003B5716" w:rsidRDefault="00F706BA" w:rsidP="006F0151">
      <w:pPr>
        <w:spacing w:line="480" w:lineRule="auto"/>
        <w:ind w:firstLine="567"/>
      </w:pPr>
      <w:r w:rsidRPr="003B5716">
        <w:lastRenderedPageBreak/>
        <w:t xml:space="preserve">We control for industry effects using (unreported) binary variables (based on the Industry Classification Benchmark – see Table 2), and </w:t>
      </w:r>
      <w:proofErr w:type="spellStart"/>
      <w:r w:rsidRPr="003B5716">
        <w:t>winsorize</w:t>
      </w:r>
      <w:proofErr w:type="spellEnd"/>
      <w:r w:rsidRPr="003B5716">
        <w:t xml:space="preserve"> financial</w:t>
      </w:r>
      <w:r w:rsidRPr="003B5716">
        <w:rPr>
          <w:bCs/>
        </w:rPr>
        <w:t xml:space="preserve"> and market variables at the 99</w:t>
      </w:r>
      <w:r w:rsidRPr="003B5716">
        <w:rPr>
          <w:bCs/>
          <w:vertAlign w:val="superscript"/>
        </w:rPr>
        <w:t>th</w:t>
      </w:r>
      <w:r w:rsidRPr="003B5716">
        <w:rPr>
          <w:bCs/>
        </w:rPr>
        <w:t xml:space="preserve"> and 1</w:t>
      </w:r>
      <w:r w:rsidRPr="003B5716">
        <w:rPr>
          <w:bCs/>
          <w:vertAlign w:val="superscript"/>
        </w:rPr>
        <w:t>st</w:t>
      </w:r>
      <w:r w:rsidRPr="003B5716">
        <w:rPr>
          <w:bCs/>
        </w:rPr>
        <w:t xml:space="preserve"> percentile values to mitigate the influence of outliers.</w:t>
      </w:r>
    </w:p>
    <w:p w:rsidR="00F706BA" w:rsidRPr="003B5716" w:rsidRDefault="00F706BA" w:rsidP="00FC692F">
      <w:pPr>
        <w:spacing w:line="480" w:lineRule="auto"/>
        <w:ind w:firstLine="567"/>
      </w:pPr>
      <w:r w:rsidRPr="003B5716">
        <w:t>The choice of board structure (BD) and firm performance are endogenous. To address potential endogeneity concerns, Adams et al (2010) recommend treating some aspects of governance structure as exogenous in the short run for investigative purposes. We accept this suggestion because family control and ownership exhibit mild inter-temporal variation. In addition, we account for endogeneity using formal methods. We take one period lags of firm-level variables to resolve simultaneity concerns;</w:t>
      </w:r>
      <w:r w:rsidRPr="003B5716">
        <w:rPr>
          <w:rStyle w:val="FootnoteReference"/>
        </w:rPr>
        <w:footnoteReference w:id="3"/>
      </w:r>
      <w:r w:rsidRPr="003B5716">
        <w:t xml:space="preserve"> use restricted and unrestricted regressions (</w:t>
      </w:r>
      <w:proofErr w:type="spellStart"/>
      <w:r w:rsidRPr="003B5716">
        <w:t>Klapper</w:t>
      </w:r>
      <w:proofErr w:type="spellEnd"/>
      <w:r w:rsidRPr="003B5716">
        <w:t xml:space="preserve"> </w:t>
      </w:r>
      <w:r w:rsidR="004F266B">
        <w:t>and</w:t>
      </w:r>
      <w:r w:rsidRPr="003B5716">
        <w:t xml:space="preserve"> Love, 2004) to test for omitted variable bias.</w:t>
      </w:r>
      <w:r w:rsidR="00F015D8">
        <w:t xml:space="preserve"> </w:t>
      </w:r>
    </w:p>
    <w:p w:rsidR="00765453" w:rsidRPr="003B5716" w:rsidRDefault="00F706BA" w:rsidP="00765453">
      <w:pPr>
        <w:spacing w:line="480" w:lineRule="auto"/>
        <w:ind w:firstLine="567"/>
      </w:pPr>
      <w:r w:rsidRPr="003B5716">
        <w:t xml:space="preserve">Omitted variable bias arises when variables that determine board structure also affect performance. We tackle this problem as follows. First, we augment equation [1] with two variables that could affect BD and firm value. If the coefficient on BD retains significance, we can infer that omitted variables do not cause spurious results. The first additional binary variable equals unity if a firm’s headquarters locate in Mexico City and zero otherwise. A capital city location enhances value because economic development, infrastructure, and availability of services are greater in Mexico City (Chong </w:t>
      </w:r>
      <w:r w:rsidR="004F266B">
        <w:t>and</w:t>
      </w:r>
      <w:r w:rsidRPr="003B5716">
        <w:t xml:space="preserve"> Lopez-de-</w:t>
      </w:r>
      <w:proofErr w:type="spellStart"/>
      <w:r w:rsidRPr="003B5716">
        <w:t>Silanes</w:t>
      </w:r>
      <w:proofErr w:type="spellEnd"/>
      <w:r w:rsidRPr="003B5716">
        <w:t>, 2007). A second variable equals one if a firm issued an ADR (American Depository Receipt) either on the New York Stock Exchange or NASDAQ and zero otherwise.</w:t>
      </w:r>
      <w:r w:rsidRPr="003B5716">
        <w:rPr>
          <w:rStyle w:val="FootnoteReference"/>
        </w:rPr>
        <w:footnoteReference w:id="4"/>
      </w:r>
      <w:r w:rsidRPr="003B5716">
        <w:t xml:space="preserve"> A priori cross-listed firms comply with good governance practices at home and abroad which affects value. Ex ante these firms are more risky because the change in volatility of the underlying stock reflects changes in the return process arising from the foreign listing (</w:t>
      </w:r>
      <w:proofErr w:type="spellStart"/>
      <w:r w:rsidRPr="003B5716">
        <w:t>Jayaraman</w:t>
      </w:r>
      <w:proofErr w:type="spellEnd"/>
      <w:r w:rsidR="004F266B">
        <w:t xml:space="preserve"> et al, </w:t>
      </w:r>
      <w:r w:rsidRPr="003B5716">
        <w:t xml:space="preserve">1993). </w:t>
      </w:r>
      <w:r w:rsidR="00765453">
        <w:t xml:space="preserve">Given that firm age might be endogenous to board structure, we estimate the models both with and without firm age. </w:t>
      </w:r>
    </w:p>
    <w:p w:rsidR="00F706BA" w:rsidRPr="003B5716" w:rsidRDefault="00F706BA" w:rsidP="00192565">
      <w:pPr>
        <w:spacing w:line="480" w:lineRule="auto"/>
        <w:ind w:firstLine="567"/>
      </w:pPr>
      <w:proofErr w:type="gramStart"/>
      <w:r w:rsidRPr="003B5716">
        <w:lastRenderedPageBreak/>
        <w:t>Second, and noting the limitations of multiple regression models in the context of business research (Woodside, 2013), we test for omitted variable bias by augmenting the models with interaction terms between the corporate governance proxy, BD Index, and firm-specific controls.</w:t>
      </w:r>
      <w:proofErr w:type="gramEnd"/>
      <w:r w:rsidRPr="003B5716">
        <w:t xml:space="preserve"> Identifying potential interactive effects rather than net effects is best practice in business research. As illustration, we evaluate the effect on value (risk) of a large firm complying with good governance practices. We </w:t>
      </w:r>
      <w:proofErr w:type="spellStart"/>
      <w:r w:rsidRPr="003B5716">
        <w:t>orthogonalize</w:t>
      </w:r>
      <w:proofErr w:type="spellEnd"/>
      <w:r w:rsidRPr="003B5716">
        <w:t xml:space="preserve"> the interaction terms used as predictor variables to circumvent </w:t>
      </w:r>
      <w:proofErr w:type="spellStart"/>
      <w:r w:rsidRPr="003B5716">
        <w:t>multicollinearity</w:t>
      </w:r>
      <w:proofErr w:type="spellEnd"/>
      <w:r w:rsidRPr="003B5716">
        <w:t xml:space="preserve"> problems.</w:t>
      </w:r>
      <w:r w:rsidRPr="003B5716">
        <w:rPr>
          <w:rStyle w:val="FootnoteReference"/>
        </w:rPr>
        <w:footnoteReference w:id="5"/>
      </w:r>
      <w:r w:rsidRPr="003B5716">
        <w:t xml:space="preserve"> The effects of the interactions are determined by testing that the linear combination of coefficients on interaction terms equals zero; and by a Wald test procedure that the joint significance of the interactions equals zero. Our final estimations retain only significant interaction terms (Armstrong, 2012). </w:t>
      </w:r>
    </w:p>
    <w:p w:rsidR="00F706BA" w:rsidRPr="003B5716" w:rsidRDefault="00F706BA" w:rsidP="00FC692F">
      <w:pPr>
        <w:spacing w:line="480" w:lineRule="auto"/>
        <w:ind w:firstLine="567"/>
      </w:pPr>
      <w:r w:rsidRPr="003B5716">
        <w:t xml:space="preserve">Finally, the assumptions of </w:t>
      </w:r>
      <w:proofErr w:type="spellStart"/>
      <w:r w:rsidRPr="003B5716">
        <w:t>exogeneity</w:t>
      </w:r>
      <w:proofErr w:type="spellEnd"/>
      <w:r w:rsidRPr="003B5716">
        <w:t xml:space="preserve"> of the explanatory variables are relaxed and </w:t>
      </w:r>
      <w:r w:rsidR="007E496D">
        <w:t xml:space="preserve">we re-estimate </w:t>
      </w:r>
      <w:r w:rsidRPr="003B5716">
        <w:t xml:space="preserve">the regressions </w:t>
      </w:r>
      <w:r w:rsidR="007E496D">
        <w:t xml:space="preserve">using </w:t>
      </w:r>
      <w:r w:rsidRPr="003B5716">
        <w:t>formal methods to control for endogeneity problems. We use the General System Method of Moments (system-GMM), which uses a system of equations for each period in order to obtain estimates with standard errors robust to bias that might arise from endogeneity problems. System-GMM combines first difference equations with equations in levels that are instrumented with lags in levels and lags in differences of the endogenous variables, respectively (</w:t>
      </w:r>
      <w:proofErr w:type="spellStart"/>
      <w:r w:rsidRPr="003B5716">
        <w:t>Wintoki</w:t>
      </w:r>
      <w:proofErr w:type="spellEnd"/>
      <w:r w:rsidR="004F266B">
        <w:t xml:space="preserve"> et al, </w:t>
      </w:r>
      <w:r w:rsidRPr="003B5716">
        <w:t>2012).</w:t>
      </w:r>
    </w:p>
    <w:p w:rsidR="00F706BA" w:rsidRPr="003B5716" w:rsidRDefault="00F706BA" w:rsidP="00FC692F">
      <w:pPr>
        <w:pStyle w:val="ListParagraph"/>
        <w:numPr>
          <w:ilvl w:val="0"/>
          <w:numId w:val="4"/>
        </w:numPr>
        <w:spacing w:line="480" w:lineRule="auto"/>
        <w:rPr>
          <w:b/>
        </w:rPr>
      </w:pPr>
      <w:r w:rsidRPr="003B5716">
        <w:rPr>
          <w:b/>
        </w:rPr>
        <w:t>Results</w:t>
      </w:r>
    </w:p>
    <w:p w:rsidR="00F706BA" w:rsidRPr="003B5716" w:rsidRDefault="00F706BA" w:rsidP="00FC692F">
      <w:pPr>
        <w:pStyle w:val="ListParagraph"/>
        <w:numPr>
          <w:ilvl w:val="1"/>
          <w:numId w:val="4"/>
        </w:numPr>
        <w:spacing w:line="480" w:lineRule="auto"/>
        <w:rPr>
          <w:b/>
        </w:rPr>
      </w:pPr>
      <w:r w:rsidRPr="003B5716">
        <w:rPr>
          <w:b/>
        </w:rPr>
        <w:t>Estimated relationships from regressions on value</w:t>
      </w:r>
    </w:p>
    <w:p w:rsidR="00F706BA" w:rsidRPr="003B5716" w:rsidRDefault="00F706BA" w:rsidP="00FC692F">
      <w:pPr>
        <w:spacing w:line="480" w:lineRule="auto"/>
        <w:ind w:firstLine="567"/>
      </w:pPr>
      <w:r w:rsidRPr="003B5716">
        <w:t xml:space="preserve">Table 3 presents results from cluster regressions using Tobin’s Q (TQ) and the Market-to-Book ratio (MB) as proxies for firm value. Columns (1-2) show results from estimations of equation [1]. In unreported regressions, we re-estimate equation [1] specifying interaction terms between BD and other controls. Whereas we reject that the </w:t>
      </w:r>
      <w:r w:rsidRPr="003B5716">
        <w:lastRenderedPageBreak/>
        <w:t>combined value of the coefficients is zero, closer examination of individual coefficients</w:t>
      </w:r>
      <w:r w:rsidRPr="003B5716">
        <w:rPr>
          <w:color w:val="FF0000"/>
        </w:rPr>
        <w:t xml:space="preserve"> </w:t>
      </w:r>
      <w:r w:rsidRPr="003B5716">
        <w:t xml:space="preserve">reveals we should retain the interaction term for </w:t>
      </w:r>
      <w:r w:rsidR="00565065">
        <w:t xml:space="preserve">fixed assets </w:t>
      </w:r>
      <w:r w:rsidRPr="003B5716">
        <w:t>in the regressions with TQ</w:t>
      </w:r>
      <w:r w:rsidR="00565065">
        <w:t xml:space="preserve"> and MB</w:t>
      </w:r>
      <w:r w:rsidRPr="003B5716">
        <w:t>. Subsequently, we re-estimate equation [1] absenting the two covariates (</w:t>
      </w:r>
      <w:r w:rsidRPr="003B5716">
        <w:rPr>
          <w:i/>
        </w:rPr>
        <w:t>Mexico City</w:t>
      </w:r>
      <w:r w:rsidRPr="003B5716">
        <w:t xml:space="preserve"> and </w:t>
      </w:r>
      <w:r w:rsidRPr="003B5716">
        <w:rPr>
          <w:i/>
        </w:rPr>
        <w:t>ADR</w:t>
      </w:r>
      <w:r w:rsidRPr="003B5716">
        <w:t>) used to control for omitted variable bias.</w:t>
      </w:r>
      <w:r w:rsidRPr="003B5716">
        <w:rPr>
          <w:rStyle w:val="FootnoteReference"/>
        </w:rPr>
        <w:footnoteReference w:id="6"/>
      </w:r>
      <w:r w:rsidRPr="003B5716">
        <w:t xml:space="preserve"> BD retains significance</w:t>
      </w:r>
      <w:r w:rsidR="00E17851">
        <w:t xml:space="preserve"> </w:t>
      </w:r>
      <w:r w:rsidRPr="003B5716">
        <w:t>when</w:t>
      </w:r>
      <w:r w:rsidR="00E17851">
        <w:t xml:space="preserve"> these variables </w:t>
      </w:r>
      <w:r w:rsidRPr="003B5716">
        <w:t>are included</w:t>
      </w:r>
      <w:r w:rsidR="00E17851">
        <w:t>,</w:t>
      </w:r>
      <w:r w:rsidRPr="003B5716">
        <w:t xml:space="preserve"> which demonstrates the results are not spurious. </w:t>
      </w:r>
    </w:p>
    <w:p w:rsidR="00F706BA" w:rsidRPr="003B5716" w:rsidRDefault="00F706BA" w:rsidP="00603544">
      <w:pPr>
        <w:spacing w:line="480" w:lineRule="auto"/>
        <w:ind w:firstLine="567"/>
      </w:pPr>
      <w:r w:rsidRPr="003B5716">
        <w:t>Our first result demonstrates that the corporate value of family firms is not significantly different from non-family concerns in Mexico</w:t>
      </w:r>
      <w:r w:rsidR="00565065">
        <w:t xml:space="preserve"> when Tobin’s Q is proxy for firm value but family firms enjoy significantly higher value (at 5 percent) when the Market-to-book ratio is proxy</w:t>
      </w:r>
      <w:r w:rsidRPr="003B5716">
        <w:t xml:space="preserve">. To test the robustness of the result, we re-estimate equation [1] using system-GMM to account for potential endogeneity of BD, size and leverage, which we instrument with their lags (see Table 7). GMM regressions specify the lagged value of the dependent variable to control for the dynamic nature of firm value (TQ or MB), which also are used as instruments. We consider that the dividends ratio is predetermined meaning we treat the remaining variables in the model as exogenous. </w:t>
      </w:r>
      <w:r w:rsidR="00E360E1">
        <w:t>A predetermined variable means</w:t>
      </w:r>
      <w:r w:rsidR="00E360E1" w:rsidRPr="00E360E1">
        <w:t xml:space="preserve"> that its current value is correlated with past values ​​</w:t>
      </w:r>
      <w:r w:rsidR="00E360E1">
        <w:t>of</w:t>
      </w:r>
      <w:r w:rsidR="00E360E1" w:rsidRPr="00E360E1">
        <w:t xml:space="preserve"> the dependent variable. On the </w:t>
      </w:r>
      <w:r w:rsidR="007E496D" w:rsidRPr="00E360E1">
        <w:t>contrary,</w:t>
      </w:r>
      <w:r w:rsidR="00E360E1" w:rsidRPr="00E360E1">
        <w:t xml:space="preserve"> a variable is considered endogenous when its current value is correlated not only with the past values, but also with the current values ​​of the dependent variable.</w:t>
      </w:r>
      <w:r w:rsidR="00E360E1">
        <w:t xml:space="preserve"> </w:t>
      </w:r>
      <w:r w:rsidRPr="003B5716">
        <w:t xml:space="preserve">Our model specifications are appropriate. </w:t>
      </w:r>
      <w:r w:rsidR="00E360E1">
        <w:t xml:space="preserve">First, </w:t>
      </w:r>
      <w:r w:rsidR="00E360E1" w:rsidRPr="00E360E1">
        <w:t xml:space="preserve">it is desirable that the first differences are correlated </w:t>
      </w:r>
      <w:r w:rsidR="00E360E1">
        <w:t xml:space="preserve">in </w:t>
      </w:r>
      <w:r w:rsidR="00E360E1" w:rsidRPr="00E360E1">
        <w:t>first order AR (1), indicating the presence of dynamic effects that are considered in the model through the inclusion of lags of the dependent variables. However, it is expected that these differences do not exist in AR (2)</w:t>
      </w:r>
      <w:proofErr w:type="gramStart"/>
      <w:r w:rsidR="00E360E1" w:rsidRPr="00E360E1">
        <w:t>,</w:t>
      </w:r>
      <w:proofErr w:type="gramEnd"/>
      <w:r w:rsidR="00E360E1" w:rsidRPr="00E360E1">
        <w:t xml:space="preserve"> as if present </w:t>
      </w:r>
      <w:r w:rsidR="00E360E1">
        <w:t xml:space="preserve">they </w:t>
      </w:r>
      <w:r w:rsidR="00E360E1" w:rsidRPr="00E360E1">
        <w:t>indicate that the estimators are inefficient</w:t>
      </w:r>
      <w:r w:rsidR="00E360E1">
        <w:t xml:space="preserve"> and inconsistent</w:t>
      </w:r>
      <w:r w:rsidR="00E360E1" w:rsidRPr="00E360E1">
        <w:t xml:space="preserve">. AR tests (1) and AR (2) p-values ​​produce the expected model support. </w:t>
      </w:r>
      <w:r w:rsidRPr="003B5716">
        <w:t>Serial correlation is absent i</w:t>
      </w:r>
      <w:r w:rsidR="00E360E1">
        <w:t xml:space="preserve">n the second </w:t>
      </w:r>
      <w:r w:rsidR="00E360E1">
        <w:lastRenderedPageBreak/>
        <w:t>differences AR (2). Second,</w:t>
      </w:r>
      <w:r w:rsidRPr="003B5716">
        <w:t xml:space="preserve"> the Hansen test of over-identification confirms the validity of the instruments, although appearing to be weaker in the MB regression. The p-values for the differences-in-Hansen test of over-identification demonstrate that the instruments in the level equations are exogenous. A first main result based on the estimator for family control suggests family firms are valued higher than non-family concerns, if we use MB to proxy value (see Table 7, column (2)). Therefore, we cautiously accept H1a. </w:t>
      </w:r>
    </w:p>
    <w:p w:rsidR="00E3500B" w:rsidRPr="003B5716" w:rsidRDefault="00F706BA">
      <w:pPr>
        <w:spacing w:line="480" w:lineRule="auto"/>
        <w:ind w:firstLine="567"/>
      </w:pPr>
      <w:r w:rsidRPr="003B5716">
        <w:t xml:space="preserve">We obtain our second result from equation [2]. It shows a significant non-linear relationship between value and family cash flow rights, meaning we accept H1b and irrespective of the choice of firm value indicator (see Table 3, columns (3) and (4)). The coefficients on FCO and its quadratic term infer a positive association between increasing family corporate ownership and firm value – to approximately </w:t>
      </w:r>
      <w:r w:rsidR="00F41DAF">
        <w:t>4</w:t>
      </w:r>
      <w:r w:rsidRPr="003B5716">
        <w:t xml:space="preserve">0% to </w:t>
      </w:r>
      <w:r w:rsidR="00F41DAF">
        <w:t>5</w:t>
      </w:r>
      <w:r w:rsidRPr="003B5716">
        <w:t>0% – before entrenching at higher levels of control.</w:t>
      </w:r>
      <w:r w:rsidRPr="003B5716">
        <w:rPr>
          <w:rStyle w:val="FootnoteReference"/>
        </w:rPr>
        <w:footnoteReference w:id="7"/>
      </w:r>
      <w:r w:rsidRPr="003B5716">
        <w:t xml:space="preserve"> </w:t>
      </w:r>
      <w:r w:rsidR="00E3500B" w:rsidRPr="003B5716">
        <w:t xml:space="preserve">This </w:t>
      </w:r>
      <w:r w:rsidR="007411E6" w:rsidRPr="003B5716">
        <w:t xml:space="preserve">is an important </w:t>
      </w:r>
      <w:r w:rsidR="00E3500B" w:rsidRPr="003B5716">
        <w:t xml:space="preserve">finding </w:t>
      </w:r>
      <w:r w:rsidR="007411E6" w:rsidRPr="003B5716">
        <w:t xml:space="preserve">because it </w:t>
      </w:r>
      <w:r w:rsidR="00E3500B" w:rsidRPr="003B5716">
        <w:t>implies family ownership mitigate</w:t>
      </w:r>
      <w:r w:rsidR="007411E6" w:rsidRPr="003B5716">
        <w:t>s</w:t>
      </w:r>
      <w:r w:rsidR="00E3500B" w:rsidRPr="003B5716">
        <w:t xml:space="preserve"> agency problems at lower levels of cash flow rights by enhancing monitoring efforts and minimizing opportunities for expropriation (Anderson and </w:t>
      </w:r>
      <w:proofErr w:type="spellStart"/>
      <w:r w:rsidR="00E3500B" w:rsidRPr="003B5716">
        <w:t>Reeb</w:t>
      </w:r>
      <w:proofErr w:type="spellEnd"/>
      <w:r w:rsidR="00E3500B" w:rsidRPr="003B5716">
        <w:t xml:space="preserve">, 2003). </w:t>
      </w:r>
      <w:r w:rsidR="00D46789" w:rsidRPr="003B5716">
        <w:t>Wh</w:t>
      </w:r>
      <w:r w:rsidR="00A7394A" w:rsidRPr="003B5716">
        <w:t xml:space="preserve">ilst supporting the </w:t>
      </w:r>
      <w:r w:rsidR="005E14CF" w:rsidRPr="003B5716">
        <w:t xml:space="preserve">view </w:t>
      </w:r>
      <w:r w:rsidR="00A7394A" w:rsidRPr="003B5716">
        <w:t xml:space="preserve">that </w:t>
      </w:r>
      <w:r w:rsidR="00E3500B" w:rsidRPr="003B5716">
        <w:t xml:space="preserve">family owners </w:t>
      </w:r>
      <w:r w:rsidR="005E14CF" w:rsidRPr="003B5716">
        <w:t xml:space="preserve">perceive </w:t>
      </w:r>
      <w:r w:rsidR="00E3500B" w:rsidRPr="003B5716">
        <w:t xml:space="preserve">investment as a longer-term perspective, which </w:t>
      </w:r>
      <w:r w:rsidR="007411E6" w:rsidRPr="003B5716">
        <w:t xml:space="preserve">in turn </w:t>
      </w:r>
      <w:r w:rsidR="00E3500B" w:rsidRPr="003B5716">
        <w:t>realizes value (James, 1999)</w:t>
      </w:r>
      <w:r w:rsidR="00D46789" w:rsidRPr="003B5716">
        <w:t xml:space="preserve">, </w:t>
      </w:r>
      <w:r w:rsidR="007411E6" w:rsidRPr="003B5716">
        <w:t xml:space="preserve">it could </w:t>
      </w:r>
      <w:r w:rsidR="00A7394A" w:rsidRPr="003B5716">
        <w:t xml:space="preserve">also </w:t>
      </w:r>
      <w:r w:rsidR="00E3500B" w:rsidRPr="003B5716">
        <w:t xml:space="preserve">imply firm owners </w:t>
      </w:r>
      <w:r w:rsidR="007411E6" w:rsidRPr="003B5716">
        <w:t xml:space="preserve">follow </w:t>
      </w:r>
      <w:r w:rsidR="00E3500B" w:rsidRPr="003B5716">
        <w:t>objectives other than value maximization when control is highly concentrated.</w:t>
      </w:r>
    </w:p>
    <w:p w:rsidR="00AA30FB" w:rsidRPr="003B5716" w:rsidRDefault="00F41DAF" w:rsidP="00FC692F">
      <w:pPr>
        <w:spacing w:line="480" w:lineRule="auto"/>
        <w:ind w:firstLine="567"/>
      </w:pPr>
      <w:r>
        <w:t xml:space="preserve">While </w:t>
      </w:r>
      <w:r w:rsidR="00CF1060">
        <w:t xml:space="preserve">the </w:t>
      </w:r>
      <w:r w:rsidR="00CF1060" w:rsidRPr="003B5716">
        <w:t xml:space="preserve">inverse relationships between CEM and </w:t>
      </w:r>
      <w:r w:rsidR="00CF1060">
        <w:t xml:space="preserve">firm </w:t>
      </w:r>
      <w:r w:rsidR="00CF1060" w:rsidRPr="003B5716">
        <w:t>value</w:t>
      </w:r>
      <w:r w:rsidR="00CF1060">
        <w:t xml:space="preserve"> are </w:t>
      </w:r>
      <w:r>
        <w:t xml:space="preserve">indicative that </w:t>
      </w:r>
      <w:r w:rsidR="00444172" w:rsidRPr="003B5716">
        <w:t>minority investor</w:t>
      </w:r>
      <w:r w:rsidR="003A7D4F" w:rsidRPr="003B5716">
        <w:t>’</w:t>
      </w:r>
      <w:r w:rsidR="00444172" w:rsidRPr="003B5716">
        <w:t xml:space="preserve">s recognize </w:t>
      </w:r>
      <w:r w:rsidR="005E14CF" w:rsidRPr="003B5716">
        <w:t xml:space="preserve">the </w:t>
      </w:r>
      <w:r w:rsidR="00444172" w:rsidRPr="003B5716">
        <w:t xml:space="preserve">separation of ownership and control </w:t>
      </w:r>
      <w:r w:rsidR="00BC6B9A" w:rsidRPr="003B5716">
        <w:t xml:space="preserve">could </w:t>
      </w:r>
      <w:r w:rsidR="005E14CF" w:rsidRPr="003B5716">
        <w:t xml:space="preserve">allow the </w:t>
      </w:r>
      <w:r w:rsidR="00444172" w:rsidRPr="003B5716">
        <w:t>expropriat</w:t>
      </w:r>
      <w:r w:rsidR="005E14CF" w:rsidRPr="003B5716">
        <w:t xml:space="preserve">ion of resources by controllers </w:t>
      </w:r>
      <w:r w:rsidR="003702F9" w:rsidRPr="003B5716">
        <w:t>(</w:t>
      </w:r>
      <w:proofErr w:type="spellStart"/>
      <w:r w:rsidR="003702F9" w:rsidRPr="003B5716">
        <w:t>Villalonga</w:t>
      </w:r>
      <w:proofErr w:type="spellEnd"/>
      <w:r w:rsidR="003702F9" w:rsidRPr="003B5716">
        <w:t xml:space="preserve"> </w:t>
      </w:r>
      <w:r w:rsidR="009C52C6" w:rsidRPr="003B5716">
        <w:t>&amp;</w:t>
      </w:r>
      <w:r w:rsidR="003702F9" w:rsidRPr="003B5716">
        <w:t xml:space="preserve"> </w:t>
      </w:r>
      <w:proofErr w:type="spellStart"/>
      <w:r w:rsidR="003702F9" w:rsidRPr="003B5716">
        <w:t>Amit</w:t>
      </w:r>
      <w:proofErr w:type="spellEnd"/>
      <w:r w:rsidR="003702F9" w:rsidRPr="003B5716">
        <w:t>, 2006)</w:t>
      </w:r>
      <w:r>
        <w:t xml:space="preserve">, </w:t>
      </w:r>
      <w:r w:rsidR="00CF1060">
        <w:t xml:space="preserve">the coefficients lack significance. </w:t>
      </w:r>
      <w:r w:rsidR="00B1138B" w:rsidRPr="003B5716">
        <w:t xml:space="preserve">This result </w:t>
      </w:r>
      <w:r w:rsidR="00866823" w:rsidRPr="003B5716">
        <w:t xml:space="preserve">is </w:t>
      </w:r>
      <w:r w:rsidR="00CF1060">
        <w:t xml:space="preserve">partially </w:t>
      </w:r>
      <w:r w:rsidR="00866823" w:rsidRPr="003B5716">
        <w:t xml:space="preserve">consistent with </w:t>
      </w:r>
      <w:r w:rsidR="00B1138B" w:rsidRPr="003B5716">
        <w:t xml:space="preserve">findings </w:t>
      </w:r>
      <w:r w:rsidR="00866823" w:rsidRPr="003B5716">
        <w:t xml:space="preserve">that show </w:t>
      </w:r>
      <w:r w:rsidR="00E3500B" w:rsidRPr="003B5716">
        <w:t>CEM</w:t>
      </w:r>
      <w:r w:rsidR="00B1138B" w:rsidRPr="003B5716">
        <w:t xml:space="preserve"> lower</w:t>
      </w:r>
      <w:r w:rsidR="00866823" w:rsidRPr="003B5716">
        <w:t xml:space="preserve">s </w:t>
      </w:r>
      <w:r w:rsidR="00B1138B" w:rsidRPr="003B5716">
        <w:t>firm value in emerging markets (</w:t>
      </w:r>
      <w:r w:rsidR="004F5F81" w:rsidRPr="003B5716">
        <w:t xml:space="preserve">see </w:t>
      </w:r>
      <w:proofErr w:type="spellStart"/>
      <w:r w:rsidR="00B1138B" w:rsidRPr="003B5716">
        <w:t>Lins</w:t>
      </w:r>
      <w:proofErr w:type="spellEnd"/>
      <w:r w:rsidR="00B1138B" w:rsidRPr="003B5716">
        <w:t xml:space="preserve">, 2003). </w:t>
      </w:r>
      <w:r w:rsidR="00605759" w:rsidRPr="003B5716">
        <w:t xml:space="preserve">A </w:t>
      </w:r>
      <w:r w:rsidR="004F5F81" w:rsidRPr="003B5716">
        <w:t xml:space="preserve">greater </w:t>
      </w:r>
      <w:r w:rsidR="003A7D4F" w:rsidRPr="003B5716">
        <w:t xml:space="preserve">compliance with the </w:t>
      </w:r>
      <w:r w:rsidR="00CE7E37" w:rsidRPr="003B5716">
        <w:t>Mexican Corporate Governance Code</w:t>
      </w:r>
      <w:r w:rsidR="00323840" w:rsidRPr="003B5716">
        <w:t xml:space="preserve"> </w:t>
      </w:r>
      <w:r w:rsidR="00605759" w:rsidRPr="003B5716">
        <w:t>(</w:t>
      </w:r>
      <w:r w:rsidR="00605759" w:rsidRPr="00453DDA">
        <w:t xml:space="preserve">MCCG through </w:t>
      </w:r>
      <w:r w:rsidR="003A7D4F" w:rsidRPr="00453DDA">
        <w:t>BD</w:t>
      </w:r>
      <w:r w:rsidR="00605759" w:rsidRPr="003B5716">
        <w:t>)</w:t>
      </w:r>
      <w:r w:rsidR="003A7D4F" w:rsidRPr="003B5716">
        <w:t xml:space="preserve"> realizes higher value</w:t>
      </w:r>
      <w:r w:rsidR="00B1138B" w:rsidRPr="003B5716">
        <w:t xml:space="preserve"> inferring that </w:t>
      </w:r>
      <w:r w:rsidR="003A7D4F" w:rsidRPr="003B5716">
        <w:t xml:space="preserve">good </w:t>
      </w:r>
      <w:r w:rsidR="003A7D4F" w:rsidRPr="003B5716">
        <w:lastRenderedPageBreak/>
        <w:t xml:space="preserve">governance practices substitute for weak environments (Poletti-Hughes, 2009). Our result </w:t>
      </w:r>
      <w:r w:rsidR="00B1138B" w:rsidRPr="003B5716">
        <w:t xml:space="preserve">supports </w:t>
      </w:r>
      <w:r w:rsidR="003A7D4F" w:rsidRPr="003B5716">
        <w:t xml:space="preserve">evidence that family </w:t>
      </w:r>
      <w:r w:rsidR="001976E1" w:rsidRPr="003B5716">
        <w:t>owner’s</w:t>
      </w:r>
      <w:r w:rsidR="003A7D4F" w:rsidRPr="003B5716">
        <w:t xml:space="preserve"> use compliance to resolve intra-familial disputes (</w:t>
      </w:r>
      <w:proofErr w:type="spellStart"/>
      <w:r w:rsidR="003A7D4F" w:rsidRPr="003B5716">
        <w:t>Hola</w:t>
      </w:r>
      <w:r w:rsidR="004F266B">
        <w:t>n</w:t>
      </w:r>
      <w:proofErr w:type="spellEnd"/>
      <w:r w:rsidR="004F266B">
        <w:t xml:space="preserve"> and</w:t>
      </w:r>
      <w:r w:rsidR="003A7D4F" w:rsidRPr="003B5716">
        <w:t xml:space="preserve"> </w:t>
      </w:r>
      <w:proofErr w:type="spellStart"/>
      <w:r w:rsidR="003A7D4F" w:rsidRPr="003B5716">
        <w:t>Sanz</w:t>
      </w:r>
      <w:proofErr w:type="spellEnd"/>
      <w:r w:rsidR="003A7D4F" w:rsidRPr="003B5716">
        <w:t>, 2006).</w:t>
      </w:r>
    </w:p>
    <w:p w:rsidR="00CF1060" w:rsidRDefault="00CF1060" w:rsidP="00FC692F">
      <w:pPr>
        <w:spacing w:line="480" w:lineRule="auto"/>
      </w:pPr>
      <w:r>
        <w:tab/>
        <w:t xml:space="preserve">Greater levels of leverage lead to significantly lower levels of firm value irrespective of the measure of value. Larger firm size is positively correlated with firm value when the Market-to-book ratio is proxy for firm value. Larger firms with better corporate governance also generate higher value (column 3). </w:t>
      </w:r>
      <w:r w:rsidR="0043224F" w:rsidRPr="003B5716">
        <w:t>Wh</w:t>
      </w:r>
      <w:r w:rsidR="00065082" w:rsidRPr="003B5716">
        <w:t xml:space="preserve">ilst </w:t>
      </w:r>
      <w:r w:rsidR="0043224F" w:rsidRPr="003B5716">
        <w:t xml:space="preserve">a capital city location </w:t>
      </w:r>
      <w:r w:rsidR="00504FE8" w:rsidRPr="003B5716">
        <w:t xml:space="preserve">produces </w:t>
      </w:r>
      <w:r w:rsidR="0043224F" w:rsidRPr="003B5716">
        <w:t xml:space="preserve">a value premium, </w:t>
      </w:r>
      <w:r>
        <w:t>the crisis episode reduced value in 2008 and 2009 (columns 1 and 3). Whilst firm value diminishes as firms</w:t>
      </w:r>
      <w:r w:rsidR="00705AE9">
        <w:t>’</w:t>
      </w:r>
      <w:r>
        <w:t xml:space="preserve"> age, columns (2) and (4) show </w:t>
      </w:r>
      <w:r w:rsidR="00705AE9">
        <w:t xml:space="preserve">a </w:t>
      </w:r>
      <w:r>
        <w:t>turning point</w:t>
      </w:r>
      <w:r w:rsidR="00705AE9">
        <w:t xml:space="preserve"> exists and </w:t>
      </w:r>
      <w:r>
        <w:t xml:space="preserve">that </w:t>
      </w:r>
      <w:r w:rsidR="00705AE9">
        <w:t xml:space="preserve">firm value increases again for older firms. </w:t>
      </w:r>
      <w:r>
        <w:t xml:space="preserve"> </w:t>
      </w:r>
    </w:p>
    <w:p w:rsidR="00103640" w:rsidRPr="003B5716" w:rsidRDefault="00103640" w:rsidP="00103640">
      <w:pPr>
        <w:spacing w:line="480" w:lineRule="auto"/>
        <w:ind w:firstLine="567"/>
        <w:jc w:val="center"/>
      </w:pPr>
      <w:r w:rsidRPr="003B5716">
        <w:t>Table 3 here</w:t>
      </w:r>
    </w:p>
    <w:p w:rsidR="00B91BD5" w:rsidRPr="003B5716" w:rsidRDefault="003A5B8A" w:rsidP="002362FA">
      <w:pPr>
        <w:spacing w:line="480" w:lineRule="auto"/>
        <w:ind w:firstLine="567"/>
      </w:pPr>
      <w:r w:rsidRPr="003B5716">
        <w:t xml:space="preserve">We use </w:t>
      </w:r>
      <w:proofErr w:type="spellStart"/>
      <w:r w:rsidRPr="003B5716">
        <w:t>quantile</w:t>
      </w:r>
      <w:proofErr w:type="spellEnd"/>
      <w:r w:rsidRPr="003B5716">
        <w:t xml:space="preserve"> regressions to allow for heterogeneous responses to family </w:t>
      </w:r>
      <w:r w:rsidR="00897BAE" w:rsidRPr="003B5716">
        <w:t xml:space="preserve">control </w:t>
      </w:r>
      <w:r w:rsidRPr="003B5716">
        <w:t xml:space="preserve">and governance. </w:t>
      </w:r>
      <w:r w:rsidR="00897BAE" w:rsidRPr="003B5716">
        <w:t xml:space="preserve">Intuitively, low value firms may respond to compliance with governance and family control in a way different to higher value firms. This prospect implies more than a single parameter is necessary to describe relationships between value and family control, </w:t>
      </w:r>
      <w:r w:rsidR="00847EB3" w:rsidRPr="003B5716">
        <w:t xml:space="preserve">and </w:t>
      </w:r>
      <w:r w:rsidR="00897BAE" w:rsidRPr="003B5716">
        <w:t xml:space="preserve">value and governance. </w:t>
      </w:r>
      <w:r w:rsidR="006005BB" w:rsidRPr="003B5716">
        <w:t xml:space="preserve">Therefore, we use </w:t>
      </w:r>
      <w:proofErr w:type="spellStart"/>
      <w:r w:rsidR="006005BB" w:rsidRPr="003B5716">
        <w:t>quantile</w:t>
      </w:r>
      <w:proofErr w:type="spellEnd"/>
      <w:r w:rsidR="006005BB" w:rsidRPr="003B5716">
        <w:t xml:space="preserve"> regression to identify the impact of our regressors at different points on the distribution of firm value (at the </w:t>
      </w:r>
      <w:r w:rsidR="00E3500B" w:rsidRPr="003B5716">
        <w:t>25</w:t>
      </w:r>
      <w:r w:rsidR="00A90CD1" w:rsidRPr="003B5716">
        <w:rPr>
          <w:vertAlign w:val="superscript"/>
        </w:rPr>
        <w:t>th</w:t>
      </w:r>
      <w:r w:rsidR="00E3500B" w:rsidRPr="003B5716">
        <w:t>, 50</w:t>
      </w:r>
      <w:r w:rsidR="00A90CD1" w:rsidRPr="003B5716">
        <w:rPr>
          <w:vertAlign w:val="superscript"/>
        </w:rPr>
        <w:t>th</w:t>
      </w:r>
      <w:r w:rsidR="006005BB" w:rsidRPr="003B5716">
        <w:t xml:space="preserve"> a</w:t>
      </w:r>
      <w:r w:rsidR="00E3500B" w:rsidRPr="003B5716">
        <w:t>nd 75</w:t>
      </w:r>
      <w:r w:rsidR="00A90CD1" w:rsidRPr="003B5716">
        <w:rPr>
          <w:vertAlign w:val="superscript"/>
        </w:rPr>
        <w:t>th</w:t>
      </w:r>
      <w:r w:rsidR="006005BB" w:rsidRPr="003B5716">
        <w:t xml:space="preserve"> </w:t>
      </w:r>
      <w:r w:rsidR="00E3500B" w:rsidRPr="003B5716">
        <w:t>pe</w:t>
      </w:r>
      <w:r w:rsidR="004C67D3" w:rsidRPr="003B5716">
        <w:t>r</w:t>
      </w:r>
      <w:r w:rsidR="00E3500B" w:rsidRPr="003B5716">
        <w:t>centiles</w:t>
      </w:r>
      <w:r w:rsidR="006005BB" w:rsidRPr="003B5716">
        <w:t xml:space="preserve"> </w:t>
      </w:r>
      <w:r w:rsidR="00E3500B" w:rsidRPr="003B5716">
        <w:t>to represent low, medium and high levels of value</w:t>
      </w:r>
      <w:r w:rsidR="006005BB" w:rsidRPr="003B5716">
        <w:t>)</w:t>
      </w:r>
      <w:r w:rsidR="00E3500B" w:rsidRPr="003B5716">
        <w:t xml:space="preserve">. </w:t>
      </w:r>
      <w:r w:rsidR="009139A6" w:rsidRPr="003B5716">
        <w:t xml:space="preserve">We run </w:t>
      </w:r>
      <w:proofErr w:type="spellStart"/>
      <w:r w:rsidR="009139A6" w:rsidRPr="003B5716">
        <w:t>Breusch</w:t>
      </w:r>
      <w:proofErr w:type="spellEnd"/>
      <w:r w:rsidR="009139A6" w:rsidRPr="003B5716">
        <w:t>-Pagan / Cool-Weisberg</w:t>
      </w:r>
      <w:r w:rsidR="004B2008" w:rsidRPr="003B5716">
        <w:t xml:space="preserve"> tests and reject the null hypothesis of </w:t>
      </w:r>
      <w:proofErr w:type="spellStart"/>
      <w:r w:rsidR="004B2008" w:rsidRPr="003B5716">
        <w:t>homoscedastic</w:t>
      </w:r>
      <w:proofErr w:type="spellEnd"/>
      <w:r w:rsidR="004B2008" w:rsidRPr="003B5716">
        <w:t xml:space="preserve"> errors, which justifies use of </w:t>
      </w:r>
      <w:proofErr w:type="spellStart"/>
      <w:r w:rsidR="004B2008" w:rsidRPr="003B5716">
        <w:t>quantile</w:t>
      </w:r>
      <w:proofErr w:type="spellEnd"/>
      <w:r w:rsidR="004B2008" w:rsidRPr="003B5716">
        <w:t xml:space="preserve"> regressions. </w:t>
      </w:r>
      <w:r w:rsidR="004C67D3" w:rsidRPr="003B5716">
        <w:t xml:space="preserve">To </w:t>
      </w:r>
      <w:r w:rsidR="006005BB" w:rsidRPr="003B5716">
        <w:t xml:space="preserve">conserve </w:t>
      </w:r>
      <w:r w:rsidR="004C67D3" w:rsidRPr="003B5716">
        <w:t xml:space="preserve">space, we </w:t>
      </w:r>
      <w:r w:rsidR="006B3995" w:rsidRPr="003B5716">
        <w:t xml:space="preserve">present </w:t>
      </w:r>
      <w:r w:rsidR="004C67D3" w:rsidRPr="003B5716">
        <w:t xml:space="preserve">results for family control, family ownership, CEM and BD, </w:t>
      </w:r>
      <w:r w:rsidR="006005BB" w:rsidRPr="003B5716">
        <w:t xml:space="preserve">alongside </w:t>
      </w:r>
      <w:r w:rsidR="004C67D3" w:rsidRPr="003B5716">
        <w:t>the pseudo R-square for each regression.</w:t>
      </w:r>
      <w:r w:rsidR="00B91BD5" w:rsidRPr="003B5716">
        <w:t xml:space="preserve"> </w:t>
      </w:r>
      <w:r w:rsidR="004C67D3" w:rsidRPr="003B5716">
        <w:t xml:space="preserve"> </w:t>
      </w:r>
    </w:p>
    <w:p w:rsidR="002362FA" w:rsidRPr="003B5716" w:rsidRDefault="00B91BD5" w:rsidP="003E4ED4">
      <w:pPr>
        <w:spacing w:line="480" w:lineRule="auto"/>
        <w:ind w:firstLine="567"/>
      </w:pPr>
      <w:r w:rsidRPr="003B5716">
        <w:t xml:space="preserve">From Table 4, panel A we observe that family ownership creates significantly higher firm value </w:t>
      </w:r>
      <w:r w:rsidR="003E4ED4">
        <w:t xml:space="preserve">for low, medium and high value firms, and irrespective of value measure. </w:t>
      </w:r>
      <w:r w:rsidR="004C67D3" w:rsidRPr="003B5716">
        <w:t xml:space="preserve">This finding </w:t>
      </w:r>
      <w:r w:rsidR="00103640" w:rsidRPr="003B5716">
        <w:t>offers further</w:t>
      </w:r>
      <w:r w:rsidR="004C67D3" w:rsidRPr="003B5716">
        <w:t xml:space="preserve"> support</w:t>
      </w:r>
      <w:r w:rsidR="00103640" w:rsidRPr="003B5716">
        <w:t xml:space="preserve"> for</w:t>
      </w:r>
      <w:r w:rsidR="004C67D3" w:rsidRPr="003B5716">
        <w:t xml:space="preserve"> H1 with the modification that</w:t>
      </w:r>
      <w:r w:rsidR="000E0CF4" w:rsidRPr="003B5716">
        <w:t xml:space="preserve"> family firms are valued higher than non-family </w:t>
      </w:r>
      <w:r w:rsidR="00744B1A" w:rsidRPr="003B5716">
        <w:t>firms are</w:t>
      </w:r>
      <w:r w:rsidR="003E4ED4">
        <w:t xml:space="preserve">. </w:t>
      </w:r>
      <w:r w:rsidR="000E0CF4" w:rsidRPr="003B5716">
        <w:t xml:space="preserve">Panel B presents the findings for family </w:t>
      </w:r>
      <w:r w:rsidR="00AC1C07" w:rsidRPr="003B5716">
        <w:t>ownership</w:t>
      </w:r>
      <w:r w:rsidR="003E4ED4">
        <w:t xml:space="preserve"> and </w:t>
      </w:r>
      <w:r w:rsidR="003E4ED4">
        <w:lastRenderedPageBreak/>
        <w:t xml:space="preserve">confirms the dominance of family firms, irrespective of the level and measure of value. </w:t>
      </w:r>
      <w:r w:rsidR="00CA29F5" w:rsidRPr="003B5716">
        <w:t>Whereas c</w:t>
      </w:r>
      <w:r w:rsidR="00B926E0" w:rsidRPr="003B5716">
        <w:t xml:space="preserve">ompliance with best practice corporate governance </w:t>
      </w:r>
      <w:r w:rsidR="00CA29F5" w:rsidRPr="003B5716">
        <w:t xml:space="preserve">(BD) </w:t>
      </w:r>
      <w:r w:rsidR="00B926E0" w:rsidRPr="003B5716">
        <w:t xml:space="preserve">is </w:t>
      </w:r>
      <w:r w:rsidR="00BC201D" w:rsidRPr="003B5716">
        <w:t>value enhancing</w:t>
      </w:r>
      <w:r w:rsidR="00CA29F5" w:rsidRPr="003B5716">
        <w:t xml:space="preserve"> </w:t>
      </w:r>
      <w:r w:rsidR="00B926E0" w:rsidRPr="003B5716">
        <w:t>for firms across the distribution of value (irrespective of proxy)</w:t>
      </w:r>
      <w:r w:rsidR="00CA29F5" w:rsidRPr="003B5716">
        <w:t>, a use of control mechanisms (</w:t>
      </w:r>
      <w:r w:rsidR="000E0CF4" w:rsidRPr="003B5716">
        <w:t>CEM</w:t>
      </w:r>
      <w:r w:rsidR="00CA29F5" w:rsidRPr="003B5716">
        <w:t xml:space="preserve">) mostly lessens value </w:t>
      </w:r>
      <w:r w:rsidR="003E4ED4">
        <w:t xml:space="preserve">for low value firms. </w:t>
      </w:r>
      <w:r w:rsidR="00EA0A0B" w:rsidRPr="003B5716">
        <w:t xml:space="preserve">Table 4, panel B, offers unconditional support for H1b, because the coefficients on </w:t>
      </w:r>
      <w:r w:rsidR="00103640" w:rsidRPr="003B5716">
        <w:t>FCO and FCO</w:t>
      </w:r>
      <w:r w:rsidR="00A90CD1" w:rsidRPr="003B5716">
        <w:rPr>
          <w:vertAlign w:val="superscript"/>
        </w:rPr>
        <w:t>2</w:t>
      </w:r>
      <w:r w:rsidR="00103640" w:rsidRPr="003B5716">
        <w:t xml:space="preserve"> </w:t>
      </w:r>
      <w:r w:rsidR="00EA0A0B" w:rsidRPr="003B5716">
        <w:t xml:space="preserve">indicate the presence of a </w:t>
      </w:r>
      <w:r w:rsidR="00103640" w:rsidRPr="003B5716">
        <w:t xml:space="preserve">significant </w:t>
      </w:r>
      <w:r w:rsidR="00EA0A0B" w:rsidRPr="003B5716">
        <w:t xml:space="preserve">and </w:t>
      </w:r>
      <w:r w:rsidR="00BD5A92" w:rsidRPr="003B5716">
        <w:t>inverse</w:t>
      </w:r>
      <w:r w:rsidR="00103640" w:rsidRPr="003B5716">
        <w:t xml:space="preserve"> shaped U-</w:t>
      </w:r>
      <w:r w:rsidR="00EA0A0B" w:rsidRPr="003B5716">
        <w:t xml:space="preserve">relation with firm value </w:t>
      </w:r>
      <w:r w:rsidR="00103640" w:rsidRPr="003B5716">
        <w:t>with inflexio</w:t>
      </w:r>
      <w:r w:rsidR="0056765C" w:rsidRPr="003B5716">
        <w:t>n points between about 40% and 5</w:t>
      </w:r>
      <w:r w:rsidR="00103640" w:rsidRPr="003B5716">
        <w:t xml:space="preserve">0%.  </w:t>
      </w:r>
    </w:p>
    <w:p w:rsidR="003E3C68" w:rsidRPr="003B5716" w:rsidRDefault="003E3C68" w:rsidP="00FC692F">
      <w:pPr>
        <w:pStyle w:val="ListParagraph"/>
        <w:numPr>
          <w:ilvl w:val="1"/>
          <w:numId w:val="4"/>
        </w:numPr>
        <w:spacing w:line="480" w:lineRule="auto"/>
        <w:rPr>
          <w:b/>
        </w:rPr>
      </w:pPr>
      <w:r w:rsidRPr="003B5716">
        <w:rPr>
          <w:b/>
        </w:rPr>
        <w:t>Estimated relationships from regressions on risk-taking</w:t>
      </w:r>
    </w:p>
    <w:p w:rsidR="00682533" w:rsidRPr="003B5716" w:rsidRDefault="00F2799B" w:rsidP="00FC692F">
      <w:pPr>
        <w:spacing w:line="480" w:lineRule="auto"/>
      </w:pPr>
      <w:r w:rsidRPr="003B5716">
        <w:t xml:space="preserve">We re-estimate equation [1] using risk as the dependent variable and </w:t>
      </w:r>
      <w:r w:rsidRPr="003B5716">
        <w:rPr>
          <w:i/>
        </w:rPr>
        <w:t>family</w:t>
      </w:r>
      <w:r w:rsidRPr="003B5716">
        <w:t xml:space="preserve"> to indicate </w:t>
      </w:r>
      <w:r w:rsidR="002170A3">
        <w:t>family</w:t>
      </w:r>
      <w:r w:rsidR="002170A3" w:rsidRPr="003B5716">
        <w:t xml:space="preserve"> </w:t>
      </w:r>
      <w:r w:rsidRPr="003B5716">
        <w:t xml:space="preserve">ownership. </w:t>
      </w:r>
      <w:r w:rsidR="00EE06F0" w:rsidRPr="003B5716">
        <w:t xml:space="preserve">Drawing on theoretical arguments that </w:t>
      </w:r>
      <w:r w:rsidRPr="003B5716">
        <w:t>firms face different types of risk</w:t>
      </w:r>
      <w:r w:rsidR="00EE06F0" w:rsidRPr="003B5716">
        <w:t xml:space="preserve">, we estimate separate regressions for </w:t>
      </w:r>
      <w:r w:rsidRPr="003B5716">
        <w:t>performance hazard risk; venturing risk</w:t>
      </w:r>
      <w:r w:rsidR="00B14A9B">
        <w:t>; and total risk</w:t>
      </w:r>
      <w:r w:rsidRPr="003B5716">
        <w:t xml:space="preserve">. </w:t>
      </w:r>
      <w:r w:rsidR="00B14A9B">
        <w:t xml:space="preserve">We </w:t>
      </w:r>
      <w:r w:rsidR="00682533" w:rsidRPr="003B5716">
        <w:t xml:space="preserve">specify </w:t>
      </w:r>
      <w:r w:rsidR="0070379A" w:rsidRPr="003B5716">
        <w:t xml:space="preserve">orthogonal </w:t>
      </w:r>
      <w:r w:rsidR="00682533" w:rsidRPr="003B5716">
        <w:t xml:space="preserve">interaction </w:t>
      </w:r>
      <w:r w:rsidR="0070379A" w:rsidRPr="003B5716">
        <w:t xml:space="preserve">variables </w:t>
      </w:r>
      <w:r w:rsidR="00876228" w:rsidRPr="003B5716">
        <w:t xml:space="preserve">because BD affects risks through interactions with covariates. </w:t>
      </w:r>
      <w:r w:rsidR="005B4D68" w:rsidRPr="003B5716">
        <w:t>Table 5</w:t>
      </w:r>
      <w:r w:rsidR="001E1595" w:rsidRPr="003B5716">
        <w:t xml:space="preserve"> shows the results.</w:t>
      </w:r>
    </w:p>
    <w:p w:rsidR="0056765C" w:rsidRPr="003B5716" w:rsidRDefault="00B33EEA" w:rsidP="00FC692F">
      <w:pPr>
        <w:spacing w:line="480" w:lineRule="auto"/>
        <w:ind w:firstLine="567"/>
      </w:pPr>
      <w:r w:rsidRPr="003B5716">
        <w:t xml:space="preserve">Our main result demonstrates unambiguously that family firms assume significantly higher levels of </w:t>
      </w:r>
      <w:r w:rsidR="00B14A9B">
        <w:t xml:space="preserve">performance hazard risk and venturing risk (at 1 percent) and total risk (at 5 percent) than non-family firms </w:t>
      </w:r>
      <w:r w:rsidR="004C2D8A">
        <w:t xml:space="preserve">do </w:t>
      </w:r>
      <w:r w:rsidR="00B14A9B">
        <w:t xml:space="preserve">(columns 1-3). </w:t>
      </w:r>
      <w:r w:rsidR="00A20BC6" w:rsidRPr="003B5716">
        <w:t xml:space="preserve">Based on this result we accept H2a. </w:t>
      </w:r>
      <w:r w:rsidR="008675A0" w:rsidRPr="003B5716">
        <w:t>W</w:t>
      </w:r>
      <w:r w:rsidR="004A21BE" w:rsidRPr="003B5716">
        <w:t xml:space="preserve">e qualify this important </w:t>
      </w:r>
      <w:r w:rsidR="008A6611" w:rsidRPr="003B5716">
        <w:t xml:space="preserve">result </w:t>
      </w:r>
      <w:r w:rsidR="004A21BE" w:rsidRPr="003B5716">
        <w:t xml:space="preserve">because </w:t>
      </w:r>
      <w:r w:rsidR="008675A0" w:rsidRPr="003B5716">
        <w:t xml:space="preserve">there is </w:t>
      </w:r>
      <w:r w:rsidR="004A21BE" w:rsidRPr="003B5716">
        <w:t xml:space="preserve">unequivocal and statistically significant evidence that </w:t>
      </w:r>
      <w:r w:rsidR="009E2C15" w:rsidRPr="003B5716">
        <w:t xml:space="preserve">family firms assume different types of risk compared to non-family firms. </w:t>
      </w:r>
      <w:r w:rsidR="006024E3" w:rsidRPr="003B5716">
        <w:t>Consistent with our analysis of firm value, w</w:t>
      </w:r>
      <w:r w:rsidR="0056765C" w:rsidRPr="003B5716">
        <w:t xml:space="preserve">e </w:t>
      </w:r>
      <w:r w:rsidR="00056F6A" w:rsidRPr="003B5716">
        <w:t xml:space="preserve">employ </w:t>
      </w:r>
      <w:r w:rsidR="00A20BC6" w:rsidRPr="003B5716">
        <w:t xml:space="preserve">system-GMM to </w:t>
      </w:r>
      <w:r w:rsidR="0056765C" w:rsidRPr="003B5716">
        <w:t>re-estimate equation [1]</w:t>
      </w:r>
      <w:r w:rsidR="00A20BC6" w:rsidRPr="003B5716">
        <w:t xml:space="preserve"> and test the robustness of </w:t>
      </w:r>
      <w:r w:rsidR="00AE71AC" w:rsidRPr="003B5716">
        <w:t xml:space="preserve">the </w:t>
      </w:r>
      <w:r w:rsidR="00A20BC6" w:rsidRPr="003B5716">
        <w:t>results</w:t>
      </w:r>
      <w:r w:rsidR="006024E3" w:rsidRPr="003B5716">
        <w:t xml:space="preserve">. </w:t>
      </w:r>
      <w:r w:rsidR="0056765C" w:rsidRPr="003B5716">
        <w:t>Table 7, columns (3)-(5)</w:t>
      </w:r>
      <w:r w:rsidR="006024E3" w:rsidRPr="003B5716">
        <w:t xml:space="preserve"> </w:t>
      </w:r>
      <w:r w:rsidR="00151625" w:rsidRPr="003B5716">
        <w:t xml:space="preserve">offers robust statistical evidence that </w:t>
      </w:r>
      <w:r w:rsidR="0056765C" w:rsidRPr="003B5716">
        <w:t xml:space="preserve">family firms assume greater </w:t>
      </w:r>
      <w:r w:rsidR="004C2D8A">
        <w:t xml:space="preserve">performance hazard risk (at 1 percent), venturing risk (at 5 percent) and total risk (at 10 percent) than </w:t>
      </w:r>
      <w:r w:rsidR="0056765C" w:rsidRPr="003B5716">
        <w:t>non-family firms</w:t>
      </w:r>
      <w:r w:rsidR="004C2D8A">
        <w:t xml:space="preserve"> do</w:t>
      </w:r>
      <w:r w:rsidR="00151625" w:rsidRPr="003B5716">
        <w:t xml:space="preserve">. </w:t>
      </w:r>
      <w:r w:rsidR="00363C5F" w:rsidRPr="003B5716">
        <w:t xml:space="preserve">The </w:t>
      </w:r>
      <w:r w:rsidR="00056F6A" w:rsidRPr="003B5716">
        <w:t xml:space="preserve">validity of the </w:t>
      </w:r>
      <w:r w:rsidR="00363C5F" w:rsidRPr="003B5716">
        <w:t xml:space="preserve">findings are </w:t>
      </w:r>
      <w:r w:rsidR="00056F6A" w:rsidRPr="003B5716">
        <w:t xml:space="preserve">confirmed by </w:t>
      </w:r>
      <w:r w:rsidR="00363C5F" w:rsidRPr="003B5716">
        <w:t>statistical tests (</w:t>
      </w:r>
      <w:proofErr w:type="gramStart"/>
      <w:r w:rsidR="00363C5F" w:rsidRPr="003B5716">
        <w:t>AR(</w:t>
      </w:r>
      <w:proofErr w:type="gramEnd"/>
      <w:r w:rsidR="00363C5F" w:rsidRPr="003B5716">
        <w:t>2), Hansen test and diff-Hansen)</w:t>
      </w:r>
      <w:r w:rsidR="006A6891" w:rsidRPr="003B5716">
        <w:t xml:space="preserve">. Based on the results, we accept </w:t>
      </w:r>
      <w:r w:rsidR="00363C5F" w:rsidRPr="003B5716">
        <w:t>H2b</w:t>
      </w:r>
      <w:r w:rsidR="006A6891" w:rsidRPr="003B5716">
        <w:t xml:space="preserve"> and claim that family firms take risks to protect patrimony rather than maximise value in Mexico</w:t>
      </w:r>
      <w:r w:rsidR="00363C5F" w:rsidRPr="003B5716">
        <w:t>.</w:t>
      </w:r>
    </w:p>
    <w:p w:rsidR="00AF51C5" w:rsidRDefault="004C2D8A" w:rsidP="00FC692F">
      <w:pPr>
        <w:spacing w:line="480" w:lineRule="auto"/>
        <w:ind w:firstLine="567"/>
      </w:pPr>
      <w:r>
        <w:lastRenderedPageBreak/>
        <w:t>We broaden t</w:t>
      </w:r>
      <w:r w:rsidR="00C13F33" w:rsidRPr="003B5716">
        <w:t xml:space="preserve">he </w:t>
      </w:r>
      <w:r w:rsidR="00363C5F" w:rsidRPr="003B5716">
        <w:t xml:space="preserve">analysis </w:t>
      </w:r>
      <w:r w:rsidR="00C13F33" w:rsidRPr="003B5716">
        <w:t xml:space="preserve">to include FCO and its quadratic term (Table 5, </w:t>
      </w:r>
      <w:r w:rsidR="00363C5F" w:rsidRPr="003B5716">
        <w:t>columns (4)-(6)</w:t>
      </w:r>
      <w:r w:rsidR="00C13F33" w:rsidRPr="003B5716">
        <w:t xml:space="preserve">). </w:t>
      </w:r>
      <w:r w:rsidR="00363C5F" w:rsidRPr="003B5716">
        <w:t xml:space="preserve"> </w:t>
      </w:r>
      <w:r w:rsidR="00C13F33" w:rsidRPr="003B5716">
        <w:t xml:space="preserve">Our findings show </w:t>
      </w:r>
      <w:r w:rsidR="008A6611" w:rsidRPr="003B5716">
        <w:t xml:space="preserve">that </w:t>
      </w:r>
      <w:r w:rsidR="00B33EEA" w:rsidRPr="003B5716">
        <w:t xml:space="preserve">family firms assume greater </w:t>
      </w:r>
      <w:r w:rsidR="006D0203" w:rsidRPr="003B5716">
        <w:t>total risk</w:t>
      </w:r>
      <w:r w:rsidR="00363C5F" w:rsidRPr="003B5716">
        <w:t xml:space="preserve"> as cash flow ownership increases</w:t>
      </w:r>
      <w:r w:rsidR="006D0203" w:rsidRPr="003B5716">
        <w:t xml:space="preserve">. </w:t>
      </w:r>
      <w:r w:rsidR="00C13F33" w:rsidRPr="003B5716">
        <w:t xml:space="preserve">Entrenchment occurs </w:t>
      </w:r>
      <w:r w:rsidR="006D0203" w:rsidRPr="003B5716">
        <w:t xml:space="preserve">when the cash flow ownership of the family is between </w:t>
      </w:r>
      <w:r>
        <w:t>5</w:t>
      </w:r>
      <w:r w:rsidR="006D0203" w:rsidRPr="003B5716">
        <w:t xml:space="preserve">0 and </w:t>
      </w:r>
      <w:r w:rsidR="0056765C" w:rsidRPr="003B5716">
        <w:t xml:space="preserve">60 </w:t>
      </w:r>
      <w:r w:rsidR="006D0203" w:rsidRPr="003B5716">
        <w:t>percent (</w:t>
      </w:r>
      <w:r w:rsidR="0056765C" w:rsidRPr="003B5716">
        <w:t>c</w:t>
      </w:r>
      <w:r w:rsidR="006D0203" w:rsidRPr="003B5716">
        <w:t xml:space="preserve">olumn </w:t>
      </w:r>
      <w:r>
        <w:t>6</w:t>
      </w:r>
      <w:r w:rsidR="006D0203" w:rsidRPr="003B5716">
        <w:t>)</w:t>
      </w:r>
      <w:r>
        <w:t xml:space="preserve"> though the coefficient on the quadratic term in insignificant at conventional levels</w:t>
      </w:r>
      <w:r w:rsidR="006D0203" w:rsidRPr="003B5716">
        <w:t xml:space="preserve">. </w:t>
      </w:r>
      <w:r w:rsidR="00C13F33" w:rsidRPr="003B5716">
        <w:t xml:space="preserve">However, </w:t>
      </w:r>
      <w:r w:rsidR="006D0203" w:rsidRPr="003B5716">
        <w:t xml:space="preserve">cash flow ownership does not </w:t>
      </w:r>
      <w:r w:rsidR="00C13F33" w:rsidRPr="003B5716">
        <w:t xml:space="preserve">appear to yield </w:t>
      </w:r>
      <w:r w:rsidR="006D0203" w:rsidRPr="003B5716">
        <w:t xml:space="preserve">a significant effect in </w:t>
      </w:r>
      <w:r w:rsidR="00B33EEA" w:rsidRPr="003B5716">
        <w:t>performance hazard risk</w:t>
      </w:r>
      <w:r w:rsidR="006D0203" w:rsidRPr="003B5716">
        <w:t xml:space="preserve"> or venturing risk</w:t>
      </w:r>
      <w:r w:rsidR="00B33EEA" w:rsidRPr="003B5716">
        <w:t xml:space="preserve"> </w:t>
      </w:r>
      <w:r w:rsidR="006D0203" w:rsidRPr="003B5716">
        <w:t xml:space="preserve">(columns </w:t>
      </w:r>
      <w:r>
        <w:t>4</w:t>
      </w:r>
      <w:r w:rsidR="006D0203" w:rsidRPr="003B5716">
        <w:t>-</w:t>
      </w:r>
      <w:r>
        <w:t>5</w:t>
      </w:r>
      <w:r w:rsidR="00E5534C" w:rsidRPr="003B5716">
        <w:t>)</w:t>
      </w:r>
      <w:r w:rsidR="006D0203" w:rsidRPr="003B5716">
        <w:t>.</w:t>
      </w:r>
      <w:r w:rsidR="004E1B7A" w:rsidRPr="003B5716">
        <w:t xml:space="preserve"> </w:t>
      </w:r>
      <w:r w:rsidR="00AF51C5">
        <w:t xml:space="preserve">Our results show that venturing risk was significantly higher during the crisis period; whereas total risk is decreasing in firm age, a turning point is reached and more mature firms seem willing to assume, and manage, higher levels of total risk. </w:t>
      </w:r>
    </w:p>
    <w:p w:rsidR="00C426FB" w:rsidRPr="003B5716" w:rsidRDefault="001F4361" w:rsidP="00FC692F">
      <w:pPr>
        <w:spacing w:line="480" w:lineRule="auto"/>
        <w:ind w:firstLine="567"/>
        <w:jc w:val="center"/>
      </w:pPr>
      <w:r w:rsidRPr="003B5716">
        <w:t>Table 5</w:t>
      </w:r>
      <w:r w:rsidR="00C426FB" w:rsidRPr="003B5716">
        <w:t xml:space="preserve"> here</w:t>
      </w:r>
    </w:p>
    <w:p w:rsidR="00D232EE" w:rsidRPr="003B5716" w:rsidRDefault="00E82AC8" w:rsidP="006F584D">
      <w:pPr>
        <w:spacing w:line="480" w:lineRule="auto"/>
        <w:ind w:firstLine="567"/>
      </w:pPr>
      <w:r w:rsidRPr="003B5716">
        <w:t xml:space="preserve">Table 6 </w:t>
      </w:r>
      <w:r w:rsidR="00624ECD" w:rsidRPr="003B5716">
        <w:t xml:space="preserve">reports results from </w:t>
      </w:r>
      <w:proofErr w:type="spellStart"/>
      <w:r w:rsidR="00624ECD" w:rsidRPr="003B5716">
        <w:t>quantile</w:t>
      </w:r>
      <w:proofErr w:type="spellEnd"/>
      <w:r w:rsidR="00624ECD" w:rsidRPr="003B5716">
        <w:t xml:space="preserve"> regressions</w:t>
      </w:r>
      <w:r w:rsidR="000B5E5F" w:rsidRPr="003B5716">
        <w:t xml:space="preserve"> for low-risk and high-risk firms only</w:t>
      </w:r>
      <w:r w:rsidR="00624ECD" w:rsidRPr="003B5716">
        <w:t xml:space="preserve">. </w:t>
      </w:r>
      <w:r w:rsidR="006F584D">
        <w:t>Panel A (columns (2), (4) and (6) show family firms take greater amounts of performance hazard risk, venturing risk, and total risk than high risk (75</w:t>
      </w:r>
      <w:r w:rsidR="006F584D" w:rsidRPr="006F584D">
        <w:rPr>
          <w:vertAlign w:val="superscript"/>
        </w:rPr>
        <w:t>th</w:t>
      </w:r>
      <w:r w:rsidR="006F584D">
        <w:t xml:space="preserve"> percentile) non-family concerns. </w:t>
      </w:r>
      <w:r w:rsidR="00624ECD" w:rsidRPr="003B5716">
        <w:t xml:space="preserve">We observe </w:t>
      </w:r>
      <w:r w:rsidR="006F584D">
        <w:t xml:space="preserve">a </w:t>
      </w:r>
      <w:r w:rsidR="00624ECD" w:rsidRPr="003B5716">
        <w:t xml:space="preserve">performance differential at low levels of </w:t>
      </w:r>
      <w:r w:rsidR="006F584D">
        <w:t xml:space="preserve">total </w:t>
      </w:r>
      <w:r w:rsidR="00624ECD" w:rsidRPr="003B5716">
        <w:t>risk (25</w:t>
      </w:r>
      <w:r w:rsidR="00A90CD1" w:rsidRPr="003B5716">
        <w:rPr>
          <w:vertAlign w:val="superscript"/>
        </w:rPr>
        <w:t>th</w:t>
      </w:r>
      <w:r w:rsidR="00624ECD" w:rsidRPr="003B5716">
        <w:t xml:space="preserve"> percentile)</w:t>
      </w:r>
      <w:r w:rsidR="006F584D">
        <w:t xml:space="preserve">. </w:t>
      </w:r>
      <w:r w:rsidR="00D232EE" w:rsidRPr="003B5716">
        <w:t xml:space="preserve">Arguably, families </w:t>
      </w:r>
      <w:r w:rsidRPr="003B5716">
        <w:t xml:space="preserve">in risky firms </w:t>
      </w:r>
      <w:r w:rsidR="00D232EE" w:rsidRPr="003B5716">
        <w:t xml:space="preserve">prioritise increasing growth and profitability by taking larger business projects (Nguyen, 2011). </w:t>
      </w:r>
      <w:r w:rsidR="00203C4D" w:rsidRPr="003B5716">
        <w:t xml:space="preserve">Panel B reveals the presence of an inverse U-shape relationship between </w:t>
      </w:r>
      <w:r w:rsidR="006F584D">
        <w:t xml:space="preserve">venturing risk and family control, and </w:t>
      </w:r>
      <w:r w:rsidR="00203C4D" w:rsidRPr="003B5716">
        <w:t>total risk and family control at low-risk and high-risk family firms</w:t>
      </w:r>
      <w:r w:rsidR="006F584D">
        <w:t xml:space="preserve">. </w:t>
      </w:r>
    </w:p>
    <w:p w:rsidR="00D232EE" w:rsidRPr="003B5716" w:rsidRDefault="00D232EE" w:rsidP="00FC692F">
      <w:pPr>
        <w:spacing w:line="480" w:lineRule="auto"/>
        <w:ind w:firstLine="567"/>
      </w:pPr>
    </w:p>
    <w:p w:rsidR="00D232EE" w:rsidRPr="003B5716" w:rsidRDefault="00D232EE" w:rsidP="00D232EE">
      <w:pPr>
        <w:spacing w:line="480" w:lineRule="auto"/>
        <w:ind w:firstLine="567"/>
        <w:jc w:val="center"/>
      </w:pPr>
      <w:r w:rsidRPr="003B5716">
        <w:t>Table 6 here</w:t>
      </w:r>
    </w:p>
    <w:p w:rsidR="00BB27DA" w:rsidRPr="003B5716" w:rsidRDefault="00BC201D" w:rsidP="00FC692F">
      <w:pPr>
        <w:spacing w:line="480" w:lineRule="auto"/>
        <w:ind w:firstLine="567"/>
      </w:pPr>
      <w:r w:rsidRPr="003B5716">
        <w:t xml:space="preserve">The </w:t>
      </w:r>
      <w:r w:rsidR="004879C3" w:rsidRPr="003B5716">
        <w:t xml:space="preserve">result that family firms assume greater performance hazard risk supports conjecture that preservation of SEW is a salient strategic objective for controlling families in Mexico. It suggests </w:t>
      </w:r>
      <w:r w:rsidR="0071118A" w:rsidRPr="003B5716">
        <w:t>families willingly trade the p</w:t>
      </w:r>
      <w:r w:rsidR="004879C3" w:rsidRPr="003B5716">
        <w:t xml:space="preserve">robability </w:t>
      </w:r>
      <w:r w:rsidR="0071118A" w:rsidRPr="003B5716">
        <w:t xml:space="preserve">of below-par performance in the future against the </w:t>
      </w:r>
      <w:r w:rsidR="004879C3" w:rsidRPr="003B5716">
        <w:t xml:space="preserve">aim of </w:t>
      </w:r>
      <w:r w:rsidR="0071118A" w:rsidRPr="003B5716">
        <w:t>enhanc</w:t>
      </w:r>
      <w:r w:rsidR="004879C3" w:rsidRPr="003B5716">
        <w:t>ing</w:t>
      </w:r>
      <w:r w:rsidR="0071118A" w:rsidRPr="003B5716">
        <w:t xml:space="preserve"> patrimony through greater risk tolerance, or alternatively, to prioritise firm survival over value maximisation. Lastly, our analysis of </w:t>
      </w:r>
      <w:r w:rsidR="0071118A" w:rsidRPr="003B5716">
        <w:lastRenderedPageBreak/>
        <w:t xml:space="preserve">risk preferences </w:t>
      </w:r>
      <w:r w:rsidR="00424CC9" w:rsidRPr="003B5716">
        <w:t>uncover</w:t>
      </w:r>
      <w:r w:rsidR="00D232EE" w:rsidRPr="003B5716">
        <w:t>s</w:t>
      </w:r>
      <w:r w:rsidR="00424CC9" w:rsidRPr="003B5716">
        <w:t xml:space="preserve"> significant </w:t>
      </w:r>
      <w:r w:rsidR="0071118A" w:rsidRPr="003B5716">
        <w:t>difference</w:t>
      </w:r>
      <w:r w:rsidR="00424CC9" w:rsidRPr="003B5716">
        <w:t>s</w:t>
      </w:r>
      <w:r w:rsidR="0071118A" w:rsidRPr="003B5716">
        <w:t xml:space="preserve"> in venturing risks </w:t>
      </w:r>
      <w:r w:rsidR="00424CC9" w:rsidRPr="003B5716">
        <w:t xml:space="preserve">at </w:t>
      </w:r>
      <w:r w:rsidR="0071118A" w:rsidRPr="003B5716">
        <w:t>family and non-family firms</w:t>
      </w:r>
      <w:r w:rsidR="00D232EE" w:rsidRPr="003B5716">
        <w:t>, which might be present for firms that are naturally risk-takers</w:t>
      </w:r>
      <w:r w:rsidR="0071118A" w:rsidRPr="003B5716">
        <w:t xml:space="preserve">. Our </w:t>
      </w:r>
      <w:r w:rsidR="00E0585D" w:rsidRPr="003B5716">
        <w:t xml:space="preserve">results </w:t>
      </w:r>
      <w:r w:rsidR="006E3EB1" w:rsidRPr="003B5716">
        <w:t xml:space="preserve">partially </w:t>
      </w:r>
      <w:r w:rsidR="00ED730F" w:rsidRPr="003B5716">
        <w:t xml:space="preserve">support </w:t>
      </w:r>
      <w:proofErr w:type="spellStart"/>
      <w:r w:rsidR="0071118A" w:rsidRPr="003B5716">
        <w:t>Berrone</w:t>
      </w:r>
      <w:proofErr w:type="spellEnd"/>
      <w:r w:rsidR="0071118A" w:rsidRPr="003B5716">
        <w:t xml:space="preserve"> et al (2012) who </w:t>
      </w:r>
      <w:r w:rsidR="00ED730F" w:rsidRPr="003B5716">
        <w:t xml:space="preserve">find </w:t>
      </w:r>
      <w:r w:rsidR="0071118A" w:rsidRPr="003B5716">
        <w:t xml:space="preserve">family firms </w:t>
      </w:r>
      <w:r w:rsidR="00424CC9" w:rsidRPr="003B5716">
        <w:t xml:space="preserve">are averse </w:t>
      </w:r>
      <w:r w:rsidR="0071118A" w:rsidRPr="003B5716">
        <w:t>to forward-looking venturing risk</w:t>
      </w:r>
      <w:r w:rsidR="00424CC9" w:rsidRPr="003B5716">
        <w:t xml:space="preserve"> </w:t>
      </w:r>
      <w:r w:rsidR="00E0585D" w:rsidRPr="003B5716">
        <w:t xml:space="preserve">though </w:t>
      </w:r>
      <w:r w:rsidR="00424CC9" w:rsidRPr="003B5716">
        <w:t xml:space="preserve">tolerant of </w:t>
      </w:r>
      <w:r w:rsidR="0071118A" w:rsidRPr="003B5716">
        <w:t xml:space="preserve">performance hazard risk providing it preserves </w:t>
      </w:r>
      <w:r w:rsidR="00054BCC" w:rsidRPr="003B5716">
        <w:t>SEW</w:t>
      </w:r>
      <w:r w:rsidR="0071118A" w:rsidRPr="003B5716">
        <w:t xml:space="preserve">. </w:t>
      </w:r>
    </w:p>
    <w:p w:rsidR="006B5A60" w:rsidRPr="003B5716" w:rsidRDefault="00605759" w:rsidP="00FC692F">
      <w:pPr>
        <w:spacing w:line="480" w:lineRule="auto"/>
        <w:ind w:firstLine="567"/>
      </w:pPr>
      <w:r w:rsidRPr="003B5716">
        <w:t>A use of control mechanisms offsets</w:t>
      </w:r>
      <w:r w:rsidR="00BC201D" w:rsidRPr="003B5716">
        <w:t xml:space="preserve"> a greater </w:t>
      </w:r>
      <w:r w:rsidR="00D232EE" w:rsidRPr="003B5716">
        <w:t xml:space="preserve">total </w:t>
      </w:r>
      <w:r w:rsidR="006C68E7" w:rsidRPr="003B5716">
        <w:t xml:space="preserve">risk-taking of </w:t>
      </w:r>
      <w:r w:rsidR="00D07A1E" w:rsidRPr="003B5716">
        <w:t>family firms</w:t>
      </w:r>
      <w:r w:rsidRPr="003B5716">
        <w:t xml:space="preserve"> by </w:t>
      </w:r>
      <w:r w:rsidR="00D07A1E" w:rsidRPr="003B5716">
        <w:t>induc</w:t>
      </w:r>
      <w:r w:rsidRPr="003B5716">
        <w:t xml:space="preserve">ing </w:t>
      </w:r>
      <w:r w:rsidR="00D07A1E" w:rsidRPr="003B5716">
        <w:t>conservati</w:t>
      </w:r>
      <w:r w:rsidR="006C68E7" w:rsidRPr="003B5716">
        <w:t xml:space="preserve">sm </w:t>
      </w:r>
      <w:r w:rsidR="00D07A1E" w:rsidRPr="003B5716">
        <w:t xml:space="preserve">that significantly lowers </w:t>
      </w:r>
      <w:r w:rsidR="00D232EE" w:rsidRPr="003B5716">
        <w:t xml:space="preserve">total </w:t>
      </w:r>
      <w:r w:rsidR="00CC110C" w:rsidRPr="003B5716">
        <w:t>risk-taking</w:t>
      </w:r>
      <w:r w:rsidR="00CC110C">
        <w:t xml:space="preserve"> and venturing risk-taking for high-risk firms</w:t>
      </w:r>
      <w:r w:rsidR="00D07A1E" w:rsidRPr="003B5716">
        <w:t xml:space="preserve">. </w:t>
      </w:r>
      <w:r w:rsidR="002E7B32" w:rsidRPr="003B5716">
        <w:t xml:space="preserve">We conjecture that </w:t>
      </w:r>
      <w:r w:rsidR="007D15B2" w:rsidRPr="003B5716">
        <w:t>the desire for patrimony could create conservative attitudes to risk</w:t>
      </w:r>
      <w:r w:rsidR="002E7B32" w:rsidRPr="003B5716">
        <w:t xml:space="preserve"> and surmise this </w:t>
      </w:r>
      <w:r w:rsidR="00D232EE" w:rsidRPr="003B5716">
        <w:t>explanation</w:t>
      </w:r>
      <w:r w:rsidR="002E7B32" w:rsidRPr="003B5716">
        <w:t xml:space="preserve"> is more credible than the alternative proposition that </w:t>
      </w:r>
      <w:r w:rsidR="00E3500B" w:rsidRPr="003B5716">
        <w:t>CEM</w:t>
      </w:r>
      <w:r w:rsidR="002E7B32" w:rsidRPr="003B5716">
        <w:t xml:space="preserve"> increases the propensity for firm controllers to expropriate. </w:t>
      </w:r>
    </w:p>
    <w:p w:rsidR="00465C5E" w:rsidRPr="003B5716" w:rsidRDefault="009B54A2" w:rsidP="005C42B2">
      <w:pPr>
        <w:spacing w:line="480" w:lineRule="auto"/>
        <w:ind w:firstLine="567"/>
      </w:pPr>
      <w:r w:rsidRPr="003B5716">
        <w:t>T</w:t>
      </w:r>
      <w:r w:rsidR="00AC0511" w:rsidRPr="003B5716">
        <w:t xml:space="preserve">he </w:t>
      </w:r>
      <w:r w:rsidR="00465C5E" w:rsidRPr="003B5716">
        <w:t>2010 revision of the MCCG requires firms to identify and report risk factors in an effort to improve the transparency of risk management. Board structure should control for risk-appetite</w:t>
      </w:r>
      <w:r w:rsidRPr="003B5716">
        <w:t xml:space="preserve">. Therefore, </w:t>
      </w:r>
      <w:r w:rsidR="00465C5E" w:rsidRPr="003B5716">
        <w:t xml:space="preserve">we </w:t>
      </w:r>
      <w:r w:rsidR="005C42B2">
        <w:t xml:space="preserve">employ the cluster regressions and </w:t>
      </w:r>
      <w:r w:rsidR="00465C5E" w:rsidRPr="003B5716">
        <w:t xml:space="preserve">test the null that the combined impact of the linear effect of the BD Index plus interaction terms is zero. </w:t>
      </w:r>
      <w:r w:rsidR="005C42B2">
        <w:t xml:space="preserve">Whereas the findings infer that </w:t>
      </w:r>
      <w:r w:rsidR="00605759" w:rsidRPr="003B5716">
        <w:t>firms</w:t>
      </w:r>
      <w:r w:rsidR="005C42B2">
        <w:t xml:space="preserve">, which </w:t>
      </w:r>
      <w:r w:rsidR="00605759" w:rsidRPr="003B5716">
        <w:t xml:space="preserve">more stringently comply with the </w:t>
      </w:r>
      <w:proofErr w:type="gramStart"/>
      <w:r w:rsidR="00605759" w:rsidRPr="003B5716">
        <w:t>MCCG</w:t>
      </w:r>
      <w:proofErr w:type="gramEnd"/>
      <w:r w:rsidR="00580B1D" w:rsidRPr="003B5716">
        <w:t xml:space="preserve"> </w:t>
      </w:r>
      <w:r w:rsidR="00E603FD" w:rsidRPr="003B5716">
        <w:t xml:space="preserve">assume higher total </w:t>
      </w:r>
      <w:r w:rsidR="00580B1D" w:rsidRPr="003B5716">
        <w:t>risk</w:t>
      </w:r>
      <w:r w:rsidR="005C42B2">
        <w:t xml:space="preserve"> and lower performance hazard risk and venturing risk, the results are insignificant.</w:t>
      </w:r>
      <w:r w:rsidR="00580B1D" w:rsidRPr="003B5716">
        <w:t xml:space="preserve"> </w:t>
      </w:r>
      <w:r w:rsidR="00A73523" w:rsidRPr="003B5716">
        <w:t xml:space="preserve">Plausibly, </w:t>
      </w:r>
      <w:r w:rsidR="00F833C7" w:rsidRPr="003B5716">
        <w:t xml:space="preserve">shareholders </w:t>
      </w:r>
      <w:r w:rsidR="00A73523" w:rsidRPr="003B5716">
        <w:t xml:space="preserve">tolerate </w:t>
      </w:r>
      <w:r w:rsidR="00F833C7" w:rsidRPr="003B5716">
        <w:t xml:space="preserve">more risk than firm </w:t>
      </w:r>
      <w:r w:rsidR="00605759" w:rsidRPr="003B5716">
        <w:t>managers do</w:t>
      </w:r>
      <w:r w:rsidR="00F833C7" w:rsidRPr="003B5716">
        <w:t xml:space="preserve">, because </w:t>
      </w:r>
      <w:r w:rsidR="00A73523" w:rsidRPr="003B5716">
        <w:t xml:space="preserve">shareholders </w:t>
      </w:r>
      <w:r w:rsidR="00F833C7" w:rsidRPr="003B5716">
        <w:t xml:space="preserve">benefit from portfolio diversification and restrictions on downside risk due to limited liability. </w:t>
      </w:r>
      <w:r w:rsidR="00465C5E" w:rsidRPr="003B5716">
        <w:t xml:space="preserve">However, family owners </w:t>
      </w:r>
      <w:r w:rsidR="00A73523" w:rsidRPr="003B5716">
        <w:t>could tolerate less r</w:t>
      </w:r>
      <w:r w:rsidR="00465C5E" w:rsidRPr="003B5716">
        <w:t>isk</w:t>
      </w:r>
      <w:r w:rsidR="00A73523" w:rsidRPr="003B5716">
        <w:t xml:space="preserve"> particularly if they associate </w:t>
      </w:r>
      <w:r w:rsidR="00465C5E" w:rsidRPr="003B5716">
        <w:t xml:space="preserve">firm value </w:t>
      </w:r>
      <w:r w:rsidR="00A73523" w:rsidRPr="003B5716">
        <w:t xml:space="preserve">with </w:t>
      </w:r>
      <w:r w:rsidR="002170A3">
        <w:t>family</w:t>
      </w:r>
      <w:r w:rsidR="00465C5E" w:rsidRPr="003B5716">
        <w:t xml:space="preserve"> wealth</w:t>
      </w:r>
      <w:r w:rsidR="00A73523" w:rsidRPr="003B5716">
        <w:t xml:space="preserve">, which </w:t>
      </w:r>
      <w:r w:rsidR="00465C5E" w:rsidRPr="003B5716">
        <w:t xml:space="preserve">owners will not jeopardize in case poor decision-making dilutes the inheritance value of the </w:t>
      </w:r>
      <w:r w:rsidR="00580B1D" w:rsidRPr="003B5716">
        <w:t xml:space="preserve">endowed </w:t>
      </w:r>
      <w:r w:rsidR="00465C5E" w:rsidRPr="003B5716">
        <w:t>firm</w:t>
      </w:r>
      <w:r w:rsidR="00DB3A1E" w:rsidRPr="003B5716">
        <w:t xml:space="preserve"> </w:t>
      </w:r>
      <w:r w:rsidR="00465C5E" w:rsidRPr="003B5716">
        <w:t>(</w:t>
      </w:r>
      <w:proofErr w:type="spellStart"/>
      <w:r w:rsidR="00785966" w:rsidRPr="003B5716">
        <w:t>Gómez-Mejía</w:t>
      </w:r>
      <w:proofErr w:type="spellEnd"/>
      <w:r w:rsidR="00465C5E" w:rsidRPr="003B5716">
        <w:t xml:space="preserve"> et al, 2007).</w:t>
      </w:r>
      <w:r w:rsidR="00A73523" w:rsidRPr="003B5716">
        <w:t xml:space="preserve"> Similarly, </w:t>
      </w:r>
      <w:r w:rsidR="00DB3A1E" w:rsidRPr="003B5716">
        <w:t xml:space="preserve">family </w:t>
      </w:r>
      <w:r w:rsidR="00580B1D" w:rsidRPr="003B5716">
        <w:t xml:space="preserve">owners </w:t>
      </w:r>
      <w:r w:rsidR="00DB3A1E" w:rsidRPr="003B5716">
        <w:t>in Taiw</w:t>
      </w:r>
      <w:r w:rsidR="00881196" w:rsidRPr="003B5716">
        <w:t>an use familial involvement on boards, and cronyism, to control risk-taking t</w:t>
      </w:r>
      <w:r w:rsidR="009671F3">
        <w:t>o preserve familial wealth (Su and</w:t>
      </w:r>
      <w:r w:rsidR="00881196" w:rsidRPr="003B5716">
        <w:t xml:space="preserve"> Lee, 201</w:t>
      </w:r>
      <w:r w:rsidR="001F2D6E" w:rsidRPr="003B5716">
        <w:t>3</w:t>
      </w:r>
      <w:r w:rsidR="00881196" w:rsidRPr="003B5716">
        <w:t xml:space="preserve">). </w:t>
      </w:r>
    </w:p>
    <w:p w:rsidR="0000164B" w:rsidRPr="003B5716" w:rsidRDefault="0000164B" w:rsidP="0000164B">
      <w:pPr>
        <w:pStyle w:val="ListParagraph"/>
        <w:numPr>
          <w:ilvl w:val="1"/>
          <w:numId w:val="4"/>
        </w:numPr>
        <w:spacing w:line="480" w:lineRule="auto"/>
        <w:rPr>
          <w:b/>
        </w:rPr>
      </w:pPr>
      <w:r w:rsidRPr="003B5716">
        <w:rPr>
          <w:b/>
        </w:rPr>
        <w:t xml:space="preserve">Value and risk </w:t>
      </w:r>
    </w:p>
    <w:p w:rsidR="0000164B" w:rsidRPr="003B5716" w:rsidRDefault="0000164B" w:rsidP="0000164B">
      <w:pPr>
        <w:spacing w:line="480" w:lineRule="auto"/>
        <w:ind w:firstLine="567"/>
      </w:pPr>
      <w:r w:rsidRPr="003B5716">
        <w:t xml:space="preserve">We consider the proposition that causality runs from risk-taking to value. Tables 8a and 8b show the results of re-estimating equation [1], omitting the proxies for family, CEM </w:t>
      </w:r>
      <w:r w:rsidRPr="003B5716">
        <w:lastRenderedPageBreak/>
        <w:t xml:space="preserve">and BD, and including as covariates the one period lag of risk and firm-specific factors. We estimate separate cluster regressions to identify the effect of each risk type on firm value, and re-estimate using system-GMM for robustness. Generally, risk-taking realises significant value gains. Consistent with our earlier result, the type of risk matters: assuming greater performance hazard risk realises higher next period value. Although venturing risk yields an effect in the same </w:t>
      </w:r>
      <w:r w:rsidR="00CC110C" w:rsidRPr="003B5716">
        <w:t>direction,</w:t>
      </w:r>
      <w:r w:rsidRPr="003B5716">
        <w:t xml:space="preserve"> the coefficient is insignificant</w:t>
      </w:r>
      <w:r w:rsidR="00CC110C">
        <w:t xml:space="preserve">. </w:t>
      </w:r>
      <w:r w:rsidRPr="003B5716">
        <w:t>Our evidence suggests that Mexican firms embark on riskier strategies to generate greater competitive advantage to enhance patrimony. The results are estimated with both measures of value, i.e. TQ and MB and confirm that (</w:t>
      </w:r>
      <w:proofErr w:type="spellStart"/>
      <w:r w:rsidRPr="003B5716">
        <w:t>i</w:t>
      </w:r>
      <w:proofErr w:type="spellEnd"/>
      <w:r w:rsidRPr="003B5716">
        <w:t>) family firms achieve significantly higher corporate values relative to non-family concerns; and (ii) risk-taking is a significant predictor of next period value and the type of risk matters.</w:t>
      </w:r>
    </w:p>
    <w:p w:rsidR="0000164B" w:rsidRPr="003B5716" w:rsidRDefault="0000164B" w:rsidP="0000164B">
      <w:pPr>
        <w:spacing w:line="480" w:lineRule="auto"/>
        <w:ind w:firstLine="567"/>
        <w:jc w:val="center"/>
      </w:pPr>
      <w:r w:rsidRPr="003B5716">
        <w:t>Table 8a and 8b here</w:t>
      </w:r>
    </w:p>
    <w:p w:rsidR="00064A51" w:rsidRPr="003B5716" w:rsidRDefault="00064A51" w:rsidP="0000164B">
      <w:pPr>
        <w:pStyle w:val="ListParagraph"/>
        <w:numPr>
          <w:ilvl w:val="1"/>
          <w:numId w:val="4"/>
        </w:numPr>
        <w:spacing w:line="480" w:lineRule="auto"/>
        <w:rPr>
          <w:b/>
        </w:rPr>
      </w:pPr>
      <w:r w:rsidRPr="003B5716">
        <w:rPr>
          <w:b/>
        </w:rPr>
        <w:t xml:space="preserve">Robustness </w:t>
      </w:r>
    </w:p>
    <w:p w:rsidR="005C2E9F" w:rsidRPr="005C2E9F" w:rsidRDefault="004F3B70" w:rsidP="004F3B70">
      <w:pPr>
        <w:spacing w:line="480" w:lineRule="auto"/>
        <w:ind w:firstLine="567"/>
        <w:jc w:val="both"/>
        <w:rPr>
          <w:rFonts w:eastAsia="MS PGothic"/>
          <w:color w:val="000000"/>
        </w:rPr>
      </w:pPr>
      <w:r>
        <w:rPr>
          <w:rFonts w:eastAsia="MS PGothic"/>
          <w:color w:val="000000"/>
        </w:rPr>
        <w:t>To examine the robustness of our results, w</w:t>
      </w:r>
      <w:r w:rsidR="005C2E9F" w:rsidRPr="005C2E9F">
        <w:rPr>
          <w:rFonts w:eastAsia="MS PGothic"/>
          <w:color w:val="000000"/>
        </w:rPr>
        <w:t xml:space="preserve">e </w:t>
      </w:r>
      <w:r>
        <w:rPr>
          <w:rFonts w:eastAsia="MS PGothic"/>
          <w:color w:val="000000"/>
        </w:rPr>
        <w:t xml:space="preserve">specify </w:t>
      </w:r>
      <w:r w:rsidR="005C2E9F" w:rsidRPr="005C2E9F">
        <w:rPr>
          <w:rFonts w:eastAsia="MS PGothic"/>
          <w:color w:val="000000"/>
        </w:rPr>
        <w:t xml:space="preserve">alternative indicators of performance hazard risk. Following Cruz et al (2014), we construct </w:t>
      </w:r>
      <w:r>
        <w:rPr>
          <w:rFonts w:eastAsia="MS PGothic"/>
          <w:color w:val="000000"/>
        </w:rPr>
        <w:t xml:space="preserve">an </w:t>
      </w:r>
      <w:r w:rsidR="005C2E9F" w:rsidRPr="005C2E9F">
        <w:rPr>
          <w:rFonts w:eastAsia="MS PGothic"/>
          <w:color w:val="000000"/>
        </w:rPr>
        <w:t xml:space="preserve">alternative indicator as the natural logarithm of a firm’s ROA (return on assets) at year </w:t>
      </w:r>
      <w:r w:rsidR="005C2E9F" w:rsidRPr="005C2E9F">
        <w:rPr>
          <w:rFonts w:eastAsia="MS PGothic"/>
          <w:i/>
          <w:color w:val="000000"/>
        </w:rPr>
        <w:t>t-1</w:t>
      </w:r>
      <w:r w:rsidR="005C2E9F" w:rsidRPr="005C2E9F">
        <w:rPr>
          <w:rFonts w:eastAsia="MS PGothic"/>
          <w:color w:val="000000"/>
        </w:rPr>
        <w:t xml:space="preserve"> to ROA at year </w:t>
      </w:r>
      <w:r w:rsidR="005C2E9F" w:rsidRPr="005C2E9F">
        <w:rPr>
          <w:rFonts w:eastAsia="MS PGothic"/>
          <w:i/>
          <w:color w:val="000000"/>
        </w:rPr>
        <w:t>t</w:t>
      </w:r>
      <w:r w:rsidR="005C2E9F" w:rsidRPr="005C2E9F">
        <w:rPr>
          <w:rFonts w:eastAsia="MS PGothic"/>
          <w:color w:val="000000"/>
        </w:rPr>
        <w:t xml:space="preserve">. This variable takes a negative value when firm performance at year </w:t>
      </w:r>
      <w:r w:rsidR="005C2E9F" w:rsidRPr="005C2E9F">
        <w:rPr>
          <w:rFonts w:eastAsia="MS PGothic"/>
          <w:i/>
          <w:color w:val="000000"/>
        </w:rPr>
        <w:t>t</w:t>
      </w:r>
      <w:r w:rsidR="005C2E9F" w:rsidRPr="005C2E9F">
        <w:rPr>
          <w:rFonts w:eastAsia="MS PGothic"/>
          <w:color w:val="000000"/>
        </w:rPr>
        <w:t xml:space="preserve"> is above that of the previous year, zero when performance is equivalent, and positive if a firm’s </w:t>
      </w:r>
      <w:r>
        <w:rPr>
          <w:rFonts w:eastAsia="MS PGothic"/>
          <w:color w:val="000000"/>
        </w:rPr>
        <w:t xml:space="preserve">ROA declines, which implies that </w:t>
      </w:r>
      <w:r w:rsidR="005C2E9F" w:rsidRPr="005C2E9F">
        <w:rPr>
          <w:rFonts w:eastAsia="MS PGothic"/>
          <w:color w:val="000000"/>
        </w:rPr>
        <w:t xml:space="preserve">this indicator increases as firm performance declines. </w:t>
      </w:r>
      <w:r>
        <w:rPr>
          <w:rFonts w:eastAsia="MS PGothic"/>
          <w:color w:val="000000"/>
        </w:rPr>
        <w:t xml:space="preserve">Second, </w:t>
      </w:r>
      <w:r w:rsidR="005C2E9F" w:rsidRPr="005C2E9F">
        <w:rPr>
          <w:rFonts w:eastAsia="MS PGothic"/>
          <w:color w:val="000000"/>
        </w:rPr>
        <w:t xml:space="preserve">we </w:t>
      </w:r>
      <w:r>
        <w:rPr>
          <w:rFonts w:eastAsia="MS PGothic"/>
          <w:color w:val="000000"/>
        </w:rPr>
        <w:t xml:space="preserve">employ a performance-adjusted metric, namely, </w:t>
      </w:r>
      <w:r w:rsidR="005C2E9F" w:rsidRPr="005C2E9F">
        <w:rPr>
          <w:rFonts w:eastAsia="MS PGothic"/>
          <w:color w:val="000000"/>
        </w:rPr>
        <w:t xml:space="preserve">a firm’s ROA </w:t>
      </w:r>
      <w:r>
        <w:rPr>
          <w:rFonts w:eastAsia="MS PGothic"/>
          <w:color w:val="000000"/>
        </w:rPr>
        <w:t>median-a</w:t>
      </w:r>
      <w:r w:rsidR="005C2E9F" w:rsidRPr="005C2E9F">
        <w:rPr>
          <w:rFonts w:eastAsia="MS PGothic"/>
          <w:color w:val="000000"/>
        </w:rPr>
        <w:t>djust</w:t>
      </w:r>
      <w:r>
        <w:rPr>
          <w:rFonts w:eastAsia="MS PGothic"/>
          <w:color w:val="000000"/>
        </w:rPr>
        <w:t>ed</w:t>
      </w:r>
      <w:r w:rsidR="005C2E9F" w:rsidRPr="005C2E9F">
        <w:rPr>
          <w:rFonts w:eastAsia="MS PGothic"/>
          <w:color w:val="000000"/>
        </w:rPr>
        <w:t xml:space="preserve"> by industry and </w:t>
      </w:r>
      <w:r>
        <w:rPr>
          <w:rFonts w:eastAsia="MS PGothic"/>
          <w:color w:val="000000"/>
        </w:rPr>
        <w:t>y</w:t>
      </w:r>
      <w:r w:rsidR="005C2E9F" w:rsidRPr="005C2E9F">
        <w:rPr>
          <w:rFonts w:eastAsia="MS PGothic"/>
          <w:color w:val="000000"/>
        </w:rPr>
        <w:t xml:space="preserve">ear. Lastly, we specify a firm’s </w:t>
      </w:r>
      <w:r>
        <w:rPr>
          <w:rFonts w:eastAsia="MS PGothic"/>
          <w:color w:val="000000"/>
        </w:rPr>
        <w:t xml:space="preserve">annual </w:t>
      </w:r>
      <w:r w:rsidRPr="005C2E9F">
        <w:rPr>
          <w:rFonts w:eastAsia="MS PGothic"/>
          <w:color w:val="000000"/>
        </w:rPr>
        <w:t xml:space="preserve">sales growth </w:t>
      </w:r>
      <w:r>
        <w:rPr>
          <w:rFonts w:eastAsia="MS PGothic"/>
          <w:color w:val="000000"/>
        </w:rPr>
        <w:t>median-</w:t>
      </w:r>
      <w:r w:rsidR="005C2E9F" w:rsidRPr="005C2E9F">
        <w:rPr>
          <w:rFonts w:eastAsia="MS PGothic"/>
          <w:color w:val="000000"/>
        </w:rPr>
        <w:t>adjusted by industry and year. The choice of sales growth is c</w:t>
      </w:r>
      <w:r w:rsidR="002926FA">
        <w:rPr>
          <w:rFonts w:eastAsia="MS PGothic"/>
          <w:color w:val="000000"/>
        </w:rPr>
        <w:t xml:space="preserve">onsistent with </w:t>
      </w:r>
      <w:proofErr w:type="spellStart"/>
      <w:r w:rsidR="002926FA">
        <w:rPr>
          <w:rFonts w:eastAsia="MS PGothic"/>
          <w:color w:val="000000"/>
        </w:rPr>
        <w:t>Attig</w:t>
      </w:r>
      <w:proofErr w:type="spellEnd"/>
      <w:r w:rsidR="002926FA">
        <w:rPr>
          <w:rFonts w:eastAsia="MS PGothic"/>
          <w:color w:val="000000"/>
        </w:rPr>
        <w:t xml:space="preserve"> et al (2016</w:t>
      </w:r>
      <w:r w:rsidR="005C2E9F" w:rsidRPr="005C2E9F">
        <w:rPr>
          <w:rFonts w:eastAsia="MS PGothic"/>
          <w:color w:val="000000"/>
        </w:rPr>
        <w:t xml:space="preserve">). The results from </w:t>
      </w:r>
      <w:r w:rsidR="00DE2B9F">
        <w:rPr>
          <w:rFonts w:eastAsia="MS PGothic"/>
          <w:color w:val="000000"/>
        </w:rPr>
        <w:t>re-</w:t>
      </w:r>
      <w:r w:rsidR="00DE2B9F">
        <w:rPr>
          <w:rFonts w:eastAsia="MS PGothic"/>
          <w:color w:val="000000"/>
        </w:rPr>
        <w:lastRenderedPageBreak/>
        <w:t xml:space="preserve">estimating </w:t>
      </w:r>
      <w:r w:rsidR="005C2E9F" w:rsidRPr="005C2E9F">
        <w:rPr>
          <w:rFonts w:eastAsia="MS PGothic"/>
          <w:color w:val="000000"/>
        </w:rPr>
        <w:t xml:space="preserve">the value and risk regressions using the alternative indicators of performance hazard risk </w:t>
      </w:r>
      <w:r w:rsidR="00DE2B9F">
        <w:rPr>
          <w:rFonts w:eastAsia="MS PGothic"/>
          <w:color w:val="000000"/>
        </w:rPr>
        <w:t xml:space="preserve">are consistent with the main </w:t>
      </w:r>
      <w:r w:rsidR="005C2E9F" w:rsidRPr="005C2E9F">
        <w:rPr>
          <w:rFonts w:eastAsia="MS PGothic"/>
          <w:color w:val="000000"/>
        </w:rPr>
        <w:t>results</w:t>
      </w:r>
      <w:r>
        <w:rPr>
          <w:rFonts w:eastAsia="MS PGothic"/>
          <w:color w:val="000000"/>
        </w:rPr>
        <w:t>.</w:t>
      </w:r>
      <w:r w:rsidR="0028598F">
        <w:rPr>
          <w:rStyle w:val="FootnoteReference"/>
          <w:rFonts w:eastAsia="MS PGothic"/>
          <w:color w:val="000000"/>
        </w:rPr>
        <w:footnoteReference w:id="8"/>
      </w:r>
      <w:r>
        <w:rPr>
          <w:rFonts w:eastAsia="MS PGothic"/>
          <w:color w:val="000000"/>
        </w:rPr>
        <w:t xml:space="preserve"> </w:t>
      </w:r>
    </w:p>
    <w:p w:rsidR="00E241E3" w:rsidRPr="003B5716" w:rsidRDefault="002362FA" w:rsidP="00FC692F">
      <w:pPr>
        <w:spacing w:line="480" w:lineRule="auto"/>
        <w:ind w:firstLine="567"/>
      </w:pPr>
      <w:r w:rsidRPr="003B5716">
        <w:t xml:space="preserve">We </w:t>
      </w:r>
      <w:r w:rsidR="007C0EDC" w:rsidRPr="003B5716">
        <w:t xml:space="preserve">examine </w:t>
      </w:r>
      <w:r w:rsidR="00A97CF1" w:rsidRPr="003B5716">
        <w:t xml:space="preserve">the reliability of </w:t>
      </w:r>
      <w:r w:rsidR="007C0EDC" w:rsidRPr="003B5716">
        <w:t xml:space="preserve">our </w:t>
      </w:r>
      <w:r w:rsidR="00A97CF1" w:rsidRPr="003B5716">
        <w:t xml:space="preserve">results by </w:t>
      </w:r>
      <w:r w:rsidR="007C0EDC" w:rsidRPr="003B5716">
        <w:t xml:space="preserve">determining </w:t>
      </w:r>
      <w:r w:rsidR="00A97CF1" w:rsidRPr="003B5716">
        <w:t xml:space="preserve">the predictive validity of the models from tests using </w:t>
      </w:r>
      <w:r w:rsidR="00605759" w:rsidRPr="003B5716">
        <w:t>holdout</w:t>
      </w:r>
      <w:r w:rsidR="005D0BDD" w:rsidRPr="003B5716">
        <w:t xml:space="preserve"> samples (</w:t>
      </w:r>
      <w:r w:rsidR="007C0EDC" w:rsidRPr="003B5716">
        <w:t>W</w:t>
      </w:r>
      <w:r w:rsidR="005D0BDD" w:rsidRPr="003B5716">
        <w:t>oodside, 2013</w:t>
      </w:r>
      <w:r w:rsidR="00A97CF1" w:rsidRPr="003B5716">
        <w:t>)</w:t>
      </w:r>
      <w:r w:rsidR="007C0EDC" w:rsidRPr="003B5716">
        <w:t xml:space="preserve">. </w:t>
      </w:r>
      <w:r w:rsidR="00605759" w:rsidRPr="003B5716">
        <w:t>We randomly divide t</w:t>
      </w:r>
      <w:r w:rsidR="007C0EDC" w:rsidRPr="003B5716">
        <w:t xml:space="preserve">he sample </w:t>
      </w:r>
      <w:r w:rsidR="0097756A" w:rsidRPr="003B5716">
        <w:t>into two sub-samples</w:t>
      </w:r>
      <w:r w:rsidR="007E3AA1" w:rsidRPr="003B5716">
        <w:t xml:space="preserve"> (firms 1-</w:t>
      </w:r>
      <w:r w:rsidRPr="003B5716">
        <w:t xml:space="preserve">51 </w:t>
      </w:r>
      <w:r w:rsidR="007E3AA1" w:rsidRPr="003B5716">
        <w:t xml:space="preserve">and </w:t>
      </w:r>
      <w:r w:rsidRPr="003B5716">
        <w:t>52</w:t>
      </w:r>
      <w:r w:rsidR="007E3AA1" w:rsidRPr="003B5716">
        <w:t>-1</w:t>
      </w:r>
      <w:r w:rsidRPr="003B5716">
        <w:t>01</w:t>
      </w:r>
      <w:r w:rsidR="007E3AA1" w:rsidRPr="003B5716">
        <w:t>)</w:t>
      </w:r>
      <w:r w:rsidR="007C0EDC" w:rsidRPr="003B5716">
        <w:t xml:space="preserve">. For models reported in </w:t>
      </w:r>
      <w:r w:rsidR="00633B87" w:rsidRPr="003B5716">
        <w:t>column (</w:t>
      </w:r>
      <w:r w:rsidR="00AE79D4" w:rsidRPr="003B5716">
        <w:t>1</w:t>
      </w:r>
      <w:r w:rsidR="00633B87" w:rsidRPr="003B5716">
        <w:t>)</w:t>
      </w:r>
      <w:r w:rsidR="00D07653" w:rsidRPr="003B5716">
        <w:t xml:space="preserve"> and (2)</w:t>
      </w:r>
      <w:r w:rsidR="00633B87" w:rsidRPr="003B5716">
        <w:t xml:space="preserve"> of Table</w:t>
      </w:r>
      <w:r w:rsidR="00AE79D4" w:rsidRPr="003B5716">
        <w:t xml:space="preserve"> 3, and columns (1</w:t>
      </w:r>
      <w:r w:rsidR="00925972" w:rsidRPr="003B5716">
        <w:t xml:space="preserve">, </w:t>
      </w:r>
      <w:r w:rsidR="00D07653" w:rsidRPr="003B5716">
        <w:t>2</w:t>
      </w:r>
      <w:r w:rsidR="00925972" w:rsidRPr="003B5716">
        <w:t xml:space="preserve"> </w:t>
      </w:r>
      <w:r w:rsidR="00D07653" w:rsidRPr="003B5716">
        <w:t>and 3) of Table 5</w:t>
      </w:r>
      <w:r w:rsidR="00AE79D4" w:rsidRPr="003B5716">
        <w:t xml:space="preserve">, we </w:t>
      </w:r>
      <w:r w:rsidR="00633B87" w:rsidRPr="003B5716">
        <w:t xml:space="preserve">estimate the predicted values of the dependent variables for firms in sub-sample one using the estimated coefficients from the hold-out sample, and repeat the process to </w:t>
      </w:r>
      <w:r w:rsidR="002A0E24" w:rsidRPr="003B5716">
        <w:t>derive predicted values for fir</w:t>
      </w:r>
      <w:r w:rsidR="00633B87" w:rsidRPr="003B5716">
        <w:t xml:space="preserve">ms in sub-sample two. </w:t>
      </w:r>
      <w:r w:rsidR="0097756A" w:rsidRPr="003B5716">
        <w:t xml:space="preserve">To establish </w:t>
      </w:r>
      <w:r w:rsidR="00633B87" w:rsidRPr="003B5716">
        <w:t xml:space="preserve">the </w:t>
      </w:r>
      <w:r w:rsidR="0097756A" w:rsidRPr="003B5716">
        <w:t xml:space="preserve">predictive validity </w:t>
      </w:r>
      <w:r w:rsidR="00633B87" w:rsidRPr="003B5716">
        <w:t xml:space="preserve">of the models </w:t>
      </w:r>
      <w:r w:rsidR="002A0E24" w:rsidRPr="003B5716">
        <w:t xml:space="preserve">we </w:t>
      </w:r>
      <w:r w:rsidR="0097756A" w:rsidRPr="003B5716">
        <w:t>correlat</w:t>
      </w:r>
      <w:r w:rsidR="002A0E24" w:rsidRPr="003B5716">
        <w:t xml:space="preserve">e </w:t>
      </w:r>
      <w:r w:rsidR="0097756A" w:rsidRPr="003B5716">
        <w:t>predicted and actual values</w:t>
      </w:r>
      <w:r w:rsidR="002A0E24" w:rsidRPr="003B5716">
        <w:t>.</w:t>
      </w:r>
      <w:r w:rsidR="007E3AA1" w:rsidRPr="003B5716">
        <w:t xml:space="preserve"> Table </w:t>
      </w:r>
      <w:r w:rsidR="00D07653" w:rsidRPr="003B5716">
        <w:t>9</w:t>
      </w:r>
      <w:r w:rsidR="007E3AA1" w:rsidRPr="003B5716">
        <w:t xml:space="preserve"> shows </w:t>
      </w:r>
      <w:r w:rsidR="00BC4AE4" w:rsidRPr="003B5716">
        <w:t xml:space="preserve">all </w:t>
      </w:r>
      <w:proofErr w:type="gramStart"/>
      <w:r w:rsidR="00BC4AE4" w:rsidRPr="003B5716">
        <w:t>bar</w:t>
      </w:r>
      <w:proofErr w:type="gramEnd"/>
      <w:r w:rsidR="00BC4AE4" w:rsidRPr="003B5716">
        <w:t xml:space="preserve"> one </w:t>
      </w:r>
      <w:r w:rsidR="00D3720A" w:rsidRPr="003B5716">
        <w:t>correlation</w:t>
      </w:r>
      <w:r w:rsidR="00BC4AE4" w:rsidRPr="003B5716">
        <w:t xml:space="preserve"> i</w:t>
      </w:r>
      <w:r w:rsidR="002D4328" w:rsidRPr="003B5716">
        <w:t xml:space="preserve">s </w:t>
      </w:r>
      <w:r w:rsidR="00D3720A" w:rsidRPr="003B5716">
        <w:t xml:space="preserve">significant at the 5 percent level </w:t>
      </w:r>
      <w:r w:rsidR="007C0EDC" w:rsidRPr="003B5716">
        <w:t xml:space="preserve">implying that our </w:t>
      </w:r>
      <w:r w:rsidR="0039542E" w:rsidRPr="003B5716">
        <w:t>models hold predictive validity.</w:t>
      </w:r>
      <w:r w:rsidR="00D07653" w:rsidRPr="003B5716">
        <w:t xml:space="preserve"> </w:t>
      </w:r>
    </w:p>
    <w:p w:rsidR="00BF75E9" w:rsidRPr="003B5716" w:rsidRDefault="00BF75E9" w:rsidP="00FC692F">
      <w:pPr>
        <w:spacing w:line="480" w:lineRule="auto"/>
        <w:ind w:firstLine="567"/>
        <w:jc w:val="center"/>
      </w:pPr>
      <w:r w:rsidRPr="003B5716">
        <w:t>Ta</w:t>
      </w:r>
      <w:r w:rsidR="0040124F" w:rsidRPr="003B5716">
        <w:t xml:space="preserve">ble </w:t>
      </w:r>
      <w:r w:rsidR="00D07653" w:rsidRPr="003B5716">
        <w:t>9</w:t>
      </w:r>
      <w:r w:rsidR="0040124F" w:rsidRPr="003B5716">
        <w:t xml:space="preserve"> here</w:t>
      </w:r>
    </w:p>
    <w:p w:rsidR="008F12BE" w:rsidRPr="003B5716" w:rsidRDefault="00C26AA6" w:rsidP="00D07653">
      <w:pPr>
        <w:spacing w:line="480" w:lineRule="auto"/>
        <w:rPr>
          <w:b/>
          <w:bCs/>
        </w:rPr>
      </w:pPr>
      <w:r w:rsidRPr="003B5716">
        <w:rPr>
          <w:b/>
        </w:rPr>
        <w:tab/>
      </w:r>
      <w:r w:rsidR="008F12BE" w:rsidRPr="003B5716">
        <w:rPr>
          <w:b/>
          <w:bCs/>
        </w:rPr>
        <w:t>Conclusions</w:t>
      </w:r>
    </w:p>
    <w:p w:rsidR="00DC79E3" w:rsidRDefault="00DC79E3" w:rsidP="00FC692F">
      <w:pPr>
        <w:spacing w:line="480" w:lineRule="auto"/>
        <w:ind w:firstLine="567"/>
      </w:pPr>
      <w:r w:rsidRPr="003B5716">
        <w:t>The Mexican case offers insight into</w:t>
      </w:r>
      <w:r w:rsidR="009E12F2">
        <w:t xml:space="preserve"> a Latin American setting on</w:t>
      </w:r>
      <w:r w:rsidRPr="003B5716">
        <w:t xml:space="preserve"> how corporate governance can discipline owners and boards </w:t>
      </w:r>
      <w:r w:rsidR="004A60FE" w:rsidRPr="003B5716">
        <w:t>when</w:t>
      </w:r>
      <w:r w:rsidRPr="003B5716">
        <w:t xml:space="preserve">: (1) a weak legal environment struggles to protect minority investors; (2) family control is the dominant corporate model; (3) cultural traditions promote family patrimony. </w:t>
      </w:r>
    </w:p>
    <w:p w:rsidR="00E24801" w:rsidRPr="00791F77" w:rsidRDefault="00E24801" w:rsidP="00E24801">
      <w:pPr>
        <w:spacing w:line="480" w:lineRule="auto"/>
        <w:ind w:firstLine="567"/>
        <w:jc w:val="both"/>
      </w:pPr>
      <w:r w:rsidRPr="00791F77">
        <w:t xml:space="preserve">The Mexican context is as an example of an emerging Latin American market. Mexico presents an interesting case study for different reasons. First, </w:t>
      </w:r>
      <w:r w:rsidR="00447F3C">
        <w:t xml:space="preserve">family ownership is the dominant firm ownership model </w:t>
      </w:r>
      <w:r w:rsidRPr="00791F77">
        <w:t xml:space="preserve">and, in conflict with good corporate governance practices, families or family connections tend to both sit on the board and manage the company, limiting the involvement of minority shareholders. Culture and traditions in Mexico resemble those of the Latin American region where family control is predominant as a rational means to safeguard a firm’s resources to pass on to future generations, thereby </w:t>
      </w:r>
      <w:r w:rsidRPr="00791F77">
        <w:lastRenderedPageBreak/>
        <w:t>increasing a firm’s value as a consequence and possibly increasing the involvement in innovative business projects (risk-taking) as a means of achieving that goal. In addition, the legal environment in Mexico as in Latin America</w:t>
      </w:r>
      <w:r>
        <w:t xml:space="preserve"> as a whole, </w:t>
      </w:r>
      <w:r w:rsidRPr="00791F77">
        <w:t xml:space="preserve">although improved in recent years, limits firms’ access to finance as a result of the weak legal system that prevails (La </w:t>
      </w:r>
      <w:proofErr w:type="spellStart"/>
      <w:r w:rsidRPr="00791F77">
        <w:t>Porta</w:t>
      </w:r>
      <w:proofErr w:type="spellEnd"/>
      <w:r w:rsidRPr="00791F77">
        <w:t xml:space="preserve"> et al, 1998). </w:t>
      </w:r>
    </w:p>
    <w:p w:rsidR="00233685" w:rsidRPr="003B5716" w:rsidRDefault="00DB052F" w:rsidP="00FC692F">
      <w:pPr>
        <w:spacing w:line="480" w:lineRule="auto"/>
        <w:ind w:firstLine="567"/>
        <w:rPr>
          <w:color w:val="000000" w:themeColor="text1"/>
        </w:rPr>
      </w:pPr>
      <w:r w:rsidRPr="003B5716">
        <w:t xml:space="preserve">Our </w:t>
      </w:r>
      <w:r w:rsidR="00233685" w:rsidRPr="003B5716">
        <w:t xml:space="preserve">results strongly suggest the </w:t>
      </w:r>
      <w:r w:rsidRPr="003B5716">
        <w:t xml:space="preserve">culture and tradition </w:t>
      </w:r>
      <w:r w:rsidR="00233685" w:rsidRPr="003B5716">
        <w:t xml:space="preserve">of </w:t>
      </w:r>
      <w:r w:rsidRPr="003B5716">
        <w:t xml:space="preserve">Mexican families </w:t>
      </w:r>
      <w:r w:rsidR="00233685" w:rsidRPr="003B5716">
        <w:t xml:space="preserve">influence firm behaviour with repercussions for value and risk-taking. </w:t>
      </w:r>
      <w:r w:rsidRPr="003B5716">
        <w:t xml:space="preserve">Family controllers </w:t>
      </w:r>
      <w:r w:rsidR="00233685" w:rsidRPr="003B5716">
        <w:t xml:space="preserve">desire </w:t>
      </w:r>
      <w:r w:rsidRPr="003B5716">
        <w:t xml:space="preserve">to bequeath viable firms and family descendants </w:t>
      </w:r>
      <w:r w:rsidR="00233685" w:rsidRPr="003B5716">
        <w:t xml:space="preserve">participating </w:t>
      </w:r>
      <w:r w:rsidRPr="003B5716">
        <w:t xml:space="preserve">in firm operations tend to </w:t>
      </w:r>
      <w:r w:rsidR="00233685" w:rsidRPr="003B5716">
        <w:t xml:space="preserve">demonstrate </w:t>
      </w:r>
      <w:r w:rsidRPr="003B5716">
        <w:t xml:space="preserve">responsibility and loyalty towards the </w:t>
      </w:r>
      <w:r w:rsidR="00233685" w:rsidRPr="003B5716">
        <w:t xml:space="preserve">familial entity. Our </w:t>
      </w:r>
      <w:r w:rsidR="002E31E1" w:rsidRPr="003B5716">
        <w:t xml:space="preserve">findings </w:t>
      </w:r>
      <w:r w:rsidR="00233685" w:rsidRPr="003B5716">
        <w:t xml:space="preserve">confirm </w:t>
      </w:r>
      <w:r w:rsidR="002E31E1" w:rsidRPr="003B5716">
        <w:t xml:space="preserve">results </w:t>
      </w:r>
      <w:r w:rsidR="004D7E68" w:rsidRPr="003B5716">
        <w:t xml:space="preserve">from other countries </w:t>
      </w:r>
      <w:r w:rsidR="002E31E1" w:rsidRPr="003B5716">
        <w:t>s</w:t>
      </w:r>
      <w:r w:rsidR="004D7E68" w:rsidRPr="003B5716">
        <w:t>how</w:t>
      </w:r>
      <w:r w:rsidR="002E31E1" w:rsidRPr="003B5716">
        <w:t>ing</w:t>
      </w:r>
      <w:r w:rsidR="004D7E68" w:rsidRPr="003B5716">
        <w:t xml:space="preserve"> family firms </w:t>
      </w:r>
      <w:r w:rsidR="002E31E1" w:rsidRPr="003B5716">
        <w:t xml:space="preserve">outperform </w:t>
      </w:r>
      <w:r w:rsidR="004D7E68" w:rsidRPr="003B5716">
        <w:t>non-family firms</w:t>
      </w:r>
      <w:r w:rsidR="002E31E1" w:rsidRPr="003B5716">
        <w:t xml:space="preserve"> in terms of value</w:t>
      </w:r>
      <w:r w:rsidR="00E31538" w:rsidRPr="003B5716">
        <w:t xml:space="preserve">, particularly </w:t>
      </w:r>
      <w:r w:rsidR="00875DDA" w:rsidRPr="003B5716">
        <w:t xml:space="preserve">in firms </w:t>
      </w:r>
      <w:r w:rsidR="00E31538" w:rsidRPr="003B5716">
        <w:t xml:space="preserve">with </w:t>
      </w:r>
      <w:r w:rsidR="00875DDA" w:rsidRPr="003B5716">
        <w:t>highe</w:t>
      </w:r>
      <w:r w:rsidR="00E31538" w:rsidRPr="003B5716">
        <w:t xml:space="preserve">r </w:t>
      </w:r>
      <w:r w:rsidR="00875DDA" w:rsidRPr="003B5716">
        <w:t xml:space="preserve">values. </w:t>
      </w:r>
      <w:r w:rsidR="00233685" w:rsidRPr="003B5716">
        <w:t xml:space="preserve">We also find Mexico’s family firms willingly assume higher risk but </w:t>
      </w:r>
      <w:r w:rsidR="00D258FB" w:rsidRPr="003B5716">
        <w:t>the objectives for risk-taking differ from those of non-family firms</w:t>
      </w:r>
      <w:r w:rsidR="00233685" w:rsidRPr="003B5716">
        <w:t xml:space="preserve">. Specifically, firms </w:t>
      </w:r>
      <w:r w:rsidR="00143D22" w:rsidRPr="003B5716">
        <w:t xml:space="preserve">assume </w:t>
      </w:r>
      <w:r w:rsidR="00233685" w:rsidRPr="003B5716">
        <w:t>performance hazard risk</w:t>
      </w:r>
      <w:r w:rsidR="00D258FB" w:rsidRPr="003B5716">
        <w:t xml:space="preserve"> with </w:t>
      </w:r>
      <w:r w:rsidR="00D258FB" w:rsidRPr="003B5716">
        <w:rPr>
          <w:color w:val="000000" w:themeColor="text1"/>
        </w:rPr>
        <w:t xml:space="preserve">the aim to preserve socioemotional wealth, </w:t>
      </w:r>
      <w:r w:rsidR="00233685" w:rsidRPr="003B5716">
        <w:rPr>
          <w:color w:val="000000" w:themeColor="text1"/>
        </w:rPr>
        <w:t xml:space="preserve">even though </w:t>
      </w:r>
      <w:r w:rsidR="00143D22" w:rsidRPr="003B5716">
        <w:rPr>
          <w:color w:val="000000" w:themeColor="text1"/>
        </w:rPr>
        <w:t xml:space="preserve">it </w:t>
      </w:r>
      <w:r w:rsidR="00605759" w:rsidRPr="003B5716">
        <w:rPr>
          <w:color w:val="000000" w:themeColor="text1"/>
        </w:rPr>
        <w:t xml:space="preserve">could </w:t>
      </w:r>
      <w:r w:rsidR="00233685" w:rsidRPr="003B5716">
        <w:rPr>
          <w:color w:val="000000" w:themeColor="text1"/>
        </w:rPr>
        <w:t xml:space="preserve">increase the probability of </w:t>
      </w:r>
      <w:r w:rsidR="00143D22" w:rsidRPr="003B5716">
        <w:rPr>
          <w:color w:val="000000" w:themeColor="text1"/>
        </w:rPr>
        <w:t xml:space="preserve">financial </w:t>
      </w:r>
      <w:r w:rsidR="00233685" w:rsidRPr="003B5716">
        <w:rPr>
          <w:color w:val="000000" w:themeColor="text1"/>
        </w:rPr>
        <w:t>d</w:t>
      </w:r>
      <w:r w:rsidR="00143D22" w:rsidRPr="003B5716">
        <w:rPr>
          <w:color w:val="000000" w:themeColor="text1"/>
        </w:rPr>
        <w:t xml:space="preserve">uress </w:t>
      </w:r>
      <w:r w:rsidR="00233685" w:rsidRPr="003B5716">
        <w:rPr>
          <w:color w:val="000000" w:themeColor="text1"/>
        </w:rPr>
        <w:t xml:space="preserve">and bankruptcy. Firms behave in this manner providing taking this type of risk does not </w:t>
      </w:r>
      <w:r w:rsidR="00143D22" w:rsidRPr="003B5716">
        <w:rPr>
          <w:color w:val="000000" w:themeColor="text1"/>
        </w:rPr>
        <w:t xml:space="preserve">endanger </w:t>
      </w:r>
      <w:r w:rsidR="00D258FB" w:rsidRPr="003B5716">
        <w:rPr>
          <w:color w:val="000000" w:themeColor="text1"/>
        </w:rPr>
        <w:t>continuity of the family firm</w:t>
      </w:r>
      <w:r w:rsidR="00143D22" w:rsidRPr="003B5716">
        <w:rPr>
          <w:color w:val="000000" w:themeColor="text1"/>
        </w:rPr>
        <w:t xml:space="preserve">. </w:t>
      </w:r>
      <w:r w:rsidR="003F2A00">
        <w:rPr>
          <w:color w:val="000000" w:themeColor="text1"/>
        </w:rPr>
        <w:t xml:space="preserve">By contrast, we </w:t>
      </w:r>
      <w:r w:rsidR="00294BE1" w:rsidRPr="003B5716">
        <w:rPr>
          <w:color w:val="000000" w:themeColor="text1"/>
        </w:rPr>
        <w:t xml:space="preserve">find a significant difference between the family and non-family cohorts </w:t>
      </w:r>
      <w:r w:rsidR="00605759" w:rsidRPr="003B5716">
        <w:rPr>
          <w:color w:val="000000" w:themeColor="text1"/>
        </w:rPr>
        <w:t>concerning</w:t>
      </w:r>
      <w:r w:rsidR="00294BE1" w:rsidRPr="003B5716">
        <w:rPr>
          <w:color w:val="000000" w:themeColor="text1"/>
        </w:rPr>
        <w:t xml:space="preserve"> venturing risks,</w:t>
      </w:r>
      <w:r w:rsidR="00875DDA" w:rsidRPr="003B5716">
        <w:rPr>
          <w:color w:val="000000" w:themeColor="text1"/>
        </w:rPr>
        <w:t xml:space="preserve"> </w:t>
      </w:r>
      <w:r w:rsidR="00E6642E" w:rsidRPr="003B5716">
        <w:rPr>
          <w:color w:val="000000" w:themeColor="text1"/>
        </w:rPr>
        <w:t xml:space="preserve">albeit only for </w:t>
      </w:r>
      <w:r w:rsidR="00875DDA" w:rsidRPr="003B5716">
        <w:rPr>
          <w:color w:val="000000" w:themeColor="text1"/>
        </w:rPr>
        <w:t>firms tak</w:t>
      </w:r>
      <w:r w:rsidR="00E6642E" w:rsidRPr="003B5716">
        <w:rPr>
          <w:color w:val="000000" w:themeColor="text1"/>
        </w:rPr>
        <w:t xml:space="preserve">ing </w:t>
      </w:r>
      <w:r w:rsidR="00875DDA" w:rsidRPr="003B5716">
        <w:rPr>
          <w:color w:val="000000" w:themeColor="text1"/>
        </w:rPr>
        <w:t>greatest risks</w:t>
      </w:r>
      <w:r w:rsidR="00E6642E" w:rsidRPr="003B5716">
        <w:rPr>
          <w:color w:val="000000" w:themeColor="text1"/>
        </w:rPr>
        <w:t xml:space="preserve">. This </w:t>
      </w:r>
      <w:r w:rsidR="00875DDA" w:rsidRPr="003B5716">
        <w:rPr>
          <w:color w:val="000000" w:themeColor="text1"/>
        </w:rPr>
        <w:t>suggest</w:t>
      </w:r>
      <w:r w:rsidR="00E6642E" w:rsidRPr="003B5716">
        <w:rPr>
          <w:color w:val="000000" w:themeColor="text1"/>
        </w:rPr>
        <w:t>s</w:t>
      </w:r>
      <w:r w:rsidR="00875DDA" w:rsidRPr="003B5716">
        <w:rPr>
          <w:color w:val="000000" w:themeColor="text1"/>
        </w:rPr>
        <w:t xml:space="preserve"> that higher levels of venturing risk might indicate greater competitive advantage for family firms, </w:t>
      </w:r>
      <w:r w:rsidR="00E6642E" w:rsidRPr="003B5716">
        <w:rPr>
          <w:color w:val="000000" w:themeColor="text1"/>
        </w:rPr>
        <w:t xml:space="preserve">which </w:t>
      </w:r>
      <w:r w:rsidR="00875DDA" w:rsidRPr="003B5716">
        <w:rPr>
          <w:color w:val="000000" w:themeColor="text1"/>
        </w:rPr>
        <w:t>encourag</w:t>
      </w:r>
      <w:r w:rsidR="00E6642E" w:rsidRPr="003B5716">
        <w:rPr>
          <w:color w:val="000000" w:themeColor="text1"/>
        </w:rPr>
        <w:t xml:space="preserve">es </w:t>
      </w:r>
      <w:r w:rsidR="00875DDA" w:rsidRPr="003B5716">
        <w:rPr>
          <w:color w:val="000000" w:themeColor="text1"/>
        </w:rPr>
        <w:t>the</w:t>
      </w:r>
      <w:r w:rsidR="00E6642E" w:rsidRPr="003B5716">
        <w:rPr>
          <w:color w:val="000000" w:themeColor="text1"/>
        </w:rPr>
        <w:t xml:space="preserve">se firms </w:t>
      </w:r>
      <w:r w:rsidR="00875DDA" w:rsidRPr="003B5716">
        <w:rPr>
          <w:color w:val="000000" w:themeColor="text1"/>
        </w:rPr>
        <w:t xml:space="preserve">to </w:t>
      </w:r>
      <w:r w:rsidR="002D31DB" w:rsidRPr="003B5716">
        <w:rPr>
          <w:color w:val="000000" w:themeColor="text1"/>
        </w:rPr>
        <w:t>pursue substitute</w:t>
      </w:r>
      <w:r w:rsidR="00294BE1" w:rsidRPr="003B5716">
        <w:rPr>
          <w:color w:val="000000" w:themeColor="text1"/>
        </w:rPr>
        <w:t xml:space="preserve"> strategies </w:t>
      </w:r>
      <w:r w:rsidR="00E37074" w:rsidRPr="003B5716">
        <w:rPr>
          <w:color w:val="000000" w:themeColor="text1"/>
        </w:rPr>
        <w:t xml:space="preserve">should </w:t>
      </w:r>
      <w:r w:rsidR="00294BE1" w:rsidRPr="003B5716">
        <w:rPr>
          <w:color w:val="000000" w:themeColor="text1"/>
        </w:rPr>
        <w:t>firm performance fall below target.</w:t>
      </w:r>
    </w:p>
    <w:p w:rsidR="00875DDA" w:rsidRPr="003B5716" w:rsidRDefault="00875DDA" w:rsidP="00FC692F">
      <w:pPr>
        <w:spacing w:line="480" w:lineRule="auto"/>
        <w:ind w:firstLine="567"/>
        <w:rPr>
          <w:color w:val="000000" w:themeColor="text1"/>
        </w:rPr>
      </w:pPr>
      <w:r w:rsidRPr="003B5716">
        <w:t xml:space="preserve">Importantly, firm value is increasing in cash flow ownership until a threshold of control is met, which we calculate to be around 40% to 50%. The Mexican result confirms some predictions of agency and stewardship theories: when family control is less </w:t>
      </w:r>
      <w:r w:rsidR="00447F3C" w:rsidRPr="003B5716">
        <w:t>concentrated,</w:t>
      </w:r>
      <w:r w:rsidRPr="003B5716">
        <w:t xml:space="preserve"> a greater presence of outside and/or affiliate directors lessens agency costs, and motivates family members to fulfil organizational objectives in line with the </w:t>
      </w:r>
      <w:r w:rsidRPr="003B5716">
        <w:lastRenderedPageBreak/>
        <w:t>alignment-of-interests hypothesis. However, our result infers that at higher levels of control, the aversion to losing SEW, including the endowment of firms to heirs, instils a conservative attitude to risk-taking as firm controllers prioritize objectives other than value maximization.</w:t>
      </w:r>
      <w:r w:rsidR="00113115" w:rsidRPr="003B5716">
        <w:t xml:space="preserve"> Whereas </w:t>
      </w:r>
      <w:r w:rsidR="00C4053A" w:rsidRPr="003B5716">
        <w:t xml:space="preserve">the use of control mechanisms in Mexican firms seem to decrease value and risk-taking, this negative effect is offset by the compliance </w:t>
      </w:r>
      <w:r w:rsidR="00933D56" w:rsidRPr="003B5716">
        <w:t xml:space="preserve">with </w:t>
      </w:r>
      <w:r w:rsidR="00C4053A" w:rsidRPr="003B5716">
        <w:t>corporate governance recommendations regard</w:t>
      </w:r>
      <w:r w:rsidR="00933D56" w:rsidRPr="003B5716">
        <w:t xml:space="preserve">ing </w:t>
      </w:r>
      <w:r w:rsidR="00C4053A" w:rsidRPr="003B5716">
        <w:t>the composition of the board of directors.</w:t>
      </w:r>
    </w:p>
    <w:p w:rsidR="002F3255" w:rsidRPr="003B5716" w:rsidRDefault="00270379" w:rsidP="00FC692F">
      <w:pPr>
        <w:spacing w:line="480" w:lineRule="auto"/>
        <w:ind w:firstLine="567"/>
        <w:rPr>
          <w:color w:val="000000" w:themeColor="text1"/>
        </w:rPr>
      </w:pPr>
      <w:r w:rsidRPr="003B5716">
        <w:rPr>
          <w:color w:val="000000" w:themeColor="text1"/>
        </w:rPr>
        <w:t>In</w:t>
      </w:r>
      <w:r w:rsidR="00294BE1" w:rsidRPr="003B5716">
        <w:rPr>
          <w:color w:val="000000" w:themeColor="text1"/>
        </w:rPr>
        <w:t xml:space="preserve"> summary, the Mexican result </w:t>
      </w:r>
      <w:r w:rsidR="00E37074" w:rsidRPr="003B5716">
        <w:rPr>
          <w:color w:val="000000" w:themeColor="text1"/>
        </w:rPr>
        <w:t xml:space="preserve">demonstrates </w:t>
      </w:r>
      <w:r w:rsidR="00294BE1" w:rsidRPr="003B5716">
        <w:rPr>
          <w:color w:val="000000" w:themeColor="text1"/>
        </w:rPr>
        <w:t xml:space="preserve">that socioemotional wealth theory </w:t>
      </w:r>
      <w:r w:rsidR="00E37074" w:rsidRPr="003B5716">
        <w:rPr>
          <w:color w:val="000000" w:themeColor="text1"/>
        </w:rPr>
        <w:t xml:space="preserve">can adequately </w:t>
      </w:r>
      <w:r w:rsidR="00294BE1" w:rsidRPr="003B5716">
        <w:rPr>
          <w:color w:val="000000" w:themeColor="text1"/>
        </w:rPr>
        <w:t>explain</w:t>
      </w:r>
      <w:r w:rsidR="00E37074" w:rsidRPr="003B5716">
        <w:rPr>
          <w:color w:val="000000" w:themeColor="text1"/>
        </w:rPr>
        <w:t xml:space="preserve"> </w:t>
      </w:r>
      <w:r w:rsidR="00294BE1" w:rsidRPr="003B5716">
        <w:rPr>
          <w:color w:val="000000" w:themeColor="text1"/>
        </w:rPr>
        <w:t xml:space="preserve">the dynamics of financial behaviour in family firms. </w:t>
      </w:r>
      <w:r w:rsidR="00E37074" w:rsidRPr="003B5716">
        <w:rPr>
          <w:color w:val="000000" w:themeColor="text1"/>
        </w:rPr>
        <w:t>We suggest t</w:t>
      </w:r>
      <w:r w:rsidR="00294BE1" w:rsidRPr="003B5716">
        <w:rPr>
          <w:color w:val="000000" w:themeColor="text1"/>
        </w:rPr>
        <w:t>h</w:t>
      </w:r>
      <w:r w:rsidR="00E37074" w:rsidRPr="003B5716">
        <w:rPr>
          <w:color w:val="000000" w:themeColor="text1"/>
        </w:rPr>
        <w:t xml:space="preserve">e SEW perspective </w:t>
      </w:r>
      <w:r w:rsidR="00294BE1" w:rsidRPr="003B5716">
        <w:rPr>
          <w:color w:val="000000" w:themeColor="text1"/>
        </w:rPr>
        <w:t xml:space="preserve">complements agency and stewardship arguments </w:t>
      </w:r>
      <w:r w:rsidR="00E37074" w:rsidRPr="003B5716">
        <w:rPr>
          <w:color w:val="000000" w:themeColor="text1"/>
        </w:rPr>
        <w:t xml:space="preserve">that are commonly invoked </w:t>
      </w:r>
      <w:r w:rsidR="00294BE1" w:rsidRPr="003B5716">
        <w:rPr>
          <w:color w:val="000000" w:themeColor="text1"/>
        </w:rPr>
        <w:t>to explain the higher values of family firms versus non-family concerns.</w:t>
      </w:r>
    </w:p>
    <w:p w:rsidR="002F3255" w:rsidRPr="003B5716" w:rsidRDefault="002F3255" w:rsidP="00FC692F">
      <w:pPr>
        <w:rPr>
          <w:b/>
          <w:bCs/>
        </w:rPr>
      </w:pPr>
    </w:p>
    <w:p w:rsidR="002F3255" w:rsidRPr="003B5716" w:rsidRDefault="002F3255" w:rsidP="00FC692F">
      <w:pPr>
        <w:rPr>
          <w:b/>
          <w:color w:val="000000" w:themeColor="text1"/>
        </w:rPr>
      </w:pPr>
      <w:r w:rsidRPr="003B5716">
        <w:rPr>
          <w:b/>
          <w:color w:val="000000" w:themeColor="text1"/>
        </w:rPr>
        <w:br w:type="page"/>
      </w:r>
    </w:p>
    <w:p w:rsidR="003B418C" w:rsidRPr="003B5716" w:rsidRDefault="00173849" w:rsidP="00FC692F">
      <w:pPr>
        <w:rPr>
          <w:b/>
          <w:bCs/>
        </w:rPr>
      </w:pPr>
      <w:r w:rsidRPr="003B5716">
        <w:rPr>
          <w:b/>
          <w:bCs/>
        </w:rPr>
        <w:lastRenderedPageBreak/>
        <w:t>References</w:t>
      </w:r>
    </w:p>
    <w:p w:rsidR="00F95321" w:rsidRPr="003B5716" w:rsidRDefault="00F95321" w:rsidP="00FC692F">
      <w:pPr>
        <w:rPr>
          <w:b/>
          <w:bCs/>
        </w:rPr>
      </w:pPr>
    </w:p>
    <w:p w:rsidR="003B418C" w:rsidRPr="00453DDA" w:rsidRDefault="003B418C" w:rsidP="00FC692F">
      <w:pPr>
        <w:autoSpaceDE w:val="0"/>
        <w:autoSpaceDN w:val="0"/>
        <w:adjustRightInd w:val="0"/>
        <w:spacing w:line="480" w:lineRule="auto"/>
        <w:ind w:left="567" w:hanging="567"/>
        <w:jc w:val="both"/>
      </w:pPr>
      <w:proofErr w:type="gramStart"/>
      <w:r w:rsidRPr="00453DDA">
        <w:t xml:space="preserve">Adams, R.B., </w:t>
      </w:r>
      <w:proofErr w:type="spellStart"/>
      <w:r w:rsidRPr="00453DDA">
        <w:t>Hermalin</w:t>
      </w:r>
      <w:proofErr w:type="spellEnd"/>
      <w:r w:rsidRPr="00453DDA">
        <w:t>, B.E.</w:t>
      </w:r>
      <w:r w:rsidR="009C52C6" w:rsidRPr="00453DDA">
        <w:t xml:space="preserve"> </w:t>
      </w:r>
      <w:r w:rsidR="00437AA5" w:rsidRPr="00453DDA">
        <w:t xml:space="preserve">&amp; </w:t>
      </w:r>
      <w:proofErr w:type="spellStart"/>
      <w:r w:rsidRPr="00453DDA">
        <w:t>Weisbach</w:t>
      </w:r>
      <w:proofErr w:type="spellEnd"/>
      <w:r w:rsidRPr="00453DDA">
        <w:t xml:space="preserve">, M.S. </w:t>
      </w:r>
      <w:r w:rsidR="004C07AF" w:rsidRPr="00453DDA">
        <w:t>(</w:t>
      </w:r>
      <w:r w:rsidRPr="00453DDA">
        <w:t>2010</w:t>
      </w:r>
      <w:r w:rsidR="004C07AF" w:rsidRPr="00453DDA">
        <w:t>)</w:t>
      </w:r>
      <w:r w:rsidRPr="00453DDA">
        <w:t>.</w:t>
      </w:r>
      <w:proofErr w:type="gramEnd"/>
      <w:r w:rsidRPr="00453DDA">
        <w:t xml:space="preserve"> The role of boards of directors in corporate governance: A conceptual framework and survey. </w:t>
      </w:r>
      <w:r w:rsidRPr="00453DDA">
        <w:rPr>
          <w:i/>
        </w:rPr>
        <w:t>Journal of Economic Literature</w:t>
      </w:r>
      <w:r w:rsidR="007F25D6" w:rsidRPr="00453DDA">
        <w:rPr>
          <w:i/>
        </w:rPr>
        <w:t>,</w:t>
      </w:r>
      <w:r w:rsidRPr="00453DDA">
        <w:rPr>
          <w:i/>
        </w:rPr>
        <w:t xml:space="preserve"> </w:t>
      </w:r>
      <w:r w:rsidRPr="00453DDA">
        <w:t>48</w:t>
      </w:r>
      <w:r w:rsidR="009C52C6" w:rsidRPr="00453DDA">
        <w:t>(</w:t>
      </w:r>
      <w:r w:rsidRPr="00453DDA">
        <w:t>1</w:t>
      </w:r>
      <w:r w:rsidR="00437AA5" w:rsidRPr="00453DDA">
        <w:t>):</w:t>
      </w:r>
      <w:r w:rsidR="007F25D6" w:rsidRPr="00453DDA">
        <w:t xml:space="preserve"> </w:t>
      </w:r>
      <w:r w:rsidRPr="00453DDA">
        <w:t>58-107.</w:t>
      </w:r>
    </w:p>
    <w:p w:rsidR="003B418C" w:rsidRPr="00453DDA" w:rsidRDefault="003B418C" w:rsidP="00FC692F">
      <w:pPr>
        <w:autoSpaceDE w:val="0"/>
        <w:autoSpaceDN w:val="0"/>
        <w:adjustRightInd w:val="0"/>
        <w:spacing w:line="480" w:lineRule="auto"/>
        <w:ind w:left="567" w:hanging="567"/>
        <w:jc w:val="both"/>
      </w:pPr>
      <w:proofErr w:type="gramStart"/>
      <w:r w:rsidRPr="00453DDA">
        <w:t xml:space="preserve">Anderson, R. </w:t>
      </w:r>
      <w:r w:rsidR="00437AA5" w:rsidRPr="00453DDA">
        <w:t xml:space="preserve">&amp; </w:t>
      </w:r>
      <w:proofErr w:type="spellStart"/>
      <w:r w:rsidR="009C52C6" w:rsidRPr="00453DDA">
        <w:t>Reeb</w:t>
      </w:r>
      <w:proofErr w:type="spellEnd"/>
      <w:r w:rsidR="009C52C6" w:rsidRPr="00453DDA">
        <w:t xml:space="preserve">, D. </w:t>
      </w:r>
      <w:r w:rsidR="004C07AF" w:rsidRPr="00453DDA">
        <w:t>(</w:t>
      </w:r>
      <w:r w:rsidR="009C52C6" w:rsidRPr="00453DDA">
        <w:t>2003</w:t>
      </w:r>
      <w:r w:rsidR="004C07AF" w:rsidRPr="00453DDA">
        <w:t>)</w:t>
      </w:r>
      <w:r w:rsidR="009C52C6" w:rsidRPr="00453DDA">
        <w:t>.</w:t>
      </w:r>
      <w:proofErr w:type="gramEnd"/>
      <w:r w:rsidRPr="00453DDA">
        <w:t xml:space="preserve"> </w:t>
      </w:r>
      <w:proofErr w:type="gramStart"/>
      <w:r w:rsidRPr="00453DDA">
        <w:t>Founding family ownership and firm perform</w:t>
      </w:r>
      <w:r w:rsidR="009C52C6" w:rsidRPr="00453DDA">
        <w:t>ance: evidence from the S&amp;P 500</w:t>
      </w:r>
      <w:r w:rsidR="009C52C6" w:rsidRPr="00453DDA">
        <w:rPr>
          <w:i/>
        </w:rPr>
        <w:t>.</w:t>
      </w:r>
      <w:proofErr w:type="gramEnd"/>
      <w:r w:rsidRPr="00453DDA">
        <w:rPr>
          <w:i/>
        </w:rPr>
        <w:t xml:space="preserve"> Journal of Finance</w:t>
      </w:r>
      <w:r w:rsidR="007F25D6" w:rsidRPr="00453DDA">
        <w:rPr>
          <w:i/>
        </w:rPr>
        <w:t>,</w:t>
      </w:r>
      <w:r w:rsidRPr="00453DDA">
        <w:t xml:space="preserve"> 58</w:t>
      </w:r>
      <w:r w:rsidR="00437AA5" w:rsidRPr="00453DDA">
        <w:t>:</w:t>
      </w:r>
      <w:r w:rsidR="007F25D6" w:rsidRPr="00453DDA">
        <w:t xml:space="preserve"> </w:t>
      </w:r>
      <w:r w:rsidRPr="00453DDA">
        <w:t>1301-1329.</w:t>
      </w:r>
    </w:p>
    <w:p w:rsidR="005C5743" w:rsidRPr="00453DDA" w:rsidRDefault="005C5743" w:rsidP="00FC692F">
      <w:pPr>
        <w:autoSpaceDE w:val="0"/>
        <w:autoSpaceDN w:val="0"/>
        <w:adjustRightInd w:val="0"/>
        <w:spacing w:line="480" w:lineRule="auto"/>
        <w:ind w:left="567" w:hanging="567"/>
        <w:jc w:val="both"/>
      </w:pPr>
      <w:proofErr w:type="gramStart"/>
      <w:r w:rsidRPr="00453DDA">
        <w:t xml:space="preserve">Anderson, R., </w:t>
      </w:r>
      <w:proofErr w:type="spellStart"/>
      <w:r w:rsidRPr="00453DDA">
        <w:t>Mansi</w:t>
      </w:r>
      <w:proofErr w:type="spellEnd"/>
      <w:r w:rsidRPr="00453DDA">
        <w:t>, S.</w:t>
      </w:r>
      <w:r w:rsidR="00437AA5" w:rsidRPr="00453DDA">
        <w:t xml:space="preserve"> &amp;</w:t>
      </w:r>
      <w:r w:rsidR="007710A1" w:rsidRPr="00453DDA">
        <w:t xml:space="preserve"> </w:t>
      </w:r>
      <w:proofErr w:type="spellStart"/>
      <w:r w:rsidRPr="00453DDA">
        <w:t>Reeb</w:t>
      </w:r>
      <w:proofErr w:type="spellEnd"/>
      <w:r w:rsidRPr="00453DDA">
        <w:t>, D. (2004).</w:t>
      </w:r>
      <w:proofErr w:type="gramEnd"/>
      <w:r w:rsidRPr="00453DDA">
        <w:t xml:space="preserve"> Board characteristics, accounting report integrity, and the cost of debt. </w:t>
      </w:r>
      <w:r w:rsidRPr="00453DDA">
        <w:rPr>
          <w:i/>
          <w:iCs/>
        </w:rPr>
        <w:t>Journal of Accounting and Economics</w:t>
      </w:r>
      <w:r w:rsidRPr="00453DDA">
        <w:rPr>
          <w:iCs/>
        </w:rPr>
        <w:t>,</w:t>
      </w:r>
      <w:r w:rsidRPr="00453DDA">
        <w:rPr>
          <w:i/>
          <w:iCs/>
        </w:rPr>
        <w:t xml:space="preserve"> </w:t>
      </w:r>
      <w:r w:rsidR="008C24A4" w:rsidRPr="00453DDA">
        <w:t>37:</w:t>
      </w:r>
      <w:r w:rsidRPr="00453DDA">
        <w:t xml:space="preserve"> 315-342.</w:t>
      </w:r>
    </w:p>
    <w:p w:rsidR="005D1FF9" w:rsidRPr="00453DDA" w:rsidRDefault="005D1FF9" w:rsidP="00FC692F">
      <w:pPr>
        <w:autoSpaceDE w:val="0"/>
        <w:autoSpaceDN w:val="0"/>
        <w:adjustRightInd w:val="0"/>
        <w:spacing w:line="480" w:lineRule="auto"/>
        <w:ind w:left="567" w:hanging="567"/>
        <w:jc w:val="both"/>
      </w:pPr>
      <w:r w:rsidRPr="00453DDA">
        <w:t xml:space="preserve">Armstrong, J.S. (2012). </w:t>
      </w:r>
      <w:proofErr w:type="gramStart"/>
      <w:r w:rsidRPr="00453DDA">
        <w:t>Illusions in regression analysis.</w:t>
      </w:r>
      <w:proofErr w:type="gramEnd"/>
      <w:r w:rsidRPr="00453DDA">
        <w:t xml:space="preserve"> </w:t>
      </w:r>
      <w:r w:rsidRPr="00453DDA">
        <w:rPr>
          <w:i/>
        </w:rPr>
        <w:t>International Journal of Forecasting</w:t>
      </w:r>
      <w:r w:rsidR="008C24A4" w:rsidRPr="00453DDA">
        <w:t>, 28:</w:t>
      </w:r>
      <w:r w:rsidRPr="00453DDA">
        <w:t xml:space="preserve"> 689-694.</w:t>
      </w:r>
    </w:p>
    <w:p w:rsidR="00876690" w:rsidRPr="00876690" w:rsidRDefault="00876690" w:rsidP="00FC692F">
      <w:pPr>
        <w:autoSpaceDE w:val="0"/>
        <w:autoSpaceDN w:val="0"/>
        <w:adjustRightInd w:val="0"/>
        <w:spacing w:line="480" w:lineRule="auto"/>
        <w:ind w:left="567" w:hanging="567"/>
        <w:jc w:val="both"/>
        <w:rPr>
          <w:lang w:val="es-MX"/>
        </w:rPr>
      </w:pPr>
      <w:proofErr w:type="spellStart"/>
      <w:proofErr w:type="gramStart"/>
      <w:r w:rsidRPr="00876690">
        <w:rPr>
          <w:rFonts w:eastAsia="MS PGothic"/>
          <w:color w:val="000000"/>
        </w:rPr>
        <w:t>Attig</w:t>
      </w:r>
      <w:proofErr w:type="spellEnd"/>
      <w:r w:rsidRPr="00876690">
        <w:rPr>
          <w:rFonts w:eastAsia="MS PGothic"/>
          <w:color w:val="000000"/>
        </w:rPr>
        <w:t xml:space="preserve">, N., </w:t>
      </w:r>
      <w:proofErr w:type="spellStart"/>
      <w:r w:rsidRPr="00876690">
        <w:rPr>
          <w:rFonts w:eastAsia="MS PGothic"/>
          <w:color w:val="000000"/>
        </w:rPr>
        <w:t>Boubakri</w:t>
      </w:r>
      <w:proofErr w:type="spellEnd"/>
      <w:r w:rsidRPr="00876690">
        <w:rPr>
          <w:rFonts w:eastAsia="MS PGothic"/>
          <w:color w:val="000000"/>
        </w:rPr>
        <w:t>, N., E</w:t>
      </w:r>
      <w:r w:rsidR="002926FA">
        <w:rPr>
          <w:rFonts w:eastAsia="MS PGothic"/>
          <w:color w:val="000000"/>
        </w:rPr>
        <w:t xml:space="preserve">l Ghoul, S. &amp; </w:t>
      </w:r>
      <w:proofErr w:type="spellStart"/>
      <w:r w:rsidR="002926FA">
        <w:rPr>
          <w:rFonts w:eastAsia="MS PGothic"/>
          <w:color w:val="000000"/>
        </w:rPr>
        <w:t>Guedhami</w:t>
      </w:r>
      <w:proofErr w:type="spellEnd"/>
      <w:r w:rsidR="002926FA">
        <w:rPr>
          <w:rFonts w:eastAsia="MS PGothic"/>
          <w:color w:val="000000"/>
        </w:rPr>
        <w:t>, O. (2016</w:t>
      </w:r>
      <w:r w:rsidRPr="00876690">
        <w:rPr>
          <w:rFonts w:eastAsia="MS PGothic"/>
          <w:color w:val="000000"/>
        </w:rPr>
        <w:t>).</w:t>
      </w:r>
      <w:proofErr w:type="gramEnd"/>
      <w:r w:rsidRPr="00876690">
        <w:rPr>
          <w:rFonts w:eastAsia="MS PGothic"/>
          <w:color w:val="000000"/>
        </w:rPr>
        <w:t xml:space="preserve"> </w:t>
      </w:r>
      <w:proofErr w:type="gramStart"/>
      <w:r w:rsidRPr="00876690">
        <w:rPr>
          <w:rFonts w:eastAsia="MS PGothic"/>
          <w:color w:val="000000"/>
        </w:rPr>
        <w:t>The global financial crisis, family control, and dividend policy.</w:t>
      </w:r>
      <w:proofErr w:type="gramEnd"/>
      <w:r w:rsidRPr="00876690">
        <w:rPr>
          <w:rFonts w:eastAsia="MS PGothic"/>
          <w:color w:val="000000"/>
        </w:rPr>
        <w:t xml:space="preserve"> </w:t>
      </w:r>
      <w:r w:rsidRPr="00876690">
        <w:rPr>
          <w:rFonts w:eastAsia="MS PGothic"/>
          <w:i/>
          <w:color w:val="000000"/>
        </w:rPr>
        <w:t>Financial Management</w:t>
      </w:r>
      <w:r w:rsidRPr="00876690">
        <w:rPr>
          <w:rFonts w:eastAsia="MS PGothic"/>
          <w:color w:val="000000"/>
        </w:rPr>
        <w:t>, 45(2), 291-313.</w:t>
      </w:r>
      <w:r w:rsidRPr="00876690">
        <w:rPr>
          <w:rStyle w:val="apple-converted-space"/>
          <w:rFonts w:eastAsia="MS PGothic"/>
          <w:color w:val="000000"/>
        </w:rPr>
        <w:t> </w:t>
      </w:r>
    </w:p>
    <w:p w:rsidR="0066227F" w:rsidRPr="00453DDA" w:rsidRDefault="008C24A4" w:rsidP="00FC692F">
      <w:pPr>
        <w:autoSpaceDE w:val="0"/>
        <w:autoSpaceDN w:val="0"/>
        <w:adjustRightInd w:val="0"/>
        <w:spacing w:line="480" w:lineRule="auto"/>
        <w:ind w:left="567" w:hanging="567"/>
        <w:jc w:val="both"/>
      </w:pPr>
      <w:proofErr w:type="spellStart"/>
      <w:r w:rsidRPr="00E741DC">
        <w:rPr>
          <w:lang w:val="es-MX"/>
        </w:rPr>
        <w:t>Berrone</w:t>
      </w:r>
      <w:proofErr w:type="spellEnd"/>
      <w:r w:rsidRPr="00E741DC">
        <w:rPr>
          <w:lang w:val="es-MX"/>
        </w:rPr>
        <w:t>, P., Cruz, C.C.</w:t>
      </w:r>
      <w:r w:rsidR="009C056C" w:rsidRPr="00E741DC">
        <w:rPr>
          <w:lang w:val="es-MX"/>
        </w:rPr>
        <w:t xml:space="preserve"> </w:t>
      </w:r>
      <w:r w:rsidRPr="00E741DC">
        <w:rPr>
          <w:lang w:val="es-MX"/>
        </w:rPr>
        <w:t xml:space="preserve">&amp; </w:t>
      </w:r>
      <w:r w:rsidR="009C056C" w:rsidRPr="00E741DC">
        <w:rPr>
          <w:lang w:val="es-MX"/>
        </w:rPr>
        <w:t xml:space="preserve">Gómez-Mejía, L.R. (2012). </w:t>
      </w:r>
      <w:r w:rsidR="00AB2C67" w:rsidRPr="00453DDA">
        <w:t xml:space="preserve">Socioemotional wealth in family firms: A review and agenda for future research. </w:t>
      </w:r>
      <w:r w:rsidR="00AB2C67" w:rsidRPr="00453DDA">
        <w:rPr>
          <w:i/>
        </w:rPr>
        <w:t>Family Business Review</w:t>
      </w:r>
      <w:r w:rsidRPr="00453DDA">
        <w:t>, 25(3):</w:t>
      </w:r>
      <w:r w:rsidR="00AB2C67" w:rsidRPr="00453DDA">
        <w:t xml:space="preserve"> 258-279.</w:t>
      </w:r>
    </w:p>
    <w:p w:rsidR="00EC6EA6" w:rsidRPr="00EC6EA6" w:rsidRDefault="00EC6EA6" w:rsidP="00FC692F">
      <w:pPr>
        <w:autoSpaceDE w:val="0"/>
        <w:autoSpaceDN w:val="0"/>
        <w:adjustRightInd w:val="0"/>
        <w:spacing w:line="480" w:lineRule="auto"/>
        <w:ind w:left="567" w:hanging="567"/>
        <w:jc w:val="both"/>
        <w:rPr>
          <w:rFonts w:eastAsia="MS PGothic"/>
          <w:color w:val="000000"/>
        </w:rPr>
      </w:pPr>
      <w:proofErr w:type="spellStart"/>
      <w:proofErr w:type="gramStart"/>
      <w:r w:rsidRPr="00EC6EA6">
        <w:rPr>
          <w:rFonts w:eastAsia="MS PGothic"/>
          <w:color w:val="000000"/>
        </w:rPr>
        <w:t>Boubaker</w:t>
      </w:r>
      <w:proofErr w:type="spellEnd"/>
      <w:r w:rsidRPr="00EC6EA6">
        <w:rPr>
          <w:rFonts w:eastAsia="MS PGothic"/>
          <w:color w:val="000000"/>
        </w:rPr>
        <w:t xml:space="preserve">, </w:t>
      </w:r>
      <w:r w:rsidR="00FF4376">
        <w:rPr>
          <w:rFonts w:eastAsia="MS PGothic"/>
          <w:color w:val="000000"/>
        </w:rPr>
        <w:t xml:space="preserve">S., </w:t>
      </w:r>
      <w:proofErr w:type="spellStart"/>
      <w:r w:rsidR="00FF4376">
        <w:rPr>
          <w:rFonts w:eastAsia="MS PGothic"/>
          <w:color w:val="000000"/>
        </w:rPr>
        <w:t>Derouiche</w:t>
      </w:r>
      <w:proofErr w:type="spellEnd"/>
      <w:r w:rsidR="00FF4376">
        <w:rPr>
          <w:rFonts w:eastAsia="MS PGothic"/>
          <w:color w:val="000000"/>
        </w:rPr>
        <w:t>, I. &amp; Nguyen, D.</w:t>
      </w:r>
      <w:r w:rsidRPr="00EC6EA6">
        <w:rPr>
          <w:rFonts w:eastAsia="MS PGothic"/>
          <w:color w:val="000000"/>
        </w:rPr>
        <w:t>K. (2015).</w:t>
      </w:r>
      <w:proofErr w:type="gramEnd"/>
      <w:r w:rsidRPr="00EC6EA6">
        <w:rPr>
          <w:rFonts w:eastAsia="MS PGothic"/>
          <w:color w:val="000000"/>
        </w:rPr>
        <w:t xml:space="preserve"> Does the board of directors affect cash holdings? A study of French listed firms. </w:t>
      </w:r>
      <w:r w:rsidRPr="00EC6EA6">
        <w:rPr>
          <w:rFonts w:eastAsia="MS PGothic"/>
          <w:i/>
          <w:color w:val="000000"/>
        </w:rPr>
        <w:t>Journal of Management &amp; Governance</w:t>
      </w:r>
      <w:r w:rsidRPr="00EC6EA6">
        <w:rPr>
          <w:rFonts w:eastAsia="MS PGothic"/>
          <w:color w:val="000000"/>
        </w:rPr>
        <w:t>, 19(2), 341-370.</w:t>
      </w:r>
    </w:p>
    <w:p w:rsidR="00EC6EA6" w:rsidRPr="00EC6EA6" w:rsidRDefault="00EC6EA6" w:rsidP="00FC692F">
      <w:pPr>
        <w:autoSpaceDE w:val="0"/>
        <w:autoSpaceDN w:val="0"/>
        <w:adjustRightInd w:val="0"/>
        <w:spacing w:line="480" w:lineRule="auto"/>
        <w:ind w:left="567" w:hanging="567"/>
        <w:jc w:val="both"/>
        <w:rPr>
          <w:lang w:val="es-MX"/>
        </w:rPr>
      </w:pPr>
      <w:proofErr w:type="spellStart"/>
      <w:proofErr w:type="gramStart"/>
      <w:r w:rsidRPr="00EC6EA6">
        <w:rPr>
          <w:rFonts w:eastAsia="MS PGothic"/>
          <w:color w:val="000000"/>
        </w:rPr>
        <w:t>Boubaker</w:t>
      </w:r>
      <w:proofErr w:type="spellEnd"/>
      <w:r w:rsidRPr="00EC6EA6">
        <w:rPr>
          <w:rFonts w:eastAsia="MS PGothic"/>
          <w:color w:val="000000"/>
        </w:rPr>
        <w:t xml:space="preserve">, S., Nguyen, P. &amp; </w:t>
      </w:r>
      <w:proofErr w:type="spellStart"/>
      <w:r w:rsidRPr="00EC6EA6">
        <w:rPr>
          <w:rFonts w:eastAsia="MS PGothic"/>
          <w:color w:val="000000"/>
        </w:rPr>
        <w:t>Rouatbi</w:t>
      </w:r>
      <w:proofErr w:type="spellEnd"/>
      <w:r w:rsidRPr="00EC6EA6">
        <w:rPr>
          <w:rFonts w:eastAsia="MS PGothic"/>
          <w:color w:val="000000"/>
        </w:rPr>
        <w:t>, W. (2016).</w:t>
      </w:r>
      <w:proofErr w:type="gramEnd"/>
      <w:r w:rsidRPr="00EC6EA6">
        <w:rPr>
          <w:rFonts w:eastAsia="MS PGothic"/>
          <w:color w:val="000000"/>
        </w:rPr>
        <w:t xml:space="preserve"> Multiple Large Shareholders and Corporate Risk</w:t>
      </w:r>
      <w:r w:rsidRPr="00EC6EA6">
        <w:rPr>
          <w:rFonts w:eastAsia="MS PGothic" w:hAnsi="MS PGothic"/>
          <w:color w:val="000000"/>
        </w:rPr>
        <w:t>‐</w:t>
      </w:r>
      <w:r w:rsidRPr="00EC6EA6">
        <w:rPr>
          <w:rFonts w:eastAsia="MS PGothic"/>
          <w:color w:val="000000"/>
        </w:rPr>
        <w:t xml:space="preserve">taking: Evidence from French Family Firms. </w:t>
      </w:r>
      <w:r w:rsidRPr="00EC6EA6">
        <w:rPr>
          <w:rFonts w:eastAsia="MS PGothic"/>
          <w:i/>
          <w:color w:val="000000"/>
        </w:rPr>
        <w:t>European Financial Management</w:t>
      </w:r>
      <w:r w:rsidRPr="00EC6EA6">
        <w:rPr>
          <w:rFonts w:eastAsia="MS PGothic"/>
          <w:color w:val="000000"/>
        </w:rPr>
        <w:t>, forthcoming.</w:t>
      </w:r>
    </w:p>
    <w:p w:rsidR="0087477E" w:rsidRPr="00453DDA" w:rsidRDefault="00A90CD1" w:rsidP="00FC692F">
      <w:pPr>
        <w:autoSpaceDE w:val="0"/>
        <w:autoSpaceDN w:val="0"/>
        <w:adjustRightInd w:val="0"/>
        <w:spacing w:line="480" w:lineRule="auto"/>
        <w:ind w:left="567" w:hanging="567"/>
        <w:jc w:val="both"/>
      </w:pPr>
      <w:r w:rsidRPr="004842D2">
        <w:rPr>
          <w:lang w:val="es-MX"/>
        </w:rPr>
        <w:t xml:space="preserve">Brenes, E.R., Madrigal, K. &amp; Requena, B. (2011). </w:t>
      </w:r>
      <w:proofErr w:type="gramStart"/>
      <w:r w:rsidR="0087477E" w:rsidRPr="00453DDA">
        <w:t>Corporate governance and family business performance.</w:t>
      </w:r>
      <w:proofErr w:type="gramEnd"/>
      <w:r w:rsidR="0087477E" w:rsidRPr="00453DDA">
        <w:t xml:space="preserve"> </w:t>
      </w:r>
      <w:r w:rsidR="0087477E" w:rsidRPr="00453DDA">
        <w:rPr>
          <w:i/>
        </w:rPr>
        <w:t>Journal of Business Research</w:t>
      </w:r>
      <w:r w:rsidR="008C24A4" w:rsidRPr="00453DDA">
        <w:t>, 6</w:t>
      </w:r>
      <w:proofErr w:type="gramStart"/>
      <w:r w:rsidR="008C24A4" w:rsidRPr="00453DDA">
        <w:t>:</w:t>
      </w:r>
      <w:r w:rsidR="0087477E" w:rsidRPr="00453DDA">
        <w:t>,</w:t>
      </w:r>
      <w:proofErr w:type="gramEnd"/>
      <w:r w:rsidR="0087477E" w:rsidRPr="00453DDA">
        <w:t xml:space="preserve"> 280-285.</w:t>
      </w:r>
    </w:p>
    <w:p w:rsidR="001D7340" w:rsidRPr="00453DDA" w:rsidRDefault="001D7340" w:rsidP="00FC692F">
      <w:pPr>
        <w:autoSpaceDE w:val="0"/>
        <w:autoSpaceDN w:val="0"/>
        <w:adjustRightInd w:val="0"/>
        <w:spacing w:line="480" w:lineRule="auto"/>
        <w:ind w:left="567" w:hanging="567"/>
        <w:jc w:val="both"/>
      </w:pPr>
      <w:proofErr w:type="gramStart"/>
      <w:r w:rsidRPr="004842D2">
        <w:lastRenderedPageBreak/>
        <w:t>Buchanan, B.</w:t>
      </w:r>
      <w:r w:rsidR="00FF4376">
        <w:t xml:space="preserve"> &amp; </w:t>
      </w:r>
      <w:r w:rsidRPr="004842D2">
        <w:t>Yang, T. (2005).</w:t>
      </w:r>
      <w:proofErr w:type="gramEnd"/>
      <w:r w:rsidRPr="004842D2">
        <w:t xml:space="preserve"> </w:t>
      </w:r>
      <w:r w:rsidRPr="00453DDA">
        <w:t xml:space="preserve">The benefits and costs of controlling shareholders: the rise and fall of </w:t>
      </w:r>
      <w:proofErr w:type="spellStart"/>
      <w:r w:rsidRPr="00453DDA">
        <w:t>Parmalat</w:t>
      </w:r>
      <w:proofErr w:type="spellEnd"/>
      <w:r w:rsidRPr="00453DDA">
        <w:t xml:space="preserve">. </w:t>
      </w:r>
      <w:r w:rsidRPr="00FF4376">
        <w:rPr>
          <w:i/>
        </w:rPr>
        <w:t>Research in International Business and Finance</w:t>
      </w:r>
      <w:r w:rsidRPr="00453DDA">
        <w:t>, 19(1), 27-52.</w:t>
      </w:r>
    </w:p>
    <w:p w:rsidR="003B418C" w:rsidRPr="00453DDA" w:rsidRDefault="003B418C" w:rsidP="00FC692F">
      <w:pPr>
        <w:autoSpaceDE w:val="0"/>
        <w:autoSpaceDN w:val="0"/>
        <w:adjustRightInd w:val="0"/>
        <w:spacing w:line="480" w:lineRule="auto"/>
        <w:ind w:left="567" w:hanging="567"/>
        <w:jc w:val="both"/>
      </w:pPr>
      <w:proofErr w:type="gramStart"/>
      <w:r w:rsidRPr="00453DDA">
        <w:t xml:space="preserve">Campbell, J., </w:t>
      </w:r>
      <w:proofErr w:type="spellStart"/>
      <w:r w:rsidRPr="00453DDA">
        <w:t>Lettau</w:t>
      </w:r>
      <w:proofErr w:type="spellEnd"/>
      <w:r w:rsidRPr="00453DDA">
        <w:t xml:space="preserve">, M., </w:t>
      </w:r>
      <w:proofErr w:type="spellStart"/>
      <w:r w:rsidRPr="00453DDA">
        <w:t>Malkiel</w:t>
      </w:r>
      <w:proofErr w:type="spellEnd"/>
      <w:r w:rsidRPr="00453DDA">
        <w:t>, B.</w:t>
      </w:r>
      <w:r w:rsidR="008C24A4" w:rsidRPr="00453DDA">
        <w:t xml:space="preserve"> &amp;</w:t>
      </w:r>
      <w:r w:rsidRPr="00453DDA">
        <w:t xml:space="preserve"> </w:t>
      </w:r>
      <w:proofErr w:type="spellStart"/>
      <w:r w:rsidR="007710A1" w:rsidRPr="00453DDA">
        <w:t>X</w:t>
      </w:r>
      <w:r w:rsidR="009C52C6" w:rsidRPr="00453DDA">
        <w:t>u</w:t>
      </w:r>
      <w:proofErr w:type="spellEnd"/>
      <w:r w:rsidR="009C52C6" w:rsidRPr="00453DDA">
        <w:t xml:space="preserve">, Y. </w:t>
      </w:r>
      <w:r w:rsidR="004C07AF" w:rsidRPr="00453DDA">
        <w:t>(</w:t>
      </w:r>
      <w:r w:rsidR="009C52C6" w:rsidRPr="00453DDA">
        <w:t>2001</w:t>
      </w:r>
      <w:r w:rsidR="004C07AF" w:rsidRPr="00453DDA">
        <w:t>)</w:t>
      </w:r>
      <w:r w:rsidR="009C52C6" w:rsidRPr="00453DDA">
        <w:t>.</w:t>
      </w:r>
      <w:proofErr w:type="gramEnd"/>
      <w:r w:rsidRPr="00453DDA">
        <w:t xml:space="preserve"> Have individual stocks become more volatile? </w:t>
      </w:r>
      <w:proofErr w:type="gramStart"/>
      <w:r w:rsidRPr="00453DDA">
        <w:t>An empirical ex</w:t>
      </w:r>
      <w:r w:rsidR="009C52C6" w:rsidRPr="00453DDA">
        <w:t>ploration on idiosyncratic risk.</w:t>
      </w:r>
      <w:proofErr w:type="gramEnd"/>
      <w:r w:rsidRPr="00453DDA">
        <w:t xml:space="preserve"> </w:t>
      </w:r>
      <w:r w:rsidRPr="00453DDA">
        <w:rPr>
          <w:i/>
        </w:rPr>
        <w:t>Journal of Finance</w:t>
      </w:r>
      <w:r w:rsidR="007F25D6" w:rsidRPr="00453DDA">
        <w:rPr>
          <w:i/>
        </w:rPr>
        <w:t>,</w:t>
      </w:r>
      <w:r w:rsidRPr="00453DDA">
        <w:t xml:space="preserve"> 56</w:t>
      </w:r>
      <w:r w:rsidR="008C24A4" w:rsidRPr="00453DDA">
        <w:t>:</w:t>
      </w:r>
      <w:r w:rsidR="007F25D6" w:rsidRPr="00453DDA">
        <w:t xml:space="preserve"> </w:t>
      </w:r>
      <w:r w:rsidRPr="00453DDA">
        <w:t>1-43.</w:t>
      </w:r>
    </w:p>
    <w:p w:rsidR="003B418C" w:rsidRPr="00453DDA" w:rsidRDefault="008C24A4" w:rsidP="00FC692F">
      <w:pPr>
        <w:spacing w:line="480" w:lineRule="auto"/>
        <w:ind w:left="567" w:hanging="567"/>
        <w:jc w:val="both"/>
      </w:pPr>
      <w:proofErr w:type="spellStart"/>
      <w:r w:rsidRPr="004842D2">
        <w:rPr>
          <w:lang w:val="es-MX"/>
        </w:rPr>
        <w:t>Chong</w:t>
      </w:r>
      <w:proofErr w:type="spellEnd"/>
      <w:r w:rsidRPr="004842D2">
        <w:rPr>
          <w:lang w:val="es-MX"/>
        </w:rPr>
        <w:t>, A. &amp;</w:t>
      </w:r>
      <w:r w:rsidR="003B418C" w:rsidRPr="004842D2">
        <w:rPr>
          <w:lang w:val="es-MX"/>
        </w:rPr>
        <w:t xml:space="preserve"> </w:t>
      </w:r>
      <w:proofErr w:type="spellStart"/>
      <w:r w:rsidR="007710A1" w:rsidRPr="004842D2">
        <w:rPr>
          <w:lang w:val="es-MX"/>
        </w:rPr>
        <w:t>L</w:t>
      </w:r>
      <w:r w:rsidR="009C52C6" w:rsidRPr="004842D2">
        <w:rPr>
          <w:lang w:val="es-MX"/>
        </w:rPr>
        <w:t>opez</w:t>
      </w:r>
      <w:proofErr w:type="spellEnd"/>
      <w:r w:rsidR="009C52C6" w:rsidRPr="004842D2">
        <w:rPr>
          <w:lang w:val="es-MX"/>
        </w:rPr>
        <w:t>-de-</w:t>
      </w:r>
      <w:proofErr w:type="spellStart"/>
      <w:r w:rsidR="009C52C6" w:rsidRPr="004842D2">
        <w:rPr>
          <w:lang w:val="es-MX"/>
        </w:rPr>
        <w:t>Silanes</w:t>
      </w:r>
      <w:proofErr w:type="spellEnd"/>
      <w:r w:rsidR="009C52C6" w:rsidRPr="004842D2">
        <w:rPr>
          <w:lang w:val="es-MX"/>
        </w:rPr>
        <w:t>, F.</w:t>
      </w:r>
      <w:r w:rsidR="003B418C" w:rsidRPr="004842D2">
        <w:rPr>
          <w:lang w:val="es-MX"/>
        </w:rPr>
        <w:t xml:space="preserve"> </w:t>
      </w:r>
      <w:r w:rsidR="004C07AF" w:rsidRPr="004842D2">
        <w:rPr>
          <w:lang w:val="es-MX"/>
        </w:rPr>
        <w:t>(</w:t>
      </w:r>
      <w:r w:rsidR="003B418C" w:rsidRPr="004842D2">
        <w:rPr>
          <w:lang w:val="es-MX"/>
        </w:rPr>
        <w:t>2007</w:t>
      </w:r>
      <w:r w:rsidR="004C07AF" w:rsidRPr="004842D2">
        <w:rPr>
          <w:lang w:val="es-MX"/>
        </w:rPr>
        <w:t>)</w:t>
      </w:r>
      <w:r w:rsidR="009C52C6" w:rsidRPr="004842D2">
        <w:rPr>
          <w:lang w:val="es-MX"/>
        </w:rPr>
        <w:t xml:space="preserve">. </w:t>
      </w:r>
      <w:r w:rsidR="009C52C6" w:rsidRPr="00453DDA">
        <w:t>Corporate g</w:t>
      </w:r>
      <w:r w:rsidR="003B418C" w:rsidRPr="00453DDA">
        <w:t xml:space="preserve">overnance and </w:t>
      </w:r>
      <w:r w:rsidR="009C52C6" w:rsidRPr="00453DDA">
        <w:t>firm v</w:t>
      </w:r>
      <w:r w:rsidRPr="00453DDA">
        <w:t xml:space="preserve">alue in Mexico. </w:t>
      </w:r>
      <w:proofErr w:type="gramStart"/>
      <w:r w:rsidRPr="00453DDA">
        <w:t>In Chong, A. &amp;</w:t>
      </w:r>
      <w:r w:rsidR="003B418C" w:rsidRPr="00453DDA">
        <w:t xml:space="preserve"> Lopez-de-</w:t>
      </w:r>
      <w:proofErr w:type="spellStart"/>
      <w:r w:rsidR="003B418C" w:rsidRPr="00453DDA">
        <w:t>Silanes</w:t>
      </w:r>
      <w:proofErr w:type="spellEnd"/>
      <w:r w:rsidR="003B418C" w:rsidRPr="00453DDA">
        <w:t>, F. (ed.), Investor protection and corporate governance: firm-level evidence across Latin America.</w:t>
      </w:r>
      <w:proofErr w:type="gramEnd"/>
      <w:r w:rsidR="003B418C" w:rsidRPr="00453DDA">
        <w:t xml:space="preserve"> </w:t>
      </w:r>
      <w:proofErr w:type="gramStart"/>
      <w:r w:rsidR="003B418C" w:rsidRPr="00453DDA">
        <w:t>Stanford University Press.</w:t>
      </w:r>
      <w:proofErr w:type="gramEnd"/>
    </w:p>
    <w:p w:rsidR="008E48E4" w:rsidRPr="00453DDA" w:rsidRDefault="008E48E4" w:rsidP="00FC692F">
      <w:pPr>
        <w:spacing w:line="480" w:lineRule="auto"/>
        <w:ind w:left="567" w:hanging="567"/>
        <w:jc w:val="both"/>
      </w:pPr>
      <w:proofErr w:type="gramStart"/>
      <w:r w:rsidRPr="00453DDA">
        <w:t xml:space="preserve">Chrisman, J.J., Chua, J.H., </w:t>
      </w:r>
      <w:proofErr w:type="spellStart"/>
      <w:r w:rsidRPr="00453DDA">
        <w:t>Kellermans</w:t>
      </w:r>
      <w:proofErr w:type="spellEnd"/>
      <w:r w:rsidRPr="00453DDA">
        <w:t>, F.W.</w:t>
      </w:r>
      <w:r w:rsidR="003B056C" w:rsidRPr="00453DDA">
        <w:t xml:space="preserve"> &amp;</w:t>
      </w:r>
      <w:r w:rsidR="007710A1" w:rsidRPr="00453DDA">
        <w:t xml:space="preserve"> C</w:t>
      </w:r>
      <w:r w:rsidRPr="00453DDA">
        <w:t>hang, E.P.C. (2007).</w:t>
      </w:r>
      <w:proofErr w:type="gramEnd"/>
      <w:r w:rsidRPr="00453DDA">
        <w:t xml:space="preserve"> Are family </w:t>
      </w:r>
      <w:proofErr w:type="gramStart"/>
      <w:r w:rsidRPr="00453DDA">
        <w:t>managers</w:t>
      </w:r>
      <w:proofErr w:type="gramEnd"/>
      <w:r w:rsidRPr="00453DDA">
        <w:t xml:space="preserve"> agents or stewards? </w:t>
      </w:r>
      <w:proofErr w:type="gramStart"/>
      <w:r w:rsidRPr="00453DDA">
        <w:t>An exploratory study in privately held family firms.</w:t>
      </w:r>
      <w:proofErr w:type="gramEnd"/>
      <w:r w:rsidRPr="00453DDA">
        <w:t xml:space="preserve"> </w:t>
      </w:r>
      <w:r w:rsidRPr="00453DDA">
        <w:rPr>
          <w:i/>
        </w:rPr>
        <w:t>Journal of Business Research</w:t>
      </w:r>
      <w:r w:rsidR="003B056C" w:rsidRPr="00453DDA">
        <w:t>, 60:</w:t>
      </w:r>
      <w:r w:rsidRPr="00453DDA">
        <w:t xml:space="preserve"> 1030-1038.</w:t>
      </w:r>
    </w:p>
    <w:p w:rsidR="003B418C" w:rsidRPr="00453DDA" w:rsidRDefault="003B418C" w:rsidP="00FC692F">
      <w:pPr>
        <w:autoSpaceDE w:val="0"/>
        <w:autoSpaceDN w:val="0"/>
        <w:adjustRightInd w:val="0"/>
        <w:spacing w:line="480" w:lineRule="auto"/>
        <w:ind w:left="567" w:hanging="567"/>
        <w:jc w:val="both"/>
      </w:pPr>
      <w:proofErr w:type="spellStart"/>
      <w:r w:rsidRPr="00453DDA">
        <w:t>Claessens</w:t>
      </w:r>
      <w:proofErr w:type="spellEnd"/>
      <w:r w:rsidRPr="00453DDA">
        <w:t xml:space="preserve">, S., </w:t>
      </w:r>
      <w:proofErr w:type="spellStart"/>
      <w:r w:rsidRPr="00453DDA">
        <w:t>Djankov</w:t>
      </w:r>
      <w:proofErr w:type="spellEnd"/>
      <w:r w:rsidRPr="00453DDA">
        <w:t xml:space="preserve"> S. Fang, J.</w:t>
      </w:r>
      <w:r w:rsidR="003B056C" w:rsidRPr="00453DDA">
        <w:t xml:space="preserve"> &amp;</w:t>
      </w:r>
      <w:r w:rsidR="009C52C6" w:rsidRPr="00453DDA">
        <w:t xml:space="preserve"> Lang, H. </w:t>
      </w:r>
      <w:r w:rsidR="004C07AF" w:rsidRPr="00453DDA">
        <w:t>(</w:t>
      </w:r>
      <w:r w:rsidR="009C52C6" w:rsidRPr="00453DDA">
        <w:t>2002</w:t>
      </w:r>
      <w:r w:rsidR="004C07AF" w:rsidRPr="00453DDA">
        <w:t>)</w:t>
      </w:r>
      <w:r w:rsidR="009C52C6" w:rsidRPr="00453DDA">
        <w:t>.</w:t>
      </w:r>
      <w:r w:rsidRPr="00453DDA">
        <w:t xml:space="preserve"> </w:t>
      </w:r>
      <w:proofErr w:type="gramStart"/>
      <w:r w:rsidRPr="00453DDA">
        <w:t>Disentangling the incentive and entrenchment effects of large shareholdings.</w:t>
      </w:r>
      <w:proofErr w:type="gramEnd"/>
      <w:r w:rsidRPr="00453DDA">
        <w:t xml:space="preserve"> </w:t>
      </w:r>
      <w:r w:rsidRPr="00453DDA">
        <w:rPr>
          <w:i/>
        </w:rPr>
        <w:t>Journal of Finance</w:t>
      </w:r>
      <w:r w:rsidR="007F25D6" w:rsidRPr="00453DDA">
        <w:rPr>
          <w:i/>
        </w:rPr>
        <w:t>,</w:t>
      </w:r>
      <w:r w:rsidRPr="00453DDA">
        <w:t xml:space="preserve"> 57</w:t>
      </w:r>
      <w:r w:rsidR="003B056C" w:rsidRPr="00453DDA">
        <w:t>:</w:t>
      </w:r>
      <w:r w:rsidR="007F25D6" w:rsidRPr="00453DDA">
        <w:t xml:space="preserve"> </w:t>
      </w:r>
      <w:r w:rsidRPr="00453DDA">
        <w:t>2741-2771.</w:t>
      </w:r>
    </w:p>
    <w:p w:rsidR="00E23340" w:rsidRDefault="00E23340" w:rsidP="00E23340">
      <w:pPr>
        <w:spacing w:line="480" w:lineRule="auto"/>
        <w:ind w:left="720" w:hanging="720"/>
        <w:contextualSpacing/>
        <w:jc w:val="both"/>
        <w:rPr>
          <w:rFonts w:eastAsia="MS PGothic"/>
          <w:color w:val="000000"/>
        </w:rPr>
      </w:pPr>
      <w:proofErr w:type="gramStart"/>
      <w:r>
        <w:rPr>
          <w:rFonts w:eastAsia="MS PGothic"/>
          <w:color w:val="000000"/>
        </w:rPr>
        <w:t xml:space="preserve">Cruz, C., </w:t>
      </w:r>
      <w:proofErr w:type="spellStart"/>
      <w:r>
        <w:rPr>
          <w:rFonts w:eastAsia="MS PGothic"/>
          <w:color w:val="000000"/>
        </w:rPr>
        <w:t>Larraza-Kintana</w:t>
      </w:r>
      <w:proofErr w:type="spellEnd"/>
      <w:r>
        <w:rPr>
          <w:rFonts w:eastAsia="MS PGothic"/>
          <w:color w:val="000000"/>
        </w:rPr>
        <w:t xml:space="preserve">, M., </w:t>
      </w:r>
      <w:proofErr w:type="spellStart"/>
      <w:r w:rsidRPr="008573E8">
        <w:t>Garcés-Galdeano</w:t>
      </w:r>
      <w:proofErr w:type="spellEnd"/>
      <w:r>
        <w:t xml:space="preserve">, l. &amp; </w:t>
      </w:r>
      <w:proofErr w:type="spellStart"/>
      <w:r>
        <w:t>Berrone</w:t>
      </w:r>
      <w:proofErr w:type="spellEnd"/>
      <w:r>
        <w:t>, P. (2014).</w:t>
      </w:r>
      <w:proofErr w:type="gramEnd"/>
      <w:r>
        <w:t xml:space="preserve"> Are family firms really more socially responsible? </w:t>
      </w:r>
      <w:r w:rsidRPr="003951E6">
        <w:rPr>
          <w:i/>
        </w:rPr>
        <w:t>Entrepreneurship Theory and Practice</w:t>
      </w:r>
      <w:r>
        <w:t xml:space="preserve">, 38(6): 1295-1316. </w:t>
      </w:r>
    </w:p>
    <w:p w:rsidR="003B418C" w:rsidRPr="00453DDA" w:rsidRDefault="003B056C" w:rsidP="00FC692F">
      <w:pPr>
        <w:autoSpaceDE w:val="0"/>
        <w:autoSpaceDN w:val="0"/>
        <w:adjustRightInd w:val="0"/>
        <w:spacing w:line="480" w:lineRule="auto"/>
        <w:ind w:left="567" w:hanging="567"/>
        <w:jc w:val="both"/>
      </w:pPr>
      <w:proofErr w:type="gramStart"/>
      <w:r w:rsidRPr="00453DDA">
        <w:t xml:space="preserve">Davis-Friday, P., </w:t>
      </w:r>
      <w:proofErr w:type="spellStart"/>
      <w:r w:rsidRPr="00453DDA">
        <w:t>Freckab</w:t>
      </w:r>
      <w:proofErr w:type="spellEnd"/>
      <w:r w:rsidRPr="00453DDA">
        <w:t>, T.</w:t>
      </w:r>
      <w:r w:rsidR="003B418C" w:rsidRPr="00453DDA">
        <w:t xml:space="preserve"> </w:t>
      </w:r>
      <w:r w:rsidRPr="00453DDA">
        <w:t xml:space="preserve">&amp; </w:t>
      </w:r>
      <w:r w:rsidR="009C52C6" w:rsidRPr="00453DDA">
        <w:t>Rivera, J.M.</w:t>
      </w:r>
      <w:r w:rsidR="003B418C" w:rsidRPr="00453DDA">
        <w:t xml:space="preserve"> </w:t>
      </w:r>
      <w:r w:rsidR="004C07AF" w:rsidRPr="00453DDA">
        <w:t>(</w:t>
      </w:r>
      <w:r w:rsidR="003B418C" w:rsidRPr="00453DDA">
        <w:t>2005</w:t>
      </w:r>
      <w:r w:rsidR="004C07AF" w:rsidRPr="00453DDA">
        <w:t>)</w:t>
      </w:r>
      <w:r w:rsidR="009C52C6" w:rsidRPr="00453DDA">
        <w:t>.</w:t>
      </w:r>
      <w:proofErr w:type="gramEnd"/>
      <w:r w:rsidR="003B418C" w:rsidRPr="00453DDA">
        <w:t xml:space="preserve"> The financial performance, capital constraints and information environment of cross-listed firms: Evidence from Mexico. </w:t>
      </w:r>
      <w:r w:rsidR="003B418C" w:rsidRPr="00453DDA">
        <w:rPr>
          <w:i/>
        </w:rPr>
        <w:t>Internat</w:t>
      </w:r>
      <w:r w:rsidR="002C79D8" w:rsidRPr="00453DDA">
        <w:rPr>
          <w:i/>
        </w:rPr>
        <w:t>ional Journal of Accounting</w:t>
      </w:r>
      <w:r w:rsidR="007F25D6" w:rsidRPr="00453DDA">
        <w:rPr>
          <w:i/>
        </w:rPr>
        <w:t>,</w:t>
      </w:r>
      <w:r w:rsidR="002C79D8" w:rsidRPr="00453DDA">
        <w:t xml:space="preserve"> 40</w:t>
      </w:r>
      <w:r w:rsidRPr="00453DDA">
        <w:t>:</w:t>
      </w:r>
      <w:r w:rsidR="007F25D6" w:rsidRPr="00453DDA">
        <w:t xml:space="preserve"> </w:t>
      </w:r>
      <w:r w:rsidR="00FE4F6F" w:rsidRPr="00453DDA">
        <w:t>1-30.</w:t>
      </w:r>
    </w:p>
    <w:p w:rsidR="0087477E" w:rsidRPr="00453DDA" w:rsidRDefault="003B056C" w:rsidP="00FC692F">
      <w:pPr>
        <w:autoSpaceDE w:val="0"/>
        <w:autoSpaceDN w:val="0"/>
        <w:adjustRightInd w:val="0"/>
        <w:spacing w:line="480" w:lineRule="auto"/>
        <w:ind w:left="567" w:hanging="567"/>
      </w:pPr>
      <w:proofErr w:type="spellStart"/>
      <w:proofErr w:type="gramStart"/>
      <w:r w:rsidRPr="00453DDA">
        <w:t>Demsetz</w:t>
      </w:r>
      <w:proofErr w:type="spellEnd"/>
      <w:r w:rsidRPr="00453DDA">
        <w:t>, H. &amp;</w:t>
      </w:r>
      <w:r w:rsidR="0087477E" w:rsidRPr="00453DDA">
        <w:t xml:space="preserve"> Lehn, K. (1985).</w:t>
      </w:r>
      <w:proofErr w:type="gramEnd"/>
      <w:r w:rsidR="0087477E" w:rsidRPr="00453DDA">
        <w:t xml:space="preserve"> The structure of corporate ownership: Causes and consequences. </w:t>
      </w:r>
      <w:r w:rsidR="0087477E" w:rsidRPr="00453DDA">
        <w:rPr>
          <w:i/>
        </w:rPr>
        <w:t>Journal of Political Economy</w:t>
      </w:r>
      <w:r w:rsidRPr="00453DDA">
        <w:t>, 93:</w:t>
      </w:r>
      <w:r w:rsidR="0087477E" w:rsidRPr="00453DDA">
        <w:t xml:space="preserve"> 1155-1177.</w:t>
      </w:r>
    </w:p>
    <w:p w:rsidR="0087477E" w:rsidRPr="00453DDA" w:rsidRDefault="0087477E" w:rsidP="00FC692F">
      <w:pPr>
        <w:spacing w:line="480" w:lineRule="auto"/>
        <w:ind w:left="567" w:hanging="567"/>
        <w:jc w:val="both"/>
      </w:pPr>
      <w:r w:rsidRPr="00453DDA">
        <w:t xml:space="preserve">Dyer, W.G. (2006). </w:t>
      </w:r>
      <w:proofErr w:type="gramStart"/>
      <w:r w:rsidRPr="00453DDA">
        <w:t>Examining the “family effect” on firm performance.</w:t>
      </w:r>
      <w:proofErr w:type="gramEnd"/>
      <w:r w:rsidRPr="00453DDA">
        <w:t xml:space="preserve"> </w:t>
      </w:r>
      <w:r w:rsidRPr="00453DDA">
        <w:rPr>
          <w:i/>
        </w:rPr>
        <w:t>Family Business Review</w:t>
      </w:r>
      <w:r w:rsidR="003B056C" w:rsidRPr="00453DDA">
        <w:t>, 19(4):</w:t>
      </w:r>
      <w:r w:rsidRPr="00453DDA">
        <w:t xml:space="preserve"> 253-273.</w:t>
      </w:r>
    </w:p>
    <w:p w:rsidR="002F19DB" w:rsidRPr="00453DDA" w:rsidRDefault="002F19DB" w:rsidP="00FC692F">
      <w:pPr>
        <w:spacing w:line="480" w:lineRule="auto"/>
        <w:ind w:left="567" w:hanging="567"/>
        <w:jc w:val="both"/>
      </w:pPr>
      <w:proofErr w:type="spellStart"/>
      <w:proofErr w:type="gramStart"/>
      <w:r w:rsidRPr="00453DDA">
        <w:lastRenderedPageBreak/>
        <w:t>Eddleston</w:t>
      </w:r>
      <w:proofErr w:type="spellEnd"/>
      <w:r w:rsidRPr="00453DDA">
        <w:t>, K.A.</w:t>
      </w:r>
      <w:r w:rsidR="007710A1" w:rsidRPr="00453DDA">
        <w:t xml:space="preserve"> </w:t>
      </w:r>
      <w:r w:rsidR="003B056C" w:rsidRPr="00453DDA">
        <w:t xml:space="preserve">&amp; </w:t>
      </w:r>
      <w:proofErr w:type="spellStart"/>
      <w:r w:rsidRPr="00453DDA">
        <w:t>Kellermans</w:t>
      </w:r>
      <w:proofErr w:type="spellEnd"/>
      <w:r w:rsidRPr="00453DDA">
        <w:t>, F.W. (2007).</w:t>
      </w:r>
      <w:proofErr w:type="gramEnd"/>
      <w:r w:rsidRPr="00453DDA">
        <w:t xml:space="preserve"> Destr</w:t>
      </w:r>
      <w:r w:rsidR="008729F9" w:rsidRPr="00453DDA">
        <w:t>uc</w:t>
      </w:r>
      <w:r w:rsidRPr="00453DDA">
        <w:t>tive and productive family relationships: A stewar</w:t>
      </w:r>
      <w:r w:rsidR="008729F9" w:rsidRPr="00453DDA">
        <w:t>d</w:t>
      </w:r>
      <w:r w:rsidRPr="00453DDA">
        <w:t xml:space="preserve">ship theory perspective. </w:t>
      </w:r>
      <w:r w:rsidRPr="00453DDA">
        <w:rPr>
          <w:i/>
        </w:rPr>
        <w:t>Journal of Business Venturing</w:t>
      </w:r>
      <w:r w:rsidR="003B056C" w:rsidRPr="00453DDA">
        <w:t xml:space="preserve">, 22: </w:t>
      </w:r>
      <w:r w:rsidRPr="00453DDA">
        <w:t>545-565.</w:t>
      </w:r>
    </w:p>
    <w:p w:rsidR="003B418C" w:rsidRPr="00453DDA" w:rsidRDefault="003B418C" w:rsidP="00FC692F">
      <w:pPr>
        <w:spacing w:line="480" w:lineRule="auto"/>
        <w:ind w:left="567" w:hanging="567"/>
        <w:jc w:val="both"/>
      </w:pPr>
      <w:proofErr w:type="spellStart"/>
      <w:r w:rsidRPr="004842D2">
        <w:rPr>
          <w:lang w:val="es-MX"/>
        </w:rPr>
        <w:t>Faccio</w:t>
      </w:r>
      <w:proofErr w:type="spellEnd"/>
      <w:r w:rsidRPr="004842D2">
        <w:rPr>
          <w:lang w:val="es-MX"/>
        </w:rPr>
        <w:t>, M.</w:t>
      </w:r>
      <w:r w:rsidR="003B056C" w:rsidRPr="004842D2">
        <w:rPr>
          <w:lang w:val="es-MX"/>
        </w:rPr>
        <w:t xml:space="preserve"> &amp;</w:t>
      </w:r>
      <w:r w:rsidR="007710A1" w:rsidRPr="004842D2">
        <w:rPr>
          <w:lang w:val="es-MX"/>
        </w:rPr>
        <w:t xml:space="preserve"> </w:t>
      </w:r>
      <w:proofErr w:type="spellStart"/>
      <w:r w:rsidR="0087477E" w:rsidRPr="004842D2">
        <w:rPr>
          <w:lang w:val="es-MX"/>
        </w:rPr>
        <w:t>Lang</w:t>
      </w:r>
      <w:proofErr w:type="spellEnd"/>
      <w:r w:rsidR="0087477E" w:rsidRPr="004842D2">
        <w:rPr>
          <w:lang w:val="es-MX"/>
        </w:rPr>
        <w:t>, L.</w:t>
      </w:r>
      <w:r w:rsidR="002C79D8" w:rsidRPr="004842D2">
        <w:rPr>
          <w:lang w:val="es-MX"/>
        </w:rPr>
        <w:t xml:space="preserve">H.P. </w:t>
      </w:r>
      <w:r w:rsidR="004C07AF" w:rsidRPr="004842D2">
        <w:rPr>
          <w:lang w:val="es-MX"/>
        </w:rPr>
        <w:t>(</w:t>
      </w:r>
      <w:r w:rsidR="002C79D8" w:rsidRPr="004842D2">
        <w:rPr>
          <w:lang w:val="es-MX"/>
        </w:rPr>
        <w:t>2002</w:t>
      </w:r>
      <w:r w:rsidR="004C07AF" w:rsidRPr="004842D2">
        <w:rPr>
          <w:lang w:val="es-MX"/>
        </w:rPr>
        <w:t>)</w:t>
      </w:r>
      <w:r w:rsidR="002C79D8" w:rsidRPr="004842D2">
        <w:rPr>
          <w:lang w:val="es-MX"/>
        </w:rPr>
        <w:t>.</w:t>
      </w:r>
      <w:r w:rsidRPr="004842D2">
        <w:rPr>
          <w:lang w:val="es-MX"/>
        </w:rPr>
        <w:t xml:space="preserve"> </w:t>
      </w:r>
      <w:proofErr w:type="gramStart"/>
      <w:r w:rsidRPr="00453DDA">
        <w:t>The ultimate ownership of Western European corporations.</w:t>
      </w:r>
      <w:proofErr w:type="gramEnd"/>
      <w:r w:rsidRPr="00453DDA">
        <w:t xml:space="preserve"> </w:t>
      </w:r>
      <w:r w:rsidRPr="00453DDA">
        <w:rPr>
          <w:i/>
        </w:rPr>
        <w:t>Journal of Corporate Finance</w:t>
      </w:r>
      <w:r w:rsidR="007F25D6" w:rsidRPr="00453DDA">
        <w:rPr>
          <w:i/>
        </w:rPr>
        <w:t>,</w:t>
      </w:r>
      <w:r w:rsidRPr="00453DDA">
        <w:t xml:space="preserve"> 65</w:t>
      </w:r>
      <w:r w:rsidR="003B056C" w:rsidRPr="00453DDA">
        <w:t>:</w:t>
      </w:r>
      <w:r w:rsidR="007F25D6" w:rsidRPr="00453DDA">
        <w:t xml:space="preserve"> </w:t>
      </w:r>
      <w:r w:rsidRPr="00453DDA">
        <w:t xml:space="preserve">365-395. </w:t>
      </w:r>
    </w:p>
    <w:p w:rsidR="003B418C" w:rsidRPr="00453DDA" w:rsidRDefault="003B418C" w:rsidP="00FC692F">
      <w:pPr>
        <w:spacing w:line="480" w:lineRule="auto"/>
        <w:ind w:left="567" w:hanging="567"/>
        <w:jc w:val="both"/>
      </w:pPr>
      <w:r w:rsidRPr="004842D2">
        <w:rPr>
          <w:lang w:val="es-MX"/>
        </w:rPr>
        <w:t>Fama, E.F.</w:t>
      </w:r>
      <w:r w:rsidR="003B056C" w:rsidRPr="004842D2">
        <w:rPr>
          <w:lang w:val="es-MX"/>
        </w:rPr>
        <w:t xml:space="preserve"> &amp;</w:t>
      </w:r>
      <w:r w:rsidR="002C79D8" w:rsidRPr="004842D2">
        <w:rPr>
          <w:lang w:val="es-MX"/>
        </w:rPr>
        <w:t xml:space="preserve"> Jensen, M.C. </w:t>
      </w:r>
      <w:r w:rsidR="004C07AF" w:rsidRPr="004842D2">
        <w:rPr>
          <w:lang w:val="es-MX"/>
        </w:rPr>
        <w:t>(</w:t>
      </w:r>
      <w:r w:rsidR="002C79D8" w:rsidRPr="004842D2">
        <w:rPr>
          <w:lang w:val="es-MX"/>
        </w:rPr>
        <w:t>1983</w:t>
      </w:r>
      <w:r w:rsidR="004C07AF" w:rsidRPr="004842D2">
        <w:rPr>
          <w:lang w:val="es-MX"/>
        </w:rPr>
        <w:t>)</w:t>
      </w:r>
      <w:r w:rsidR="002C79D8" w:rsidRPr="004842D2">
        <w:rPr>
          <w:lang w:val="es-MX"/>
        </w:rPr>
        <w:t>.</w:t>
      </w:r>
      <w:r w:rsidRPr="004842D2">
        <w:rPr>
          <w:lang w:val="es-MX"/>
        </w:rPr>
        <w:t xml:space="preserve"> </w:t>
      </w:r>
      <w:proofErr w:type="gramStart"/>
      <w:r w:rsidRPr="00453DDA">
        <w:t>Separation of ownership and control.</w:t>
      </w:r>
      <w:proofErr w:type="gramEnd"/>
      <w:r w:rsidRPr="00453DDA">
        <w:t xml:space="preserve"> </w:t>
      </w:r>
      <w:r w:rsidRPr="00453DDA">
        <w:rPr>
          <w:i/>
        </w:rPr>
        <w:t>J</w:t>
      </w:r>
      <w:r w:rsidR="002C79D8" w:rsidRPr="00453DDA">
        <w:rPr>
          <w:i/>
        </w:rPr>
        <w:t>ournal of Law and Economics</w:t>
      </w:r>
      <w:r w:rsidR="007F25D6" w:rsidRPr="00453DDA">
        <w:rPr>
          <w:i/>
        </w:rPr>
        <w:t>,</w:t>
      </w:r>
      <w:r w:rsidR="002C79D8" w:rsidRPr="00453DDA">
        <w:t xml:space="preserve"> 26</w:t>
      </w:r>
      <w:r w:rsidR="003B056C" w:rsidRPr="00453DDA">
        <w:t>:</w:t>
      </w:r>
      <w:r w:rsidR="007F25D6" w:rsidRPr="00453DDA">
        <w:t xml:space="preserve"> </w:t>
      </w:r>
      <w:r w:rsidRPr="00453DDA">
        <w:t>301-325.</w:t>
      </w:r>
    </w:p>
    <w:p w:rsidR="003B418C" w:rsidRPr="00453DDA" w:rsidRDefault="003B056C" w:rsidP="00FC692F">
      <w:pPr>
        <w:autoSpaceDE w:val="0"/>
        <w:autoSpaceDN w:val="0"/>
        <w:adjustRightInd w:val="0"/>
        <w:spacing w:line="480" w:lineRule="auto"/>
        <w:ind w:left="567" w:hanging="567"/>
        <w:jc w:val="both"/>
      </w:pPr>
      <w:r w:rsidRPr="00453DDA">
        <w:t xml:space="preserve">Ferris, S., </w:t>
      </w:r>
      <w:proofErr w:type="spellStart"/>
      <w:r w:rsidRPr="00453DDA">
        <w:t>Jagannathan</w:t>
      </w:r>
      <w:proofErr w:type="spellEnd"/>
      <w:r w:rsidRPr="00453DDA">
        <w:t>, M.</w:t>
      </w:r>
      <w:r w:rsidR="003B418C" w:rsidRPr="00453DDA">
        <w:t xml:space="preserve"> </w:t>
      </w:r>
      <w:r w:rsidRPr="00453DDA">
        <w:t xml:space="preserve">&amp; </w:t>
      </w:r>
      <w:r w:rsidR="002C79D8" w:rsidRPr="00453DDA">
        <w:t xml:space="preserve">Pritchard, A. </w:t>
      </w:r>
      <w:r w:rsidR="004C07AF" w:rsidRPr="00453DDA">
        <w:t>(</w:t>
      </w:r>
      <w:r w:rsidR="002C79D8" w:rsidRPr="00453DDA">
        <w:t>2003</w:t>
      </w:r>
      <w:r w:rsidR="004C07AF" w:rsidRPr="00453DDA">
        <w:t>)</w:t>
      </w:r>
      <w:r w:rsidR="002C79D8" w:rsidRPr="00453DDA">
        <w:t>.</w:t>
      </w:r>
      <w:r w:rsidR="003B418C" w:rsidRPr="00453DDA">
        <w:t xml:space="preserve"> </w:t>
      </w:r>
      <w:proofErr w:type="gramStart"/>
      <w:r w:rsidR="003B418C" w:rsidRPr="00453DDA">
        <w:t>Too busy to mind the business?</w:t>
      </w:r>
      <w:proofErr w:type="gramEnd"/>
      <w:r w:rsidR="003B418C" w:rsidRPr="00453DDA">
        <w:t xml:space="preserve"> </w:t>
      </w:r>
      <w:proofErr w:type="gramStart"/>
      <w:r w:rsidR="003B418C" w:rsidRPr="00453DDA">
        <w:t>Monitoring by directors with multiple board appoi</w:t>
      </w:r>
      <w:r w:rsidR="002C79D8" w:rsidRPr="00453DDA">
        <w:t>ntments.</w:t>
      </w:r>
      <w:proofErr w:type="gramEnd"/>
      <w:r w:rsidR="002C79D8" w:rsidRPr="00453DDA">
        <w:t xml:space="preserve"> </w:t>
      </w:r>
      <w:r w:rsidR="002C79D8" w:rsidRPr="00453DDA">
        <w:rPr>
          <w:i/>
        </w:rPr>
        <w:t>Journal of Finance</w:t>
      </w:r>
      <w:r w:rsidR="007F25D6" w:rsidRPr="00453DDA">
        <w:rPr>
          <w:i/>
        </w:rPr>
        <w:t>,</w:t>
      </w:r>
      <w:r w:rsidR="002C79D8" w:rsidRPr="00453DDA">
        <w:t xml:space="preserve"> 58</w:t>
      </w:r>
      <w:r w:rsidRPr="00453DDA">
        <w:t>:</w:t>
      </w:r>
      <w:r w:rsidR="007F25D6" w:rsidRPr="00453DDA">
        <w:t xml:space="preserve"> </w:t>
      </w:r>
      <w:r w:rsidR="003B418C" w:rsidRPr="00453DDA">
        <w:t>1087–1111.</w:t>
      </w:r>
    </w:p>
    <w:p w:rsidR="00206714" w:rsidRPr="00453DDA" w:rsidRDefault="00206714" w:rsidP="00FC692F">
      <w:pPr>
        <w:spacing w:line="480" w:lineRule="auto"/>
        <w:ind w:left="567" w:hanging="567"/>
        <w:jc w:val="both"/>
      </w:pPr>
      <w:proofErr w:type="spellStart"/>
      <w:proofErr w:type="gramStart"/>
      <w:r w:rsidRPr="00453DDA">
        <w:t>Gómez-Mejía</w:t>
      </w:r>
      <w:proofErr w:type="spellEnd"/>
      <w:r w:rsidRPr="00453DDA">
        <w:t xml:space="preserve">, L.R., Haynes, K.T., </w:t>
      </w:r>
      <w:proofErr w:type="spellStart"/>
      <w:r w:rsidRPr="00453DDA">
        <w:t>Núñez</w:t>
      </w:r>
      <w:proofErr w:type="spellEnd"/>
      <w:r w:rsidRPr="00453DDA">
        <w:t>-Nickel, M., Jacobson, K.J.L.</w:t>
      </w:r>
      <w:r w:rsidR="003B056C" w:rsidRPr="00453DDA">
        <w:t xml:space="preserve"> &amp;</w:t>
      </w:r>
      <w:r w:rsidR="007710A1" w:rsidRPr="00453DDA">
        <w:t xml:space="preserve"> </w:t>
      </w:r>
      <w:proofErr w:type="spellStart"/>
      <w:r w:rsidRPr="00453DDA">
        <w:t>Moyano</w:t>
      </w:r>
      <w:proofErr w:type="spellEnd"/>
      <w:r w:rsidRPr="00453DDA">
        <w:t>-Fuentes, J. (2007).</w:t>
      </w:r>
      <w:proofErr w:type="gramEnd"/>
      <w:r w:rsidRPr="00453DDA">
        <w:t xml:space="preserve"> Socioemotional Wealth and Business Risks in Family-controlled Firms: Evidence from Spanish Olive Oil Mills, </w:t>
      </w:r>
      <w:r w:rsidRPr="00FF4376">
        <w:rPr>
          <w:i/>
        </w:rPr>
        <w:t>Administrative Science Quarterly</w:t>
      </w:r>
      <w:r w:rsidRPr="00453DDA">
        <w:t xml:space="preserve">, </w:t>
      </w:r>
      <w:proofErr w:type="gramStart"/>
      <w:r w:rsidRPr="00453DDA">
        <w:t>52</w:t>
      </w:r>
      <w:proofErr w:type="gramEnd"/>
      <w:r w:rsidRPr="00453DDA">
        <w:t>(1)</w:t>
      </w:r>
      <w:r w:rsidR="003B056C" w:rsidRPr="00453DDA">
        <w:t>:</w:t>
      </w:r>
      <w:r w:rsidRPr="00453DDA">
        <w:t xml:space="preserve"> 106-137.</w:t>
      </w:r>
    </w:p>
    <w:p w:rsidR="00206714" w:rsidRPr="00453DDA" w:rsidRDefault="00A90CD1" w:rsidP="00FC692F">
      <w:pPr>
        <w:spacing w:line="480" w:lineRule="auto"/>
        <w:ind w:left="567" w:hanging="567"/>
        <w:jc w:val="both"/>
      </w:pPr>
      <w:r w:rsidRPr="004842D2">
        <w:rPr>
          <w:lang w:val="es-MX"/>
        </w:rPr>
        <w:t xml:space="preserve">Gómez-Mejía, L.R., Cruz, C., </w:t>
      </w:r>
      <w:proofErr w:type="spellStart"/>
      <w:r w:rsidRPr="004842D2">
        <w:rPr>
          <w:lang w:val="es-MX"/>
        </w:rPr>
        <w:t>Berrone</w:t>
      </w:r>
      <w:proofErr w:type="spellEnd"/>
      <w:r w:rsidRPr="004842D2">
        <w:rPr>
          <w:lang w:val="es-MX"/>
        </w:rPr>
        <w:t xml:space="preserve">, P. &amp; De Castro, F. (2011). </w:t>
      </w:r>
      <w:r w:rsidR="00206714" w:rsidRPr="00453DDA">
        <w:t xml:space="preserve">The bind that ties: Socioemotional wealth preservation in family firms. </w:t>
      </w:r>
      <w:r w:rsidR="003B056C" w:rsidRPr="00FF4376">
        <w:rPr>
          <w:i/>
        </w:rPr>
        <w:t>Academy of Management Annals</w:t>
      </w:r>
      <w:r w:rsidR="003B056C" w:rsidRPr="00453DDA">
        <w:t>, 5:</w:t>
      </w:r>
      <w:r w:rsidR="00206714" w:rsidRPr="00453DDA">
        <w:t xml:space="preserve"> 653-707.</w:t>
      </w:r>
    </w:p>
    <w:p w:rsidR="001D7340" w:rsidRPr="00453DDA" w:rsidRDefault="001D7340" w:rsidP="00FC692F">
      <w:pPr>
        <w:spacing w:line="480" w:lineRule="auto"/>
        <w:ind w:left="567" w:hanging="567"/>
        <w:jc w:val="both"/>
      </w:pPr>
      <w:proofErr w:type="gramStart"/>
      <w:r w:rsidRPr="00453DDA">
        <w:t xml:space="preserve">Gompers, P. A., Ishii, J. </w:t>
      </w:r>
      <w:r w:rsidR="009D0D5F">
        <w:t>&amp;</w:t>
      </w:r>
      <w:r w:rsidR="009D0D5F" w:rsidRPr="00453DDA">
        <w:t xml:space="preserve"> </w:t>
      </w:r>
      <w:proofErr w:type="spellStart"/>
      <w:r w:rsidRPr="00453DDA">
        <w:t>Metrick</w:t>
      </w:r>
      <w:proofErr w:type="spellEnd"/>
      <w:r w:rsidRPr="00453DDA">
        <w:t>, A. (2004).</w:t>
      </w:r>
      <w:proofErr w:type="gramEnd"/>
      <w:r w:rsidRPr="00453DDA">
        <w:t xml:space="preserve"> Incentives vs. control: An analysis of US dual-class companies (No. w10240). </w:t>
      </w:r>
      <w:proofErr w:type="gramStart"/>
      <w:r w:rsidRPr="00453DDA">
        <w:t>National Bureau of Economic Research.</w:t>
      </w:r>
      <w:proofErr w:type="gramEnd"/>
    </w:p>
    <w:p w:rsidR="008E48E4" w:rsidRPr="00453DDA" w:rsidRDefault="008E48E4" w:rsidP="00FC692F">
      <w:pPr>
        <w:spacing w:line="480" w:lineRule="auto"/>
        <w:ind w:left="567" w:hanging="567"/>
        <w:jc w:val="both"/>
      </w:pPr>
      <w:proofErr w:type="spellStart"/>
      <w:proofErr w:type="gramStart"/>
      <w:r w:rsidRPr="00453DDA">
        <w:t>González</w:t>
      </w:r>
      <w:proofErr w:type="spellEnd"/>
      <w:r w:rsidRPr="00453DDA">
        <w:t xml:space="preserve">, M., </w:t>
      </w:r>
      <w:proofErr w:type="spellStart"/>
      <w:r w:rsidRPr="00453DDA">
        <w:t>Guzmán</w:t>
      </w:r>
      <w:proofErr w:type="spellEnd"/>
      <w:r w:rsidRPr="00453DDA">
        <w:t>, A., Pombo, C.</w:t>
      </w:r>
      <w:r w:rsidR="003B056C" w:rsidRPr="00453DDA">
        <w:t xml:space="preserve"> &amp;</w:t>
      </w:r>
      <w:r w:rsidR="007710A1" w:rsidRPr="00453DDA">
        <w:t xml:space="preserve"> </w:t>
      </w:r>
      <w:r w:rsidRPr="00453DDA">
        <w:t>Trujillo, M-A.</w:t>
      </w:r>
      <w:proofErr w:type="gramEnd"/>
      <w:r w:rsidRPr="00453DDA">
        <w:t xml:space="preserve"> (2012). Family firms and financial performance: The cost of growing. </w:t>
      </w:r>
      <w:proofErr w:type="gramStart"/>
      <w:r w:rsidRPr="00453DDA">
        <w:rPr>
          <w:i/>
        </w:rPr>
        <w:t>Emerging Markets Review</w:t>
      </w:r>
      <w:r w:rsidR="003B056C" w:rsidRPr="00453DDA">
        <w:t>, 13:</w:t>
      </w:r>
      <w:r w:rsidRPr="00453DDA">
        <w:t xml:space="preserve"> 626-649.</w:t>
      </w:r>
      <w:proofErr w:type="gramEnd"/>
    </w:p>
    <w:p w:rsidR="008E48E4" w:rsidRPr="00453DDA" w:rsidRDefault="008E48E4" w:rsidP="00FC692F">
      <w:pPr>
        <w:spacing w:line="480" w:lineRule="auto"/>
        <w:ind w:left="567" w:hanging="567"/>
        <w:jc w:val="both"/>
      </w:pPr>
      <w:proofErr w:type="spellStart"/>
      <w:proofErr w:type="gramStart"/>
      <w:r w:rsidRPr="00453DDA">
        <w:t>González</w:t>
      </w:r>
      <w:proofErr w:type="spellEnd"/>
      <w:r w:rsidRPr="00453DDA">
        <w:t xml:space="preserve">, M., </w:t>
      </w:r>
      <w:proofErr w:type="spellStart"/>
      <w:r w:rsidRPr="00453DDA">
        <w:t>Guzmán</w:t>
      </w:r>
      <w:proofErr w:type="spellEnd"/>
      <w:r w:rsidRPr="00453DDA">
        <w:t>, A., Pombo, C.</w:t>
      </w:r>
      <w:r w:rsidR="003B056C" w:rsidRPr="00453DDA">
        <w:t xml:space="preserve"> &amp;</w:t>
      </w:r>
      <w:r w:rsidR="007710A1" w:rsidRPr="00453DDA">
        <w:t xml:space="preserve"> </w:t>
      </w:r>
      <w:r w:rsidRPr="00453DDA">
        <w:t>Trujillo, M-A.</w:t>
      </w:r>
      <w:proofErr w:type="gramEnd"/>
      <w:r w:rsidRPr="00453DDA">
        <w:t xml:space="preserve"> (2013). Family firm and debt: Risk aversion versus risk of losing control. </w:t>
      </w:r>
      <w:r w:rsidRPr="00453DDA">
        <w:rPr>
          <w:i/>
        </w:rPr>
        <w:t>Journal of Business Research</w:t>
      </w:r>
      <w:r w:rsidR="003B056C" w:rsidRPr="00453DDA">
        <w:t>, 66:</w:t>
      </w:r>
      <w:r w:rsidRPr="00453DDA">
        <w:t xml:space="preserve"> 2308-2320.</w:t>
      </w:r>
    </w:p>
    <w:p w:rsidR="00876C59" w:rsidRPr="00453DDA" w:rsidRDefault="003B056C" w:rsidP="00FC692F">
      <w:pPr>
        <w:spacing w:line="480" w:lineRule="auto"/>
        <w:ind w:left="567" w:hanging="567"/>
        <w:jc w:val="both"/>
      </w:pPr>
      <w:proofErr w:type="gramStart"/>
      <w:r w:rsidRPr="00453DDA">
        <w:lastRenderedPageBreak/>
        <w:t>Harris, M. &amp;</w:t>
      </w:r>
      <w:r w:rsidR="00876C59" w:rsidRPr="00453DDA">
        <w:t xml:space="preserve"> </w:t>
      </w:r>
      <w:proofErr w:type="spellStart"/>
      <w:r w:rsidR="00876C59" w:rsidRPr="00453DDA">
        <w:t>Raviv</w:t>
      </w:r>
      <w:proofErr w:type="spellEnd"/>
      <w:r w:rsidR="00876C59" w:rsidRPr="00453DDA">
        <w:t>, A. (1988).</w:t>
      </w:r>
      <w:proofErr w:type="gramEnd"/>
      <w:r w:rsidR="00876C59" w:rsidRPr="00453DDA">
        <w:t xml:space="preserve"> </w:t>
      </w:r>
      <w:proofErr w:type="gramStart"/>
      <w:r w:rsidR="00876C59" w:rsidRPr="00453DDA">
        <w:t>Corporate control contests and capital structure.</w:t>
      </w:r>
      <w:proofErr w:type="gramEnd"/>
      <w:r w:rsidR="00876C59" w:rsidRPr="00453DDA">
        <w:t xml:space="preserve"> </w:t>
      </w:r>
      <w:r w:rsidR="00876C59" w:rsidRPr="00FF4376">
        <w:rPr>
          <w:i/>
        </w:rPr>
        <w:t xml:space="preserve">Journal of </w:t>
      </w:r>
      <w:r w:rsidR="00F034B4" w:rsidRPr="00FF4376">
        <w:rPr>
          <w:i/>
        </w:rPr>
        <w:t>F</w:t>
      </w:r>
      <w:r w:rsidRPr="00FF4376">
        <w:rPr>
          <w:i/>
        </w:rPr>
        <w:t>inancial Economics</w:t>
      </w:r>
      <w:r w:rsidRPr="00453DDA">
        <w:t>, 20:</w:t>
      </w:r>
      <w:r w:rsidR="00876C59" w:rsidRPr="00453DDA">
        <w:t xml:space="preserve"> 55-86.</w:t>
      </w:r>
    </w:p>
    <w:p w:rsidR="007313A3" w:rsidRPr="00453DDA" w:rsidRDefault="003B056C" w:rsidP="00FC692F">
      <w:pPr>
        <w:spacing w:line="480" w:lineRule="auto"/>
        <w:ind w:left="567" w:hanging="567"/>
        <w:jc w:val="both"/>
      </w:pPr>
      <w:proofErr w:type="gramStart"/>
      <w:r w:rsidRPr="00453DDA">
        <w:t>Harris, M. &amp;</w:t>
      </w:r>
      <w:r w:rsidR="007313A3" w:rsidRPr="00453DDA">
        <w:t xml:space="preserve"> </w:t>
      </w:r>
      <w:proofErr w:type="spellStart"/>
      <w:r w:rsidR="007313A3" w:rsidRPr="00453DDA">
        <w:t>Raviv</w:t>
      </w:r>
      <w:proofErr w:type="spellEnd"/>
      <w:r w:rsidR="007313A3" w:rsidRPr="00453DDA">
        <w:t>, A. (1991).</w:t>
      </w:r>
      <w:proofErr w:type="gramEnd"/>
      <w:r w:rsidR="007313A3" w:rsidRPr="00453DDA">
        <w:t xml:space="preserve"> </w:t>
      </w:r>
      <w:proofErr w:type="gramStart"/>
      <w:r w:rsidR="007313A3" w:rsidRPr="00453DDA">
        <w:t>The theory of capital structure.</w:t>
      </w:r>
      <w:proofErr w:type="gramEnd"/>
      <w:r w:rsidR="007313A3" w:rsidRPr="00453DDA">
        <w:t xml:space="preserve"> </w:t>
      </w:r>
      <w:r w:rsidR="007313A3" w:rsidRPr="00FF4376">
        <w:rPr>
          <w:i/>
        </w:rPr>
        <w:t>Journal of Finance</w:t>
      </w:r>
      <w:r w:rsidR="007313A3" w:rsidRPr="00453DDA">
        <w:t>, 46</w:t>
      </w:r>
      <w:r w:rsidRPr="00453DDA">
        <w:t>(</w:t>
      </w:r>
      <w:r w:rsidR="007313A3" w:rsidRPr="00453DDA">
        <w:t>1</w:t>
      </w:r>
      <w:r w:rsidRPr="00453DDA">
        <w:t>):</w:t>
      </w:r>
      <w:r w:rsidR="007313A3" w:rsidRPr="00453DDA">
        <w:t xml:space="preserve"> 297-355.</w:t>
      </w:r>
    </w:p>
    <w:p w:rsidR="008E48E4" w:rsidRPr="00453DDA" w:rsidRDefault="008E48E4" w:rsidP="00FC692F">
      <w:pPr>
        <w:spacing w:line="480" w:lineRule="auto"/>
        <w:ind w:left="567" w:hanging="567"/>
        <w:jc w:val="both"/>
      </w:pPr>
      <w:proofErr w:type="spellStart"/>
      <w:proofErr w:type="gramStart"/>
      <w:r w:rsidRPr="00453DDA">
        <w:t>Holan</w:t>
      </w:r>
      <w:proofErr w:type="spellEnd"/>
      <w:r w:rsidRPr="00453DDA">
        <w:t>, P.M.</w:t>
      </w:r>
      <w:r w:rsidR="003B056C" w:rsidRPr="00453DDA">
        <w:t xml:space="preserve"> &amp;</w:t>
      </w:r>
      <w:r w:rsidR="007710A1" w:rsidRPr="00453DDA">
        <w:t xml:space="preserve"> </w:t>
      </w:r>
      <w:proofErr w:type="spellStart"/>
      <w:r w:rsidRPr="00453DDA">
        <w:t>Sanz</w:t>
      </w:r>
      <w:proofErr w:type="spellEnd"/>
      <w:r w:rsidRPr="00453DDA">
        <w:t>, L. (2006).</w:t>
      </w:r>
      <w:proofErr w:type="gramEnd"/>
      <w:r w:rsidRPr="00453DDA">
        <w:t xml:space="preserve"> Protected by the family? How closely held family firms protect minority shareholders. </w:t>
      </w:r>
      <w:r w:rsidRPr="00453DDA">
        <w:rPr>
          <w:i/>
        </w:rPr>
        <w:t>Journal of Business Research</w:t>
      </w:r>
      <w:r w:rsidRPr="00453DDA">
        <w:t>, 59</w:t>
      </w:r>
      <w:r w:rsidR="003B056C" w:rsidRPr="00453DDA">
        <w:t>:</w:t>
      </w:r>
      <w:r w:rsidRPr="00453DDA">
        <w:t xml:space="preserve"> 356-359.</w:t>
      </w:r>
    </w:p>
    <w:p w:rsidR="002F19DB" w:rsidRPr="00453DDA" w:rsidRDefault="002F19DB" w:rsidP="00FC692F">
      <w:pPr>
        <w:spacing w:line="480" w:lineRule="auto"/>
        <w:ind w:left="567" w:hanging="567"/>
        <w:jc w:val="both"/>
      </w:pPr>
      <w:proofErr w:type="spellStart"/>
      <w:proofErr w:type="gramStart"/>
      <w:r w:rsidRPr="00453DDA">
        <w:t>Huybrechts</w:t>
      </w:r>
      <w:proofErr w:type="spellEnd"/>
      <w:r w:rsidRPr="00453DDA">
        <w:t xml:space="preserve">, J., </w:t>
      </w:r>
      <w:proofErr w:type="spellStart"/>
      <w:r w:rsidRPr="00453DDA">
        <w:t>Voordeckers</w:t>
      </w:r>
      <w:proofErr w:type="spellEnd"/>
      <w:r w:rsidRPr="00453DDA">
        <w:t>, W.</w:t>
      </w:r>
      <w:r w:rsidR="003B056C" w:rsidRPr="00453DDA">
        <w:t xml:space="preserve"> &amp;</w:t>
      </w:r>
      <w:r w:rsidR="007710A1" w:rsidRPr="00453DDA">
        <w:t xml:space="preserve"> </w:t>
      </w:r>
      <w:proofErr w:type="spellStart"/>
      <w:r w:rsidRPr="00453DDA">
        <w:t>Lybaert</w:t>
      </w:r>
      <w:proofErr w:type="spellEnd"/>
      <w:r w:rsidRPr="00453DDA">
        <w:t>, N. (2013).</w:t>
      </w:r>
      <w:proofErr w:type="gramEnd"/>
      <w:r w:rsidRPr="00453DDA">
        <w:t xml:space="preserve"> Entrepreneurial </w:t>
      </w:r>
      <w:r w:rsidR="00356EA0" w:rsidRPr="00453DDA">
        <w:t xml:space="preserve">risk-taking </w:t>
      </w:r>
      <w:r w:rsidRPr="00453DDA">
        <w:t xml:space="preserve">of private family firms: The influence of a nonfamily CEO and the moderating effect of CEO tenure. </w:t>
      </w:r>
      <w:r w:rsidRPr="00453DDA">
        <w:rPr>
          <w:i/>
        </w:rPr>
        <w:t>Family Business Review</w:t>
      </w:r>
      <w:r w:rsidRPr="00453DDA">
        <w:t>, 26</w:t>
      </w:r>
      <w:r w:rsidR="0063501D" w:rsidRPr="00453DDA">
        <w:t>(</w:t>
      </w:r>
      <w:r w:rsidRPr="00453DDA">
        <w:t>2</w:t>
      </w:r>
      <w:r w:rsidR="0063501D" w:rsidRPr="00453DDA">
        <w:t>)</w:t>
      </w:r>
      <w:r w:rsidR="003B056C" w:rsidRPr="00453DDA">
        <w:t>:</w:t>
      </w:r>
      <w:r w:rsidRPr="00453DDA">
        <w:t xml:space="preserve"> 161-179.</w:t>
      </w:r>
    </w:p>
    <w:p w:rsidR="003B418C" w:rsidRPr="00453DDA" w:rsidRDefault="003B418C" w:rsidP="00FC692F">
      <w:pPr>
        <w:spacing w:line="480" w:lineRule="auto"/>
        <w:ind w:left="567" w:hanging="567"/>
        <w:jc w:val="both"/>
      </w:pPr>
      <w:r w:rsidRPr="00453DDA">
        <w:t xml:space="preserve">James, H. </w:t>
      </w:r>
      <w:r w:rsidR="004C07AF" w:rsidRPr="00453DDA">
        <w:t>(</w:t>
      </w:r>
      <w:r w:rsidRPr="00453DDA">
        <w:t>1999</w:t>
      </w:r>
      <w:r w:rsidR="004C07AF" w:rsidRPr="00453DDA">
        <w:t>)</w:t>
      </w:r>
      <w:r w:rsidR="002C79D8" w:rsidRPr="00453DDA">
        <w:t>.</w:t>
      </w:r>
      <w:r w:rsidRPr="00453DDA">
        <w:t xml:space="preserve"> </w:t>
      </w:r>
      <w:proofErr w:type="gramStart"/>
      <w:r w:rsidRPr="00453DDA">
        <w:t xml:space="preserve">Owner as </w:t>
      </w:r>
      <w:r w:rsidR="00F034B4" w:rsidRPr="00453DDA">
        <w:t>m</w:t>
      </w:r>
      <w:r w:rsidRPr="00453DDA">
        <w:t xml:space="preserve">anager, </w:t>
      </w:r>
      <w:r w:rsidR="00F034B4" w:rsidRPr="00453DDA">
        <w:t>e</w:t>
      </w:r>
      <w:r w:rsidRPr="00453DDA">
        <w:t xml:space="preserve">xtended </w:t>
      </w:r>
      <w:r w:rsidR="00F034B4" w:rsidRPr="00453DDA">
        <w:t>h</w:t>
      </w:r>
      <w:r w:rsidRPr="00453DDA">
        <w:t xml:space="preserve">orizons and the </w:t>
      </w:r>
      <w:r w:rsidR="00F034B4" w:rsidRPr="00453DDA">
        <w:t>f</w:t>
      </w:r>
      <w:r w:rsidRPr="00453DDA">
        <w:t xml:space="preserve">amily </w:t>
      </w:r>
      <w:r w:rsidR="00F034B4" w:rsidRPr="00453DDA">
        <w:t>f</w:t>
      </w:r>
      <w:r w:rsidRPr="00453DDA">
        <w:t>irm.</w:t>
      </w:r>
      <w:proofErr w:type="gramEnd"/>
      <w:r w:rsidRPr="00453DDA">
        <w:t xml:space="preserve"> International </w:t>
      </w:r>
      <w:r w:rsidRPr="00453DDA">
        <w:rPr>
          <w:i/>
        </w:rPr>
        <w:t xml:space="preserve">Journal </w:t>
      </w:r>
      <w:r w:rsidR="002C79D8" w:rsidRPr="00453DDA">
        <w:rPr>
          <w:i/>
        </w:rPr>
        <w:t>of Economics of Business</w:t>
      </w:r>
      <w:r w:rsidR="007F25D6" w:rsidRPr="00453DDA">
        <w:rPr>
          <w:i/>
        </w:rPr>
        <w:t>,</w:t>
      </w:r>
      <w:r w:rsidR="002C79D8" w:rsidRPr="00453DDA">
        <w:t xml:space="preserve"> 6</w:t>
      </w:r>
      <w:r w:rsidR="003B056C" w:rsidRPr="00453DDA">
        <w:t>:</w:t>
      </w:r>
      <w:r w:rsidR="007F25D6" w:rsidRPr="00453DDA">
        <w:t xml:space="preserve"> </w:t>
      </w:r>
      <w:r w:rsidRPr="00453DDA">
        <w:t xml:space="preserve">41–55. </w:t>
      </w:r>
    </w:p>
    <w:p w:rsidR="008E48E4" w:rsidRDefault="008E48E4" w:rsidP="00FC692F">
      <w:pPr>
        <w:spacing w:line="480" w:lineRule="auto"/>
        <w:ind w:left="567" w:hanging="567"/>
        <w:jc w:val="both"/>
      </w:pPr>
      <w:proofErr w:type="spellStart"/>
      <w:r w:rsidRPr="00453DDA">
        <w:t>Jaskiewicz</w:t>
      </w:r>
      <w:proofErr w:type="spellEnd"/>
      <w:r w:rsidRPr="00453DDA">
        <w:t>, P.</w:t>
      </w:r>
      <w:r w:rsidR="003B056C" w:rsidRPr="00453DDA">
        <w:t xml:space="preserve"> &amp;</w:t>
      </w:r>
      <w:r w:rsidR="007710A1" w:rsidRPr="00453DDA">
        <w:t xml:space="preserve"> </w:t>
      </w:r>
      <w:r w:rsidRPr="00453DDA">
        <w:t xml:space="preserve">Klein, S. (2007). </w:t>
      </w:r>
      <w:proofErr w:type="gramStart"/>
      <w:r w:rsidRPr="00453DDA">
        <w:t>The impact of goal alignment on board composition and board size in family businesses.</w:t>
      </w:r>
      <w:proofErr w:type="gramEnd"/>
      <w:r w:rsidRPr="00453DDA">
        <w:t xml:space="preserve"> </w:t>
      </w:r>
      <w:r w:rsidRPr="00453DDA">
        <w:rPr>
          <w:i/>
        </w:rPr>
        <w:t>Journal of Business Research</w:t>
      </w:r>
      <w:r w:rsidR="003B056C" w:rsidRPr="00453DDA">
        <w:t>, 60:</w:t>
      </w:r>
      <w:r w:rsidRPr="00453DDA">
        <w:t xml:space="preserve"> 1080-1089. </w:t>
      </w:r>
    </w:p>
    <w:p w:rsidR="00366565" w:rsidRPr="00610A2E" w:rsidRDefault="006F2CCA" w:rsidP="00610A2E">
      <w:pPr>
        <w:spacing w:line="480" w:lineRule="auto"/>
        <w:ind w:left="567" w:hanging="567"/>
        <w:jc w:val="both"/>
      </w:pPr>
      <w:proofErr w:type="spellStart"/>
      <w:proofErr w:type="gramStart"/>
      <w:r w:rsidRPr="00610A2E">
        <w:t>Janjuha-Jivraj</w:t>
      </w:r>
      <w:proofErr w:type="spellEnd"/>
      <w:r w:rsidRPr="00610A2E">
        <w:t xml:space="preserve">, S. </w:t>
      </w:r>
      <w:r w:rsidR="00FF4376">
        <w:t xml:space="preserve">&amp; </w:t>
      </w:r>
      <w:r w:rsidRPr="00610A2E">
        <w:t>Spence, L.J., 2009.</w:t>
      </w:r>
      <w:proofErr w:type="gramEnd"/>
      <w:r w:rsidRPr="00610A2E">
        <w:t xml:space="preserve"> </w:t>
      </w:r>
      <w:proofErr w:type="gramStart"/>
      <w:r w:rsidRPr="00610A2E">
        <w:t>The nature of reciprocity in family firm succession.</w:t>
      </w:r>
      <w:proofErr w:type="gramEnd"/>
      <w:r w:rsidRPr="00610A2E">
        <w:t> </w:t>
      </w:r>
      <w:proofErr w:type="gramStart"/>
      <w:r w:rsidRPr="00FF4376">
        <w:rPr>
          <w:i/>
        </w:rPr>
        <w:t>International Small Business Journal</w:t>
      </w:r>
      <w:r w:rsidRPr="00610A2E">
        <w:t>, 27(6), pp.702-719.</w:t>
      </w:r>
      <w:proofErr w:type="gramEnd"/>
    </w:p>
    <w:p w:rsidR="003B418C" w:rsidRPr="00453DDA" w:rsidRDefault="003B418C" w:rsidP="00FC692F">
      <w:pPr>
        <w:spacing w:line="480" w:lineRule="auto"/>
        <w:ind w:left="567" w:hanging="567"/>
        <w:jc w:val="both"/>
      </w:pPr>
      <w:proofErr w:type="spellStart"/>
      <w:proofErr w:type="gramStart"/>
      <w:r w:rsidRPr="00453DDA">
        <w:t>Jayaraman</w:t>
      </w:r>
      <w:proofErr w:type="spellEnd"/>
      <w:r w:rsidRPr="00453DDA">
        <w:t xml:space="preserve">, N., </w:t>
      </w:r>
      <w:proofErr w:type="spellStart"/>
      <w:r w:rsidRPr="00453DDA">
        <w:t>Shastri</w:t>
      </w:r>
      <w:proofErr w:type="spellEnd"/>
      <w:r w:rsidRPr="00453DDA">
        <w:t>, K.</w:t>
      </w:r>
      <w:r w:rsidR="003B056C" w:rsidRPr="00453DDA">
        <w:t xml:space="preserve"> &amp;</w:t>
      </w:r>
      <w:r w:rsidRPr="00453DDA">
        <w:t xml:space="preserve"> </w:t>
      </w:r>
      <w:proofErr w:type="spellStart"/>
      <w:r w:rsidR="002C79D8" w:rsidRPr="00453DDA">
        <w:t>Tandon</w:t>
      </w:r>
      <w:proofErr w:type="spellEnd"/>
      <w:r w:rsidR="002C79D8" w:rsidRPr="00453DDA">
        <w:t xml:space="preserve">, K. </w:t>
      </w:r>
      <w:r w:rsidR="004C07AF" w:rsidRPr="00453DDA">
        <w:t>(</w:t>
      </w:r>
      <w:r w:rsidR="002C79D8" w:rsidRPr="00453DDA">
        <w:t>1993</w:t>
      </w:r>
      <w:r w:rsidR="004C07AF" w:rsidRPr="00453DDA">
        <w:t>)</w:t>
      </w:r>
      <w:r w:rsidR="002C79D8" w:rsidRPr="00453DDA">
        <w:t>.</w:t>
      </w:r>
      <w:proofErr w:type="gramEnd"/>
      <w:r w:rsidRPr="00453DDA">
        <w:t xml:space="preserve"> </w:t>
      </w:r>
      <w:proofErr w:type="gramStart"/>
      <w:r w:rsidRPr="00453DDA">
        <w:t>The impact of international cross listings on risk and return.</w:t>
      </w:r>
      <w:proofErr w:type="gramEnd"/>
      <w:r w:rsidRPr="00453DDA">
        <w:t xml:space="preserve"> </w:t>
      </w:r>
      <w:proofErr w:type="gramStart"/>
      <w:r w:rsidRPr="00453DDA">
        <w:t>The evidence from American Depository Receipts.</w:t>
      </w:r>
      <w:proofErr w:type="gramEnd"/>
      <w:r w:rsidRPr="00453DDA">
        <w:t xml:space="preserve"> </w:t>
      </w:r>
      <w:r w:rsidRPr="00453DDA">
        <w:rPr>
          <w:i/>
        </w:rPr>
        <w:t xml:space="preserve">Journal of Banking </w:t>
      </w:r>
      <w:r w:rsidR="002C79D8" w:rsidRPr="00453DDA">
        <w:rPr>
          <w:i/>
        </w:rPr>
        <w:t>&amp; Finance</w:t>
      </w:r>
      <w:r w:rsidR="007F25D6" w:rsidRPr="00453DDA">
        <w:rPr>
          <w:i/>
        </w:rPr>
        <w:t>,</w:t>
      </w:r>
      <w:r w:rsidR="002C79D8" w:rsidRPr="00453DDA">
        <w:t xml:space="preserve"> 17</w:t>
      </w:r>
      <w:r w:rsidR="003B056C" w:rsidRPr="00453DDA">
        <w:t>:</w:t>
      </w:r>
      <w:r w:rsidR="007F25D6" w:rsidRPr="00453DDA">
        <w:t xml:space="preserve"> </w:t>
      </w:r>
      <w:r w:rsidRPr="00453DDA">
        <w:t>91-103.</w:t>
      </w:r>
    </w:p>
    <w:p w:rsidR="001256D0" w:rsidRPr="00453DDA" w:rsidRDefault="001256D0" w:rsidP="00FC692F">
      <w:pPr>
        <w:spacing w:line="480" w:lineRule="auto"/>
        <w:ind w:left="567" w:hanging="567"/>
        <w:jc w:val="both"/>
      </w:pPr>
      <w:r w:rsidRPr="00453DDA">
        <w:t xml:space="preserve">Jensen, M.C (1986). Agency costs of free cash flow, corporate finance, and takeovers. </w:t>
      </w:r>
      <w:r w:rsidRPr="00453DDA">
        <w:rPr>
          <w:i/>
        </w:rPr>
        <w:t>American Economic Review,</w:t>
      </w:r>
      <w:r w:rsidRPr="00453DDA">
        <w:t xml:space="preserve"> 76</w:t>
      </w:r>
      <w:r w:rsidR="003B056C" w:rsidRPr="00453DDA">
        <w:t>(</w:t>
      </w:r>
      <w:r w:rsidRPr="00453DDA">
        <w:t>2</w:t>
      </w:r>
      <w:r w:rsidR="003B056C" w:rsidRPr="00453DDA">
        <w:t>):</w:t>
      </w:r>
      <w:r w:rsidRPr="00453DDA">
        <w:t xml:space="preserve"> 323-329.</w:t>
      </w:r>
    </w:p>
    <w:p w:rsidR="003B418C" w:rsidRPr="00453DDA" w:rsidRDefault="003B418C" w:rsidP="00FC692F">
      <w:pPr>
        <w:spacing w:line="480" w:lineRule="auto"/>
        <w:ind w:left="567" w:hanging="567"/>
        <w:jc w:val="both"/>
      </w:pPr>
      <w:proofErr w:type="gramStart"/>
      <w:r w:rsidRPr="00453DDA">
        <w:t xml:space="preserve">Jensen, M. </w:t>
      </w:r>
      <w:r w:rsidR="003B056C" w:rsidRPr="00453DDA">
        <w:t xml:space="preserve">&amp; </w:t>
      </w:r>
      <w:proofErr w:type="spellStart"/>
      <w:r w:rsidR="002C79D8" w:rsidRPr="00453DDA">
        <w:t>Meckling</w:t>
      </w:r>
      <w:proofErr w:type="spellEnd"/>
      <w:r w:rsidR="002C79D8" w:rsidRPr="00453DDA">
        <w:t xml:space="preserve">, W. </w:t>
      </w:r>
      <w:r w:rsidR="004C07AF" w:rsidRPr="00453DDA">
        <w:t>(</w:t>
      </w:r>
      <w:r w:rsidR="002C79D8" w:rsidRPr="00453DDA">
        <w:t>1976</w:t>
      </w:r>
      <w:r w:rsidR="004C07AF" w:rsidRPr="00453DDA">
        <w:t>)</w:t>
      </w:r>
      <w:r w:rsidR="002C79D8" w:rsidRPr="00453DDA">
        <w:t>.</w:t>
      </w:r>
      <w:proofErr w:type="gramEnd"/>
      <w:r w:rsidRPr="00453DDA">
        <w:t xml:space="preserve"> Theory of the firm: Managerial behaviour, agenc</w:t>
      </w:r>
      <w:r w:rsidR="002C79D8" w:rsidRPr="00453DDA">
        <w:t>y costs and ownership structure.</w:t>
      </w:r>
      <w:r w:rsidRPr="00453DDA">
        <w:t xml:space="preserve"> </w:t>
      </w:r>
      <w:r w:rsidRPr="00453DDA">
        <w:rPr>
          <w:i/>
        </w:rPr>
        <w:t>Journal of Financial Economics</w:t>
      </w:r>
      <w:r w:rsidR="007F25D6" w:rsidRPr="00453DDA">
        <w:rPr>
          <w:i/>
        </w:rPr>
        <w:t>,</w:t>
      </w:r>
      <w:r w:rsidRPr="00453DDA">
        <w:t xml:space="preserve"> 3</w:t>
      </w:r>
      <w:r w:rsidR="003B056C" w:rsidRPr="00453DDA">
        <w:t>:</w:t>
      </w:r>
      <w:r w:rsidR="007F25D6" w:rsidRPr="00453DDA">
        <w:t xml:space="preserve"> </w:t>
      </w:r>
      <w:r w:rsidRPr="00453DDA">
        <w:t>305-360.</w:t>
      </w:r>
    </w:p>
    <w:p w:rsidR="00876C59" w:rsidRPr="00453DDA" w:rsidRDefault="003B056C" w:rsidP="00FC692F">
      <w:pPr>
        <w:spacing w:line="480" w:lineRule="auto"/>
        <w:ind w:left="567" w:hanging="567"/>
        <w:jc w:val="both"/>
      </w:pPr>
      <w:proofErr w:type="gramStart"/>
      <w:r w:rsidRPr="00453DDA">
        <w:t xml:space="preserve">John, K., </w:t>
      </w:r>
      <w:proofErr w:type="spellStart"/>
      <w:r w:rsidRPr="00453DDA">
        <w:t>Litov</w:t>
      </w:r>
      <w:proofErr w:type="spellEnd"/>
      <w:r w:rsidRPr="00453DDA">
        <w:t>, L. &amp;</w:t>
      </w:r>
      <w:r w:rsidR="00876C59" w:rsidRPr="00453DDA">
        <w:t xml:space="preserve"> </w:t>
      </w:r>
      <w:proofErr w:type="spellStart"/>
      <w:r w:rsidR="00876C59" w:rsidRPr="00453DDA">
        <w:t>Yeung</w:t>
      </w:r>
      <w:proofErr w:type="spellEnd"/>
      <w:r w:rsidR="00876C59" w:rsidRPr="00453DDA">
        <w:t>, B. (2008).</w:t>
      </w:r>
      <w:proofErr w:type="gramEnd"/>
      <w:r w:rsidR="00876C59" w:rsidRPr="00453DDA">
        <w:t xml:space="preserve"> </w:t>
      </w:r>
      <w:proofErr w:type="gramStart"/>
      <w:r w:rsidR="00876C59" w:rsidRPr="00453DDA">
        <w:t xml:space="preserve">Corporate </w:t>
      </w:r>
      <w:r w:rsidR="00693789" w:rsidRPr="00453DDA">
        <w:t>g</w:t>
      </w:r>
      <w:r w:rsidR="00876C59" w:rsidRPr="00453DDA">
        <w:t xml:space="preserve">overnance and </w:t>
      </w:r>
      <w:r w:rsidR="00693789" w:rsidRPr="00453DDA">
        <w:t>r</w:t>
      </w:r>
      <w:r w:rsidR="00876C59" w:rsidRPr="00453DDA">
        <w:t>isk</w:t>
      </w:r>
      <w:r w:rsidR="00876C59" w:rsidRPr="00453DDA">
        <w:rPr>
          <w:rFonts w:ascii="Cambria Math" w:hAnsi="Cambria Math" w:cs="Cambria Math"/>
        </w:rPr>
        <w:t>‐</w:t>
      </w:r>
      <w:r w:rsidR="00693789" w:rsidRPr="00453DDA">
        <w:rPr>
          <w:rFonts w:ascii="Cambria Math" w:hAnsi="Cambria Math" w:cs="Cambria Math"/>
        </w:rPr>
        <w:t>t</w:t>
      </w:r>
      <w:r w:rsidR="00876C59" w:rsidRPr="00453DDA">
        <w:t>aking.</w:t>
      </w:r>
      <w:proofErr w:type="gramEnd"/>
      <w:r w:rsidR="00876C59" w:rsidRPr="00453DDA">
        <w:t xml:space="preserve"> </w:t>
      </w:r>
      <w:r w:rsidR="00876C59" w:rsidRPr="00FF4376">
        <w:rPr>
          <w:i/>
        </w:rPr>
        <w:t>Journal of Finance</w:t>
      </w:r>
      <w:r w:rsidR="00876C59" w:rsidRPr="00453DDA">
        <w:t>, 63(4)</w:t>
      </w:r>
      <w:r w:rsidRPr="00453DDA">
        <w:t>:</w:t>
      </w:r>
      <w:r w:rsidR="00876C59" w:rsidRPr="00453DDA">
        <w:t xml:space="preserve"> 1679-1728.</w:t>
      </w:r>
    </w:p>
    <w:p w:rsidR="002F19DB" w:rsidRPr="00453DDA" w:rsidRDefault="002F19DB" w:rsidP="00FC692F">
      <w:pPr>
        <w:spacing w:line="480" w:lineRule="auto"/>
        <w:ind w:left="567" w:hanging="567"/>
        <w:jc w:val="both"/>
      </w:pPr>
      <w:r w:rsidRPr="00E741DC">
        <w:rPr>
          <w:lang w:val="es-MX"/>
        </w:rPr>
        <w:lastRenderedPageBreak/>
        <w:t xml:space="preserve">Jones, C.D., </w:t>
      </w:r>
      <w:proofErr w:type="spellStart"/>
      <w:r w:rsidRPr="00E741DC">
        <w:rPr>
          <w:lang w:val="es-MX"/>
        </w:rPr>
        <w:t>Makri</w:t>
      </w:r>
      <w:proofErr w:type="spellEnd"/>
      <w:r w:rsidRPr="00E741DC">
        <w:rPr>
          <w:lang w:val="es-MX"/>
        </w:rPr>
        <w:t>, M.</w:t>
      </w:r>
      <w:r w:rsidR="003B056C" w:rsidRPr="00E741DC">
        <w:rPr>
          <w:lang w:val="es-MX"/>
        </w:rPr>
        <w:t xml:space="preserve"> &amp;</w:t>
      </w:r>
      <w:r w:rsidR="007710A1" w:rsidRPr="00E741DC">
        <w:rPr>
          <w:lang w:val="es-MX"/>
        </w:rPr>
        <w:t xml:space="preserve"> </w:t>
      </w:r>
      <w:r w:rsidRPr="00E741DC">
        <w:rPr>
          <w:lang w:val="es-MX"/>
        </w:rPr>
        <w:t xml:space="preserve">Gómez-Mejía, L.R. (2008). </w:t>
      </w:r>
      <w:r w:rsidRPr="00453DDA">
        <w:t xml:space="preserve">Affiliate directors and perceived risk bearing in publicly traded, family-controlled firms: The case of diversification. </w:t>
      </w:r>
      <w:r w:rsidRPr="00453DDA">
        <w:rPr>
          <w:i/>
        </w:rPr>
        <w:t>Entrepreneurship: Theory &amp; Practice</w:t>
      </w:r>
      <w:r w:rsidR="0049027D" w:rsidRPr="00453DDA">
        <w:t>, 32</w:t>
      </w:r>
      <w:r w:rsidR="0013269D" w:rsidRPr="00453DDA">
        <w:t>(</w:t>
      </w:r>
      <w:r w:rsidR="0049027D" w:rsidRPr="00453DDA">
        <w:t>6</w:t>
      </w:r>
      <w:r w:rsidR="0013269D" w:rsidRPr="00453DDA">
        <w:t>)</w:t>
      </w:r>
      <w:r w:rsidR="003B056C" w:rsidRPr="00453DDA">
        <w:t>:</w:t>
      </w:r>
      <w:r w:rsidR="0049027D" w:rsidRPr="00453DDA">
        <w:t xml:space="preserve"> 1007-1026.</w:t>
      </w:r>
    </w:p>
    <w:p w:rsidR="001F2D6E" w:rsidRPr="00453DDA" w:rsidRDefault="003B056C" w:rsidP="00FC692F">
      <w:pPr>
        <w:spacing w:line="480" w:lineRule="auto"/>
        <w:ind w:left="567" w:hanging="567"/>
        <w:jc w:val="both"/>
      </w:pPr>
      <w:r w:rsidRPr="00453DDA">
        <w:t>Kim, Y. &amp;</w:t>
      </w:r>
      <w:r w:rsidR="001F2D6E" w:rsidRPr="00453DDA">
        <w:t xml:space="preserve"> </w:t>
      </w:r>
      <w:proofErr w:type="spellStart"/>
      <w:proofErr w:type="gramStart"/>
      <w:r w:rsidR="001F2D6E" w:rsidRPr="00453DDA">
        <w:t>Gao</w:t>
      </w:r>
      <w:proofErr w:type="spellEnd"/>
      <w:proofErr w:type="gramEnd"/>
      <w:r w:rsidR="001F2D6E" w:rsidRPr="00453DDA">
        <w:t xml:space="preserve">, F.Y. (2013). Does family involvement increase business performance? </w:t>
      </w:r>
      <w:proofErr w:type="gramStart"/>
      <w:r w:rsidR="001F2D6E" w:rsidRPr="00453DDA">
        <w:t>Family-longevity goals’ moderating role in Chinese family firms.</w:t>
      </w:r>
      <w:proofErr w:type="gramEnd"/>
      <w:r w:rsidR="001F2D6E" w:rsidRPr="00453DDA">
        <w:t xml:space="preserve"> </w:t>
      </w:r>
      <w:r w:rsidR="001F2D6E" w:rsidRPr="00453DDA">
        <w:rPr>
          <w:i/>
        </w:rPr>
        <w:t>Journal of Business Research</w:t>
      </w:r>
      <w:r w:rsidRPr="00453DDA">
        <w:t>, 66:</w:t>
      </w:r>
      <w:r w:rsidR="001F2D6E" w:rsidRPr="00453DDA">
        <w:t xml:space="preserve"> 265-274.</w:t>
      </w:r>
    </w:p>
    <w:p w:rsidR="003B418C" w:rsidRPr="00453DDA" w:rsidRDefault="003B418C" w:rsidP="00FC692F">
      <w:pPr>
        <w:spacing w:line="480" w:lineRule="auto"/>
        <w:ind w:left="567" w:hanging="567"/>
        <w:jc w:val="both"/>
      </w:pPr>
      <w:proofErr w:type="spellStart"/>
      <w:proofErr w:type="gramStart"/>
      <w:r w:rsidRPr="00453DDA">
        <w:t>Klapper</w:t>
      </w:r>
      <w:proofErr w:type="spellEnd"/>
      <w:r w:rsidRPr="00453DDA">
        <w:t>, L.F.</w:t>
      </w:r>
      <w:r w:rsidR="003B056C" w:rsidRPr="00453DDA">
        <w:t xml:space="preserve"> &amp;</w:t>
      </w:r>
      <w:r w:rsidR="002C79D8" w:rsidRPr="00453DDA">
        <w:t xml:space="preserve"> </w:t>
      </w:r>
      <w:r w:rsidR="007710A1" w:rsidRPr="00453DDA">
        <w:t>L</w:t>
      </w:r>
      <w:r w:rsidRPr="00453DDA">
        <w:t xml:space="preserve">ove, I. </w:t>
      </w:r>
      <w:r w:rsidR="004C07AF" w:rsidRPr="00453DDA">
        <w:t>(</w:t>
      </w:r>
      <w:r w:rsidRPr="00453DDA">
        <w:t>2004</w:t>
      </w:r>
      <w:r w:rsidR="004C07AF" w:rsidRPr="00453DDA">
        <w:t>)</w:t>
      </w:r>
      <w:r w:rsidR="002C79D8" w:rsidRPr="00453DDA">
        <w:t>.</w:t>
      </w:r>
      <w:proofErr w:type="gramEnd"/>
      <w:r w:rsidR="002C79D8" w:rsidRPr="00453DDA">
        <w:t xml:space="preserve"> </w:t>
      </w:r>
      <w:proofErr w:type="gramStart"/>
      <w:r w:rsidR="002C79D8" w:rsidRPr="00453DDA">
        <w:t>Corporate governance, investor protection, and performance in e</w:t>
      </w:r>
      <w:r w:rsidRPr="00453DDA">
        <w:t xml:space="preserve">merging </w:t>
      </w:r>
      <w:r w:rsidR="002C79D8" w:rsidRPr="00453DDA">
        <w:t>m</w:t>
      </w:r>
      <w:r w:rsidRPr="00453DDA">
        <w:t>arkets.</w:t>
      </w:r>
      <w:proofErr w:type="gramEnd"/>
      <w:r w:rsidRPr="00453DDA">
        <w:t xml:space="preserve"> </w:t>
      </w:r>
      <w:r w:rsidRPr="00453DDA">
        <w:rPr>
          <w:i/>
        </w:rPr>
        <w:t>Journal of Corporate Finance</w:t>
      </w:r>
      <w:r w:rsidR="007F25D6" w:rsidRPr="00453DDA">
        <w:rPr>
          <w:i/>
        </w:rPr>
        <w:t>,</w:t>
      </w:r>
      <w:r w:rsidRPr="00453DDA">
        <w:t xml:space="preserve"> 195</w:t>
      </w:r>
      <w:r w:rsidR="003B056C" w:rsidRPr="00453DDA">
        <w:t>:</w:t>
      </w:r>
      <w:r w:rsidR="007F25D6" w:rsidRPr="00453DDA">
        <w:t xml:space="preserve"> </w:t>
      </w:r>
      <w:r w:rsidRPr="00453DDA">
        <w:t>1-26.</w:t>
      </w:r>
    </w:p>
    <w:p w:rsidR="003B418C" w:rsidRPr="00453DDA" w:rsidRDefault="003B418C" w:rsidP="00FC692F">
      <w:pPr>
        <w:spacing w:line="480" w:lineRule="auto"/>
        <w:ind w:left="567" w:hanging="567"/>
        <w:jc w:val="both"/>
      </w:pPr>
      <w:r w:rsidRPr="004842D2">
        <w:rPr>
          <w:lang w:val="es-MX"/>
        </w:rPr>
        <w:t xml:space="preserve">La Porta, R., </w:t>
      </w:r>
      <w:proofErr w:type="spellStart"/>
      <w:r w:rsidRPr="004842D2">
        <w:rPr>
          <w:lang w:val="es-MX"/>
        </w:rPr>
        <w:t>Lopez</w:t>
      </w:r>
      <w:proofErr w:type="spellEnd"/>
      <w:r w:rsidRPr="004842D2">
        <w:rPr>
          <w:lang w:val="es-MX"/>
        </w:rPr>
        <w:t>-de-</w:t>
      </w:r>
      <w:proofErr w:type="spellStart"/>
      <w:r w:rsidRPr="004842D2">
        <w:rPr>
          <w:lang w:val="es-MX"/>
        </w:rPr>
        <w:t>Silanes</w:t>
      </w:r>
      <w:proofErr w:type="spellEnd"/>
      <w:r w:rsidRPr="004842D2">
        <w:rPr>
          <w:lang w:val="es-MX"/>
        </w:rPr>
        <w:t xml:space="preserve">, F., </w:t>
      </w:r>
      <w:proofErr w:type="spellStart"/>
      <w:r w:rsidRPr="004842D2">
        <w:rPr>
          <w:lang w:val="es-MX"/>
        </w:rPr>
        <w:t>Shleifer</w:t>
      </w:r>
      <w:proofErr w:type="spellEnd"/>
      <w:r w:rsidRPr="004842D2">
        <w:rPr>
          <w:lang w:val="es-MX"/>
        </w:rPr>
        <w:t>, A.</w:t>
      </w:r>
      <w:r w:rsidR="003B056C" w:rsidRPr="004842D2">
        <w:rPr>
          <w:lang w:val="es-MX"/>
        </w:rPr>
        <w:t xml:space="preserve"> &amp;</w:t>
      </w:r>
      <w:r w:rsidR="002C79D8" w:rsidRPr="004842D2">
        <w:rPr>
          <w:lang w:val="es-MX"/>
        </w:rPr>
        <w:t xml:space="preserve"> </w:t>
      </w:r>
      <w:proofErr w:type="spellStart"/>
      <w:r w:rsidR="002C79D8" w:rsidRPr="004842D2">
        <w:rPr>
          <w:lang w:val="es-MX"/>
        </w:rPr>
        <w:t>Vishny</w:t>
      </w:r>
      <w:proofErr w:type="spellEnd"/>
      <w:r w:rsidR="002C79D8" w:rsidRPr="004842D2">
        <w:rPr>
          <w:lang w:val="es-MX"/>
        </w:rPr>
        <w:t xml:space="preserve">, R.W. </w:t>
      </w:r>
      <w:r w:rsidR="004C07AF" w:rsidRPr="004842D2">
        <w:rPr>
          <w:lang w:val="es-MX"/>
        </w:rPr>
        <w:t>(</w:t>
      </w:r>
      <w:r w:rsidR="002C79D8" w:rsidRPr="004842D2">
        <w:rPr>
          <w:lang w:val="es-MX"/>
        </w:rPr>
        <w:t>1998</w:t>
      </w:r>
      <w:r w:rsidR="004C07AF" w:rsidRPr="004842D2">
        <w:rPr>
          <w:lang w:val="es-MX"/>
        </w:rPr>
        <w:t>)</w:t>
      </w:r>
      <w:r w:rsidR="002C79D8" w:rsidRPr="004842D2">
        <w:rPr>
          <w:lang w:val="es-MX"/>
        </w:rPr>
        <w:t>.</w:t>
      </w:r>
      <w:r w:rsidRPr="004842D2">
        <w:rPr>
          <w:lang w:val="es-MX"/>
        </w:rPr>
        <w:t xml:space="preserve"> </w:t>
      </w:r>
      <w:proofErr w:type="gramStart"/>
      <w:r w:rsidRPr="00453DDA">
        <w:t>Law and Finance.</w:t>
      </w:r>
      <w:proofErr w:type="gramEnd"/>
      <w:r w:rsidRPr="00453DDA">
        <w:t xml:space="preserve"> </w:t>
      </w:r>
      <w:r w:rsidRPr="00453DDA">
        <w:rPr>
          <w:i/>
        </w:rPr>
        <w:t>Jo</w:t>
      </w:r>
      <w:r w:rsidR="002C79D8" w:rsidRPr="00453DDA">
        <w:rPr>
          <w:i/>
        </w:rPr>
        <w:t>urnal of Political Economy</w:t>
      </w:r>
      <w:r w:rsidR="007F25D6" w:rsidRPr="00453DDA">
        <w:rPr>
          <w:i/>
        </w:rPr>
        <w:t>,</w:t>
      </w:r>
      <w:r w:rsidR="002C79D8" w:rsidRPr="00453DDA">
        <w:t xml:space="preserve"> 106</w:t>
      </w:r>
      <w:r w:rsidR="003B056C" w:rsidRPr="00453DDA">
        <w:t>:</w:t>
      </w:r>
      <w:r w:rsidR="007F25D6" w:rsidRPr="00453DDA">
        <w:t xml:space="preserve"> </w:t>
      </w:r>
      <w:r w:rsidRPr="00453DDA">
        <w:t>1113-1155.</w:t>
      </w:r>
    </w:p>
    <w:p w:rsidR="003B418C" w:rsidRPr="00453DDA" w:rsidRDefault="003B418C" w:rsidP="00FC692F">
      <w:pPr>
        <w:spacing w:line="480" w:lineRule="auto"/>
        <w:ind w:left="567" w:hanging="567"/>
        <w:jc w:val="both"/>
      </w:pPr>
      <w:r w:rsidRPr="004842D2">
        <w:rPr>
          <w:lang w:val="es-MX"/>
        </w:rPr>
        <w:t xml:space="preserve">La </w:t>
      </w:r>
      <w:r w:rsidR="003B056C" w:rsidRPr="004842D2">
        <w:rPr>
          <w:lang w:val="es-MX"/>
        </w:rPr>
        <w:t xml:space="preserve">Porta, R., </w:t>
      </w:r>
      <w:proofErr w:type="spellStart"/>
      <w:r w:rsidR="003B056C" w:rsidRPr="004842D2">
        <w:rPr>
          <w:lang w:val="es-MX"/>
        </w:rPr>
        <w:t>Lopez</w:t>
      </w:r>
      <w:proofErr w:type="spellEnd"/>
      <w:r w:rsidR="003B056C" w:rsidRPr="004842D2">
        <w:rPr>
          <w:lang w:val="es-MX"/>
        </w:rPr>
        <w:t>-de-</w:t>
      </w:r>
      <w:proofErr w:type="spellStart"/>
      <w:r w:rsidR="003B056C" w:rsidRPr="004842D2">
        <w:rPr>
          <w:lang w:val="es-MX"/>
        </w:rPr>
        <w:t>Silanes</w:t>
      </w:r>
      <w:proofErr w:type="spellEnd"/>
      <w:r w:rsidR="003B056C" w:rsidRPr="004842D2">
        <w:rPr>
          <w:lang w:val="es-MX"/>
        </w:rPr>
        <w:t>, F. &amp;</w:t>
      </w:r>
      <w:r w:rsidRPr="004842D2">
        <w:rPr>
          <w:lang w:val="es-MX"/>
        </w:rPr>
        <w:t xml:space="preserve"> </w:t>
      </w:r>
      <w:proofErr w:type="spellStart"/>
      <w:r w:rsidR="007710A1" w:rsidRPr="004842D2">
        <w:rPr>
          <w:lang w:val="es-MX"/>
        </w:rPr>
        <w:t>S</w:t>
      </w:r>
      <w:r w:rsidRPr="004842D2">
        <w:rPr>
          <w:lang w:val="es-MX"/>
        </w:rPr>
        <w:t>hleifer</w:t>
      </w:r>
      <w:proofErr w:type="spellEnd"/>
      <w:r w:rsidRPr="004842D2">
        <w:rPr>
          <w:lang w:val="es-MX"/>
        </w:rPr>
        <w:t xml:space="preserve">, A. </w:t>
      </w:r>
      <w:r w:rsidR="004C07AF" w:rsidRPr="004842D2">
        <w:rPr>
          <w:lang w:val="es-MX"/>
        </w:rPr>
        <w:t>(</w:t>
      </w:r>
      <w:r w:rsidRPr="004842D2">
        <w:rPr>
          <w:lang w:val="es-MX"/>
        </w:rPr>
        <w:t>1999</w:t>
      </w:r>
      <w:r w:rsidR="004C07AF" w:rsidRPr="004842D2">
        <w:rPr>
          <w:lang w:val="es-MX"/>
        </w:rPr>
        <w:t>)</w:t>
      </w:r>
      <w:r w:rsidR="002C79D8" w:rsidRPr="004842D2">
        <w:rPr>
          <w:lang w:val="es-MX"/>
        </w:rPr>
        <w:t>.</w:t>
      </w:r>
      <w:r w:rsidRPr="004842D2">
        <w:rPr>
          <w:lang w:val="es-MX"/>
        </w:rPr>
        <w:t xml:space="preserve"> </w:t>
      </w:r>
      <w:proofErr w:type="gramStart"/>
      <w:r w:rsidRPr="00453DDA">
        <w:t>Corporate ownership around th</w:t>
      </w:r>
      <w:r w:rsidR="002C79D8" w:rsidRPr="00453DDA">
        <w:t>e world.</w:t>
      </w:r>
      <w:proofErr w:type="gramEnd"/>
      <w:r w:rsidR="002C79D8" w:rsidRPr="00453DDA">
        <w:t xml:space="preserve"> </w:t>
      </w:r>
      <w:r w:rsidR="002C79D8" w:rsidRPr="00453DDA">
        <w:rPr>
          <w:i/>
        </w:rPr>
        <w:t>Journal of Finance</w:t>
      </w:r>
      <w:r w:rsidR="007F25D6" w:rsidRPr="00453DDA">
        <w:rPr>
          <w:i/>
        </w:rPr>
        <w:t>,</w:t>
      </w:r>
      <w:r w:rsidR="002C79D8" w:rsidRPr="00453DDA">
        <w:t xml:space="preserve"> 54</w:t>
      </w:r>
      <w:r w:rsidR="003B056C" w:rsidRPr="00453DDA">
        <w:t>:</w:t>
      </w:r>
      <w:r w:rsidR="007F25D6" w:rsidRPr="00453DDA">
        <w:t xml:space="preserve"> </w:t>
      </w:r>
      <w:r w:rsidRPr="00453DDA">
        <w:t>471-517.</w:t>
      </w:r>
    </w:p>
    <w:p w:rsidR="003B418C" w:rsidRDefault="003B418C" w:rsidP="00FC692F">
      <w:pPr>
        <w:spacing w:line="480" w:lineRule="auto"/>
        <w:ind w:left="567" w:hanging="567"/>
        <w:jc w:val="both"/>
      </w:pPr>
      <w:r w:rsidRPr="004842D2">
        <w:rPr>
          <w:lang w:val="es-MX"/>
        </w:rPr>
        <w:t xml:space="preserve">La Porta, R., </w:t>
      </w:r>
      <w:proofErr w:type="spellStart"/>
      <w:r w:rsidRPr="004842D2">
        <w:rPr>
          <w:lang w:val="es-MX"/>
        </w:rPr>
        <w:t>Lopez</w:t>
      </w:r>
      <w:proofErr w:type="spellEnd"/>
      <w:r w:rsidRPr="004842D2">
        <w:rPr>
          <w:lang w:val="es-MX"/>
        </w:rPr>
        <w:t>-de-</w:t>
      </w:r>
      <w:proofErr w:type="spellStart"/>
      <w:r w:rsidRPr="004842D2">
        <w:rPr>
          <w:lang w:val="es-MX"/>
        </w:rPr>
        <w:t>Silanes</w:t>
      </w:r>
      <w:proofErr w:type="spellEnd"/>
      <w:r w:rsidRPr="004842D2">
        <w:rPr>
          <w:lang w:val="es-MX"/>
        </w:rPr>
        <w:t xml:space="preserve">, F., </w:t>
      </w:r>
      <w:proofErr w:type="spellStart"/>
      <w:r w:rsidRPr="004842D2">
        <w:rPr>
          <w:lang w:val="es-MX"/>
        </w:rPr>
        <w:t>Shleifer</w:t>
      </w:r>
      <w:proofErr w:type="spellEnd"/>
      <w:r w:rsidRPr="004842D2">
        <w:rPr>
          <w:lang w:val="es-MX"/>
        </w:rPr>
        <w:t>, A.</w:t>
      </w:r>
      <w:r w:rsidR="003B056C" w:rsidRPr="004842D2">
        <w:rPr>
          <w:lang w:val="es-MX"/>
        </w:rPr>
        <w:t xml:space="preserve"> &amp;</w:t>
      </w:r>
      <w:r w:rsidR="002C79D8" w:rsidRPr="004842D2">
        <w:rPr>
          <w:lang w:val="es-MX"/>
        </w:rPr>
        <w:t xml:space="preserve"> </w:t>
      </w:r>
      <w:proofErr w:type="spellStart"/>
      <w:r w:rsidR="002C79D8" w:rsidRPr="004842D2">
        <w:rPr>
          <w:lang w:val="es-MX"/>
        </w:rPr>
        <w:t>Vishny</w:t>
      </w:r>
      <w:proofErr w:type="spellEnd"/>
      <w:r w:rsidR="002C79D8" w:rsidRPr="004842D2">
        <w:rPr>
          <w:lang w:val="es-MX"/>
        </w:rPr>
        <w:t xml:space="preserve">, R.W. </w:t>
      </w:r>
      <w:r w:rsidR="004C07AF" w:rsidRPr="004842D2">
        <w:rPr>
          <w:lang w:val="es-MX"/>
        </w:rPr>
        <w:t>(</w:t>
      </w:r>
      <w:r w:rsidR="002C79D8" w:rsidRPr="004842D2">
        <w:rPr>
          <w:lang w:val="es-MX"/>
        </w:rPr>
        <w:t>2002</w:t>
      </w:r>
      <w:r w:rsidR="004C07AF" w:rsidRPr="004842D2">
        <w:rPr>
          <w:lang w:val="es-MX"/>
        </w:rPr>
        <w:t>)</w:t>
      </w:r>
      <w:r w:rsidR="002C79D8" w:rsidRPr="004842D2">
        <w:rPr>
          <w:lang w:val="es-MX"/>
        </w:rPr>
        <w:t>.</w:t>
      </w:r>
      <w:r w:rsidRPr="004842D2">
        <w:rPr>
          <w:lang w:val="es-MX"/>
        </w:rPr>
        <w:t xml:space="preserve"> </w:t>
      </w:r>
      <w:proofErr w:type="gramStart"/>
      <w:r w:rsidRPr="00453DDA">
        <w:t>Investor protection and corporate va</w:t>
      </w:r>
      <w:r w:rsidR="002C79D8" w:rsidRPr="00453DDA">
        <w:t>luation.</w:t>
      </w:r>
      <w:proofErr w:type="gramEnd"/>
      <w:r w:rsidR="002C79D8" w:rsidRPr="00453DDA">
        <w:t xml:space="preserve"> </w:t>
      </w:r>
      <w:r w:rsidR="002C79D8" w:rsidRPr="00453DDA">
        <w:rPr>
          <w:i/>
        </w:rPr>
        <w:t>Journal of Finance</w:t>
      </w:r>
      <w:r w:rsidR="007F25D6" w:rsidRPr="00453DDA">
        <w:rPr>
          <w:i/>
        </w:rPr>
        <w:t>,</w:t>
      </w:r>
      <w:r w:rsidR="002C79D8" w:rsidRPr="00453DDA">
        <w:t xml:space="preserve"> 57</w:t>
      </w:r>
      <w:r w:rsidR="003B056C" w:rsidRPr="00453DDA">
        <w:t>:</w:t>
      </w:r>
      <w:r w:rsidR="007F25D6" w:rsidRPr="00453DDA">
        <w:t xml:space="preserve"> </w:t>
      </w:r>
      <w:r w:rsidRPr="00453DDA">
        <w:t>1147-1170.</w:t>
      </w:r>
    </w:p>
    <w:p w:rsidR="002E3A6F" w:rsidRPr="00453DDA" w:rsidRDefault="002E3A6F" w:rsidP="00FC692F">
      <w:pPr>
        <w:spacing w:line="480" w:lineRule="auto"/>
        <w:ind w:left="567" w:hanging="567"/>
        <w:jc w:val="both"/>
      </w:pPr>
      <w:proofErr w:type="spellStart"/>
      <w:r>
        <w:rPr>
          <w:rFonts w:eastAsia="MS PGothic"/>
          <w:color w:val="000000"/>
        </w:rPr>
        <w:t>Laungani</w:t>
      </w:r>
      <w:proofErr w:type="spellEnd"/>
      <w:r>
        <w:rPr>
          <w:rFonts w:eastAsia="MS PGothic"/>
          <w:color w:val="000000"/>
        </w:rPr>
        <w:t>, P.</w:t>
      </w:r>
      <w:r w:rsidRPr="004B381F">
        <w:rPr>
          <w:rFonts w:eastAsia="MS PGothic"/>
          <w:color w:val="000000"/>
        </w:rPr>
        <w:t>D.</w:t>
      </w:r>
      <w:r w:rsidR="00FF4376">
        <w:rPr>
          <w:rFonts w:eastAsia="MS PGothic"/>
          <w:color w:val="000000"/>
        </w:rPr>
        <w:t xml:space="preserve"> (2006).</w:t>
      </w:r>
      <w:r w:rsidRPr="004B381F">
        <w:rPr>
          <w:rFonts w:eastAsia="MS PGothic"/>
          <w:color w:val="000000"/>
        </w:rPr>
        <w:t xml:space="preserve"> Understanding cross-cultural psychology: Eastern and Western perspectives. </w:t>
      </w:r>
      <w:proofErr w:type="gramStart"/>
      <w:r w:rsidRPr="004B381F">
        <w:rPr>
          <w:rFonts w:eastAsia="MS PGothic"/>
          <w:color w:val="000000"/>
        </w:rPr>
        <w:t>Sage</w:t>
      </w:r>
      <w:r w:rsidR="00FF4376">
        <w:rPr>
          <w:rFonts w:eastAsia="MS PGothic"/>
          <w:color w:val="000000"/>
        </w:rPr>
        <w:t>.</w:t>
      </w:r>
      <w:proofErr w:type="gramEnd"/>
    </w:p>
    <w:p w:rsidR="00876C59" w:rsidRPr="00453DDA" w:rsidRDefault="00876C59" w:rsidP="00FC692F">
      <w:pPr>
        <w:spacing w:line="480" w:lineRule="auto"/>
        <w:ind w:left="567" w:hanging="567"/>
        <w:jc w:val="both"/>
      </w:pPr>
      <w:r w:rsidRPr="00453DDA">
        <w:t xml:space="preserve">Leland, H.E. (1998). Agency costs, risk management, and capital structure. </w:t>
      </w:r>
      <w:r w:rsidRPr="00453DDA">
        <w:rPr>
          <w:i/>
        </w:rPr>
        <w:t>The Journal of Finance</w:t>
      </w:r>
      <w:r w:rsidR="003B056C" w:rsidRPr="00453DDA">
        <w:t>, 53(4):</w:t>
      </w:r>
      <w:r w:rsidRPr="00453DDA">
        <w:t xml:space="preserve"> 1213-1243.</w:t>
      </w:r>
    </w:p>
    <w:p w:rsidR="003B418C" w:rsidRDefault="002C79D8" w:rsidP="00FC692F">
      <w:pPr>
        <w:spacing w:line="480" w:lineRule="auto"/>
        <w:ind w:left="567" w:hanging="567"/>
        <w:jc w:val="both"/>
      </w:pPr>
      <w:proofErr w:type="spellStart"/>
      <w:r w:rsidRPr="00453DDA">
        <w:t>Lins</w:t>
      </w:r>
      <w:proofErr w:type="spellEnd"/>
      <w:r w:rsidRPr="00453DDA">
        <w:t xml:space="preserve">, K.V. </w:t>
      </w:r>
      <w:r w:rsidR="004C07AF" w:rsidRPr="00453DDA">
        <w:t>(</w:t>
      </w:r>
      <w:r w:rsidRPr="00453DDA">
        <w:t>2003</w:t>
      </w:r>
      <w:r w:rsidR="004C07AF" w:rsidRPr="00453DDA">
        <w:t>)</w:t>
      </w:r>
      <w:r w:rsidRPr="00453DDA">
        <w:t>.</w:t>
      </w:r>
      <w:r w:rsidR="003B418C" w:rsidRPr="00453DDA">
        <w:t xml:space="preserve"> Equity ownership and firm value in emerging markets. </w:t>
      </w:r>
      <w:r w:rsidR="003B418C" w:rsidRPr="00453DDA">
        <w:rPr>
          <w:i/>
        </w:rPr>
        <w:t>Journal of Financia</w:t>
      </w:r>
      <w:r w:rsidRPr="00453DDA">
        <w:rPr>
          <w:i/>
        </w:rPr>
        <w:t>l and Quantitative Analysis</w:t>
      </w:r>
      <w:r w:rsidR="007F25D6" w:rsidRPr="00453DDA">
        <w:rPr>
          <w:i/>
        </w:rPr>
        <w:t>,</w:t>
      </w:r>
      <w:r w:rsidRPr="00453DDA">
        <w:t xml:space="preserve"> 38</w:t>
      </w:r>
      <w:r w:rsidR="003B056C" w:rsidRPr="00453DDA">
        <w:t>:</w:t>
      </w:r>
      <w:r w:rsidR="007F25D6" w:rsidRPr="00453DDA">
        <w:t xml:space="preserve"> </w:t>
      </w:r>
      <w:r w:rsidR="003B418C" w:rsidRPr="00453DDA">
        <w:t>159-184.</w:t>
      </w:r>
    </w:p>
    <w:p w:rsidR="00A84C14" w:rsidRPr="00A84C14" w:rsidRDefault="00FF4376" w:rsidP="00FC692F">
      <w:pPr>
        <w:spacing w:line="480" w:lineRule="auto"/>
        <w:ind w:left="567" w:hanging="567"/>
        <w:jc w:val="both"/>
      </w:pPr>
      <w:proofErr w:type="spellStart"/>
      <w:proofErr w:type="gramStart"/>
      <w:r>
        <w:rPr>
          <w:rFonts w:eastAsia="MS PGothic"/>
          <w:color w:val="000000"/>
        </w:rPr>
        <w:t>Lins</w:t>
      </w:r>
      <w:proofErr w:type="spellEnd"/>
      <w:r>
        <w:rPr>
          <w:rFonts w:eastAsia="MS PGothic"/>
          <w:color w:val="000000"/>
        </w:rPr>
        <w:t xml:space="preserve">, K.V., </w:t>
      </w:r>
      <w:proofErr w:type="spellStart"/>
      <w:r>
        <w:rPr>
          <w:rFonts w:eastAsia="MS PGothic"/>
          <w:color w:val="000000"/>
        </w:rPr>
        <w:t>Volpin</w:t>
      </w:r>
      <w:proofErr w:type="spellEnd"/>
      <w:r>
        <w:rPr>
          <w:rFonts w:eastAsia="MS PGothic"/>
          <w:color w:val="000000"/>
        </w:rPr>
        <w:t>, P. &amp; Wagner, H.</w:t>
      </w:r>
      <w:r w:rsidR="00A84C14" w:rsidRPr="00A84C14">
        <w:rPr>
          <w:rFonts w:eastAsia="MS PGothic"/>
          <w:color w:val="000000"/>
        </w:rPr>
        <w:t>F. (2013).</w:t>
      </w:r>
      <w:proofErr w:type="gramEnd"/>
      <w:r w:rsidR="00A84C14" w:rsidRPr="00A84C14">
        <w:rPr>
          <w:rFonts w:eastAsia="MS PGothic"/>
          <w:color w:val="000000"/>
        </w:rPr>
        <w:t xml:space="preserve"> Does family control matter? International evidence from the 2008-2009 financial </w:t>
      </w:r>
      <w:proofErr w:type="gramStart"/>
      <w:r w:rsidR="00A84C14" w:rsidRPr="00A84C14">
        <w:rPr>
          <w:rFonts w:eastAsia="MS PGothic"/>
          <w:color w:val="000000"/>
        </w:rPr>
        <w:t>crisis</w:t>
      </w:r>
      <w:proofErr w:type="gramEnd"/>
      <w:r w:rsidR="00A84C14" w:rsidRPr="00A84C14">
        <w:rPr>
          <w:rFonts w:eastAsia="MS PGothic"/>
          <w:color w:val="000000"/>
        </w:rPr>
        <w:t xml:space="preserve">. </w:t>
      </w:r>
      <w:r w:rsidR="00A84C14" w:rsidRPr="00A84C14">
        <w:rPr>
          <w:rFonts w:eastAsia="MS PGothic"/>
          <w:i/>
          <w:color w:val="000000"/>
        </w:rPr>
        <w:t>Review of Financial Studies</w:t>
      </w:r>
      <w:r w:rsidR="00A84C14" w:rsidRPr="00A84C14">
        <w:rPr>
          <w:rFonts w:eastAsia="MS PGothic"/>
          <w:color w:val="000000"/>
        </w:rPr>
        <w:t>, 26(10), 2583-2619.</w:t>
      </w:r>
    </w:p>
    <w:p w:rsidR="003B418C" w:rsidRPr="00453DDA" w:rsidRDefault="003B418C" w:rsidP="00FC692F">
      <w:pPr>
        <w:spacing w:line="480" w:lineRule="auto"/>
        <w:ind w:left="567" w:hanging="567"/>
        <w:jc w:val="both"/>
      </w:pPr>
      <w:proofErr w:type="spellStart"/>
      <w:proofErr w:type="gramStart"/>
      <w:r w:rsidRPr="00453DDA">
        <w:lastRenderedPageBreak/>
        <w:t>Machuga</w:t>
      </w:r>
      <w:proofErr w:type="spellEnd"/>
      <w:r w:rsidRPr="00453DDA">
        <w:t>, S.</w:t>
      </w:r>
      <w:r w:rsidR="003B056C" w:rsidRPr="00453DDA">
        <w:t xml:space="preserve"> &amp;</w:t>
      </w:r>
      <w:r w:rsidRPr="00453DDA">
        <w:t xml:space="preserve"> </w:t>
      </w:r>
      <w:proofErr w:type="spellStart"/>
      <w:r w:rsidR="002C79D8" w:rsidRPr="00453DDA">
        <w:t>Teitel</w:t>
      </w:r>
      <w:proofErr w:type="spellEnd"/>
      <w:r w:rsidR="002C79D8" w:rsidRPr="00453DDA">
        <w:t xml:space="preserve">, K. </w:t>
      </w:r>
      <w:r w:rsidR="004C07AF" w:rsidRPr="00453DDA">
        <w:t>(</w:t>
      </w:r>
      <w:r w:rsidR="002C79D8" w:rsidRPr="00453DDA">
        <w:t>2009</w:t>
      </w:r>
      <w:r w:rsidR="004C07AF" w:rsidRPr="00453DDA">
        <w:t>)</w:t>
      </w:r>
      <w:r w:rsidR="002C79D8" w:rsidRPr="00453DDA">
        <w:t>.</w:t>
      </w:r>
      <w:proofErr w:type="gramEnd"/>
      <w:r w:rsidRPr="00453DDA">
        <w:t xml:space="preserve"> </w:t>
      </w:r>
      <w:proofErr w:type="gramStart"/>
      <w:r w:rsidRPr="00453DDA">
        <w:t>Board of director characteristics and earnings quality surrounding implementation of a corporate governance code in Mexico.</w:t>
      </w:r>
      <w:proofErr w:type="gramEnd"/>
      <w:r w:rsidRPr="00453DDA">
        <w:t xml:space="preserve"> </w:t>
      </w:r>
      <w:r w:rsidRPr="00453DDA">
        <w:rPr>
          <w:i/>
        </w:rPr>
        <w:t>Journal of International Accoun</w:t>
      </w:r>
      <w:r w:rsidR="002C79D8" w:rsidRPr="00453DDA">
        <w:rPr>
          <w:i/>
        </w:rPr>
        <w:t>ting, Auditing and Taxation</w:t>
      </w:r>
      <w:r w:rsidR="007F25D6" w:rsidRPr="00453DDA">
        <w:rPr>
          <w:i/>
        </w:rPr>
        <w:t>,</w:t>
      </w:r>
      <w:r w:rsidR="002C79D8" w:rsidRPr="00453DDA">
        <w:t xml:space="preserve"> 18</w:t>
      </w:r>
      <w:r w:rsidR="003B056C" w:rsidRPr="00453DDA">
        <w:t>:</w:t>
      </w:r>
      <w:r w:rsidR="007F25D6" w:rsidRPr="00453DDA">
        <w:t xml:space="preserve"> </w:t>
      </w:r>
      <w:r w:rsidRPr="00453DDA">
        <w:t>1-13.</w:t>
      </w:r>
    </w:p>
    <w:p w:rsidR="00BD00AB" w:rsidRDefault="007710A1" w:rsidP="00FC692F">
      <w:pPr>
        <w:spacing w:line="480" w:lineRule="auto"/>
        <w:ind w:left="567" w:hanging="567"/>
        <w:jc w:val="both"/>
      </w:pPr>
      <w:proofErr w:type="gramStart"/>
      <w:r w:rsidRPr="00453DDA">
        <w:t>March, J.</w:t>
      </w:r>
      <w:r w:rsidR="003B056C" w:rsidRPr="00453DDA">
        <w:t>G. &amp;</w:t>
      </w:r>
      <w:r w:rsidR="00BD00AB" w:rsidRPr="00453DDA">
        <w:t xml:space="preserve"> </w:t>
      </w:r>
      <w:proofErr w:type="spellStart"/>
      <w:r w:rsidR="00BD00AB" w:rsidRPr="00453DDA">
        <w:t>Shapira</w:t>
      </w:r>
      <w:proofErr w:type="spellEnd"/>
      <w:r w:rsidR="00BD00AB" w:rsidRPr="00453DDA">
        <w:t>, Z. (1987).</w:t>
      </w:r>
      <w:proofErr w:type="gramEnd"/>
      <w:r w:rsidR="00BD00AB" w:rsidRPr="00453DDA">
        <w:t xml:space="preserve"> </w:t>
      </w:r>
      <w:proofErr w:type="gramStart"/>
      <w:r w:rsidR="00BD00AB" w:rsidRPr="00453DDA">
        <w:t>Managerial perspectives on risk and risk taki</w:t>
      </w:r>
      <w:r w:rsidR="003B056C" w:rsidRPr="00453DDA">
        <w:t>ng.</w:t>
      </w:r>
      <w:proofErr w:type="gramEnd"/>
      <w:r w:rsidR="003B056C" w:rsidRPr="00453DDA">
        <w:t xml:space="preserve"> </w:t>
      </w:r>
      <w:r w:rsidR="003B056C" w:rsidRPr="00FF4376">
        <w:rPr>
          <w:i/>
        </w:rPr>
        <w:t xml:space="preserve">Management </w:t>
      </w:r>
      <w:r w:rsidR="00FF4376" w:rsidRPr="00FF4376">
        <w:rPr>
          <w:i/>
        </w:rPr>
        <w:t>S</w:t>
      </w:r>
      <w:r w:rsidR="003B056C" w:rsidRPr="00FF4376">
        <w:rPr>
          <w:i/>
        </w:rPr>
        <w:t>cience</w:t>
      </w:r>
      <w:r w:rsidR="003B056C" w:rsidRPr="00453DDA">
        <w:t>, 33(11):</w:t>
      </w:r>
      <w:r w:rsidR="00BD00AB" w:rsidRPr="00453DDA">
        <w:t xml:space="preserve"> 1404-1418.</w:t>
      </w:r>
    </w:p>
    <w:p w:rsidR="00627217" w:rsidRPr="00453DDA" w:rsidRDefault="00627217" w:rsidP="00FC692F">
      <w:pPr>
        <w:spacing w:line="480" w:lineRule="auto"/>
        <w:ind w:left="567" w:hanging="567"/>
        <w:jc w:val="both"/>
      </w:pPr>
      <w:proofErr w:type="gramStart"/>
      <w:r>
        <w:t xml:space="preserve">March, J.G. and </w:t>
      </w:r>
      <w:proofErr w:type="spellStart"/>
      <w:r>
        <w:t>Shapira</w:t>
      </w:r>
      <w:proofErr w:type="spellEnd"/>
      <w:r>
        <w:t>, Z.</w:t>
      </w:r>
      <w:r w:rsidR="006F2CCA" w:rsidRPr="00610A2E">
        <w:t xml:space="preserve"> </w:t>
      </w:r>
      <w:r>
        <w:t>(</w:t>
      </w:r>
      <w:r w:rsidR="006F2CCA" w:rsidRPr="00610A2E">
        <w:t>1992</w:t>
      </w:r>
      <w:r>
        <w:t>)</w:t>
      </w:r>
      <w:r w:rsidR="006F2CCA" w:rsidRPr="00610A2E">
        <w:t>.</w:t>
      </w:r>
      <w:proofErr w:type="gramEnd"/>
      <w:r w:rsidR="006F2CCA" w:rsidRPr="00610A2E">
        <w:t xml:space="preserve"> </w:t>
      </w:r>
      <w:proofErr w:type="gramStart"/>
      <w:r w:rsidR="006F2CCA" w:rsidRPr="00610A2E">
        <w:t>Variable risk preferences and the focus of attention.</w:t>
      </w:r>
      <w:proofErr w:type="gramEnd"/>
      <w:r w:rsidR="006F2CCA" w:rsidRPr="00610A2E">
        <w:t> </w:t>
      </w:r>
      <w:r w:rsidR="006F2CCA" w:rsidRPr="00FF4376">
        <w:rPr>
          <w:i/>
        </w:rPr>
        <w:t xml:space="preserve">Psychological </w:t>
      </w:r>
      <w:r w:rsidR="00FF4376" w:rsidRPr="00FF4376">
        <w:rPr>
          <w:i/>
        </w:rPr>
        <w:t>R</w:t>
      </w:r>
      <w:r w:rsidR="006F2CCA" w:rsidRPr="00FF4376">
        <w:rPr>
          <w:i/>
        </w:rPr>
        <w:t>eview</w:t>
      </w:r>
      <w:r w:rsidR="006F2CCA" w:rsidRPr="00610A2E">
        <w:t>, 99(1), p.172.</w:t>
      </w:r>
    </w:p>
    <w:p w:rsidR="00BD00AB" w:rsidRPr="00453DDA" w:rsidRDefault="008E48E4" w:rsidP="00FC692F">
      <w:pPr>
        <w:spacing w:line="480" w:lineRule="auto"/>
        <w:ind w:left="567" w:hanging="567"/>
        <w:jc w:val="both"/>
      </w:pPr>
      <w:proofErr w:type="spellStart"/>
      <w:r w:rsidRPr="00453DDA">
        <w:t>Maury</w:t>
      </w:r>
      <w:proofErr w:type="spellEnd"/>
      <w:r w:rsidRPr="00453DDA">
        <w:t xml:space="preserve">, B. (2006). Family ownership and firm performance: Empirical evidence from Western European corporations. </w:t>
      </w:r>
      <w:r w:rsidRPr="00453DDA">
        <w:rPr>
          <w:i/>
        </w:rPr>
        <w:t>Journal of Corporate Finance</w:t>
      </w:r>
      <w:r w:rsidR="003B056C" w:rsidRPr="00453DDA">
        <w:t>, 12:</w:t>
      </w:r>
      <w:r w:rsidRPr="00453DDA">
        <w:t xml:space="preserve"> 321-341.</w:t>
      </w:r>
    </w:p>
    <w:p w:rsidR="003B418C" w:rsidRPr="00453DDA" w:rsidRDefault="003B418C" w:rsidP="00FC692F">
      <w:pPr>
        <w:spacing w:line="480" w:lineRule="auto"/>
        <w:ind w:left="567" w:hanging="567"/>
        <w:jc w:val="both"/>
      </w:pPr>
      <w:proofErr w:type="spellStart"/>
      <w:proofErr w:type="gramStart"/>
      <w:r w:rsidRPr="00453DDA">
        <w:t>Morck</w:t>
      </w:r>
      <w:proofErr w:type="spellEnd"/>
      <w:r w:rsidRPr="00453DDA">
        <w:t>, R.</w:t>
      </w:r>
      <w:r w:rsidR="002A4EF5" w:rsidRPr="00453DDA">
        <w:t>,</w:t>
      </w:r>
      <w:r w:rsidRPr="00453DDA">
        <w:t xml:space="preserve"> </w:t>
      </w:r>
      <w:proofErr w:type="spellStart"/>
      <w:r w:rsidRPr="00453DDA">
        <w:t>Stangeland</w:t>
      </w:r>
      <w:proofErr w:type="spellEnd"/>
      <w:r w:rsidRPr="00453DDA">
        <w:t>, D.A.</w:t>
      </w:r>
      <w:r w:rsidR="003B056C" w:rsidRPr="00453DDA">
        <w:t xml:space="preserve"> &amp;</w:t>
      </w:r>
      <w:r w:rsidR="002A4EF5" w:rsidRPr="00453DDA">
        <w:t xml:space="preserve"> </w:t>
      </w:r>
      <w:proofErr w:type="spellStart"/>
      <w:r w:rsidRPr="00453DDA">
        <w:t>Yeung</w:t>
      </w:r>
      <w:proofErr w:type="spellEnd"/>
      <w:r w:rsidRPr="00453DDA">
        <w:t xml:space="preserve">, B. </w:t>
      </w:r>
      <w:r w:rsidR="004C07AF" w:rsidRPr="00453DDA">
        <w:t>(</w:t>
      </w:r>
      <w:r w:rsidRPr="00453DDA">
        <w:t>2000</w:t>
      </w:r>
      <w:r w:rsidR="004C07AF" w:rsidRPr="00453DDA">
        <w:t>)</w:t>
      </w:r>
      <w:r w:rsidR="002A4EF5" w:rsidRPr="00453DDA">
        <w:t>.</w:t>
      </w:r>
      <w:proofErr w:type="gramEnd"/>
      <w:r w:rsidRPr="00453DDA">
        <w:t xml:space="preserve"> </w:t>
      </w:r>
      <w:proofErr w:type="gramStart"/>
      <w:r w:rsidRPr="00453DDA">
        <w:t>Inherited wealth, corporate control, and economic growth.</w:t>
      </w:r>
      <w:proofErr w:type="gramEnd"/>
      <w:r w:rsidRPr="00453DDA">
        <w:t xml:space="preserve"> </w:t>
      </w:r>
      <w:proofErr w:type="gramStart"/>
      <w:r w:rsidRPr="00453DDA">
        <w:t>The Canadian disease?</w:t>
      </w:r>
      <w:proofErr w:type="gramEnd"/>
      <w:r w:rsidRPr="00453DDA">
        <w:t xml:space="preserve"> In: </w:t>
      </w:r>
      <w:proofErr w:type="spellStart"/>
      <w:r w:rsidRPr="00453DDA">
        <w:t>Morck</w:t>
      </w:r>
      <w:proofErr w:type="spellEnd"/>
      <w:r w:rsidRPr="00453DDA">
        <w:t>, R.K. (</w:t>
      </w:r>
      <w:proofErr w:type="gramStart"/>
      <w:r w:rsidRPr="00453DDA">
        <w:t>ed</w:t>
      </w:r>
      <w:proofErr w:type="gramEnd"/>
      <w:r w:rsidRPr="00453DDA">
        <w:t xml:space="preserve">.). </w:t>
      </w:r>
      <w:proofErr w:type="gramStart"/>
      <w:r w:rsidRPr="00453DDA">
        <w:t>Concentrated Corporate Ownership.</w:t>
      </w:r>
      <w:proofErr w:type="gramEnd"/>
      <w:r w:rsidRPr="00453DDA">
        <w:t xml:space="preserve"> University of Chicago Press, Chicago, IL</w:t>
      </w:r>
      <w:r w:rsidR="002A4EF5" w:rsidRPr="00453DDA">
        <w:t>:</w:t>
      </w:r>
      <w:r w:rsidRPr="00453DDA">
        <w:t xml:space="preserve"> 319-369.</w:t>
      </w:r>
    </w:p>
    <w:p w:rsidR="00A0413E" w:rsidRPr="00453DDA" w:rsidRDefault="003B056C" w:rsidP="00FC692F">
      <w:pPr>
        <w:spacing w:line="480" w:lineRule="auto"/>
        <w:ind w:left="567" w:hanging="567"/>
        <w:jc w:val="both"/>
      </w:pPr>
      <w:proofErr w:type="spellStart"/>
      <w:proofErr w:type="gramStart"/>
      <w:r w:rsidRPr="00453DDA">
        <w:t>Morck</w:t>
      </w:r>
      <w:proofErr w:type="spellEnd"/>
      <w:r w:rsidRPr="00453DDA">
        <w:t>, R. &amp;</w:t>
      </w:r>
      <w:r w:rsidR="00A0413E" w:rsidRPr="00453DDA">
        <w:t xml:space="preserve"> </w:t>
      </w:r>
      <w:proofErr w:type="spellStart"/>
      <w:r w:rsidR="00A0413E" w:rsidRPr="00453DDA">
        <w:t>Yeung</w:t>
      </w:r>
      <w:proofErr w:type="spellEnd"/>
      <w:r w:rsidR="00A0413E" w:rsidRPr="00453DDA">
        <w:t>, B. (2003).</w:t>
      </w:r>
      <w:proofErr w:type="gramEnd"/>
      <w:r w:rsidR="00A0413E" w:rsidRPr="00453DDA">
        <w:t xml:space="preserve"> </w:t>
      </w:r>
      <w:proofErr w:type="gramStart"/>
      <w:r w:rsidR="00A0413E" w:rsidRPr="00453DDA">
        <w:t>Agency problems in large family business groups.</w:t>
      </w:r>
      <w:proofErr w:type="gramEnd"/>
      <w:r w:rsidR="00A0413E" w:rsidRPr="00453DDA">
        <w:t xml:space="preserve"> </w:t>
      </w:r>
      <w:r w:rsidR="00A0413E" w:rsidRPr="00453DDA">
        <w:rPr>
          <w:i/>
        </w:rPr>
        <w:t>Entrepreneurship Theory and Practice</w:t>
      </w:r>
      <w:r w:rsidRPr="00453DDA">
        <w:t>, 27(</w:t>
      </w:r>
      <w:r w:rsidR="00A0413E" w:rsidRPr="00453DDA">
        <w:t>4</w:t>
      </w:r>
      <w:r w:rsidRPr="00453DDA">
        <w:t>):</w:t>
      </w:r>
      <w:r w:rsidR="00A0413E" w:rsidRPr="00453DDA">
        <w:t xml:space="preserve"> 367-382.</w:t>
      </w:r>
    </w:p>
    <w:p w:rsidR="003B418C" w:rsidRPr="00453DDA" w:rsidRDefault="003B418C" w:rsidP="00FC692F">
      <w:pPr>
        <w:spacing w:line="480" w:lineRule="auto"/>
        <w:ind w:left="567" w:hanging="567"/>
        <w:jc w:val="both"/>
      </w:pPr>
      <w:proofErr w:type="spellStart"/>
      <w:proofErr w:type="gramStart"/>
      <w:r w:rsidRPr="00453DDA">
        <w:t>Naldi</w:t>
      </w:r>
      <w:proofErr w:type="spellEnd"/>
      <w:r w:rsidRPr="00453DDA">
        <w:t>,</w:t>
      </w:r>
      <w:r w:rsidR="003B056C" w:rsidRPr="00453DDA">
        <w:t xml:space="preserve"> L., </w:t>
      </w:r>
      <w:proofErr w:type="spellStart"/>
      <w:r w:rsidR="003B056C" w:rsidRPr="00453DDA">
        <w:t>Nordqvist</w:t>
      </w:r>
      <w:proofErr w:type="spellEnd"/>
      <w:r w:rsidR="003B056C" w:rsidRPr="00453DDA">
        <w:t xml:space="preserve">, M., </w:t>
      </w:r>
      <w:proofErr w:type="spellStart"/>
      <w:r w:rsidR="003B056C" w:rsidRPr="00453DDA">
        <w:t>Sjöberg</w:t>
      </w:r>
      <w:proofErr w:type="spellEnd"/>
      <w:r w:rsidR="003B056C" w:rsidRPr="00453DDA">
        <w:t>, K. &amp;</w:t>
      </w:r>
      <w:r w:rsidRPr="00453DDA">
        <w:t xml:space="preserve"> </w:t>
      </w:r>
      <w:proofErr w:type="spellStart"/>
      <w:r w:rsidR="002A4EF5" w:rsidRPr="00453DDA">
        <w:t>Wiklund</w:t>
      </w:r>
      <w:proofErr w:type="spellEnd"/>
      <w:r w:rsidR="002A4EF5" w:rsidRPr="00453DDA">
        <w:t xml:space="preserve">, J. </w:t>
      </w:r>
      <w:r w:rsidR="004C07AF" w:rsidRPr="00453DDA">
        <w:t>(</w:t>
      </w:r>
      <w:r w:rsidR="002A4EF5" w:rsidRPr="00453DDA">
        <w:t>2007</w:t>
      </w:r>
      <w:r w:rsidR="004C07AF" w:rsidRPr="00453DDA">
        <w:t>)</w:t>
      </w:r>
      <w:r w:rsidR="002A4EF5" w:rsidRPr="00453DDA">
        <w:t>.</w:t>
      </w:r>
      <w:proofErr w:type="gramEnd"/>
      <w:r w:rsidR="002A4EF5" w:rsidRPr="00453DDA">
        <w:t xml:space="preserve"> </w:t>
      </w:r>
      <w:proofErr w:type="gramStart"/>
      <w:r w:rsidR="002A4EF5" w:rsidRPr="00453DDA">
        <w:t>Entrepreneurial o</w:t>
      </w:r>
      <w:r w:rsidRPr="00453DDA">
        <w:t xml:space="preserve">rientation, </w:t>
      </w:r>
      <w:r w:rsidR="002A4EF5" w:rsidRPr="00453DDA">
        <w:t>risk</w:t>
      </w:r>
      <w:r w:rsidR="00132DAC" w:rsidRPr="00453DDA">
        <w:t>-t</w:t>
      </w:r>
      <w:r w:rsidR="002A4EF5" w:rsidRPr="00453DDA">
        <w:t>aking, and performance in f</w:t>
      </w:r>
      <w:r w:rsidRPr="00453DDA">
        <w:t xml:space="preserve">amily </w:t>
      </w:r>
      <w:r w:rsidR="002A4EF5" w:rsidRPr="00453DDA">
        <w:t>f</w:t>
      </w:r>
      <w:r w:rsidRPr="00453DDA">
        <w:t>irms.</w:t>
      </w:r>
      <w:proofErr w:type="gramEnd"/>
      <w:r w:rsidRPr="00453DDA">
        <w:t xml:space="preserve"> </w:t>
      </w:r>
      <w:r w:rsidRPr="00453DDA">
        <w:rPr>
          <w:i/>
        </w:rPr>
        <w:t>Family Business Review</w:t>
      </w:r>
      <w:r w:rsidRPr="00453DDA">
        <w:t xml:space="preserve">, </w:t>
      </w:r>
      <w:r w:rsidR="002A4EF5" w:rsidRPr="00453DDA">
        <w:t>20(1)</w:t>
      </w:r>
      <w:r w:rsidR="003B056C" w:rsidRPr="00453DDA">
        <w:t>:</w:t>
      </w:r>
      <w:r w:rsidR="007F25D6" w:rsidRPr="00453DDA">
        <w:t xml:space="preserve"> </w:t>
      </w:r>
      <w:r w:rsidRPr="00453DDA">
        <w:t>33-47.</w:t>
      </w:r>
    </w:p>
    <w:p w:rsidR="003B418C" w:rsidRPr="00453DDA" w:rsidRDefault="002A4EF5" w:rsidP="00FC692F">
      <w:pPr>
        <w:spacing w:line="480" w:lineRule="auto"/>
        <w:ind w:left="567" w:hanging="567"/>
        <w:jc w:val="both"/>
      </w:pPr>
      <w:r w:rsidRPr="00453DDA">
        <w:t xml:space="preserve">Nguyen, P. </w:t>
      </w:r>
      <w:r w:rsidR="004C07AF" w:rsidRPr="00453DDA">
        <w:t>(</w:t>
      </w:r>
      <w:r w:rsidRPr="00453DDA">
        <w:t>2011</w:t>
      </w:r>
      <w:r w:rsidR="004C07AF" w:rsidRPr="00453DDA">
        <w:t>)</w:t>
      </w:r>
      <w:r w:rsidRPr="00453DDA">
        <w:t>.</w:t>
      </w:r>
      <w:r w:rsidR="003B418C" w:rsidRPr="00453DDA">
        <w:t xml:space="preserve"> Corporate governance and risk-taking: Evidence from Japanese firms. </w:t>
      </w:r>
      <w:r w:rsidR="003B418C" w:rsidRPr="00453DDA">
        <w:rPr>
          <w:i/>
        </w:rPr>
        <w:t>Pacific-Basin Finance J</w:t>
      </w:r>
      <w:r w:rsidRPr="00453DDA">
        <w:rPr>
          <w:i/>
        </w:rPr>
        <w:t>ournal</w:t>
      </w:r>
      <w:r w:rsidR="007F25D6" w:rsidRPr="00453DDA">
        <w:rPr>
          <w:i/>
        </w:rPr>
        <w:t>,</w:t>
      </w:r>
      <w:r w:rsidRPr="00453DDA">
        <w:t xml:space="preserve"> 19</w:t>
      </w:r>
      <w:r w:rsidR="003B056C" w:rsidRPr="00453DDA">
        <w:t>:</w:t>
      </w:r>
      <w:r w:rsidR="007F25D6" w:rsidRPr="00453DDA">
        <w:t xml:space="preserve"> </w:t>
      </w:r>
      <w:r w:rsidR="003B418C" w:rsidRPr="00453DDA">
        <w:t>278-297.</w:t>
      </w:r>
    </w:p>
    <w:p w:rsidR="003B418C" w:rsidRPr="00453DDA" w:rsidRDefault="002A4EF5" w:rsidP="00FC692F">
      <w:pPr>
        <w:spacing w:line="480" w:lineRule="auto"/>
        <w:ind w:left="567" w:hanging="567"/>
        <w:jc w:val="both"/>
      </w:pPr>
      <w:proofErr w:type="spellStart"/>
      <w:r w:rsidRPr="00453DDA">
        <w:t>Pathan</w:t>
      </w:r>
      <w:proofErr w:type="spellEnd"/>
      <w:r w:rsidRPr="00453DDA">
        <w:t xml:space="preserve">, S. </w:t>
      </w:r>
      <w:r w:rsidR="004C07AF" w:rsidRPr="00453DDA">
        <w:t>(</w:t>
      </w:r>
      <w:r w:rsidRPr="00453DDA">
        <w:t>2009</w:t>
      </w:r>
      <w:r w:rsidR="004C07AF" w:rsidRPr="00453DDA">
        <w:t>)</w:t>
      </w:r>
      <w:r w:rsidRPr="00453DDA">
        <w:t>.</w:t>
      </w:r>
      <w:r w:rsidR="003B418C" w:rsidRPr="00453DDA">
        <w:t xml:space="preserve"> Strong boards, CEO power and bank-risk taking. </w:t>
      </w:r>
      <w:r w:rsidR="003B418C" w:rsidRPr="00453DDA">
        <w:rPr>
          <w:i/>
        </w:rPr>
        <w:t>J</w:t>
      </w:r>
      <w:r w:rsidRPr="00453DDA">
        <w:rPr>
          <w:i/>
        </w:rPr>
        <w:t>ournal of Banking &amp; Finance</w:t>
      </w:r>
      <w:r w:rsidR="007F25D6" w:rsidRPr="00453DDA">
        <w:rPr>
          <w:i/>
        </w:rPr>
        <w:t>,</w:t>
      </w:r>
      <w:r w:rsidRPr="00453DDA">
        <w:t xml:space="preserve"> 33</w:t>
      </w:r>
      <w:r w:rsidR="003B056C" w:rsidRPr="00453DDA">
        <w:t>:</w:t>
      </w:r>
      <w:r w:rsidR="007F25D6" w:rsidRPr="00453DDA">
        <w:t xml:space="preserve"> </w:t>
      </w:r>
      <w:r w:rsidR="003B418C" w:rsidRPr="00453DDA">
        <w:t>1340-1350.</w:t>
      </w:r>
    </w:p>
    <w:p w:rsidR="00981872" w:rsidRPr="00453DDA" w:rsidRDefault="002A4EF5" w:rsidP="00FC692F">
      <w:pPr>
        <w:spacing w:line="480" w:lineRule="auto"/>
        <w:ind w:left="567" w:hanging="567"/>
        <w:jc w:val="both"/>
      </w:pPr>
      <w:proofErr w:type="gramStart"/>
      <w:r w:rsidRPr="00453DDA">
        <w:t xml:space="preserve">Perez-Gonzalez, F. </w:t>
      </w:r>
      <w:r w:rsidR="004C07AF" w:rsidRPr="00453DDA">
        <w:t>(</w:t>
      </w:r>
      <w:r w:rsidRPr="00453DDA">
        <w:t>2006</w:t>
      </w:r>
      <w:r w:rsidR="004C07AF" w:rsidRPr="00453DDA">
        <w:t>)</w:t>
      </w:r>
      <w:r w:rsidRPr="00453DDA">
        <w:t>.</w:t>
      </w:r>
      <w:proofErr w:type="gramEnd"/>
      <w:r w:rsidR="00981872" w:rsidRPr="00453DDA">
        <w:t xml:space="preserve"> </w:t>
      </w:r>
      <w:proofErr w:type="gramStart"/>
      <w:r w:rsidR="00981872" w:rsidRPr="00453DDA">
        <w:t>Inherit</w:t>
      </w:r>
      <w:r w:rsidRPr="00453DDA">
        <w:t xml:space="preserve">ed </w:t>
      </w:r>
      <w:r w:rsidR="00FF4376">
        <w:t>c</w:t>
      </w:r>
      <w:r w:rsidRPr="00453DDA">
        <w:t xml:space="preserve">ontrol and </w:t>
      </w:r>
      <w:r w:rsidR="00FF4376">
        <w:t>f</w:t>
      </w:r>
      <w:r w:rsidRPr="00453DDA">
        <w:t xml:space="preserve">irm </w:t>
      </w:r>
      <w:r w:rsidR="00FF4376">
        <w:t>p</w:t>
      </w:r>
      <w:r w:rsidRPr="00453DDA">
        <w:t>erformance.</w:t>
      </w:r>
      <w:proofErr w:type="gramEnd"/>
      <w:r w:rsidR="00981872" w:rsidRPr="00453DDA">
        <w:t xml:space="preserve"> </w:t>
      </w:r>
      <w:r w:rsidR="00981872" w:rsidRPr="00453DDA">
        <w:rPr>
          <w:i/>
        </w:rPr>
        <w:t>American Economic Review</w:t>
      </w:r>
      <w:r w:rsidR="007F25D6" w:rsidRPr="00453DDA">
        <w:rPr>
          <w:i/>
        </w:rPr>
        <w:t>,</w:t>
      </w:r>
      <w:r w:rsidRPr="00453DDA">
        <w:t xml:space="preserve"> 96(5)</w:t>
      </w:r>
      <w:r w:rsidR="003B056C" w:rsidRPr="00453DDA">
        <w:t>:</w:t>
      </w:r>
      <w:r w:rsidR="007F25D6" w:rsidRPr="00453DDA">
        <w:t xml:space="preserve"> </w:t>
      </w:r>
      <w:r w:rsidR="00981872" w:rsidRPr="00453DDA">
        <w:t>1559-1588.</w:t>
      </w:r>
    </w:p>
    <w:p w:rsidR="003B418C" w:rsidRPr="00453DDA" w:rsidRDefault="003B418C" w:rsidP="00FC692F">
      <w:pPr>
        <w:spacing w:line="480" w:lineRule="auto"/>
        <w:ind w:left="567" w:hanging="567"/>
        <w:jc w:val="both"/>
      </w:pPr>
      <w:proofErr w:type="gramStart"/>
      <w:r w:rsidRPr="00453DDA">
        <w:t xml:space="preserve">Petersen, M. </w:t>
      </w:r>
      <w:r w:rsidR="004C07AF" w:rsidRPr="00453DDA">
        <w:t>(</w:t>
      </w:r>
      <w:r w:rsidRPr="00453DDA">
        <w:t>200</w:t>
      </w:r>
      <w:r w:rsidR="002A4EF5" w:rsidRPr="00453DDA">
        <w:t>9</w:t>
      </w:r>
      <w:r w:rsidR="004C07AF" w:rsidRPr="00453DDA">
        <w:t>)</w:t>
      </w:r>
      <w:r w:rsidR="002A4EF5" w:rsidRPr="00453DDA">
        <w:t>.</w:t>
      </w:r>
      <w:proofErr w:type="gramEnd"/>
      <w:r w:rsidRPr="00453DDA">
        <w:t xml:space="preserve"> Estimating standard errors in finance panel datasets: comparing approaches. </w:t>
      </w:r>
      <w:r w:rsidR="002A4EF5" w:rsidRPr="00453DDA">
        <w:rPr>
          <w:i/>
        </w:rPr>
        <w:t>Review of Financial Studies</w:t>
      </w:r>
      <w:r w:rsidR="007F25D6" w:rsidRPr="00453DDA">
        <w:rPr>
          <w:i/>
        </w:rPr>
        <w:t>,</w:t>
      </w:r>
      <w:r w:rsidR="002A4EF5" w:rsidRPr="00453DDA">
        <w:t xml:space="preserve"> 22</w:t>
      </w:r>
      <w:r w:rsidR="003B056C" w:rsidRPr="00453DDA">
        <w:t>:</w:t>
      </w:r>
      <w:r w:rsidR="007F25D6" w:rsidRPr="00453DDA">
        <w:t xml:space="preserve"> </w:t>
      </w:r>
      <w:r w:rsidRPr="00453DDA">
        <w:t>435–480.</w:t>
      </w:r>
    </w:p>
    <w:p w:rsidR="003B418C" w:rsidRPr="00453DDA" w:rsidRDefault="002A4EF5" w:rsidP="00FC692F">
      <w:pPr>
        <w:spacing w:line="480" w:lineRule="auto"/>
        <w:ind w:left="567" w:hanging="567"/>
        <w:jc w:val="both"/>
      </w:pPr>
      <w:r w:rsidRPr="00453DDA">
        <w:lastRenderedPageBreak/>
        <w:t xml:space="preserve">Poletti-Hughes, J. </w:t>
      </w:r>
      <w:r w:rsidR="004C07AF" w:rsidRPr="00453DDA">
        <w:t>(</w:t>
      </w:r>
      <w:r w:rsidRPr="00453DDA">
        <w:t>2009</w:t>
      </w:r>
      <w:r w:rsidR="004C07AF" w:rsidRPr="00453DDA">
        <w:t>)</w:t>
      </w:r>
      <w:r w:rsidRPr="00453DDA">
        <w:t>.</w:t>
      </w:r>
      <w:r w:rsidR="003B418C" w:rsidRPr="00453DDA">
        <w:t xml:space="preserve"> </w:t>
      </w:r>
      <w:proofErr w:type="gramStart"/>
      <w:r w:rsidR="003B418C" w:rsidRPr="00453DDA">
        <w:t>Corporate value, ultimate control and law protection for investors in Western Europe.</w:t>
      </w:r>
      <w:proofErr w:type="gramEnd"/>
      <w:r w:rsidR="003B418C" w:rsidRPr="00453DDA">
        <w:t xml:space="preserve"> </w:t>
      </w:r>
      <w:r w:rsidR="003B418C" w:rsidRPr="00453DDA">
        <w:rPr>
          <w:i/>
        </w:rPr>
        <w:t>Management Accounting Res</w:t>
      </w:r>
      <w:r w:rsidRPr="00453DDA">
        <w:rPr>
          <w:i/>
        </w:rPr>
        <w:t>earch</w:t>
      </w:r>
      <w:r w:rsidR="007F25D6" w:rsidRPr="00453DDA">
        <w:rPr>
          <w:i/>
        </w:rPr>
        <w:t>,</w:t>
      </w:r>
      <w:r w:rsidRPr="00453DDA">
        <w:t xml:space="preserve"> 20</w:t>
      </w:r>
      <w:r w:rsidR="003B056C" w:rsidRPr="00453DDA">
        <w:t>:</w:t>
      </w:r>
      <w:r w:rsidR="007F25D6" w:rsidRPr="00453DDA">
        <w:t xml:space="preserve"> </w:t>
      </w:r>
      <w:r w:rsidR="003B418C" w:rsidRPr="00453DDA">
        <w:t>41-52.</w:t>
      </w:r>
    </w:p>
    <w:p w:rsidR="003B418C" w:rsidRPr="00453DDA" w:rsidRDefault="002A4EF5" w:rsidP="00FC692F">
      <w:pPr>
        <w:spacing w:line="480" w:lineRule="auto"/>
        <w:ind w:left="567" w:hanging="567"/>
        <w:jc w:val="both"/>
      </w:pPr>
      <w:proofErr w:type="spellStart"/>
      <w:proofErr w:type="gramStart"/>
      <w:r w:rsidRPr="00453DDA">
        <w:t>Rogoff</w:t>
      </w:r>
      <w:proofErr w:type="spellEnd"/>
      <w:r w:rsidRPr="00453DDA">
        <w:t>, E.G.</w:t>
      </w:r>
      <w:r w:rsidR="00374D8C">
        <w:t xml:space="preserve"> &amp;</w:t>
      </w:r>
      <w:r w:rsidRPr="00453DDA">
        <w:t xml:space="preserve"> Heck, R.K.Z. </w:t>
      </w:r>
      <w:r w:rsidR="004C07AF" w:rsidRPr="00453DDA">
        <w:t>(</w:t>
      </w:r>
      <w:r w:rsidRPr="00453DDA">
        <w:t>2003</w:t>
      </w:r>
      <w:r w:rsidR="004C07AF" w:rsidRPr="00453DDA">
        <w:t>)</w:t>
      </w:r>
      <w:r w:rsidRPr="00453DDA">
        <w:t>.</w:t>
      </w:r>
      <w:proofErr w:type="gramEnd"/>
      <w:r w:rsidR="003B418C" w:rsidRPr="00453DDA">
        <w:t xml:space="preserve"> Evolving research in entrepreneurship and family business: Recognizing family as the oxygen that feeds the fire of entrepreneurship. </w:t>
      </w:r>
      <w:r w:rsidR="003B418C" w:rsidRPr="00453DDA">
        <w:rPr>
          <w:i/>
        </w:rPr>
        <w:t>Journ</w:t>
      </w:r>
      <w:r w:rsidRPr="00453DDA">
        <w:rPr>
          <w:i/>
        </w:rPr>
        <w:t>al of Business Venturing</w:t>
      </w:r>
      <w:r w:rsidR="007F25D6" w:rsidRPr="00453DDA">
        <w:rPr>
          <w:i/>
        </w:rPr>
        <w:t>,</w:t>
      </w:r>
      <w:r w:rsidRPr="00453DDA">
        <w:rPr>
          <w:i/>
        </w:rPr>
        <w:t xml:space="preserve"> </w:t>
      </w:r>
      <w:r w:rsidRPr="00453DDA">
        <w:t>18(5)</w:t>
      </w:r>
      <w:r w:rsidR="003B056C" w:rsidRPr="00453DDA">
        <w:t>:</w:t>
      </w:r>
      <w:r w:rsidR="007F25D6" w:rsidRPr="00453DDA">
        <w:t xml:space="preserve"> </w:t>
      </w:r>
      <w:r w:rsidR="003B418C" w:rsidRPr="00453DDA">
        <w:t>559–566.</w:t>
      </w:r>
    </w:p>
    <w:p w:rsidR="003B418C" w:rsidRPr="00453DDA" w:rsidRDefault="003B418C" w:rsidP="00FC692F">
      <w:pPr>
        <w:spacing w:line="480" w:lineRule="auto"/>
        <w:ind w:left="567" w:hanging="567"/>
        <w:jc w:val="both"/>
      </w:pPr>
      <w:proofErr w:type="gramStart"/>
      <w:r w:rsidRPr="00453DDA">
        <w:t>Ruiz-</w:t>
      </w:r>
      <w:proofErr w:type="spellStart"/>
      <w:r w:rsidRPr="00453DDA">
        <w:t>Porras</w:t>
      </w:r>
      <w:proofErr w:type="spellEnd"/>
      <w:r w:rsidRPr="00453DDA">
        <w:t>, A.</w:t>
      </w:r>
      <w:r w:rsidR="00374D8C">
        <w:t xml:space="preserve"> &amp;</w:t>
      </w:r>
      <w:r w:rsidR="002A4EF5" w:rsidRPr="00453DDA">
        <w:t xml:space="preserve"> </w:t>
      </w:r>
      <w:proofErr w:type="spellStart"/>
      <w:r w:rsidR="002A4EF5" w:rsidRPr="00453DDA">
        <w:t>Steinwascher</w:t>
      </w:r>
      <w:proofErr w:type="spellEnd"/>
      <w:r w:rsidR="002A4EF5" w:rsidRPr="00453DDA">
        <w:t xml:space="preserve">, W. </w:t>
      </w:r>
      <w:r w:rsidR="004C07AF" w:rsidRPr="00453DDA">
        <w:t>(</w:t>
      </w:r>
      <w:r w:rsidR="002A4EF5" w:rsidRPr="00453DDA">
        <w:t>2007</w:t>
      </w:r>
      <w:r w:rsidR="004C07AF" w:rsidRPr="00453DDA">
        <w:t>)</w:t>
      </w:r>
      <w:r w:rsidR="002A4EF5" w:rsidRPr="00453DDA">
        <w:t>.</w:t>
      </w:r>
      <w:proofErr w:type="gramEnd"/>
      <w:r w:rsidRPr="00453DDA">
        <w:t xml:space="preserve"> </w:t>
      </w:r>
      <w:proofErr w:type="gramStart"/>
      <w:r w:rsidRPr="00453DDA">
        <w:t>Corporate governance, strategic diversification and performance of firms in Mexico.</w:t>
      </w:r>
      <w:proofErr w:type="gramEnd"/>
      <w:r w:rsidRPr="00453DDA">
        <w:t xml:space="preserve"> </w:t>
      </w:r>
      <w:proofErr w:type="gramStart"/>
      <w:r w:rsidRPr="00453DDA">
        <w:t>MPRA Paper No. 3819.</w:t>
      </w:r>
      <w:proofErr w:type="gramEnd"/>
    </w:p>
    <w:p w:rsidR="003B418C" w:rsidRPr="00453DDA" w:rsidRDefault="003B418C" w:rsidP="00FC692F">
      <w:pPr>
        <w:spacing w:line="480" w:lineRule="auto"/>
        <w:ind w:left="567" w:hanging="567"/>
        <w:jc w:val="both"/>
      </w:pPr>
      <w:proofErr w:type="spellStart"/>
      <w:proofErr w:type="gramStart"/>
      <w:r w:rsidRPr="00453DDA">
        <w:t>Shleifer</w:t>
      </w:r>
      <w:proofErr w:type="spellEnd"/>
      <w:r w:rsidRPr="00453DDA">
        <w:t>, A.</w:t>
      </w:r>
      <w:r w:rsidR="00374D8C">
        <w:t xml:space="preserve"> &amp;</w:t>
      </w:r>
      <w:r w:rsidRPr="00453DDA">
        <w:t xml:space="preserve"> </w:t>
      </w:r>
      <w:proofErr w:type="spellStart"/>
      <w:r w:rsidR="002A4EF5" w:rsidRPr="00453DDA">
        <w:t>Vishny</w:t>
      </w:r>
      <w:proofErr w:type="spellEnd"/>
      <w:r w:rsidR="002A4EF5" w:rsidRPr="00453DDA">
        <w:t xml:space="preserve">, R. </w:t>
      </w:r>
      <w:r w:rsidR="004C07AF" w:rsidRPr="00453DDA">
        <w:t>(</w:t>
      </w:r>
      <w:r w:rsidR="002A4EF5" w:rsidRPr="00453DDA">
        <w:t>1986</w:t>
      </w:r>
      <w:r w:rsidR="004C07AF" w:rsidRPr="00453DDA">
        <w:t>)</w:t>
      </w:r>
      <w:r w:rsidR="002A4EF5" w:rsidRPr="00453DDA">
        <w:t>.</w:t>
      </w:r>
      <w:proofErr w:type="gramEnd"/>
      <w:r w:rsidRPr="00453DDA">
        <w:t xml:space="preserve"> </w:t>
      </w:r>
      <w:proofErr w:type="gramStart"/>
      <w:r w:rsidRPr="00453DDA">
        <w:t>Large shareholders and corporate control.</w:t>
      </w:r>
      <w:proofErr w:type="gramEnd"/>
      <w:r w:rsidRPr="00453DDA">
        <w:t xml:space="preserve"> </w:t>
      </w:r>
      <w:r w:rsidRPr="00453DDA">
        <w:rPr>
          <w:i/>
        </w:rPr>
        <w:t>J</w:t>
      </w:r>
      <w:r w:rsidR="002A4EF5" w:rsidRPr="00453DDA">
        <w:rPr>
          <w:i/>
        </w:rPr>
        <w:t>ournal of Political Economy</w:t>
      </w:r>
      <w:r w:rsidR="007F25D6" w:rsidRPr="00453DDA">
        <w:rPr>
          <w:i/>
        </w:rPr>
        <w:t>,</w:t>
      </w:r>
      <w:r w:rsidR="002A4EF5" w:rsidRPr="00453DDA">
        <w:t xml:space="preserve"> 94</w:t>
      </w:r>
      <w:r w:rsidR="003B056C" w:rsidRPr="00453DDA">
        <w:t>:</w:t>
      </w:r>
      <w:r w:rsidR="007F25D6" w:rsidRPr="00453DDA">
        <w:t xml:space="preserve"> </w:t>
      </w:r>
      <w:r w:rsidRPr="00453DDA">
        <w:t>461-488.</w:t>
      </w:r>
    </w:p>
    <w:p w:rsidR="00876C59" w:rsidRPr="00453DDA" w:rsidRDefault="00876C59" w:rsidP="00FC692F">
      <w:pPr>
        <w:spacing w:line="480" w:lineRule="auto"/>
        <w:ind w:left="567" w:hanging="567"/>
        <w:jc w:val="both"/>
      </w:pPr>
      <w:proofErr w:type="gramStart"/>
      <w:r w:rsidRPr="00453DDA">
        <w:t>Short, H.</w:t>
      </w:r>
      <w:r w:rsidR="00374D8C">
        <w:t xml:space="preserve"> &amp;</w:t>
      </w:r>
      <w:r w:rsidRPr="00453DDA">
        <w:t xml:space="preserve"> </w:t>
      </w:r>
      <w:proofErr w:type="spellStart"/>
      <w:r w:rsidRPr="00453DDA">
        <w:t>Keasey</w:t>
      </w:r>
      <w:proofErr w:type="spellEnd"/>
      <w:r w:rsidRPr="00453DDA">
        <w:t>, K. (1999).</w:t>
      </w:r>
      <w:proofErr w:type="gramEnd"/>
      <w:r w:rsidRPr="00453DDA">
        <w:t xml:space="preserve"> Managerial </w:t>
      </w:r>
      <w:r w:rsidR="00693789" w:rsidRPr="00453DDA">
        <w:t>o</w:t>
      </w:r>
      <w:r w:rsidRPr="00453DDA">
        <w:t xml:space="preserve">wnership and the </w:t>
      </w:r>
      <w:r w:rsidR="00693789" w:rsidRPr="00453DDA">
        <w:t>p</w:t>
      </w:r>
      <w:r w:rsidRPr="00453DDA">
        <w:t xml:space="preserve">erformance of </w:t>
      </w:r>
      <w:r w:rsidR="00693789" w:rsidRPr="00453DDA">
        <w:t>f</w:t>
      </w:r>
      <w:r w:rsidRPr="00453DDA">
        <w:t xml:space="preserve">irms: Evidence from the UK. </w:t>
      </w:r>
      <w:r w:rsidRPr="00453DDA">
        <w:rPr>
          <w:i/>
        </w:rPr>
        <w:t xml:space="preserve">Journal of </w:t>
      </w:r>
      <w:r w:rsidR="00693789" w:rsidRPr="00453DDA">
        <w:rPr>
          <w:i/>
        </w:rPr>
        <w:t>C</w:t>
      </w:r>
      <w:r w:rsidRPr="00453DDA">
        <w:rPr>
          <w:i/>
        </w:rPr>
        <w:t xml:space="preserve">orporate </w:t>
      </w:r>
      <w:r w:rsidR="00693789" w:rsidRPr="00453DDA">
        <w:rPr>
          <w:i/>
        </w:rPr>
        <w:t>F</w:t>
      </w:r>
      <w:r w:rsidRPr="00453DDA">
        <w:rPr>
          <w:i/>
        </w:rPr>
        <w:t>inance</w:t>
      </w:r>
      <w:r w:rsidR="003B056C" w:rsidRPr="00453DDA">
        <w:t>, 5(1):</w:t>
      </w:r>
      <w:r w:rsidRPr="00453DDA">
        <w:t xml:space="preserve"> 79-101.</w:t>
      </w:r>
    </w:p>
    <w:p w:rsidR="003B418C" w:rsidRPr="00453DDA" w:rsidRDefault="002A4EF5" w:rsidP="00FC692F">
      <w:pPr>
        <w:spacing w:line="480" w:lineRule="auto"/>
        <w:ind w:left="567" w:hanging="567"/>
        <w:jc w:val="both"/>
        <w:rPr>
          <w:i/>
        </w:rPr>
      </w:pPr>
      <w:r w:rsidRPr="00453DDA">
        <w:t xml:space="preserve">Siegel, J. </w:t>
      </w:r>
      <w:r w:rsidR="004C07AF" w:rsidRPr="00453DDA">
        <w:t>(</w:t>
      </w:r>
      <w:r w:rsidRPr="00453DDA">
        <w:t>2009</w:t>
      </w:r>
      <w:r w:rsidR="004C07AF" w:rsidRPr="00453DDA">
        <w:t>)</w:t>
      </w:r>
      <w:r w:rsidRPr="00453DDA">
        <w:t>.</w:t>
      </w:r>
      <w:r w:rsidR="003B418C" w:rsidRPr="00453DDA">
        <w:t xml:space="preserve"> Do </w:t>
      </w:r>
      <w:r w:rsidR="00693789" w:rsidRPr="00453DDA">
        <w:t>foreign f</w:t>
      </w:r>
      <w:r w:rsidR="003B418C" w:rsidRPr="00453DDA">
        <w:t xml:space="preserve">irms </w:t>
      </w:r>
      <w:r w:rsidR="00693789" w:rsidRPr="00453DDA">
        <w:t>c</w:t>
      </w:r>
      <w:r w:rsidR="003B418C" w:rsidRPr="00453DDA">
        <w:t xml:space="preserve">hoose </w:t>
      </w:r>
      <w:r w:rsidR="00693789" w:rsidRPr="00453DDA">
        <w:t>n</w:t>
      </w:r>
      <w:r w:rsidR="003B418C" w:rsidRPr="00453DDA">
        <w:t xml:space="preserve">ot to </w:t>
      </w:r>
      <w:r w:rsidR="00693789" w:rsidRPr="00453DDA">
        <w:t>c</w:t>
      </w:r>
      <w:r w:rsidR="003B418C" w:rsidRPr="00453DDA">
        <w:t>ross-</w:t>
      </w:r>
      <w:r w:rsidR="00693789" w:rsidRPr="00453DDA">
        <w:t>l</w:t>
      </w:r>
      <w:r w:rsidR="003B418C" w:rsidRPr="00453DDA">
        <w:t xml:space="preserve">ist </w:t>
      </w:r>
      <w:r w:rsidR="00693789" w:rsidRPr="00453DDA">
        <w:t>b</w:t>
      </w:r>
      <w:r w:rsidR="003B418C" w:rsidRPr="00453DDA">
        <w:t xml:space="preserve">ecause </w:t>
      </w:r>
      <w:r w:rsidR="00693789" w:rsidRPr="00453DDA">
        <w:t>t</w:t>
      </w:r>
      <w:r w:rsidR="003B418C" w:rsidRPr="00453DDA">
        <w:t xml:space="preserve">hey </w:t>
      </w:r>
      <w:r w:rsidR="00693789" w:rsidRPr="00453DDA">
        <w:t>h</w:t>
      </w:r>
      <w:r w:rsidR="003B418C" w:rsidRPr="00453DDA">
        <w:t xml:space="preserve">ave </w:t>
      </w:r>
      <w:r w:rsidR="00693789" w:rsidRPr="00453DDA">
        <w:t>s</w:t>
      </w:r>
      <w:r w:rsidR="003B418C" w:rsidRPr="00453DDA">
        <w:t xml:space="preserve">ecured </w:t>
      </w:r>
      <w:r w:rsidR="00693789" w:rsidRPr="00453DDA">
        <w:t>b</w:t>
      </w:r>
      <w:r w:rsidR="003B418C" w:rsidRPr="00453DDA">
        <w:t xml:space="preserve">etter </w:t>
      </w:r>
      <w:r w:rsidR="00693789" w:rsidRPr="00453DDA">
        <w:t>a</w:t>
      </w:r>
      <w:r w:rsidR="003B418C" w:rsidRPr="00453DDA">
        <w:t xml:space="preserve">lternatives? </w:t>
      </w:r>
      <w:proofErr w:type="gramStart"/>
      <w:r w:rsidR="003B418C" w:rsidRPr="00453DDA">
        <w:t>Evidence from Mexico.</w:t>
      </w:r>
      <w:proofErr w:type="gramEnd"/>
      <w:r w:rsidR="003B418C" w:rsidRPr="00453DDA">
        <w:t xml:space="preserve"> </w:t>
      </w:r>
      <w:r w:rsidR="003B418C" w:rsidRPr="00453DDA">
        <w:rPr>
          <w:i/>
        </w:rPr>
        <w:t>Journal of Int</w:t>
      </w:r>
      <w:r w:rsidRPr="00453DDA">
        <w:rPr>
          <w:i/>
        </w:rPr>
        <w:t>ernational Business Studies</w:t>
      </w:r>
      <w:r w:rsidR="007F25D6" w:rsidRPr="00453DDA">
        <w:rPr>
          <w:i/>
        </w:rPr>
        <w:t>,</w:t>
      </w:r>
      <w:r w:rsidRPr="00453DDA">
        <w:t xml:space="preserve"> 49</w:t>
      </w:r>
      <w:r w:rsidR="007F25D6" w:rsidRPr="00453DDA">
        <w:t xml:space="preserve">, </w:t>
      </w:r>
      <w:r w:rsidR="003B418C" w:rsidRPr="00453DDA">
        <w:t>1171-1191.</w:t>
      </w:r>
      <w:r w:rsidR="0087477E" w:rsidRPr="00453DDA">
        <w:t xml:space="preserve"> </w:t>
      </w:r>
      <w:r w:rsidR="0087477E" w:rsidRPr="00453DDA">
        <w:rPr>
          <w:i/>
        </w:rPr>
        <w:t>Journal of Business Research</w:t>
      </w:r>
      <w:r w:rsidR="003B056C" w:rsidRPr="00453DDA">
        <w:t>, 61:</w:t>
      </w:r>
      <w:r w:rsidR="0087477E" w:rsidRPr="00453DDA">
        <w:t xml:space="preserve"> 609-614.</w:t>
      </w:r>
      <w:r w:rsidR="0087477E" w:rsidRPr="00453DDA">
        <w:rPr>
          <w:i/>
        </w:rPr>
        <w:t xml:space="preserve"> </w:t>
      </w:r>
    </w:p>
    <w:p w:rsidR="001F2D6E" w:rsidRPr="00453DDA" w:rsidRDefault="001F2D6E" w:rsidP="00FC692F">
      <w:pPr>
        <w:spacing w:line="480" w:lineRule="auto"/>
        <w:ind w:left="567" w:hanging="567"/>
        <w:jc w:val="both"/>
        <w:rPr>
          <w:color w:val="131413"/>
        </w:rPr>
      </w:pPr>
      <w:proofErr w:type="gramStart"/>
      <w:r w:rsidRPr="00453DDA">
        <w:t>Su, W.</w:t>
      </w:r>
      <w:r w:rsidR="00374D8C">
        <w:t xml:space="preserve"> &amp;</w:t>
      </w:r>
      <w:r w:rsidRPr="00453DDA">
        <w:t xml:space="preserve"> Lee, C-Y.</w:t>
      </w:r>
      <w:proofErr w:type="gramEnd"/>
      <w:r w:rsidRPr="00453DDA">
        <w:t xml:space="preserve"> </w:t>
      </w:r>
      <w:proofErr w:type="gramStart"/>
      <w:r w:rsidRPr="00453DDA">
        <w:t>(2013). Effects of corporate governance on risk-taking in Taiwanese family firms during institutional reform.</w:t>
      </w:r>
      <w:proofErr w:type="gramEnd"/>
      <w:r w:rsidRPr="00453DDA">
        <w:t xml:space="preserve"> </w:t>
      </w:r>
      <w:r w:rsidRPr="00453DDA">
        <w:rPr>
          <w:i/>
        </w:rPr>
        <w:t>Asia Pacific Journal of Management</w:t>
      </w:r>
      <w:r w:rsidRPr="00453DDA">
        <w:t xml:space="preserve">, </w:t>
      </w:r>
      <w:r w:rsidR="003B056C" w:rsidRPr="00453DDA">
        <w:rPr>
          <w:color w:val="131413"/>
        </w:rPr>
        <w:t>30:</w:t>
      </w:r>
      <w:r w:rsidRPr="00453DDA">
        <w:rPr>
          <w:color w:val="131413"/>
        </w:rPr>
        <w:t xml:space="preserve"> 809-828.</w:t>
      </w:r>
    </w:p>
    <w:p w:rsidR="003B418C" w:rsidRPr="00453DDA" w:rsidRDefault="003B418C" w:rsidP="00FC692F">
      <w:pPr>
        <w:spacing w:line="480" w:lineRule="auto"/>
        <w:ind w:left="567" w:hanging="567"/>
        <w:jc w:val="both"/>
      </w:pPr>
      <w:r w:rsidRPr="00453DDA">
        <w:t>Thompson, S.</w:t>
      </w:r>
      <w:r w:rsidR="002A4EF5" w:rsidRPr="00453DDA">
        <w:t xml:space="preserve">B. </w:t>
      </w:r>
      <w:r w:rsidR="004C07AF" w:rsidRPr="00453DDA">
        <w:t>(</w:t>
      </w:r>
      <w:r w:rsidR="002A4EF5" w:rsidRPr="00453DDA">
        <w:t>2011</w:t>
      </w:r>
      <w:r w:rsidR="004C07AF" w:rsidRPr="00453DDA">
        <w:t>)</w:t>
      </w:r>
      <w:r w:rsidR="002A4EF5" w:rsidRPr="00453DDA">
        <w:t>.</w:t>
      </w:r>
      <w:r w:rsidRPr="00453DDA">
        <w:t xml:space="preserve"> </w:t>
      </w:r>
      <w:proofErr w:type="gramStart"/>
      <w:r w:rsidRPr="00453DDA">
        <w:t>Simple formulas for standard errors that cluster by both firm and time.</w:t>
      </w:r>
      <w:proofErr w:type="gramEnd"/>
      <w:r w:rsidRPr="00453DDA">
        <w:t xml:space="preserve"> </w:t>
      </w:r>
      <w:r w:rsidRPr="00453DDA">
        <w:rPr>
          <w:i/>
        </w:rPr>
        <w:t>Jou</w:t>
      </w:r>
      <w:r w:rsidR="002A4EF5" w:rsidRPr="00453DDA">
        <w:rPr>
          <w:i/>
        </w:rPr>
        <w:t>rnal of Financial Economics</w:t>
      </w:r>
      <w:r w:rsidR="007F25D6" w:rsidRPr="00453DDA">
        <w:rPr>
          <w:i/>
        </w:rPr>
        <w:t>,</w:t>
      </w:r>
      <w:r w:rsidR="002A4EF5" w:rsidRPr="00453DDA">
        <w:t xml:space="preserve"> 99</w:t>
      </w:r>
      <w:r w:rsidR="003B056C" w:rsidRPr="00453DDA">
        <w:t>:</w:t>
      </w:r>
      <w:r w:rsidR="007F25D6" w:rsidRPr="00453DDA">
        <w:t xml:space="preserve"> </w:t>
      </w:r>
      <w:r w:rsidRPr="00453DDA">
        <w:t>1–10.</w:t>
      </w:r>
    </w:p>
    <w:p w:rsidR="003B418C" w:rsidRPr="00453DDA" w:rsidRDefault="003B418C" w:rsidP="00FC692F">
      <w:pPr>
        <w:spacing w:line="480" w:lineRule="auto"/>
        <w:ind w:left="567" w:hanging="567"/>
        <w:jc w:val="both"/>
      </w:pPr>
      <w:proofErr w:type="gramStart"/>
      <w:r w:rsidRPr="00453DDA">
        <w:t>Thomsen, S.</w:t>
      </w:r>
      <w:r w:rsidR="003B056C" w:rsidRPr="00453DDA">
        <w:t xml:space="preserve"> &amp;</w:t>
      </w:r>
      <w:r w:rsidRPr="00453DDA">
        <w:t xml:space="preserve"> </w:t>
      </w:r>
      <w:r w:rsidR="002A4EF5" w:rsidRPr="00453DDA">
        <w:t xml:space="preserve">Pedersen, T. </w:t>
      </w:r>
      <w:r w:rsidR="004C07AF" w:rsidRPr="00453DDA">
        <w:t>(</w:t>
      </w:r>
      <w:r w:rsidR="002A4EF5" w:rsidRPr="00453DDA">
        <w:t>2000</w:t>
      </w:r>
      <w:r w:rsidR="004C07AF" w:rsidRPr="00453DDA">
        <w:t>)</w:t>
      </w:r>
      <w:r w:rsidR="002A4EF5" w:rsidRPr="00453DDA">
        <w:t>.</w:t>
      </w:r>
      <w:proofErr w:type="gramEnd"/>
      <w:r w:rsidR="002A4EF5" w:rsidRPr="00453DDA">
        <w:t xml:space="preserve"> </w:t>
      </w:r>
      <w:proofErr w:type="gramStart"/>
      <w:r w:rsidR="002A4EF5" w:rsidRPr="00453DDA">
        <w:t>Ownership structure and e</w:t>
      </w:r>
      <w:r w:rsidRPr="00453DDA">
        <w:t xml:space="preserve">conomic </w:t>
      </w:r>
      <w:r w:rsidR="002A4EF5" w:rsidRPr="00453DDA">
        <w:t>p</w:t>
      </w:r>
      <w:r w:rsidRPr="00453DDA">
        <w:t xml:space="preserve">erformance in the </w:t>
      </w:r>
      <w:r w:rsidR="002A4EF5" w:rsidRPr="00453DDA">
        <w:t>largest European c</w:t>
      </w:r>
      <w:r w:rsidRPr="00453DDA">
        <w:t>ompanies.</w:t>
      </w:r>
      <w:proofErr w:type="gramEnd"/>
      <w:r w:rsidRPr="00453DDA">
        <w:t xml:space="preserve"> </w:t>
      </w:r>
      <w:r w:rsidRPr="00453DDA">
        <w:rPr>
          <w:i/>
        </w:rPr>
        <w:t>Strategic Managemen</w:t>
      </w:r>
      <w:r w:rsidR="002A4EF5" w:rsidRPr="00453DDA">
        <w:rPr>
          <w:i/>
        </w:rPr>
        <w:t>t Journal</w:t>
      </w:r>
      <w:r w:rsidR="007F25D6" w:rsidRPr="00453DDA">
        <w:rPr>
          <w:i/>
        </w:rPr>
        <w:t>,</w:t>
      </w:r>
      <w:r w:rsidR="003B056C" w:rsidRPr="00453DDA">
        <w:t xml:space="preserve"> 21:</w:t>
      </w:r>
      <w:r w:rsidR="007F25D6" w:rsidRPr="00453DDA">
        <w:t xml:space="preserve"> </w:t>
      </w:r>
      <w:r w:rsidRPr="00453DDA">
        <w:t>689–705.</w:t>
      </w:r>
    </w:p>
    <w:p w:rsidR="006E3BE9" w:rsidRPr="00453DDA" w:rsidRDefault="003B056C" w:rsidP="00FC692F">
      <w:pPr>
        <w:spacing w:line="480" w:lineRule="auto"/>
        <w:ind w:left="567" w:hanging="567"/>
        <w:jc w:val="both"/>
      </w:pPr>
      <w:proofErr w:type="spellStart"/>
      <w:proofErr w:type="gramStart"/>
      <w:r w:rsidRPr="00453DDA">
        <w:t>Tversky</w:t>
      </w:r>
      <w:proofErr w:type="spellEnd"/>
      <w:r w:rsidRPr="00453DDA">
        <w:t>, A. &amp;</w:t>
      </w:r>
      <w:r w:rsidR="006E3BE9" w:rsidRPr="00453DDA">
        <w:t xml:space="preserve"> </w:t>
      </w:r>
      <w:proofErr w:type="spellStart"/>
      <w:r w:rsidR="006E3BE9" w:rsidRPr="00453DDA">
        <w:t>Kahneman</w:t>
      </w:r>
      <w:proofErr w:type="spellEnd"/>
      <w:r w:rsidR="006E3BE9" w:rsidRPr="00453DDA">
        <w:t>, D. (1986).</w:t>
      </w:r>
      <w:proofErr w:type="gramEnd"/>
      <w:r w:rsidR="006E3BE9" w:rsidRPr="00453DDA">
        <w:t xml:space="preserve"> </w:t>
      </w:r>
      <w:proofErr w:type="gramStart"/>
      <w:r w:rsidR="006E3BE9" w:rsidRPr="00453DDA">
        <w:t>Rational choice and the framing of decision.</w:t>
      </w:r>
      <w:proofErr w:type="gramEnd"/>
      <w:r w:rsidR="006E3BE9" w:rsidRPr="00453DDA">
        <w:t xml:space="preserve"> </w:t>
      </w:r>
      <w:r w:rsidR="006E3BE9" w:rsidRPr="00453DDA">
        <w:rPr>
          <w:i/>
        </w:rPr>
        <w:t>Journal of Business</w:t>
      </w:r>
      <w:r w:rsidRPr="00453DDA">
        <w:t>, 59:</w:t>
      </w:r>
      <w:r w:rsidR="006E3BE9" w:rsidRPr="00453DDA">
        <w:t xml:space="preserve"> S251-S278.</w:t>
      </w:r>
    </w:p>
    <w:p w:rsidR="006E3BE9" w:rsidRPr="00453DDA" w:rsidRDefault="003B056C" w:rsidP="00FC692F">
      <w:pPr>
        <w:spacing w:line="480" w:lineRule="auto"/>
        <w:ind w:left="567" w:hanging="567"/>
        <w:jc w:val="both"/>
      </w:pPr>
      <w:proofErr w:type="spellStart"/>
      <w:proofErr w:type="gramStart"/>
      <w:r w:rsidRPr="00453DDA">
        <w:t>Tversky</w:t>
      </w:r>
      <w:proofErr w:type="spellEnd"/>
      <w:r w:rsidRPr="00453DDA">
        <w:t>, A. &amp;</w:t>
      </w:r>
      <w:r w:rsidR="006E3BE9" w:rsidRPr="00453DDA">
        <w:t xml:space="preserve"> </w:t>
      </w:r>
      <w:proofErr w:type="spellStart"/>
      <w:r w:rsidR="006E3BE9" w:rsidRPr="00453DDA">
        <w:t>Kahneman</w:t>
      </w:r>
      <w:proofErr w:type="spellEnd"/>
      <w:r w:rsidR="006E3BE9" w:rsidRPr="00453DDA">
        <w:t>, D. (1991).</w:t>
      </w:r>
      <w:proofErr w:type="gramEnd"/>
      <w:r w:rsidR="006E3BE9" w:rsidRPr="00453DDA">
        <w:t xml:space="preserve"> Loss aversion in riskless choice: A reference-dependent model. </w:t>
      </w:r>
      <w:r w:rsidR="006E3BE9" w:rsidRPr="00453DDA">
        <w:rPr>
          <w:i/>
        </w:rPr>
        <w:t>Quarterly Journal of Economics</w:t>
      </w:r>
      <w:r w:rsidRPr="00453DDA">
        <w:t>, 106:</w:t>
      </w:r>
      <w:r w:rsidR="006E3BE9" w:rsidRPr="00453DDA">
        <w:t xml:space="preserve"> 1039-1061.</w:t>
      </w:r>
    </w:p>
    <w:p w:rsidR="003B418C" w:rsidRPr="00453DDA" w:rsidRDefault="003B418C" w:rsidP="00FC692F">
      <w:pPr>
        <w:spacing w:line="480" w:lineRule="auto"/>
        <w:ind w:left="567" w:hanging="567"/>
        <w:jc w:val="both"/>
      </w:pPr>
      <w:proofErr w:type="spellStart"/>
      <w:proofErr w:type="gramStart"/>
      <w:r w:rsidRPr="00453DDA">
        <w:lastRenderedPageBreak/>
        <w:t>Villalonga</w:t>
      </w:r>
      <w:proofErr w:type="spellEnd"/>
      <w:r w:rsidRPr="00453DDA">
        <w:t>, B.</w:t>
      </w:r>
      <w:r w:rsidR="003B056C" w:rsidRPr="00453DDA">
        <w:t xml:space="preserve"> &amp;</w:t>
      </w:r>
      <w:r w:rsidR="002A4EF5" w:rsidRPr="00453DDA">
        <w:t xml:space="preserve"> </w:t>
      </w:r>
      <w:proofErr w:type="spellStart"/>
      <w:r w:rsidRPr="00453DDA">
        <w:t>Amit</w:t>
      </w:r>
      <w:proofErr w:type="spellEnd"/>
      <w:r w:rsidRPr="00453DDA">
        <w:t xml:space="preserve">, R. </w:t>
      </w:r>
      <w:r w:rsidR="004C07AF" w:rsidRPr="00453DDA">
        <w:t>(</w:t>
      </w:r>
      <w:r w:rsidRPr="00453DDA">
        <w:t>2006</w:t>
      </w:r>
      <w:r w:rsidR="004C07AF" w:rsidRPr="00453DDA">
        <w:t>)</w:t>
      </w:r>
      <w:r w:rsidR="002A4EF5" w:rsidRPr="00453DDA">
        <w:t>.</w:t>
      </w:r>
      <w:proofErr w:type="gramEnd"/>
      <w:r w:rsidRPr="00453DDA">
        <w:t xml:space="preserve"> How do family ownership, control and management affect firm value? </w:t>
      </w:r>
      <w:r w:rsidRPr="00453DDA">
        <w:rPr>
          <w:i/>
        </w:rPr>
        <w:t>Jou</w:t>
      </w:r>
      <w:r w:rsidR="002A4EF5" w:rsidRPr="00453DDA">
        <w:rPr>
          <w:i/>
        </w:rPr>
        <w:t>rnal of Financial Economics</w:t>
      </w:r>
      <w:r w:rsidR="007F25D6" w:rsidRPr="00453DDA">
        <w:rPr>
          <w:i/>
        </w:rPr>
        <w:t>,</w:t>
      </w:r>
      <w:r w:rsidR="002A4EF5" w:rsidRPr="00453DDA">
        <w:t xml:space="preserve"> 80</w:t>
      </w:r>
      <w:r w:rsidR="003B056C" w:rsidRPr="00453DDA">
        <w:t>:</w:t>
      </w:r>
      <w:r w:rsidR="007F25D6" w:rsidRPr="00453DDA">
        <w:t xml:space="preserve"> </w:t>
      </w:r>
      <w:r w:rsidRPr="00453DDA">
        <w:t>385-417.</w:t>
      </w:r>
    </w:p>
    <w:p w:rsidR="00453DDA" w:rsidRPr="00453DDA" w:rsidRDefault="00FF4376" w:rsidP="00FC692F">
      <w:pPr>
        <w:spacing w:line="480" w:lineRule="auto"/>
        <w:ind w:left="567" w:hanging="567"/>
        <w:jc w:val="both"/>
      </w:pPr>
      <w:proofErr w:type="spellStart"/>
      <w:proofErr w:type="gramStart"/>
      <w:r>
        <w:t>Wintoki</w:t>
      </w:r>
      <w:proofErr w:type="spellEnd"/>
      <w:r>
        <w:t xml:space="preserve">, M. B., </w:t>
      </w:r>
      <w:proofErr w:type="spellStart"/>
      <w:r>
        <w:t>Linck</w:t>
      </w:r>
      <w:proofErr w:type="spellEnd"/>
      <w:r>
        <w:t>, J. S.</w:t>
      </w:r>
      <w:r w:rsidR="00453DDA" w:rsidRPr="00453DDA">
        <w:t xml:space="preserve"> </w:t>
      </w:r>
      <w:r w:rsidR="00374D8C">
        <w:t>&amp;</w:t>
      </w:r>
      <w:r w:rsidR="00374D8C" w:rsidRPr="00453DDA">
        <w:t xml:space="preserve"> </w:t>
      </w:r>
      <w:r w:rsidR="00453DDA" w:rsidRPr="00453DDA">
        <w:t>Netter, J. M. (2012).</w:t>
      </w:r>
      <w:proofErr w:type="gramEnd"/>
      <w:r w:rsidR="00453DDA" w:rsidRPr="00453DDA">
        <w:t xml:space="preserve"> </w:t>
      </w:r>
      <w:proofErr w:type="gramStart"/>
      <w:r w:rsidR="00453DDA" w:rsidRPr="00453DDA">
        <w:t>Endogeneity and the dynamics of internal corporate governance.</w:t>
      </w:r>
      <w:proofErr w:type="gramEnd"/>
      <w:r w:rsidR="00453DDA" w:rsidRPr="00453DDA">
        <w:t xml:space="preserve"> </w:t>
      </w:r>
      <w:r w:rsidR="00453DDA" w:rsidRPr="00FF4376">
        <w:rPr>
          <w:i/>
        </w:rPr>
        <w:t>Journal of Financial Economics</w:t>
      </w:r>
      <w:r w:rsidR="00453DDA" w:rsidRPr="00453DDA">
        <w:t>, 105(3), 581-606.</w:t>
      </w:r>
    </w:p>
    <w:p w:rsidR="006E3BE9" w:rsidRPr="00453DDA" w:rsidRDefault="003B056C" w:rsidP="00FC692F">
      <w:pPr>
        <w:spacing w:line="480" w:lineRule="auto"/>
        <w:ind w:left="567" w:hanging="567"/>
        <w:jc w:val="both"/>
      </w:pPr>
      <w:proofErr w:type="spellStart"/>
      <w:r w:rsidRPr="004842D2">
        <w:rPr>
          <w:lang w:val="es-MX"/>
        </w:rPr>
        <w:t>Wiseman</w:t>
      </w:r>
      <w:proofErr w:type="spellEnd"/>
      <w:r w:rsidRPr="004842D2">
        <w:rPr>
          <w:lang w:val="es-MX"/>
        </w:rPr>
        <w:t>, R.M. &amp;</w:t>
      </w:r>
      <w:r w:rsidR="006E3BE9" w:rsidRPr="004842D2">
        <w:rPr>
          <w:lang w:val="es-MX"/>
        </w:rPr>
        <w:t xml:space="preserve"> Gómez-Mejía, L.R. (1998). </w:t>
      </w:r>
      <w:proofErr w:type="gramStart"/>
      <w:r w:rsidR="006E3BE9" w:rsidRPr="00453DDA">
        <w:t>A behavioural agency model of managerial risk taking.</w:t>
      </w:r>
      <w:proofErr w:type="gramEnd"/>
      <w:r w:rsidR="006E3BE9" w:rsidRPr="00453DDA">
        <w:t xml:space="preserve"> </w:t>
      </w:r>
      <w:r w:rsidR="006E3BE9" w:rsidRPr="00453DDA">
        <w:rPr>
          <w:i/>
        </w:rPr>
        <w:t>Academy of Management Science</w:t>
      </w:r>
      <w:r w:rsidR="006E3BE9" w:rsidRPr="00453DDA">
        <w:t>, 23</w:t>
      </w:r>
      <w:r w:rsidRPr="00453DDA">
        <w:t>(</w:t>
      </w:r>
      <w:r w:rsidR="006E3BE9" w:rsidRPr="00453DDA">
        <w:t>1</w:t>
      </w:r>
      <w:r w:rsidRPr="00453DDA">
        <w:t>):</w:t>
      </w:r>
      <w:r w:rsidR="006E3BE9" w:rsidRPr="00453DDA">
        <w:t xml:space="preserve"> 133-153.</w:t>
      </w:r>
    </w:p>
    <w:p w:rsidR="005D1FF9" w:rsidRPr="00453DDA" w:rsidRDefault="005D1FF9" w:rsidP="00FC692F">
      <w:pPr>
        <w:spacing w:line="480" w:lineRule="auto"/>
        <w:ind w:left="567" w:hanging="567"/>
        <w:jc w:val="both"/>
      </w:pPr>
      <w:r w:rsidRPr="00453DDA">
        <w:t xml:space="preserve">Woodside, A.G. (2013). </w:t>
      </w:r>
      <w:proofErr w:type="gramStart"/>
      <w:r w:rsidRPr="00453DDA">
        <w:t>Moving beyond multiple regression analysis to algorithms: Calling for adoption of a paradigm shift from symmetric to asymmetric thinking in data analysis and crafting theory.</w:t>
      </w:r>
      <w:proofErr w:type="gramEnd"/>
      <w:r w:rsidRPr="00453DDA">
        <w:t xml:space="preserve"> </w:t>
      </w:r>
      <w:r w:rsidRPr="00453DDA">
        <w:rPr>
          <w:i/>
        </w:rPr>
        <w:t>Journal of Business Research</w:t>
      </w:r>
      <w:r w:rsidRPr="00453DDA">
        <w:t>, 66</w:t>
      </w:r>
      <w:r w:rsidR="00040A03" w:rsidRPr="00453DDA">
        <w:t>(</w:t>
      </w:r>
      <w:r w:rsidRPr="00453DDA">
        <w:t>4</w:t>
      </w:r>
      <w:r w:rsidR="00040A03" w:rsidRPr="00453DDA">
        <w:t>)</w:t>
      </w:r>
      <w:r w:rsidR="003B056C" w:rsidRPr="00453DDA">
        <w:t>:</w:t>
      </w:r>
      <w:r w:rsidRPr="00453DDA">
        <w:t xml:space="preserve"> 463-472.</w:t>
      </w:r>
    </w:p>
    <w:p w:rsidR="001D7340" w:rsidRPr="00453DDA" w:rsidRDefault="001D7340" w:rsidP="00FC692F">
      <w:pPr>
        <w:spacing w:line="480" w:lineRule="auto"/>
        <w:ind w:left="567" w:hanging="567"/>
        <w:jc w:val="both"/>
      </w:pPr>
      <w:proofErr w:type="spellStart"/>
      <w:proofErr w:type="gramStart"/>
      <w:r w:rsidRPr="00453DDA">
        <w:t>Yeh</w:t>
      </w:r>
      <w:proofErr w:type="spellEnd"/>
      <w:r w:rsidRPr="00453DDA">
        <w:t xml:space="preserve">, Y. H. </w:t>
      </w:r>
      <w:r w:rsidR="00374D8C">
        <w:t>&amp;</w:t>
      </w:r>
      <w:r w:rsidR="00374D8C" w:rsidRPr="00453DDA">
        <w:t xml:space="preserve"> </w:t>
      </w:r>
      <w:proofErr w:type="spellStart"/>
      <w:r w:rsidRPr="00453DDA">
        <w:t>Woidtke</w:t>
      </w:r>
      <w:proofErr w:type="spellEnd"/>
      <w:r w:rsidRPr="00453DDA">
        <w:t>, T. (2005).</w:t>
      </w:r>
      <w:proofErr w:type="gramEnd"/>
      <w:r w:rsidRPr="00453DDA">
        <w:t xml:space="preserve"> </w:t>
      </w:r>
      <w:proofErr w:type="gramStart"/>
      <w:r w:rsidRPr="00453DDA">
        <w:t>Commitment or entrenchment?</w:t>
      </w:r>
      <w:proofErr w:type="gramEnd"/>
      <w:r w:rsidRPr="00453DDA">
        <w:t xml:space="preserve"> </w:t>
      </w:r>
      <w:proofErr w:type="gramStart"/>
      <w:r w:rsidRPr="00453DDA">
        <w:t>Controlling shareholders and board composition.</w:t>
      </w:r>
      <w:proofErr w:type="gramEnd"/>
      <w:r w:rsidRPr="00453DDA">
        <w:t xml:space="preserve"> </w:t>
      </w:r>
      <w:r w:rsidRPr="00FF4376">
        <w:rPr>
          <w:i/>
        </w:rPr>
        <w:t xml:space="preserve">Journal of Banking </w:t>
      </w:r>
      <w:r w:rsidR="00374D8C" w:rsidRPr="00FF4376">
        <w:rPr>
          <w:i/>
        </w:rPr>
        <w:t xml:space="preserve">and </w:t>
      </w:r>
      <w:r w:rsidRPr="00FF4376">
        <w:rPr>
          <w:i/>
        </w:rPr>
        <w:t>Finance</w:t>
      </w:r>
      <w:r w:rsidRPr="00453DDA">
        <w:t>, 29(7), 1857-1885.</w:t>
      </w:r>
    </w:p>
    <w:p w:rsidR="003B418C" w:rsidRPr="003B5716" w:rsidRDefault="003B418C" w:rsidP="00FC692F">
      <w:pPr>
        <w:spacing w:line="480" w:lineRule="auto"/>
        <w:ind w:left="567" w:hanging="567"/>
        <w:jc w:val="both"/>
      </w:pPr>
      <w:proofErr w:type="gramStart"/>
      <w:r w:rsidRPr="00453DDA">
        <w:t>Zahra, S., Jennings, D.</w:t>
      </w:r>
      <w:r w:rsidR="003B056C" w:rsidRPr="00453DDA">
        <w:t xml:space="preserve"> &amp;</w:t>
      </w:r>
      <w:r w:rsidRPr="00453DDA">
        <w:t xml:space="preserve"> </w:t>
      </w:r>
      <w:proofErr w:type="spellStart"/>
      <w:r w:rsidRPr="00453DDA">
        <w:t>Kuratko</w:t>
      </w:r>
      <w:proofErr w:type="spellEnd"/>
      <w:r w:rsidRPr="00453DDA">
        <w:t xml:space="preserve">, D. </w:t>
      </w:r>
      <w:r w:rsidR="004C07AF" w:rsidRPr="00453DDA">
        <w:t>(</w:t>
      </w:r>
      <w:r w:rsidRPr="00453DDA">
        <w:t>19</w:t>
      </w:r>
      <w:r w:rsidR="002A4EF5" w:rsidRPr="00453DDA">
        <w:t>99</w:t>
      </w:r>
      <w:r w:rsidR="004C07AF" w:rsidRPr="00453DDA">
        <w:t>)</w:t>
      </w:r>
      <w:r w:rsidR="002A4EF5" w:rsidRPr="00453DDA">
        <w:t>.</w:t>
      </w:r>
      <w:proofErr w:type="gramEnd"/>
      <w:r w:rsidRPr="00453DDA">
        <w:t xml:space="preserve"> The antecedents and consequences of firm-level entrepreneurship: The state of the field. </w:t>
      </w:r>
      <w:r w:rsidRPr="00453DDA">
        <w:rPr>
          <w:i/>
        </w:rPr>
        <w:t>Entrepreneu</w:t>
      </w:r>
      <w:r w:rsidR="002A4EF5" w:rsidRPr="00453DDA">
        <w:rPr>
          <w:i/>
        </w:rPr>
        <w:t>rship Theory &amp; Practice</w:t>
      </w:r>
      <w:r w:rsidR="007F25D6" w:rsidRPr="00453DDA">
        <w:rPr>
          <w:i/>
        </w:rPr>
        <w:t>,</w:t>
      </w:r>
      <w:r w:rsidR="002A4EF5" w:rsidRPr="00453DDA">
        <w:t xml:space="preserve"> 24(2)</w:t>
      </w:r>
      <w:r w:rsidR="003B056C" w:rsidRPr="00453DDA">
        <w:t>:</w:t>
      </w:r>
      <w:r w:rsidR="007F25D6" w:rsidRPr="00453DDA">
        <w:t xml:space="preserve"> </w:t>
      </w:r>
      <w:r w:rsidRPr="00453DDA">
        <w:t>45–65.</w:t>
      </w:r>
    </w:p>
    <w:p w:rsidR="00101984" w:rsidRPr="003B5716" w:rsidRDefault="0094196D" w:rsidP="00101984">
      <w:pPr>
        <w:rPr>
          <w:sz w:val="22"/>
          <w:szCs w:val="22"/>
        </w:rPr>
      </w:pPr>
      <w:r w:rsidRPr="003B5716">
        <w:rPr>
          <w:sz w:val="22"/>
          <w:szCs w:val="22"/>
        </w:rPr>
        <w:br w:type="page"/>
      </w:r>
    </w:p>
    <w:p w:rsidR="005B5AA0" w:rsidRPr="003B5716" w:rsidRDefault="005B5AA0" w:rsidP="00101984">
      <w:pPr>
        <w:rPr>
          <w:sz w:val="22"/>
          <w:szCs w:val="22"/>
        </w:rPr>
      </w:pPr>
      <w:r w:rsidRPr="003B5716">
        <w:rPr>
          <w:b/>
          <w:sz w:val="22"/>
          <w:szCs w:val="22"/>
        </w:rPr>
        <w:lastRenderedPageBreak/>
        <w:t>Table 1</w:t>
      </w:r>
    </w:p>
    <w:p w:rsidR="00101984" w:rsidRPr="003B5716" w:rsidRDefault="00101984" w:rsidP="00150DCE">
      <w:pPr>
        <w:rPr>
          <w:b/>
          <w:sz w:val="22"/>
          <w:szCs w:val="22"/>
        </w:rPr>
      </w:pPr>
    </w:p>
    <w:p w:rsidR="005B5AA0" w:rsidRPr="003B5716" w:rsidRDefault="005B5AA0" w:rsidP="00150DCE">
      <w:pPr>
        <w:rPr>
          <w:b/>
          <w:sz w:val="22"/>
          <w:szCs w:val="22"/>
        </w:rPr>
      </w:pPr>
      <w:r w:rsidRPr="003B5716">
        <w:rPr>
          <w:b/>
          <w:sz w:val="22"/>
          <w:szCs w:val="22"/>
        </w:rPr>
        <w:t>Distribution of observations by category</w:t>
      </w:r>
    </w:p>
    <w:tbl>
      <w:tblPr>
        <w:tblStyle w:val="TableSimple1"/>
        <w:tblW w:w="9039" w:type="dxa"/>
        <w:tblLayout w:type="fixed"/>
        <w:tblLook w:val="01E0"/>
      </w:tblPr>
      <w:tblGrid>
        <w:gridCol w:w="3936"/>
        <w:gridCol w:w="3402"/>
        <w:gridCol w:w="1701"/>
      </w:tblGrid>
      <w:tr w:rsidR="005B5AA0" w:rsidRPr="003B5716" w:rsidTr="00150DCE">
        <w:trPr>
          <w:cnfStyle w:val="100000000000"/>
        </w:trPr>
        <w:tc>
          <w:tcPr>
            <w:tcW w:w="3936" w:type="dxa"/>
            <w:tcBorders>
              <w:top w:val="single" w:sz="4" w:space="0" w:color="000000" w:themeColor="text1"/>
              <w:bottom w:val="single" w:sz="4" w:space="0" w:color="000000" w:themeColor="text1"/>
            </w:tcBorders>
          </w:tcPr>
          <w:p w:rsidR="005B5AA0" w:rsidRPr="003B5716" w:rsidRDefault="005B5AA0" w:rsidP="00150DCE">
            <w:pPr>
              <w:jc w:val="both"/>
              <w:rPr>
                <w:sz w:val="22"/>
                <w:szCs w:val="22"/>
              </w:rPr>
            </w:pPr>
          </w:p>
        </w:tc>
        <w:tc>
          <w:tcPr>
            <w:tcW w:w="3402" w:type="dxa"/>
            <w:tcBorders>
              <w:top w:val="single" w:sz="4" w:space="0" w:color="000000" w:themeColor="text1"/>
              <w:bottom w:val="single" w:sz="4" w:space="0" w:color="000000" w:themeColor="text1"/>
            </w:tcBorders>
          </w:tcPr>
          <w:p w:rsidR="005B5AA0" w:rsidRPr="003B5716" w:rsidRDefault="005B5AA0" w:rsidP="00150DCE">
            <w:pPr>
              <w:jc w:val="center"/>
              <w:rPr>
                <w:sz w:val="22"/>
                <w:szCs w:val="22"/>
              </w:rPr>
            </w:pPr>
            <w:r w:rsidRPr="003B5716">
              <w:rPr>
                <w:sz w:val="22"/>
                <w:szCs w:val="22"/>
              </w:rPr>
              <w:t>No. of observations</w:t>
            </w:r>
          </w:p>
        </w:tc>
        <w:tc>
          <w:tcPr>
            <w:tcW w:w="1701" w:type="dxa"/>
            <w:tcBorders>
              <w:top w:val="single" w:sz="4" w:space="0" w:color="000000" w:themeColor="text1"/>
              <w:bottom w:val="single" w:sz="4" w:space="0" w:color="000000" w:themeColor="text1"/>
            </w:tcBorders>
          </w:tcPr>
          <w:p w:rsidR="005B5AA0" w:rsidRPr="003B5716" w:rsidRDefault="005B5AA0" w:rsidP="00150DCE">
            <w:pPr>
              <w:jc w:val="center"/>
              <w:rPr>
                <w:sz w:val="22"/>
                <w:szCs w:val="22"/>
              </w:rPr>
            </w:pPr>
            <w:r w:rsidRPr="003B5716">
              <w:rPr>
                <w:sz w:val="22"/>
                <w:szCs w:val="22"/>
              </w:rPr>
              <w:t>%</w:t>
            </w:r>
          </w:p>
        </w:tc>
      </w:tr>
      <w:tr w:rsidR="005B5AA0" w:rsidRPr="003B5716" w:rsidTr="00150DCE">
        <w:tc>
          <w:tcPr>
            <w:tcW w:w="9039" w:type="dxa"/>
            <w:gridSpan w:val="3"/>
            <w:tcBorders>
              <w:top w:val="single" w:sz="4" w:space="0" w:color="000000" w:themeColor="text1"/>
            </w:tcBorders>
          </w:tcPr>
          <w:p w:rsidR="005B5AA0" w:rsidRPr="003B5716" w:rsidRDefault="005B5AA0" w:rsidP="00150DCE">
            <w:pPr>
              <w:jc w:val="both"/>
              <w:rPr>
                <w:sz w:val="22"/>
                <w:szCs w:val="22"/>
              </w:rPr>
            </w:pPr>
            <w:r w:rsidRPr="003B5716">
              <w:rPr>
                <w:b/>
                <w:sz w:val="22"/>
                <w:szCs w:val="22"/>
              </w:rPr>
              <w:t>Panel A: Controllers</w:t>
            </w:r>
          </w:p>
        </w:tc>
      </w:tr>
      <w:tr w:rsidR="005B5AA0" w:rsidRPr="003B5716" w:rsidTr="00AD252F">
        <w:tc>
          <w:tcPr>
            <w:tcW w:w="3936" w:type="dxa"/>
          </w:tcPr>
          <w:p w:rsidR="005B5AA0" w:rsidRPr="003B5716" w:rsidRDefault="005B5AA0" w:rsidP="00150DCE">
            <w:pPr>
              <w:jc w:val="both"/>
              <w:rPr>
                <w:sz w:val="22"/>
                <w:szCs w:val="22"/>
              </w:rPr>
            </w:pPr>
            <w:r w:rsidRPr="003B5716">
              <w:rPr>
                <w:sz w:val="22"/>
                <w:szCs w:val="22"/>
              </w:rPr>
              <w:t>Sample size</w:t>
            </w:r>
          </w:p>
        </w:tc>
        <w:tc>
          <w:tcPr>
            <w:tcW w:w="3402" w:type="dxa"/>
          </w:tcPr>
          <w:p w:rsidR="005B5AA0" w:rsidRPr="003B5716" w:rsidRDefault="007A7794" w:rsidP="002B65D7">
            <w:pPr>
              <w:jc w:val="center"/>
              <w:rPr>
                <w:sz w:val="22"/>
                <w:szCs w:val="22"/>
              </w:rPr>
            </w:pPr>
            <w:r>
              <w:rPr>
                <w:sz w:val="22"/>
                <w:szCs w:val="22"/>
              </w:rPr>
              <w:t>87</w:t>
            </w:r>
            <w:r w:rsidR="002B65D7">
              <w:rPr>
                <w:sz w:val="22"/>
                <w:szCs w:val="22"/>
              </w:rPr>
              <w:t>4</w:t>
            </w:r>
          </w:p>
        </w:tc>
        <w:tc>
          <w:tcPr>
            <w:tcW w:w="1701" w:type="dxa"/>
          </w:tcPr>
          <w:p w:rsidR="005B5AA0" w:rsidRPr="003B5716" w:rsidRDefault="005B5AA0" w:rsidP="00150DCE">
            <w:pPr>
              <w:jc w:val="center"/>
              <w:rPr>
                <w:sz w:val="22"/>
                <w:szCs w:val="22"/>
              </w:rPr>
            </w:pPr>
            <w:r w:rsidRPr="003B5716">
              <w:rPr>
                <w:sz w:val="22"/>
                <w:szCs w:val="22"/>
              </w:rPr>
              <w:t>100</w:t>
            </w:r>
            <w:r w:rsidR="002B65D7">
              <w:rPr>
                <w:sz w:val="22"/>
                <w:szCs w:val="22"/>
              </w:rPr>
              <w:t>.0</w:t>
            </w:r>
          </w:p>
        </w:tc>
      </w:tr>
      <w:tr w:rsidR="00B53DB3" w:rsidRPr="003B5716" w:rsidTr="00AD252F">
        <w:tc>
          <w:tcPr>
            <w:tcW w:w="3936" w:type="dxa"/>
          </w:tcPr>
          <w:p w:rsidR="00B53DB3" w:rsidRPr="003B5716" w:rsidRDefault="00B53DB3" w:rsidP="00150DCE">
            <w:pPr>
              <w:jc w:val="both"/>
              <w:rPr>
                <w:sz w:val="22"/>
                <w:szCs w:val="22"/>
              </w:rPr>
            </w:pPr>
            <w:r w:rsidRPr="003B5716">
              <w:rPr>
                <w:sz w:val="22"/>
                <w:szCs w:val="22"/>
              </w:rPr>
              <w:t>Widely held</w:t>
            </w:r>
          </w:p>
        </w:tc>
        <w:tc>
          <w:tcPr>
            <w:tcW w:w="3402" w:type="dxa"/>
          </w:tcPr>
          <w:p w:rsidR="00B53DB3" w:rsidRPr="003B5716" w:rsidRDefault="002B65D7" w:rsidP="002B65D7">
            <w:pPr>
              <w:jc w:val="center"/>
              <w:rPr>
                <w:sz w:val="22"/>
                <w:szCs w:val="22"/>
              </w:rPr>
            </w:pPr>
            <w:r>
              <w:rPr>
                <w:sz w:val="22"/>
                <w:szCs w:val="22"/>
              </w:rPr>
              <w:t>131</w:t>
            </w:r>
          </w:p>
        </w:tc>
        <w:tc>
          <w:tcPr>
            <w:tcW w:w="1701" w:type="dxa"/>
          </w:tcPr>
          <w:p w:rsidR="00B53DB3" w:rsidRPr="003B5716" w:rsidRDefault="006F2CCA" w:rsidP="00150DCE">
            <w:pPr>
              <w:jc w:val="center"/>
              <w:rPr>
                <w:sz w:val="22"/>
                <w:szCs w:val="22"/>
              </w:rPr>
            </w:pPr>
            <w:r w:rsidRPr="00610A2E">
              <w:rPr>
                <w:sz w:val="22"/>
                <w:szCs w:val="22"/>
              </w:rPr>
              <w:t xml:space="preserve"> </w:t>
            </w:r>
            <w:r w:rsidR="002B65D7">
              <w:rPr>
                <w:sz w:val="22"/>
                <w:szCs w:val="22"/>
              </w:rPr>
              <w:t>15.0</w:t>
            </w:r>
            <w:r w:rsidRPr="00610A2E">
              <w:rPr>
                <w:sz w:val="22"/>
                <w:szCs w:val="22"/>
              </w:rPr>
              <w:t xml:space="preserve"> </w:t>
            </w:r>
          </w:p>
        </w:tc>
      </w:tr>
      <w:tr w:rsidR="00B53DB3" w:rsidRPr="003B5716" w:rsidTr="00AD252F">
        <w:tc>
          <w:tcPr>
            <w:tcW w:w="3936" w:type="dxa"/>
          </w:tcPr>
          <w:p w:rsidR="00B53DB3" w:rsidRPr="003B5716" w:rsidRDefault="00B53DB3" w:rsidP="00150DCE">
            <w:pPr>
              <w:jc w:val="both"/>
              <w:rPr>
                <w:sz w:val="22"/>
                <w:szCs w:val="22"/>
              </w:rPr>
            </w:pPr>
            <w:r w:rsidRPr="003B5716">
              <w:rPr>
                <w:sz w:val="22"/>
                <w:szCs w:val="22"/>
              </w:rPr>
              <w:t>Family of which:</w:t>
            </w:r>
          </w:p>
        </w:tc>
        <w:tc>
          <w:tcPr>
            <w:tcW w:w="3402" w:type="dxa"/>
          </w:tcPr>
          <w:p w:rsidR="00B53DB3" w:rsidRPr="003B5716" w:rsidRDefault="002A7C31" w:rsidP="002A7C31">
            <w:pPr>
              <w:jc w:val="center"/>
              <w:rPr>
                <w:sz w:val="22"/>
                <w:szCs w:val="22"/>
              </w:rPr>
            </w:pPr>
            <w:r>
              <w:rPr>
                <w:sz w:val="22"/>
                <w:szCs w:val="22"/>
              </w:rPr>
              <w:t>66</w:t>
            </w:r>
            <w:r w:rsidR="002B65D7">
              <w:rPr>
                <w:sz w:val="22"/>
                <w:szCs w:val="22"/>
              </w:rPr>
              <w:t>6</w:t>
            </w:r>
          </w:p>
        </w:tc>
        <w:tc>
          <w:tcPr>
            <w:tcW w:w="1701" w:type="dxa"/>
          </w:tcPr>
          <w:p w:rsidR="00B53DB3" w:rsidRPr="003B5716" w:rsidRDefault="002A7C31" w:rsidP="00150DCE">
            <w:pPr>
              <w:jc w:val="center"/>
              <w:rPr>
                <w:sz w:val="22"/>
                <w:szCs w:val="22"/>
              </w:rPr>
            </w:pPr>
            <w:r>
              <w:rPr>
                <w:sz w:val="22"/>
                <w:szCs w:val="22"/>
              </w:rPr>
              <w:t>76</w:t>
            </w:r>
            <w:r w:rsidR="002B65D7">
              <w:rPr>
                <w:sz w:val="22"/>
                <w:szCs w:val="22"/>
              </w:rPr>
              <w:t>.2</w:t>
            </w:r>
          </w:p>
        </w:tc>
      </w:tr>
      <w:tr w:rsidR="00B53DB3" w:rsidRPr="003B5716" w:rsidTr="00AD252F">
        <w:tc>
          <w:tcPr>
            <w:tcW w:w="3936" w:type="dxa"/>
          </w:tcPr>
          <w:p w:rsidR="00B53DB3" w:rsidRPr="003B5716" w:rsidRDefault="00B53DB3" w:rsidP="00150DCE">
            <w:pPr>
              <w:jc w:val="both"/>
              <w:rPr>
                <w:i/>
                <w:sz w:val="22"/>
                <w:szCs w:val="22"/>
              </w:rPr>
            </w:pPr>
            <w:r w:rsidRPr="003B5716">
              <w:rPr>
                <w:i/>
                <w:sz w:val="22"/>
                <w:szCs w:val="22"/>
              </w:rPr>
              <w:t>Family minority-owned (20-49%)</w:t>
            </w:r>
          </w:p>
        </w:tc>
        <w:tc>
          <w:tcPr>
            <w:tcW w:w="3402" w:type="dxa"/>
          </w:tcPr>
          <w:p w:rsidR="00B53DB3" w:rsidRPr="003B5716" w:rsidRDefault="002B65D7" w:rsidP="002B65D7">
            <w:pPr>
              <w:jc w:val="center"/>
              <w:rPr>
                <w:sz w:val="22"/>
                <w:szCs w:val="22"/>
              </w:rPr>
            </w:pPr>
            <w:r>
              <w:rPr>
                <w:sz w:val="22"/>
                <w:szCs w:val="22"/>
              </w:rPr>
              <w:t>244</w:t>
            </w:r>
          </w:p>
        </w:tc>
        <w:tc>
          <w:tcPr>
            <w:tcW w:w="1701" w:type="dxa"/>
          </w:tcPr>
          <w:p w:rsidR="00B53DB3" w:rsidRPr="003B5716" w:rsidRDefault="006F2CCA" w:rsidP="002B65D7">
            <w:pPr>
              <w:jc w:val="center"/>
              <w:rPr>
                <w:sz w:val="22"/>
                <w:szCs w:val="22"/>
              </w:rPr>
            </w:pPr>
            <w:r w:rsidRPr="00610A2E">
              <w:rPr>
                <w:sz w:val="22"/>
                <w:szCs w:val="22"/>
              </w:rPr>
              <w:t xml:space="preserve"> </w:t>
            </w:r>
            <w:r w:rsidR="002B65D7">
              <w:rPr>
                <w:sz w:val="22"/>
                <w:szCs w:val="22"/>
              </w:rPr>
              <w:t>27.9</w:t>
            </w:r>
          </w:p>
        </w:tc>
      </w:tr>
      <w:tr w:rsidR="00B53DB3" w:rsidRPr="003B5716" w:rsidTr="00AD252F">
        <w:tc>
          <w:tcPr>
            <w:tcW w:w="3936" w:type="dxa"/>
          </w:tcPr>
          <w:p w:rsidR="00B53DB3" w:rsidRPr="003B5716" w:rsidRDefault="00B53DB3" w:rsidP="00150DCE">
            <w:pPr>
              <w:jc w:val="both"/>
              <w:rPr>
                <w:sz w:val="22"/>
                <w:szCs w:val="22"/>
              </w:rPr>
            </w:pPr>
            <w:r w:rsidRPr="003B5716">
              <w:rPr>
                <w:i/>
                <w:sz w:val="22"/>
                <w:szCs w:val="22"/>
              </w:rPr>
              <w:t>Family majority-owned (&gt; 50%)</w:t>
            </w:r>
          </w:p>
        </w:tc>
        <w:tc>
          <w:tcPr>
            <w:tcW w:w="3402" w:type="dxa"/>
          </w:tcPr>
          <w:p w:rsidR="00B53DB3" w:rsidRPr="003B5716" w:rsidRDefault="002B65D7" w:rsidP="00150DCE">
            <w:pPr>
              <w:jc w:val="center"/>
              <w:rPr>
                <w:sz w:val="22"/>
                <w:szCs w:val="22"/>
              </w:rPr>
            </w:pPr>
            <w:r>
              <w:rPr>
                <w:sz w:val="22"/>
                <w:szCs w:val="22"/>
              </w:rPr>
              <w:t>319</w:t>
            </w:r>
          </w:p>
        </w:tc>
        <w:tc>
          <w:tcPr>
            <w:tcW w:w="1701" w:type="dxa"/>
          </w:tcPr>
          <w:p w:rsidR="00B53DB3" w:rsidRPr="003B5716" w:rsidRDefault="006F2CCA" w:rsidP="002B65D7">
            <w:pPr>
              <w:jc w:val="center"/>
              <w:rPr>
                <w:sz w:val="22"/>
                <w:szCs w:val="22"/>
              </w:rPr>
            </w:pPr>
            <w:r w:rsidRPr="00610A2E">
              <w:rPr>
                <w:sz w:val="22"/>
                <w:szCs w:val="22"/>
              </w:rPr>
              <w:t xml:space="preserve"> </w:t>
            </w:r>
            <w:r w:rsidR="002B65D7">
              <w:rPr>
                <w:sz w:val="22"/>
                <w:szCs w:val="22"/>
              </w:rPr>
              <w:t>36.</w:t>
            </w:r>
            <w:r w:rsidR="00B53DB3" w:rsidRPr="003B5716">
              <w:rPr>
                <w:sz w:val="22"/>
                <w:szCs w:val="22"/>
              </w:rPr>
              <w:t>5</w:t>
            </w:r>
          </w:p>
        </w:tc>
      </w:tr>
      <w:tr w:rsidR="00B53DB3" w:rsidRPr="003B5716" w:rsidTr="00AD252F">
        <w:tc>
          <w:tcPr>
            <w:tcW w:w="3936" w:type="dxa"/>
          </w:tcPr>
          <w:p w:rsidR="00366565" w:rsidRDefault="00B53DB3" w:rsidP="00610A2E">
            <w:pPr>
              <w:jc w:val="center"/>
              <w:rPr>
                <w:i/>
                <w:sz w:val="22"/>
                <w:szCs w:val="22"/>
              </w:rPr>
            </w:pPr>
            <w:r w:rsidRPr="003B5716">
              <w:rPr>
                <w:i/>
                <w:sz w:val="22"/>
                <w:szCs w:val="22"/>
              </w:rPr>
              <w:t>Family voting trust</w:t>
            </w:r>
          </w:p>
        </w:tc>
        <w:tc>
          <w:tcPr>
            <w:tcW w:w="3402" w:type="dxa"/>
          </w:tcPr>
          <w:p w:rsidR="00B53DB3" w:rsidRPr="003B5716" w:rsidRDefault="00B53DB3" w:rsidP="00150DCE">
            <w:pPr>
              <w:jc w:val="center"/>
              <w:rPr>
                <w:sz w:val="22"/>
                <w:szCs w:val="22"/>
              </w:rPr>
            </w:pPr>
            <w:r w:rsidRPr="003B5716">
              <w:rPr>
                <w:sz w:val="22"/>
                <w:szCs w:val="22"/>
              </w:rPr>
              <w:t>6</w:t>
            </w:r>
            <w:r>
              <w:rPr>
                <w:sz w:val="22"/>
                <w:szCs w:val="22"/>
              </w:rPr>
              <w:t>5</w:t>
            </w:r>
          </w:p>
        </w:tc>
        <w:tc>
          <w:tcPr>
            <w:tcW w:w="1701" w:type="dxa"/>
          </w:tcPr>
          <w:p w:rsidR="00B53DB3" w:rsidRPr="003B5716" w:rsidRDefault="002B65D7" w:rsidP="00B53DB3">
            <w:pPr>
              <w:jc w:val="center"/>
              <w:rPr>
                <w:sz w:val="22"/>
                <w:szCs w:val="22"/>
              </w:rPr>
            </w:pPr>
            <w:r>
              <w:rPr>
                <w:sz w:val="22"/>
                <w:szCs w:val="22"/>
              </w:rPr>
              <w:t xml:space="preserve"> 9.5</w:t>
            </w:r>
          </w:p>
        </w:tc>
      </w:tr>
      <w:tr w:rsidR="00B53DB3" w:rsidRPr="003B5716" w:rsidTr="00AD252F">
        <w:tc>
          <w:tcPr>
            <w:tcW w:w="3936" w:type="dxa"/>
          </w:tcPr>
          <w:p w:rsidR="00B53DB3" w:rsidRPr="003B5716" w:rsidRDefault="00B53DB3" w:rsidP="00150DCE">
            <w:pPr>
              <w:jc w:val="both"/>
              <w:rPr>
                <w:sz w:val="22"/>
                <w:szCs w:val="22"/>
              </w:rPr>
            </w:pPr>
            <w:r w:rsidRPr="003B5716">
              <w:rPr>
                <w:sz w:val="22"/>
                <w:szCs w:val="22"/>
              </w:rPr>
              <w:t>Non-family (voting trust; foreign; state)</w:t>
            </w:r>
          </w:p>
        </w:tc>
        <w:tc>
          <w:tcPr>
            <w:tcW w:w="3402" w:type="dxa"/>
          </w:tcPr>
          <w:p w:rsidR="00B53DB3" w:rsidRPr="003B5716" w:rsidRDefault="00770BEA" w:rsidP="00150DCE">
            <w:pPr>
              <w:jc w:val="center"/>
              <w:rPr>
                <w:sz w:val="22"/>
                <w:szCs w:val="22"/>
              </w:rPr>
            </w:pPr>
            <w:r>
              <w:rPr>
                <w:sz w:val="22"/>
                <w:szCs w:val="22"/>
              </w:rPr>
              <w:t>77</w:t>
            </w:r>
          </w:p>
        </w:tc>
        <w:tc>
          <w:tcPr>
            <w:tcW w:w="1701" w:type="dxa"/>
          </w:tcPr>
          <w:p w:rsidR="00B53DB3" w:rsidRPr="003B5716" w:rsidRDefault="002B65D7" w:rsidP="00B53DB3">
            <w:pPr>
              <w:jc w:val="center"/>
              <w:rPr>
                <w:sz w:val="22"/>
                <w:szCs w:val="22"/>
              </w:rPr>
            </w:pPr>
            <w:r>
              <w:rPr>
                <w:sz w:val="22"/>
                <w:szCs w:val="22"/>
              </w:rPr>
              <w:t>8.8</w:t>
            </w:r>
          </w:p>
        </w:tc>
      </w:tr>
      <w:tr w:rsidR="00F85604" w:rsidRPr="003B5716" w:rsidTr="00AD252F">
        <w:tc>
          <w:tcPr>
            <w:tcW w:w="9039" w:type="dxa"/>
            <w:gridSpan w:val="3"/>
          </w:tcPr>
          <w:p w:rsidR="00F85604" w:rsidRPr="003B5716" w:rsidRDefault="00F85604" w:rsidP="00150DCE">
            <w:pPr>
              <w:rPr>
                <w:sz w:val="22"/>
                <w:szCs w:val="22"/>
              </w:rPr>
            </w:pPr>
            <w:r w:rsidRPr="003B5716">
              <w:rPr>
                <w:b/>
                <w:sz w:val="22"/>
                <w:szCs w:val="22"/>
              </w:rPr>
              <w:t>Panel B: Control mechanisms (CEM)</w:t>
            </w:r>
          </w:p>
        </w:tc>
      </w:tr>
      <w:tr w:rsidR="00B53DB3" w:rsidRPr="003B5716" w:rsidTr="00610A2E">
        <w:tc>
          <w:tcPr>
            <w:tcW w:w="3936" w:type="dxa"/>
          </w:tcPr>
          <w:p w:rsidR="00B53DB3" w:rsidRPr="003B5716" w:rsidRDefault="00B53DB3" w:rsidP="00150DCE">
            <w:pPr>
              <w:jc w:val="both"/>
              <w:rPr>
                <w:sz w:val="22"/>
                <w:szCs w:val="22"/>
              </w:rPr>
            </w:pPr>
            <w:r w:rsidRPr="003B5716">
              <w:rPr>
                <w:sz w:val="22"/>
                <w:szCs w:val="22"/>
              </w:rPr>
              <w:t>No. of firms with at least one CEM</w:t>
            </w:r>
          </w:p>
        </w:tc>
        <w:tc>
          <w:tcPr>
            <w:tcW w:w="3402" w:type="dxa"/>
          </w:tcPr>
          <w:p w:rsidR="00B53DB3" w:rsidRPr="003B5716" w:rsidRDefault="00B53DB3" w:rsidP="00150DCE">
            <w:pPr>
              <w:jc w:val="center"/>
              <w:rPr>
                <w:sz w:val="22"/>
                <w:szCs w:val="22"/>
              </w:rPr>
            </w:pPr>
            <w:r>
              <w:rPr>
                <w:sz w:val="22"/>
                <w:szCs w:val="22"/>
              </w:rPr>
              <w:t>543</w:t>
            </w:r>
          </w:p>
        </w:tc>
        <w:tc>
          <w:tcPr>
            <w:tcW w:w="1701" w:type="dxa"/>
            <w:vAlign w:val="bottom"/>
          </w:tcPr>
          <w:p w:rsidR="00B53DB3" w:rsidRPr="003B5716" w:rsidRDefault="006F2CCA" w:rsidP="00150DCE">
            <w:pPr>
              <w:jc w:val="center"/>
              <w:rPr>
                <w:sz w:val="22"/>
                <w:szCs w:val="22"/>
              </w:rPr>
            </w:pPr>
            <w:r w:rsidRPr="00610A2E">
              <w:rPr>
                <w:sz w:val="22"/>
                <w:szCs w:val="22"/>
              </w:rPr>
              <w:t xml:space="preserve">62 </w:t>
            </w:r>
          </w:p>
        </w:tc>
      </w:tr>
      <w:tr w:rsidR="00B53DB3" w:rsidRPr="003B5716" w:rsidTr="00610A2E">
        <w:tc>
          <w:tcPr>
            <w:tcW w:w="3936" w:type="dxa"/>
            <w:tcBorders>
              <w:bottom w:val="nil"/>
            </w:tcBorders>
          </w:tcPr>
          <w:p w:rsidR="00B53DB3" w:rsidRPr="003B5716" w:rsidRDefault="00B53DB3" w:rsidP="00150DCE">
            <w:pPr>
              <w:jc w:val="both"/>
              <w:rPr>
                <w:sz w:val="22"/>
                <w:szCs w:val="22"/>
              </w:rPr>
            </w:pPr>
            <w:r w:rsidRPr="003B5716">
              <w:rPr>
                <w:sz w:val="22"/>
                <w:szCs w:val="22"/>
              </w:rPr>
              <w:t>Pyramids</w:t>
            </w:r>
          </w:p>
        </w:tc>
        <w:tc>
          <w:tcPr>
            <w:tcW w:w="3402" w:type="dxa"/>
            <w:tcBorders>
              <w:bottom w:val="nil"/>
            </w:tcBorders>
          </w:tcPr>
          <w:p w:rsidR="00B53DB3" w:rsidRPr="003B5716" w:rsidRDefault="00B53DB3" w:rsidP="00B53DB3">
            <w:pPr>
              <w:jc w:val="center"/>
              <w:rPr>
                <w:sz w:val="22"/>
                <w:szCs w:val="22"/>
              </w:rPr>
            </w:pPr>
            <w:r w:rsidRPr="003B5716">
              <w:rPr>
                <w:sz w:val="22"/>
                <w:szCs w:val="22"/>
              </w:rPr>
              <w:t>1</w:t>
            </w:r>
            <w:r>
              <w:rPr>
                <w:sz w:val="22"/>
                <w:szCs w:val="22"/>
              </w:rPr>
              <w:t>56</w:t>
            </w:r>
          </w:p>
        </w:tc>
        <w:tc>
          <w:tcPr>
            <w:tcW w:w="1701" w:type="dxa"/>
            <w:tcBorders>
              <w:bottom w:val="nil"/>
            </w:tcBorders>
            <w:vAlign w:val="bottom"/>
          </w:tcPr>
          <w:p w:rsidR="00B53DB3" w:rsidRPr="003B5716" w:rsidRDefault="006F2CCA" w:rsidP="00150DCE">
            <w:pPr>
              <w:jc w:val="center"/>
              <w:rPr>
                <w:sz w:val="22"/>
                <w:szCs w:val="22"/>
              </w:rPr>
            </w:pPr>
            <w:r w:rsidRPr="00610A2E">
              <w:rPr>
                <w:sz w:val="22"/>
                <w:szCs w:val="22"/>
              </w:rPr>
              <w:t xml:space="preserve">18 </w:t>
            </w:r>
          </w:p>
        </w:tc>
      </w:tr>
      <w:tr w:rsidR="00B53DB3" w:rsidRPr="003B5716" w:rsidTr="00610A2E">
        <w:tc>
          <w:tcPr>
            <w:tcW w:w="3936" w:type="dxa"/>
            <w:tcBorders>
              <w:top w:val="nil"/>
              <w:bottom w:val="nil"/>
            </w:tcBorders>
          </w:tcPr>
          <w:p w:rsidR="00B53DB3" w:rsidRPr="003B5716" w:rsidRDefault="00B53DB3" w:rsidP="00150DCE">
            <w:pPr>
              <w:jc w:val="both"/>
              <w:rPr>
                <w:sz w:val="22"/>
                <w:szCs w:val="22"/>
              </w:rPr>
            </w:pPr>
            <w:r w:rsidRPr="003B5716">
              <w:rPr>
                <w:sz w:val="22"/>
                <w:szCs w:val="22"/>
              </w:rPr>
              <w:t>Multiple control chains</w:t>
            </w:r>
          </w:p>
        </w:tc>
        <w:tc>
          <w:tcPr>
            <w:tcW w:w="3402" w:type="dxa"/>
            <w:tcBorders>
              <w:top w:val="nil"/>
              <w:bottom w:val="nil"/>
            </w:tcBorders>
          </w:tcPr>
          <w:p w:rsidR="00B53DB3" w:rsidRPr="003B5716" w:rsidRDefault="00B53DB3" w:rsidP="00150DCE">
            <w:pPr>
              <w:jc w:val="center"/>
              <w:rPr>
                <w:sz w:val="22"/>
                <w:szCs w:val="22"/>
              </w:rPr>
            </w:pPr>
            <w:r>
              <w:rPr>
                <w:sz w:val="22"/>
                <w:szCs w:val="22"/>
              </w:rPr>
              <w:t>384</w:t>
            </w:r>
          </w:p>
        </w:tc>
        <w:tc>
          <w:tcPr>
            <w:tcW w:w="1701" w:type="dxa"/>
            <w:tcBorders>
              <w:top w:val="nil"/>
              <w:bottom w:val="nil"/>
            </w:tcBorders>
            <w:vAlign w:val="bottom"/>
          </w:tcPr>
          <w:p w:rsidR="00B53DB3" w:rsidRPr="003B5716" w:rsidRDefault="006F2CCA" w:rsidP="00150DCE">
            <w:pPr>
              <w:jc w:val="center"/>
              <w:rPr>
                <w:sz w:val="22"/>
                <w:szCs w:val="22"/>
              </w:rPr>
            </w:pPr>
            <w:r w:rsidRPr="00610A2E">
              <w:rPr>
                <w:sz w:val="22"/>
                <w:szCs w:val="22"/>
              </w:rPr>
              <w:t xml:space="preserve">44 </w:t>
            </w:r>
          </w:p>
        </w:tc>
      </w:tr>
      <w:tr w:rsidR="00B53DB3" w:rsidRPr="003B5716" w:rsidTr="00610A2E">
        <w:tc>
          <w:tcPr>
            <w:tcW w:w="3936" w:type="dxa"/>
            <w:tcBorders>
              <w:top w:val="nil"/>
              <w:bottom w:val="nil"/>
            </w:tcBorders>
          </w:tcPr>
          <w:p w:rsidR="00B53DB3" w:rsidRPr="003B5716" w:rsidRDefault="00B53DB3" w:rsidP="00150DCE">
            <w:pPr>
              <w:jc w:val="both"/>
              <w:rPr>
                <w:sz w:val="22"/>
                <w:szCs w:val="22"/>
              </w:rPr>
            </w:pPr>
            <w:r w:rsidRPr="003B5716">
              <w:rPr>
                <w:sz w:val="22"/>
                <w:szCs w:val="22"/>
              </w:rPr>
              <w:t>Dual-class shares</w:t>
            </w:r>
          </w:p>
        </w:tc>
        <w:tc>
          <w:tcPr>
            <w:tcW w:w="3402" w:type="dxa"/>
            <w:tcBorders>
              <w:top w:val="nil"/>
              <w:bottom w:val="nil"/>
            </w:tcBorders>
          </w:tcPr>
          <w:p w:rsidR="00B53DB3" w:rsidRPr="003B5716" w:rsidRDefault="00B53DB3" w:rsidP="00150DCE">
            <w:pPr>
              <w:jc w:val="center"/>
              <w:rPr>
                <w:sz w:val="22"/>
                <w:szCs w:val="22"/>
              </w:rPr>
            </w:pPr>
            <w:r>
              <w:rPr>
                <w:sz w:val="22"/>
                <w:szCs w:val="22"/>
              </w:rPr>
              <w:t>151</w:t>
            </w:r>
          </w:p>
        </w:tc>
        <w:tc>
          <w:tcPr>
            <w:tcW w:w="1701" w:type="dxa"/>
            <w:tcBorders>
              <w:top w:val="nil"/>
              <w:bottom w:val="nil"/>
            </w:tcBorders>
            <w:vAlign w:val="bottom"/>
          </w:tcPr>
          <w:p w:rsidR="00B53DB3" w:rsidRPr="003B5716" w:rsidRDefault="006F2CCA" w:rsidP="00150DCE">
            <w:pPr>
              <w:jc w:val="center"/>
              <w:rPr>
                <w:sz w:val="22"/>
                <w:szCs w:val="22"/>
              </w:rPr>
            </w:pPr>
            <w:r w:rsidRPr="00610A2E">
              <w:rPr>
                <w:sz w:val="22"/>
                <w:szCs w:val="22"/>
              </w:rPr>
              <w:t xml:space="preserve">17 </w:t>
            </w:r>
          </w:p>
        </w:tc>
      </w:tr>
      <w:tr w:rsidR="00F85604" w:rsidRPr="003B5716" w:rsidTr="00AD252F">
        <w:tc>
          <w:tcPr>
            <w:tcW w:w="9039" w:type="dxa"/>
            <w:gridSpan w:val="3"/>
            <w:tcBorders>
              <w:top w:val="nil"/>
              <w:bottom w:val="nil"/>
            </w:tcBorders>
          </w:tcPr>
          <w:p w:rsidR="00F85604" w:rsidRPr="003B5716" w:rsidRDefault="00F85604" w:rsidP="00150DCE">
            <w:pPr>
              <w:rPr>
                <w:b/>
                <w:sz w:val="22"/>
                <w:szCs w:val="22"/>
              </w:rPr>
            </w:pPr>
            <w:r w:rsidRPr="003B5716">
              <w:rPr>
                <w:b/>
                <w:sz w:val="22"/>
                <w:szCs w:val="22"/>
              </w:rPr>
              <w:t>Panel C: Corporate Governance attributes on the composition of boards of directors (BD)</w:t>
            </w:r>
          </w:p>
        </w:tc>
      </w:tr>
      <w:tr w:rsidR="00B53DB3" w:rsidRPr="003B5716" w:rsidTr="00610A2E">
        <w:tc>
          <w:tcPr>
            <w:tcW w:w="3936" w:type="dxa"/>
            <w:tcBorders>
              <w:top w:val="nil"/>
              <w:bottom w:val="nil"/>
            </w:tcBorders>
          </w:tcPr>
          <w:p w:rsidR="00B53DB3" w:rsidRPr="003B5716" w:rsidRDefault="00B53DB3" w:rsidP="00150DCE">
            <w:pPr>
              <w:jc w:val="both"/>
              <w:rPr>
                <w:sz w:val="22"/>
                <w:szCs w:val="22"/>
              </w:rPr>
            </w:pPr>
            <w:r w:rsidRPr="003B5716">
              <w:rPr>
                <w:sz w:val="22"/>
                <w:szCs w:val="22"/>
              </w:rPr>
              <w:t>Non CEO-Chairman duality</w:t>
            </w:r>
          </w:p>
        </w:tc>
        <w:tc>
          <w:tcPr>
            <w:tcW w:w="3402" w:type="dxa"/>
            <w:tcBorders>
              <w:top w:val="nil"/>
              <w:bottom w:val="nil"/>
            </w:tcBorders>
          </w:tcPr>
          <w:p w:rsidR="00B53DB3" w:rsidRPr="003B5716" w:rsidRDefault="00B53DB3" w:rsidP="00150DCE">
            <w:pPr>
              <w:jc w:val="center"/>
              <w:rPr>
                <w:sz w:val="22"/>
                <w:szCs w:val="22"/>
              </w:rPr>
            </w:pPr>
            <w:r>
              <w:rPr>
                <w:sz w:val="22"/>
                <w:szCs w:val="22"/>
              </w:rPr>
              <w:t>539</w:t>
            </w:r>
          </w:p>
        </w:tc>
        <w:tc>
          <w:tcPr>
            <w:tcW w:w="1701" w:type="dxa"/>
            <w:tcBorders>
              <w:top w:val="nil"/>
              <w:bottom w:val="nil"/>
            </w:tcBorders>
            <w:vAlign w:val="bottom"/>
          </w:tcPr>
          <w:p w:rsidR="00B53DB3" w:rsidRPr="003B5716" w:rsidRDefault="006F2CCA" w:rsidP="00150DCE">
            <w:pPr>
              <w:jc w:val="center"/>
              <w:rPr>
                <w:sz w:val="22"/>
                <w:szCs w:val="22"/>
              </w:rPr>
            </w:pPr>
            <w:r w:rsidRPr="00610A2E">
              <w:rPr>
                <w:sz w:val="22"/>
                <w:szCs w:val="22"/>
              </w:rPr>
              <w:t xml:space="preserve">62 </w:t>
            </w:r>
          </w:p>
        </w:tc>
      </w:tr>
      <w:tr w:rsidR="00B53DB3" w:rsidRPr="003B5716" w:rsidTr="00610A2E">
        <w:tc>
          <w:tcPr>
            <w:tcW w:w="3936" w:type="dxa"/>
            <w:tcBorders>
              <w:top w:val="nil"/>
              <w:bottom w:val="nil"/>
            </w:tcBorders>
          </w:tcPr>
          <w:p w:rsidR="00B53DB3" w:rsidRPr="003B5716" w:rsidRDefault="00B53DB3" w:rsidP="00150DCE">
            <w:pPr>
              <w:jc w:val="both"/>
              <w:rPr>
                <w:sz w:val="22"/>
                <w:szCs w:val="22"/>
              </w:rPr>
            </w:pPr>
            <w:r w:rsidRPr="003B5716">
              <w:rPr>
                <w:sz w:val="22"/>
                <w:szCs w:val="22"/>
              </w:rPr>
              <w:t>Board experience</w:t>
            </w:r>
          </w:p>
        </w:tc>
        <w:tc>
          <w:tcPr>
            <w:tcW w:w="3402" w:type="dxa"/>
            <w:tcBorders>
              <w:top w:val="nil"/>
              <w:bottom w:val="nil"/>
            </w:tcBorders>
          </w:tcPr>
          <w:p w:rsidR="00B53DB3" w:rsidRPr="003B5716" w:rsidRDefault="00B53DB3" w:rsidP="00150DCE">
            <w:pPr>
              <w:tabs>
                <w:tab w:val="left" w:pos="735"/>
                <w:tab w:val="center" w:pos="955"/>
              </w:tabs>
              <w:jc w:val="center"/>
              <w:rPr>
                <w:sz w:val="22"/>
                <w:szCs w:val="22"/>
              </w:rPr>
            </w:pPr>
            <w:r>
              <w:rPr>
                <w:sz w:val="22"/>
                <w:szCs w:val="22"/>
              </w:rPr>
              <w:t>645</w:t>
            </w:r>
          </w:p>
        </w:tc>
        <w:tc>
          <w:tcPr>
            <w:tcW w:w="1701" w:type="dxa"/>
            <w:tcBorders>
              <w:top w:val="nil"/>
              <w:bottom w:val="nil"/>
            </w:tcBorders>
            <w:vAlign w:val="bottom"/>
          </w:tcPr>
          <w:p w:rsidR="00B53DB3" w:rsidRPr="003B5716" w:rsidRDefault="006F2CCA" w:rsidP="00150DCE">
            <w:pPr>
              <w:jc w:val="center"/>
              <w:rPr>
                <w:sz w:val="22"/>
                <w:szCs w:val="22"/>
              </w:rPr>
            </w:pPr>
            <w:r w:rsidRPr="00610A2E">
              <w:rPr>
                <w:sz w:val="22"/>
                <w:szCs w:val="22"/>
              </w:rPr>
              <w:t xml:space="preserve">74 </w:t>
            </w:r>
          </w:p>
        </w:tc>
      </w:tr>
      <w:tr w:rsidR="00B53DB3" w:rsidRPr="003B5716" w:rsidTr="00610A2E">
        <w:tc>
          <w:tcPr>
            <w:tcW w:w="3936" w:type="dxa"/>
            <w:tcBorders>
              <w:top w:val="nil"/>
              <w:bottom w:val="nil"/>
            </w:tcBorders>
          </w:tcPr>
          <w:p w:rsidR="00B53DB3" w:rsidRPr="003B5716" w:rsidRDefault="00B53DB3" w:rsidP="00150DCE">
            <w:pPr>
              <w:jc w:val="both"/>
              <w:rPr>
                <w:sz w:val="22"/>
                <w:szCs w:val="22"/>
              </w:rPr>
            </w:pPr>
            <w:r w:rsidRPr="003B5716">
              <w:rPr>
                <w:sz w:val="22"/>
                <w:szCs w:val="22"/>
              </w:rPr>
              <w:t>Board size</w:t>
            </w:r>
            <w:r>
              <w:rPr>
                <w:sz w:val="22"/>
                <w:szCs w:val="22"/>
              </w:rPr>
              <w:t xml:space="preserve"> (between 5-15 members)</w:t>
            </w:r>
          </w:p>
        </w:tc>
        <w:tc>
          <w:tcPr>
            <w:tcW w:w="3402" w:type="dxa"/>
            <w:tcBorders>
              <w:top w:val="nil"/>
              <w:bottom w:val="nil"/>
            </w:tcBorders>
          </w:tcPr>
          <w:p w:rsidR="00B53DB3" w:rsidRPr="003B5716" w:rsidRDefault="00B53DB3" w:rsidP="00150DCE">
            <w:pPr>
              <w:jc w:val="center"/>
              <w:rPr>
                <w:sz w:val="22"/>
                <w:szCs w:val="22"/>
              </w:rPr>
            </w:pPr>
            <w:r>
              <w:rPr>
                <w:sz w:val="22"/>
                <w:szCs w:val="22"/>
              </w:rPr>
              <w:t>752</w:t>
            </w:r>
          </w:p>
        </w:tc>
        <w:tc>
          <w:tcPr>
            <w:tcW w:w="1701" w:type="dxa"/>
            <w:tcBorders>
              <w:top w:val="nil"/>
              <w:bottom w:val="nil"/>
            </w:tcBorders>
            <w:vAlign w:val="bottom"/>
          </w:tcPr>
          <w:p w:rsidR="00B53DB3" w:rsidRPr="003B5716" w:rsidRDefault="006F2CCA" w:rsidP="00150DCE">
            <w:pPr>
              <w:jc w:val="center"/>
              <w:rPr>
                <w:sz w:val="22"/>
                <w:szCs w:val="22"/>
              </w:rPr>
            </w:pPr>
            <w:r w:rsidRPr="00610A2E">
              <w:rPr>
                <w:sz w:val="22"/>
                <w:szCs w:val="22"/>
              </w:rPr>
              <w:t xml:space="preserve">86 </w:t>
            </w:r>
          </w:p>
        </w:tc>
      </w:tr>
      <w:tr w:rsidR="00B53DB3" w:rsidRPr="003B5716" w:rsidTr="00610A2E">
        <w:trPr>
          <w:cnfStyle w:val="010000000000"/>
        </w:trPr>
        <w:tc>
          <w:tcPr>
            <w:tcW w:w="3936" w:type="dxa"/>
            <w:tcBorders>
              <w:top w:val="nil"/>
              <w:bottom w:val="single" w:sz="4" w:space="0" w:color="000000" w:themeColor="text1"/>
            </w:tcBorders>
          </w:tcPr>
          <w:p w:rsidR="00B53DB3" w:rsidRPr="003B5716" w:rsidRDefault="00B53DB3" w:rsidP="00150DCE">
            <w:pPr>
              <w:jc w:val="both"/>
              <w:rPr>
                <w:sz w:val="22"/>
                <w:szCs w:val="22"/>
              </w:rPr>
            </w:pPr>
            <w:r w:rsidRPr="003B5716">
              <w:rPr>
                <w:sz w:val="22"/>
                <w:szCs w:val="22"/>
              </w:rPr>
              <w:t>Independent directors</w:t>
            </w:r>
            <w:r>
              <w:rPr>
                <w:sz w:val="22"/>
                <w:szCs w:val="22"/>
              </w:rPr>
              <w:t xml:space="preserve"> (=&gt;25%)</w:t>
            </w:r>
          </w:p>
        </w:tc>
        <w:tc>
          <w:tcPr>
            <w:tcW w:w="3402" w:type="dxa"/>
            <w:tcBorders>
              <w:top w:val="nil"/>
              <w:bottom w:val="single" w:sz="4" w:space="0" w:color="000000" w:themeColor="text1"/>
            </w:tcBorders>
          </w:tcPr>
          <w:p w:rsidR="00B53DB3" w:rsidRPr="003B5716" w:rsidRDefault="00B53DB3" w:rsidP="00150DCE">
            <w:pPr>
              <w:jc w:val="center"/>
              <w:rPr>
                <w:sz w:val="22"/>
                <w:szCs w:val="22"/>
              </w:rPr>
            </w:pPr>
            <w:r>
              <w:rPr>
                <w:sz w:val="22"/>
                <w:szCs w:val="22"/>
              </w:rPr>
              <w:t>838</w:t>
            </w:r>
          </w:p>
        </w:tc>
        <w:tc>
          <w:tcPr>
            <w:tcW w:w="1701" w:type="dxa"/>
            <w:tcBorders>
              <w:top w:val="nil"/>
              <w:bottom w:val="single" w:sz="4" w:space="0" w:color="000000" w:themeColor="text1"/>
            </w:tcBorders>
            <w:vAlign w:val="bottom"/>
          </w:tcPr>
          <w:p w:rsidR="00B53DB3" w:rsidRPr="003B5716" w:rsidRDefault="006F2CCA" w:rsidP="00150DCE">
            <w:pPr>
              <w:jc w:val="center"/>
              <w:rPr>
                <w:sz w:val="22"/>
                <w:szCs w:val="22"/>
              </w:rPr>
            </w:pPr>
            <w:r w:rsidRPr="00610A2E">
              <w:rPr>
                <w:sz w:val="22"/>
                <w:szCs w:val="22"/>
              </w:rPr>
              <w:t xml:space="preserve">96 </w:t>
            </w:r>
          </w:p>
        </w:tc>
      </w:tr>
    </w:tbl>
    <w:p w:rsidR="005B5AA0" w:rsidRPr="003B5716" w:rsidRDefault="005B5AA0" w:rsidP="00150DCE">
      <w:pPr>
        <w:rPr>
          <w:b/>
          <w:sz w:val="22"/>
          <w:szCs w:val="22"/>
        </w:rPr>
      </w:pPr>
      <w:r w:rsidRPr="003B5716">
        <w:rPr>
          <w:sz w:val="22"/>
          <w:szCs w:val="22"/>
        </w:rPr>
        <w:t xml:space="preserve">The control cut-off is at 20%. The sample comprises </w:t>
      </w:r>
      <w:r w:rsidR="00B53DB3">
        <w:rPr>
          <w:sz w:val="22"/>
          <w:szCs w:val="22"/>
        </w:rPr>
        <w:t>87</w:t>
      </w:r>
      <w:r w:rsidR="00770BEA">
        <w:rPr>
          <w:sz w:val="22"/>
          <w:szCs w:val="22"/>
        </w:rPr>
        <w:t>4</w:t>
      </w:r>
      <w:r w:rsidR="00B53DB3" w:rsidRPr="003B5716">
        <w:rPr>
          <w:sz w:val="22"/>
          <w:szCs w:val="22"/>
        </w:rPr>
        <w:t xml:space="preserve"> </w:t>
      </w:r>
      <w:r w:rsidRPr="003B5716">
        <w:rPr>
          <w:sz w:val="22"/>
          <w:szCs w:val="22"/>
        </w:rPr>
        <w:t xml:space="preserve">observations for the period 2004 to </w:t>
      </w:r>
      <w:r w:rsidR="00B53DB3" w:rsidRPr="003B5716">
        <w:rPr>
          <w:sz w:val="22"/>
          <w:szCs w:val="22"/>
        </w:rPr>
        <w:t>201</w:t>
      </w:r>
      <w:r w:rsidR="00B53DB3">
        <w:rPr>
          <w:sz w:val="22"/>
          <w:szCs w:val="22"/>
        </w:rPr>
        <w:t>3</w:t>
      </w:r>
      <w:r w:rsidRPr="003B5716">
        <w:rPr>
          <w:sz w:val="22"/>
          <w:szCs w:val="22"/>
        </w:rPr>
        <w:t>.</w:t>
      </w:r>
    </w:p>
    <w:p w:rsidR="005B5AA0" w:rsidRPr="003B5716" w:rsidRDefault="005B5AA0" w:rsidP="005B5AA0">
      <w:pPr>
        <w:spacing w:line="480" w:lineRule="auto"/>
        <w:jc w:val="center"/>
        <w:rPr>
          <w:sz w:val="22"/>
          <w:szCs w:val="22"/>
        </w:rPr>
        <w:sectPr w:rsidR="005B5AA0" w:rsidRPr="003B5716" w:rsidSect="009033D0">
          <w:headerReference w:type="default" r:id="rId8"/>
          <w:footerReference w:type="default" r:id="rId9"/>
          <w:endnotePr>
            <w:numFmt w:val="decimal"/>
          </w:endnotePr>
          <w:pgSz w:w="11906" w:h="16838" w:code="9"/>
          <w:pgMar w:top="1440" w:right="1644" w:bottom="1440" w:left="1440" w:header="709" w:footer="709" w:gutter="0"/>
          <w:cols w:space="708"/>
          <w:titlePg/>
          <w:docGrid w:linePitch="360"/>
        </w:sectPr>
      </w:pPr>
      <w:r w:rsidRPr="003B5716">
        <w:rPr>
          <w:b/>
          <w:sz w:val="22"/>
          <w:szCs w:val="22"/>
        </w:rPr>
        <w:br w:type="page"/>
      </w:r>
    </w:p>
    <w:p w:rsidR="00366565" w:rsidRDefault="005B5AA0" w:rsidP="004130CE">
      <w:pPr>
        <w:keepNext/>
        <w:rPr>
          <w:b/>
          <w:sz w:val="22"/>
          <w:szCs w:val="22"/>
        </w:rPr>
      </w:pPr>
      <w:r w:rsidRPr="003B5716">
        <w:rPr>
          <w:b/>
          <w:sz w:val="22"/>
          <w:szCs w:val="22"/>
        </w:rPr>
        <w:lastRenderedPageBreak/>
        <w:t>Table 2</w:t>
      </w:r>
      <w:r w:rsidR="004138A7" w:rsidRPr="003B5716">
        <w:rPr>
          <w:b/>
          <w:sz w:val="22"/>
          <w:szCs w:val="22"/>
        </w:rPr>
        <w:t xml:space="preserve">: </w:t>
      </w:r>
      <w:r w:rsidR="00F10B83" w:rsidRPr="003B5716">
        <w:rPr>
          <w:b/>
          <w:sz w:val="22"/>
          <w:szCs w:val="22"/>
        </w:rPr>
        <w:t>Descriptive Statistics: by Industrial Sector</w:t>
      </w:r>
      <w:r w:rsidR="00321CA4">
        <w:rPr>
          <w:b/>
          <w:sz w:val="22"/>
          <w:szCs w:val="22"/>
        </w:rPr>
        <w:t xml:space="preserve"> and f</w:t>
      </w:r>
      <w:r w:rsidR="00F10B83" w:rsidRPr="003B5716">
        <w:rPr>
          <w:b/>
          <w:sz w:val="22"/>
          <w:szCs w:val="22"/>
        </w:rPr>
        <w:t>amily versus non-family firms</w:t>
      </w:r>
      <w:r w:rsidR="004138A7" w:rsidRPr="003B5716">
        <w:rPr>
          <w:b/>
          <w:sz w:val="22"/>
          <w:szCs w:val="22"/>
        </w:rPr>
        <w:t xml:space="preserve"> </w:t>
      </w:r>
      <w:r w:rsidR="00A90CD1" w:rsidRPr="003B5716">
        <w:rPr>
          <w:sz w:val="22"/>
          <w:szCs w:val="22"/>
        </w:rPr>
        <w:t>(</w:t>
      </w:r>
      <w:r w:rsidR="004138A7" w:rsidRPr="003B5716">
        <w:rPr>
          <w:sz w:val="20"/>
          <w:szCs w:val="20"/>
        </w:rPr>
        <w:t>*** p&lt;0.01, ** p&lt;0.05, * p&lt;0.1)</w:t>
      </w:r>
    </w:p>
    <w:tbl>
      <w:tblPr>
        <w:tblW w:w="13745" w:type="dxa"/>
        <w:tblBorders>
          <w:top w:val="single" w:sz="4" w:space="0" w:color="auto"/>
          <w:left w:val="single" w:sz="4" w:space="0" w:color="auto"/>
          <w:bottom w:val="single" w:sz="4" w:space="0" w:color="auto"/>
          <w:right w:val="single" w:sz="4" w:space="0" w:color="auto"/>
        </w:tblBorders>
        <w:tblLayout w:type="fixed"/>
        <w:tblLook w:val="04A0"/>
      </w:tblPr>
      <w:tblGrid>
        <w:gridCol w:w="2519"/>
        <w:gridCol w:w="376"/>
        <w:gridCol w:w="927"/>
        <w:gridCol w:w="327"/>
        <w:gridCol w:w="1232"/>
        <w:gridCol w:w="22"/>
        <w:gridCol w:w="1254"/>
        <w:gridCol w:w="964"/>
        <w:gridCol w:w="290"/>
        <w:gridCol w:w="873"/>
        <w:gridCol w:w="629"/>
        <w:gridCol w:w="1073"/>
        <w:gridCol w:w="429"/>
        <w:gridCol w:w="1129"/>
        <w:gridCol w:w="425"/>
        <w:gridCol w:w="1276"/>
      </w:tblGrid>
      <w:tr w:rsidR="0062202E" w:rsidRPr="003B5716" w:rsidTr="004130CE">
        <w:trPr>
          <w:trHeight w:val="395"/>
        </w:trPr>
        <w:tc>
          <w:tcPr>
            <w:tcW w:w="2519" w:type="dxa"/>
            <w:shd w:val="clear" w:color="auto" w:fill="auto"/>
            <w:vAlign w:val="center"/>
          </w:tcPr>
          <w:p w:rsidR="00366565" w:rsidRDefault="00366565" w:rsidP="004130CE">
            <w:pPr>
              <w:keepNext/>
              <w:jc w:val="both"/>
              <w:rPr>
                <w:color w:val="000000"/>
                <w:sz w:val="20"/>
                <w:szCs w:val="20"/>
              </w:rPr>
            </w:pPr>
          </w:p>
        </w:tc>
        <w:tc>
          <w:tcPr>
            <w:tcW w:w="1303" w:type="dxa"/>
            <w:gridSpan w:val="2"/>
            <w:shd w:val="clear" w:color="auto" w:fill="auto"/>
            <w:vAlign w:val="center"/>
          </w:tcPr>
          <w:p w:rsidR="00366565" w:rsidRDefault="0062202E" w:rsidP="004130CE">
            <w:pPr>
              <w:keepNext/>
              <w:jc w:val="right"/>
              <w:rPr>
                <w:b/>
                <w:color w:val="000000"/>
                <w:sz w:val="20"/>
                <w:szCs w:val="20"/>
              </w:rPr>
            </w:pPr>
            <w:r w:rsidRPr="003B5716">
              <w:rPr>
                <w:b/>
                <w:color w:val="000000"/>
                <w:sz w:val="20"/>
                <w:szCs w:val="20"/>
              </w:rPr>
              <w:t>Firms</w:t>
            </w:r>
          </w:p>
        </w:tc>
        <w:tc>
          <w:tcPr>
            <w:tcW w:w="3799" w:type="dxa"/>
            <w:gridSpan w:val="5"/>
            <w:shd w:val="clear" w:color="auto" w:fill="auto"/>
            <w:vAlign w:val="center"/>
          </w:tcPr>
          <w:p w:rsidR="00366565" w:rsidRDefault="0062202E" w:rsidP="004130CE">
            <w:pPr>
              <w:keepNext/>
              <w:jc w:val="center"/>
              <w:rPr>
                <w:b/>
                <w:color w:val="000000"/>
                <w:sz w:val="20"/>
                <w:szCs w:val="20"/>
              </w:rPr>
            </w:pPr>
            <w:r w:rsidRPr="003B5716">
              <w:rPr>
                <w:b/>
                <w:color w:val="000000"/>
                <w:sz w:val="20"/>
                <w:szCs w:val="20"/>
              </w:rPr>
              <w:t>Observations</w:t>
            </w:r>
          </w:p>
        </w:tc>
        <w:tc>
          <w:tcPr>
            <w:tcW w:w="1163" w:type="dxa"/>
            <w:gridSpan w:val="2"/>
            <w:shd w:val="clear" w:color="auto" w:fill="auto"/>
            <w:vAlign w:val="center"/>
          </w:tcPr>
          <w:p w:rsidR="00366565" w:rsidRDefault="0062202E" w:rsidP="004130CE">
            <w:pPr>
              <w:keepNext/>
              <w:jc w:val="right"/>
              <w:rPr>
                <w:b/>
                <w:color w:val="000000"/>
                <w:sz w:val="20"/>
                <w:szCs w:val="20"/>
              </w:rPr>
            </w:pPr>
            <w:r w:rsidRPr="003B5716">
              <w:rPr>
                <w:b/>
                <w:color w:val="000000"/>
                <w:sz w:val="20"/>
                <w:szCs w:val="20"/>
              </w:rPr>
              <w:t>Value</w:t>
            </w:r>
          </w:p>
        </w:tc>
        <w:tc>
          <w:tcPr>
            <w:tcW w:w="4961" w:type="dxa"/>
            <w:gridSpan w:val="6"/>
            <w:shd w:val="clear" w:color="auto" w:fill="auto"/>
            <w:vAlign w:val="center"/>
          </w:tcPr>
          <w:p w:rsidR="00366565" w:rsidRDefault="0062202E" w:rsidP="004130CE">
            <w:pPr>
              <w:keepNext/>
              <w:jc w:val="center"/>
              <w:rPr>
                <w:b/>
                <w:color w:val="000000"/>
                <w:sz w:val="20"/>
                <w:szCs w:val="20"/>
              </w:rPr>
            </w:pPr>
            <w:r w:rsidRPr="003B5716">
              <w:rPr>
                <w:b/>
                <w:color w:val="000000"/>
                <w:sz w:val="20"/>
                <w:szCs w:val="20"/>
              </w:rPr>
              <w:t>Risks</w:t>
            </w:r>
          </w:p>
        </w:tc>
      </w:tr>
      <w:tr w:rsidR="0062202E" w:rsidRPr="003B5716" w:rsidTr="004130CE">
        <w:trPr>
          <w:trHeight w:val="375"/>
        </w:trPr>
        <w:tc>
          <w:tcPr>
            <w:tcW w:w="2519" w:type="dxa"/>
            <w:shd w:val="clear" w:color="auto" w:fill="auto"/>
            <w:vAlign w:val="center"/>
            <w:hideMark/>
          </w:tcPr>
          <w:p w:rsidR="00366565" w:rsidRDefault="00A90CD1" w:rsidP="004130CE">
            <w:pPr>
              <w:keepNext/>
              <w:jc w:val="both"/>
              <w:rPr>
                <w:i/>
                <w:color w:val="000000"/>
                <w:sz w:val="20"/>
                <w:szCs w:val="20"/>
                <w:u w:val="single"/>
              </w:rPr>
            </w:pPr>
            <w:r w:rsidRPr="003B5716">
              <w:rPr>
                <w:i/>
                <w:color w:val="000000"/>
                <w:sz w:val="20"/>
                <w:szCs w:val="20"/>
                <w:u w:val="single"/>
              </w:rPr>
              <w:t>Industrial Sector</w:t>
            </w:r>
          </w:p>
        </w:tc>
        <w:tc>
          <w:tcPr>
            <w:tcW w:w="1303" w:type="dxa"/>
            <w:gridSpan w:val="2"/>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No.</w:t>
            </w:r>
          </w:p>
        </w:tc>
        <w:tc>
          <w:tcPr>
            <w:tcW w:w="1559" w:type="dxa"/>
            <w:gridSpan w:val="2"/>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No.</w:t>
            </w:r>
          </w:p>
        </w:tc>
        <w:tc>
          <w:tcPr>
            <w:tcW w:w="2240" w:type="dxa"/>
            <w:gridSpan w:val="3"/>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Family firms (%</w:t>
            </w:r>
            <w:r w:rsidR="006B2475">
              <w:rPr>
                <w:i/>
                <w:color w:val="000000"/>
                <w:sz w:val="20"/>
                <w:szCs w:val="20"/>
                <w:u w:val="single"/>
              </w:rPr>
              <w:t xml:space="preserve"> of 667</w:t>
            </w:r>
            <w:r w:rsidRPr="003B5716">
              <w:rPr>
                <w:i/>
                <w:color w:val="000000"/>
                <w:sz w:val="20"/>
                <w:szCs w:val="20"/>
                <w:u w:val="single"/>
              </w:rPr>
              <w:t>)</w:t>
            </w:r>
          </w:p>
        </w:tc>
        <w:tc>
          <w:tcPr>
            <w:tcW w:w="1163" w:type="dxa"/>
            <w:gridSpan w:val="2"/>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Tobin’s Q</w:t>
            </w:r>
          </w:p>
        </w:tc>
        <w:tc>
          <w:tcPr>
            <w:tcW w:w="1702" w:type="dxa"/>
            <w:gridSpan w:val="2"/>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Total</w:t>
            </w:r>
          </w:p>
        </w:tc>
        <w:tc>
          <w:tcPr>
            <w:tcW w:w="1558" w:type="dxa"/>
            <w:gridSpan w:val="2"/>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Hazard</w:t>
            </w:r>
          </w:p>
        </w:tc>
        <w:tc>
          <w:tcPr>
            <w:tcW w:w="1701" w:type="dxa"/>
            <w:gridSpan w:val="2"/>
            <w:shd w:val="clear" w:color="auto" w:fill="auto"/>
            <w:vAlign w:val="center"/>
            <w:hideMark/>
          </w:tcPr>
          <w:p w:rsidR="00366565" w:rsidRDefault="00A90CD1" w:rsidP="004130CE">
            <w:pPr>
              <w:keepNext/>
              <w:jc w:val="right"/>
              <w:rPr>
                <w:i/>
                <w:color w:val="000000"/>
                <w:sz w:val="20"/>
                <w:szCs w:val="20"/>
                <w:u w:val="single"/>
              </w:rPr>
            </w:pPr>
            <w:r w:rsidRPr="003B5716">
              <w:rPr>
                <w:i/>
                <w:color w:val="000000"/>
                <w:sz w:val="20"/>
                <w:szCs w:val="20"/>
                <w:u w:val="single"/>
              </w:rPr>
              <w:t>Venturing</w:t>
            </w:r>
          </w:p>
        </w:tc>
      </w:tr>
      <w:tr w:rsidR="006B2475" w:rsidRPr="003B5716" w:rsidTr="004130CE">
        <w:trPr>
          <w:trHeight w:val="274"/>
        </w:trPr>
        <w:tc>
          <w:tcPr>
            <w:tcW w:w="2519" w:type="dxa"/>
            <w:shd w:val="clear" w:color="auto" w:fill="auto"/>
            <w:vAlign w:val="center"/>
            <w:hideMark/>
          </w:tcPr>
          <w:p w:rsidR="00366565" w:rsidRDefault="006B2475" w:rsidP="004130CE">
            <w:pPr>
              <w:keepNext/>
              <w:jc w:val="both"/>
              <w:rPr>
                <w:color w:val="000000"/>
                <w:sz w:val="20"/>
                <w:szCs w:val="20"/>
              </w:rPr>
            </w:pPr>
            <w:r w:rsidRPr="003B5716">
              <w:rPr>
                <w:color w:val="000000"/>
                <w:sz w:val="20"/>
                <w:szCs w:val="20"/>
              </w:rPr>
              <w:t>Basic Materials</w:t>
            </w:r>
          </w:p>
        </w:tc>
        <w:tc>
          <w:tcPr>
            <w:tcW w:w="1303" w:type="dxa"/>
            <w:gridSpan w:val="2"/>
            <w:shd w:val="clear" w:color="auto" w:fill="auto"/>
            <w:vAlign w:val="center"/>
            <w:hideMark/>
          </w:tcPr>
          <w:p w:rsidR="006B2475" w:rsidRDefault="006B2475" w:rsidP="006B2475">
            <w:pPr>
              <w:jc w:val="right"/>
              <w:rPr>
                <w:color w:val="000000"/>
                <w:sz w:val="20"/>
                <w:szCs w:val="20"/>
              </w:rPr>
            </w:pPr>
            <w:r w:rsidRPr="003B5716">
              <w:rPr>
                <w:color w:val="000000"/>
                <w:sz w:val="20"/>
                <w:szCs w:val="20"/>
              </w:rPr>
              <w:t>15</w:t>
            </w:r>
          </w:p>
        </w:tc>
        <w:tc>
          <w:tcPr>
            <w:tcW w:w="1559" w:type="dxa"/>
            <w:gridSpan w:val="2"/>
            <w:shd w:val="clear" w:color="auto" w:fill="auto"/>
            <w:vAlign w:val="center"/>
            <w:hideMark/>
          </w:tcPr>
          <w:p w:rsidR="00366565" w:rsidRDefault="006F2CCA" w:rsidP="004130CE">
            <w:pPr>
              <w:keepNext/>
              <w:jc w:val="right"/>
              <w:rPr>
                <w:color w:val="000000"/>
                <w:sz w:val="20"/>
                <w:szCs w:val="20"/>
              </w:rPr>
            </w:pPr>
            <w:r w:rsidRPr="00610A2E">
              <w:rPr>
                <w:color w:val="000000"/>
                <w:sz w:val="20"/>
                <w:szCs w:val="20"/>
              </w:rPr>
              <w:t>135</w:t>
            </w:r>
          </w:p>
        </w:tc>
        <w:tc>
          <w:tcPr>
            <w:tcW w:w="2240" w:type="dxa"/>
            <w:gridSpan w:val="3"/>
            <w:shd w:val="clear" w:color="auto" w:fill="auto"/>
            <w:noWrap/>
            <w:hideMark/>
          </w:tcPr>
          <w:p w:rsidR="00366565" w:rsidRDefault="006F2CCA" w:rsidP="004130CE">
            <w:pPr>
              <w:keepNext/>
              <w:jc w:val="right"/>
              <w:rPr>
                <w:color w:val="000000"/>
                <w:sz w:val="20"/>
                <w:szCs w:val="20"/>
              </w:rPr>
            </w:pPr>
            <w:r w:rsidRPr="00610A2E">
              <w:rPr>
                <w:color w:val="000000"/>
                <w:sz w:val="20"/>
                <w:szCs w:val="20"/>
              </w:rPr>
              <w:t xml:space="preserve"> 81.48 </w:t>
            </w:r>
          </w:p>
        </w:tc>
        <w:tc>
          <w:tcPr>
            <w:tcW w:w="1163" w:type="dxa"/>
            <w:gridSpan w:val="2"/>
            <w:shd w:val="clear" w:color="auto" w:fill="auto"/>
            <w:vAlign w:val="bottom"/>
            <w:hideMark/>
          </w:tcPr>
          <w:p w:rsidR="00366565" w:rsidRDefault="006B2475" w:rsidP="004130CE">
            <w:pPr>
              <w:keepNext/>
              <w:jc w:val="right"/>
              <w:rPr>
                <w:color w:val="000000"/>
                <w:sz w:val="20"/>
                <w:szCs w:val="20"/>
              </w:rPr>
            </w:pPr>
            <w:r w:rsidRPr="003B5716">
              <w:rPr>
                <w:color w:val="000000"/>
                <w:sz w:val="20"/>
                <w:szCs w:val="20"/>
              </w:rPr>
              <w:t>1.</w:t>
            </w:r>
            <w:r w:rsidR="001E7B8D" w:rsidRPr="003B5716">
              <w:rPr>
                <w:color w:val="000000"/>
                <w:sz w:val="20"/>
                <w:szCs w:val="20"/>
              </w:rPr>
              <w:t>3</w:t>
            </w:r>
            <w:r w:rsidR="001E7B8D">
              <w:rPr>
                <w:color w:val="000000"/>
                <w:sz w:val="20"/>
                <w:szCs w:val="20"/>
              </w:rPr>
              <w:t>8</w:t>
            </w:r>
          </w:p>
        </w:tc>
        <w:tc>
          <w:tcPr>
            <w:tcW w:w="1702" w:type="dxa"/>
            <w:gridSpan w:val="2"/>
            <w:shd w:val="clear" w:color="auto" w:fill="auto"/>
            <w:noWrap/>
            <w:vAlign w:val="bottom"/>
            <w:hideMark/>
          </w:tcPr>
          <w:p w:rsidR="00366565" w:rsidRDefault="006B2475" w:rsidP="004130CE">
            <w:pPr>
              <w:keepNext/>
              <w:jc w:val="right"/>
              <w:rPr>
                <w:color w:val="000000"/>
                <w:sz w:val="20"/>
                <w:szCs w:val="20"/>
              </w:rPr>
            </w:pPr>
            <w:r w:rsidRPr="003B5716">
              <w:rPr>
                <w:color w:val="000000"/>
                <w:sz w:val="20"/>
                <w:szCs w:val="20"/>
              </w:rPr>
              <w:t>0.</w:t>
            </w:r>
            <w:r w:rsidR="001E7B8D" w:rsidRPr="003B5716">
              <w:rPr>
                <w:color w:val="000000"/>
                <w:sz w:val="20"/>
                <w:szCs w:val="20"/>
              </w:rPr>
              <w:t>3</w:t>
            </w:r>
            <w:r w:rsidR="004464AF">
              <w:rPr>
                <w:color w:val="000000"/>
                <w:sz w:val="20"/>
                <w:szCs w:val="20"/>
              </w:rPr>
              <w:t>2</w:t>
            </w:r>
          </w:p>
        </w:tc>
        <w:tc>
          <w:tcPr>
            <w:tcW w:w="1558" w:type="dxa"/>
            <w:gridSpan w:val="2"/>
            <w:shd w:val="clear" w:color="auto" w:fill="auto"/>
            <w:noWrap/>
            <w:vAlign w:val="bottom"/>
            <w:hideMark/>
          </w:tcPr>
          <w:p w:rsidR="00366565" w:rsidRDefault="001E7B8D" w:rsidP="004130CE">
            <w:pPr>
              <w:keepNext/>
              <w:jc w:val="right"/>
              <w:rPr>
                <w:color w:val="000000"/>
                <w:sz w:val="20"/>
                <w:szCs w:val="20"/>
              </w:rPr>
            </w:pPr>
            <w:r>
              <w:rPr>
                <w:color w:val="000000"/>
                <w:sz w:val="20"/>
                <w:szCs w:val="20"/>
              </w:rPr>
              <w:t>-</w:t>
            </w:r>
            <w:r w:rsidR="006B2475" w:rsidRPr="003B5716">
              <w:rPr>
                <w:color w:val="000000"/>
                <w:sz w:val="20"/>
                <w:szCs w:val="20"/>
              </w:rPr>
              <w:t>0.</w:t>
            </w:r>
            <w:r w:rsidR="004464AF">
              <w:rPr>
                <w:color w:val="000000"/>
                <w:sz w:val="20"/>
                <w:szCs w:val="20"/>
              </w:rPr>
              <w:t>11</w:t>
            </w:r>
          </w:p>
        </w:tc>
        <w:tc>
          <w:tcPr>
            <w:tcW w:w="1701" w:type="dxa"/>
            <w:gridSpan w:val="2"/>
            <w:shd w:val="clear" w:color="auto" w:fill="auto"/>
            <w:noWrap/>
            <w:vAlign w:val="bottom"/>
            <w:hideMark/>
          </w:tcPr>
          <w:p w:rsidR="00366565" w:rsidRDefault="006B2475" w:rsidP="004130CE">
            <w:pPr>
              <w:keepNext/>
              <w:jc w:val="right"/>
              <w:rPr>
                <w:color w:val="000000"/>
                <w:sz w:val="20"/>
                <w:szCs w:val="20"/>
              </w:rPr>
            </w:pPr>
            <w:r w:rsidRPr="003B5716">
              <w:rPr>
                <w:color w:val="000000"/>
                <w:sz w:val="20"/>
                <w:szCs w:val="20"/>
              </w:rPr>
              <w:t>0.</w:t>
            </w:r>
            <w:r w:rsidR="001E7B8D" w:rsidRPr="003B5716">
              <w:rPr>
                <w:color w:val="000000"/>
                <w:sz w:val="20"/>
                <w:szCs w:val="20"/>
              </w:rPr>
              <w:t>1</w:t>
            </w:r>
            <w:r w:rsidR="004464AF">
              <w:rPr>
                <w:color w:val="000000"/>
                <w:sz w:val="20"/>
                <w:szCs w:val="20"/>
              </w:rPr>
              <w:t>1</w:t>
            </w:r>
          </w:p>
        </w:tc>
      </w:tr>
      <w:tr w:rsidR="006B2475" w:rsidRPr="003B5716" w:rsidTr="004130CE">
        <w:trPr>
          <w:trHeight w:val="250"/>
        </w:trPr>
        <w:tc>
          <w:tcPr>
            <w:tcW w:w="2519" w:type="dxa"/>
            <w:shd w:val="clear" w:color="auto" w:fill="auto"/>
            <w:vAlign w:val="center"/>
            <w:hideMark/>
          </w:tcPr>
          <w:p w:rsidR="00366565" w:rsidRDefault="006B2475" w:rsidP="00942631">
            <w:pPr>
              <w:keepNext/>
              <w:jc w:val="both"/>
              <w:rPr>
                <w:color w:val="000000"/>
                <w:sz w:val="20"/>
                <w:szCs w:val="20"/>
              </w:rPr>
            </w:pPr>
            <w:r w:rsidRPr="003B5716">
              <w:rPr>
                <w:color w:val="000000"/>
                <w:sz w:val="20"/>
                <w:szCs w:val="20"/>
              </w:rPr>
              <w:t>Industrials</w:t>
            </w:r>
          </w:p>
        </w:tc>
        <w:tc>
          <w:tcPr>
            <w:tcW w:w="1303" w:type="dxa"/>
            <w:gridSpan w:val="2"/>
            <w:shd w:val="clear" w:color="auto" w:fill="auto"/>
            <w:vAlign w:val="center"/>
            <w:hideMark/>
          </w:tcPr>
          <w:p w:rsidR="006B2475" w:rsidRDefault="006B2475" w:rsidP="006B2475">
            <w:pPr>
              <w:jc w:val="right"/>
              <w:rPr>
                <w:color w:val="000000"/>
                <w:sz w:val="20"/>
                <w:szCs w:val="20"/>
              </w:rPr>
            </w:pPr>
            <w:r w:rsidRPr="003B5716">
              <w:rPr>
                <w:color w:val="000000"/>
                <w:sz w:val="20"/>
                <w:szCs w:val="20"/>
              </w:rPr>
              <w:t>29</w:t>
            </w:r>
          </w:p>
        </w:tc>
        <w:tc>
          <w:tcPr>
            <w:tcW w:w="1559" w:type="dxa"/>
            <w:gridSpan w:val="2"/>
            <w:shd w:val="clear" w:color="auto" w:fill="auto"/>
            <w:vAlign w:val="center"/>
            <w:hideMark/>
          </w:tcPr>
          <w:p w:rsidR="00366565" w:rsidRDefault="006F2CCA" w:rsidP="00942631">
            <w:pPr>
              <w:keepNext/>
              <w:jc w:val="right"/>
              <w:rPr>
                <w:color w:val="000000"/>
                <w:sz w:val="20"/>
                <w:szCs w:val="20"/>
              </w:rPr>
            </w:pPr>
            <w:r w:rsidRPr="00942631">
              <w:rPr>
                <w:color w:val="000000"/>
                <w:sz w:val="20"/>
                <w:szCs w:val="20"/>
              </w:rPr>
              <w:t>262</w:t>
            </w:r>
          </w:p>
        </w:tc>
        <w:tc>
          <w:tcPr>
            <w:tcW w:w="2240" w:type="dxa"/>
            <w:gridSpan w:val="3"/>
            <w:shd w:val="clear" w:color="auto" w:fill="auto"/>
            <w:noWrap/>
            <w:hideMark/>
          </w:tcPr>
          <w:p w:rsidR="00366565" w:rsidRDefault="006F2CCA" w:rsidP="00942631">
            <w:pPr>
              <w:keepNext/>
              <w:jc w:val="right"/>
              <w:rPr>
                <w:color w:val="000000"/>
                <w:sz w:val="20"/>
                <w:szCs w:val="20"/>
              </w:rPr>
            </w:pPr>
            <w:r w:rsidRPr="00610A2E">
              <w:rPr>
                <w:color w:val="000000"/>
                <w:sz w:val="20"/>
                <w:szCs w:val="20"/>
              </w:rPr>
              <w:t xml:space="preserve"> 75.95 </w:t>
            </w:r>
          </w:p>
        </w:tc>
        <w:tc>
          <w:tcPr>
            <w:tcW w:w="1163" w:type="dxa"/>
            <w:gridSpan w:val="2"/>
            <w:shd w:val="clear" w:color="auto" w:fill="auto"/>
            <w:vAlign w:val="bottom"/>
            <w:hideMark/>
          </w:tcPr>
          <w:p w:rsidR="00366565" w:rsidRDefault="006B2475" w:rsidP="00942631">
            <w:pPr>
              <w:keepNext/>
              <w:jc w:val="right"/>
              <w:rPr>
                <w:color w:val="000000"/>
                <w:sz w:val="20"/>
                <w:szCs w:val="20"/>
              </w:rPr>
            </w:pPr>
            <w:r w:rsidRPr="003B5716">
              <w:rPr>
                <w:color w:val="000000"/>
                <w:sz w:val="20"/>
                <w:szCs w:val="20"/>
              </w:rPr>
              <w:t>1.</w:t>
            </w:r>
            <w:r w:rsidR="001E7B8D" w:rsidRPr="003B5716">
              <w:rPr>
                <w:color w:val="000000"/>
                <w:sz w:val="20"/>
                <w:szCs w:val="20"/>
              </w:rPr>
              <w:t>2</w:t>
            </w:r>
            <w:r w:rsidR="004464AF">
              <w:rPr>
                <w:color w:val="000000"/>
                <w:sz w:val="20"/>
                <w:szCs w:val="20"/>
              </w:rPr>
              <w:t>1</w:t>
            </w:r>
          </w:p>
        </w:tc>
        <w:tc>
          <w:tcPr>
            <w:tcW w:w="1702"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0.2</w:t>
            </w:r>
            <w:r w:rsidR="001E7B8D">
              <w:rPr>
                <w:color w:val="000000"/>
                <w:sz w:val="20"/>
                <w:szCs w:val="20"/>
              </w:rPr>
              <w:t>2</w:t>
            </w:r>
          </w:p>
        </w:tc>
        <w:tc>
          <w:tcPr>
            <w:tcW w:w="1558" w:type="dxa"/>
            <w:gridSpan w:val="2"/>
            <w:shd w:val="clear" w:color="auto" w:fill="auto"/>
            <w:noWrap/>
            <w:vAlign w:val="bottom"/>
            <w:hideMark/>
          </w:tcPr>
          <w:p w:rsidR="00366565" w:rsidRDefault="001E7B8D" w:rsidP="00942631">
            <w:pPr>
              <w:keepNext/>
              <w:jc w:val="right"/>
              <w:rPr>
                <w:color w:val="000000"/>
                <w:sz w:val="20"/>
                <w:szCs w:val="20"/>
              </w:rPr>
            </w:pPr>
            <w:r>
              <w:rPr>
                <w:color w:val="000000"/>
                <w:sz w:val="20"/>
                <w:szCs w:val="20"/>
              </w:rPr>
              <w:t>-</w:t>
            </w:r>
            <w:r w:rsidR="006B2475" w:rsidRPr="003B5716">
              <w:rPr>
                <w:color w:val="000000"/>
                <w:sz w:val="20"/>
                <w:szCs w:val="20"/>
              </w:rPr>
              <w:t>0.</w:t>
            </w:r>
            <w:r w:rsidRPr="003B5716">
              <w:rPr>
                <w:color w:val="000000"/>
                <w:sz w:val="20"/>
                <w:szCs w:val="20"/>
              </w:rPr>
              <w:t>0</w:t>
            </w:r>
            <w:r w:rsidR="004464AF">
              <w:rPr>
                <w:color w:val="000000"/>
                <w:sz w:val="20"/>
                <w:szCs w:val="20"/>
              </w:rPr>
              <w:t>7</w:t>
            </w:r>
          </w:p>
        </w:tc>
        <w:tc>
          <w:tcPr>
            <w:tcW w:w="1701"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w:t>
            </w:r>
            <w:r w:rsidR="001E7B8D">
              <w:rPr>
                <w:color w:val="000000"/>
                <w:sz w:val="20"/>
                <w:szCs w:val="20"/>
              </w:rPr>
              <w:t>08</w:t>
            </w:r>
          </w:p>
        </w:tc>
      </w:tr>
      <w:tr w:rsidR="006B2475" w:rsidRPr="003B5716" w:rsidTr="004130CE">
        <w:trPr>
          <w:trHeight w:val="281"/>
        </w:trPr>
        <w:tc>
          <w:tcPr>
            <w:tcW w:w="2519" w:type="dxa"/>
            <w:shd w:val="clear" w:color="auto" w:fill="auto"/>
            <w:vAlign w:val="center"/>
            <w:hideMark/>
          </w:tcPr>
          <w:p w:rsidR="00366565" w:rsidRDefault="006B2475" w:rsidP="00942631">
            <w:pPr>
              <w:keepNext/>
              <w:rPr>
                <w:color w:val="000000"/>
                <w:sz w:val="20"/>
                <w:szCs w:val="20"/>
              </w:rPr>
            </w:pPr>
            <w:r w:rsidRPr="003B5716">
              <w:rPr>
                <w:color w:val="000000"/>
                <w:sz w:val="20"/>
                <w:szCs w:val="20"/>
              </w:rPr>
              <w:t>Consumer Goods</w:t>
            </w:r>
          </w:p>
        </w:tc>
        <w:tc>
          <w:tcPr>
            <w:tcW w:w="1303" w:type="dxa"/>
            <w:gridSpan w:val="2"/>
            <w:shd w:val="clear" w:color="auto" w:fill="auto"/>
            <w:vAlign w:val="center"/>
            <w:hideMark/>
          </w:tcPr>
          <w:p w:rsidR="006B2475" w:rsidRDefault="006B2475" w:rsidP="006B2475">
            <w:pPr>
              <w:jc w:val="right"/>
              <w:rPr>
                <w:color w:val="000000"/>
                <w:sz w:val="20"/>
                <w:szCs w:val="20"/>
              </w:rPr>
            </w:pPr>
            <w:r w:rsidRPr="003B5716">
              <w:rPr>
                <w:color w:val="000000"/>
                <w:sz w:val="20"/>
                <w:szCs w:val="20"/>
              </w:rPr>
              <w:t>27</w:t>
            </w:r>
          </w:p>
        </w:tc>
        <w:tc>
          <w:tcPr>
            <w:tcW w:w="1559" w:type="dxa"/>
            <w:gridSpan w:val="2"/>
            <w:shd w:val="clear" w:color="auto" w:fill="auto"/>
            <w:vAlign w:val="center"/>
            <w:hideMark/>
          </w:tcPr>
          <w:p w:rsidR="00366565" w:rsidRDefault="006F2CCA" w:rsidP="00942631">
            <w:pPr>
              <w:keepNext/>
              <w:jc w:val="right"/>
              <w:rPr>
                <w:color w:val="000000"/>
                <w:sz w:val="20"/>
                <w:szCs w:val="20"/>
              </w:rPr>
            </w:pPr>
            <w:r w:rsidRPr="00942631">
              <w:rPr>
                <w:color w:val="000000"/>
                <w:sz w:val="20"/>
                <w:szCs w:val="20"/>
              </w:rPr>
              <w:t>210</w:t>
            </w:r>
          </w:p>
        </w:tc>
        <w:tc>
          <w:tcPr>
            <w:tcW w:w="2240" w:type="dxa"/>
            <w:gridSpan w:val="3"/>
            <w:shd w:val="clear" w:color="auto" w:fill="auto"/>
            <w:noWrap/>
            <w:hideMark/>
          </w:tcPr>
          <w:p w:rsidR="00366565" w:rsidRDefault="006F2CCA" w:rsidP="00942631">
            <w:pPr>
              <w:keepNext/>
              <w:jc w:val="right"/>
              <w:rPr>
                <w:color w:val="000000"/>
                <w:sz w:val="20"/>
                <w:szCs w:val="20"/>
              </w:rPr>
            </w:pPr>
            <w:r w:rsidRPr="00610A2E">
              <w:rPr>
                <w:color w:val="000000"/>
                <w:sz w:val="20"/>
                <w:szCs w:val="20"/>
              </w:rPr>
              <w:t xml:space="preserve"> 65.71 </w:t>
            </w:r>
          </w:p>
        </w:tc>
        <w:tc>
          <w:tcPr>
            <w:tcW w:w="1163" w:type="dxa"/>
            <w:gridSpan w:val="2"/>
            <w:shd w:val="clear" w:color="auto" w:fill="auto"/>
            <w:vAlign w:val="bottom"/>
            <w:hideMark/>
          </w:tcPr>
          <w:p w:rsidR="00366565" w:rsidRDefault="006B2475" w:rsidP="00942631">
            <w:pPr>
              <w:keepNext/>
              <w:jc w:val="right"/>
              <w:rPr>
                <w:color w:val="000000"/>
                <w:sz w:val="20"/>
                <w:szCs w:val="20"/>
              </w:rPr>
            </w:pPr>
            <w:r w:rsidRPr="003B5716">
              <w:rPr>
                <w:color w:val="000000"/>
                <w:sz w:val="20"/>
                <w:szCs w:val="20"/>
              </w:rPr>
              <w:t>1.</w:t>
            </w:r>
            <w:r w:rsidR="004464AF">
              <w:rPr>
                <w:color w:val="000000"/>
                <w:sz w:val="20"/>
                <w:szCs w:val="20"/>
              </w:rPr>
              <w:t>39</w:t>
            </w:r>
          </w:p>
        </w:tc>
        <w:tc>
          <w:tcPr>
            <w:tcW w:w="1702"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w:t>
            </w:r>
            <w:r w:rsidR="004464AF">
              <w:rPr>
                <w:color w:val="000000"/>
                <w:sz w:val="20"/>
                <w:szCs w:val="20"/>
              </w:rPr>
              <w:t>24</w:t>
            </w:r>
          </w:p>
        </w:tc>
        <w:tc>
          <w:tcPr>
            <w:tcW w:w="1558" w:type="dxa"/>
            <w:gridSpan w:val="2"/>
            <w:shd w:val="clear" w:color="auto" w:fill="auto"/>
            <w:noWrap/>
            <w:vAlign w:val="bottom"/>
            <w:hideMark/>
          </w:tcPr>
          <w:p w:rsidR="00366565" w:rsidRDefault="001E7B8D" w:rsidP="00942631">
            <w:pPr>
              <w:keepNext/>
              <w:jc w:val="right"/>
              <w:rPr>
                <w:color w:val="000000"/>
                <w:sz w:val="20"/>
                <w:szCs w:val="20"/>
              </w:rPr>
            </w:pPr>
            <w:r>
              <w:rPr>
                <w:color w:val="000000"/>
                <w:sz w:val="20"/>
                <w:szCs w:val="20"/>
              </w:rPr>
              <w:t>-</w:t>
            </w:r>
            <w:r w:rsidR="006B2475" w:rsidRPr="003B5716">
              <w:rPr>
                <w:color w:val="000000"/>
                <w:sz w:val="20"/>
                <w:szCs w:val="20"/>
              </w:rPr>
              <w:t>0.</w:t>
            </w:r>
            <w:r w:rsidRPr="003B5716">
              <w:rPr>
                <w:color w:val="000000"/>
                <w:sz w:val="20"/>
                <w:szCs w:val="20"/>
              </w:rPr>
              <w:t>0</w:t>
            </w:r>
            <w:r w:rsidR="004464AF">
              <w:rPr>
                <w:color w:val="000000"/>
                <w:sz w:val="20"/>
                <w:szCs w:val="20"/>
              </w:rPr>
              <w:t>8</w:t>
            </w:r>
          </w:p>
        </w:tc>
        <w:tc>
          <w:tcPr>
            <w:tcW w:w="1701"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0.06</w:t>
            </w:r>
          </w:p>
        </w:tc>
      </w:tr>
      <w:tr w:rsidR="006B2475" w:rsidRPr="003B5716" w:rsidTr="004130CE">
        <w:trPr>
          <w:trHeight w:val="272"/>
        </w:trPr>
        <w:tc>
          <w:tcPr>
            <w:tcW w:w="2519" w:type="dxa"/>
            <w:shd w:val="clear" w:color="auto" w:fill="auto"/>
            <w:vAlign w:val="center"/>
            <w:hideMark/>
          </w:tcPr>
          <w:p w:rsidR="00366565" w:rsidRDefault="006B2475" w:rsidP="00942631">
            <w:pPr>
              <w:keepNext/>
              <w:jc w:val="both"/>
              <w:rPr>
                <w:color w:val="000000"/>
                <w:sz w:val="20"/>
                <w:szCs w:val="20"/>
              </w:rPr>
            </w:pPr>
            <w:r w:rsidRPr="003B5716">
              <w:rPr>
                <w:color w:val="000000"/>
                <w:sz w:val="20"/>
                <w:szCs w:val="20"/>
              </w:rPr>
              <w:t xml:space="preserve">Consumer Services </w:t>
            </w:r>
          </w:p>
        </w:tc>
        <w:tc>
          <w:tcPr>
            <w:tcW w:w="1303" w:type="dxa"/>
            <w:gridSpan w:val="2"/>
            <w:shd w:val="clear" w:color="auto" w:fill="auto"/>
            <w:vAlign w:val="center"/>
            <w:hideMark/>
          </w:tcPr>
          <w:p w:rsidR="006B2475" w:rsidRDefault="006B2475" w:rsidP="006B2475">
            <w:pPr>
              <w:jc w:val="right"/>
              <w:rPr>
                <w:color w:val="000000"/>
                <w:sz w:val="20"/>
                <w:szCs w:val="20"/>
              </w:rPr>
            </w:pPr>
            <w:r w:rsidRPr="003B5716">
              <w:rPr>
                <w:color w:val="000000"/>
                <w:sz w:val="20"/>
                <w:szCs w:val="20"/>
              </w:rPr>
              <w:t>17</w:t>
            </w:r>
          </w:p>
        </w:tc>
        <w:tc>
          <w:tcPr>
            <w:tcW w:w="1559" w:type="dxa"/>
            <w:gridSpan w:val="2"/>
            <w:shd w:val="clear" w:color="auto" w:fill="auto"/>
            <w:vAlign w:val="center"/>
            <w:hideMark/>
          </w:tcPr>
          <w:p w:rsidR="00366565" w:rsidRDefault="006F2CCA" w:rsidP="00942631">
            <w:pPr>
              <w:keepNext/>
              <w:jc w:val="right"/>
              <w:rPr>
                <w:color w:val="000000"/>
                <w:sz w:val="20"/>
                <w:szCs w:val="20"/>
              </w:rPr>
            </w:pPr>
            <w:r w:rsidRPr="00942631">
              <w:rPr>
                <w:color w:val="000000"/>
                <w:sz w:val="20"/>
                <w:szCs w:val="20"/>
              </w:rPr>
              <w:t>135</w:t>
            </w:r>
          </w:p>
        </w:tc>
        <w:tc>
          <w:tcPr>
            <w:tcW w:w="2240" w:type="dxa"/>
            <w:gridSpan w:val="3"/>
            <w:shd w:val="clear" w:color="auto" w:fill="auto"/>
            <w:noWrap/>
            <w:hideMark/>
          </w:tcPr>
          <w:p w:rsidR="00366565" w:rsidRDefault="006F2CCA" w:rsidP="00942631">
            <w:pPr>
              <w:keepNext/>
              <w:jc w:val="right"/>
              <w:rPr>
                <w:color w:val="000000"/>
                <w:sz w:val="20"/>
                <w:szCs w:val="20"/>
              </w:rPr>
            </w:pPr>
            <w:r w:rsidRPr="00610A2E">
              <w:rPr>
                <w:color w:val="000000"/>
                <w:sz w:val="20"/>
                <w:szCs w:val="20"/>
              </w:rPr>
              <w:t xml:space="preserve"> 77.04 </w:t>
            </w:r>
          </w:p>
        </w:tc>
        <w:tc>
          <w:tcPr>
            <w:tcW w:w="1163" w:type="dxa"/>
            <w:gridSpan w:val="2"/>
            <w:shd w:val="clear" w:color="auto" w:fill="auto"/>
            <w:vAlign w:val="bottom"/>
            <w:hideMark/>
          </w:tcPr>
          <w:p w:rsidR="00366565" w:rsidRDefault="006B2475" w:rsidP="00942631">
            <w:pPr>
              <w:keepNext/>
              <w:jc w:val="right"/>
              <w:rPr>
                <w:color w:val="000000"/>
                <w:sz w:val="20"/>
                <w:szCs w:val="20"/>
              </w:rPr>
            </w:pPr>
            <w:r w:rsidRPr="003B5716">
              <w:rPr>
                <w:color w:val="000000"/>
                <w:sz w:val="20"/>
                <w:szCs w:val="20"/>
              </w:rPr>
              <w:t>1.</w:t>
            </w:r>
            <w:r w:rsidR="001E7B8D" w:rsidRPr="003B5716">
              <w:rPr>
                <w:color w:val="000000"/>
                <w:sz w:val="20"/>
                <w:szCs w:val="20"/>
              </w:rPr>
              <w:t>2</w:t>
            </w:r>
            <w:r w:rsidR="004464AF">
              <w:rPr>
                <w:color w:val="000000"/>
                <w:sz w:val="20"/>
                <w:szCs w:val="20"/>
              </w:rPr>
              <w:t>7</w:t>
            </w:r>
          </w:p>
        </w:tc>
        <w:tc>
          <w:tcPr>
            <w:tcW w:w="1702"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w:t>
            </w:r>
            <w:r w:rsidR="001E7B8D" w:rsidRPr="003B5716">
              <w:rPr>
                <w:color w:val="000000"/>
                <w:sz w:val="20"/>
                <w:szCs w:val="20"/>
              </w:rPr>
              <w:t>1</w:t>
            </w:r>
            <w:r w:rsidR="001E7B8D">
              <w:rPr>
                <w:color w:val="000000"/>
                <w:sz w:val="20"/>
                <w:szCs w:val="20"/>
              </w:rPr>
              <w:t>9</w:t>
            </w:r>
          </w:p>
        </w:tc>
        <w:tc>
          <w:tcPr>
            <w:tcW w:w="1558" w:type="dxa"/>
            <w:gridSpan w:val="2"/>
            <w:shd w:val="clear" w:color="auto" w:fill="auto"/>
            <w:noWrap/>
            <w:vAlign w:val="bottom"/>
            <w:hideMark/>
          </w:tcPr>
          <w:p w:rsidR="00366565" w:rsidRDefault="001E7B8D" w:rsidP="00942631">
            <w:pPr>
              <w:keepNext/>
              <w:jc w:val="right"/>
              <w:rPr>
                <w:color w:val="000000"/>
                <w:sz w:val="20"/>
                <w:szCs w:val="20"/>
              </w:rPr>
            </w:pPr>
            <w:r>
              <w:rPr>
                <w:color w:val="000000"/>
                <w:sz w:val="20"/>
                <w:szCs w:val="20"/>
              </w:rPr>
              <w:t>-</w:t>
            </w:r>
            <w:r w:rsidR="006B2475" w:rsidRPr="003B5716">
              <w:rPr>
                <w:color w:val="000000"/>
                <w:sz w:val="20"/>
                <w:szCs w:val="20"/>
              </w:rPr>
              <w:t>0.</w:t>
            </w:r>
            <w:r w:rsidRPr="003B5716">
              <w:rPr>
                <w:color w:val="000000"/>
                <w:sz w:val="20"/>
                <w:szCs w:val="20"/>
              </w:rPr>
              <w:t>0</w:t>
            </w:r>
            <w:r w:rsidR="004464AF">
              <w:rPr>
                <w:color w:val="000000"/>
                <w:sz w:val="20"/>
                <w:szCs w:val="20"/>
              </w:rPr>
              <w:t>4</w:t>
            </w:r>
          </w:p>
        </w:tc>
        <w:tc>
          <w:tcPr>
            <w:tcW w:w="1701"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w:t>
            </w:r>
            <w:r w:rsidR="001E7B8D">
              <w:rPr>
                <w:color w:val="000000"/>
                <w:sz w:val="20"/>
                <w:szCs w:val="20"/>
              </w:rPr>
              <w:t>08</w:t>
            </w:r>
          </w:p>
        </w:tc>
      </w:tr>
      <w:tr w:rsidR="006B2475" w:rsidRPr="003B5716" w:rsidTr="004130CE">
        <w:trPr>
          <w:trHeight w:val="262"/>
        </w:trPr>
        <w:tc>
          <w:tcPr>
            <w:tcW w:w="2519" w:type="dxa"/>
            <w:shd w:val="clear" w:color="auto" w:fill="auto"/>
            <w:vAlign w:val="center"/>
            <w:hideMark/>
          </w:tcPr>
          <w:p w:rsidR="00366565" w:rsidRDefault="006B2475" w:rsidP="00942631">
            <w:pPr>
              <w:keepNext/>
              <w:jc w:val="both"/>
              <w:rPr>
                <w:color w:val="000000"/>
                <w:sz w:val="20"/>
                <w:szCs w:val="20"/>
              </w:rPr>
            </w:pPr>
            <w:r w:rsidRPr="003B5716">
              <w:rPr>
                <w:color w:val="000000"/>
                <w:sz w:val="20"/>
                <w:szCs w:val="20"/>
              </w:rPr>
              <w:t>Telecommunications</w:t>
            </w:r>
          </w:p>
        </w:tc>
        <w:tc>
          <w:tcPr>
            <w:tcW w:w="1303" w:type="dxa"/>
            <w:gridSpan w:val="2"/>
            <w:shd w:val="clear" w:color="auto" w:fill="auto"/>
            <w:vAlign w:val="center"/>
            <w:hideMark/>
          </w:tcPr>
          <w:p w:rsidR="006B2475" w:rsidRDefault="006B2475" w:rsidP="006B2475">
            <w:pPr>
              <w:jc w:val="right"/>
              <w:rPr>
                <w:color w:val="000000"/>
                <w:sz w:val="20"/>
                <w:szCs w:val="20"/>
              </w:rPr>
            </w:pPr>
            <w:r w:rsidRPr="003B5716">
              <w:rPr>
                <w:color w:val="000000"/>
                <w:sz w:val="20"/>
                <w:szCs w:val="20"/>
              </w:rPr>
              <w:t>12</w:t>
            </w:r>
          </w:p>
        </w:tc>
        <w:tc>
          <w:tcPr>
            <w:tcW w:w="1559" w:type="dxa"/>
            <w:gridSpan w:val="2"/>
            <w:shd w:val="clear" w:color="auto" w:fill="auto"/>
            <w:vAlign w:val="center"/>
            <w:hideMark/>
          </w:tcPr>
          <w:p w:rsidR="00366565" w:rsidRDefault="006F2CCA" w:rsidP="00942631">
            <w:pPr>
              <w:keepNext/>
              <w:jc w:val="right"/>
              <w:rPr>
                <w:color w:val="000000"/>
                <w:sz w:val="20"/>
                <w:szCs w:val="20"/>
              </w:rPr>
            </w:pPr>
            <w:r w:rsidRPr="00942631">
              <w:rPr>
                <w:color w:val="000000"/>
                <w:sz w:val="20"/>
                <w:szCs w:val="20"/>
              </w:rPr>
              <w:t>93</w:t>
            </w:r>
          </w:p>
        </w:tc>
        <w:tc>
          <w:tcPr>
            <w:tcW w:w="2240" w:type="dxa"/>
            <w:gridSpan w:val="3"/>
            <w:shd w:val="clear" w:color="auto" w:fill="auto"/>
            <w:noWrap/>
            <w:hideMark/>
          </w:tcPr>
          <w:p w:rsidR="00366565" w:rsidRDefault="006F2CCA" w:rsidP="00942631">
            <w:pPr>
              <w:keepNext/>
              <w:jc w:val="right"/>
              <w:rPr>
                <w:color w:val="000000"/>
                <w:sz w:val="20"/>
                <w:szCs w:val="20"/>
              </w:rPr>
            </w:pPr>
            <w:r w:rsidRPr="00610A2E">
              <w:rPr>
                <w:color w:val="000000"/>
                <w:sz w:val="20"/>
                <w:szCs w:val="20"/>
              </w:rPr>
              <w:t xml:space="preserve"> 92.47 </w:t>
            </w:r>
          </w:p>
        </w:tc>
        <w:tc>
          <w:tcPr>
            <w:tcW w:w="1163" w:type="dxa"/>
            <w:gridSpan w:val="2"/>
            <w:shd w:val="clear" w:color="auto" w:fill="auto"/>
            <w:vAlign w:val="bottom"/>
            <w:hideMark/>
          </w:tcPr>
          <w:p w:rsidR="00366565" w:rsidRDefault="006B2475" w:rsidP="00942631">
            <w:pPr>
              <w:keepNext/>
              <w:jc w:val="right"/>
              <w:rPr>
                <w:color w:val="000000"/>
                <w:sz w:val="20"/>
                <w:szCs w:val="20"/>
              </w:rPr>
            </w:pPr>
            <w:r w:rsidRPr="003B5716">
              <w:rPr>
                <w:color w:val="000000"/>
                <w:sz w:val="20"/>
                <w:szCs w:val="20"/>
              </w:rPr>
              <w:t>1.</w:t>
            </w:r>
            <w:r w:rsidR="001E7B8D">
              <w:rPr>
                <w:color w:val="000000"/>
                <w:sz w:val="20"/>
                <w:szCs w:val="20"/>
              </w:rPr>
              <w:t>4</w:t>
            </w:r>
            <w:r w:rsidR="004464AF">
              <w:rPr>
                <w:color w:val="000000"/>
                <w:sz w:val="20"/>
                <w:szCs w:val="20"/>
              </w:rPr>
              <w:t>9</w:t>
            </w:r>
          </w:p>
        </w:tc>
        <w:tc>
          <w:tcPr>
            <w:tcW w:w="1702"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w:t>
            </w:r>
            <w:r w:rsidR="001E7B8D" w:rsidRPr="003B5716">
              <w:rPr>
                <w:color w:val="000000"/>
                <w:sz w:val="20"/>
                <w:szCs w:val="20"/>
              </w:rPr>
              <w:t>2</w:t>
            </w:r>
            <w:r w:rsidR="004464AF">
              <w:rPr>
                <w:color w:val="000000"/>
                <w:sz w:val="20"/>
                <w:szCs w:val="20"/>
              </w:rPr>
              <w:t>6</w:t>
            </w:r>
          </w:p>
        </w:tc>
        <w:tc>
          <w:tcPr>
            <w:tcW w:w="1558" w:type="dxa"/>
            <w:gridSpan w:val="2"/>
            <w:shd w:val="clear" w:color="auto" w:fill="auto"/>
            <w:noWrap/>
            <w:vAlign w:val="bottom"/>
            <w:hideMark/>
          </w:tcPr>
          <w:p w:rsidR="00366565" w:rsidRDefault="001E7B8D" w:rsidP="00942631">
            <w:pPr>
              <w:keepNext/>
              <w:jc w:val="right"/>
              <w:rPr>
                <w:color w:val="000000"/>
                <w:sz w:val="20"/>
                <w:szCs w:val="20"/>
              </w:rPr>
            </w:pPr>
            <w:r>
              <w:rPr>
                <w:color w:val="000000"/>
                <w:sz w:val="20"/>
                <w:szCs w:val="20"/>
              </w:rPr>
              <w:t>-</w:t>
            </w:r>
            <w:r w:rsidR="006B2475" w:rsidRPr="003B5716">
              <w:rPr>
                <w:color w:val="000000"/>
                <w:sz w:val="20"/>
                <w:szCs w:val="20"/>
              </w:rPr>
              <w:t>0.</w:t>
            </w:r>
            <w:r w:rsidRPr="003B5716">
              <w:rPr>
                <w:color w:val="000000"/>
                <w:sz w:val="20"/>
                <w:szCs w:val="20"/>
              </w:rPr>
              <w:t>1</w:t>
            </w:r>
            <w:r>
              <w:rPr>
                <w:color w:val="000000"/>
                <w:sz w:val="20"/>
                <w:szCs w:val="20"/>
              </w:rPr>
              <w:t>0</w:t>
            </w:r>
          </w:p>
        </w:tc>
        <w:tc>
          <w:tcPr>
            <w:tcW w:w="1701"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0.08</w:t>
            </w:r>
          </w:p>
        </w:tc>
      </w:tr>
      <w:tr w:rsidR="006B2475" w:rsidRPr="003B5716" w:rsidTr="004130CE">
        <w:trPr>
          <w:trHeight w:val="266"/>
        </w:trPr>
        <w:tc>
          <w:tcPr>
            <w:tcW w:w="2519" w:type="dxa"/>
            <w:shd w:val="clear" w:color="auto" w:fill="auto"/>
            <w:vAlign w:val="center"/>
            <w:hideMark/>
          </w:tcPr>
          <w:p w:rsidR="00366565" w:rsidRDefault="006B2475" w:rsidP="00942631">
            <w:pPr>
              <w:keepNext/>
              <w:jc w:val="both"/>
              <w:rPr>
                <w:color w:val="000000"/>
                <w:sz w:val="20"/>
                <w:szCs w:val="20"/>
              </w:rPr>
            </w:pPr>
            <w:r w:rsidRPr="003B5716">
              <w:rPr>
                <w:color w:val="000000"/>
                <w:sz w:val="20"/>
                <w:szCs w:val="20"/>
              </w:rPr>
              <w:t>Health</w:t>
            </w:r>
          </w:p>
        </w:tc>
        <w:tc>
          <w:tcPr>
            <w:tcW w:w="1303" w:type="dxa"/>
            <w:gridSpan w:val="2"/>
            <w:shd w:val="clear" w:color="auto" w:fill="auto"/>
            <w:vAlign w:val="center"/>
            <w:hideMark/>
          </w:tcPr>
          <w:p w:rsidR="006B2475" w:rsidRDefault="006B2475" w:rsidP="006B2475">
            <w:pPr>
              <w:jc w:val="right"/>
              <w:rPr>
                <w:color w:val="000000"/>
                <w:sz w:val="20"/>
                <w:szCs w:val="20"/>
              </w:rPr>
            </w:pPr>
            <w:r w:rsidRPr="003B5716">
              <w:rPr>
                <w:color w:val="000000"/>
                <w:sz w:val="20"/>
                <w:szCs w:val="20"/>
              </w:rPr>
              <w:t>4</w:t>
            </w:r>
          </w:p>
        </w:tc>
        <w:tc>
          <w:tcPr>
            <w:tcW w:w="1559" w:type="dxa"/>
            <w:gridSpan w:val="2"/>
            <w:shd w:val="clear" w:color="auto" w:fill="auto"/>
            <w:vAlign w:val="center"/>
            <w:hideMark/>
          </w:tcPr>
          <w:p w:rsidR="00366565" w:rsidRDefault="006F2CCA" w:rsidP="00942631">
            <w:pPr>
              <w:keepNext/>
              <w:jc w:val="right"/>
              <w:rPr>
                <w:color w:val="000000"/>
                <w:sz w:val="20"/>
                <w:szCs w:val="20"/>
              </w:rPr>
            </w:pPr>
            <w:r w:rsidRPr="00942631">
              <w:rPr>
                <w:color w:val="000000"/>
                <w:sz w:val="20"/>
                <w:szCs w:val="20"/>
              </w:rPr>
              <w:t>40</w:t>
            </w:r>
          </w:p>
        </w:tc>
        <w:tc>
          <w:tcPr>
            <w:tcW w:w="2240" w:type="dxa"/>
            <w:gridSpan w:val="3"/>
            <w:shd w:val="clear" w:color="auto" w:fill="auto"/>
            <w:noWrap/>
            <w:hideMark/>
          </w:tcPr>
          <w:p w:rsidR="00366565" w:rsidRDefault="006F2CCA" w:rsidP="00942631">
            <w:pPr>
              <w:keepNext/>
              <w:jc w:val="right"/>
              <w:rPr>
                <w:color w:val="000000"/>
                <w:sz w:val="20"/>
                <w:szCs w:val="20"/>
              </w:rPr>
            </w:pPr>
            <w:r w:rsidRPr="00610A2E">
              <w:rPr>
                <w:color w:val="000000"/>
                <w:sz w:val="20"/>
                <w:szCs w:val="20"/>
              </w:rPr>
              <w:t xml:space="preserve"> 75.00 </w:t>
            </w:r>
          </w:p>
        </w:tc>
        <w:tc>
          <w:tcPr>
            <w:tcW w:w="1163" w:type="dxa"/>
            <w:gridSpan w:val="2"/>
            <w:shd w:val="clear" w:color="auto" w:fill="auto"/>
            <w:vAlign w:val="bottom"/>
            <w:hideMark/>
          </w:tcPr>
          <w:p w:rsidR="00366565" w:rsidRDefault="006B2475" w:rsidP="00942631">
            <w:pPr>
              <w:keepNext/>
              <w:jc w:val="right"/>
              <w:rPr>
                <w:color w:val="000000"/>
                <w:sz w:val="20"/>
                <w:szCs w:val="20"/>
              </w:rPr>
            </w:pPr>
            <w:r w:rsidRPr="003B5716">
              <w:rPr>
                <w:color w:val="000000"/>
                <w:sz w:val="20"/>
                <w:szCs w:val="20"/>
              </w:rPr>
              <w:t>1.</w:t>
            </w:r>
            <w:r w:rsidR="001E7B8D" w:rsidRPr="003B5716">
              <w:rPr>
                <w:color w:val="000000"/>
                <w:sz w:val="20"/>
                <w:szCs w:val="20"/>
              </w:rPr>
              <w:t>5</w:t>
            </w:r>
            <w:r w:rsidR="004464AF">
              <w:rPr>
                <w:color w:val="000000"/>
                <w:sz w:val="20"/>
                <w:szCs w:val="20"/>
              </w:rPr>
              <w:t>2</w:t>
            </w:r>
          </w:p>
        </w:tc>
        <w:tc>
          <w:tcPr>
            <w:tcW w:w="1702"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w:t>
            </w:r>
            <w:r w:rsidR="001E7B8D" w:rsidRPr="003B5716">
              <w:rPr>
                <w:color w:val="000000"/>
                <w:sz w:val="20"/>
                <w:szCs w:val="20"/>
              </w:rPr>
              <w:t>2</w:t>
            </w:r>
            <w:r w:rsidR="001E7B8D">
              <w:rPr>
                <w:color w:val="000000"/>
                <w:sz w:val="20"/>
                <w:szCs w:val="20"/>
              </w:rPr>
              <w:t>0</w:t>
            </w:r>
          </w:p>
        </w:tc>
        <w:tc>
          <w:tcPr>
            <w:tcW w:w="1558" w:type="dxa"/>
            <w:gridSpan w:val="2"/>
            <w:shd w:val="clear" w:color="auto" w:fill="auto"/>
            <w:noWrap/>
            <w:vAlign w:val="bottom"/>
            <w:hideMark/>
          </w:tcPr>
          <w:p w:rsidR="00366565" w:rsidRDefault="001E7B8D" w:rsidP="00942631">
            <w:pPr>
              <w:keepNext/>
              <w:jc w:val="right"/>
              <w:rPr>
                <w:color w:val="000000"/>
                <w:sz w:val="20"/>
                <w:szCs w:val="20"/>
              </w:rPr>
            </w:pPr>
            <w:r>
              <w:rPr>
                <w:color w:val="000000"/>
                <w:sz w:val="20"/>
                <w:szCs w:val="20"/>
              </w:rPr>
              <w:t>-</w:t>
            </w:r>
            <w:r w:rsidR="006B2475" w:rsidRPr="003B5716">
              <w:rPr>
                <w:color w:val="000000"/>
                <w:sz w:val="20"/>
                <w:szCs w:val="20"/>
              </w:rPr>
              <w:t>0.</w:t>
            </w:r>
            <w:r w:rsidR="004464AF">
              <w:rPr>
                <w:color w:val="000000"/>
                <w:sz w:val="20"/>
                <w:szCs w:val="20"/>
              </w:rPr>
              <w:t>10</w:t>
            </w:r>
          </w:p>
        </w:tc>
        <w:tc>
          <w:tcPr>
            <w:tcW w:w="1701" w:type="dxa"/>
            <w:gridSpan w:val="2"/>
            <w:shd w:val="clear" w:color="auto" w:fill="auto"/>
            <w:noWrap/>
            <w:vAlign w:val="bottom"/>
            <w:hideMark/>
          </w:tcPr>
          <w:p w:rsidR="00366565" w:rsidRDefault="006B2475" w:rsidP="00942631">
            <w:pPr>
              <w:keepNext/>
              <w:jc w:val="right"/>
              <w:rPr>
                <w:color w:val="000000"/>
                <w:sz w:val="20"/>
                <w:szCs w:val="20"/>
              </w:rPr>
            </w:pPr>
            <w:r w:rsidRPr="003B5716">
              <w:rPr>
                <w:color w:val="000000"/>
                <w:sz w:val="20"/>
                <w:szCs w:val="20"/>
              </w:rPr>
              <w:t>0.06</w:t>
            </w:r>
          </w:p>
        </w:tc>
      </w:tr>
      <w:tr w:rsidR="0062202E" w:rsidRPr="003B5716" w:rsidTr="009A658C">
        <w:trPr>
          <w:trHeight w:val="300"/>
        </w:trPr>
        <w:tc>
          <w:tcPr>
            <w:tcW w:w="2895" w:type="dxa"/>
            <w:gridSpan w:val="2"/>
            <w:shd w:val="clear" w:color="auto" w:fill="auto"/>
            <w:noWrap/>
            <w:vAlign w:val="bottom"/>
          </w:tcPr>
          <w:p w:rsidR="00366565" w:rsidRDefault="00366565" w:rsidP="004130CE">
            <w:pPr>
              <w:keepNext/>
              <w:rPr>
                <w:color w:val="000000"/>
                <w:sz w:val="20"/>
                <w:szCs w:val="20"/>
              </w:rPr>
            </w:pPr>
          </w:p>
        </w:tc>
        <w:tc>
          <w:tcPr>
            <w:tcW w:w="2508" w:type="dxa"/>
            <w:gridSpan w:val="4"/>
            <w:shd w:val="clear" w:color="auto" w:fill="auto"/>
            <w:noWrap/>
            <w:vAlign w:val="bottom"/>
          </w:tcPr>
          <w:p w:rsidR="00366565" w:rsidRDefault="0062202E" w:rsidP="004130CE">
            <w:pPr>
              <w:keepNext/>
              <w:rPr>
                <w:b/>
                <w:color w:val="000000"/>
                <w:sz w:val="20"/>
                <w:szCs w:val="20"/>
              </w:rPr>
            </w:pPr>
            <w:r w:rsidRPr="003B5716">
              <w:rPr>
                <w:b/>
                <w:color w:val="000000"/>
                <w:sz w:val="20"/>
                <w:szCs w:val="20"/>
              </w:rPr>
              <w:t>[a] All firms</w:t>
            </w:r>
          </w:p>
        </w:tc>
        <w:tc>
          <w:tcPr>
            <w:tcW w:w="2508" w:type="dxa"/>
            <w:gridSpan w:val="3"/>
            <w:shd w:val="clear" w:color="auto" w:fill="auto"/>
            <w:noWrap/>
            <w:vAlign w:val="bottom"/>
          </w:tcPr>
          <w:p w:rsidR="00366565" w:rsidRDefault="0062202E" w:rsidP="004130CE">
            <w:pPr>
              <w:keepNext/>
              <w:rPr>
                <w:b/>
                <w:color w:val="000000"/>
                <w:sz w:val="20"/>
                <w:szCs w:val="20"/>
              </w:rPr>
            </w:pPr>
            <w:r w:rsidRPr="003B5716">
              <w:rPr>
                <w:b/>
                <w:color w:val="000000"/>
                <w:sz w:val="20"/>
                <w:szCs w:val="20"/>
              </w:rPr>
              <w:t>[b] Family firms</w:t>
            </w:r>
          </w:p>
        </w:tc>
        <w:tc>
          <w:tcPr>
            <w:tcW w:w="3004" w:type="dxa"/>
            <w:gridSpan w:val="4"/>
            <w:shd w:val="clear" w:color="auto" w:fill="auto"/>
            <w:noWrap/>
            <w:vAlign w:val="bottom"/>
          </w:tcPr>
          <w:p w:rsidR="00366565" w:rsidRDefault="0062202E" w:rsidP="004130CE">
            <w:pPr>
              <w:keepNext/>
              <w:rPr>
                <w:b/>
                <w:color w:val="000000"/>
                <w:sz w:val="20"/>
                <w:szCs w:val="20"/>
              </w:rPr>
            </w:pPr>
            <w:r w:rsidRPr="003B5716">
              <w:rPr>
                <w:b/>
                <w:color w:val="000000"/>
                <w:sz w:val="20"/>
                <w:szCs w:val="20"/>
              </w:rPr>
              <w:t>[c] Non-family firms</w:t>
            </w:r>
          </w:p>
        </w:tc>
        <w:tc>
          <w:tcPr>
            <w:tcW w:w="2830" w:type="dxa"/>
            <w:gridSpan w:val="3"/>
            <w:shd w:val="clear" w:color="auto" w:fill="auto"/>
            <w:noWrap/>
            <w:vAlign w:val="bottom"/>
          </w:tcPr>
          <w:p w:rsidR="00366565" w:rsidRDefault="0062202E" w:rsidP="004130CE">
            <w:pPr>
              <w:keepNext/>
              <w:rPr>
                <w:b/>
                <w:color w:val="000000"/>
                <w:sz w:val="20"/>
                <w:szCs w:val="20"/>
              </w:rPr>
            </w:pPr>
            <w:r w:rsidRPr="003B5716">
              <w:rPr>
                <w:b/>
                <w:color w:val="000000"/>
                <w:sz w:val="20"/>
                <w:szCs w:val="20"/>
              </w:rPr>
              <w:t>Difference</w:t>
            </w:r>
            <w:r w:rsidR="00F10B83" w:rsidRPr="003B5716">
              <w:rPr>
                <w:b/>
                <w:color w:val="000000"/>
                <w:sz w:val="20"/>
                <w:szCs w:val="20"/>
              </w:rPr>
              <w:t>-in-mean</w:t>
            </w:r>
            <w:r w:rsidRPr="003B5716">
              <w:rPr>
                <w:b/>
                <w:color w:val="000000"/>
                <w:sz w:val="20"/>
                <w:szCs w:val="20"/>
              </w:rPr>
              <w:t>s</w:t>
            </w:r>
          </w:p>
        </w:tc>
      </w:tr>
      <w:tr w:rsidR="0062202E" w:rsidRPr="003B5716" w:rsidTr="009A658C">
        <w:trPr>
          <w:trHeight w:val="300"/>
        </w:trPr>
        <w:tc>
          <w:tcPr>
            <w:tcW w:w="2895"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Variables</w:t>
            </w:r>
          </w:p>
        </w:tc>
        <w:tc>
          <w:tcPr>
            <w:tcW w:w="1254"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Mean</w:t>
            </w:r>
          </w:p>
        </w:tc>
        <w:tc>
          <w:tcPr>
            <w:tcW w:w="1254"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S.D.</w:t>
            </w:r>
          </w:p>
        </w:tc>
        <w:tc>
          <w:tcPr>
            <w:tcW w:w="1254" w:type="dxa"/>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Mean</w:t>
            </w:r>
          </w:p>
        </w:tc>
        <w:tc>
          <w:tcPr>
            <w:tcW w:w="1254"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S.D.</w:t>
            </w:r>
          </w:p>
        </w:tc>
        <w:tc>
          <w:tcPr>
            <w:tcW w:w="1502"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Mean</w:t>
            </w:r>
          </w:p>
        </w:tc>
        <w:tc>
          <w:tcPr>
            <w:tcW w:w="1502"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S.D.</w:t>
            </w:r>
          </w:p>
        </w:tc>
        <w:tc>
          <w:tcPr>
            <w:tcW w:w="1554" w:type="dxa"/>
            <w:gridSpan w:val="2"/>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[b] – [c]</w:t>
            </w:r>
          </w:p>
        </w:tc>
        <w:tc>
          <w:tcPr>
            <w:tcW w:w="1276" w:type="dxa"/>
            <w:shd w:val="clear" w:color="auto" w:fill="auto"/>
            <w:noWrap/>
            <w:vAlign w:val="bottom"/>
            <w:hideMark/>
          </w:tcPr>
          <w:p w:rsidR="00366565" w:rsidRDefault="00A90CD1" w:rsidP="004130CE">
            <w:pPr>
              <w:keepNext/>
              <w:rPr>
                <w:i/>
                <w:color w:val="000000"/>
                <w:sz w:val="20"/>
                <w:szCs w:val="20"/>
                <w:u w:val="single"/>
              </w:rPr>
            </w:pPr>
            <w:r w:rsidRPr="003B5716">
              <w:rPr>
                <w:i/>
                <w:color w:val="000000"/>
                <w:sz w:val="20"/>
                <w:szCs w:val="20"/>
                <w:u w:val="single"/>
              </w:rPr>
              <w:t>t-statistic</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Tobin’s Q</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w:t>
            </w:r>
            <w:r w:rsidR="00A41F78">
              <w:rPr>
                <w:color w:val="000000"/>
                <w:sz w:val="20"/>
                <w:szCs w:val="20"/>
              </w:rPr>
              <w:t>3328</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A41F78">
              <w:rPr>
                <w:color w:val="000000"/>
                <w:sz w:val="20"/>
                <w:szCs w:val="20"/>
              </w:rPr>
              <w:t>6134</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1.3</w:t>
            </w:r>
            <w:r w:rsidR="00A41F78">
              <w:rPr>
                <w:color w:val="000000"/>
                <w:sz w:val="20"/>
                <w:szCs w:val="20"/>
              </w:rPr>
              <w:t>457</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0.5</w:t>
            </w:r>
            <w:r w:rsidR="00A41F78">
              <w:rPr>
                <w:color w:val="000000"/>
                <w:sz w:val="20"/>
                <w:szCs w:val="20"/>
              </w:rPr>
              <w:t>961</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w:t>
            </w:r>
            <w:r w:rsidR="00A41F78">
              <w:rPr>
                <w:color w:val="000000"/>
                <w:sz w:val="20"/>
                <w:szCs w:val="20"/>
              </w:rPr>
              <w:t>2913</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A41F78">
              <w:rPr>
                <w:color w:val="000000"/>
                <w:sz w:val="20"/>
                <w:szCs w:val="20"/>
              </w:rPr>
              <w:t>6659</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w:t>
            </w:r>
            <w:r w:rsidR="00A41F78">
              <w:rPr>
                <w:color w:val="000000"/>
                <w:sz w:val="20"/>
                <w:szCs w:val="20"/>
              </w:rPr>
              <w:t>139</w:t>
            </w:r>
          </w:p>
        </w:tc>
        <w:tc>
          <w:tcPr>
            <w:tcW w:w="1276"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A41F78">
              <w:rPr>
                <w:color w:val="000000"/>
                <w:sz w:val="20"/>
                <w:szCs w:val="20"/>
              </w:rPr>
              <w:t>3</w:t>
            </w:r>
            <w:r w:rsidRPr="003B5716">
              <w:rPr>
                <w:color w:val="000000"/>
                <w:sz w:val="20"/>
                <w:szCs w:val="20"/>
              </w:rPr>
              <w:t>0</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Market-to-book</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w:t>
            </w:r>
            <w:r w:rsidR="00A41F78">
              <w:rPr>
                <w:color w:val="000000"/>
                <w:sz w:val="20"/>
                <w:szCs w:val="20"/>
              </w:rPr>
              <w:t>7588</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1.4</w:t>
            </w:r>
            <w:r w:rsidR="00A41F78">
              <w:rPr>
                <w:color w:val="000000"/>
                <w:sz w:val="20"/>
                <w:szCs w:val="20"/>
              </w:rPr>
              <w:t>365</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w:t>
            </w:r>
            <w:r w:rsidR="00A41F78">
              <w:rPr>
                <w:color w:val="000000"/>
                <w:sz w:val="20"/>
                <w:szCs w:val="20"/>
              </w:rPr>
              <w:t>8133</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1.47</w:t>
            </w:r>
            <w:r w:rsidR="00A41F78">
              <w:rPr>
                <w:color w:val="000000"/>
                <w:sz w:val="20"/>
                <w:szCs w:val="20"/>
              </w:rPr>
              <w:t>28</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1.5</w:t>
            </w:r>
            <w:r w:rsidR="00A41F78">
              <w:rPr>
                <w:color w:val="000000"/>
                <w:sz w:val="20"/>
                <w:szCs w:val="20"/>
              </w:rPr>
              <w:t>83</w:t>
            </w:r>
            <w:r w:rsidRPr="003B5716">
              <w:rPr>
                <w:color w:val="000000"/>
                <w:sz w:val="20"/>
                <w:szCs w:val="20"/>
              </w:rPr>
              <w:t>7</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1.3</w:t>
            </w:r>
            <w:r w:rsidR="00A41F78">
              <w:rPr>
                <w:color w:val="000000"/>
                <w:sz w:val="20"/>
                <w:szCs w:val="20"/>
              </w:rPr>
              <w:t>010</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A41F78">
              <w:rPr>
                <w:color w:val="000000"/>
                <w:sz w:val="20"/>
                <w:szCs w:val="20"/>
              </w:rPr>
              <w:t>20</w:t>
            </w:r>
            <w:r w:rsidRPr="003B5716">
              <w:rPr>
                <w:color w:val="000000"/>
                <w:sz w:val="20"/>
                <w:szCs w:val="20"/>
              </w:rPr>
              <w:t>19</w:t>
            </w:r>
            <w:r w:rsidR="00A41F78">
              <w:rPr>
                <w:color w:val="000000"/>
                <w:sz w:val="20"/>
                <w:szCs w:val="20"/>
              </w:rPr>
              <w:t>*</w:t>
            </w:r>
          </w:p>
        </w:tc>
        <w:tc>
          <w:tcPr>
            <w:tcW w:w="1276"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w:t>
            </w:r>
            <w:r w:rsidR="00A41F78">
              <w:rPr>
                <w:color w:val="000000"/>
                <w:sz w:val="20"/>
                <w:szCs w:val="20"/>
              </w:rPr>
              <w:t>85</w:t>
            </w:r>
          </w:p>
        </w:tc>
      </w:tr>
      <w:tr w:rsidR="0062202E" w:rsidRPr="003B5716" w:rsidTr="009A658C">
        <w:trPr>
          <w:trHeight w:val="300"/>
        </w:trPr>
        <w:tc>
          <w:tcPr>
            <w:tcW w:w="2895" w:type="dxa"/>
            <w:gridSpan w:val="2"/>
            <w:shd w:val="clear" w:color="auto" w:fill="auto"/>
            <w:noWrap/>
            <w:vAlign w:val="bottom"/>
            <w:hideMark/>
          </w:tcPr>
          <w:p w:rsidR="00366565" w:rsidRDefault="00F10B83" w:rsidP="004130CE">
            <w:pPr>
              <w:keepNext/>
              <w:rPr>
                <w:color w:val="000000"/>
                <w:sz w:val="20"/>
                <w:szCs w:val="20"/>
              </w:rPr>
            </w:pPr>
            <w:r w:rsidRPr="003B5716">
              <w:rPr>
                <w:color w:val="000000"/>
                <w:sz w:val="20"/>
                <w:szCs w:val="20"/>
              </w:rPr>
              <w:t>Total risk</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w:t>
            </w:r>
            <w:r w:rsidR="004A127E">
              <w:rPr>
                <w:color w:val="000000"/>
                <w:sz w:val="20"/>
                <w:szCs w:val="20"/>
              </w:rPr>
              <w:t>417</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w:t>
            </w:r>
            <w:r w:rsidR="004A127E">
              <w:rPr>
                <w:color w:val="000000"/>
                <w:sz w:val="20"/>
                <w:szCs w:val="20"/>
              </w:rPr>
              <w:t>152</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w:t>
            </w:r>
            <w:r w:rsidR="004A127E">
              <w:rPr>
                <w:color w:val="000000"/>
                <w:sz w:val="20"/>
                <w:szCs w:val="20"/>
              </w:rPr>
              <w:t>530</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w:t>
            </w:r>
            <w:r w:rsidR="004A127E">
              <w:rPr>
                <w:color w:val="000000"/>
                <w:sz w:val="20"/>
                <w:szCs w:val="20"/>
              </w:rPr>
              <w:t>19</w:t>
            </w:r>
            <w:r w:rsidRPr="003B5716">
              <w:rPr>
                <w:color w:val="000000"/>
                <w:sz w:val="20"/>
                <w:szCs w:val="20"/>
              </w:rPr>
              <w:t>2</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0.20</w:t>
            </w:r>
            <w:r w:rsidR="004A127E">
              <w:rPr>
                <w:color w:val="000000"/>
                <w:sz w:val="20"/>
                <w:szCs w:val="20"/>
              </w:rPr>
              <w:t>73</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0.19</w:t>
            </w:r>
            <w:r w:rsidR="004A127E">
              <w:rPr>
                <w:color w:val="000000"/>
                <w:sz w:val="20"/>
                <w:szCs w:val="20"/>
              </w:rPr>
              <w:t>89</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0.03</w:t>
            </w:r>
            <w:r w:rsidR="004A127E">
              <w:rPr>
                <w:color w:val="000000"/>
                <w:sz w:val="20"/>
                <w:szCs w:val="20"/>
              </w:rPr>
              <w:t>8</w:t>
            </w:r>
            <w:r w:rsidRPr="003B5716">
              <w:rPr>
                <w:color w:val="000000"/>
                <w:sz w:val="20"/>
                <w:szCs w:val="20"/>
              </w:rPr>
              <w:t>2*</w:t>
            </w:r>
            <w:r w:rsidR="004A127E">
              <w:rPr>
                <w:color w:val="000000"/>
                <w:sz w:val="20"/>
                <w:szCs w:val="20"/>
              </w:rPr>
              <w:t>*</w:t>
            </w:r>
          </w:p>
        </w:tc>
        <w:tc>
          <w:tcPr>
            <w:tcW w:w="1276" w:type="dxa"/>
            <w:shd w:val="clear" w:color="auto" w:fill="auto"/>
            <w:noWrap/>
            <w:vAlign w:val="bottom"/>
            <w:hideMark/>
          </w:tcPr>
          <w:p w:rsidR="00366565" w:rsidRDefault="004A127E" w:rsidP="004130CE">
            <w:pPr>
              <w:keepNext/>
              <w:rPr>
                <w:color w:val="000000"/>
                <w:sz w:val="20"/>
                <w:szCs w:val="20"/>
              </w:rPr>
            </w:pPr>
            <w:r>
              <w:rPr>
                <w:color w:val="000000"/>
                <w:sz w:val="20"/>
                <w:szCs w:val="20"/>
              </w:rPr>
              <w:t>2</w:t>
            </w:r>
            <w:r w:rsidR="0062202E" w:rsidRPr="003B5716">
              <w:rPr>
                <w:color w:val="000000"/>
                <w:sz w:val="20"/>
                <w:szCs w:val="20"/>
              </w:rPr>
              <w:t>.</w:t>
            </w:r>
            <w:r>
              <w:rPr>
                <w:color w:val="000000"/>
                <w:sz w:val="20"/>
                <w:szCs w:val="20"/>
              </w:rPr>
              <w:t>3</w:t>
            </w:r>
            <w:r w:rsidR="0062202E" w:rsidRPr="003B5716">
              <w:rPr>
                <w:color w:val="000000"/>
                <w:sz w:val="20"/>
                <w:szCs w:val="20"/>
              </w:rPr>
              <w:t>4</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P</w:t>
            </w:r>
            <w:r w:rsidR="00F10B83" w:rsidRPr="003B5716">
              <w:rPr>
                <w:color w:val="000000"/>
                <w:sz w:val="20"/>
                <w:szCs w:val="20"/>
              </w:rPr>
              <w:t xml:space="preserve">erformance </w:t>
            </w:r>
            <w:r w:rsidRPr="003B5716">
              <w:rPr>
                <w:color w:val="000000"/>
                <w:sz w:val="20"/>
                <w:szCs w:val="20"/>
              </w:rPr>
              <w:t xml:space="preserve">hazard risk </w:t>
            </w:r>
          </w:p>
        </w:tc>
        <w:tc>
          <w:tcPr>
            <w:tcW w:w="1254" w:type="dxa"/>
            <w:gridSpan w:val="2"/>
            <w:shd w:val="clear" w:color="auto" w:fill="auto"/>
            <w:noWrap/>
            <w:vAlign w:val="bottom"/>
            <w:hideMark/>
          </w:tcPr>
          <w:p w:rsidR="00366565" w:rsidRDefault="00286854" w:rsidP="004130CE">
            <w:pPr>
              <w:keepNext/>
              <w:rPr>
                <w:color w:val="000000"/>
                <w:sz w:val="20"/>
                <w:szCs w:val="20"/>
              </w:rPr>
            </w:pPr>
            <w:r>
              <w:rPr>
                <w:color w:val="000000"/>
                <w:sz w:val="20"/>
                <w:szCs w:val="20"/>
              </w:rPr>
              <w:t>-</w:t>
            </w:r>
            <w:r w:rsidR="0062202E" w:rsidRPr="003B5716">
              <w:rPr>
                <w:color w:val="000000"/>
                <w:sz w:val="20"/>
                <w:szCs w:val="20"/>
              </w:rPr>
              <w:t>0.0</w:t>
            </w:r>
            <w:r>
              <w:rPr>
                <w:color w:val="000000"/>
                <w:sz w:val="20"/>
                <w:szCs w:val="20"/>
              </w:rPr>
              <w:t>71</w:t>
            </w:r>
            <w:r w:rsidR="0062202E" w:rsidRPr="003B5716">
              <w:rPr>
                <w:color w:val="000000"/>
                <w:sz w:val="20"/>
                <w:szCs w:val="20"/>
              </w:rPr>
              <w:t>4</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286854">
              <w:rPr>
                <w:color w:val="000000"/>
                <w:sz w:val="20"/>
                <w:szCs w:val="20"/>
              </w:rPr>
              <w:t>2243</w:t>
            </w:r>
          </w:p>
        </w:tc>
        <w:tc>
          <w:tcPr>
            <w:tcW w:w="1254" w:type="dxa"/>
            <w:shd w:val="clear" w:color="auto" w:fill="auto"/>
            <w:noWrap/>
            <w:vAlign w:val="bottom"/>
            <w:hideMark/>
          </w:tcPr>
          <w:p w:rsidR="00366565" w:rsidRDefault="00286854" w:rsidP="004130CE">
            <w:pPr>
              <w:keepNext/>
              <w:rPr>
                <w:color w:val="000000"/>
                <w:sz w:val="20"/>
                <w:szCs w:val="20"/>
              </w:rPr>
            </w:pPr>
            <w:r>
              <w:rPr>
                <w:color w:val="000000"/>
                <w:sz w:val="20"/>
                <w:szCs w:val="20"/>
              </w:rPr>
              <w:t>-</w:t>
            </w:r>
            <w:r w:rsidR="0062202E" w:rsidRPr="003B5716">
              <w:rPr>
                <w:color w:val="000000"/>
                <w:sz w:val="20"/>
                <w:szCs w:val="20"/>
              </w:rPr>
              <w:t>0.0</w:t>
            </w:r>
            <w:r>
              <w:rPr>
                <w:color w:val="000000"/>
                <w:sz w:val="20"/>
                <w:szCs w:val="20"/>
              </w:rPr>
              <w:t>823</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286854">
              <w:rPr>
                <w:color w:val="000000"/>
                <w:sz w:val="20"/>
                <w:szCs w:val="20"/>
              </w:rPr>
              <w:t>.227</w:t>
            </w:r>
            <w:r w:rsidRPr="003B5716">
              <w:rPr>
                <w:color w:val="000000"/>
                <w:sz w:val="20"/>
                <w:szCs w:val="20"/>
              </w:rPr>
              <w:t>4</w:t>
            </w:r>
          </w:p>
        </w:tc>
        <w:tc>
          <w:tcPr>
            <w:tcW w:w="1502" w:type="dxa"/>
            <w:gridSpan w:val="2"/>
            <w:shd w:val="clear" w:color="auto" w:fill="auto"/>
            <w:noWrap/>
            <w:vAlign w:val="bottom"/>
            <w:hideMark/>
          </w:tcPr>
          <w:p w:rsidR="00366565" w:rsidRDefault="00286854" w:rsidP="004130CE">
            <w:pPr>
              <w:keepNext/>
              <w:rPr>
                <w:color w:val="000000"/>
                <w:sz w:val="20"/>
                <w:szCs w:val="20"/>
              </w:rPr>
            </w:pPr>
            <w:r>
              <w:rPr>
                <w:color w:val="000000"/>
                <w:sz w:val="20"/>
                <w:szCs w:val="20"/>
              </w:rPr>
              <w:t>-</w:t>
            </w:r>
            <w:r w:rsidR="0062202E" w:rsidRPr="003B5716">
              <w:rPr>
                <w:color w:val="000000"/>
                <w:sz w:val="20"/>
                <w:szCs w:val="20"/>
              </w:rPr>
              <w:t>0.0</w:t>
            </w:r>
            <w:r>
              <w:rPr>
                <w:color w:val="000000"/>
                <w:sz w:val="20"/>
                <w:szCs w:val="20"/>
              </w:rPr>
              <w:t>369</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286854">
              <w:rPr>
                <w:color w:val="000000"/>
                <w:sz w:val="20"/>
                <w:szCs w:val="20"/>
              </w:rPr>
              <w:t>2</w:t>
            </w:r>
            <w:r w:rsidRPr="003B5716">
              <w:rPr>
                <w:color w:val="000000"/>
                <w:sz w:val="20"/>
                <w:szCs w:val="20"/>
              </w:rPr>
              <w:t>1</w:t>
            </w:r>
            <w:r w:rsidR="00286854">
              <w:rPr>
                <w:color w:val="000000"/>
                <w:sz w:val="20"/>
                <w:szCs w:val="20"/>
              </w:rPr>
              <w:t>07</w:t>
            </w:r>
          </w:p>
        </w:tc>
        <w:tc>
          <w:tcPr>
            <w:tcW w:w="1554" w:type="dxa"/>
            <w:gridSpan w:val="2"/>
            <w:shd w:val="clear" w:color="auto" w:fill="auto"/>
            <w:noWrap/>
            <w:vAlign w:val="bottom"/>
            <w:hideMark/>
          </w:tcPr>
          <w:p w:rsidR="00366565" w:rsidRDefault="00286854" w:rsidP="004130CE">
            <w:pPr>
              <w:keepNext/>
              <w:rPr>
                <w:color w:val="000000"/>
                <w:sz w:val="20"/>
                <w:szCs w:val="20"/>
              </w:rPr>
            </w:pPr>
            <w:r>
              <w:rPr>
                <w:color w:val="000000"/>
                <w:sz w:val="20"/>
                <w:szCs w:val="20"/>
              </w:rPr>
              <w:t>-</w:t>
            </w:r>
            <w:r w:rsidR="0062202E" w:rsidRPr="003B5716">
              <w:rPr>
                <w:color w:val="000000"/>
                <w:sz w:val="20"/>
                <w:szCs w:val="20"/>
              </w:rPr>
              <w:t>0.0</w:t>
            </w:r>
            <w:r>
              <w:rPr>
                <w:color w:val="000000"/>
                <w:sz w:val="20"/>
                <w:szCs w:val="20"/>
              </w:rPr>
              <w:t>845***</w:t>
            </w:r>
          </w:p>
        </w:tc>
        <w:tc>
          <w:tcPr>
            <w:tcW w:w="1276" w:type="dxa"/>
            <w:shd w:val="clear" w:color="auto" w:fill="auto"/>
            <w:noWrap/>
            <w:vAlign w:val="bottom"/>
            <w:hideMark/>
          </w:tcPr>
          <w:p w:rsidR="00366565" w:rsidRDefault="00286854" w:rsidP="004130CE">
            <w:pPr>
              <w:keepNext/>
              <w:rPr>
                <w:color w:val="000000"/>
                <w:sz w:val="20"/>
                <w:szCs w:val="20"/>
              </w:rPr>
            </w:pPr>
            <w:r>
              <w:rPr>
                <w:color w:val="000000"/>
                <w:sz w:val="20"/>
                <w:szCs w:val="20"/>
              </w:rPr>
              <w:t>-3.91</w:t>
            </w:r>
          </w:p>
        </w:tc>
      </w:tr>
      <w:tr w:rsidR="0062202E" w:rsidRPr="003B5716" w:rsidTr="009A658C">
        <w:trPr>
          <w:trHeight w:val="300"/>
        </w:trPr>
        <w:tc>
          <w:tcPr>
            <w:tcW w:w="2895" w:type="dxa"/>
            <w:gridSpan w:val="2"/>
            <w:shd w:val="clear" w:color="auto" w:fill="auto"/>
            <w:noWrap/>
            <w:vAlign w:val="bottom"/>
            <w:hideMark/>
          </w:tcPr>
          <w:p w:rsidR="00366565" w:rsidRDefault="00F10B83" w:rsidP="004130CE">
            <w:pPr>
              <w:keepNext/>
              <w:rPr>
                <w:color w:val="000000"/>
                <w:sz w:val="20"/>
                <w:szCs w:val="20"/>
              </w:rPr>
            </w:pPr>
            <w:r w:rsidRPr="003B5716">
              <w:rPr>
                <w:color w:val="000000"/>
                <w:sz w:val="20"/>
                <w:szCs w:val="20"/>
              </w:rPr>
              <w:t>Venturing risk</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0.08</w:t>
            </w:r>
            <w:r w:rsidR="00E60369">
              <w:rPr>
                <w:color w:val="000000"/>
                <w:sz w:val="20"/>
                <w:szCs w:val="20"/>
              </w:rPr>
              <w:t>13</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E60369">
              <w:rPr>
                <w:color w:val="000000"/>
                <w:sz w:val="20"/>
                <w:szCs w:val="20"/>
              </w:rPr>
              <w:t>0680</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w:t>
            </w:r>
            <w:r w:rsidR="00E60369">
              <w:rPr>
                <w:color w:val="000000"/>
                <w:sz w:val="20"/>
                <w:szCs w:val="20"/>
              </w:rPr>
              <w:t>867</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E60369">
              <w:rPr>
                <w:color w:val="000000"/>
                <w:sz w:val="20"/>
                <w:szCs w:val="20"/>
              </w:rPr>
              <w:t>0751</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w:t>
            </w:r>
            <w:r w:rsidR="00E60369">
              <w:rPr>
                <w:color w:val="000000"/>
                <w:sz w:val="20"/>
                <w:szCs w:val="20"/>
              </w:rPr>
              <w:t>6</w:t>
            </w:r>
            <w:r w:rsidRPr="003B5716">
              <w:rPr>
                <w:color w:val="000000"/>
                <w:sz w:val="20"/>
                <w:szCs w:val="20"/>
              </w:rPr>
              <w:t>4</w:t>
            </w:r>
            <w:r w:rsidR="00E60369">
              <w:rPr>
                <w:color w:val="000000"/>
                <w:sz w:val="20"/>
                <w:szCs w:val="20"/>
              </w:rPr>
              <w:t>0</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0.03</w:t>
            </w:r>
            <w:r w:rsidR="00E60369">
              <w:rPr>
                <w:color w:val="000000"/>
                <w:sz w:val="20"/>
                <w:szCs w:val="20"/>
              </w:rPr>
              <w:t>17</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w:t>
            </w:r>
            <w:r w:rsidR="00E60369">
              <w:rPr>
                <w:color w:val="000000"/>
                <w:sz w:val="20"/>
                <w:szCs w:val="20"/>
              </w:rPr>
              <w:t>219</w:t>
            </w:r>
            <w:r w:rsidRPr="003B5716">
              <w:rPr>
                <w:color w:val="000000"/>
                <w:sz w:val="20"/>
                <w:szCs w:val="20"/>
              </w:rPr>
              <w:t>***</w:t>
            </w:r>
          </w:p>
        </w:tc>
        <w:tc>
          <w:tcPr>
            <w:tcW w:w="1276" w:type="dxa"/>
            <w:shd w:val="clear" w:color="auto" w:fill="auto"/>
            <w:noWrap/>
            <w:vAlign w:val="bottom"/>
            <w:hideMark/>
          </w:tcPr>
          <w:p w:rsidR="00366565" w:rsidRDefault="00E60369" w:rsidP="004130CE">
            <w:pPr>
              <w:keepNext/>
              <w:rPr>
                <w:color w:val="000000"/>
                <w:sz w:val="20"/>
                <w:szCs w:val="20"/>
              </w:rPr>
            </w:pPr>
            <w:r>
              <w:rPr>
                <w:color w:val="000000"/>
                <w:sz w:val="20"/>
                <w:szCs w:val="20"/>
              </w:rPr>
              <w:t>4</w:t>
            </w:r>
            <w:r w:rsidR="0062202E" w:rsidRPr="003B5716">
              <w:rPr>
                <w:color w:val="000000"/>
                <w:sz w:val="20"/>
                <w:szCs w:val="20"/>
              </w:rPr>
              <w:t>.</w:t>
            </w:r>
            <w:r>
              <w:rPr>
                <w:color w:val="000000"/>
                <w:sz w:val="20"/>
                <w:szCs w:val="20"/>
              </w:rPr>
              <w:t>3</w:t>
            </w:r>
            <w:r w:rsidR="0062202E" w:rsidRPr="003B5716">
              <w:rPr>
                <w:color w:val="000000"/>
                <w:sz w:val="20"/>
                <w:szCs w:val="20"/>
              </w:rPr>
              <w:t>6</w:t>
            </w:r>
          </w:p>
        </w:tc>
      </w:tr>
      <w:tr w:rsidR="00634DC7" w:rsidRPr="003B5716" w:rsidTr="009A658C">
        <w:trPr>
          <w:trHeight w:val="300"/>
        </w:trPr>
        <w:tc>
          <w:tcPr>
            <w:tcW w:w="2895"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BD Index</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3.1</w:t>
            </w:r>
            <w:r w:rsidR="009C1CD2">
              <w:rPr>
                <w:color w:val="000000"/>
                <w:sz w:val="20"/>
                <w:szCs w:val="20"/>
              </w:rPr>
              <w:t>716</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0.7</w:t>
            </w:r>
            <w:r w:rsidR="009C1CD2">
              <w:rPr>
                <w:color w:val="000000"/>
                <w:sz w:val="20"/>
                <w:szCs w:val="20"/>
              </w:rPr>
              <w:t>35</w:t>
            </w:r>
            <w:r w:rsidRPr="003B5716">
              <w:rPr>
                <w:color w:val="000000"/>
                <w:sz w:val="20"/>
                <w:szCs w:val="20"/>
              </w:rPr>
              <w:t>5</w:t>
            </w:r>
          </w:p>
        </w:tc>
        <w:tc>
          <w:tcPr>
            <w:tcW w:w="1254" w:type="dxa"/>
            <w:shd w:val="clear" w:color="auto" w:fill="auto"/>
            <w:noWrap/>
            <w:vAlign w:val="bottom"/>
          </w:tcPr>
          <w:p w:rsidR="00366565" w:rsidRDefault="00634DC7" w:rsidP="004130CE">
            <w:pPr>
              <w:keepNext/>
              <w:rPr>
                <w:color w:val="000000"/>
                <w:sz w:val="20"/>
                <w:szCs w:val="20"/>
              </w:rPr>
            </w:pPr>
            <w:r w:rsidRPr="003B5716">
              <w:rPr>
                <w:color w:val="000000"/>
                <w:sz w:val="20"/>
                <w:szCs w:val="20"/>
              </w:rPr>
              <w:t>3.1</w:t>
            </w:r>
            <w:r w:rsidR="009C1CD2">
              <w:rPr>
                <w:color w:val="000000"/>
                <w:sz w:val="20"/>
                <w:szCs w:val="20"/>
              </w:rPr>
              <w:t>9</w:t>
            </w:r>
            <w:r w:rsidRPr="003B5716">
              <w:rPr>
                <w:color w:val="000000"/>
                <w:sz w:val="20"/>
                <w:szCs w:val="20"/>
              </w:rPr>
              <w:t>8</w:t>
            </w:r>
            <w:r w:rsidR="009C1CD2">
              <w:rPr>
                <w:color w:val="000000"/>
                <w:sz w:val="20"/>
                <w:szCs w:val="20"/>
              </w:rPr>
              <w:t>2</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0.7</w:t>
            </w:r>
            <w:r w:rsidR="009C1CD2">
              <w:rPr>
                <w:color w:val="000000"/>
                <w:sz w:val="20"/>
                <w:szCs w:val="20"/>
              </w:rPr>
              <w:t>043</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3.0</w:t>
            </w:r>
            <w:r w:rsidR="009C1CD2">
              <w:rPr>
                <w:color w:val="000000"/>
                <w:sz w:val="20"/>
                <w:szCs w:val="20"/>
              </w:rPr>
              <w:t>865</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0.8</w:t>
            </w:r>
            <w:r w:rsidR="009C1CD2">
              <w:rPr>
                <w:color w:val="000000"/>
                <w:sz w:val="20"/>
                <w:szCs w:val="20"/>
              </w:rPr>
              <w:t>23</w:t>
            </w:r>
            <w:r w:rsidRPr="003B5716">
              <w:rPr>
                <w:color w:val="000000"/>
                <w:sz w:val="20"/>
                <w:szCs w:val="20"/>
              </w:rPr>
              <w:t>7</w:t>
            </w:r>
          </w:p>
        </w:tc>
        <w:tc>
          <w:tcPr>
            <w:tcW w:w="15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9C1CD2">
              <w:rPr>
                <w:color w:val="000000"/>
                <w:sz w:val="20"/>
                <w:szCs w:val="20"/>
              </w:rPr>
              <w:t>0578</w:t>
            </w:r>
          </w:p>
        </w:tc>
        <w:tc>
          <w:tcPr>
            <w:tcW w:w="1276" w:type="dxa"/>
            <w:shd w:val="clear" w:color="auto" w:fill="auto"/>
            <w:noWrap/>
            <w:vAlign w:val="bottom"/>
          </w:tcPr>
          <w:p w:rsidR="00366565" w:rsidRDefault="009C1CD2" w:rsidP="004130CE">
            <w:pPr>
              <w:keepNext/>
              <w:rPr>
                <w:color w:val="000000"/>
                <w:sz w:val="20"/>
                <w:szCs w:val="20"/>
              </w:rPr>
            </w:pPr>
            <w:r>
              <w:rPr>
                <w:color w:val="000000"/>
                <w:sz w:val="20"/>
                <w:szCs w:val="20"/>
              </w:rPr>
              <w:t>1</w:t>
            </w:r>
            <w:r w:rsidR="00634DC7" w:rsidRPr="003B5716">
              <w:rPr>
                <w:color w:val="000000"/>
                <w:sz w:val="20"/>
                <w:szCs w:val="20"/>
              </w:rPr>
              <w:t>.0</w:t>
            </w:r>
            <w:r>
              <w:rPr>
                <w:color w:val="000000"/>
                <w:sz w:val="20"/>
                <w:szCs w:val="20"/>
              </w:rPr>
              <w:t>3</w:t>
            </w:r>
          </w:p>
        </w:tc>
      </w:tr>
      <w:tr w:rsidR="00634DC7" w:rsidRPr="003B5716" w:rsidTr="009A658C">
        <w:trPr>
          <w:trHeight w:val="300"/>
        </w:trPr>
        <w:tc>
          <w:tcPr>
            <w:tcW w:w="2895"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Control mechanisms</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0.6</w:t>
            </w:r>
            <w:r w:rsidR="00945DFF">
              <w:rPr>
                <w:color w:val="000000"/>
                <w:sz w:val="20"/>
                <w:szCs w:val="20"/>
              </w:rPr>
              <w:t>201</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0.4</w:t>
            </w:r>
            <w:r w:rsidR="00945DFF">
              <w:rPr>
                <w:color w:val="000000"/>
                <w:sz w:val="20"/>
                <w:szCs w:val="20"/>
              </w:rPr>
              <w:t>856</w:t>
            </w:r>
          </w:p>
        </w:tc>
        <w:tc>
          <w:tcPr>
            <w:tcW w:w="1254" w:type="dxa"/>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945DFF">
              <w:rPr>
                <w:color w:val="000000"/>
                <w:sz w:val="20"/>
                <w:szCs w:val="20"/>
              </w:rPr>
              <w:t>687</w:t>
            </w:r>
            <w:r w:rsidRPr="003B5716">
              <w:rPr>
                <w:color w:val="000000"/>
                <w:sz w:val="20"/>
                <w:szCs w:val="20"/>
              </w:rPr>
              <w:t>7</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0.4</w:t>
            </w:r>
            <w:r w:rsidR="00945DFF">
              <w:rPr>
                <w:color w:val="000000"/>
                <w:sz w:val="20"/>
                <w:szCs w:val="20"/>
              </w:rPr>
              <w:t>638</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0.4</w:t>
            </w:r>
            <w:r w:rsidR="00945DFF">
              <w:rPr>
                <w:color w:val="000000"/>
                <w:sz w:val="20"/>
                <w:szCs w:val="20"/>
              </w:rPr>
              <w:t>038</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0.49</w:t>
            </w:r>
            <w:r w:rsidR="00945DFF">
              <w:rPr>
                <w:color w:val="000000"/>
                <w:sz w:val="20"/>
                <w:szCs w:val="20"/>
              </w:rPr>
              <w:t>19</w:t>
            </w:r>
          </w:p>
        </w:tc>
        <w:tc>
          <w:tcPr>
            <w:tcW w:w="15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0.2</w:t>
            </w:r>
            <w:r w:rsidR="00945DFF">
              <w:rPr>
                <w:color w:val="000000"/>
                <w:sz w:val="20"/>
                <w:szCs w:val="20"/>
              </w:rPr>
              <w:t>747</w:t>
            </w:r>
            <w:r w:rsidRPr="003B5716">
              <w:rPr>
                <w:color w:val="000000"/>
                <w:sz w:val="20"/>
                <w:szCs w:val="20"/>
              </w:rPr>
              <w:t>***</w:t>
            </w:r>
          </w:p>
        </w:tc>
        <w:tc>
          <w:tcPr>
            <w:tcW w:w="1276" w:type="dxa"/>
            <w:shd w:val="clear" w:color="auto" w:fill="auto"/>
            <w:noWrap/>
            <w:vAlign w:val="bottom"/>
          </w:tcPr>
          <w:p w:rsidR="00366565" w:rsidRDefault="00945DFF" w:rsidP="004130CE">
            <w:pPr>
              <w:keepNext/>
              <w:rPr>
                <w:color w:val="000000"/>
                <w:sz w:val="20"/>
                <w:szCs w:val="20"/>
              </w:rPr>
            </w:pPr>
            <w:r>
              <w:rPr>
                <w:color w:val="000000"/>
                <w:sz w:val="20"/>
                <w:szCs w:val="20"/>
              </w:rPr>
              <w:t>7</w:t>
            </w:r>
            <w:r w:rsidR="00634DC7" w:rsidRPr="003B5716">
              <w:rPr>
                <w:color w:val="000000"/>
                <w:sz w:val="20"/>
                <w:szCs w:val="20"/>
              </w:rPr>
              <w:t>.</w:t>
            </w:r>
            <w:r>
              <w:rPr>
                <w:color w:val="000000"/>
                <w:sz w:val="20"/>
                <w:szCs w:val="20"/>
              </w:rPr>
              <w:t>68</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Size</w:t>
            </w:r>
            <w:r w:rsidR="00F10B83" w:rsidRPr="003B5716">
              <w:rPr>
                <w:color w:val="000000"/>
                <w:sz w:val="20"/>
                <w:szCs w:val="20"/>
              </w:rPr>
              <w:t xml:space="preserve"> (log)</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16.</w:t>
            </w:r>
            <w:r w:rsidR="00945DFF">
              <w:rPr>
                <w:color w:val="000000"/>
                <w:sz w:val="20"/>
                <w:szCs w:val="20"/>
              </w:rPr>
              <w:t>30</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1.69</w:t>
            </w:r>
            <w:r w:rsidR="00945DFF">
              <w:rPr>
                <w:color w:val="000000"/>
                <w:sz w:val="20"/>
                <w:szCs w:val="20"/>
              </w:rPr>
              <w:t>21</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16.</w:t>
            </w:r>
            <w:r w:rsidR="00945DFF">
              <w:rPr>
                <w:color w:val="000000"/>
                <w:sz w:val="20"/>
                <w:szCs w:val="20"/>
              </w:rPr>
              <w:t>2</w:t>
            </w:r>
            <w:r w:rsidRPr="003B5716">
              <w:rPr>
                <w:color w:val="000000"/>
                <w:sz w:val="20"/>
                <w:szCs w:val="20"/>
              </w:rPr>
              <w:t>0</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1.6</w:t>
            </w:r>
            <w:r w:rsidR="00945DFF">
              <w:rPr>
                <w:color w:val="000000"/>
                <w:sz w:val="20"/>
                <w:szCs w:val="20"/>
              </w:rPr>
              <w:t>236</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16.</w:t>
            </w:r>
            <w:r w:rsidR="00945DFF">
              <w:rPr>
                <w:color w:val="000000"/>
                <w:sz w:val="20"/>
                <w:szCs w:val="20"/>
              </w:rPr>
              <w:t>59</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1.8</w:t>
            </w:r>
            <w:r w:rsidR="00945DFF">
              <w:rPr>
                <w:color w:val="000000"/>
                <w:sz w:val="20"/>
                <w:szCs w:val="20"/>
              </w:rPr>
              <w:t>696</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w:t>
            </w:r>
            <w:r w:rsidR="00945DFF">
              <w:rPr>
                <w:color w:val="000000"/>
                <w:sz w:val="20"/>
                <w:szCs w:val="20"/>
              </w:rPr>
              <w:t>3843***</w:t>
            </w:r>
          </w:p>
        </w:tc>
        <w:tc>
          <w:tcPr>
            <w:tcW w:w="1276"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w:t>
            </w:r>
            <w:r w:rsidR="00945DFF">
              <w:rPr>
                <w:color w:val="000000"/>
                <w:sz w:val="20"/>
                <w:szCs w:val="20"/>
              </w:rPr>
              <w:t>3</w:t>
            </w:r>
            <w:r w:rsidRPr="003B5716">
              <w:rPr>
                <w:color w:val="000000"/>
                <w:sz w:val="20"/>
                <w:szCs w:val="20"/>
              </w:rPr>
              <w:t>.</w:t>
            </w:r>
            <w:r w:rsidR="00945DFF">
              <w:rPr>
                <w:color w:val="000000"/>
                <w:sz w:val="20"/>
                <w:szCs w:val="20"/>
              </w:rPr>
              <w:t>00</w:t>
            </w:r>
          </w:p>
        </w:tc>
      </w:tr>
      <w:tr w:rsidR="00634DC7" w:rsidRPr="003B5716" w:rsidTr="009A658C">
        <w:trPr>
          <w:trHeight w:val="300"/>
        </w:trPr>
        <w:tc>
          <w:tcPr>
            <w:tcW w:w="2895"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Leverage</w:t>
            </w:r>
            <w:r w:rsidR="00ED5BCA" w:rsidRPr="003B5716">
              <w:rPr>
                <w:color w:val="000000"/>
                <w:sz w:val="20"/>
                <w:szCs w:val="20"/>
              </w:rPr>
              <w:t xml:space="preserve"> (ratio)</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1.</w:t>
            </w:r>
            <w:r w:rsidR="00862156">
              <w:rPr>
                <w:color w:val="000000"/>
                <w:sz w:val="20"/>
                <w:szCs w:val="20"/>
              </w:rPr>
              <w:t>048</w:t>
            </w:r>
            <w:r w:rsidRPr="003B5716">
              <w:rPr>
                <w:color w:val="000000"/>
                <w:sz w:val="20"/>
                <w:szCs w:val="20"/>
              </w:rPr>
              <w:t>7</w:t>
            </w:r>
          </w:p>
        </w:tc>
        <w:tc>
          <w:tcPr>
            <w:tcW w:w="1254" w:type="dxa"/>
            <w:gridSpan w:val="2"/>
            <w:shd w:val="clear" w:color="auto" w:fill="auto"/>
            <w:noWrap/>
            <w:vAlign w:val="bottom"/>
          </w:tcPr>
          <w:p w:rsidR="00366565" w:rsidRDefault="00862156" w:rsidP="004130CE">
            <w:pPr>
              <w:keepNext/>
              <w:rPr>
                <w:color w:val="000000"/>
                <w:sz w:val="20"/>
                <w:szCs w:val="20"/>
              </w:rPr>
            </w:pPr>
            <w:r>
              <w:rPr>
                <w:color w:val="000000"/>
                <w:sz w:val="20"/>
                <w:szCs w:val="20"/>
              </w:rPr>
              <w:t>2</w:t>
            </w:r>
            <w:r w:rsidR="00634DC7" w:rsidRPr="003B5716">
              <w:rPr>
                <w:color w:val="000000"/>
                <w:sz w:val="20"/>
                <w:szCs w:val="20"/>
              </w:rPr>
              <w:t>.</w:t>
            </w:r>
            <w:r>
              <w:rPr>
                <w:color w:val="000000"/>
                <w:sz w:val="20"/>
                <w:szCs w:val="20"/>
              </w:rPr>
              <w:t>0671</w:t>
            </w:r>
          </w:p>
        </w:tc>
        <w:tc>
          <w:tcPr>
            <w:tcW w:w="1254" w:type="dxa"/>
            <w:shd w:val="clear" w:color="auto" w:fill="auto"/>
            <w:noWrap/>
            <w:vAlign w:val="bottom"/>
          </w:tcPr>
          <w:p w:rsidR="00366565" w:rsidRDefault="00634DC7" w:rsidP="004130CE">
            <w:pPr>
              <w:keepNext/>
              <w:rPr>
                <w:color w:val="000000"/>
                <w:sz w:val="20"/>
                <w:szCs w:val="20"/>
              </w:rPr>
            </w:pPr>
            <w:r w:rsidRPr="003B5716">
              <w:rPr>
                <w:color w:val="000000"/>
                <w:sz w:val="20"/>
                <w:szCs w:val="20"/>
              </w:rPr>
              <w:t>1.</w:t>
            </w:r>
            <w:r w:rsidR="00862156">
              <w:rPr>
                <w:color w:val="000000"/>
                <w:sz w:val="20"/>
                <w:szCs w:val="20"/>
              </w:rPr>
              <w:t>0858</w:t>
            </w:r>
          </w:p>
        </w:tc>
        <w:tc>
          <w:tcPr>
            <w:tcW w:w="1254" w:type="dxa"/>
            <w:gridSpan w:val="2"/>
            <w:shd w:val="clear" w:color="auto" w:fill="auto"/>
            <w:noWrap/>
            <w:vAlign w:val="bottom"/>
          </w:tcPr>
          <w:p w:rsidR="00366565" w:rsidRDefault="00862156" w:rsidP="004130CE">
            <w:pPr>
              <w:keepNext/>
              <w:rPr>
                <w:color w:val="000000"/>
                <w:sz w:val="20"/>
                <w:szCs w:val="20"/>
              </w:rPr>
            </w:pPr>
            <w:r>
              <w:rPr>
                <w:color w:val="000000"/>
                <w:sz w:val="20"/>
                <w:szCs w:val="20"/>
              </w:rPr>
              <w:t>2</w:t>
            </w:r>
            <w:r w:rsidR="00634DC7" w:rsidRPr="003B5716">
              <w:rPr>
                <w:color w:val="000000"/>
                <w:sz w:val="20"/>
                <w:szCs w:val="20"/>
              </w:rPr>
              <w:t>.17</w:t>
            </w:r>
            <w:r>
              <w:rPr>
                <w:color w:val="000000"/>
                <w:sz w:val="20"/>
                <w:szCs w:val="20"/>
              </w:rPr>
              <w:t>10</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0.9</w:t>
            </w:r>
            <w:r w:rsidR="00862156">
              <w:rPr>
                <w:color w:val="000000"/>
                <w:sz w:val="20"/>
                <w:szCs w:val="20"/>
              </w:rPr>
              <w:t>28</w:t>
            </w:r>
            <w:r w:rsidRPr="003B5716">
              <w:rPr>
                <w:color w:val="000000"/>
                <w:sz w:val="20"/>
                <w:szCs w:val="20"/>
              </w:rPr>
              <w:t>6</w:t>
            </w:r>
          </w:p>
        </w:tc>
        <w:tc>
          <w:tcPr>
            <w:tcW w:w="1502" w:type="dxa"/>
            <w:gridSpan w:val="2"/>
            <w:shd w:val="clear" w:color="auto" w:fill="auto"/>
            <w:noWrap/>
            <w:vAlign w:val="bottom"/>
          </w:tcPr>
          <w:p w:rsidR="00366565" w:rsidRDefault="00862156" w:rsidP="004130CE">
            <w:pPr>
              <w:keepNext/>
              <w:rPr>
                <w:color w:val="000000"/>
                <w:sz w:val="20"/>
                <w:szCs w:val="20"/>
              </w:rPr>
            </w:pPr>
            <w:r>
              <w:rPr>
                <w:color w:val="000000"/>
                <w:sz w:val="20"/>
                <w:szCs w:val="20"/>
              </w:rPr>
              <w:t>1</w:t>
            </w:r>
            <w:r w:rsidR="00634DC7" w:rsidRPr="003B5716">
              <w:rPr>
                <w:color w:val="000000"/>
                <w:sz w:val="20"/>
                <w:szCs w:val="20"/>
              </w:rPr>
              <w:t>.</w:t>
            </w:r>
            <w:r>
              <w:rPr>
                <w:color w:val="000000"/>
                <w:sz w:val="20"/>
                <w:szCs w:val="20"/>
              </w:rPr>
              <w:t>6859</w:t>
            </w:r>
          </w:p>
        </w:tc>
        <w:tc>
          <w:tcPr>
            <w:tcW w:w="15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862156">
              <w:rPr>
                <w:color w:val="000000"/>
                <w:sz w:val="20"/>
                <w:szCs w:val="20"/>
              </w:rPr>
              <w:t>1823</w:t>
            </w:r>
          </w:p>
        </w:tc>
        <w:tc>
          <w:tcPr>
            <w:tcW w:w="1276" w:type="dxa"/>
            <w:shd w:val="clear" w:color="auto" w:fill="auto"/>
            <w:noWrap/>
            <w:vAlign w:val="bottom"/>
          </w:tcPr>
          <w:p w:rsidR="00366565" w:rsidRDefault="00862156" w:rsidP="004130CE">
            <w:pPr>
              <w:keepNext/>
              <w:rPr>
                <w:color w:val="000000"/>
                <w:sz w:val="20"/>
                <w:szCs w:val="20"/>
              </w:rPr>
            </w:pPr>
            <w:r>
              <w:rPr>
                <w:color w:val="000000"/>
                <w:sz w:val="20"/>
                <w:szCs w:val="20"/>
              </w:rPr>
              <w:t>1</w:t>
            </w:r>
            <w:r w:rsidR="00634DC7" w:rsidRPr="003B5716">
              <w:rPr>
                <w:color w:val="000000"/>
                <w:sz w:val="20"/>
                <w:szCs w:val="20"/>
              </w:rPr>
              <w:t>.</w:t>
            </w:r>
            <w:r>
              <w:rPr>
                <w:color w:val="000000"/>
                <w:sz w:val="20"/>
                <w:szCs w:val="20"/>
              </w:rPr>
              <w:t>13</w:t>
            </w:r>
          </w:p>
        </w:tc>
      </w:tr>
      <w:tr w:rsidR="00AF4E7B" w:rsidRPr="003B5716" w:rsidTr="009A658C">
        <w:trPr>
          <w:trHeight w:val="300"/>
        </w:trPr>
        <w:tc>
          <w:tcPr>
            <w:tcW w:w="2895"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Dividend paid (ratio)</w:t>
            </w:r>
          </w:p>
        </w:tc>
        <w:tc>
          <w:tcPr>
            <w:tcW w:w="1254"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0.03</w:t>
            </w:r>
            <w:r w:rsidR="00862156">
              <w:rPr>
                <w:color w:val="000000"/>
                <w:sz w:val="20"/>
                <w:szCs w:val="20"/>
              </w:rPr>
              <w:t>22</w:t>
            </w:r>
          </w:p>
        </w:tc>
        <w:tc>
          <w:tcPr>
            <w:tcW w:w="1254"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0</w:t>
            </w:r>
            <w:r w:rsidR="00862156">
              <w:rPr>
                <w:color w:val="000000"/>
                <w:sz w:val="20"/>
                <w:szCs w:val="20"/>
              </w:rPr>
              <w:t>.06</w:t>
            </w:r>
            <w:r w:rsidRPr="003B5716">
              <w:rPr>
                <w:color w:val="000000"/>
                <w:sz w:val="20"/>
                <w:szCs w:val="20"/>
              </w:rPr>
              <w:t>8</w:t>
            </w:r>
            <w:r w:rsidR="00862156">
              <w:rPr>
                <w:color w:val="000000"/>
                <w:sz w:val="20"/>
                <w:szCs w:val="20"/>
              </w:rPr>
              <w:t>9</w:t>
            </w:r>
          </w:p>
        </w:tc>
        <w:tc>
          <w:tcPr>
            <w:tcW w:w="1254" w:type="dxa"/>
            <w:shd w:val="clear" w:color="auto" w:fill="auto"/>
            <w:noWrap/>
            <w:vAlign w:val="bottom"/>
          </w:tcPr>
          <w:p w:rsidR="00366565" w:rsidRDefault="00AF4E7B" w:rsidP="004130CE">
            <w:pPr>
              <w:keepNext/>
              <w:rPr>
                <w:color w:val="000000"/>
                <w:sz w:val="20"/>
                <w:szCs w:val="20"/>
              </w:rPr>
            </w:pPr>
            <w:r w:rsidRPr="003B5716">
              <w:rPr>
                <w:color w:val="000000"/>
                <w:sz w:val="20"/>
                <w:szCs w:val="20"/>
              </w:rPr>
              <w:t>0.02</w:t>
            </w:r>
            <w:r w:rsidR="00862156">
              <w:rPr>
                <w:color w:val="000000"/>
                <w:sz w:val="20"/>
                <w:szCs w:val="20"/>
              </w:rPr>
              <w:t>90</w:t>
            </w:r>
          </w:p>
        </w:tc>
        <w:tc>
          <w:tcPr>
            <w:tcW w:w="1254"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0.0</w:t>
            </w:r>
            <w:r w:rsidR="00862156">
              <w:rPr>
                <w:color w:val="000000"/>
                <w:sz w:val="20"/>
                <w:szCs w:val="20"/>
              </w:rPr>
              <w:t>60</w:t>
            </w:r>
            <w:r w:rsidRPr="003B5716">
              <w:rPr>
                <w:color w:val="000000"/>
                <w:sz w:val="20"/>
                <w:szCs w:val="20"/>
              </w:rPr>
              <w:t>5</w:t>
            </w:r>
          </w:p>
        </w:tc>
        <w:tc>
          <w:tcPr>
            <w:tcW w:w="1502"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0.0</w:t>
            </w:r>
            <w:r w:rsidR="00862156">
              <w:rPr>
                <w:color w:val="000000"/>
                <w:sz w:val="20"/>
                <w:szCs w:val="20"/>
              </w:rPr>
              <w:t>422</w:t>
            </w:r>
          </w:p>
        </w:tc>
        <w:tc>
          <w:tcPr>
            <w:tcW w:w="1502"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0.09</w:t>
            </w:r>
            <w:r w:rsidR="00862156">
              <w:rPr>
                <w:color w:val="000000"/>
                <w:sz w:val="20"/>
                <w:szCs w:val="20"/>
              </w:rPr>
              <w:t>04</w:t>
            </w:r>
          </w:p>
        </w:tc>
        <w:tc>
          <w:tcPr>
            <w:tcW w:w="1554" w:type="dxa"/>
            <w:gridSpan w:val="2"/>
            <w:shd w:val="clear" w:color="auto" w:fill="auto"/>
            <w:noWrap/>
            <w:vAlign w:val="bottom"/>
          </w:tcPr>
          <w:p w:rsidR="00366565" w:rsidRDefault="00AF4E7B" w:rsidP="004130CE">
            <w:pPr>
              <w:keepNext/>
              <w:rPr>
                <w:color w:val="000000"/>
                <w:sz w:val="20"/>
                <w:szCs w:val="20"/>
              </w:rPr>
            </w:pPr>
            <w:r w:rsidRPr="003B5716">
              <w:rPr>
                <w:color w:val="000000"/>
                <w:sz w:val="20"/>
                <w:szCs w:val="20"/>
              </w:rPr>
              <w:t>-0.0</w:t>
            </w:r>
            <w:r w:rsidR="00862156">
              <w:rPr>
                <w:color w:val="000000"/>
                <w:sz w:val="20"/>
                <w:szCs w:val="20"/>
              </w:rPr>
              <w:t>14</w:t>
            </w:r>
            <w:r w:rsidRPr="003B5716">
              <w:rPr>
                <w:color w:val="000000"/>
                <w:sz w:val="20"/>
                <w:szCs w:val="20"/>
              </w:rPr>
              <w:t>0</w:t>
            </w:r>
            <w:r w:rsidR="00862156">
              <w:rPr>
                <w:color w:val="000000"/>
                <w:sz w:val="20"/>
                <w:szCs w:val="20"/>
              </w:rPr>
              <w:t>**</w:t>
            </w:r>
            <w:r w:rsidR="00AF2599">
              <w:rPr>
                <w:color w:val="000000"/>
                <w:sz w:val="20"/>
                <w:szCs w:val="20"/>
              </w:rPr>
              <w:t>*</w:t>
            </w:r>
          </w:p>
        </w:tc>
        <w:tc>
          <w:tcPr>
            <w:tcW w:w="1276" w:type="dxa"/>
            <w:shd w:val="clear" w:color="auto" w:fill="auto"/>
            <w:noWrap/>
            <w:vAlign w:val="bottom"/>
          </w:tcPr>
          <w:p w:rsidR="00366565" w:rsidRDefault="00AF4E7B" w:rsidP="004130CE">
            <w:pPr>
              <w:keepNext/>
              <w:rPr>
                <w:color w:val="000000"/>
                <w:sz w:val="20"/>
                <w:szCs w:val="20"/>
              </w:rPr>
            </w:pPr>
            <w:r w:rsidRPr="003B5716">
              <w:rPr>
                <w:color w:val="000000"/>
                <w:sz w:val="20"/>
                <w:szCs w:val="20"/>
              </w:rPr>
              <w:t>-</w:t>
            </w:r>
            <w:r w:rsidR="00862156">
              <w:rPr>
                <w:color w:val="000000"/>
                <w:sz w:val="20"/>
                <w:szCs w:val="20"/>
              </w:rPr>
              <w:t>2</w:t>
            </w:r>
            <w:r w:rsidRPr="003B5716">
              <w:rPr>
                <w:color w:val="000000"/>
                <w:sz w:val="20"/>
                <w:szCs w:val="20"/>
              </w:rPr>
              <w:t>.</w:t>
            </w:r>
            <w:r w:rsidR="00862156">
              <w:rPr>
                <w:color w:val="000000"/>
                <w:sz w:val="20"/>
                <w:szCs w:val="20"/>
              </w:rPr>
              <w:t>64</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Fixed assets (ratio)</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0.42</w:t>
            </w:r>
            <w:r w:rsidR="00AF2599">
              <w:rPr>
                <w:color w:val="000000"/>
                <w:sz w:val="20"/>
                <w:szCs w:val="20"/>
              </w:rPr>
              <w:t>15</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0.21</w:t>
            </w:r>
            <w:r w:rsidR="00AF2599">
              <w:rPr>
                <w:color w:val="000000"/>
                <w:sz w:val="20"/>
                <w:szCs w:val="20"/>
              </w:rPr>
              <w:t>45</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0.4</w:t>
            </w:r>
            <w:r w:rsidR="00AF2599">
              <w:rPr>
                <w:color w:val="000000"/>
                <w:sz w:val="20"/>
                <w:szCs w:val="20"/>
              </w:rPr>
              <w:t>267</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0.21</w:t>
            </w:r>
            <w:r w:rsidR="00AF2599">
              <w:rPr>
                <w:color w:val="000000"/>
                <w:sz w:val="20"/>
                <w:szCs w:val="20"/>
              </w:rPr>
              <w:t>54</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0.4</w:t>
            </w:r>
            <w:r w:rsidR="00AF2599">
              <w:rPr>
                <w:color w:val="000000"/>
                <w:sz w:val="20"/>
                <w:szCs w:val="20"/>
              </w:rPr>
              <w:t>051</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0.211</w:t>
            </w:r>
            <w:r w:rsidR="00AF2599">
              <w:rPr>
                <w:color w:val="000000"/>
                <w:sz w:val="20"/>
                <w:szCs w:val="20"/>
              </w:rPr>
              <w:t>0</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w:t>
            </w:r>
            <w:r w:rsidR="00AF2599">
              <w:rPr>
                <w:color w:val="000000"/>
                <w:sz w:val="20"/>
                <w:szCs w:val="20"/>
              </w:rPr>
              <w:t>274*</w:t>
            </w:r>
          </w:p>
        </w:tc>
        <w:tc>
          <w:tcPr>
            <w:tcW w:w="1276" w:type="dxa"/>
            <w:shd w:val="clear" w:color="auto" w:fill="auto"/>
            <w:noWrap/>
            <w:vAlign w:val="bottom"/>
            <w:hideMark/>
          </w:tcPr>
          <w:p w:rsidR="00366565" w:rsidRDefault="00AF2599" w:rsidP="004130CE">
            <w:pPr>
              <w:keepNext/>
              <w:rPr>
                <w:color w:val="000000"/>
                <w:sz w:val="20"/>
                <w:szCs w:val="20"/>
              </w:rPr>
            </w:pPr>
            <w:r>
              <w:rPr>
                <w:color w:val="000000"/>
                <w:sz w:val="20"/>
                <w:szCs w:val="20"/>
              </w:rPr>
              <w:t>1</w:t>
            </w:r>
            <w:r w:rsidR="0062202E" w:rsidRPr="003B5716">
              <w:rPr>
                <w:color w:val="000000"/>
                <w:sz w:val="20"/>
                <w:szCs w:val="20"/>
              </w:rPr>
              <w:t>.6</w:t>
            </w:r>
            <w:r>
              <w:rPr>
                <w:color w:val="000000"/>
                <w:sz w:val="20"/>
                <w:szCs w:val="20"/>
              </w:rPr>
              <w:t>7</w:t>
            </w:r>
          </w:p>
        </w:tc>
      </w:tr>
      <w:tr w:rsidR="00634DC7" w:rsidRPr="003B5716" w:rsidTr="009A658C">
        <w:trPr>
          <w:trHeight w:val="300"/>
        </w:trPr>
        <w:tc>
          <w:tcPr>
            <w:tcW w:w="2895"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ADR</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EE5BCE">
              <w:rPr>
                <w:color w:val="000000"/>
                <w:sz w:val="20"/>
                <w:szCs w:val="20"/>
              </w:rPr>
              <w:t>232</w:t>
            </w:r>
            <w:r w:rsidRPr="003B5716">
              <w:rPr>
                <w:color w:val="000000"/>
                <w:sz w:val="20"/>
                <w:szCs w:val="20"/>
              </w:rPr>
              <w:t>3</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EE5BCE">
              <w:rPr>
                <w:color w:val="000000"/>
                <w:sz w:val="20"/>
                <w:szCs w:val="20"/>
              </w:rPr>
              <w:t>4225</w:t>
            </w:r>
          </w:p>
        </w:tc>
        <w:tc>
          <w:tcPr>
            <w:tcW w:w="1254" w:type="dxa"/>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EE5BCE">
              <w:rPr>
                <w:color w:val="000000"/>
                <w:sz w:val="20"/>
                <w:szCs w:val="20"/>
              </w:rPr>
              <w:t>.165</w:t>
            </w:r>
            <w:r w:rsidRPr="003B5716">
              <w:rPr>
                <w:color w:val="000000"/>
                <w:sz w:val="20"/>
                <w:szCs w:val="20"/>
              </w:rPr>
              <w:t>2</w:t>
            </w:r>
          </w:p>
        </w:tc>
        <w:tc>
          <w:tcPr>
            <w:tcW w:w="12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EE5BCE">
              <w:rPr>
                <w:color w:val="000000"/>
                <w:sz w:val="20"/>
                <w:szCs w:val="20"/>
              </w:rPr>
              <w:t>.371</w:t>
            </w:r>
            <w:r w:rsidRPr="003B5716">
              <w:rPr>
                <w:color w:val="000000"/>
                <w:sz w:val="20"/>
                <w:szCs w:val="20"/>
              </w:rPr>
              <w:t>6</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w:t>
            </w:r>
            <w:r w:rsidR="00EE5BCE">
              <w:rPr>
                <w:color w:val="000000"/>
                <w:sz w:val="20"/>
                <w:szCs w:val="20"/>
              </w:rPr>
              <w:t>4471</w:t>
            </w:r>
          </w:p>
        </w:tc>
        <w:tc>
          <w:tcPr>
            <w:tcW w:w="1502"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0.4</w:t>
            </w:r>
            <w:r w:rsidR="00EE5BCE">
              <w:rPr>
                <w:color w:val="000000"/>
                <w:sz w:val="20"/>
                <w:szCs w:val="20"/>
              </w:rPr>
              <w:t>984</w:t>
            </w:r>
          </w:p>
        </w:tc>
        <w:tc>
          <w:tcPr>
            <w:tcW w:w="1554"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w:t>
            </w:r>
            <w:r w:rsidR="00EE5BCE">
              <w:rPr>
                <w:color w:val="000000"/>
                <w:sz w:val="20"/>
                <w:szCs w:val="20"/>
              </w:rPr>
              <w:t>0.2</w:t>
            </w:r>
            <w:r w:rsidRPr="003B5716">
              <w:rPr>
                <w:color w:val="000000"/>
                <w:sz w:val="20"/>
                <w:szCs w:val="20"/>
              </w:rPr>
              <w:t>86</w:t>
            </w:r>
            <w:r w:rsidR="00EE5BCE">
              <w:rPr>
                <w:color w:val="000000"/>
                <w:sz w:val="20"/>
                <w:szCs w:val="20"/>
              </w:rPr>
              <w:t>4</w:t>
            </w:r>
            <w:r w:rsidRPr="003B5716">
              <w:rPr>
                <w:color w:val="000000"/>
                <w:sz w:val="20"/>
                <w:szCs w:val="20"/>
              </w:rPr>
              <w:t>***</w:t>
            </w:r>
          </w:p>
        </w:tc>
        <w:tc>
          <w:tcPr>
            <w:tcW w:w="1276" w:type="dxa"/>
            <w:shd w:val="clear" w:color="auto" w:fill="auto"/>
            <w:noWrap/>
            <w:vAlign w:val="bottom"/>
          </w:tcPr>
          <w:p w:rsidR="00366565" w:rsidRDefault="00634DC7" w:rsidP="004130CE">
            <w:pPr>
              <w:keepNext/>
              <w:rPr>
                <w:color w:val="000000"/>
                <w:sz w:val="20"/>
                <w:szCs w:val="20"/>
              </w:rPr>
            </w:pPr>
            <w:r w:rsidRPr="003B5716">
              <w:rPr>
                <w:color w:val="000000"/>
                <w:sz w:val="20"/>
                <w:szCs w:val="20"/>
              </w:rPr>
              <w:t>-</w:t>
            </w:r>
            <w:r w:rsidR="00EE5BCE">
              <w:rPr>
                <w:color w:val="000000"/>
                <w:sz w:val="20"/>
                <w:szCs w:val="20"/>
              </w:rPr>
              <w:t>9</w:t>
            </w:r>
            <w:r w:rsidRPr="003B5716">
              <w:rPr>
                <w:color w:val="000000"/>
                <w:sz w:val="20"/>
                <w:szCs w:val="20"/>
              </w:rPr>
              <w:t>.</w:t>
            </w:r>
            <w:r w:rsidR="00EE5BCE">
              <w:rPr>
                <w:color w:val="000000"/>
                <w:sz w:val="20"/>
                <w:szCs w:val="20"/>
              </w:rPr>
              <w:t>2</w:t>
            </w:r>
            <w:r w:rsidRPr="003B5716">
              <w:rPr>
                <w:color w:val="000000"/>
                <w:sz w:val="20"/>
                <w:szCs w:val="20"/>
              </w:rPr>
              <w:t>3</w:t>
            </w:r>
          </w:p>
        </w:tc>
      </w:tr>
      <w:tr w:rsidR="00634DC7" w:rsidRPr="003B5716" w:rsidTr="009A658C">
        <w:trPr>
          <w:trHeight w:val="300"/>
        </w:trPr>
        <w:tc>
          <w:tcPr>
            <w:tcW w:w="2895" w:type="dxa"/>
            <w:gridSpan w:val="2"/>
            <w:shd w:val="clear" w:color="auto" w:fill="auto"/>
            <w:noWrap/>
            <w:vAlign w:val="bottom"/>
          </w:tcPr>
          <w:p w:rsidR="00366565" w:rsidRDefault="00634DC7" w:rsidP="004130CE">
            <w:pPr>
              <w:keepNext/>
              <w:rPr>
                <w:color w:val="000000"/>
                <w:sz w:val="20"/>
                <w:szCs w:val="20"/>
              </w:rPr>
            </w:pPr>
            <w:r w:rsidRPr="003B5716">
              <w:rPr>
                <w:color w:val="000000"/>
                <w:sz w:val="20"/>
                <w:szCs w:val="20"/>
              </w:rPr>
              <w:t>Mexico City</w:t>
            </w:r>
          </w:p>
        </w:tc>
        <w:tc>
          <w:tcPr>
            <w:tcW w:w="1254" w:type="dxa"/>
            <w:gridSpan w:val="2"/>
            <w:shd w:val="clear" w:color="auto" w:fill="auto"/>
            <w:noWrap/>
            <w:vAlign w:val="bottom"/>
          </w:tcPr>
          <w:p w:rsidR="00366565" w:rsidRDefault="00B86AAC" w:rsidP="004130CE">
            <w:pPr>
              <w:keepNext/>
              <w:rPr>
                <w:color w:val="000000"/>
                <w:sz w:val="20"/>
                <w:szCs w:val="20"/>
              </w:rPr>
            </w:pPr>
            <w:r w:rsidRPr="003B5716">
              <w:rPr>
                <w:color w:val="000000"/>
                <w:sz w:val="20"/>
                <w:szCs w:val="20"/>
              </w:rPr>
              <w:t>0.546</w:t>
            </w:r>
            <w:r w:rsidR="006C6168">
              <w:rPr>
                <w:color w:val="000000"/>
                <w:sz w:val="20"/>
                <w:szCs w:val="20"/>
              </w:rPr>
              <w:t>9</w:t>
            </w:r>
          </w:p>
        </w:tc>
        <w:tc>
          <w:tcPr>
            <w:tcW w:w="1254" w:type="dxa"/>
            <w:gridSpan w:val="2"/>
            <w:shd w:val="clear" w:color="auto" w:fill="auto"/>
            <w:noWrap/>
            <w:vAlign w:val="bottom"/>
          </w:tcPr>
          <w:p w:rsidR="00366565" w:rsidRDefault="00B86AAC" w:rsidP="004130CE">
            <w:pPr>
              <w:keepNext/>
              <w:rPr>
                <w:color w:val="000000"/>
                <w:sz w:val="20"/>
                <w:szCs w:val="20"/>
              </w:rPr>
            </w:pPr>
            <w:r w:rsidRPr="003B5716">
              <w:rPr>
                <w:color w:val="000000"/>
                <w:sz w:val="20"/>
                <w:szCs w:val="20"/>
              </w:rPr>
              <w:t>0.498</w:t>
            </w:r>
            <w:r w:rsidR="006C6168">
              <w:rPr>
                <w:color w:val="000000"/>
                <w:sz w:val="20"/>
                <w:szCs w:val="20"/>
              </w:rPr>
              <w:t>1</w:t>
            </w:r>
          </w:p>
        </w:tc>
        <w:tc>
          <w:tcPr>
            <w:tcW w:w="1254" w:type="dxa"/>
            <w:shd w:val="clear" w:color="auto" w:fill="auto"/>
            <w:noWrap/>
            <w:vAlign w:val="bottom"/>
          </w:tcPr>
          <w:p w:rsidR="00366565" w:rsidRDefault="00B86AAC" w:rsidP="004130CE">
            <w:pPr>
              <w:keepNext/>
              <w:rPr>
                <w:color w:val="000000"/>
                <w:sz w:val="20"/>
                <w:szCs w:val="20"/>
              </w:rPr>
            </w:pPr>
            <w:r w:rsidRPr="003B5716">
              <w:rPr>
                <w:color w:val="000000"/>
                <w:sz w:val="20"/>
                <w:szCs w:val="20"/>
              </w:rPr>
              <w:t>0.53</w:t>
            </w:r>
            <w:r w:rsidR="006C6168">
              <w:rPr>
                <w:color w:val="000000"/>
                <w:sz w:val="20"/>
                <w:szCs w:val="20"/>
              </w:rPr>
              <w:t>75</w:t>
            </w:r>
          </w:p>
        </w:tc>
        <w:tc>
          <w:tcPr>
            <w:tcW w:w="1254" w:type="dxa"/>
            <w:gridSpan w:val="2"/>
            <w:shd w:val="clear" w:color="auto" w:fill="auto"/>
            <w:noWrap/>
            <w:vAlign w:val="bottom"/>
          </w:tcPr>
          <w:p w:rsidR="00366565" w:rsidRDefault="00B86AAC" w:rsidP="004130CE">
            <w:pPr>
              <w:keepNext/>
              <w:rPr>
                <w:color w:val="000000"/>
                <w:sz w:val="20"/>
                <w:szCs w:val="20"/>
              </w:rPr>
            </w:pPr>
            <w:r w:rsidRPr="003B5716">
              <w:rPr>
                <w:color w:val="000000"/>
                <w:sz w:val="20"/>
                <w:szCs w:val="20"/>
              </w:rPr>
              <w:t>0.49</w:t>
            </w:r>
            <w:r w:rsidR="006C6168">
              <w:rPr>
                <w:color w:val="000000"/>
                <w:sz w:val="20"/>
                <w:szCs w:val="20"/>
              </w:rPr>
              <w:t>90</w:t>
            </w:r>
          </w:p>
        </w:tc>
        <w:tc>
          <w:tcPr>
            <w:tcW w:w="1502" w:type="dxa"/>
            <w:gridSpan w:val="2"/>
            <w:shd w:val="clear" w:color="auto" w:fill="auto"/>
            <w:noWrap/>
            <w:vAlign w:val="bottom"/>
          </w:tcPr>
          <w:p w:rsidR="00366565" w:rsidRDefault="00B86AAC" w:rsidP="004130CE">
            <w:pPr>
              <w:keepNext/>
              <w:rPr>
                <w:color w:val="000000"/>
                <w:sz w:val="20"/>
                <w:szCs w:val="20"/>
              </w:rPr>
            </w:pPr>
            <w:r w:rsidRPr="003B5716">
              <w:rPr>
                <w:color w:val="000000"/>
                <w:sz w:val="20"/>
                <w:szCs w:val="20"/>
              </w:rPr>
              <w:t>0.57</w:t>
            </w:r>
            <w:r w:rsidR="006C6168">
              <w:rPr>
                <w:color w:val="000000"/>
                <w:sz w:val="20"/>
                <w:szCs w:val="20"/>
              </w:rPr>
              <w:t>69</w:t>
            </w:r>
          </w:p>
        </w:tc>
        <w:tc>
          <w:tcPr>
            <w:tcW w:w="1502" w:type="dxa"/>
            <w:gridSpan w:val="2"/>
            <w:shd w:val="clear" w:color="auto" w:fill="auto"/>
            <w:noWrap/>
            <w:vAlign w:val="bottom"/>
          </w:tcPr>
          <w:p w:rsidR="00366565" w:rsidRDefault="00B86AAC" w:rsidP="004130CE">
            <w:pPr>
              <w:keepNext/>
              <w:rPr>
                <w:color w:val="000000"/>
                <w:sz w:val="20"/>
                <w:szCs w:val="20"/>
              </w:rPr>
            </w:pPr>
            <w:r w:rsidRPr="003B5716">
              <w:rPr>
                <w:color w:val="000000"/>
                <w:sz w:val="20"/>
                <w:szCs w:val="20"/>
              </w:rPr>
              <w:t>0.</w:t>
            </w:r>
            <w:r w:rsidR="006C6168">
              <w:rPr>
                <w:color w:val="000000"/>
                <w:sz w:val="20"/>
                <w:szCs w:val="20"/>
              </w:rPr>
              <w:t>49</w:t>
            </w:r>
            <w:r w:rsidRPr="003B5716">
              <w:rPr>
                <w:color w:val="000000"/>
                <w:sz w:val="20"/>
                <w:szCs w:val="20"/>
              </w:rPr>
              <w:t>5</w:t>
            </w:r>
            <w:r w:rsidR="006C6168">
              <w:rPr>
                <w:color w:val="000000"/>
                <w:sz w:val="20"/>
                <w:szCs w:val="20"/>
              </w:rPr>
              <w:t>2</w:t>
            </w:r>
          </w:p>
        </w:tc>
        <w:tc>
          <w:tcPr>
            <w:tcW w:w="1554" w:type="dxa"/>
            <w:gridSpan w:val="2"/>
            <w:shd w:val="clear" w:color="auto" w:fill="auto"/>
            <w:noWrap/>
            <w:vAlign w:val="bottom"/>
          </w:tcPr>
          <w:p w:rsidR="00366565" w:rsidRDefault="006C6168" w:rsidP="004130CE">
            <w:pPr>
              <w:keepNext/>
              <w:rPr>
                <w:color w:val="000000"/>
                <w:sz w:val="20"/>
                <w:szCs w:val="20"/>
              </w:rPr>
            </w:pPr>
            <w:r>
              <w:rPr>
                <w:color w:val="000000"/>
                <w:sz w:val="20"/>
                <w:szCs w:val="20"/>
              </w:rPr>
              <w:t>-</w:t>
            </w:r>
            <w:r w:rsidR="00B86AAC" w:rsidRPr="003B5716">
              <w:rPr>
                <w:color w:val="000000"/>
                <w:sz w:val="20"/>
                <w:szCs w:val="20"/>
              </w:rPr>
              <w:t>0.04</w:t>
            </w:r>
            <w:r>
              <w:rPr>
                <w:color w:val="000000"/>
                <w:sz w:val="20"/>
                <w:szCs w:val="20"/>
              </w:rPr>
              <w:t>13</w:t>
            </w:r>
          </w:p>
        </w:tc>
        <w:tc>
          <w:tcPr>
            <w:tcW w:w="1276" w:type="dxa"/>
            <w:shd w:val="clear" w:color="auto" w:fill="auto"/>
            <w:noWrap/>
            <w:vAlign w:val="bottom"/>
          </w:tcPr>
          <w:p w:rsidR="00366565" w:rsidRDefault="006C6168" w:rsidP="004130CE">
            <w:pPr>
              <w:keepNext/>
              <w:rPr>
                <w:color w:val="000000"/>
                <w:sz w:val="20"/>
                <w:szCs w:val="20"/>
              </w:rPr>
            </w:pPr>
            <w:r>
              <w:rPr>
                <w:color w:val="000000"/>
                <w:sz w:val="20"/>
                <w:szCs w:val="20"/>
              </w:rPr>
              <w:t>-1</w:t>
            </w:r>
            <w:r w:rsidR="00B86AAC" w:rsidRPr="003B5716">
              <w:rPr>
                <w:color w:val="000000"/>
                <w:sz w:val="20"/>
                <w:szCs w:val="20"/>
              </w:rPr>
              <w:t>.0</w:t>
            </w:r>
            <w:r>
              <w:rPr>
                <w:color w:val="000000"/>
                <w:sz w:val="20"/>
                <w:szCs w:val="20"/>
              </w:rPr>
              <w:t>9</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Firm age (years)</w:t>
            </w:r>
          </w:p>
        </w:tc>
        <w:tc>
          <w:tcPr>
            <w:tcW w:w="1254" w:type="dxa"/>
            <w:gridSpan w:val="2"/>
            <w:shd w:val="clear" w:color="auto" w:fill="auto"/>
            <w:noWrap/>
            <w:vAlign w:val="bottom"/>
            <w:hideMark/>
          </w:tcPr>
          <w:p w:rsidR="00366565" w:rsidRDefault="006406C6" w:rsidP="004130CE">
            <w:pPr>
              <w:keepNext/>
              <w:rPr>
                <w:color w:val="000000"/>
                <w:sz w:val="20"/>
                <w:szCs w:val="20"/>
              </w:rPr>
            </w:pPr>
            <w:r>
              <w:rPr>
                <w:color w:val="000000"/>
                <w:sz w:val="20"/>
                <w:szCs w:val="20"/>
              </w:rPr>
              <w:t>30</w:t>
            </w:r>
            <w:r w:rsidR="0062202E" w:rsidRPr="003B5716">
              <w:rPr>
                <w:color w:val="000000"/>
                <w:sz w:val="20"/>
                <w:szCs w:val="20"/>
              </w:rPr>
              <w:t>.</w:t>
            </w:r>
            <w:r>
              <w:rPr>
                <w:color w:val="000000"/>
                <w:sz w:val="20"/>
                <w:szCs w:val="20"/>
              </w:rPr>
              <w:t>28</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19.</w:t>
            </w:r>
            <w:r w:rsidR="006406C6">
              <w:rPr>
                <w:color w:val="000000"/>
                <w:sz w:val="20"/>
                <w:szCs w:val="20"/>
              </w:rPr>
              <w:t>42</w:t>
            </w:r>
          </w:p>
        </w:tc>
        <w:tc>
          <w:tcPr>
            <w:tcW w:w="1254" w:type="dxa"/>
            <w:shd w:val="clear" w:color="auto" w:fill="auto"/>
            <w:noWrap/>
            <w:vAlign w:val="bottom"/>
            <w:hideMark/>
          </w:tcPr>
          <w:p w:rsidR="00366565" w:rsidRDefault="006406C6" w:rsidP="004130CE">
            <w:pPr>
              <w:keepNext/>
              <w:rPr>
                <w:color w:val="000000"/>
                <w:sz w:val="20"/>
                <w:szCs w:val="20"/>
              </w:rPr>
            </w:pPr>
            <w:r>
              <w:rPr>
                <w:color w:val="000000"/>
                <w:sz w:val="20"/>
                <w:szCs w:val="20"/>
              </w:rPr>
              <w:t>30</w:t>
            </w:r>
            <w:r w:rsidR="0062202E" w:rsidRPr="003B5716">
              <w:rPr>
                <w:color w:val="000000"/>
                <w:sz w:val="20"/>
                <w:szCs w:val="20"/>
              </w:rPr>
              <w:t>.2</w:t>
            </w:r>
            <w:r>
              <w:rPr>
                <w:color w:val="000000"/>
                <w:sz w:val="20"/>
                <w:szCs w:val="20"/>
              </w:rPr>
              <w:t>4</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18.</w:t>
            </w:r>
            <w:r w:rsidR="006406C6">
              <w:rPr>
                <w:color w:val="000000"/>
                <w:sz w:val="20"/>
                <w:szCs w:val="20"/>
              </w:rPr>
              <w:t>34</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30.</w:t>
            </w:r>
            <w:r w:rsidR="006406C6">
              <w:rPr>
                <w:color w:val="000000"/>
                <w:sz w:val="20"/>
                <w:szCs w:val="20"/>
              </w:rPr>
              <w:t>38</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2</w:t>
            </w:r>
            <w:r w:rsidR="006406C6">
              <w:rPr>
                <w:color w:val="000000"/>
                <w:sz w:val="20"/>
                <w:szCs w:val="20"/>
              </w:rPr>
              <w:t>2</w:t>
            </w:r>
            <w:r w:rsidRPr="003B5716">
              <w:rPr>
                <w:color w:val="000000"/>
                <w:sz w:val="20"/>
                <w:szCs w:val="20"/>
              </w:rPr>
              <w:t>.</w:t>
            </w:r>
            <w:r w:rsidR="006406C6">
              <w:rPr>
                <w:color w:val="000000"/>
                <w:sz w:val="20"/>
                <w:szCs w:val="20"/>
              </w:rPr>
              <w:t>56</w:t>
            </w:r>
          </w:p>
        </w:tc>
        <w:tc>
          <w:tcPr>
            <w:tcW w:w="1554" w:type="dxa"/>
            <w:gridSpan w:val="2"/>
            <w:shd w:val="clear" w:color="auto" w:fill="auto"/>
            <w:noWrap/>
            <w:vAlign w:val="bottom"/>
            <w:hideMark/>
          </w:tcPr>
          <w:p w:rsidR="00366565" w:rsidRDefault="006406C6" w:rsidP="004130CE">
            <w:pPr>
              <w:keepNext/>
              <w:rPr>
                <w:color w:val="000000"/>
                <w:sz w:val="20"/>
                <w:szCs w:val="20"/>
              </w:rPr>
            </w:pPr>
            <w:r>
              <w:rPr>
                <w:color w:val="000000"/>
                <w:sz w:val="20"/>
                <w:szCs w:val="20"/>
              </w:rPr>
              <w:t>0</w:t>
            </w:r>
            <w:r w:rsidR="0062202E" w:rsidRPr="003B5716">
              <w:rPr>
                <w:color w:val="000000"/>
                <w:sz w:val="20"/>
                <w:szCs w:val="20"/>
              </w:rPr>
              <w:t>.</w:t>
            </w:r>
            <w:r>
              <w:rPr>
                <w:color w:val="000000"/>
                <w:sz w:val="20"/>
                <w:szCs w:val="20"/>
              </w:rPr>
              <w:t>0257</w:t>
            </w:r>
          </w:p>
        </w:tc>
        <w:tc>
          <w:tcPr>
            <w:tcW w:w="1276" w:type="dxa"/>
            <w:shd w:val="clear" w:color="auto" w:fill="auto"/>
            <w:noWrap/>
            <w:vAlign w:val="bottom"/>
            <w:hideMark/>
          </w:tcPr>
          <w:p w:rsidR="00366565" w:rsidRDefault="006406C6" w:rsidP="004130CE">
            <w:pPr>
              <w:keepNext/>
              <w:rPr>
                <w:color w:val="000000"/>
                <w:sz w:val="20"/>
                <w:szCs w:val="20"/>
              </w:rPr>
            </w:pPr>
            <w:r>
              <w:rPr>
                <w:color w:val="000000"/>
                <w:sz w:val="20"/>
                <w:szCs w:val="20"/>
              </w:rPr>
              <w:t>0</w:t>
            </w:r>
            <w:r w:rsidR="0062202E" w:rsidRPr="003B5716">
              <w:rPr>
                <w:color w:val="000000"/>
                <w:sz w:val="20"/>
                <w:szCs w:val="20"/>
              </w:rPr>
              <w:t>.0</w:t>
            </w:r>
            <w:r>
              <w:rPr>
                <w:color w:val="000000"/>
                <w:sz w:val="20"/>
                <w:szCs w:val="20"/>
              </w:rPr>
              <w:t>2</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Board size (no.)</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11.3</w:t>
            </w:r>
            <w:r w:rsidR="006406C6">
              <w:rPr>
                <w:color w:val="000000"/>
                <w:sz w:val="20"/>
                <w:szCs w:val="20"/>
              </w:rPr>
              <w:t>2</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3.</w:t>
            </w:r>
            <w:r w:rsidR="006406C6">
              <w:rPr>
                <w:color w:val="000000"/>
                <w:sz w:val="20"/>
                <w:szCs w:val="20"/>
              </w:rPr>
              <w:t>69</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10.</w:t>
            </w:r>
            <w:r w:rsidR="006406C6">
              <w:rPr>
                <w:color w:val="000000"/>
                <w:sz w:val="20"/>
                <w:szCs w:val="20"/>
              </w:rPr>
              <w:t>81</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3.</w:t>
            </w:r>
            <w:r w:rsidR="006406C6">
              <w:rPr>
                <w:color w:val="000000"/>
                <w:sz w:val="20"/>
                <w:szCs w:val="20"/>
              </w:rPr>
              <w:t>4</w:t>
            </w:r>
            <w:r w:rsidRPr="003B5716">
              <w:rPr>
                <w:color w:val="000000"/>
                <w:sz w:val="20"/>
                <w:szCs w:val="20"/>
              </w:rPr>
              <w:t>5</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12.</w:t>
            </w:r>
            <w:r w:rsidR="006406C6">
              <w:rPr>
                <w:color w:val="000000"/>
                <w:sz w:val="20"/>
                <w:szCs w:val="20"/>
              </w:rPr>
              <w:t>96</w:t>
            </w:r>
          </w:p>
        </w:tc>
        <w:tc>
          <w:tcPr>
            <w:tcW w:w="1502" w:type="dxa"/>
            <w:gridSpan w:val="2"/>
            <w:shd w:val="clear" w:color="auto" w:fill="auto"/>
            <w:noWrap/>
            <w:vAlign w:val="bottom"/>
            <w:hideMark/>
          </w:tcPr>
          <w:p w:rsidR="00366565" w:rsidRDefault="006406C6" w:rsidP="004130CE">
            <w:pPr>
              <w:keepNext/>
              <w:rPr>
                <w:color w:val="000000"/>
                <w:sz w:val="20"/>
                <w:szCs w:val="20"/>
              </w:rPr>
            </w:pPr>
            <w:r>
              <w:rPr>
                <w:color w:val="000000"/>
                <w:sz w:val="20"/>
                <w:szCs w:val="20"/>
              </w:rPr>
              <w:t>3</w:t>
            </w:r>
            <w:r w:rsidR="0062202E" w:rsidRPr="003B5716">
              <w:rPr>
                <w:color w:val="000000"/>
                <w:sz w:val="20"/>
                <w:szCs w:val="20"/>
              </w:rPr>
              <w:t>.</w:t>
            </w:r>
            <w:r>
              <w:rPr>
                <w:color w:val="000000"/>
                <w:sz w:val="20"/>
                <w:szCs w:val="20"/>
              </w:rPr>
              <w:t>97</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w:t>
            </w:r>
            <w:r w:rsidR="006406C6">
              <w:rPr>
                <w:color w:val="000000"/>
                <w:sz w:val="20"/>
                <w:szCs w:val="20"/>
              </w:rPr>
              <w:t>2</w:t>
            </w:r>
            <w:r w:rsidRPr="003B5716">
              <w:rPr>
                <w:color w:val="000000"/>
                <w:sz w:val="20"/>
                <w:szCs w:val="20"/>
              </w:rPr>
              <w:t>.</w:t>
            </w:r>
            <w:r w:rsidR="006406C6">
              <w:rPr>
                <w:color w:val="000000"/>
                <w:sz w:val="20"/>
                <w:szCs w:val="20"/>
              </w:rPr>
              <w:t>1</w:t>
            </w:r>
            <w:r w:rsidRPr="003B5716">
              <w:rPr>
                <w:color w:val="000000"/>
                <w:sz w:val="20"/>
                <w:szCs w:val="20"/>
              </w:rPr>
              <w:t>16</w:t>
            </w:r>
            <w:r w:rsidR="006406C6">
              <w:rPr>
                <w:color w:val="000000"/>
                <w:sz w:val="20"/>
                <w:szCs w:val="20"/>
              </w:rPr>
              <w:t>0</w:t>
            </w:r>
            <w:r w:rsidRPr="003B5716">
              <w:rPr>
                <w:color w:val="000000"/>
                <w:sz w:val="20"/>
                <w:szCs w:val="20"/>
              </w:rPr>
              <w:t>***</w:t>
            </w:r>
          </w:p>
        </w:tc>
        <w:tc>
          <w:tcPr>
            <w:tcW w:w="1276"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w:t>
            </w:r>
            <w:r w:rsidR="006406C6">
              <w:rPr>
                <w:color w:val="000000"/>
                <w:sz w:val="20"/>
                <w:szCs w:val="20"/>
              </w:rPr>
              <w:t>7</w:t>
            </w:r>
            <w:r w:rsidRPr="003B5716">
              <w:rPr>
                <w:color w:val="000000"/>
                <w:sz w:val="20"/>
                <w:szCs w:val="20"/>
              </w:rPr>
              <w:t>.</w:t>
            </w:r>
            <w:r w:rsidR="006406C6">
              <w:rPr>
                <w:color w:val="000000"/>
                <w:sz w:val="20"/>
                <w:szCs w:val="20"/>
              </w:rPr>
              <w:t>83</w:t>
            </w:r>
          </w:p>
        </w:tc>
      </w:tr>
      <w:tr w:rsidR="0062202E" w:rsidRPr="003B5716" w:rsidTr="009A658C">
        <w:trPr>
          <w:trHeight w:val="300"/>
        </w:trPr>
        <w:tc>
          <w:tcPr>
            <w:tcW w:w="2895"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Independents-to-board size</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0.4</w:t>
            </w:r>
            <w:r w:rsidR="006406C6">
              <w:rPr>
                <w:color w:val="000000"/>
                <w:sz w:val="20"/>
                <w:szCs w:val="20"/>
              </w:rPr>
              <w:t>52</w:t>
            </w:r>
            <w:r w:rsidRPr="003B5716">
              <w:rPr>
                <w:color w:val="000000"/>
                <w:sz w:val="20"/>
                <w:szCs w:val="20"/>
              </w:rPr>
              <w:t>2</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0.14</w:t>
            </w:r>
            <w:r w:rsidR="006406C6">
              <w:rPr>
                <w:color w:val="000000"/>
                <w:sz w:val="20"/>
                <w:szCs w:val="20"/>
              </w:rPr>
              <w:t>57</w:t>
            </w:r>
          </w:p>
        </w:tc>
        <w:tc>
          <w:tcPr>
            <w:tcW w:w="1254"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0.45</w:t>
            </w:r>
            <w:r w:rsidR="006406C6">
              <w:rPr>
                <w:color w:val="000000"/>
                <w:sz w:val="20"/>
                <w:szCs w:val="20"/>
              </w:rPr>
              <w:t>69</w:t>
            </w:r>
          </w:p>
        </w:tc>
        <w:tc>
          <w:tcPr>
            <w:tcW w:w="12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0.14</w:t>
            </w:r>
            <w:r w:rsidR="006406C6">
              <w:rPr>
                <w:color w:val="000000"/>
                <w:sz w:val="20"/>
                <w:szCs w:val="20"/>
              </w:rPr>
              <w:t>46</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0.43</w:t>
            </w:r>
            <w:r w:rsidR="006406C6">
              <w:rPr>
                <w:color w:val="000000"/>
                <w:sz w:val="20"/>
                <w:szCs w:val="20"/>
              </w:rPr>
              <w:t>72</w:t>
            </w:r>
          </w:p>
        </w:tc>
        <w:tc>
          <w:tcPr>
            <w:tcW w:w="1502"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0.1</w:t>
            </w:r>
            <w:r w:rsidR="006406C6">
              <w:rPr>
                <w:color w:val="000000"/>
                <w:sz w:val="20"/>
                <w:szCs w:val="20"/>
              </w:rPr>
              <w:t>48</w:t>
            </w:r>
            <w:r w:rsidRPr="003B5716">
              <w:rPr>
                <w:color w:val="000000"/>
                <w:sz w:val="20"/>
                <w:szCs w:val="20"/>
              </w:rPr>
              <w:t>7</w:t>
            </w:r>
          </w:p>
        </w:tc>
        <w:tc>
          <w:tcPr>
            <w:tcW w:w="1554" w:type="dxa"/>
            <w:gridSpan w:val="2"/>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0.0</w:t>
            </w:r>
            <w:r w:rsidR="006406C6">
              <w:rPr>
                <w:color w:val="000000"/>
                <w:sz w:val="20"/>
                <w:szCs w:val="20"/>
              </w:rPr>
              <w:t>209*</w:t>
            </w:r>
          </w:p>
        </w:tc>
        <w:tc>
          <w:tcPr>
            <w:tcW w:w="1276" w:type="dxa"/>
            <w:shd w:val="clear" w:color="auto" w:fill="auto"/>
            <w:noWrap/>
            <w:vAlign w:val="bottom"/>
            <w:hideMark/>
          </w:tcPr>
          <w:p w:rsidR="00366565" w:rsidRDefault="0062202E" w:rsidP="004130CE">
            <w:pPr>
              <w:keepNext/>
              <w:rPr>
                <w:color w:val="000000"/>
                <w:sz w:val="20"/>
                <w:szCs w:val="20"/>
              </w:rPr>
            </w:pPr>
            <w:r w:rsidRPr="003B5716">
              <w:rPr>
                <w:color w:val="000000"/>
                <w:sz w:val="20"/>
                <w:szCs w:val="20"/>
              </w:rPr>
              <w:t>1.</w:t>
            </w:r>
            <w:r w:rsidR="006406C6">
              <w:rPr>
                <w:color w:val="000000"/>
                <w:sz w:val="20"/>
                <w:szCs w:val="20"/>
              </w:rPr>
              <w:t>88</w:t>
            </w:r>
          </w:p>
        </w:tc>
      </w:tr>
    </w:tbl>
    <w:p w:rsidR="00366565" w:rsidRPr="00C00180" w:rsidRDefault="006F2CCA" w:rsidP="00C00180">
      <w:pPr>
        <w:keepNext/>
        <w:jc w:val="both"/>
        <w:rPr>
          <w:sz w:val="20"/>
          <w:szCs w:val="20"/>
        </w:rPr>
      </w:pPr>
      <w:r w:rsidRPr="00C00180">
        <w:rPr>
          <w:sz w:val="20"/>
          <w:szCs w:val="20"/>
        </w:rPr>
        <w:t>The BD Index increases by one unit if a firm complies with any of four good corporate governance practices recommended by the MCCG: (</w:t>
      </w:r>
      <w:proofErr w:type="spellStart"/>
      <w:r w:rsidRPr="00C00180">
        <w:rPr>
          <w:sz w:val="20"/>
          <w:szCs w:val="20"/>
        </w:rPr>
        <w:t>i</w:t>
      </w:r>
      <w:proofErr w:type="spellEnd"/>
      <w:r w:rsidRPr="00C00180">
        <w:rPr>
          <w:sz w:val="20"/>
          <w:szCs w:val="20"/>
        </w:rPr>
        <w:t>) Board size - if board size ranges from five to fifteen members; (ii) Independenc</w:t>
      </w:r>
      <w:r w:rsidR="00C00180">
        <w:rPr>
          <w:sz w:val="20"/>
          <w:szCs w:val="20"/>
        </w:rPr>
        <w:t>e</w:t>
      </w:r>
      <w:r w:rsidRPr="00C00180">
        <w:rPr>
          <w:sz w:val="20"/>
          <w:szCs w:val="20"/>
        </w:rPr>
        <w:t xml:space="preserve"> - if the ratio equals at least 20%; (iii) Board experience - if the experience indicator lies between one and three; and </w:t>
      </w:r>
      <w:proofErr w:type="gramStart"/>
      <w:r w:rsidRPr="00C00180">
        <w:rPr>
          <w:sz w:val="20"/>
          <w:szCs w:val="20"/>
        </w:rPr>
        <w:t>(iv) CEO-Chair</w:t>
      </w:r>
      <w:r w:rsidR="00C00180">
        <w:rPr>
          <w:sz w:val="20"/>
          <w:szCs w:val="20"/>
        </w:rPr>
        <w:t>person</w:t>
      </w:r>
      <w:proofErr w:type="gramEnd"/>
      <w:r w:rsidR="00C00180">
        <w:rPr>
          <w:sz w:val="20"/>
          <w:szCs w:val="20"/>
        </w:rPr>
        <w:t xml:space="preserve"> </w:t>
      </w:r>
      <w:r w:rsidRPr="00C00180">
        <w:rPr>
          <w:sz w:val="20"/>
          <w:szCs w:val="20"/>
        </w:rPr>
        <w:t>non-duality. (See section 3</w:t>
      </w:r>
      <w:r w:rsidR="00C00180">
        <w:rPr>
          <w:sz w:val="20"/>
          <w:szCs w:val="20"/>
        </w:rPr>
        <w:t xml:space="preserve"> </w:t>
      </w:r>
      <w:r w:rsidRPr="00C00180">
        <w:rPr>
          <w:sz w:val="20"/>
          <w:szCs w:val="20"/>
        </w:rPr>
        <w:t>for further information and definitions of other variables</w:t>
      </w:r>
      <w:r w:rsidR="00C00180">
        <w:rPr>
          <w:sz w:val="20"/>
          <w:szCs w:val="20"/>
        </w:rPr>
        <w:t>.</w:t>
      </w:r>
      <w:r w:rsidRPr="00C00180">
        <w:rPr>
          <w:sz w:val="20"/>
          <w:szCs w:val="20"/>
        </w:rPr>
        <w:t>)</w:t>
      </w:r>
    </w:p>
    <w:p w:rsidR="004D78F8" w:rsidRPr="003B5716" w:rsidRDefault="004D78F8" w:rsidP="004D78F8">
      <w:pPr>
        <w:rPr>
          <w:sz w:val="22"/>
          <w:szCs w:val="22"/>
        </w:rPr>
        <w:sectPr w:rsidR="004D78F8" w:rsidRPr="003B5716" w:rsidSect="006B2475">
          <w:headerReference w:type="default" r:id="rId10"/>
          <w:endnotePr>
            <w:numFmt w:val="decimal"/>
          </w:endnotePr>
          <w:pgSz w:w="16838" w:h="11906" w:orient="landscape"/>
          <w:pgMar w:top="1646" w:right="1440" w:bottom="1440" w:left="1440" w:header="708" w:footer="708" w:gutter="0"/>
          <w:cols w:space="708"/>
          <w:docGrid w:linePitch="360"/>
        </w:sectPr>
      </w:pPr>
    </w:p>
    <w:p w:rsidR="00101984" w:rsidRPr="003B5716" w:rsidRDefault="0086673E" w:rsidP="00FC692F">
      <w:pPr>
        <w:rPr>
          <w:b/>
        </w:rPr>
      </w:pPr>
      <w:r w:rsidRPr="003B5716">
        <w:rPr>
          <w:b/>
        </w:rPr>
        <w:lastRenderedPageBreak/>
        <w:t>Table 3</w:t>
      </w:r>
    </w:p>
    <w:p w:rsidR="00101984" w:rsidRPr="003B5716" w:rsidRDefault="00101984" w:rsidP="00FC692F"/>
    <w:p w:rsidR="00B77A62" w:rsidRPr="003B5716" w:rsidRDefault="008937D3" w:rsidP="00FC692F">
      <w:pPr>
        <w:rPr>
          <w:b/>
        </w:rPr>
      </w:pPr>
      <w:r w:rsidRPr="003B5716">
        <w:rPr>
          <w:b/>
        </w:rPr>
        <w:t>Estimated relationships between f</w:t>
      </w:r>
      <w:r w:rsidR="00B77A62" w:rsidRPr="003B5716">
        <w:rPr>
          <w:b/>
        </w:rPr>
        <w:t>irm value and family control/ownership</w:t>
      </w:r>
      <w:r w:rsidRPr="003B5716">
        <w:rPr>
          <w:b/>
        </w:rPr>
        <w:t xml:space="preserve"> from cluster regressions</w:t>
      </w:r>
    </w:p>
    <w:p w:rsidR="00133139" w:rsidRDefault="00133139" w:rsidP="00FC692F"/>
    <w:tbl>
      <w:tblPr>
        <w:tblW w:w="10680" w:type="dxa"/>
        <w:tblLayout w:type="fixed"/>
        <w:tblLook w:val="0000"/>
      </w:tblPr>
      <w:tblGrid>
        <w:gridCol w:w="2616"/>
        <w:gridCol w:w="2016"/>
        <w:gridCol w:w="2016"/>
        <w:gridCol w:w="2016"/>
        <w:gridCol w:w="2016"/>
      </w:tblGrid>
      <w:tr w:rsidR="00133139" w:rsidTr="004F3B70">
        <w:tc>
          <w:tcPr>
            <w:tcW w:w="2616" w:type="dxa"/>
            <w:tcBorders>
              <w:top w:val="single" w:sz="4" w:space="0" w:color="auto"/>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(Tobin's Q)</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(M-B)</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(Tobin's Q)</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(M-B)</w:t>
            </w:r>
          </w:p>
        </w:tc>
      </w:tr>
      <w:tr w:rsidR="00133139" w:rsidTr="004F3B70">
        <w:tc>
          <w:tcPr>
            <w:tcW w:w="2616" w:type="dxa"/>
            <w:tcBorders>
              <w:top w:val="single" w:sz="4" w:space="0" w:color="auto"/>
              <w:left w:val="nil"/>
              <w:bottom w:val="nil"/>
              <w:right w:val="nil"/>
            </w:tcBorders>
          </w:tcPr>
          <w:p w:rsidR="00133139" w:rsidRDefault="00133139" w:rsidP="004F3B70">
            <w:pPr>
              <w:widowControl w:val="0"/>
              <w:autoSpaceDE w:val="0"/>
              <w:autoSpaceDN w:val="0"/>
              <w:adjustRightInd w:val="0"/>
              <w:rPr>
                <w:lang w:val="en-US"/>
              </w:rPr>
            </w:pPr>
            <w:r>
              <w:rPr>
                <w:lang w:val="en-US"/>
              </w:rPr>
              <w:t>Family</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0.156</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0.430**</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(1.55)</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(2.12)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r>
      <w:tr w:rsidR="00133139" w:rsidTr="004F3B70">
        <w:tc>
          <w:tcPr>
            <w:tcW w:w="2616" w:type="dxa"/>
            <w:tcBorders>
              <w:top w:val="nil"/>
              <w:left w:val="nil"/>
              <w:bottom w:val="nil"/>
              <w:right w:val="nil"/>
            </w:tcBorders>
          </w:tcPr>
          <w:p w:rsidR="00133139" w:rsidRDefault="00133139" w:rsidP="00AB232F">
            <w:pPr>
              <w:widowControl w:val="0"/>
              <w:autoSpaceDE w:val="0"/>
              <w:autoSpaceDN w:val="0"/>
              <w:adjustRightInd w:val="0"/>
              <w:rPr>
                <w:lang w:val="en-US"/>
              </w:rPr>
            </w:pPr>
            <w:r>
              <w:rPr>
                <w:lang w:val="en-US"/>
              </w:rPr>
              <w:t>F</w:t>
            </w:r>
            <w:r w:rsidR="00AB232F">
              <w:rPr>
                <w:lang w:val="en-US"/>
              </w:rPr>
              <w:t>CO</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0.0887**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0.198**</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(2.18)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(2.28)</w:t>
            </w:r>
          </w:p>
        </w:tc>
      </w:tr>
      <w:tr w:rsidR="00133139" w:rsidTr="004F3B70">
        <w:tc>
          <w:tcPr>
            <w:tcW w:w="2616" w:type="dxa"/>
            <w:tcBorders>
              <w:top w:val="nil"/>
              <w:left w:val="nil"/>
              <w:bottom w:val="nil"/>
              <w:right w:val="nil"/>
            </w:tcBorders>
          </w:tcPr>
          <w:p w:rsidR="00133139" w:rsidRDefault="00133139" w:rsidP="00AB232F">
            <w:pPr>
              <w:widowControl w:val="0"/>
              <w:autoSpaceDE w:val="0"/>
              <w:autoSpaceDN w:val="0"/>
              <w:adjustRightInd w:val="0"/>
              <w:rPr>
                <w:lang w:val="en-US"/>
              </w:rPr>
            </w:pPr>
            <w:r>
              <w:rPr>
                <w:lang w:val="en-US"/>
              </w:rPr>
              <w:t>F</w:t>
            </w:r>
            <w:r w:rsidR="00AB232F">
              <w:rPr>
                <w:lang w:val="en-US"/>
              </w:rPr>
              <w:t>CO</w:t>
            </w:r>
            <w:r w:rsidRPr="00CC3CAD">
              <w:rPr>
                <w:vertAlign w:val="superscript"/>
                <w:lang w:val="en-US"/>
              </w:rPr>
              <w:t>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-0.0104**</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-0.0192**</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(-2.44)</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(-1.99)</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CEM</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-0.117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-0.180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-0.123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-0.191</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(-1.38)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(-0.96)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(-1.53)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(-1.04)</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CG Index</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0.146***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0.284***</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0.108**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0.293***</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(2.79)</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(2.79)</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(2.52)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(2.83)</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Size</w:t>
            </w:r>
            <w:r w:rsidRPr="00F56437">
              <w:rPr>
                <w:vertAlign w:val="subscript"/>
                <w:lang w:val="en-US"/>
              </w:rPr>
              <w:t>t-1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0.0420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0.177***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0.0447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0.188***</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(1.48)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(2.82)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(1.63)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(3.04)</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CG * Size</w:t>
            </w:r>
            <w:r w:rsidRPr="00EC24DA">
              <w:rPr>
                <w:vertAlign w:val="subscript"/>
                <w:lang w:val="en-US"/>
              </w:rPr>
              <w:t>t-1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0.00437*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(1.74)</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Leverage</w:t>
            </w:r>
            <w:r w:rsidRPr="00F56437">
              <w:rPr>
                <w:vertAlign w:val="subscript"/>
                <w:lang w:val="en-US"/>
              </w:rPr>
              <w:t>t-1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-0.0362***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-0.0546**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-0.0366***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-0.0560**</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(-3.78)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(-2.45)</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(-3.60)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(-2.35)</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Dividends</w:t>
            </w:r>
            <w:r w:rsidRPr="00D2138B">
              <w:rPr>
                <w:vertAlign w:val="subscript"/>
                <w:lang w:val="en-US"/>
              </w:rPr>
              <w:t>t-1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0.257***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0.379**</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0.245***</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0.371**</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(3.33)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(3.16)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(1.98)</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Fixed Assets</w:t>
            </w:r>
            <w:r w:rsidRPr="00F56437">
              <w:rPr>
                <w:vertAlign w:val="subscript"/>
                <w:lang w:val="en-US"/>
              </w:rPr>
              <w:t>t-1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-0.651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-0.608</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(-1.53)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(-1.45)</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CG * Fixed Assets</w:t>
            </w:r>
            <w:r w:rsidRPr="00EC24DA">
              <w:rPr>
                <w:vertAlign w:val="subscript"/>
                <w:lang w:val="en-US"/>
              </w:rPr>
              <w:t>t-1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0.602***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1.187***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0.523***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1.165***</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(2.99)</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(2.74)</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(2.75)</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(2.68)</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Mexico City</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0.269***</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0.628***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0.257***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0.623***</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(2.74)</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(2.90)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(2.67)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(2.89)</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Crisis</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-0.136*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-0.243</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-0.141*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-0.251</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(-1.72)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(-1.50)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(-1.58)</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Firm age</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-0.746*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-1.961**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-0.659</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-1.934**</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(-1.85)</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(-2.01)</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(-1.62)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(-1.99)</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Firm age</w:t>
            </w:r>
            <w:r w:rsidRPr="008F2ED4">
              <w:rPr>
                <w:vertAlign w:val="superscript"/>
                <w:lang w:val="en-US"/>
              </w:rPr>
              <w:t>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0.105</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0.278*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0.0922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0.273*</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(1.62)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(1.88)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(1.40)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(1.84)</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lang w:val="en-US"/>
              </w:rPr>
              <w:t>Intercept</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1.266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1.070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1.276</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0.874</w:t>
            </w:r>
          </w:p>
        </w:tc>
      </w:tr>
      <w:tr w:rsidR="00133139" w:rsidTr="004F3B70">
        <w:tc>
          <w:tcPr>
            <w:tcW w:w="2616" w:type="dxa"/>
            <w:tcBorders>
              <w:top w:val="nil"/>
              <w:left w:val="nil"/>
              <w:bottom w:val="single" w:sz="4" w:space="0" w:color="auto"/>
              <w:right w:val="nil"/>
            </w:tcBorders>
          </w:tcPr>
          <w:p w:rsidR="00133139" w:rsidRDefault="00133139" w:rsidP="004F3B70">
            <w:pPr>
              <w:widowControl w:val="0"/>
              <w:autoSpaceDE w:val="0"/>
              <w:autoSpaceDN w:val="0"/>
              <w:adjustRightInd w:val="0"/>
              <w:rPr>
                <w:lang w:val="en-US"/>
              </w:rPr>
            </w:pP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(1.32)</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(0.48)</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(1.37)</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(0.40)</w:t>
            </w:r>
          </w:p>
        </w:tc>
      </w:tr>
      <w:tr w:rsidR="00133139" w:rsidTr="004F3B70">
        <w:tc>
          <w:tcPr>
            <w:tcW w:w="2616" w:type="dxa"/>
            <w:tcBorders>
              <w:top w:val="single" w:sz="4" w:space="0" w:color="auto"/>
              <w:left w:val="nil"/>
              <w:bottom w:val="nil"/>
              <w:right w:val="nil"/>
            </w:tcBorders>
          </w:tcPr>
          <w:p w:rsidR="00133139" w:rsidRDefault="00133139" w:rsidP="004F3B70">
            <w:pPr>
              <w:widowControl w:val="0"/>
              <w:autoSpaceDE w:val="0"/>
              <w:autoSpaceDN w:val="0"/>
              <w:adjustRightInd w:val="0"/>
              <w:rPr>
                <w:lang w:val="en-US"/>
              </w:rPr>
            </w:pPr>
            <w:r>
              <w:rPr>
                <w:lang w:val="en-US"/>
              </w:rPr>
              <w:t>Observations</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754</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756</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754</w:t>
            </w:r>
          </w:p>
        </w:tc>
        <w:tc>
          <w:tcPr>
            <w:tcW w:w="2016" w:type="dxa"/>
            <w:tcBorders>
              <w:top w:val="single" w:sz="4" w:space="0" w:color="auto"/>
              <w:left w:val="nil"/>
              <w:bottom w:val="nil"/>
              <w:right w:val="nil"/>
            </w:tcBorders>
          </w:tcPr>
          <w:p w:rsidR="00133139" w:rsidRDefault="00133139" w:rsidP="004F3B70">
            <w:pPr>
              <w:widowControl w:val="0"/>
              <w:autoSpaceDE w:val="0"/>
              <w:autoSpaceDN w:val="0"/>
              <w:adjustRightInd w:val="0"/>
              <w:jc w:val="center"/>
              <w:rPr>
                <w:lang w:val="en-US"/>
              </w:rPr>
            </w:pPr>
            <w:r>
              <w:rPr>
                <w:lang w:val="en-US"/>
              </w:rPr>
              <w:t>756</w:t>
            </w:r>
          </w:p>
        </w:tc>
      </w:tr>
      <w:tr w:rsidR="00133139" w:rsidTr="004F3B70">
        <w:tc>
          <w:tcPr>
            <w:tcW w:w="2616" w:type="dxa"/>
            <w:tcBorders>
              <w:top w:val="nil"/>
              <w:left w:val="nil"/>
              <w:bottom w:val="nil"/>
              <w:right w:val="nil"/>
            </w:tcBorders>
          </w:tcPr>
          <w:p w:rsidR="00133139" w:rsidRDefault="00133139" w:rsidP="004F3B70">
            <w:pPr>
              <w:widowControl w:val="0"/>
              <w:autoSpaceDE w:val="0"/>
              <w:autoSpaceDN w:val="0"/>
              <w:adjustRightInd w:val="0"/>
              <w:rPr>
                <w:lang w:val="en-US"/>
              </w:rPr>
            </w:pPr>
            <w:r>
              <w:rPr>
                <w:i/>
                <w:iCs/>
                <w:lang w:val="en-US"/>
              </w:rPr>
              <w:t>R</w:t>
            </w:r>
            <w:r>
              <w:rPr>
                <w:vertAlign w:val="superscript"/>
                <w:lang w:val="en-US"/>
              </w:rPr>
              <w:t>2</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0.277</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0.280</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0.288</w:t>
            </w:r>
          </w:p>
        </w:tc>
        <w:tc>
          <w:tcPr>
            <w:tcW w:w="2016" w:type="dxa"/>
            <w:tcBorders>
              <w:top w:val="nil"/>
              <w:left w:val="nil"/>
              <w:bottom w:val="nil"/>
              <w:right w:val="nil"/>
            </w:tcBorders>
          </w:tcPr>
          <w:p w:rsidR="00133139" w:rsidRDefault="00133139" w:rsidP="004F3B70">
            <w:pPr>
              <w:widowControl w:val="0"/>
              <w:autoSpaceDE w:val="0"/>
              <w:autoSpaceDN w:val="0"/>
              <w:adjustRightInd w:val="0"/>
              <w:jc w:val="center"/>
              <w:rPr>
                <w:lang w:val="en-US"/>
              </w:rPr>
            </w:pPr>
            <w:r>
              <w:rPr>
                <w:lang w:val="en-US"/>
              </w:rPr>
              <w:t>0.282</w:t>
            </w:r>
          </w:p>
        </w:tc>
      </w:tr>
      <w:tr w:rsidR="00133139" w:rsidTr="004F3B70">
        <w:tc>
          <w:tcPr>
            <w:tcW w:w="2616" w:type="dxa"/>
            <w:tcBorders>
              <w:top w:val="nil"/>
              <w:left w:val="nil"/>
              <w:bottom w:val="single" w:sz="4" w:space="0" w:color="auto"/>
              <w:right w:val="nil"/>
            </w:tcBorders>
          </w:tcPr>
          <w:p w:rsidR="00133139" w:rsidRDefault="00133139" w:rsidP="004F3B70">
            <w:pPr>
              <w:widowControl w:val="0"/>
              <w:autoSpaceDE w:val="0"/>
              <w:autoSpaceDN w:val="0"/>
              <w:adjustRightInd w:val="0"/>
              <w:rPr>
                <w:lang w:val="en-US"/>
              </w:rPr>
            </w:pPr>
            <w:r>
              <w:rPr>
                <w:lang w:val="en-US"/>
              </w:rPr>
              <w:t xml:space="preserve">Adjusted </w:t>
            </w:r>
            <w:r>
              <w:rPr>
                <w:i/>
                <w:iCs/>
                <w:lang w:val="en-US"/>
              </w:rPr>
              <w:t>R</w:t>
            </w:r>
            <w:r>
              <w:rPr>
                <w:vertAlign w:val="superscript"/>
                <w:lang w:val="en-US"/>
              </w:rPr>
              <w:t>2</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0.261</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0.263</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0.271</w:t>
            </w:r>
          </w:p>
        </w:tc>
        <w:tc>
          <w:tcPr>
            <w:tcW w:w="2016" w:type="dxa"/>
            <w:tcBorders>
              <w:top w:val="nil"/>
              <w:left w:val="nil"/>
              <w:bottom w:val="single" w:sz="4" w:space="0" w:color="auto"/>
              <w:right w:val="nil"/>
            </w:tcBorders>
          </w:tcPr>
          <w:p w:rsidR="00133139" w:rsidRDefault="00133139" w:rsidP="004F3B70">
            <w:pPr>
              <w:widowControl w:val="0"/>
              <w:autoSpaceDE w:val="0"/>
              <w:autoSpaceDN w:val="0"/>
              <w:adjustRightInd w:val="0"/>
              <w:jc w:val="center"/>
              <w:rPr>
                <w:lang w:val="en-US"/>
              </w:rPr>
            </w:pPr>
            <w:r>
              <w:rPr>
                <w:lang w:val="en-US"/>
              </w:rPr>
              <w:t>0.265</w:t>
            </w:r>
          </w:p>
        </w:tc>
      </w:tr>
    </w:tbl>
    <w:p w:rsidR="00133139" w:rsidRDefault="00133139" w:rsidP="00FC692F"/>
    <w:p w:rsidR="00133139" w:rsidRDefault="00133139" w:rsidP="00FC692F"/>
    <w:p w:rsidR="00133139" w:rsidRDefault="00133139" w:rsidP="00FC692F"/>
    <w:p w:rsidR="00133139" w:rsidRDefault="00133139" w:rsidP="00FC692F"/>
    <w:p w:rsidR="00B77A62" w:rsidRPr="003B5716" w:rsidRDefault="00B77A62" w:rsidP="00FC692F">
      <w:pPr>
        <w:spacing w:after="200" w:line="480" w:lineRule="auto"/>
      </w:pPr>
      <w:r w:rsidRPr="003B5716">
        <w:br w:type="page"/>
      </w:r>
    </w:p>
    <w:p w:rsidR="00101984" w:rsidRPr="003B5716" w:rsidRDefault="0086673E" w:rsidP="00FC692F">
      <w:pPr>
        <w:rPr>
          <w:b/>
        </w:rPr>
      </w:pPr>
      <w:r w:rsidRPr="003B5716">
        <w:rPr>
          <w:b/>
        </w:rPr>
        <w:lastRenderedPageBreak/>
        <w:t>Table 4</w:t>
      </w:r>
    </w:p>
    <w:p w:rsidR="00101984" w:rsidRPr="003B5716" w:rsidRDefault="00101984" w:rsidP="00FC692F">
      <w:pPr>
        <w:rPr>
          <w:b/>
        </w:rPr>
      </w:pPr>
    </w:p>
    <w:p w:rsidR="00B77A62" w:rsidRPr="003B5716" w:rsidRDefault="00B77A62" w:rsidP="00FC692F">
      <w:pPr>
        <w:rPr>
          <w:b/>
        </w:rPr>
      </w:pPr>
      <w:r w:rsidRPr="003B5716">
        <w:rPr>
          <w:b/>
        </w:rPr>
        <w:t xml:space="preserve">Quartile regressions of </w:t>
      </w:r>
      <w:r w:rsidR="008937D3" w:rsidRPr="003B5716">
        <w:rPr>
          <w:b/>
        </w:rPr>
        <w:t xml:space="preserve">the relationship between </w:t>
      </w:r>
      <w:r w:rsidRPr="003B5716">
        <w:rPr>
          <w:b/>
        </w:rPr>
        <w:t>firm value and family control/ownership</w:t>
      </w:r>
    </w:p>
    <w:p w:rsidR="00101984" w:rsidRDefault="00101984" w:rsidP="00FC692F"/>
    <w:tbl>
      <w:tblPr>
        <w:tblW w:w="9322" w:type="dxa"/>
        <w:tblLayout w:type="fixed"/>
        <w:tblLook w:val="0000"/>
      </w:tblPr>
      <w:tblGrid>
        <w:gridCol w:w="1481"/>
        <w:gridCol w:w="1306"/>
        <w:gridCol w:w="1307"/>
        <w:gridCol w:w="1307"/>
        <w:gridCol w:w="1307"/>
        <w:gridCol w:w="1307"/>
        <w:gridCol w:w="1307"/>
      </w:tblGrid>
      <w:tr w:rsidR="00BA1EF3" w:rsidRPr="00207FFB" w:rsidTr="004F3B70">
        <w:tc>
          <w:tcPr>
            <w:tcW w:w="1481"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 xml:space="preserve">Dependent variable: </w:t>
            </w:r>
          </w:p>
        </w:tc>
        <w:tc>
          <w:tcPr>
            <w:tcW w:w="3920" w:type="dxa"/>
            <w:gridSpan w:val="3"/>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TQ</w:t>
            </w:r>
          </w:p>
        </w:tc>
        <w:tc>
          <w:tcPr>
            <w:tcW w:w="3921" w:type="dxa"/>
            <w:gridSpan w:val="3"/>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MB</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(4)</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(6)</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Quartiles</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Q25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Q50</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Q75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Q25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Q50</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Q75</w:t>
            </w:r>
          </w:p>
        </w:tc>
      </w:tr>
      <w:tr w:rsidR="00BA1EF3" w:rsidRPr="00207FFB" w:rsidTr="004F3B70">
        <w:tc>
          <w:tcPr>
            <w:tcW w:w="1481"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rPr>
                <w:b/>
                <w:sz w:val="22"/>
                <w:szCs w:val="22"/>
              </w:rPr>
            </w:pPr>
            <w:r w:rsidRPr="00207FFB">
              <w:rPr>
                <w:b/>
                <w:sz w:val="22"/>
                <w:szCs w:val="22"/>
              </w:rPr>
              <w:t>Panel A</w:t>
            </w:r>
          </w:p>
        </w:tc>
        <w:tc>
          <w:tcPr>
            <w:tcW w:w="1306"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Family</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0.146***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0.224***</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0.146**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0.188*</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0.423***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0.443***</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(2.71)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(4.18)</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(2.01)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(1.71)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(3.53)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(3.19)</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CEM</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-0.135***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-0.0827*</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-0.000957</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-0.190**</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-0.0542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-0.204</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(-2.99)</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(-1.76)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(-2.42)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(-0.53)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(-1.24)</w:t>
            </w:r>
          </w:p>
        </w:tc>
      </w:tr>
      <w:tr w:rsidR="00BA1EF3" w:rsidRPr="00207FFB" w:rsidTr="004F3B70">
        <w:tc>
          <w:tcPr>
            <w:tcW w:w="1481" w:type="dxa"/>
            <w:tcBorders>
              <w:top w:val="nil"/>
              <w:left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BD</w:t>
            </w:r>
          </w:p>
        </w:tc>
        <w:tc>
          <w:tcPr>
            <w:tcW w:w="1306" w:type="dxa"/>
            <w:tcBorders>
              <w:top w:val="nil"/>
              <w:left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0.0999***</w:t>
            </w:r>
          </w:p>
        </w:tc>
        <w:tc>
          <w:tcPr>
            <w:tcW w:w="1307" w:type="dxa"/>
            <w:tcBorders>
              <w:top w:val="nil"/>
              <w:left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0.0822***</w:t>
            </w:r>
          </w:p>
        </w:tc>
        <w:tc>
          <w:tcPr>
            <w:tcW w:w="1307" w:type="dxa"/>
            <w:tcBorders>
              <w:top w:val="nil"/>
              <w:left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0.175***</w:t>
            </w:r>
          </w:p>
        </w:tc>
        <w:tc>
          <w:tcPr>
            <w:tcW w:w="1307" w:type="dxa"/>
            <w:tcBorders>
              <w:top w:val="nil"/>
              <w:left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0.185***</w:t>
            </w:r>
          </w:p>
        </w:tc>
        <w:tc>
          <w:tcPr>
            <w:tcW w:w="1307" w:type="dxa"/>
            <w:tcBorders>
              <w:top w:val="nil"/>
              <w:left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0.226***</w:t>
            </w:r>
          </w:p>
        </w:tc>
        <w:tc>
          <w:tcPr>
            <w:tcW w:w="1307" w:type="dxa"/>
            <w:tcBorders>
              <w:top w:val="nil"/>
              <w:left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0.270***</w:t>
            </w:r>
          </w:p>
        </w:tc>
      </w:tr>
      <w:tr w:rsidR="00BA1EF3" w:rsidRPr="00207FFB" w:rsidTr="004F3B70">
        <w:tc>
          <w:tcPr>
            <w:tcW w:w="1481"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(3.14)</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(2.93)</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(4.09)</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(2.74)</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(3.60)</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(3.15)</w:t>
            </w:r>
          </w:p>
        </w:tc>
      </w:tr>
      <w:tr w:rsidR="00BA1EF3" w:rsidRPr="00207FFB" w:rsidTr="004F3B70">
        <w:tc>
          <w:tcPr>
            <w:tcW w:w="1481"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 xml:space="preserve">Pseudo </w:t>
            </w:r>
            <w:r w:rsidRPr="00207FFB">
              <w:rPr>
                <w:i/>
                <w:iCs/>
                <w:sz w:val="22"/>
                <w:szCs w:val="22"/>
              </w:rPr>
              <w:t>R</w:t>
            </w:r>
            <w:r w:rsidRPr="00207FFB">
              <w:rPr>
                <w:sz w:val="22"/>
                <w:szCs w:val="22"/>
                <w:vertAlign w:val="superscript"/>
              </w:rPr>
              <w:t>2</w:t>
            </w:r>
          </w:p>
        </w:tc>
        <w:tc>
          <w:tcPr>
            <w:tcW w:w="1306"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0.1439</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0.1830</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0.2190</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0.1598</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0.1981</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0.2394</w:t>
            </w:r>
          </w:p>
        </w:tc>
      </w:tr>
      <w:tr w:rsidR="00BA1EF3" w:rsidRPr="00207FFB" w:rsidTr="004F3B70">
        <w:tc>
          <w:tcPr>
            <w:tcW w:w="1481" w:type="dxa"/>
            <w:tcBorders>
              <w:top w:val="single" w:sz="4" w:space="0" w:color="auto"/>
              <w:left w:val="nil"/>
              <w:right w:val="nil"/>
            </w:tcBorders>
          </w:tcPr>
          <w:p w:rsidR="00BA1EF3" w:rsidRPr="00207FFB" w:rsidRDefault="00BA1EF3" w:rsidP="004F3B70">
            <w:pPr>
              <w:widowControl w:val="0"/>
              <w:autoSpaceDE w:val="0"/>
              <w:autoSpaceDN w:val="0"/>
              <w:adjustRightInd w:val="0"/>
              <w:rPr>
                <w:b/>
                <w:sz w:val="22"/>
                <w:szCs w:val="22"/>
              </w:rPr>
            </w:pPr>
          </w:p>
        </w:tc>
        <w:tc>
          <w:tcPr>
            <w:tcW w:w="1306" w:type="dxa"/>
            <w:tcBorders>
              <w:top w:val="single" w:sz="4" w:space="0" w:color="auto"/>
              <w:left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top w:val="single" w:sz="4" w:space="0" w:color="auto"/>
              <w:left w:val="nil"/>
              <w:right w:val="nil"/>
            </w:tcBorders>
          </w:tcPr>
          <w:p w:rsidR="00BA1EF3" w:rsidRPr="00207FFB" w:rsidRDefault="00BA1EF3" w:rsidP="004F3B70">
            <w:pPr>
              <w:widowControl w:val="0"/>
              <w:autoSpaceDE w:val="0"/>
              <w:autoSpaceDN w:val="0"/>
              <w:adjustRightInd w:val="0"/>
              <w:jc w:val="center"/>
              <w:rPr>
                <w:sz w:val="22"/>
                <w:szCs w:val="22"/>
              </w:rPr>
            </w:pPr>
          </w:p>
        </w:tc>
      </w:tr>
      <w:tr w:rsidR="00BA1EF3" w:rsidRPr="00207FFB" w:rsidTr="004F3B70">
        <w:tc>
          <w:tcPr>
            <w:tcW w:w="1481" w:type="dxa"/>
            <w:tcBorders>
              <w:left w:val="nil"/>
              <w:bottom w:val="nil"/>
              <w:right w:val="nil"/>
            </w:tcBorders>
          </w:tcPr>
          <w:p w:rsidR="00BA1EF3" w:rsidRPr="00207FFB" w:rsidRDefault="00BA1EF3" w:rsidP="004F3B70">
            <w:pPr>
              <w:widowControl w:val="0"/>
              <w:autoSpaceDE w:val="0"/>
              <w:autoSpaceDN w:val="0"/>
              <w:adjustRightInd w:val="0"/>
              <w:rPr>
                <w:b/>
                <w:sz w:val="22"/>
                <w:szCs w:val="22"/>
              </w:rPr>
            </w:pPr>
            <w:r w:rsidRPr="00207FFB">
              <w:rPr>
                <w:b/>
                <w:sz w:val="22"/>
                <w:szCs w:val="22"/>
              </w:rPr>
              <w:t>Panel B</w:t>
            </w:r>
          </w:p>
        </w:tc>
        <w:tc>
          <w:tcPr>
            <w:tcW w:w="1306" w:type="dxa"/>
            <w:tcBorders>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c>
          <w:tcPr>
            <w:tcW w:w="1307" w:type="dxa"/>
            <w:tcBorders>
              <w:left w:val="nil"/>
              <w:bottom w:val="nil"/>
              <w:right w:val="nil"/>
            </w:tcBorders>
          </w:tcPr>
          <w:p w:rsidR="00BA1EF3" w:rsidRPr="00207FFB" w:rsidRDefault="00BA1EF3" w:rsidP="004F3B70">
            <w:pPr>
              <w:widowControl w:val="0"/>
              <w:autoSpaceDE w:val="0"/>
              <w:autoSpaceDN w:val="0"/>
              <w:adjustRightInd w:val="0"/>
              <w:jc w:val="center"/>
              <w:rPr>
                <w:sz w:val="22"/>
                <w:szCs w:val="22"/>
              </w:rPr>
            </w:pP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FCO</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0.0872***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0.0893***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0.0739**</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0.158***</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0.226***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0.235***</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(4.05)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(4.02)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(2.53)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(3.33)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(4.66)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(4.02)</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FCO</w:t>
            </w:r>
            <w:r w:rsidRPr="00207FFB">
              <w:rPr>
                <w:sz w:val="22"/>
                <w:szCs w:val="22"/>
                <w:vertAlign w:val="superscript"/>
              </w:rPr>
              <w:t>2</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-0.0091***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-0.0089***</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-0.0090***</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-0.0166***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-0.0239***</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-0.0241***</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(-3.63)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(-3.66)</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(-2.84)</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(-2.95)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(-4.42)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(-3.69)</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CEM</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-0.121***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-0.0577</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0.0217</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-0.173**</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-0.0310</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-0.243</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(-3.19)</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(-1.37)</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(0.35)</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(-2.12)</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(-0.30)</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(-1.45)</w:t>
            </w:r>
          </w:p>
        </w:tc>
      </w:tr>
      <w:tr w:rsidR="00BA1EF3" w:rsidRPr="00207FFB" w:rsidTr="004F3B70">
        <w:tc>
          <w:tcPr>
            <w:tcW w:w="1481" w:type="dxa"/>
            <w:tcBorders>
              <w:top w:val="nil"/>
              <w:left w:val="nil"/>
              <w:bottom w:val="nil"/>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BD</w:t>
            </w:r>
          </w:p>
        </w:tc>
        <w:tc>
          <w:tcPr>
            <w:tcW w:w="1306"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0.0854**</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0.0709**</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0.131**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0.177***</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0.261***</w:t>
            </w:r>
          </w:p>
        </w:tc>
        <w:tc>
          <w:tcPr>
            <w:tcW w:w="1307" w:type="dxa"/>
            <w:tcBorders>
              <w:top w:val="nil"/>
              <w:left w:val="nil"/>
              <w:bottom w:val="nil"/>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0.294***</w:t>
            </w:r>
          </w:p>
        </w:tc>
      </w:tr>
      <w:tr w:rsidR="00BA1EF3" w:rsidRPr="00207FFB" w:rsidTr="004F3B70">
        <w:tc>
          <w:tcPr>
            <w:tcW w:w="1481"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rPr>
                <w:sz w:val="22"/>
                <w:szCs w:val="22"/>
              </w:rPr>
            </w:pPr>
          </w:p>
        </w:tc>
        <w:tc>
          <w:tcPr>
            <w:tcW w:w="1306"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(2.36)</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(2.22)</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(2.42)</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(2.63)</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(4.02)</w:t>
            </w:r>
          </w:p>
        </w:tc>
        <w:tc>
          <w:tcPr>
            <w:tcW w:w="1307" w:type="dxa"/>
            <w:tcBorders>
              <w:top w:val="nil"/>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lang w:val="en-US"/>
              </w:rPr>
            </w:pPr>
            <w:r w:rsidRPr="00207FFB">
              <w:rPr>
                <w:sz w:val="22"/>
                <w:szCs w:val="22"/>
                <w:lang w:val="en-US"/>
              </w:rPr>
              <w:t>(3.49)</w:t>
            </w:r>
          </w:p>
        </w:tc>
      </w:tr>
      <w:tr w:rsidR="00BA1EF3" w:rsidRPr="00207FFB" w:rsidTr="004F3B70">
        <w:tc>
          <w:tcPr>
            <w:tcW w:w="1481"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rPr>
                <w:sz w:val="22"/>
                <w:szCs w:val="22"/>
              </w:rPr>
            </w:pPr>
            <w:r w:rsidRPr="00207FFB">
              <w:rPr>
                <w:sz w:val="22"/>
                <w:szCs w:val="22"/>
              </w:rPr>
              <w:t xml:space="preserve">Pseudo </w:t>
            </w:r>
            <w:r w:rsidRPr="00207FFB">
              <w:rPr>
                <w:i/>
                <w:iCs/>
                <w:sz w:val="22"/>
                <w:szCs w:val="22"/>
              </w:rPr>
              <w:t>R</w:t>
            </w:r>
            <w:r w:rsidRPr="00207FFB">
              <w:rPr>
                <w:sz w:val="22"/>
                <w:szCs w:val="22"/>
                <w:vertAlign w:val="superscript"/>
              </w:rPr>
              <w:t>2</w:t>
            </w:r>
          </w:p>
        </w:tc>
        <w:tc>
          <w:tcPr>
            <w:tcW w:w="1306"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0.1527</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0.1845</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0.2222</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0.1649</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0.2023</w:t>
            </w:r>
          </w:p>
        </w:tc>
        <w:tc>
          <w:tcPr>
            <w:tcW w:w="1307" w:type="dxa"/>
            <w:tcBorders>
              <w:top w:val="single" w:sz="4" w:space="0" w:color="auto"/>
              <w:left w:val="nil"/>
              <w:bottom w:val="single" w:sz="4" w:space="0" w:color="auto"/>
              <w:right w:val="nil"/>
            </w:tcBorders>
          </w:tcPr>
          <w:p w:rsidR="00BA1EF3" w:rsidRPr="00207FFB" w:rsidRDefault="00BA1EF3" w:rsidP="004F3B70">
            <w:pPr>
              <w:widowControl w:val="0"/>
              <w:autoSpaceDE w:val="0"/>
              <w:autoSpaceDN w:val="0"/>
              <w:adjustRightInd w:val="0"/>
              <w:jc w:val="center"/>
              <w:rPr>
                <w:sz w:val="22"/>
                <w:szCs w:val="22"/>
              </w:rPr>
            </w:pPr>
            <w:r w:rsidRPr="00207FFB">
              <w:rPr>
                <w:sz w:val="22"/>
                <w:szCs w:val="22"/>
              </w:rPr>
              <w:t>0.2431</w:t>
            </w:r>
          </w:p>
        </w:tc>
      </w:tr>
    </w:tbl>
    <w:p w:rsidR="00BA1EF3" w:rsidRDefault="00BA1EF3" w:rsidP="00FC692F"/>
    <w:p w:rsidR="00BA1EF3" w:rsidRDefault="00BA1EF3" w:rsidP="00FC692F"/>
    <w:p w:rsidR="00BA1EF3" w:rsidRDefault="00BA1EF3" w:rsidP="00FC692F"/>
    <w:p w:rsidR="00B77A62" w:rsidRPr="003B5716" w:rsidRDefault="00B77A62" w:rsidP="00FC692F">
      <w:pPr>
        <w:spacing w:after="200" w:line="480" w:lineRule="auto"/>
      </w:pPr>
      <w:r w:rsidRPr="003B5716">
        <w:br w:type="page"/>
      </w:r>
    </w:p>
    <w:p w:rsidR="00C765CC" w:rsidRPr="003B5716" w:rsidRDefault="00B77A62" w:rsidP="00FC692F">
      <w:pPr>
        <w:rPr>
          <w:b/>
        </w:rPr>
      </w:pPr>
      <w:r w:rsidRPr="003B5716">
        <w:rPr>
          <w:b/>
        </w:rPr>
        <w:lastRenderedPageBreak/>
        <w:t xml:space="preserve">Table </w:t>
      </w:r>
      <w:r w:rsidR="0086673E" w:rsidRPr="003B5716">
        <w:rPr>
          <w:b/>
        </w:rPr>
        <w:t>5</w:t>
      </w:r>
    </w:p>
    <w:p w:rsidR="00C765CC" w:rsidRPr="003B5716" w:rsidRDefault="00C765CC" w:rsidP="00FC692F">
      <w:pPr>
        <w:rPr>
          <w:b/>
        </w:rPr>
      </w:pPr>
    </w:p>
    <w:p w:rsidR="00B77A62" w:rsidRPr="003B5716" w:rsidRDefault="008937D3" w:rsidP="00FC692F">
      <w:pPr>
        <w:rPr>
          <w:b/>
        </w:rPr>
      </w:pPr>
      <w:r w:rsidRPr="003B5716">
        <w:rPr>
          <w:b/>
        </w:rPr>
        <w:t>Estimated relationships between r</w:t>
      </w:r>
      <w:r w:rsidR="00B77A62" w:rsidRPr="003B5716">
        <w:rPr>
          <w:b/>
        </w:rPr>
        <w:t>isk-taking and family control/ownership</w:t>
      </w:r>
      <w:r w:rsidRPr="003B5716">
        <w:rPr>
          <w:b/>
        </w:rPr>
        <w:t xml:space="preserve"> from cluster regressions</w:t>
      </w:r>
    </w:p>
    <w:p w:rsidR="00C765CC" w:rsidRDefault="00C765CC" w:rsidP="00FC692F"/>
    <w:tbl>
      <w:tblPr>
        <w:tblW w:w="9605" w:type="dxa"/>
        <w:tblLook w:val="04A0"/>
      </w:tblPr>
      <w:tblGrid>
        <w:gridCol w:w="1576"/>
        <w:gridCol w:w="1576"/>
        <w:gridCol w:w="1290"/>
        <w:gridCol w:w="1290"/>
        <w:gridCol w:w="1291"/>
        <w:gridCol w:w="1291"/>
        <w:gridCol w:w="1291"/>
      </w:tblGrid>
      <w:tr w:rsidR="00220AA6" w:rsidRPr="00220AA6" w:rsidTr="00220AA6">
        <w:tc>
          <w:tcPr>
            <w:tcW w:w="1576" w:type="dxa"/>
            <w:tcBorders>
              <w:top w:val="single" w:sz="8" w:space="0" w:color="auto"/>
              <w:left w:val="nil"/>
              <w:bottom w:val="nil"/>
              <w:right w:val="nil"/>
            </w:tcBorders>
            <w:shd w:val="clear" w:color="auto" w:fill="auto"/>
          </w:tcPr>
          <w:p w:rsidR="00220AA6" w:rsidRPr="00220AA6" w:rsidRDefault="00220AA6" w:rsidP="004F3B70">
            <w:pPr>
              <w:rPr>
                <w:color w:val="000000"/>
                <w:sz w:val="20"/>
                <w:szCs w:val="20"/>
                <w:lang w:val="en-US"/>
              </w:rPr>
            </w:pPr>
          </w:p>
        </w:tc>
        <w:tc>
          <w:tcPr>
            <w:tcW w:w="1576" w:type="dxa"/>
            <w:tcBorders>
              <w:top w:val="single" w:sz="8" w:space="0" w:color="auto"/>
              <w:left w:val="nil"/>
              <w:bottom w:val="nil"/>
              <w:right w:val="nil"/>
            </w:tcBorders>
            <w:shd w:val="clear" w:color="auto" w:fill="auto"/>
          </w:tcPr>
          <w:p w:rsidR="00220AA6" w:rsidRPr="00220AA6" w:rsidRDefault="00220AA6" w:rsidP="004F3B70">
            <w:pPr>
              <w:jc w:val="center"/>
              <w:rPr>
                <w:color w:val="000000"/>
                <w:sz w:val="20"/>
                <w:szCs w:val="20"/>
                <w:lang w:val="en-US"/>
              </w:rPr>
            </w:pPr>
            <w:r w:rsidRPr="00220AA6">
              <w:rPr>
                <w:color w:val="000000"/>
                <w:sz w:val="20"/>
                <w:szCs w:val="20"/>
                <w:lang w:val="en-US"/>
              </w:rPr>
              <w:t>(1)</w:t>
            </w:r>
          </w:p>
          <w:p w:rsidR="00220AA6" w:rsidRPr="00220AA6" w:rsidRDefault="00220AA6" w:rsidP="004F3B70">
            <w:pPr>
              <w:jc w:val="center"/>
              <w:rPr>
                <w:color w:val="000000"/>
                <w:sz w:val="20"/>
                <w:szCs w:val="20"/>
                <w:lang w:val="en-US"/>
              </w:rPr>
            </w:pPr>
            <w:r w:rsidRPr="00220AA6">
              <w:rPr>
                <w:color w:val="000000"/>
                <w:sz w:val="20"/>
                <w:szCs w:val="20"/>
                <w:lang w:val="en-US"/>
              </w:rPr>
              <w:t xml:space="preserve">P. </w:t>
            </w:r>
            <w:proofErr w:type="spellStart"/>
            <w:r w:rsidRPr="00220AA6">
              <w:rPr>
                <w:color w:val="000000"/>
                <w:sz w:val="20"/>
                <w:szCs w:val="20"/>
                <w:lang w:val="en-US"/>
              </w:rPr>
              <w:t>haz</w:t>
            </w:r>
            <w:proofErr w:type="spellEnd"/>
            <w:r w:rsidRPr="00220AA6">
              <w:rPr>
                <w:color w:val="000000"/>
                <w:sz w:val="20"/>
                <w:szCs w:val="20"/>
                <w:lang w:val="en-US"/>
              </w:rPr>
              <w:t>. risk</w:t>
            </w:r>
          </w:p>
        </w:tc>
        <w:tc>
          <w:tcPr>
            <w:tcW w:w="1576" w:type="dxa"/>
            <w:tcBorders>
              <w:top w:val="single" w:sz="8" w:space="0" w:color="auto"/>
              <w:left w:val="nil"/>
              <w:bottom w:val="nil"/>
              <w:right w:val="nil"/>
            </w:tcBorders>
          </w:tcPr>
          <w:p w:rsidR="00220AA6" w:rsidRPr="00220AA6" w:rsidRDefault="00220AA6" w:rsidP="004F3B70">
            <w:pPr>
              <w:jc w:val="center"/>
              <w:rPr>
                <w:color w:val="000000"/>
                <w:sz w:val="20"/>
                <w:szCs w:val="20"/>
                <w:lang w:val="en-US"/>
              </w:rPr>
            </w:pPr>
            <w:r w:rsidRPr="00220AA6">
              <w:rPr>
                <w:color w:val="000000"/>
                <w:sz w:val="20"/>
                <w:szCs w:val="20"/>
                <w:lang w:val="en-US"/>
              </w:rPr>
              <w:t>(2)</w:t>
            </w:r>
          </w:p>
          <w:p w:rsidR="00220AA6" w:rsidRPr="00220AA6" w:rsidRDefault="00220AA6" w:rsidP="004F3B70">
            <w:pPr>
              <w:jc w:val="center"/>
              <w:rPr>
                <w:color w:val="000000"/>
                <w:sz w:val="20"/>
                <w:szCs w:val="20"/>
                <w:lang w:val="en-US"/>
              </w:rPr>
            </w:pPr>
            <w:r w:rsidRPr="00220AA6">
              <w:rPr>
                <w:color w:val="000000"/>
                <w:sz w:val="20"/>
                <w:szCs w:val="20"/>
                <w:lang w:val="en-US"/>
              </w:rPr>
              <w:t>Vent. risk</w:t>
            </w:r>
          </w:p>
        </w:tc>
        <w:tc>
          <w:tcPr>
            <w:tcW w:w="1576" w:type="dxa"/>
            <w:tcBorders>
              <w:top w:val="single" w:sz="8" w:space="0" w:color="auto"/>
              <w:left w:val="nil"/>
              <w:bottom w:val="nil"/>
              <w:right w:val="nil"/>
            </w:tcBorders>
          </w:tcPr>
          <w:p w:rsidR="00220AA6" w:rsidRPr="00220AA6" w:rsidRDefault="00220AA6" w:rsidP="004F3B70">
            <w:pPr>
              <w:jc w:val="center"/>
              <w:rPr>
                <w:color w:val="000000"/>
                <w:sz w:val="20"/>
                <w:szCs w:val="20"/>
                <w:lang w:val="en-US"/>
              </w:rPr>
            </w:pPr>
            <w:r w:rsidRPr="00220AA6">
              <w:rPr>
                <w:color w:val="000000"/>
                <w:sz w:val="20"/>
                <w:szCs w:val="20"/>
                <w:lang w:val="en-US"/>
              </w:rPr>
              <w:t>(3)</w:t>
            </w:r>
          </w:p>
          <w:p w:rsidR="00220AA6" w:rsidRPr="00220AA6" w:rsidRDefault="00220AA6" w:rsidP="004F3B70">
            <w:pPr>
              <w:jc w:val="center"/>
              <w:rPr>
                <w:color w:val="000000"/>
                <w:sz w:val="20"/>
                <w:szCs w:val="20"/>
                <w:lang w:val="en-US"/>
              </w:rPr>
            </w:pPr>
            <w:r w:rsidRPr="00220AA6">
              <w:rPr>
                <w:color w:val="000000"/>
                <w:sz w:val="20"/>
                <w:szCs w:val="20"/>
                <w:lang w:val="en-US"/>
              </w:rPr>
              <w:t>Total risk</w:t>
            </w:r>
          </w:p>
        </w:tc>
        <w:tc>
          <w:tcPr>
            <w:tcW w:w="1576" w:type="dxa"/>
            <w:tcBorders>
              <w:top w:val="single" w:sz="8" w:space="0" w:color="auto"/>
              <w:left w:val="nil"/>
              <w:bottom w:val="nil"/>
              <w:right w:val="nil"/>
            </w:tcBorders>
          </w:tcPr>
          <w:p w:rsidR="00220AA6" w:rsidRPr="00220AA6" w:rsidRDefault="00220AA6" w:rsidP="004F3B70">
            <w:pPr>
              <w:jc w:val="center"/>
              <w:rPr>
                <w:color w:val="000000"/>
                <w:sz w:val="20"/>
                <w:szCs w:val="20"/>
                <w:lang w:val="en-US"/>
              </w:rPr>
            </w:pPr>
            <w:r w:rsidRPr="00220AA6">
              <w:rPr>
                <w:color w:val="000000"/>
                <w:sz w:val="20"/>
                <w:szCs w:val="20"/>
                <w:lang w:val="en-US"/>
              </w:rPr>
              <w:t>(4)</w:t>
            </w:r>
          </w:p>
          <w:p w:rsidR="00220AA6" w:rsidRPr="00220AA6" w:rsidRDefault="00220AA6" w:rsidP="004F3B70">
            <w:pPr>
              <w:jc w:val="center"/>
              <w:rPr>
                <w:color w:val="000000"/>
                <w:sz w:val="20"/>
                <w:szCs w:val="20"/>
                <w:lang w:val="en-US"/>
              </w:rPr>
            </w:pPr>
            <w:r w:rsidRPr="00220AA6">
              <w:rPr>
                <w:color w:val="000000"/>
                <w:sz w:val="20"/>
                <w:szCs w:val="20"/>
                <w:lang w:val="en-US"/>
              </w:rPr>
              <w:t xml:space="preserve">P. </w:t>
            </w:r>
            <w:proofErr w:type="spellStart"/>
            <w:r w:rsidRPr="00220AA6">
              <w:rPr>
                <w:color w:val="000000"/>
                <w:sz w:val="20"/>
                <w:szCs w:val="20"/>
                <w:lang w:val="en-US"/>
              </w:rPr>
              <w:t>haz</w:t>
            </w:r>
            <w:proofErr w:type="spellEnd"/>
            <w:r w:rsidRPr="00220AA6">
              <w:rPr>
                <w:color w:val="000000"/>
                <w:sz w:val="20"/>
                <w:szCs w:val="20"/>
                <w:lang w:val="en-US"/>
              </w:rPr>
              <w:t xml:space="preserve"> risk</w:t>
            </w:r>
          </w:p>
        </w:tc>
        <w:tc>
          <w:tcPr>
            <w:tcW w:w="1576" w:type="dxa"/>
            <w:tcBorders>
              <w:top w:val="single" w:sz="8" w:space="0" w:color="auto"/>
              <w:left w:val="nil"/>
              <w:bottom w:val="nil"/>
              <w:right w:val="nil"/>
            </w:tcBorders>
          </w:tcPr>
          <w:p w:rsidR="00220AA6" w:rsidRPr="00220AA6" w:rsidRDefault="00220AA6" w:rsidP="004F3B70">
            <w:pPr>
              <w:jc w:val="center"/>
              <w:rPr>
                <w:color w:val="000000"/>
                <w:sz w:val="20"/>
                <w:szCs w:val="20"/>
                <w:lang w:val="en-US"/>
              </w:rPr>
            </w:pPr>
            <w:r w:rsidRPr="00220AA6">
              <w:rPr>
                <w:color w:val="000000"/>
                <w:sz w:val="20"/>
                <w:szCs w:val="20"/>
                <w:lang w:val="en-US"/>
              </w:rPr>
              <w:t>(5)</w:t>
            </w:r>
          </w:p>
          <w:p w:rsidR="00220AA6" w:rsidRPr="00220AA6" w:rsidRDefault="00220AA6" w:rsidP="004F3B70">
            <w:pPr>
              <w:jc w:val="center"/>
              <w:rPr>
                <w:color w:val="000000"/>
                <w:sz w:val="20"/>
                <w:szCs w:val="20"/>
                <w:lang w:val="en-US"/>
              </w:rPr>
            </w:pPr>
            <w:r w:rsidRPr="00220AA6">
              <w:rPr>
                <w:color w:val="000000"/>
                <w:sz w:val="20"/>
                <w:szCs w:val="20"/>
                <w:lang w:val="en-US"/>
              </w:rPr>
              <w:t>Vent. risk</w:t>
            </w:r>
          </w:p>
        </w:tc>
        <w:tc>
          <w:tcPr>
            <w:tcW w:w="1576" w:type="dxa"/>
            <w:tcBorders>
              <w:top w:val="single" w:sz="8" w:space="0" w:color="auto"/>
              <w:left w:val="nil"/>
              <w:bottom w:val="nil"/>
              <w:right w:val="nil"/>
            </w:tcBorders>
          </w:tcPr>
          <w:p w:rsidR="00220AA6" w:rsidRPr="00220AA6" w:rsidRDefault="00220AA6" w:rsidP="004F3B70">
            <w:pPr>
              <w:jc w:val="center"/>
              <w:rPr>
                <w:color w:val="000000"/>
                <w:sz w:val="20"/>
                <w:szCs w:val="20"/>
                <w:lang w:val="en-US"/>
              </w:rPr>
            </w:pPr>
            <w:r w:rsidRPr="00220AA6">
              <w:rPr>
                <w:color w:val="000000"/>
                <w:sz w:val="20"/>
                <w:szCs w:val="20"/>
                <w:lang w:val="en-US"/>
              </w:rPr>
              <w:t>(6)</w:t>
            </w:r>
          </w:p>
          <w:p w:rsidR="00220AA6" w:rsidRPr="00220AA6" w:rsidRDefault="00220AA6" w:rsidP="004F3B70">
            <w:pPr>
              <w:jc w:val="center"/>
              <w:rPr>
                <w:color w:val="000000"/>
                <w:sz w:val="20"/>
                <w:szCs w:val="20"/>
                <w:lang w:val="en-US"/>
              </w:rPr>
            </w:pPr>
            <w:r w:rsidRPr="00220AA6">
              <w:rPr>
                <w:color w:val="000000"/>
                <w:sz w:val="20"/>
                <w:szCs w:val="20"/>
                <w:lang w:val="en-US"/>
              </w:rPr>
              <w:t>Total risk</w:t>
            </w:r>
          </w:p>
        </w:tc>
      </w:tr>
      <w:tr w:rsidR="00220AA6" w:rsidRPr="00220AA6" w:rsidTr="00220AA6">
        <w:tc>
          <w:tcPr>
            <w:tcW w:w="1576" w:type="dxa"/>
            <w:tcBorders>
              <w:top w:val="single" w:sz="8" w:space="0" w:color="auto"/>
              <w:left w:val="nil"/>
              <w:bottom w:val="nil"/>
              <w:right w:val="nil"/>
            </w:tcBorders>
            <w:shd w:val="clear" w:color="auto" w:fill="auto"/>
            <w:hideMark/>
          </w:tcPr>
          <w:p w:rsidR="00220AA6" w:rsidRPr="00220AA6" w:rsidRDefault="00220AA6" w:rsidP="00220AA6">
            <w:pPr>
              <w:rPr>
                <w:color w:val="000000"/>
                <w:sz w:val="20"/>
                <w:szCs w:val="20"/>
              </w:rPr>
            </w:pPr>
            <w:r w:rsidRPr="00220AA6">
              <w:rPr>
                <w:color w:val="000000"/>
                <w:sz w:val="20"/>
                <w:szCs w:val="20"/>
                <w:lang w:val="en-US"/>
              </w:rPr>
              <w:t>Family</w:t>
            </w:r>
          </w:p>
        </w:tc>
        <w:tc>
          <w:tcPr>
            <w:tcW w:w="1576" w:type="dxa"/>
            <w:tcBorders>
              <w:top w:val="single" w:sz="8" w:space="0" w:color="auto"/>
              <w:left w:val="nil"/>
              <w:bottom w:val="nil"/>
              <w:right w:val="nil"/>
            </w:tcBorders>
            <w:shd w:val="clear" w:color="auto" w:fill="auto"/>
            <w:hideMark/>
          </w:tcPr>
          <w:p w:rsidR="00220AA6" w:rsidRPr="00220AA6" w:rsidRDefault="00220AA6" w:rsidP="00220AA6">
            <w:pPr>
              <w:jc w:val="center"/>
              <w:rPr>
                <w:color w:val="000000"/>
                <w:sz w:val="20"/>
                <w:szCs w:val="20"/>
              </w:rPr>
            </w:pPr>
            <w:r w:rsidRPr="00220AA6">
              <w:rPr>
                <w:color w:val="000000"/>
                <w:sz w:val="20"/>
                <w:szCs w:val="20"/>
                <w:lang w:val="en-US"/>
              </w:rPr>
              <w:t>-0.057***</w:t>
            </w:r>
          </w:p>
        </w:tc>
        <w:tc>
          <w:tcPr>
            <w:tcW w:w="1576" w:type="dxa"/>
            <w:tcBorders>
              <w:top w:val="single" w:sz="8" w:space="0" w:color="auto"/>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0.0219***</w:t>
            </w:r>
          </w:p>
        </w:tc>
        <w:tc>
          <w:tcPr>
            <w:tcW w:w="1576" w:type="dxa"/>
            <w:tcBorders>
              <w:top w:val="single" w:sz="8" w:space="0" w:color="auto"/>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0.0700**</w:t>
            </w:r>
          </w:p>
        </w:tc>
        <w:tc>
          <w:tcPr>
            <w:tcW w:w="1576" w:type="dxa"/>
            <w:tcBorders>
              <w:top w:val="single" w:sz="8" w:space="0" w:color="auto"/>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w:t>
            </w:r>
          </w:p>
        </w:tc>
        <w:tc>
          <w:tcPr>
            <w:tcW w:w="1576" w:type="dxa"/>
            <w:tcBorders>
              <w:top w:val="single" w:sz="8" w:space="0" w:color="auto"/>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w:t>
            </w:r>
          </w:p>
        </w:tc>
        <w:tc>
          <w:tcPr>
            <w:tcW w:w="1576" w:type="dxa"/>
            <w:tcBorders>
              <w:top w:val="single" w:sz="8" w:space="0" w:color="auto"/>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220AA6">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220AA6">
            <w:pPr>
              <w:jc w:val="center"/>
              <w:rPr>
                <w:color w:val="000000"/>
                <w:sz w:val="20"/>
                <w:szCs w:val="20"/>
              </w:rPr>
            </w:pPr>
            <w:r w:rsidRPr="00220AA6">
              <w:rPr>
                <w:color w:val="000000"/>
                <w:sz w:val="20"/>
                <w:szCs w:val="20"/>
                <w:lang w:val="en-US"/>
              </w:rPr>
              <w:t>(-2.81)</w:t>
            </w:r>
          </w:p>
        </w:tc>
        <w:tc>
          <w:tcPr>
            <w:tcW w:w="1576" w:type="dxa"/>
            <w:tcBorders>
              <w:top w:val="nil"/>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(-2.94)</w:t>
            </w:r>
          </w:p>
        </w:tc>
        <w:tc>
          <w:tcPr>
            <w:tcW w:w="1576" w:type="dxa"/>
            <w:tcBorders>
              <w:top w:val="nil"/>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(-2.22)</w:t>
            </w:r>
          </w:p>
        </w:tc>
        <w:tc>
          <w:tcPr>
            <w:tcW w:w="1576" w:type="dxa"/>
            <w:tcBorders>
              <w:top w:val="nil"/>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220AA6">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AB232F">
            <w:pPr>
              <w:widowControl w:val="0"/>
              <w:autoSpaceDE w:val="0"/>
              <w:autoSpaceDN w:val="0"/>
              <w:adjustRightInd w:val="0"/>
              <w:rPr>
                <w:sz w:val="20"/>
                <w:szCs w:val="20"/>
                <w:lang w:val="en-US"/>
              </w:rPr>
            </w:pPr>
            <w:r w:rsidRPr="00220AA6">
              <w:rPr>
                <w:sz w:val="20"/>
                <w:szCs w:val="20"/>
                <w:lang w:val="en-US"/>
              </w:rPr>
              <w:t>F</w:t>
            </w:r>
            <w:r w:rsidR="00AB232F">
              <w:rPr>
                <w:sz w:val="20"/>
                <w:szCs w:val="20"/>
                <w:lang w:val="en-US"/>
              </w:rPr>
              <w:t>CO</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-0.00648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0.00667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0.0246**</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widowControl w:val="0"/>
              <w:autoSpaceDE w:val="0"/>
              <w:autoSpaceDN w:val="0"/>
              <w:adjustRightInd w:val="0"/>
              <w:rPr>
                <w:sz w:val="20"/>
                <w:szCs w:val="20"/>
                <w:lang w:val="en-US"/>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(-0.78)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(-1.59)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(-2.05)</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AB232F">
            <w:pPr>
              <w:widowControl w:val="0"/>
              <w:autoSpaceDE w:val="0"/>
              <w:autoSpaceDN w:val="0"/>
              <w:adjustRightInd w:val="0"/>
              <w:rPr>
                <w:sz w:val="20"/>
                <w:szCs w:val="20"/>
                <w:lang w:val="en-US"/>
              </w:rPr>
            </w:pPr>
            <w:r w:rsidRPr="00220AA6">
              <w:rPr>
                <w:sz w:val="20"/>
                <w:szCs w:val="20"/>
                <w:lang w:val="en-US"/>
              </w:rPr>
              <w:t>F</w:t>
            </w:r>
            <w:r w:rsidR="00AB232F">
              <w:rPr>
                <w:sz w:val="20"/>
                <w:szCs w:val="20"/>
                <w:lang w:val="en-US"/>
              </w:rPr>
              <w:t>CO</w:t>
            </w:r>
            <w:r w:rsidRPr="00220AA6">
              <w:rPr>
                <w:sz w:val="20"/>
                <w:szCs w:val="20"/>
                <w:vertAlign w:val="superscript"/>
                <w:lang w:val="en-US"/>
              </w:rPr>
              <w:t>2</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0.000171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-0.000493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-0.00206</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(-0.94)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(-1.57)</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CEM</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0.0204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-0.0118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-0.0475*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0.0139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-0.0108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-0.0454*</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(-1.22)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(-1.20)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(-1.70)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(-0.86)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(-1.17)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(-1.68)</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CG Index</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0.00234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0.00119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0.0325*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0.00258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0.00133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0.0324*</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(-0.20)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(-0.33)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(-1.94)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(-0.36)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(-1.89)</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Size</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-0.00734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0.000572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0.00947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-0.0107**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0.000828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0.0101</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(-1.55)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(-1.11)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(-2.04)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(-1.19)</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CG * Size</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-0.0011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-0.00125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noWrap/>
            <w:hideMark/>
          </w:tcPr>
          <w:p w:rsidR="00220AA6" w:rsidRPr="00220AA6" w:rsidRDefault="00220AA6" w:rsidP="004F3B70">
            <w:pPr>
              <w:rPr>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(-1.46)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(-1.60)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Leverage</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0.00563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0.00472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-0.0174***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0.00508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0.00475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-0.0172***</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(-1.41)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(-1.43)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(-3.30)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(-1.31)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(-1.43)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(-3.20)</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220AA6">
            <w:pPr>
              <w:rPr>
                <w:color w:val="000000"/>
                <w:sz w:val="20"/>
                <w:szCs w:val="20"/>
              </w:rPr>
            </w:pPr>
            <w:r w:rsidRPr="00220AA6">
              <w:rPr>
                <w:color w:val="000000"/>
                <w:sz w:val="20"/>
                <w:szCs w:val="20"/>
                <w:lang w:val="en-US"/>
              </w:rPr>
              <w:t>CG * Lev</w:t>
            </w:r>
            <w:r>
              <w:rPr>
                <w:color w:val="000000"/>
                <w:sz w:val="20"/>
                <w:szCs w:val="20"/>
                <w:lang w:val="en-US"/>
              </w:rPr>
              <w:t>.</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0.0203***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0.0207***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noWrap/>
            <w:hideMark/>
          </w:tcPr>
          <w:p w:rsidR="00220AA6" w:rsidRPr="00220AA6" w:rsidRDefault="00220AA6" w:rsidP="004F3B70">
            <w:pPr>
              <w:rPr>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(-4.08)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(-4.04)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Dividends</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-0.061***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-0.0107*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0.0669**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-0.065***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-0.0104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0.0677***</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(-3.19)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(-1.66)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(-2.49)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(-3.32)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(-1.48)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(-2.59)</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Fixed Assets</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-0.0277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-0.0259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(-1.21)</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rPr>
                <w:sz w:val="20"/>
                <w:szCs w:val="20"/>
              </w:rPr>
            </w:pP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(-1.16)</w:t>
            </w:r>
          </w:p>
        </w:tc>
        <w:tc>
          <w:tcPr>
            <w:tcW w:w="1576" w:type="dxa"/>
            <w:tcBorders>
              <w:top w:val="nil"/>
              <w:left w:val="nil"/>
              <w:bottom w:val="nil"/>
              <w:right w:val="nil"/>
            </w:tcBorders>
          </w:tcPr>
          <w:p w:rsidR="00220AA6" w:rsidRPr="00220AA6" w:rsidRDefault="00220AA6" w:rsidP="004F3B70">
            <w:pPr>
              <w:rPr>
                <w:sz w:val="20"/>
                <w:szCs w:val="20"/>
              </w:rPr>
            </w:pP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220AA6">
            <w:pPr>
              <w:rPr>
                <w:color w:val="000000"/>
                <w:sz w:val="20"/>
                <w:szCs w:val="20"/>
              </w:rPr>
            </w:pPr>
            <w:r w:rsidRPr="00220AA6">
              <w:rPr>
                <w:color w:val="000000"/>
                <w:sz w:val="20"/>
                <w:szCs w:val="20"/>
                <w:lang w:val="en-US"/>
              </w:rPr>
              <w:t>CG * F</w:t>
            </w:r>
            <w:r>
              <w:rPr>
                <w:color w:val="000000"/>
                <w:sz w:val="20"/>
                <w:szCs w:val="20"/>
                <w:lang w:val="en-US"/>
              </w:rPr>
              <w:t>.</w:t>
            </w:r>
            <w:r w:rsidRPr="00220AA6">
              <w:rPr>
                <w:color w:val="000000"/>
                <w:sz w:val="20"/>
                <w:szCs w:val="20"/>
                <w:lang w:val="en-US"/>
              </w:rPr>
              <w:t xml:space="preserve"> Assets</w:t>
            </w:r>
            <w:r w:rsidRPr="00220AA6">
              <w:rPr>
                <w:color w:val="000000"/>
                <w:sz w:val="20"/>
                <w:szCs w:val="20"/>
                <w:vertAlign w:val="subscript"/>
                <w:lang w:val="en-US"/>
              </w:rPr>
              <w:t>t-1</w:t>
            </w:r>
          </w:p>
        </w:tc>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0.147*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0.151*</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sz w:val="20"/>
                <w:szCs w:val="20"/>
              </w:rPr>
            </w:pPr>
          </w:p>
        </w:tc>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(-1.68)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(-1.75)</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Mexico City</w:t>
            </w:r>
          </w:p>
        </w:tc>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0.0853***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0.0853***</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sz w:val="20"/>
                <w:szCs w:val="20"/>
              </w:rPr>
            </w:pPr>
          </w:p>
        </w:tc>
        <w:tc>
          <w:tcPr>
            <w:tcW w:w="1576" w:type="dxa"/>
            <w:tcBorders>
              <w:top w:val="nil"/>
              <w:left w:val="nil"/>
              <w:bottom w:val="nil"/>
              <w:right w:val="nil"/>
            </w:tcBorders>
            <w:shd w:val="clear" w:color="auto" w:fill="auto"/>
            <w:noWrap/>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(-2.99)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(-2.99)</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ADR</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0.0408*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(-1.72)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Crisis</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0.0566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0.0228***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0.0418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0.0576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0.0225***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0.0411</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(-1.14)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(-3.00)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(-1.42)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(-1.14)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(-2.94)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(-1.41)</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Firm age</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0.0185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-0.00848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-0.236**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0.00292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-0.00785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-0.235**</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(-0.16)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(-2.19)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(-2.14)</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Firm age</w:t>
            </w:r>
            <w:r w:rsidRPr="00220AA6">
              <w:rPr>
                <w:color w:val="000000"/>
                <w:sz w:val="20"/>
                <w:szCs w:val="20"/>
                <w:vertAlign w:val="superscript"/>
                <w:lang w:val="en-US"/>
              </w:rPr>
              <w:t>2</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0.00169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0.00135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0.0322*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0.00448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0.0012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0.0320*</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(-1.90)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(-0.23)</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(-1.84)</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Intercept</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-0.0090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0.0652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0.227</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0.0428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0.06</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0.219</w:t>
            </w:r>
          </w:p>
        </w:tc>
      </w:tr>
      <w:tr w:rsidR="00220AA6" w:rsidRPr="00220AA6" w:rsidTr="00220AA6">
        <w:tc>
          <w:tcPr>
            <w:tcW w:w="1576" w:type="dxa"/>
            <w:tcBorders>
              <w:top w:val="nil"/>
              <w:left w:val="nil"/>
              <w:bottom w:val="single" w:sz="8" w:space="0" w:color="auto"/>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 </w:t>
            </w:r>
          </w:p>
        </w:tc>
        <w:tc>
          <w:tcPr>
            <w:tcW w:w="1576" w:type="dxa"/>
            <w:tcBorders>
              <w:top w:val="nil"/>
              <w:left w:val="nil"/>
              <w:bottom w:val="single" w:sz="8" w:space="0" w:color="auto"/>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(-0.04)</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(-0.71)</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(-0.80)</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(-0.22)</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(-0.63)</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(-0.77)</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Observations</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758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755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714</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758</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755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714</w:t>
            </w:r>
          </w:p>
        </w:tc>
      </w:tr>
      <w:tr w:rsidR="00220AA6" w:rsidRPr="00220AA6" w:rsidTr="00220AA6">
        <w:tc>
          <w:tcPr>
            <w:tcW w:w="1576" w:type="dxa"/>
            <w:tcBorders>
              <w:top w:val="nil"/>
              <w:left w:val="nil"/>
              <w:bottom w:val="nil"/>
              <w:right w:val="nil"/>
            </w:tcBorders>
            <w:shd w:val="clear" w:color="auto" w:fill="auto"/>
            <w:hideMark/>
          </w:tcPr>
          <w:p w:rsidR="00220AA6" w:rsidRPr="00220AA6" w:rsidRDefault="00220AA6" w:rsidP="004F3B70">
            <w:pPr>
              <w:rPr>
                <w:i/>
                <w:iCs/>
                <w:color w:val="000000"/>
                <w:sz w:val="20"/>
                <w:szCs w:val="20"/>
              </w:rPr>
            </w:pPr>
            <w:r w:rsidRPr="00220AA6">
              <w:rPr>
                <w:i/>
                <w:iCs/>
                <w:color w:val="000000"/>
                <w:sz w:val="20"/>
                <w:szCs w:val="20"/>
                <w:lang w:val="en-US"/>
              </w:rPr>
              <w:t>R</w:t>
            </w:r>
            <w:r w:rsidRPr="00220AA6">
              <w:rPr>
                <w:color w:val="000000"/>
                <w:sz w:val="20"/>
                <w:szCs w:val="20"/>
                <w:vertAlign w:val="superscript"/>
                <w:lang w:val="en-US"/>
              </w:rPr>
              <w:t>2</w:t>
            </w:r>
          </w:p>
        </w:tc>
        <w:tc>
          <w:tcPr>
            <w:tcW w:w="1576" w:type="dxa"/>
            <w:tcBorders>
              <w:top w:val="nil"/>
              <w:left w:val="nil"/>
              <w:bottom w:val="nil"/>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0.065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0.130</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0.212</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0.065</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0.129</w:t>
            </w:r>
          </w:p>
        </w:tc>
        <w:tc>
          <w:tcPr>
            <w:tcW w:w="1576" w:type="dxa"/>
            <w:tcBorders>
              <w:top w:val="nil"/>
              <w:left w:val="nil"/>
              <w:bottom w:val="nil"/>
              <w:right w:val="nil"/>
            </w:tcBorders>
          </w:tcPr>
          <w:p w:rsidR="00220AA6" w:rsidRPr="00220AA6" w:rsidRDefault="00220AA6" w:rsidP="004F3B70">
            <w:pPr>
              <w:jc w:val="center"/>
              <w:rPr>
                <w:color w:val="000000"/>
                <w:sz w:val="20"/>
                <w:szCs w:val="20"/>
              </w:rPr>
            </w:pPr>
            <w:r w:rsidRPr="00220AA6">
              <w:rPr>
                <w:color w:val="000000"/>
                <w:sz w:val="20"/>
                <w:szCs w:val="20"/>
                <w:lang w:val="en-US"/>
              </w:rPr>
              <w:t>0.211</w:t>
            </w:r>
          </w:p>
        </w:tc>
      </w:tr>
      <w:tr w:rsidR="00220AA6" w:rsidRPr="00220AA6" w:rsidTr="00220AA6">
        <w:tc>
          <w:tcPr>
            <w:tcW w:w="1576" w:type="dxa"/>
            <w:tcBorders>
              <w:top w:val="nil"/>
              <w:left w:val="nil"/>
              <w:bottom w:val="single" w:sz="8" w:space="0" w:color="auto"/>
              <w:right w:val="nil"/>
            </w:tcBorders>
            <w:shd w:val="clear" w:color="auto" w:fill="auto"/>
            <w:hideMark/>
          </w:tcPr>
          <w:p w:rsidR="00220AA6" w:rsidRPr="00220AA6" w:rsidRDefault="00220AA6" w:rsidP="004F3B70">
            <w:pPr>
              <w:rPr>
                <w:color w:val="000000"/>
                <w:sz w:val="20"/>
                <w:szCs w:val="20"/>
              </w:rPr>
            </w:pPr>
            <w:r w:rsidRPr="00220AA6">
              <w:rPr>
                <w:color w:val="000000"/>
                <w:sz w:val="20"/>
                <w:szCs w:val="20"/>
                <w:lang w:val="en-US"/>
              </w:rPr>
              <w:t xml:space="preserve">Adjusted </w:t>
            </w:r>
            <w:r w:rsidRPr="00220AA6">
              <w:rPr>
                <w:i/>
                <w:iCs/>
                <w:color w:val="000000"/>
                <w:sz w:val="20"/>
                <w:szCs w:val="20"/>
                <w:lang w:val="en-US"/>
              </w:rPr>
              <w:t>R</w:t>
            </w:r>
            <w:r w:rsidRPr="00220AA6">
              <w:rPr>
                <w:color w:val="000000"/>
                <w:sz w:val="20"/>
                <w:szCs w:val="20"/>
                <w:vertAlign w:val="superscript"/>
                <w:lang w:val="en-US"/>
              </w:rPr>
              <w:t>2</w:t>
            </w:r>
          </w:p>
        </w:tc>
        <w:tc>
          <w:tcPr>
            <w:tcW w:w="1576" w:type="dxa"/>
            <w:tcBorders>
              <w:top w:val="nil"/>
              <w:left w:val="nil"/>
              <w:bottom w:val="single" w:sz="8" w:space="0" w:color="auto"/>
              <w:right w:val="nil"/>
            </w:tcBorders>
            <w:shd w:val="clear" w:color="auto" w:fill="auto"/>
            <w:hideMark/>
          </w:tcPr>
          <w:p w:rsidR="00220AA6" w:rsidRPr="00220AA6" w:rsidRDefault="00220AA6" w:rsidP="004F3B70">
            <w:pPr>
              <w:jc w:val="center"/>
              <w:rPr>
                <w:color w:val="000000"/>
                <w:sz w:val="20"/>
                <w:szCs w:val="20"/>
              </w:rPr>
            </w:pPr>
            <w:r w:rsidRPr="00220AA6">
              <w:rPr>
                <w:color w:val="000000"/>
                <w:sz w:val="20"/>
                <w:szCs w:val="20"/>
                <w:lang w:val="en-US"/>
              </w:rPr>
              <w:t>0.044</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0.112</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0.194</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0.042</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0.110</w:t>
            </w:r>
          </w:p>
        </w:tc>
        <w:tc>
          <w:tcPr>
            <w:tcW w:w="1576" w:type="dxa"/>
            <w:tcBorders>
              <w:top w:val="nil"/>
              <w:left w:val="nil"/>
              <w:bottom w:val="single" w:sz="8" w:space="0" w:color="auto"/>
              <w:right w:val="nil"/>
            </w:tcBorders>
          </w:tcPr>
          <w:p w:rsidR="00220AA6" w:rsidRPr="00220AA6" w:rsidRDefault="00220AA6" w:rsidP="004F3B70">
            <w:pPr>
              <w:jc w:val="center"/>
              <w:rPr>
                <w:color w:val="000000"/>
                <w:sz w:val="20"/>
                <w:szCs w:val="20"/>
              </w:rPr>
            </w:pPr>
            <w:r w:rsidRPr="00220AA6">
              <w:rPr>
                <w:color w:val="000000"/>
                <w:sz w:val="20"/>
                <w:szCs w:val="20"/>
                <w:lang w:val="en-US"/>
              </w:rPr>
              <w:t>0.192</w:t>
            </w:r>
          </w:p>
        </w:tc>
      </w:tr>
    </w:tbl>
    <w:p w:rsidR="00220AA6" w:rsidRDefault="00220AA6" w:rsidP="00FC692F"/>
    <w:p w:rsidR="00B77A62" w:rsidRPr="003B5716" w:rsidRDefault="00B77A62" w:rsidP="00FC692F">
      <w:pPr>
        <w:spacing w:after="200" w:line="480" w:lineRule="auto"/>
      </w:pPr>
      <w:r w:rsidRPr="003B5716">
        <w:br w:type="page"/>
      </w:r>
    </w:p>
    <w:p w:rsidR="008937D3" w:rsidRPr="003B5716" w:rsidRDefault="00B77A62" w:rsidP="00FC692F">
      <w:pPr>
        <w:rPr>
          <w:b/>
        </w:rPr>
      </w:pPr>
      <w:r w:rsidRPr="003B5716">
        <w:rPr>
          <w:b/>
        </w:rPr>
        <w:lastRenderedPageBreak/>
        <w:t xml:space="preserve">Table </w:t>
      </w:r>
      <w:r w:rsidR="0086673E" w:rsidRPr="003B5716">
        <w:rPr>
          <w:b/>
        </w:rPr>
        <w:t>6</w:t>
      </w:r>
    </w:p>
    <w:p w:rsidR="008937D3" w:rsidRPr="003B5716" w:rsidRDefault="008937D3" w:rsidP="00FC692F">
      <w:pPr>
        <w:rPr>
          <w:b/>
        </w:rPr>
      </w:pPr>
    </w:p>
    <w:p w:rsidR="00B77A62" w:rsidRPr="003B5716" w:rsidRDefault="008937D3" w:rsidP="00FC692F">
      <w:pPr>
        <w:rPr>
          <w:b/>
        </w:rPr>
      </w:pPr>
      <w:r w:rsidRPr="003B5716">
        <w:rPr>
          <w:b/>
        </w:rPr>
        <w:t xml:space="preserve">Estimated relationships of the relationship between </w:t>
      </w:r>
      <w:r w:rsidR="00B77A62" w:rsidRPr="003B5716">
        <w:rPr>
          <w:b/>
        </w:rPr>
        <w:t>risk-taking and family control/ownership</w:t>
      </w:r>
      <w:r w:rsidRPr="003B5716">
        <w:rPr>
          <w:b/>
        </w:rPr>
        <w:t xml:space="preserve"> from quartile regressions for low and high risk firms</w:t>
      </w:r>
    </w:p>
    <w:p w:rsidR="008937D3" w:rsidRDefault="008937D3" w:rsidP="00FC692F"/>
    <w:tbl>
      <w:tblPr>
        <w:tblW w:w="9322" w:type="dxa"/>
        <w:tblLayout w:type="fixed"/>
        <w:tblLook w:val="0000"/>
      </w:tblPr>
      <w:tblGrid>
        <w:gridCol w:w="1481"/>
        <w:gridCol w:w="1306"/>
        <w:gridCol w:w="1307"/>
        <w:gridCol w:w="1307"/>
        <w:gridCol w:w="1307"/>
        <w:gridCol w:w="1307"/>
        <w:gridCol w:w="1307"/>
      </w:tblGrid>
      <w:tr w:rsidR="00170641" w:rsidRPr="00913E98" w:rsidTr="004F3B70">
        <w:tc>
          <w:tcPr>
            <w:tcW w:w="1481"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pPr>
            <w:r w:rsidRPr="00913E98">
              <w:t>Dep</w:t>
            </w:r>
            <w:r>
              <w:t xml:space="preserve">. </w:t>
            </w:r>
            <w:proofErr w:type="spellStart"/>
            <w:r>
              <w:t>v</w:t>
            </w:r>
            <w:r w:rsidRPr="00913E98">
              <w:t>ar</w:t>
            </w:r>
            <w:proofErr w:type="spellEnd"/>
            <w:r w:rsidRPr="00913E98">
              <w:t>:</w:t>
            </w:r>
          </w:p>
        </w:tc>
        <w:tc>
          <w:tcPr>
            <w:tcW w:w="2613" w:type="dxa"/>
            <w:gridSpan w:val="2"/>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r>
              <w:t>Performance hazard risk</w:t>
            </w:r>
          </w:p>
        </w:tc>
        <w:tc>
          <w:tcPr>
            <w:tcW w:w="2614" w:type="dxa"/>
            <w:gridSpan w:val="2"/>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r>
              <w:t>Venturing risk</w:t>
            </w:r>
          </w:p>
        </w:tc>
        <w:tc>
          <w:tcPr>
            <w:tcW w:w="2614" w:type="dxa"/>
            <w:gridSpan w:val="2"/>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r>
              <w:t>Total risk</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(1)</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(2)</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(3)</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(4)</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(5)</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(6)</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Quartiles</w:t>
            </w:r>
          </w:p>
        </w:tc>
        <w:tc>
          <w:tcPr>
            <w:tcW w:w="1306"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Q25</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Q</w:t>
            </w:r>
            <w:r>
              <w:t>7</w:t>
            </w:r>
            <w:r w:rsidRPr="00913E98">
              <w:t>5</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Q</w:t>
            </w:r>
            <w:r>
              <w:t>2</w:t>
            </w:r>
            <w:r w:rsidRPr="00913E98">
              <w:t>5</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Q</w:t>
            </w:r>
            <w:r>
              <w:t>7</w:t>
            </w:r>
            <w:r w:rsidRPr="00913E98">
              <w:t>5</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Q</w:t>
            </w:r>
            <w:r>
              <w:t>25</w:t>
            </w:r>
          </w:p>
        </w:tc>
        <w:tc>
          <w:tcPr>
            <w:tcW w:w="1307" w:type="dxa"/>
            <w:tcBorders>
              <w:top w:val="nil"/>
              <w:left w:val="nil"/>
              <w:bottom w:val="nil"/>
              <w:right w:val="nil"/>
            </w:tcBorders>
          </w:tcPr>
          <w:p w:rsidR="00170641" w:rsidRPr="00913E98" w:rsidRDefault="00170641" w:rsidP="004F3B70">
            <w:pPr>
              <w:widowControl w:val="0"/>
              <w:autoSpaceDE w:val="0"/>
              <w:autoSpaceDN w:val="0"/>
              <w:adjustRightInd w:val="0"/>
              <w:jc w:val="center"/>
            </w:pPr>
            <w:r w:rsidRPr="00913E98">
              <w:t>Q75</w:t>
            </w:r>
          </w:p>
        </w:tc>
      </w:tr>
      <w:tr w:rsidR="00170641" w:rsidRPr="00913E98" w:rsidTr="004F3B70">
        <w:tc>
          <w:tcPr>
            <w:tcW w:w="1481"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rPr>
                <w:b/>
              </w:rPr>
            </w:pPr>
            <w:r w:rsidRPr="00913E98">
              <w:rPr>
                <w:b/>
              </w:rPr>
              <w:t>Panel A</w:t>
            </w:r>
          </w:p>
        </w:tc>
        <w:tc>
          <w:tcPr>
            <w:tcW w:w="1306"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bottom w:val="nil"/>
              <w:right w:val="nil"/>
            </w:tcBorders>
          </w:tcPr>
          <w:p w:rsidR="00170641" w:rsidRPr="00913E98" w:rsidRDefault="00170641" w:rsidP="004F3B70">
            <w:pPr>
              <w:widowControl w:val="0"/>
              <w:autoSpaceDE w:val="0"/>
              <w:autoSpaceDN w:val="0"/>
              <w:adjustRightInd w:val="0"/>
              <w:jc w:val="center"/>
            </w:pP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Family</w:t>
            </w: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-0.0217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-0.0275*</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0.000647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0.00866**</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0.0370***</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0.112***</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(-1.19)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(-1.79)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(1.07)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(2.36)</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(2.95)</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(3.88)</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CEM</w:t>
            </w: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0.00438</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-0.00294</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-0.000359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-0.00945*</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-0.0187*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-0.062***</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(0.30)</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(-0.22)</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(-0.57)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(-1.93)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(-1.67)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(-2.74)</w:t>
            </w:r>
          </w:p>
        </w:tc>
      </w:tr>
      <w:tr w:rsidR="00170641" w:rsidRPr="00913E98" w:rsidTr="004F3B70">
        <w:tc>
          <w:tcPr>
            <w:tcW w:w="1481" w:type="dxa"/>
            <w:tcBorders>
              <w:top w:val="nil"/>
              <w:left w:val="nil"/>
              <w:right w:val="nil"/>
            </w:tcBorders>
          </w:tcPr>
          <w:p w:rsidR="00170641" w:rsidRPr="00913E98" w:rsidRDefault="00170641" w:rsidP="004F3B70">
            <w:pPr>
              <w:widowControl w:val="0"/>
              <w:autoSpaceDE w:val="0"/>
              <w:autoSpaceDN w:val="0"/>
              <w:adjustRightInd w:val="0"/>
            </w:pPr>
            <w:r w:rsidRPr="00913E98">
              <w:t>BD</w:t>
            </w:r>
          </w:p>
        </w:tc>
        <w:tc>
          <w:tcPr>
            <w:tcW w:w="1306" w:type="dxa"/>
            <w:tcBorders>
              <w:top w:val="nil"/>
              <w:left w:val="nil"/>
              <w:right w:val="nil"/>
            </w:tcBorders>
          </w:tcPr>
          <w:p w:rsidR="00170641" w:rsidRDefault="00170641" w:rsidP="004F3B70">
            <w:pPr>
              <w:widowControl w:val="0"/>
              <w:autoSpaceDE w:val="0"/>
              <w:autoSpaceDN w:val="0"/>
              <w:adjustRightInd w:val="0"/>
              <w:jc w:val="center"/>
              <w:rPr>
                <w:lang w:val="en-US"/>
              </w:rPr>
            </w:pPr>
            <w:r>
              <w:rPr>
                <w:lang w:val="en-US"/>
              </w:rPr>
              <w:t>0.00472</w:t>
            </w:r>
          </w:p>
        </w:tc>
        <w:tc>
          <w:tcPr>
            <w:tcW w:w="1307" w:type="dxa"/>
            <w:tcBorders>
              <w:top w:val="nil"/>
              <w:left w:val="nil"/>
              <w:right w:val="nil"/>
            </w:tcBorders>
          </w:tcPr>
          <w:p w:rsidR="00170641" w:rsidRDefault="00170641" w:rsidP="004F3B70">
            <w:pPr>
              <w:widowControl w:val="0"/>
              <w:autoSpaceDE w:val="0"/>
              <w:autoSpaceDN w:val="0"/>
              <w:adjustRightInd w:val="0"/>
              <w:jc w:val="center"/>
              <w:rPr>
                <w:lang w:val="en-US"/>
              </w:rPr>
            </w:pPr>
            <w:r>
              <w:rPr>
                <w:lang w:val="en-US"/>
              </w:rPr>
              <w:t>-0.00059</w:t>
            </w:r>
          </w:p>
        </w:tc>
        <w:tc>
          <w:tcPr>
            <w:tcW w:w="1307" w:type="dxa"/>
            <w:tcBorders>
              <w:top w:val="nil"/>
              <w:left w:val="nil"/>
              <w:right w:val="nil"/>
            </w:tcBorders>
          </w:tcPr>
          <w:p w:rsidR="00170641" w:rsidRDefault="00170641" w:rsidP="004F3B70">
            <w:pPr>
              <w:widowControl w:val="0"/>
              <w:autoSpaceDE w:val="0"/>
              <w:autoSpaceDN w:val="0"/>
              <w:adjustRightInd w:val="0"/>
              <w:jc w:val="center"/>
              <w:rPr>
                <w:lang w:val="en-US"/>
              </w:rPr>
            </w:pPr>
            <w:r>
              <w:rPr>
                <w:lang w:val="en-US"/>
              </w:rPr>
              <w:t>0.00083**</w:t>
            </w:r>
          </w:p>
        </w:tc>
        <w:tc>
          <w:tcPr>
            <w:tcW w:w="1307" w:type="dxa"/>
            <w:tcBorders>
              <w:top w:val="nil"/>
              <w:left w:val="nil"/>
              <w:right w:val="nil"/>
            </w:tcBorders>
          </w:tcPr>
          <w:p w:rsidR="00170641" w:rsidRDefault="00170641" w:rsidP="004F3B70">
            <w:pPr>
              <w:widowControl w:val="0"/>
              <w:autoSpaceDE w:val="0"/>
              <w:autoSpaceDN w:val="0"/>
              <w:adjustRightInd w:val="0"/>
              <w:jc w:val="center"/>
              <w:rPr>
                <w:lang w:val="en-US"/>
              </w:rPr>
            </w:pPr>
            <w:r>
              <w:rPr>
                <w:lang w:val="en-US"/>
              </w:rPr>
              <w:t>-0.00147</w:t>
            </w:r>
          </w:p>
        </w:tc>
        <w:tc>
          <w:tcPr>
            <w:tcW w:w="1307" w:type="dxa"/>
            <w:tcBorders>
              <w:top w:val="nil"/>
              <w:left w:val="nil"/>
              <w:right w:val="nil"/>
            </w:tcBorders>
          </w:tcPr>
          <w:p w:rsidR="00170641" w:rsidRDefault="00170641" w:rsidP="004F3B70">
            <w:pPr>
              <w:widowControl w:val="0"/>
              <w:autoSpaceDE w:val="0"/>
              <w:autoSpaceDN w:val="0"/>
              <w:adjustRightInd w:val="0"/>
              <w:jc w:val="center"/>
              <w:rPr>
                <w:lang w:val="en-US"/>
              </w:rPr>
            </w:pPr>
            <w:r>
              <w:rPr>
                <w:lang w:val="en-US"/>
              </w:rPr>
              <w:t>0.00984</w:t>
            </w:r>
          </w:p>
        </w:tc>
        <w:tc>
          <w:tcPr>
            <w:tcW w:w="1307" w:type="dxa"/>
            <w:tcBorders>
              <w:top w:val="nil"/>
              <w:left w:val="nil"/>
              <w:right w:val="nil"/>
            </w:tcBorders>
          </w:tcPr>
          <w:p w:rsidR="00170641" w:rsidRDefault="00170641" w:rsidP="004F3B70">
            <w:pPr>
              <w:widowControl w:val="0"/>
              <w:autoSpaceDE w:val="0"/>
              <w:autoSpaceDN w:val="0"/>
              <w:adjustRightInd w:val="0"/>
              <w:jc w:val="center"/>
              <w:rPr>
                <w:lang w:val="en-US"/>
              </w:rPr>
            </w:pPr>
            <w:r>
              <w:rPr>
                <w:lang w:val="en-US"/>
              </w:rPr>
              <w:t>0.0269*</w:t>
            </w:r>
          </w:p>
        </w:tc>
      </w:tr>
      <w:tr w:rsidR="00170641" w:rsidRPr="00913E98" w:rsidTr="004F3B70">
        <w:tc>
          <w:tcPr>
            <w:tcW w:w="1481" w:type="dxa"/>
            <w:tcBorders>
              <w:top w:val="nil"/>
              <w:left w:val="nil"/>
              <w:bottom w:val="single" w:sz="4" w:space="0" w:color="auto"/>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(0.37)</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(-0.03)</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(2.07)</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(-0.54)</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(1.37)</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(1.85)</w:t>
            </w:r>
          </w:p>
        </w:tc>
      </w:tr>
      <w:tr w:rsidR="00170641" w:rsidRPr="00913E98" w:rsidTr="004F3B70">
        <w:tc>
          <w:tcPr>
            <w:tcW w:w="1481"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pPr>
            <w:r w:rsidRPr="00913E98">
              <w:t xml:space="preserve">Pseudo </w:t>
            </w:r>
            <w:r w:rsidRPr="00913E98">
              <w:rPr>
                <w:i/>
                <w:iCs/>
              </w:rPr>
              <w:t>R</w:t>
            </w:r>
            <w:r w:rsidRPr="00913E98">
              <w:rPr>
                <w:vertAlign w:val="superscript"/>
              </w:rPr>
              <w:t>2</w:t>
            </w:r>
          </w:p>
        </w:tc>
        <w:tc>
          <w:tcPr>
            <w:tcW w:w="1306"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0646</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t>0.1131</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1440</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0.1</w:t>
            </w:r>
            <w:r>
              <w:t>624</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0.1</w:t>
            </w:r>
            <w:r>
              <w:t>293</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1719</w:t>
            </w:r>
          </w:p>
        </w:tc>
      </w:tr>
      <w:tr w:rsidR="00170641" w:rsidRPr="00913E98" w:rsidTr="004F3B70">
        <w:tc>
          <w:tcPr>
            <w:tcW w:w="1481" w:type="dxa"/>
            <w:tcBorders>
              <w:top w:val="single" w:sz="4" w:space="0" w:color="auto"/>
              <w:left w:val="nil"/>
              <w:right w:val="nil"/>
            </w:tcBorders>
          </w:tcPr>
          <w:p w:rsidR="00170641" w:rsidRPr="00913E98" w:rsidRDefault="00170641" w:rsidP="004F3B70">
            <w:pPr>
              <w:widowControl w:val="0"/>
              <w:autoSpaceDE w:val="0"/>
              <w:autoSpaceDN w:val="0"/>
              <w:adjustRightInd w:val="0"/>
              <w:rPr>
                <w:b/>
              </w:rPr>
            </w:pPr>
          </w:p>
        </w:tc>
        <w:tc>
          <w:tcPr>
            <w:tcW w:w="1306" w:type="dxa"/>
            <w:tcBorders>
              <w:top w:val="single" w:sz="4" w:space="0" w:color="auto"/>
              <w:left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right w:val="nil"/>
            </w:tcBorders>
          </w:tcPr>
          <w:p w:rsidR="00170641" w:rsidRPr="00913E98" w:rsidRDefault="00170641" w:rsidP="004F3B70">
            <w:pPr>
              <w:widowControl w:val="0"/>
              <w:autoSpaceDE w:val="0"/>
              <w:autoSpaceDN w:val="0"/>
              <w:adjustRightInd w:val="0"/>
              <w:jc w:val="center"/>
            </w:pPr>
          </w:p>
        </w:tc>
        <w:tc>
          <w:tcPr>
            <w:tcW w:w="1307" w:type="dxa"/>
            <w:tcBorders>
              <w:top w:val="single" w:sz="4" w:space="0" w:color="auto"/>
              <w:left w:val="nil"/>
              <w:right w:val="nil"/>
            </w:tcBorders>
          </w:tcPr>
          <w:p w:rsidR="00170641" w:rsidRPr="00913E98" w:rsidRDefault="00170641" w:rsidP="004F3B70">
            <w:pPr>
              <w:widowControl w:val="0"/>
              <w:autoSpaceDE w:val="0"/>
              <w:autoSpaceDN w:val="0"/>
              <w:adjustRightInd w:val="0"/>
              <w:jc w:val="center"/>
            </w:pPr>
          </w:p>
        </w:tc>
      </w:tr>
      <w:tr w:rsidR="00170641" w:rsidRPr="00913E98" w:rsidTr="004F3B70">
        <w:tc>
          <w:tcPr>
            <w:tcW w:w="1481" w:type="dxa"/>
            <w:tcBorders>
              <w:left w:val="nil"/>
              <w:bottom w:val="nil"/>
              <w:right w:val="nil"/>
            </w:tcBorders>
          </w:tcPr>
          <w:p w:rsidR="00170641" w:rsidRPr="00913E98" w:rsidRDefault="00170641" w:rsidP="004F3B70">
            <w:pPr>
              <w:widowControl w:val="0"/>
              <w:autoSpaceDE w:val="0"/>
              <w:autoSpaceDN w:val="0"/>
              <w:adjustRightInd w:val="0"/>
              <w:rPr>
                <w:b/>
              </w:rPr>
            </w:pPr>
            <w:r w:rsidRPr="00913E98">
              <w:rPr>
                <w:b/>
              </w:rPr>
              <w:t>Panel B</w:t>
            </w:r>
          </w:p>
        </w:tc>
        <w:tc>
          <w:tcPr>
            <w:tcW w:w="1306" w:type="dxa"/>
            <w:tcBorders>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left w:val="nil"/>
              <w:bottom w:val="nil"/>
              <w:right w:val="nil"/>
            </w:tcBorders>
          </w:tcPr>
          <w:p w:rsidR="00170641" w:rsidRPr="00913E98" w:rsidRDefault="00170641" w:rsidP="004F3B70">
            <w:pPr>
              <w:widowControl w:val="0"/>
              <w:autoSpaceDE w:val="0"/>
              <w:autoSpaceDN w:val="0"/>
              <w:adjustRightInd w:val="0"/>
              <w:jc w:val="center"/>
            </w:pPr>
          </w:p>
        </w:tc>
        <w:tc>
          <w:tcPr>
            <w:tcW w:w="1307" w:type="dxa"/>
            <w:tcBorders>
              <w:left w:val="nil"/>
              <w:bottom w:val="nil"/>
              <w:right w:val="nil"/>
            </w:tcBorders>
          </w:tcPr>
          <w:p w:rsidR="00170641" w:rsidRPr="00913E98" w:rsidRDefault="00170641" w:rsidP="004F3B70">
            <w:pPr>
              <w:widowControl w:val="0"/>
              <w:autoSpaceDE w:val="0"/>
              <w:autoSpaceDN w:val="0"/>
              <w:adjustRightInd w:val="0"/>
              <w:jc w:val="center"/>
            </w:pP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FCO</w:t>
            </w: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0.00023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0.00085</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0.0739**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0.00478**</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0.0154***</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0.0355***</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(0.28)</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(0.92)</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(2.53)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(2.44)</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(2.81)</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(2.66)</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FCO</w:t>
            </w:r>
            <w:r w:rsidRPr="00913E98">
              <w:rPr>
                <w:vertAlign w:val="superscript"/>
              </w:rPr>
              <w:t>2</w:t>
            </w: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-0.00199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0.0194</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-0.0005**</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-0.0013**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-0.0031**</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(-0.10)</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(0.99)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(-2.84)</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(-2.23)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(-2.07)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(-2.01)</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CEM</w:t>
            </w: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0.00455</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-0.00363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-0.000143</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-0.0098**</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-0.0151</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-0.0469**</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(0.34)</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(-0.27)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(-0.47)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(-2.02)</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(-1.40)</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(-2.01)</w:t>
            </w:r>
          </w:p>
        </w:tc>
      </w:tr>
      <w:tr w:rsidR="00170641" w:rsidRPr="00913E98" w:rsidTr="004F3B70">
        <w:tc>
          <w:tcPr>
            <w:tcW w:w="1481" w:type="dxa"/>
            <w:tcBorders>
              <w:top w:val="nil"/>
              <w:left w:val="nil"/>
              <w:bottom w:val="nil"/>
              <w:right w:val="nil"/>
            </w:tcBorders>
          </w:tcPr>
          <w:p w:rsidR="00170641" w:rsidRPr="00913E98" w:rsidRDefault="00170641" w:rsidP="004F3B70">
            <w:pPr>
              <w:widowControl w:val="0"/>
              <w:autoSpaceDE w:val="0"/>
              <w:autoSpaceDN w:val="0"/>
              <w:adjustRightInd w:val="0"/>
            </w:pPr>
            <w:r w:rsidRPr="00913E98">
              <w:t>BD</w:t>
            </w:r>
          </w:p>
        </w:tc>
        <w:tc>
          <w:tcPr>
            <w:tcW w:w="1306"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0.00201</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0.00381</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0.000026</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-0.0017</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0.0059</w:t>
            </w:r>
          </w:p>
        </w:tc>
        <w:tc>
          <w:tcPr>
            <w:tcW w:w="1307" w:type="dxa"/>
            <w:tcBorders>
              <w:top w:val="nil"/>
              <w:left w:val="nil"/>
              <w:bottom w:val="nil"/>
              <w:right w:val="nil"/>
            </w:tcBorders>
          </w:tcPr>
          <w:p w:rsidR="00170641" w:rsidRDefault="00170641" w:rsidP="004F3B70">
            <w:pPr>
              <w:widowControl w:val="0"/>
              <w:autoSpaceDE w:val="0"/>
              <w:autoSpaceDN w:val="0"/>
              <w:adjustRightInd w:val="0"/>
              <w:jc w:val="center"/>
              <w:rPr>
                <w:lang w:val="en-US"/>
              </w:rPr>
            </w:pPr>
            <w:r>
              <w:rPr>
                <w:lang w:val="en-US"/>
              </w:rPr>
              <w:t>0.0284*</w:t>
            </w:r>
          </w:p>
        </w:tc>
      </w:tr>
      <w:tr w:rsidR="00170641" w:rsidRPr="00913E98" w:rsidTr="004F3B70">
        <w:tc>
          <w:tcPr>
            <w:tcW w:w="1481" w:type="dxa"/>
            <w:tcBorders>
              <w:top w:val="nil"/>
              <w:left w:val="nil"/>
              <w:bottom w:val="single" w:sz="4" w:space="0" w:color="auto"/>
              <w:right w:val="nil"/>
            </w:tcBorders>
          </w:tcPr>
          <w:p w:rsidR="00170641" w:rsidRPr="00913E98" w:rsidRDefault="00170641" w:rsidP="004F3B70">
            <w:pPr>
              <w:widowControl w:val="0"/>
              <w:autoSpaceDE w:val="0"/>
              <w:autoSpaceDN w:val="0"/>
              <w:adjustRightInd w:val="0"/>
            </w:pPr>
          </w:p>
        </w:tc>
        <w:tc>
          <w:tcPr>
            <w:tcW w:w="1306"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(0.16)</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(0.23)</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(0.72)</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(-0.59)</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(0.73)</w:t>
            </w:r>
          </w:p>
        </w:tc>
        <w:tc>
          <w:tcPr>
            <w:tcW w:w="1307" w:type="dxa"/>
            <w:tcBorders>
              <w:top w:val="nil"/>
              <w:left w:val="nil"/>
              <w:bottom w:val="single" w:sz="4" w:space="0" w:color="auto"/>
              <w:right w:val="nil"/>
            </w:tcBorders>
          </w:tcPr>
          <w:p w:rsidR="00170641" w:rsidRDefault="00170641" w:rsidP="004F3B70">
            <w:pPr>
              <w:widowControl w:val="0"/>
              <w:autoSpaceDE w:val="0"/>
              <w:autoSpaceDN w:val="0"/>
              <w:adjustRightInd w:val="0"/>
              <w:jc w:val="center"/>
              <w:rPr>
                <w:lang w:val="en-US"/>
              </w:rPr>
            </w:pPr>
            <w:r>
              <w:rPr>
                <w:lang w:val="en-US"/>
              </w:rPr>
              <w:t>(1.91)</w:t>
            </w:r>
          </w:p>
        </w:tc>
      </w:tr>
      <w:tr w:rsidR="00170641" w:rsidRPr="00913E98" w:rsidTr="004F3B70">
        <w:tc>
          <w:tcPr>
            <w:tcW w:w="1481"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pPr>
            <w:r w:rsidRPr="00913E98">
              <w:t xml:space="preserve">Pseudo </w:t>
            </w:r>
            <w:r w:rsidRPr="00913E98">
              <w:rPr>
                <w:i/>
                <w:iCs/>
              </w:rPr>
              <w:t>R</w:t>
            </w:r>
            <w:r w:rsidRPr="00913E98">
              <w:rPr>
                <w:vertAlign w:val="superscript"/>
              </w:rPr>
              <w:t>2</w:t>
            </w:r>
          </w:p>
        </w:tc>
        <w:tc>
          <w:tcPr>
            <w:tcW w:w="1306"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0640</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0.1</w:t>
            </w:r>
            <w:r>
              <w:t>128</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1441</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0.1</w:t>
            </w:r>
            <w:r>
              <w:t>633</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1323</w:t>
            </w:r>
          </w:p>
        </w:tc>
        <w:tc>
          <w:tcPr>
            <w:tcW w:w="1307" w:type="dxa"/>
            <w:tcBorders>
              <w:top w:val="single" w:sz="4" w:space="0" w:color="auto"/>
              <w:left w:val="nil"/>
              <w:bottom w:val="single" w:sz="4" w:space="0" w:color="auto"/>
              <w:right w:val="nil"/>
            </w:tcBorders>
          </w:tcPr>
          <w:p w:rsidR="00170641" w:rsidRPr="00913E98" w:rsidRDefault="00170641" w:rsidP="004F3B70">
            <w:pPr>
              <w:widowControl w:val="0"/>
              <w:autoSpaceDE w:val="0"/>
              <w:autoSpaceDN w:val="0"/>
              <w:adjustRightInd w:val="0"/>
              <w:jc w:val="center"/>
            </w:pPr>
            <w:r w:rsidRPr="00913E98">
              <w:t>0.</w:t>
            </w:r>
            <w:r>
              <w:t>1706</w:t>
            </w:r>
          </w:p>
        </w:tc>
      </w:tr>
    </w:tbl>
    <w:p w:rsidR="00170641" w:rsidRDefault="00170641" w:rsidP="00FC692F"/>
    <w:p w:rsidR="00170641" w:rsidRDefault="00170641" w:rsidP="00FC692F"/>
    <w:p w:rsidR="00170641" w:rsidRDefault="00170641" w:rsidP="00FC692F"/>
    <w:p w:rsidR="00B77A62" w:rsidRPr="003B5716" w:rsidRDefault="00B77A62" w:rsidP="00FC692F">
      <w:pPr>
        <w:spacing w:after="200" w:line="480" w:lineRule="auto"/>
      </w:pPr>
      <w:r w:rsidRPr="003B5716">
        <w:br w:type="page"/>
      </w:r>
    </w:p>
    <w:p w:rsidR="008937D3" w:rsidRPr="003B5716" w:rsidRDefault="0086673E" w:rsidP="00FC692F">
      <w:pPr>
        <w:rPr>
          <w:b/>
        </w:rPr>
      </w:pPr>
      <w:r w:rsidRPr="003B5716">
        <w:rPr>
          <w:b/>
        </w:rPr>
        <w:lastRenderedPageBreak/>
        <w:t>Table 7</w:t>
      </w:r>
    </w:p>
    <w:p w:rsidR="008937D3" w:rsidRPr="003B5716" w:rsidRDefault="008937D3" w:rsidP="00FC692F">
      <w:pPr>
        <w:rPr>
          <w:b/>
        </w:rPr>
      </w:pPr>
    </w:p>
    <w:p w:rsidR="008937D3" w:rsidRPr="003B5716" w:rsidRDefault="008937D3" w:rsidP="00FC692F">
      <w:pPr>
        <w:rPr>
          <w:b/>
        </w:rPr>
      </w:pPr>
      <w:r w:rsidRPr="003B5716">
        <w:rPr>
          <w:b/>
        </w:rPr>
        <w:t>System GMM estimation of the relationship between firm value (risk-taking) and family control/ownership</w:t>
      </w:r>
    </w:p>
    <w:p w:rsidR="008937D3" w:rsidRPr="003B5716" w:rsidRDefault="008937D3" w:rsidP="00FC692F"/>
    <w:tbl>
      <w:tblPr>
        <w:tblW w:w="8897" w:type="dxa"/>
        <w:tblLayout w:type="fixed"/>
        <w:tblLook w:val="0000"/>
      </w:tblPr>
      <w:tblGrid>
        <w:gridCol w:w="1668"/>
        <w:gridCol w:w="1296"/>
        <w:gridCol w:w="1483"/>
        <w:gridCol w:w="1331"/>
        <w:gridCol w:w="1635"/>
        <w:gridCol w:w="1484"/>
      </w:tblGrid>
      <w:tr w:rsidR="003B5716" w:rsidRPr="003B5716" w:rsidTr="00150DCE">
        <w:tc>
          <w:tcPr>
            <w:tcW w:w="1668" w:type="dxa"/>
            <w:tcBorders>
              <w:top w:val="single" w:sz="4" w:space="0" w:color="auto"/>
              <w:left w:val="nil"/>
              <w:bottom w:val="single" w:sz="4" w:space="0" w:color="auto"/>
              <w:right w:val="nil"/>
            </w:tcBorders>
          </w:tcPr>
          <w:p w:rsidR="003B5716" w:rsidRPr="003B5716" w:rsidRDefault="00150DCE" w:rsidP="004842D2">
            <w:pPr>
              <w:widowControl w:val="0"/>
              <w:autoSpaceDE w:val="0"/>
              <w:autoSpaceDN w:val="0"/>
              <w:adjustRightInd w:val="0"/>
              <w:rPr>
                <w:b/>
              </w:rPr>
            </w:pPr>
            <w:r>
              <w:rPr>
                <w:b/>
              </w:rPr>
              <w:t>Dependent variable</w:t>
            </w:r>
            <w:r w:rsidR="003B5716" w:rsidRPr="003B5716">
              <w:rPr>
                <w:b/>
              </w:rPr>
              <w:t>:</w:t>
            </w:r>
          </w:p>
        </w:tc>
        <w:tc>
          <w:tcPr>
            <w:tcW w:w="1296" w:type="dxa"/>
            <w:tcBorders>
              <w:top w:val="single" w:sz="4" w:space="0" w:color="auto"/>
              <w:left w:val="nil"/>
              <w:bottom w:val="single" w:sz="4" w:space="0" w:color="auto"/>
              <w:right w:val="nil"/>
            </w:tcBorders>
          </w:tcPr>
          <w:p w:rsidR="003B5716" w:rsidRPr="003B5716" w:rsidRDefault="003B5716" w:rsidP="004842D2">
            <w:pPr>
              <w:widowControl w:val="0"/>
              <w:autoSpaceDE w:val="0"/>
              <w:autoSpaceDN w:val="0"/>
              <w:adjustRightInd w:val="0"/>
              <w:jc w:val="center"/>
              <w:rPr>
                <w:b/>
              </w:rPr>
            </w:pPr>
            <w:r w:rsidRPr="003B5716">
              <w:rPr>
                <w:b/>
              </w:rPr>
              <w:t>TQ</w:t>
            </w:r>
          </w:p>
        </w:tc>
        <w:tc>
          <w:tcPr>
            <w:tcW w:w="1483" w:type="dxa"/>
            <w:tcBorders>
              <w:top w:val="single" w:sz="4" w:space="0" w:color="auto"/>
              <w:left w:val="nil"/>
              <w:bottom w:val="single" w:sz="4" w:space="0" w:color="auto"/>
              <w:right w:val="nil"/>
            </w:tcBorders>
          </w:tcPr>
          <w:p w:rsidR="003B5716" w:rsidRPr="003B5716" w:rsidRDefault="003B5716" w:rsidP="004842D2">
            <w:pPr>
              <w:widowControl w:val="0"/>
              <w:autoSpaceDE w:val="0"/>
              <w:autoSpaceDN w:val="0"/>
              <w:adjustRightInd w:val="0"/>
              <w:jc w:val="center"/>
              <w:rPr>
                <w:b/>
              </w:rPr>
            </w:pPr>
            <w:r w:rsidRPr="003B5716">
              <w:rPr>
                <w:b/>
              </w:rPr>
              <w:t>MB</w:t>
            </w:r>
          </w:p>
        </w:tc>
        <w:tc>
          <w:tcPr>
            <w:tcW w:w="1331" w:type="dxa"/>
            <w:tcBorders>
              <w:top w:val="single" w:sz="4" w:space="0" w:color="auto"/>
              <w:left w:val="nil"/>
              <w:bottom w:val="single" w:sz="4" w:space="0" w:color="auto"/>
              <w:right w:val="nil"/>
            </w:tcBorders>
          </w:tcPr>
          <w:p w:rsidR="003B5716" w:rsidRPr="003B5716" w:rsidRDefault="00150DCE" w:rsidP="004842D2">
            <w:pPr>
              <w:widowControl w:val="0"/>
              <w:autoSpaceDE w:val="0"/>
              <w:autoSpaceDN w:val="0"/>
              <w:adjustRightInd w:val="0"/>
              <w:jc w:val="center"/>
              <w:rPr>
                <w:b/>
              </w:rPr>
            </w:pPr>
            <w:r>
              <w:rPr>
                <w:b/>
              </w:rPr>
              <w:t>Total risk</w:t>
            </w:r>
          </w:p>
        </w:tc>
        <w:tc>
          <w:tcPr>
            <w:tcW w:w="1635" w:type="dxa"/>
            <w:tcBorders>
              <w:top w:val="single" w:sz="4" w:space="0" w:color="auto"/>
              <w:left w:val="nil"/>
              <w:bottom w:val="single" w:sz="4" w:space="0" w:color="auto"/>
              <w:right w:val="nil"/>
            </w:tcBorders>
          </w:tcPr>
          <w:p w:rsidR="003B5716" w:rsidRPr="003B5716" w:rsidRDefault="00150DCE" w:rsidP="004842D2">
            <w:pPr>
              <w:widowControl w:val="0"/>
              <w:autoSpaceDE w:val="0"/>
              <w:autoSpaceDN w:val="0"/>
              <w:adjustRightInd w:val="0"/>
              <w:jc w:val="center"/>
              <w:rPr>
                <w:b/>
              </w:rPr>
            </w:pPr>
            <w:r>
              <w:rPr>
                <w:b/>
              </w:rPr>
              <w:t>Performance hazard</w:t>
            </w:r>
          </w:p>
        </w:tc>
        <w:tc>
          <w:tcPr>
            <w:tcW w:w="1484" w:type="dxa"/>
            <w:tcBorders>
              <w:top w:val="single" w:sz="4" w:space="0" w:color="auto"/>
              <w:left w:val="nil"/>
              <w:bottom w:val="single" w:sz="4" w:space="0" w:color="auto"/>
              <w:right w:val="nil"/>
            </w:tcBorders>
          </w:tcPr>
          <w:p w:rsidR="003B5716" w:rsidRPr="003B5716" w:rsidRDefault="00150DCE" w:rsidP="004842D2">
            <w:pPr>
              <w:widowControl w:val="0"/>
              <w:autoSpaceDE w:val="0"/>
              <w:autoSpaceDN w:val="0"/>
              <w:adjustRightInd w:val="0"/>
              <w:jc w:val="center"/>
              <w:rPr>
                <w:b/>
              </w:rPr>
            </w:pPr>
            <w:r>
              <w:rPr>
                <w:b/>
              </w:rPr>
              <w:t>Venturing risk</w:t>
            </w:r>
          </w:p>
        </w:tc>
      </w:tr>
      <w:tr w:rsidR="003B5716" w:rsidRPr="003B5716" w:rsidTr="00150DCE">
        <w:tc>
          <w:tcPr>
            <w:tcW w:w="1668" w:type="dxa"/>
            <w:tcBorders>
              <w:top w:val="single" w:sz="4" w:space="0" w:color="auto"/>
              <w:left w:val="nil"/>
              <w:bottom w:val="nil"/>
              <w:right w:val="nil"/>
            </w:tcBorders>
          </w:tcPr>
          <w:p w:rsidR="003B5716" w:rsidRPr="003B5716" w:rsidRDefault="003B5716" w:rsidP="004842D2">
            <w:pPr>
              <w:widowControl w:val="0"/>
              <w:autoSpaceDE w:val="0"/>
              <w:autoSpaceDN w:val="0"/>
              <w:adjustRightInd w:val="0"/>
            </w:pPr>
          </w:p>
        </w:tc>
        <w:tc>
          <w:tcPr>
            <w:tcW w:w="1296" w:type="dxa"/>
            <w:tcBorders>
              <w:top w:val="single" w:sz="4" w:space="0" w:color="auto"/>
              <w:left w:val="nil"/>
              <w:bottom w:val="nil"/>
              <w:right w:val="nil"/>
            </w:tcBorders>
          </w:tcPr>
          <w:p w:rsidR="003B5716" w:rsidRPr="003B5716" w:rsidRDefault="003B5716" w:rsidP="004842D2">
            <w:pPr>
              <w:widowControl w:val="0"/>
              <w:autoSpaceDE w:val="0"/>
              <w:autoSpaceDN w:val="0"/>
              <w:adjustRightInd w:val="0"/>
              <w:jc w:val="center"/>
            </w:pPr>
            <w:r w:rsidRPr="003B5716">
              <w:t>(1)</w:t>
            </w:r>
          </w:p>
        </w:tc>
        <w:tc>
          <w:tcPr>
            <w:tcW w:w="1483" w:type="dxa"/>
            <w:tcBorders>
              <w:top w:val="single" w:sz="4" w:space="0" w:color="auto"/>
              <w:left w:val="nil"/>
              <w:bottom w:val="nil"/>
              <w:right w:val="nil"/>
            </w:tcBorders>
          </w:tcPr>
          <w:p w:rsidR="003B5716" w:rsidRPr="003B5716" w:rsidRDefault="003B5716" w:rsidP="004842D2">
            <w:pPr>
              <w:widowControl w:val="0"/>
              <w:autoSpaceDE w:val="0"/>
              <w:autoSpaceDN w:val="0"/>
              <w:adjustRightInd w:val="0"/>
              <w:jc w:val="center"/>
            </w:pPr>
            <w:r w:rsidRPr="003B5716">
              <w:t>(2)</w:t>
            </w:r>
          </w:p>
        </w:tc>
        <w:tc>
          <w:tcPr>
            <w:tcW w:w="1331" w:type="dxa"/>
            <w:tcBorders>
              <w:top w:val="single" w:sz="4" w:space="0" w:color="auto"/>
              <w:left w:val="nil"/>
              <w:bottom w:val="nil"/>
              <w:right w:val="nil"/>
            </w:tcBorders>
          </w:tcPr>
          <w:p w:rsidR="003B5716" w:rsidRPr="003B5716" w:rsidRDefault="003B5716" w:rsidP="004842D2">
            <w:pPr>
              <w:widowControl w:val="0"/>
              <w:autoSpaceDE w:val="0"/>
              <w:autoSpaceDN w:val="0"/>
              <w:adjustRightInd w:val="0"/>
              <w:jc w:val="center"/>
            </w:pPr>
            <w:r w:rsidRPr="003B5716">
              <w:t>(3)</w:t>
            </w:r>
          </w:p>
        </w:tc>
        <w:tc>
          <w:tcPr>
            <w:tcW w:w="1635" w:type="dxa"/>
            <w:tcBorders>
              <w:top w:val="single" w:sz="4" w:space="0" w:color="auto"/>
              <w:left w:val="nil"/>
              <w:bottom w:val="nil"/>
              <w:right w:val="nil"/>
            </w:tcBorders>
          </w:tcPr>
          <w:p w:rsidR="003B5716" w:rsidRPr="003B5716" w:rsidRDefault="003B5716" w:rsidP="004842D2">
            <w:pPr>
              <w:widowControl w:val="0"/>
              <w:autoSpaceDE w:val="0"/>
              <w:autoSpaceDN w:val="0"/>
              <w:adjustRightInd w:val="0"/>
              <w:jc w:val="center"/>
            </w:pPr>
            <w:r w:rsidRPr="003B5716">
              <w:t>(4)</w:t>
            </w:r>
          </w:p>
        </w:tc>
        <w:tc>
          <w:tcPr>
            <w:tcW w:w="1484" w:type="dxa"/>
            <w:tcBorders>
              <w:top w:val="single" w:sz="4" w:space="0" w:color="auto"/>
              <w:left w:val="nil"/>
              <w:bottom w:val="nil"/>
              <w:right w:val="nil"/>
            </w:tcBorders>
          </w:tcPr>
          <w:p w:rsidR="003B5716" w:rsidRPr="003B5716" w:rsidRDefault="003B5716" w:rsidP="004842D2">
            <w:pPr>
              <w:widowControl w:val="0"/>
              <w:autoSpaceDE w:val="0"/>
              <w:autoSpaceDN w:val="0"/>
              <w:adjustRightInd w:val="0"/>
              <w:jc w:val="center"/>
            </w:pPr>
            <w:r w:rsidRPr="003B5716">
              <w:t>(5)</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r w:rsidRPr="003B5716">
              <w:t>F</w:t>
            </w:r>
            <w:r>
              <w:t>amily</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0.0437</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0.313*</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0.126*</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-0.0955***</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0.0323**</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(0.96)</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(1.81)</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(1.92)</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(-2.81)</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(2.04)</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r>
              <w:t>CEM</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-0.0544</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-0.139</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-0.0172</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0.135**</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0.00324</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(-1.19)</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(-0.91)</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(-0.34)</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(2.17)</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(0.14)</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r>
              <w:t>BD</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-0.00509</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-0.291</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-0.00601</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-0.0158</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-0.00955</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(-0.12)</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(-1.44)</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(-0.17)</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(-0.54)</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(-1.01)</w:t>
            </w:r>
          </w:p>
        </w:tc>
      </w:tr>
      <w:tr w:rsidR="00522267" w:rsidRPr="003B5716" w:rsidTr="00150DCE">
        <w:tc>
          <w:tcPr>
            <w:tcW w:w="1668" w:type="dxa"/>
            <w:tcBorders>
              <w:top w:val="nil"/>
              <w:left w:val="nil"/>
              <w:bottom w:val="nil"/>
              <w:right w:val="nil"/>
            </w:tcBorders>
          </w:tcPr>
          <w:p w:rsidR="00522267" w:rsidRPr="006A00D4" w:rsidRDefault="00522267" w:rsidP="004842D2">
            <w:r w:rsidRPr="006A00D4">
              <w:t xml:space="preserve">Size </w:t>
            </w:r>
            <w:r w:rsidRPr="003B5716">
              <w:rPr>
                <w:vertAlign w:val="subscript"/>
              </w:rPr>
              <w:t xml:space="preserve">t-1 </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0.0169</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0.126</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-0.0134</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-0.0602***</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-0.00389</w:t>
            </w:r>
          </w:p>
        </w:tc>
      </w:tr>
      <w:tr w:rsidR="00522267" w:rsidRPr="003B5716" w:rsidTr="00150DCE">
        <w:tc>
          <w:tcPr>
            <w:tcW w:w="1668" w:type="dxa"/>
            <w:tcBorders>
              <w:top w:val="nil"/>
              <w:left w:val="nil"/>
              <w:bottom w:val="nil"/>
              <w:right w:val="nil"/>
            </w:tcBorders>
          </w:tcPr>
          <w:p w:rsidR="00522267" w:rsidRPr="006A00D4" w:rsidRDefault="00522267" w:rsidP="004842D2"/>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(0.52)</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(1.34)</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(-0.51)</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(-3.69)</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(-0.85)</w:t>
            </w:r>
          </w:p>
        </w:tc>
      </w:tr>
      <w:tr w:rsidR="00522267" w:rsidRPr="003B5716" w:rsidTr="00150DCE">
        <w:tc>
          <w:tcPr>
            <w:tcW w:w="1668" w:type="dxa"/>
            <w:tcBorders>
              <w:top w:val="nil"/>
              <w:left w:val="nil"/>
              <w:bottom w:val="nil"/>
              <w:right w:val="nil"/>
            </w:tcBorders>
          </w:tcPr>
          <w:p w:rsidR="00522267" w:rsidRPr="006A00D4" w:rsidRDefault="00522267" w:rsidP="004842D2">
            <w:r w:rsidRPr="006A00D4">
              <w:t xml:space="preserve">Leverage </w:t>
            </w:r>
            <w:r w:rsidRPr="003B5716">
              <w:rPr>
                <w:vertAlign w:val="subscript"/>
              </w:rPr>
              <w:t>t-1</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-0.0243**</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-0.0689**</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-0.0183**</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0.00882</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0.00163</w:t>
            </w:r>
          </w:p>
        </w:tc>
      </w:tr>
      <w:tr w:rsidR="00522267" w:rsidRPr="003B5716" w:rsidTr="00150DCE">
        <w:tc>
          <w:tcPr>
            <w:tcW w:w="1668" w:type="dxa"/>
            <w:tcBorders>
              <w:top w:val="nil"/>
              <w:left w:val="nil"/>
              <w:bottom w:val="nil"/>
              <w:right w:val="nil"/>
            </w:tcBorders>
          </w:tcPr>
          <w:p w:rsidR="00522267" w:rsidRPr="006A00D4" w:rsidRDefault="00522267" w:rsidP="004842D2"/>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(-2.21)</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(-2.15)</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(-2.00)</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(0.98)</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(0.83)</w:t>
            </w:r>
          </w:p>
        </w:tc>
      </w:tr>
      <w:tr w:rsidR="00522267" w:rsidRPr="003B5716" w:rsidTr="00150DCE">
        <w:tc>
          <w:tcPr>
            <w:tcW w:w="1668" w:type="dxa"/>
            <w:tcBorders>
              <w:top w:val="nil"/>
              <w:left w:val="nil"/>
              <w:bottom w:val="nil"/>
              <w:right w:val="nil"/>
            </w:tcBorders>
          </w:tcPr>
          <w:p w:rsidR="00522267" w:rsidRDefault="00522267" w:rsidP="004842D2">
            <w:r w:rsidRPr="006A00D4">
              <w:t xml:space="preserve">Div. ratio </w:t>
            </w:r>
            <w:r w:rsidRPr="003B5716">
              <w:rPr>
                <w:vertAlign w:val="subscript"/>
              </w:rPr>
              <w:t>t-1</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0.378</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1.316</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0.425</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-0.154</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-0.0181</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(0.63)</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(0.53)</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(1.44)</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(-0.56)</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(-0.29)</w:t>
            </w:r>
          </w:p>
        </w:tc>
      </w:tr>
      <w:tr w:rsidR="00522267" w:rsidRPr="003B5716" w:rsidTr="00150DCE">
        <w:tc>
          <w:tcPr>
            <w:tcW w:w="1668" w:type="dxa"/>
            <w:tcBorders>
              <w:top w:val="nil"/>
              <w:left w:val="nil"/>
              <w:bottom w:val="nil"/>
              <w:right w:val="nil"/>
            </w:tcBorders>
          </w:tcPr>
          <w:p w:rsidR="00522267" w:rsidRPr="00150DCE" w:rsidRDefault="00522267" w:rsidP="004842D2">
            <w:pPr>
              <w:widowControl w:val="0"/>
              <w:autoSpaceDE w:val="0"/>
              <w:autoSpaceDN w:val="0"/>
              <w:adjustRightInd w:val="0"/>
            </w:pPr>
            <w:r w:rsidRPr="00150DCE">
              <w:t xml:space="preserve">Fixed assets </w:t>
            </w:r>
            <w:r w:rsidRPr="00150DCE">
              <w:rPr>
                <w:vertAlign w:val="subscript"/>
              </w:rPr>
              <w:t>t-1</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0.119</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-0.394</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0.114</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0.0389</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-0.0505</w:t>
            </w:r>
          </w:p>
        </w:tc>
      </w:tr>
      <w:tr w:rsidR="00522267" w:rsidRPr="003B5716" w:rsidTr="00150DCE">
        <w:tc>
          <w:tcPr>
            <w:tcW w:w="1668" w:type="dxa"/>
            <w:tcBorders>
              <w:top w:val="nil"/>
              <w:left w:val="nil"/>
              <w:bottom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(0.51)</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(-0.54)</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(0.91)</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(0.23)</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(-1.66)</w:t>
            </w:r>
          </w:p>
        </w:tc>
      </w:tr>
      <w:tr w:rsidR="00522267" w:rsidRPr="003B5716" w:rsidTr="00150DCE">
        <w:tc>
          <w:tcPr>
            <w:tcW w:w="1668" w:type="dxa"/>
            <w:tcBorders>
              <w:top w:val="nil"/>
              <w:left w:val="nil"/>
              <w:bottom w:val="nil"/>
              <w:right w:val="nil"/>
            </w:tcBorders>
          </w:tcPr>
          <w:p w:rsidR="00366565" w:rsidRDefault="00522267" w:rsidP="00AC1C07">
            <w:pPr>
              <w:widowControl w:val="0"/>
              <w:tabs>
                <w:tab w:val="left" w:pos="1221"/>
              </w:tabs>
              <w:autoSpaceDE w:val="0"/>
              <w:autoSpaceDN w:val="0"/>
              <w:adjustRightInd w:val="0"/>
            </w:pPr>
            <w:r w:rsidRPr="003B5716">
              <w:t>ADR</w:t>
            </w:r>
            <w:r>
              <w:tab/>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0.00183</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0.0755</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0.00704</w:t>
            </w:r>
          </w:p>
        </w:tc>
      </w:tr>
      <w:tr w:rsidR="00522267" w:rsidRPr="003B5716" w:rsidTr="00150DCE">
        <w:tc>
          <w:tcPr>
            <w:tcW w:w="1668" w:type="dxa"/>
            <w:tcBorders>
              <w:top w:val="nil"/>
              <w:left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right w:val="nil"/>
            </w:tcBorders>
          </w:tcPr>
          <w:p w:rsidR="00522267" w:rsidRPr="003B5716" w:rsidRDefault="00522267" w:rsidP="004842D2">
            <w:pPr>
              <w:widowControl w:val="0"/>
              <w:autoSpaceDE w:val="0"/>
              <w:autoSpaceDN w:val="0"/>
              <w:adjustRightInd w:val="0"/>
              <w:jc w:val="center"/>
            </w:pPr>
            <w:r w:rsidRPr="00287719">
              <w:t>(0.03)</w:t>
            </w:r>
          </w:p>
        </w:tc>
        <w:tc>
          <w:tcPr>
            <w:tcW w:w="1483" w:type="dxa"/>
            <w:tcBorders>
              <w:top w:val="nil"/>
              <w:left w:val="nil"/>
              <w:right w:val="nil"/>
            </w:tcBorders>
          </w:tcPr>
          <w:p w:rsidR="00522267" w:rsidRPr="003B5716" w:rsidRDefault="00522267" w:rsidP="004842D2">
            <w:pPr>
              <w:widowControl w:val="0"/>
              <w:autoSpaceDE w:val="0"/>
              <w:autoSpaceDN w:val="0"/>
              <w:adjustRightInd w:val="0"/>
              <w:jc w:val="center"/>
            </w:pPr>
          </w:p>
        </w:tc>
        <w:tc>
          <w:tcPr>
            <w:tcW w:w="1331" w:type="dxa"/>
            <w:tcBorders>
              <w:top w:val="nil"/>
              <w:left w:val="nil"/>
              <w:right w:val="nil"/>
            </w:tcBorders>
          </w:tcPr>
          <w:p w:rsidR="00522267" w:rsidRPr="003B5716" w:rsidRDefault="00522267" w:rsidP="004842D2">
            <w:pPr>
              <w:widowControl w:val="0"/>
              <w:autoSpaceDE w:val="0"/>
              <w:autoSpaceDN w:val="0"/>
              <w:adjustRightInd w:val="0"/>
              <w:jc w:val="center"/>
            </w:pPr>
            <w:r w:rsidRPr="00287719">
              <w:t>(1.04)</w:t>
            </w:r>
          </w:p>
        </w:tc>
        <w:tc>
          <w:tcPr>
            <w:tcW w:w="1635" w:type="dxa"/>
            <w:tcBorders>
              <w:top w:val="nil"/>
              <w:left w:val="nil"/>
              <w:right w:val="nil"/>
            </w:tcBorders>
          </w:tcPr>
          <w:p w:rsidR="00522267" w:rsidRPr="003B5716" w:rsidRDefault="00522267" w:rsidP="004842D2">
            <w:pPr>
              <w:widowControl w:val="0"/>
              <w:autoSpaceDE w:val="0"/>
              <w:autoSpaceDN w:val="0"/>
              <w:adjustRightInd w:val="0"/>
              <w:jc w:val="center"/>
            </w:pPr>
          </w:p>
        </w:tc>
        <w:tc>
          <w:tcPr>
            <w:tcW w:w="1484" w:type="dxa"/>
            <w:tcBorders>
              <w:top w:val="nil"/>
              <w:left w:val="nil"/>
              <w:right w:val="nil"/>
            </w:tcBorders>
          </w:tcPr>
          <w:p w:rsidR="00522267" w:rsidRPr="003B5716" w:rsidRDefault="00522267" w:rsidP="004842D2">
            <w:pPr>
              <w:widowControl w:val="0"/>
              <w:autoSpaceDE w:val="0"/>
              <w:autoSpaceDN w:val="0"/>
              <w:adjustRightInd w:val="0"/>
              <w:jc w:val="center"/>
            </w:pPr>
            <w:r w:rsidRPr="00287719">
              <w:t>(0.54)</w:t>
            </w:r>
          </w:p>
        </w:tc>
      </w:tr>
      <w:tr w:rsidR="00522267" w:rsidRPr="003B5716" w:rsidTr="00150DCE">
        <w:tc>
          <w:tcPr>
            <w:tcW w:w="1668" w:type="dxa"/>
            <w:tcBorders>
              <w:top w:val="nil"/>
              <w:left w:val="nil"/>
              <w:right w:val="nil"/>
            </w:tcBorders>
          </w:tcPr>
          <w:p w:rsidR="00522267" w:rsidRPr="003B5716" w:rsidRDefault="00522267" w:rsidP="004842D2">
            <w:pPr>
              <w:widowControl w:val="0"/>
              <w:autoSpaceDE w:val="0"/>
              <w:autoSpaceDN w:val="0"/>
              <w:adjustRightInd w:val="0"/>
            </w:pPr>
            <w:r w:rsidRPr="003B5716">
              <w:t>DF</w:t>
            </w:r>
          </w:p>
        </w:tc>
        <w:tc>
          <w:tcPr>
            <w:tcW w:w="1296" w:type="dxa"/>
            <w:tcBorders>
              <w:top w:val="nil"/>
              <w:left w:val="nil"/>
              <w:right w:val="nil"/>
            </w:tcBorders>
          </w:tcPr>
          <w:p w:rsidR="00522267" w:rsidRPr="003B5716" w:rsidRDefault="00522267" w:rsidP="004842D2">
            <w:pPr>
              <w:widowControl w:val="0"/>
              <w:autoSpaceDE w:val="0"/>
              <w:autoSpaceDN w:val="0"/>
              <w:adjustRightInd w:val="0"/>
              <w:jc w:val="center"/>
            </w:pPr>
            <w:r w:rsidRPr="00287719">
              <w:t>0.105***</w:t>
            </w:r>
          </w:p>
        </w:tc>
        <w:tc>
          <w:tcPr>
            <w:tcW w:w="1483" w:type="dxa"/>
            <w:tcBorders>
              <w:top w:val="nil"/>
              <w:left w:val="nil"/>
              <w:right w:val="nil"/>
            </w:tcBorders>
          </w:tcPr>
          <w:p w:rsidR="00522267" w:rsidRPr="003B5716" w:rsidRDefault="00522267" w:rsidP="004842D2">
            <w:pPr>
              <w:widowControl w:val="0"/>
              <w:autoSpaceDE w:val="0"/>
              <w:autoSpaceDN w:val="0"/>
              <w:adjustRightInd w:val="0"/>
              <w:jc w:val="center"/>
            </w:pPr>
            <w:r w:rsidRPr="00287719">
              <w:t>0.308**</w:t>
            </w:r>
          </w:p>
        </w:tc>
        <w:tc>
          <w:tcPr>
            <w:tcW w:w="1331" w:type="dxa"/>
            <w:tcBorders>
              <w:top w:val="nil"/>
              <w:left w:val="nil"/>
              <w:right w:val="nil"/>
            </w:tcBorders>
          </w:tcPr>
          <w:p w:rsidR="00522267" w:rsidRPr="003B5716" w:rsidRDefault="00522267" w:rsidP="004842D2">
            <w:pPr>
              <w:widowControl w:val="0"/>
              <w:autoSpaceDE w:val="0"/>
              <w:autoSpaceDN w:val="0"/>
              <w:adjustRightInd w:val="0"/>
              <w:jc w:val="center"/>
            </w:pPr>
          </w:p>
        </w:tc>
        <w:tc>
          <w:tcPr>
            <w:tcW w:w="1635" w:type="dxa"/>
            <w:tcBorders>
              <w:top w:val="nil"/>
              <w:left w:val="nil"/>
              <w:right w:val="nil"/>
            </w:tcBorders>
          </w:tcPr>
          <w:p w:rsidR="00522267" w:rsidRPr="003B5716" w:rsidRDefault="00522267" w:rsidP="004842D2">
            <w:pPr>
              <w:widowControl w:val="0"/>
              <w:autoSpaceDE w:val="0"/>
              <w:autoSpaceDN w:val="0"/>
              <w:adjustRightInd w:val="0"/>
              <w:jc w:val="center"/>
            </w:pPr>
          </w:p>
        </w:tc>
        <w:tc>
          <w:tcPr>
            <w:tcW w:w="1484" w:type="dxa"/>
            <w:tcBorders>
              <w:top w:val="nil"/>
              <w:left w:val="nil"/>
              <w:right w:val="nil"/>
            </w:tcBorders>
          </w:tcPr>
          <w:p w:rsidR="00522267" w:rsidRPr="003B5716" w:rsidRDefault="00522267" w:rsidP="004842D2">
            <w:pPr>
              <w:widowControl w:val="0"/>
              <w:autoSpaceDE w:val="0"/>
              <w:autoSpaceDN w:val="0"/>
              <w:adjustRightInd w:val="0"/>
              <w:jc w:val="center"/>
            </w:pPr>
          </w:p>
        </w:tc>
      </w:tr>
      <w:tr w:rsidR="00522267" w:rsidRPr="003B5716" w:rsidTr="00150DCE">
        <w:tc>
          <w:tcPr>
            <w:tcW w:w="1668" w:type="dxa"/>
            <w:tcBorders>
              <w:top w:val="nil"/>
              <w:left w:val="nil"/>
              <w:right w:val="nil"/>
            </w:tcBorders>
          </w:tcPr>
          <w:p w:rsidR="00522267" w:rsidRPr="003B5716" w:rsidRDefault="00522267" w:rsidP="004842D2">
            <w:pPr>
              <w:widowControl w:val="0"/>
              <w:autoSpaceDE w:val="0"/>
              <w:autoSpaceDN w:val="0"/>
              <w:adjustRightInd w:val="0"/>
            </w:pPr>
          </w:p>
        </w:tc>
        <w:tc>
          <w:tcPr>
            <w:tcW w:w="1296" w:type="dxa"/>
            <w:tcBorders>
              <w:top w:val="nil"/>
              <w:left w:val="nil"/>
              <w:right w:val="nil"/>
            </w:tcBorders>
          </w:tcPr>
          <w:p w:rsidR="00522267" w:rsidRPr="003B5716" w:rsidRDefault="00522267" w:rsidP="004842D2">
            <w:pPr>
              <w:widowControl w:val="0"/>
              <w:autoSpaceDE w:val="0"/>
              <w:autoSpaceDN w:val="0"/>
              <w:adjustRightInd w:val="0"/>
              <w:jc w:val="center"/>
            </w:pPr>
            <w:r w:rsidRPr="00287719">
              <w:t>(2.63)</w:t>
            </w:r>
          </w:p>
        </w:tc>
        <w:tc>
          <w:tcPr>
            <w:tcW w:w="1483" w:type="dxa"/>
            <w:tcBorders>
              <w:top w:val="nil"/>
              <w:left w:val="nil"/>
              <w:right w:val="nil"/>
            </w:tcBorders>
          </w:tcPr>
          <w:p w:rsidR="00522267" w:rsidRPr="003B5716" w:rsidRDefault="00522267" w:rsidP="004842D2">
            <w:pPr>
              <w:widowControl w:val="0"/>
              <w:autoSpaceDE w:val="0"/>
              <w:autoSpaceDN w:val="0"/>
              <w:adjustRightInd w:val="0"/>
              <w:jc w:val="center"/>
            </w:pPr>
            <w:r w:rsidRPr="00287719">
              <w:t>(2.29)</w:t>
            </w:r>
          </w:p>
        </w:tc>
        <w:tc>
          <w:tcPr>
            <w:tcW w:w="1331" w:type="dxa"/>
            <w:tcBorders>
              <w:top w:val="nil"/>
              <w:left w:val="nil"/>
              <w:right w:val="nil"/>
            </w:tcBorders>
          </w:tcPr>
          <w:p w:rsidR="00522267" w:rsidRPr="003B5716" w:rsidRDefault="00522267" w:rsidP="004842D2">
            <w:pPr>
              <w:widowControl w:val="0"/>
              <w:autoSpaceDE w:val="0"/>
              <w:autoSpaceDN w:val="0"/>
              <w:adjustRightInd w:val="0"/>
              <w:jc w:val="center"/>
            </w:pPr>
          </w:p>
        </w:tc>
        <w:tc>
          <w:tcPr>
            <w:tcW w:w="1635" w:type="dxa"/>
            <w:tcBorders>
              <w:top w:val="nil"/>
              <w:left w:val="nil"/>
              <w:right w:val="nil"/>
            </w:tcBorders>
          </w:tcPr>
          <w:p w:rsidR="00522267" w:rsidRPr="003B5716" w:rsidRDefault="00522267" w:rsidP="004842D2">
            <w:pPr>
              <w:widowControl w:val="0"/>
              <w:autoSpaceDE w:val="0"/>
              <w:autoSpaceDN w:val="0"/>
              <w:adjustRightInd w:val="0"/>
              <w:jc w:val="center"/>
            </w:pPr>
          </w:p>
        </w:tc>
        <w:tc>
          <w:tcPr>
            <w:tcW w:w="1484" w:type="dxa"/>
            <w:tcBorders>
              <w:top w:val="nil"/>
              <w:left w:val="nil"/>
              <w:right w:val="nil"/>
            </w:tcBorders>
          </w:tcPr>
          <w:p w:rsidR="00522267" w:rsidRPr="003B5716" w:rsidRDefault="00522267" w:rsidP="004842D2">
            <w:pPr>
              <w:widowControl w:val="0"/>
              <w:autoSpaceDE w:val="0"/>
              <w:autoSpaceDN w:val="0"/>
              <w:adjustRightInd w:val="0"/>
              <w:jc w:val="center"/>
            </w:pPr>
          </w:p>
        </w:tc>
      </w:tr>
      <w:tr w:rsidR="00522267" w:rsidRPr="003B5716" w:rsidTr="00150DCE">
        <w:tc>
          <w:tcPr>
            <w:tcW w:w="1668" w:type="dxa"/>
            <w:tcBorders>
              <w:left w:val="nil"/>
              <w:bottom w:val="nil"/>
              <w:right w:val="nil"/>
            </w:tcBorders>
          </w:tcPr>
          <w:p w:rsidR="00522267" w:rsidRPr="003B5716" w:rsidRDefault="00522267" w:rsidP="004842D2">
            <w:pPr>
              <w:widowControl w:val="0"/>
              <w:autoSpaceDE w:val="0"/>
              <w:autoSpaceDN w:val="0"/>
              <w:adjustRightInd w:val="0"/>
              <w:rPr>
                <w:b/>
              </w:rPr>
            </w:pPr>
            <w:r w:rsidRPr="003B5716">
              <w:t>Dependent variables</w:t>
            </w:r>
            <w:r w:rsidRPr="003B5716">
              <w:rPr>
                <w:vertAlign w:val="subscript"/>
              </w:rPr>
              <w:t>-1</w:t>
            </w:r>
          </w:p>
        </w:tc>
        <w:tc>
          <w:tcPr>
            <w:tcW w:w="1296" w:type="dxa"/>
            <w:tcBorders>
              <w:left w:val="nil"/>
              <w:bottom w:val="nil"/>
              <w:right w:val="nil"/>
            </w:tcBorders>
          </w:tcPr>
          <w:p w:rsidR="00522267" w:rsidRPr="003B5716" w:rsidRDefault="00522267" w:rsidP="004842D2">
            <w:pPr>
              <w:widowControl w:val="0"/>
              <w:autoSpaceDE w:val="0"/>
              <w:autoSpaceDN w:val="0"/>
              <w:adjustRightInd w:val="0"/>
              <w:jc w:val="center"/>
            </w:pPr>
            <w:r w:rsidRPr="00287719">
              <w:t>0.709***</w:t>
            </w:r>
          </w:p>
        </w:tc>
        <w:tc>
          <w:tcPr>
            <w:tcW w:w="1483" w:type="dxa"/>
            <w:tcBorders>
              <w:left w:val="nil"/>
              <w:bottom w:val="nil"/>
              <w:right w:val="nil"/>
            </w:tcBorders>
          </w:tcPr>
          <w:p w:rsidR="00522267" w:rsidRPr="003B5716" w:rsidRDefault="00522267" w:rsidP="004842D2">
            <w:pPr>
              <w:widowControl w:val="0"/>
              <w:autoSpaceDE w:val="0"/>
              <w:autoSpaceDN w:val="0"/>
              <w:adjustRightInd w:val="0"/>
              <w:jc w:val="center"/>
            </w:pPr>
            <w:r w:rsidRPr="00287719">
              <w:t>0.631***</w:t>
            </w:r>
          </w:p>
        </w:tc>
        <w:tc>
          <w:tcPr>
            <w:tcW w:w="1331" w:type="dxa"/>
            <w:tcBorders>
              <w:left w:val="nil"/>
              <w:bottom w:val="nil"/>
              <w:right w:val="nil"/>
            </w:tcBorders>
          </w:tcPr>
          <w:p w:rsidR="00522267" w:rsidRPr="003B5716" w:rsidRDefault="00522267" w:rsidP="004842D2">
            <w:pPr>
              <w:widowControl w:val="0"/>
              <w:autoSpaceDE w:val="0"/>
              <w:autoSpaceDN w:val="0"/>
              <w:adjustRightInd w:val="0"/>
              <w:jc w:val="center"/>
            </w:pPr>
            <w:r w:rsidRPr="00287719">
              <w:t>0.533***</w:t>
            </w:r>
          </w:p>
        </w:tc>
        <w:tc>
          <w:tcPr>
            <w:tcW w:w="1635" w:type="dxa"/>
            <w:tcBorders>
              <w:left w:val="nil"/>
              <w:bottom w:val="nil"/>
              <w:right w:val="nil"/>
            </w:tcBorders>
          </w:tcPr>
          <w:p w:rsidR="00522267" w:rsidRPr="003B5716" w:rsidRDefault="00522267" w:rsidP="004842D2">
            <w:pPr>
              <w:widowControl w:val="0"/>
              <w:autoSpaceDE w:val="0"/>
              <w:autoSpaceDN w:val="0"/>
              <w:adjustRightInd w:val="0"/>
              <w:jc w:val="center"/>
            </w:pPr>
            <w:r w:rsidRPr="00287719">
              <w:t>-0.0577</w:t>
            </w:r>
          </w:p>
        </w:tc>
        <w:tc>
          <w:tcPr>
            <w:tcW w:w="1484" w:type="dxa"/>
            <w:tcBorders>
              <w:left w:val="nil"/>
              <w:bottom w:val="nil"/>
              <w:right w:val="nil"/>
            </w:tcBorders>
          </w:tcPr>
          <w:p w:rsidR="00522267" w:rsidRPr="003B5716" w:rsidRDefault="00522267" w:rsidP="004842D2">
            <w:pPr>
              <w:widowControl w:val="0"/>
              <w:autoSpaceDE w:val="0"/>
              <w:autoSpaceDN w:val="0"/>
              <w:adjustRightInd w:val="0"/>
              <w:jc w:val="center"/>
            </w:pPr>
            <w:r w:rsidRPr="00287719">
              <w:t>0.602***</w:t>
            </w:r>
          </w:p>
        </w:tc>
      </w:tr>
      <w:tr w:rsidR="00522267" w:rsidRPr="003B5716" w:rsidTr="00150DCE">
        <w:tc>
          <w:tcPr>
            <w:tcW w:w="1668" w:type="dxa"/>
            <w:tcBorders>
              <w:top w:val="nil"/>
              <w:left w:val="nil"/>
              <w:bottom w:val="nil"/>
              <w:right w:val="nil"/>
            </w:tcBorders>
          </w:tcPr>
          <w:p w:rsidR="00522267" w:rsidRPr="003B5716" w:rsidRDefault="00522267" w:rsidP="003B5716">
            <w:pPr>
              <w:widowControl w:val="0"/>
              <w:autoSpaceDE w:val="0"/>
              <w:autoSpaceDN w:val="0"/>
              <w:adjustRightInd w:val="0"/>
            </w:pP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(8.57)</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(6.37)</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(3.88)</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(-0.85)</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(9.04)</w:t>
            </w:r>
          </w:p>
        </w:tc>
      </w:tr>
      <w:tr w:rsidR="00522267" w:rsidRPr="003B5716" w:rsidTr="00150DCE">
        <w:tc>
          <w:tcPr>
            <w:tcW w:w="1668" w:type="dxa"/>
            <w:tcBorders>
              <w:top w:val="nil"/>
              <w:left w:val="nil"/>
              <w:bottom w:val="nil"/>
              <w:right w:val="nil"/>
            </w:tcBorders>
          </w:tcPr>
          <w:p w:rsidR="00522267" w:rsidRPr="003B5716" w:rsidRDefault="001D2E84" w:rsidP="004842D2">
            <w:pPr>
              <w:widowControl w:val="0"/>
              <w:autoSpaceDE w:val="0"/>
              <w:autoSpaceDN w:val="0"/>
              <w:adjustRightInd w:val="0"/>
            </w:pPr>
            <w:r w:rsidRPr="003B5716">
              <w:t>Intercept</w:t>
            </w:r>
          </w:p>
        </w:tc>
        <w:tc>
          <w:tcPr>
            <w:tcW w:w="1296"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0.139</w:t>
            </w:r>
          </w:p>
        </w:tc>
        <w:tc>
          <w:tcPr>
            <w:tcW w:w="1483"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-0.388</w:t>
            </w:r>
          </w:p>
        </w:tc>
        <w:tc>
          <w:tcPr>
            <w:tcW w:w="1331"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0.237</w:t>
            </w:r>
          </w:p>
        </w:tc>
        <w:tc>
          <w:tcPr>
            <w:tcW w:w="1635"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1.021***</w:t>
            </w:r>
          </w:p>
        </w:tc>
        <w:tc>
          <w:tcPr>
            <w:tcW w:w="1484" w:type="dxa"/>
            <w:tcBorders>
              <w:top w:val="nil"/>
              <w:left w:val="nil"/>
              <w:bottom w:val="nil"/>
              <w:right w:val="nil"/>
            </w:tcBorders>
          </w:tcPr>
          <w:p w:rsidR="00522267" w:rsidRPr="003B5716" w:rsidRDefault="00522267" w:rsidP="004842D2">
            <w:pPr>
              <w:widowControl w:val="0"/>
              <w:autoSpaceDE w:val="0"/>
              <w:autoSpaceDN w:val="0"/>
              <w:adjustRightInd w:val="0"/>
              <w:jc w:val="center"/>
            </w:pPr>
            <w:r w:rsidRPr="00287719">
              <w:t>0.100</w:t>
            </w:r>
          </w:p>
        </w:tc>
      </w:tr>
      <w:tr w:rsidR="001D2E84" w:rsidRPr="003B5716" w:rsidTr="00150DCE">
        <w:tc>
          <w:tcPr>
            <w:tcW w:w="1668" w:type="dxa"/>
            <w:tcBorders>
              <w:top w:val="nil"/>
              <w:left w:val="nil"/>
              <w:bottom w:val="nil"/>
              <w:right w:val="nil"/>
            </w:tcBorders>
          </w:tcPr>
          <w:p w:rsidR="001D2E84" w:rsidRPr="003B5716" w:rsidRDefault="001D2E84" w:rsidP="004842D2">
            <w:pPr>
              <w:widowControl w:val="0"/>
              <w:autoSpaceDE w:val="0"/>
              <w:autoSpaceDN w:val="0"/>
              <w:adjustRightInd w:val="0"/>
            </w:pPr>
          </w:p>
        </w:tc>
        <w:tc>
          <w:tcPr>
            <w:tcW w:w="1296" w:type="dxa"/>
            <w:tcBorders>
              <w:top w:val="nil"/>
              <w:left w:val="nil"/>
              <w:bottom w:val="nil"/>
              <w:right w:val="nil"/>
            </w:tcBorders>
          </w:tcPr>
          <w:p w:rsidR="001D2E84" w:rsidRPr="003B5716" w:rsidRDefault="001D2E84" w:rsidP="004842D2">
            <w:pPr>
              <w:widowControl w:val="0"/>
              <w:autoSpaceDE w:val="0"/>
              <w:autoSpaceDN w:val="0"/>
              <w:adjustRightInd w:val="0"/>
              <w:jc w:val="center"/>
            </w:pPr>
            <w:r>
              <w:rPr>
                <w:lang w:val="en-US"/>
              </w:rPr>
              <w:t>(0.27)</w:t>
            </w:r>
          </w:p>
        </w:tc>
        <w:tc>
          <w:tcPr>
            <w:tcW w:w="1483" w:type="dxa"/>
            <w:tcBorders>
              <w:top w:val="nil"/>
              <w:left w:val="nil"/>
              <w:bottom w:val="nil"/>
              <w:right w:val="nil"/>
            </w:tcBorders>
          </w:tcPr>
          <w:p w:rsidR="001D2E84" w:rsidRPr="003B5716" w:rsidRDefault="001D2E84" w:rsidP="004842D2">
            <w:pPr>
              <w:widowControl w:val="0"/>
              <w:autoSpaceDE w:val="0"/>
              <w:autoSpaceDN w:val="0"/>
              <w:adjustRightInd w:val="0"/>
              <w:jc w:val="center"/>
            </w:pPr>
            <w:r>
              <w:rPr>
                <w:lang w:val="en-US"/>
              </w:rPr>
              <w:t>(-0.22)</w:t>
            </w:r>
          </w:p>
        </w:tc>
        <w:tc>
          <w:tcPr>
            <w:tcW w:w="1331" w:type="dxa"/>
            <w:tcBorders>
              <w:top w:val="nil"/>
              <w:left w:val="nil"/>
              <w:bottom w:val="nil"/>
              <w:right w:val="nil"/>
            </w:tcBorders>
          </w:tcPr>
          <w:p w:rsidR="001D2E84" w:rsidRPr="003B5716" w:rsidRDefault="001D2E84" w:rsidP="004842D2">
            <w:pPr>
              <w:widowControl w:val="0"/>
              <w:autoSpaceDE w:val="0"/>
              <w:autoSpaceDN w:val="0"/>
              <w:adjustRightInd w:val="0"/>
              <w:jc w:val="center"/>
            </w:pPr>
            <w:r>
              <w:rPr>
                <w:lang w:val="en-US"/>
              </w:rPr>
              <w:t>(0.66)</w:t>
            </w:r>
          </w:p>
        </w:tc>
        <w:tc>
          <w:tcPr>
            <w:tcW w:w="1635" w:type="dxa"/>
            <w:tcBorders>
              <w:top w:val="nil"/>
              <w:left w:val="nil"/>
              <w:bottom w:val="nil"/>
              <w:right w:val="nil"/>
            </w:tcBorders>
          </w:tcPr>
          <w:p w:rsidR="001D2E84" w:rsidRPr="003B5716" w:rsidRDefault="001D2E84" w:rsidP="004842D2">
            <w:pPr>
              <w:widowControl w:val="0"/>
              <w:autoSpaceDE w:val="0"/>
              <w:autoSpaceDN w:val="0"/>
              <w:adjustRightInd w:val="0"/>
              <w:jc w:val="center"/>
            </w:pPr>
            <w:r>
              <w:rPr>
                <w:lang w:val="en-US"/>
              </w:rPr>
              <w:t>(3.41)</w:t>
            </w:r>
          </w:p>
        </w:tc>
        <w:tc>
          <w:tcPr>
            <w:tcW w:w="1484" w:type="dxa"/>
            <w:tcBorders>
              <w:top w:val="nil"/>
              <w:left w:val="nil"/>
              <w:bottom w:val="nil"/>
              <w:right w:val="nil"/>
            </w:tcBorders>
          </w:tcPr>
          <w:p w:rsidR="001D2E84" w:rsidRPr="003B5716" w:rsidRDefault="001D2E84" w:rsidP="004842D2">
            <w:pPr>
              <w:widowControl w:val="0"/>
              <w:autoSpaceDE w:val="0"/>
              <w:autoSpaceDN w:val="0"/>
              <w:adjustRightInd w:val="0"/>
              <w:jc w:val="center"/>
            </w:pPr>
            <w:r>
              <w:rPr>
                <w:lang w:val="en-US"/>
              </w:rPr>
              <w:t>(1.06)</w:t>
            </w:r>
          </w:p>
        </w:tc>
      </w:tr>
      <w:tr w:rsidR="003B5716" w:rsidRPr="003B5716" w:rsidTr="00150DCE">
        <w:tc>
          <w:tcPr>
            <w:tcW w:w="1668" w:type="dxa"/>
            <w:tcBorders>
              <w:left w:val="nil"/>
              <w:right w:val="nil"/>
            </w:tcBorders>
          </w:tcPr>
          <w:p w:rsidR="003B5716" w:rsidRPr="003B5716" w:rsidRDefault="003B5716" w:rsidP="004842D2">
            <w:pPr>
              <w:widowControl w:val="0"/>
              <w:autoSpaceDE w:val="0"/>
              <w:autoSpaceDN w:val="0"/>
              <w:adjustRightInd w:val="0"/>
            </w:pPr>
            <w:r w:rsidRPr="003B5716">
              <w:t>AR(1)</w:t>
            </w:r>
          </w:p>
        </w:tc>
        <w:tc>
          <w:tcPr>
            <w:tcW w:w="1296" w:type="dxa"/>
            <w:tcBorders>
              <w:left w:val="nil"/>
              <w:right w:val="nil"/>
            </w:tcBorders>
          </w:tcPr>
          <w:p w:rsidR="003B5716" w:rsidRPr="003B5716" w:rsidRDefault="003B5716" w:rsidP="004842D2">
            <w:pPr>
              <w:widowControl w:val="0"/>
              <w:autoSpaceDE w:val="0"/>
              <w:autoSpaceDN w:val="0"/>
              <w:adjustRightInd w:val="0"/>
              <w:jc w:val="center"/>
            </w:pPr>
            <w:r w:rsidRPr="003B5716">
              <w:t>0.00</w:t>
            </w:r>
            <w:r w:rsidR="00D83A15">
              <w:t>0</w:t>
            </w:r>
          </w:p>
        </w:tc>
        <w:tc>
          <w:tcPr>
            <w:tcW w:w="1483" w:type="dxa"/>
            <w:tcBorders>
              <w:left w:val="nil"/>
              <w:right w:val="nil"/>
            </w:tcBorders>
          </w:tcPr>
          <w:p w:rsidR="003B5716" w:rsidRPr="003B5716" w:rsidRDefault="003B5716" w:rsidP="004842D2">
            <w:pPr>
              <w:widowControl w:val="0"/>
              <w:autoSpaceDE w:val="0"/>
              <w:autoSpaceDN w:val="0"/>
              <w:adjustRightInd w:val="0"/>
              <w:jc w:val="center"/>
            </w:pPr>
            <w:r w:rsidRPr="003B5716">
              <w:t>0.0</w:t>
            </w:r>
            <w:r w:rsidR="00D83A15">
              <w:t>01</w:t>
            </w:r>
          </w:p>
        </w:tc>
        <w:tc>
          <w:tcPr>
            <w:tcW w:w="1331" w:type="dxa"/>
            <w:tcBorders>
              <w:left w:val="nil"/>
              <w:right w:val="nil"/>
            </w:tcBorders>
          </w:tcPr>
          <w:p w:rsidR="003B5716" w:rsidRPr="003B5716" w:rsidRDefault="003B5716" w:rsidP="004842D2">
            <w:pPr>
              <w:widowControl w:val="0"/>
              <w:autoSpaceDE w:val="0"/>
              <w:autoSpaceDN w:val="0"/>
              <w:adjustRightInd w:val="0"/>
              <w:jc w:val="center"/>
            </w:pPr>
            <w:r w:rsidRPr="003B5716">
              <w:t>0.00</w:t>
            </w:r>
            <w:r w:rsidR="00D83A15">
              <w:t>1</w:t>
            </w:r>
          </w:p>
        </w:tc>
        <w:tc>
          <w:tcPr>
            <w:tcW w:w="1635" w:type="dxa"/>
            <w:tcBorders>
              <w:left w:val="nil"/>
              <w:right w:val="nil"/>
            </w:tcBorders>
          </w:tcPr>
          <w:p w:rsidR="003B5716" w:rsidRPr="003B5716" w:rsidRDefault="003B5716" w:rsidP="004842D2">
            <w:pPr>
              <w:widowControl w:val="0"/>
              <w:autoSpaceDE w:val="0"/>
              <w:autoSpaceDN w:val="0"/>
              <w:adjustRightInd w:val="0"/>
              <w:jc w:val="center"/>
            </w:pPr>
            <w:r w:rsidRPr="003B5716">
              <w:t>0.00</w:t>
            </w:r>
            <w:r w:rsidR="00D83A15">
              <w:t>2</w:t>
            </w:r>
          </w:p>
        </w:tc>
        <w:tc>
          <w:tcPr>
            <w:tcW w:w="1484" w:type="dxa"/>
            <w:tcBorders>
              <w:left w:val="nil"/>
              <w:right w:val="nil"/>
            </w:tcBorders>
          </w:tcPr>
          <w:p w:rsidR="003B5716" w:rsidRPr="003B5716" w:rsidRDefault="003B5716" w:rsidP="004842D2">
            <w:pPr>
              <w:widowControl w:val="0"/>
              <w:autoSpaceDE w:val="0"/>
              <w:autoSpaceDN w:val="0"/>
              <w:adjustRightInd w:val="0"/>
              <w:jc w:val="center"/>
            </w:pPr>
            <w:r w:rsidRPr="003B5716">
              <w:t>0.0</w:t>
            </w:r>
            <w:r w:rsidR="00D83A15">
              <w:t>13</w:t>
            </w:r>
          </w:p>
        </w:tc>
      </w:tr>
      <w:tr w:rsidR="003B5716" w:rsidRPr="003B5716" w:rsidTr="00150DCE">
        <w:tc>
          <w:tcPr>
            <w:tcW w:w="1668" w:type="dxa"/>
            <w:tcBorders>
              <w:left w:val="nil"/>
              <w:right w:val="nil"/>
            </w:tcBorders>
          </w:tcPr>
          <w:p w:rsidR="003B5716" w:rsidRPr="003B5716" w:rsidRDefault="003B5716" w:rsidP="004842D2">
            <w:pPr>
              <w:widowControl w:val="0"/>
              <w:autoSpaceDE w:val="0"/>
              <w:autoSpaceDN w:val="0"/>
              <w:adjustRightInd w:val="0"/>
            </w:pPr>
            <w:r w:rsidRPr="003B5716">
              <w:t>AR(2)</w:t>
            </w:r>
          </w:p>
        </w:tc>
        <w:tc>
          <w:tcPr>
            <w:tcW w:w="1296" w:type="dxa"/>
            <w:tcBorders>
              <w:left w:val="nil"/>
              <w:right w:val="nil"/>
            </w:tcBorders>
          </w:tcPr>
          <w:p w:rsidR="00277B63" w:rsidRDefault="003B5716">
            <w:pPr>
              <w:widowControl w:val="0"/>
              <w:autoSpaceDE w:val="0"/>
              <w:autoSpaceDN w:val="0"/>
              <w:adjustRightInd w:val="0"/>
              <w:jc w:val="center"/>
            </w:pPr>
            <w:r w:rsidRPr="003B5716">
              <w:t>0.</w:t>
            </w:r>
            <w:r w:rsidR="00D83A15">
              <w:t>536</w:t>
            </w:r>
          </w:p>
        </w:tc>
        <w:tc>
          <w:tcPr>
            <w:tcW w:w="1483" w:type="dxa"/>
            <w:tcBorders>
              <w:left w:val="nil"/>
              <w:right w:val="nil"/>
            </w:tcBorders>
          </w:tcPr>
          <w:p w:rsidR="003B5716" w:rsidRPr="003B5716" w:rsidRDefault="00D83A15" w:rsidP="004842D2">
            <w:pPr>
              <w:widowControl w:val="0"/>
              <w:autoSpaceDE w:val="0"/>
              <w:autoSpaceDN w:val="0"/>
              <w:adjustRightInd w:val="0"/>
              <w:jc w:val="center"/>
            </w:pPr>
            <w:r w:rsidRPr="00D83A15">
              <w:t>0.628</w:t>
            </w:r>
          </w:p>
        </w:tc>
        <w:tc>
          <w:tcPr>
            <w:tcW w:w="1331" w:type="dxa"/>
            <w:tcBorders>
              <w:left w:val="nil"/>
              <w:right w:val="nil"/>
            </w:tcBorders>
          </w:tcPr>
          <w:p w:rsidR="003B5716" w:rsidRPr="003B5716" w:rsidRDefault="003B5716" w:rsidP="004842D2">
            <w:pPr>
              <w:widowControl w:val="0"/>
              <w:autoSpaceDE w:val="0"/>
              <w:autoSpaceDN w:val="0"/>
              <w:adjustRightInd w:val="0"/>
              <w:jc w:val="center"/>
            </w:pPr>
            <w:r w:rsidRPr="003B5716">
              <w:t>0.</w:t>
            </w:r>
            <w:r w:rsidR="00D83A15">
              <w:t>039</w:t>
            </w:r>
          </w:p>
        </w:tc>
        <w:tc>
          <w:tcPr>
            <w:tcW w:w="1635" w:type="dxa"/>
            <w:tcBorders>
              <w:left w:val="nil"/>
              <w:right w:val="nil"/>
            </w:tcBorders>
          </w:tcPr>
          <w:p w:rsidR="003B5716" w:rsidRPr="003B5716" w:rsidRDefault="00D83A15" w:rsidP="004842D2">
            <w:pPr>
              <w:widowControl w:val="0"/>
              <w:autoSpaceDE w:val="0"/>
              <w:autoSpaceDN w:val="0"/>
              <w:adjustRightInd w:val="0"/>
              <w:jc w:val="center"/>
            </w:pPr>
            <w:r w:rsidRPr="00D83A15">
              <w:t>0.639</w:t>
            </w:r>
          </w:p>
        </w:tc>
        <w:tc>
          <w:tcPr>
            <w:tcW w:w="1484" w:type="dxa"/>
            <w:tcBorders>
              <w:left w:val="nil"/>
              <w:right w:val="nil"/>
            </w:tcBorders>
          </w:tcPr>
          <w:p w:rsidR="003B5716" w:rsidRPr="003B5716" w:rsidRDefault="00D83A15" w:rsidP="004842D2">
            <w:pPr>
              <w:widowControl w:val="0"/>
              <w:autoSpaceDE w:val="0"/>
              <w:autoSpaceDN w:val="0"/>
              <w:adjustRightInd w:val="0"/>
              <w:jc w:val="center"/>
            </w:pPr>
            <w:r w:rsidRPr="00D83A15">
              <w:t>0.477</w:t>
            </w:r>
          </w:p>
        </w:tc>
      </w:tr>
      <w:tr w:rsidR="003B5716" w:rsidRPr="003B5716" w:rsidTr="00150DCE">
        <w:tc>
          <w:tcPr>
            <w:tcW w:w="1668" w:type="dxa"/>
            <w:tcBorders>
              <w:left w:val="nil"/>
              <w:right w:val="nil"/>
            </w:tcBorders>
          </w:tcPr>
          <w:p w:rsidR="003B5716" w:rsidRPr="003B5716" w:rsidRDefault="003B5716" w:rsidP="004842D2">
            <w:pPr>
              <w:widowControl w:val="0"/>
              <w:autoSpaceDE w:val="0"/>
              <w:autoSpaceDN w:val="0"/>
              <w:adjustRightInd w:val="0"/>
            </w:pPr>
            <w:r w:rsidRPr="003B5716">
              <w:t>Hansen test</w:t>
            </w:r>
          </w:p>
        </w:tc>
        <w:tc>
          <w:tcPr>
            <w:tcW w:w="1296" w:type="dxa"/>
            <w:tcBorders>
              <w:left w:val="nil"/>
              <w:right w:val="nil"/>
            </w:tcBorders>
          </w:tcPr>
          <w:p w:rsidR="003B5716" w:rsidRPr="003B5716" w:rsidRDefault="003B5716" w:rsidP="004842D2">
            <w:pPr>
              <w:widowControl w:val="0"/>
              <w:autoSpaceDE w:val="0"/>
              <w:autoSpaceDN w:val="0"/>
              <w:adjustRightInd w:val="0"/>
              <w:jc w:val="center"/>
            </w:pPr>
            <w:r w:rsidRPr="003B5716">
              <w:t>0.</w:t>
            </w:r>
            <w:r w:rsidR="00D83A15">
              <w:t>262</w:t>
            </w:r>
          </w:p>
        </w:tc>
        <w:tc>
          <w:tcPr>
            <w:tcW w:w="1483" w:type="dxa"/>
            <w:tcBorders>
              <w:left w:val="nil"/>
              <w:right w:val="nil"/>
            </w:tcBorders>
          </w:tcPr>
          <w:p w:rsidR="00277B63" w:rsidRDefault="003B5716">
            <w:pPr>
              <w:widowControl w:val="0"/>
              <w:autoSpaceDE w:val="0"/>
              <w:autoSpaceDN w:val="0"/>
              <w:adjustRightInd w:val="0"/>
              <w:jc w:val="center"/>
            </w:pPr>
            <w:r w:rsidRPr="003B5716">
              <w:t>0.</w:t>
            </w:r>
            <w:r w:rsidR="00D83A15">
              <w:t>145</w:t>
            </w:r>
          </w:p>
        </w:tc>
        <w:tc>
          <w:tcPr>
            <w:tcW w:w="1331" w:type="dxa"/>
            <w:tcBorders>
              <w:left w:val="nil"/>
              <w:right w:val="nil"/>
            </w:tcBorders>
          </w:tcPr>
          <w:p w:rsidR="003B5716" w:rsidRPr="003B5716" w:rsidRDefault="00D83A15" w:rsidP="004842D2">
            <w:pPr>
              <w:widowControl w:val="0"/>
              <w:autoSpaceDE w:val="0"/>
              <w:autoSpaceDN w:val="0"/>
              <w:adjustRightInd w:val="0"/>
              <w:jc w:val="center"/>
            </w:pPr>
            <w:r w:rsidRPr="00D83A15">
              <w:t>0.390</w:t>
            </w:r>
          </w:p>
        </w:tc>
        <w:tc>
          <w:tcPr>
            <w:tcW w:w="1635" w:type="dxa"/>
            <w:tcBorders>
              <w:left w:val="nil"/>
              <w:right w:val="nil"/>
            </w:tcBorders>
          </w:tcPr>
          <w:p w:rsidR="00277B63" w:rsidRDefault="003B5716">
            <w:pPr>
              <w:widowControl w:val="0"/>
              <w:autoSpaceDE w:val="0"/>
              <w:autoSpaceDN w:val="0"/>
              <w:adjustRightInd w:val="0"/>
              <w:jc w:val="center"/>
            </w:pPr>
            <w:r w:rsidRPr="003B5716">
              <w:t>0.</w:t>
            </w:r>
            <w:r w:rsidR="00D83A15">
              <w:t>329</w:t>
            </w:r>
          </w:p>
        </w:tc>
        <w:tc>
          <w:tcPr>
            <w:tcW w:w="1484" w:type="dxa"/>
            <w:tcBorders>
              <w:left w:val="nil"/>
              <w:right w:val="nil"/>
            </w:tcBorders>
          </w:tcPr>
          <w:p w:rsidR="00277B63" w:rsidRDefault="003B5716">
            <w:pPr>
              <w:widowControl w:val="0"/>
              <w:autoSpaceDE w:val="0"/>
              <w:autoSpaceDN w:val="0"/>
              <w:adjustRightInd w:val="0"/>
              <w:jc w:val="center"/>
            </w:pPr>
            <w:r w:rsidRPr="003B5716">
              <w:t>0.</w:t>
            </w:r>
            <w:r w:rsidR="00D83A15">
              <w:t>276</w:t>
            </w:r>
          </w:p>
        </w:tc>
      </w:tr>
      <w:tr w:rsidR="003B5716" w:rsidRPr="003B5716" w:rsidTr="00150DCE">
        <w:tc>
          <w:tcPr>
            <w:tcW w:w="1668" w:type="dxa"/>
            <w:tcBorders>
              <w:left w:val="nil"/>
              <w:right w:val="nil"/>
            </w:tcBorders>
          </w:tcPr>
          <w:p w:rsidR="003B5716" w:rsidRPr="003B5716" w:rsidRDefault="003B5716" w:rsidP="004842D2">
            <w:pPr>
              <w:widowControl w:val="0"/>
              <w:autoSpaceDE w:val="0"/>
              <w:autoSpaceDN w:val="0"/>
              <w:adjustRightInd w:val="0"/>
            </w:pPr>
            <w:r w:rsidRPr="003B5716">
              <w:t>Diff-Hansen</w:t>
            </w:r>
          </w:p>
        </w:tc>
        <w:tc>
          <w:tcPr>
            <w:tcW w:w="1296" w:type="dxa"/>
            <w:tcBorders>
              <w:left w:val="nil"/>
              <w:right w:val="nil"/>
            </w:tcBorders>
          </w:tcPr>
          <w:p w:rsidR="003B5716" w:rsidRPr="003B5716" w:rsidRDefault="003B5716" w:rsidP="004842D2">
            <w:pPr>
              <w:widowControl w:val="0"/>
              <w:autoSpaceDE w:val="0"/>
              <w:autoSpaceDN w:val="0"/>
              <w:adjustRightInd w:val="0"/>
              <w:jc w:val="center"/>
            </w:pPr>
            <w:r w:rsidRPr="003B5716">
              <w:t>0.2</w:t>
            </w:r>
            <w:r w:rsidR="00D83A15">
              <w:t>25</w:t>
            </w:r>
          </w:p>
        </w:tc>
        <w:tc>
          <w:tcPr>
            <w:tcW w:w="1483" w:type="dxa"/>
            <w:tcBorders>
              <w:left w:val="nil"/>
              <w:right w:val="nil"/>
            </w:tcBorders>
          </w:tcPr>
          <w:p w:rsidR="003B5716" w:rsidRPr="003B5716" w:rsidRDefault="003B5716" w:rsidP="004842D2">
            <w:pPr>
              <w:widowControl w:val="0"/>
              <w:autoSpaceDE w:val="0"/>
              <w:autoSpaceDN w:val="0"/>
              <w:adjustRightInd w:val="0"/>
              <w:jc w:val="center"/>
            </w:pPr>
            <w:r w:rsidRPr="003B5716">
              <w:t>0.</w:t>
            </w:r>
            <w:r w:rsidR="00D83A15">
              <w:t>106</w:t>
            </w:r>
          </w:p>
        </w:tc>
        <w:tc>
          <w:tcPr>
            <w:tcW w:w="1331" w:type="dxa"/>
            <w:tcBorders>
              <w:left w:val="nil"/>
              <w:right w:val="nil"/>
            </w:tcBorders>
          </w:tcPr>
          <w:p w:rsidR="00277B63" w:rsidRDefault="003B5716">
            <w:pPr>
              <w:widowControl w:val="0"/>
              <w:autoSpaceDE w:val="0"/>
              <w:autoSpaceDN w:val="0"/>
              <w:adjustRightInd w:val="0"/>
              <w:jc w:val="center"/>
            </w:pPr>
            <w:r w:rsidRPr="003B5716">
              <w:t>0.</w:t>
            </w:r>
            <w:r w:rsidR="00D83A15">
              <w:t>411</w:t>
            </w:r>
          </w:p>
        </w:tc>
        <w:tc>
          <w:tcPr>
            <w:tcW w:w="1635" w:type="dxa"/>
            <w:tcBorders>
              <w:left w:val="nil"/>
              <w:right w:val="nil"/>
            </w:tcBorders>
          </w:tcPr>
          <w:p w:rsidR="003B5716" w:rsidRPr="003B5716" w:rsidRDefault="003B5716" w:rsidP="004842D2">
            <w:pPr>
              <w:widowControl w:val="0"/>
              <w:autoSpaceDE w:val="0"/>
              <w:autoSpaceDN w:val="0"/>
              <w:adjustRightInd w:val="0"/>
              <w:jc w:val="center"/>
            </w:pPr>
            <w:r w:rsidRPr="003B5716">
              <w:t>0.</w:t>
            </w:r>
            <w:r w:rsidR="00D83A15">
              <w:t>885</w:t>
            </w:r>
          </w:p>
        </w:tc>
        <w:tc>
          <w:tcPr>
            <w:tcW w:w="1484" w:type="dxa"/>
            <w:tcBorders>
              <w:left w:val="nil"/>
              <w:right w:val="nil"/>
            </w:tcBorders>
          </w:tcPr>
          <w:p w:rsidR="003B5716" w:rsidRPr="003B5716" w:rsidRDefault="003B5716" w:rsidP="004842D2">
            <w:pPr>
              <w:widowControl w:val="0"/>
              <w:autoSpaceDE w:val="0"/>
              <w:autoSpaceDN w:val="0"/>
              <w:adjustRightInd w:val="0"/>
              <w:jc w:val="center"/>
            </w:pPr>
            <w:r w:rsidRPr="003B5716">
              <w:t>0.</w:t>
            </w:r>
            <w:r w:rsidR="00D83A15">
              <w:t>595</w:t>
            </w:r>
          </w:p>
        </w:tc>
      </w:tr>
      <w:tr w:rsidR="00D83A15" w:rsidRPr="003B5716" w:rsidTr="00150DCE">
        <w:tc>
          <w:tcPr>
            <w:tcW w:w="1668" w:type="dxa"/>
            <w:tcBorders>
              <w:left w:val="nil"/>
              <w:bottom w:val="single" w:sz="4" w:space="0" w:color="auto"/>
              <w:right w:val="nil"/>
            </w:tcBorders>
          </w:tcPr>
          <w:p w:rsidR="00D83A15" w:rsidRPr="003B5716" w:rsidRDefault="00D83A15" w:rsidP="00321CA4">
            <w:pPr>
              <w:widowControl w:val="0"/>
              <w:autoSpaceDE w:val="0"/>
              <w:autoSpaceDN w:val="0"/>
              <w:adjustRightInd w:val="0"/>
            </w:pPr>
            <w:r>
              <w:t>O</w:t>
            </w:r>
            <w:r w:rsidRPr="003B5716">
              <w:t>bserva</w:t>
            </w:r>
            <w:r>
              <w:t>tions</w:t>
            </w:r>
          </w:p>
        </w:tc>
        <w:tc>
          <w:tcPr>
            <w:tcW w:w="1296" w:type="dxa"/>
            <w:tcBorders>
              <w:left w:val="nil"/>
              <w:bottom w:val="single" w:sz="4" w:space="0" w:color="auto"/>
              <w:right w:val="nil"/>
            </w:tcBorders>
          </w:tcPr>
          <w:p w:rsidR="00D83A15" w:rsidRPr="003B5716" w:rsidRDefault="00D83A15" w:rsidP="004842D2">
            <w:pPr>
              <w:widowControl w:val="0"/>
              <w:autoSpaceDE w:val="0"/>
              <w:autoSpaceDN w:val="0"/>
              <w:adjustRightInd w:val="0"/>
              <w:jc w:val="center"/>
            </w:pPr>
            <w:r>
              <w:rPr>
                <w:lang w:val="en-US"/>
              </w:rPr>
              <w:t>765</w:t>
            </w:r>
          </w:p>
        </w:tc>
        <w:tc>
          <w:tcPr>
            <w:tcW w:w="1483" w:type="dxa"/>
            <w:tcBorders>
              <w:left w:val="nil"/>
              <w:bottom w:val="single" w:sz="4" w:space="0" w:color="auto"/>
              <w:right w:val="nil"/>
            </w:tcBorders>
          </w:tcPr>
          <w:p w:rsidR="00D83A15" w:rsidRPr="003B5716" w:rsidRDefault="00D83A15" w:rsidP="004842D2">
            <w:pPr>
              <w:widowControl w:val="0"/>
              <w:autoSpaceDE w:val="0"/>
              <w:autoSpaceDN w:val="0"/>
              <w:adjustRightInd w:val="0"/>
              <w:jc w:val="center"/>
            </w:pPr>
            <w:r>
              <w:rPr>
                <w:lang w:val="en-US"/>
              </w:rPr>
              <w:t>767</w:t>
            </w:r>
          </w:p>
        </w:tc>
        <w:tc>
          <w:tcPr>
            <w:tcW w:w="1331" w:type="dxa"/>
            <w:tcBorders>
              <w:left w:val="nil"/>
              <w:bottom w:val="single" w:sz="4" w:space="0" w:color="auto"/>
              <w:right w:val="nil"/>
            </w:tcBorders>
          </w:tcPr>
          <w:p w:rsidR="00D83A15" w:rsidRPr="003B5716" w:rsidRDefault="00D83A15" w:rsidP="004842D2">
            <w:pPr>
              <w:widowControl w:val="0"/>
              <w:autoSpaceDE w:val="0"/>
              <w:autoSpaceDN w:val="0"/>
              <w:adjustRightInd w:val="0"/>
              <w:jc w:val="center"/>
            </w:pPr>
            <w:r>
              <w:rPr>
                <w:lang w:val="en-US"/>
              </w:rPr>
              <w:t>725</w:t>
            </w:r>
          </w:p>
        </w:tc>
        <w:tc>
          <w:tcPr>
            <w:tcW w:w="1635" w:type="dxa"/>
            <w:tcBorders>
              <w:left w:val="nil"/>
              <w:bottom w:val="single" w:sz="4" w:space="0" w:color="auto"/>
              <w:right w:val="nil"/>
            </w:tcBorders>
          </w:tcPr>
          <w:p w:rsidR="00D83A15" w:rsidRPr="003B5716" w:rsidRDefault="00D83A15" w:rsidP="004842D2">
            <w:pPr>
              <w:widowControl w:val="0"/>
              <w:autoSpaceDE w:val="0"/>
              <w:autoSpaceDN w:val="0"/>
              <w:adjustRightInd w:val="0"/>
              <w:jc w:val="center"/>
            </w:pPr>
            <w:r>
              <w:rPr>
                <w:lang w:val="en-US"/>
              </w:rPr>
              <w:t>770</w:t>
            </w:r>
          </w:p>
        </w:tc>
        <w:tc>
          <w:tcPr>
            <w:tcW w:w="1484" w:type="dxa"/>
            <w:tcBorders>
              <w:left w:val="nil"/>
              <w:bottom w:val="single" w:sz="4" w:space="0" w:color="auto"/>
              <w:right w:val="nil"/>
            </w:tcBorders>
          </w:tcPr>
          <w:p w:rsidR="00D83A15" w:rsidRPr="003B5716" w:rsidRDefault="00D83A15" w:rsidP="004842D2">
            <w:pPr>
              <w:widowControl w:val="0"/>
              <w:autoSpaceDE w:val="0"/>
              <w:autoSpaceDN w:val="0"/>
              <w:adjustRightInd w:val="0"/>
              <w:jc w:val="center"/>
            </w:pPr>
            <w:r>
              <w:rPr>
                <w:lang w:val="en-US"/>
              </w:rPr>
              <w:t>763</w:t>
            </w:r>
          </w:p>
        </w:tc>
      </w:tr>
    </w:tbl>
    <w:p w:rsidR="003B5716" w:rsidRPr="003B5716" w:rsidRDefault="003B5716" w:rsidP="003B5716">
      <w:pPr>
        <w:rPr>
          <w:sz w:val="22"/>
          <w:szCs w:val="22"/>
        </w:rPr>
      </w:pPr>
      <w:proofErr w:type="gramStart"/>
      <w:r w:rsidRPr="003B5716">
        <w:rPr>
          <w:sz w:val="22"/>
          <w:szCs w:val="22"/>
        </w:rPr>
        <w:t>* p&lt;0.10, ** p&lt;0.05, *** p&lt;0.01.</w:t>
      </w:r>
      <w:proofErr w:type="gramEnd"/>
    </w:p>
    <w:p w:rsidR="00B77A62" w:rsidRPr="003B5716" w:rsidRDefault="00B77A62" w:rsidP="00FC692F"/>
    <w:p w:rsidR="00B77A62" w:rsidRPr="003B5716" w:rsidRDefault="00B77A62" w:rsidP="00FC692F">
      <w:pPr>
        <w:spacing w:after="200" w:line="480" w:lineRule="auto"/>
      </w:pPr>
      <w:r w:rsidRPr="003B5716">
        <w:br w:type="page"/>
      </w:r>
    </w:p>
    <w:p w:rsidR="008937D3" w:rsidRPr="003B5716" w:rsidRDefault="00B77A62" w:rsidP="00FC692F">
      <w:pPr>
        <w:rPr>
          <w:b/>
        </w:rPr>
      </w:pPr>
      <w:r w:rsidRPr="003B5716">
        <w:rPr>
          <w:b/>
        </w:rPr>
        <w:lastRenderedPageBreak/>
        <w:t xml:space="preserve">Table </w:t>
      </w:r>
      <w:r w:rsidR="0086673E" w:rsidRPr="003B5716">
        <w:rPr>
          <w:b/>
        </w:rPr>
        <w:t>8a</w:t>
      </w:r>
    </w:p>
    <w:p w:rsidR="008937D3" w:rsidRPr="003B5716" w:rsidRDefault="008937D3" w:rsidP="00FC692F">
      <w:pPr>
        <w:rPr>
          <w:b/>
        </w:rPr>
      </w:pPr>
    </w:p>
    <w:p w:rsidR="008937D3" w:rsidRDefault="008937D3" w:rsidP="00FC692F">
      <w:pPr>
        <w:rPr>
          <w:b/>
        </w:rPr>
      </w:pPr>
      <w:r w:rsidRPr="003B5716">
        <w:rPr>
          <w:b/>
        </w:rPr>
        <w:t>Estimated relationships between firm value and lagged risk from cluster regressions</w:t>
      </w:r>
    </w:p>
    <w:p w:rsidR="00170641" w:rsidRDefault="00170641" w:rsidP="00FC692F">
      <w:pPr>
        <w:rPr>
          <w:b/>
        </w:rPr>
      </w:pPr>
    </w:p>
    <w:tbl>
      <w:tblPr>
        <w:tblW w:w="5000" w:type="pct"/>
        <w:tblLook w:val="0000"/>
      </w:tblPr>
      <w:tblGrid>
        <w:gridCol w:w="1606"/>
        <w:gridCol w:w="1311"/>
        <w:gridCol w:w="1311"/>
        <w:gridCol w:w="1193"/>
        <w:gridCol w:w="1193"/>
        <w:gridCol w:w="1311"/>
        <w:gridCol w:w="1113"/>
      </w:tblGrid>
      <w:tr w:rsidR="00170641" w:rsidRPr="00E950AC" w:rsidTr="00170641">
        <w:tc>
          <w:tcPr>
            <w:tcW w:w="888"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w:t>
            </w:r>
            <w:r>
              <w:rPr>
                <w:sz w:val="22"/>
                <w:szCs w:val="22"/>
                <w:lang w:val="en-US"/>
              </w:rPr>
              <w:t>T</w:t>
            </w:r>
            <w:r w:rsidRPr="00E950AC">
              <w:rPr>
                <w:sz w:val="22"/>
                <w:szCs w:val="22"/>
                <w:lang w:val="en-US"/>
              </w:rPr>
              <w:t>Q)</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w:t>
            </w:r>
            <w:r>
              <w:rPr>
                <w:sz w:val="22"/>
                <w:szCs w:val="22"/>
                <w:lang w:val="en-US"/>
              </w:rPr>
              <w:t>T</w:t>
            </w:r>
            <w:r w:rsidRPr="00E950AC">
              <w:rPr>
                <w:sz w:val="22"/>
                <w:szCs w:val="22"/>
                <w:lang w:val="en-US"/>
              </w:rPr>
              <w:t>Q)</w:t>
            </w:r>
          </w:p>
        </w:tc>
        <w:tc>
          <w:tcPr>
            <w:tcW w:w="660"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w:t>
            </w:r>
            <w:r>
              <w:rPr>
                <w:sz w:val="22"/>
                <w:szCs w:val="22"/>
                <w:lang w:val="en-US"/>
              </w:rPr>
              <w:t>T</w:t>
            </w:r>
            <w:r w:rsidRPr="00E950AC">
              <w:rPr>
                <w:sz w:val="22"/>
                <w:szCs w:val="22"/>
                <w:lang w:val="en-US"/>
              </w:rPr>
              <w:t>Q)</w:t>
            </w:r>
          </w:p>
        </w:tc>
        <w:tc>
          <w:tcPr>
            <w:tcW w:w="660"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(MB)</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(MB)</w:t>
            </w:r>
          </w:p>
        </w:tc>
        <w:tc>
          <w:tcPr>
            <w:tcW w:w="616"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(MB)</w:t>
            </w:r>
          </w:p>
        </w:tc>
      </w:tr>
      <w:tr w:rsidR="00170641" w:rsidRPr="00E950AC" w:rsidTr="00170641">
        <w:tc>
          <w:tcPr>
            <w:tcW w:w="888"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 xml:space="preserve">P. </w:t>
            </w:r>
            <w:proofErr w:type="spellStart"/>
            <w:r w:rsidRPr="00E950AC">
              <w:rPr>
                <w:sz w:val="22"/>
                <w:szCs w:val="22"/>
                <w:lang w:val="en-US"/>
              </w:rPr>
              <w:t>haz</w:t>
            </w:r>
            <w:proofErr w:type="spellEnd"/>
            <w:r w:rsidRPr="00E950AC">
              <w:rPr>
                <w:sz w:val="22"/>
                <w:szCs w:val="22"/>
                <w:lang w:val="en-US"/>
              </w:rPr>
              <w:t xml:space="preserve"> risk</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-0.231*</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-0.982***</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16"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(-3.88)</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r>
      <w:tr w:rsidR="00170641" w:rsidRPr="00E950AC" w:rsidTr="00170641">
        <w:tc>
          <w:tcPr>
            <w:tcW w:w="888" w:type="pct"/>
            <w:tcBorders>
              <w:top w:val="nil"/>
              <w:left w:val="nil"/>
              <w:bottom w:val="nil"/>
              <w:right w:val="nil"/>
            </w:tcBorders>
          </w:tcPr>
          <w:p w:rsidR="00170641" w:rsidRPr="00E950AC" w:rsidRDefault="00AB232F" w:rsidP="00AB232F">
            <w:pPr>
              <w:widowControl w:val="0"/>
              <w:autoSpaceDE w:val="0"/>
              <w:autoSpaceDN w:val="0"/>
              <w:adjustRightInd w:val="0"/>
              <w:rPr>
                <w:sz w:val="22"/>
                <w:szCs w:val="22"/>
                <w:lang w:val="en-US"/>
              </w:rPr>
            </w:pPr>
            <w:r>
              <w:rPr>
                <w:sz w:val="22"/>
                <w:szCs w:val="22"/>
                <w:lang w:val="en-US"/>
              </w:rPr>
              <w:t>Vent. r</w:t>
            </w:r>
            <w:r w:rsidR="00170641" w:rsidRPr="00E950AC">
              <w:rPr>
                <w:sz w:val="22"/>
                <w:szCs w:val="22"/>
                <w:lang w:val="en-US"/>
              </w:rPr>
              <w:t>isk</w:t>
            </w:r>
            <w:r w:rsidR="00170641" w:rsidRPr="00E950AC">
              <w:rPr>
                <w:sz w:val="22"/>
                <w:szCs w:val="22"/>
                <w:vertAlign w:val="subscript"/>
                <w:lang w:val="en-US"/>
              </w:rPr>
              <w:t>t-1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0.0742</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1.947</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(0.18)</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(1.11)</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Total risk</w:t>
            </w:r>
            <w:r w:rsidRPr="00E950AC">
              <w:rPr>
                <w:sz w:val="22"/>
                <w:szCs w:val="22"/>
                <w:vertAlign w:val="subscript"/>
                <w:lang w:val="en-US"/>
              </w:rPr>
              <w:t>t-1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1.568***</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2.636***</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(7.71)</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Pr>
                <w:lang w:val="en-US"/>
              </w:rPr>
              <w:t>-</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(6.44)</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Size</w:t>
            </w:r>
            <w:r w:rsidRPr="00E950AC">
              <w:rPr>
                <w:sz w:val="22"/>
                <w:szCs w:val="22"/>
                <w:vertAlign w:val="subscript"/>
                <w:lang w:val="en-US"/>
              </w:rPr>
              <w:t>t-1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0.0229</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0.0230</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0.00388</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0.143**</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0.149**</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0.118*</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(0.73)</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(0.73)</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(0.15)</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(2.27)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(2.33)</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(1.94)</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Leverage</w:t>
            </w:r>
            <w:r w:rsidRPr="00E950AC">
              <w:rPr>
                <w:sz w:val="22"/>
                <w:szCs w:val="22"/>
                <w:vertAlign w:val="subscript"/>
                <w:lang w:val="en-US"/>
              </w:rPr>
              <w:t>t-1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-0.0404***</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-0.0419***</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-0.00197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-0.0621**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-0.0719***</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0.00963</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(-3.34)</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(-3.43)</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(-0.24)</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(-2.47)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(-3.08)</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(0.33)</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Dividends</w:t>
            </w:r>
            <w:r w:rsidRPr="00E950AC">
              <w:rPr>
                <w:sz w:val="22"/>
                <w:szCs w:val="22"/>
                <w:vertAlign w:val="subscript"/>
                <w:lang w:val="en-US"/>
              </w:rPr>
              <w:t>t-1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0.244***</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0.260***</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0.157**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0.330*</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0.431**</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0.201</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(3.00)</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(3.16)</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(2.55)</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(1.74)</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(2.34)</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(1.15)</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Fixed Assets</w:t>
            </w:r>
            <w:r w:rsidRPr="00E950AC">
              <w:rPr>
                <w:sz w:val="22"/>
                <w:szCs w:val="22"/>
                <w:vertAlign w:val="subscript"/>
                <w:lang w:val="en-US"/>
              </w:rPr>
              <w:t>t-1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-0.156</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-0.134</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-0.0140</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-0.789*</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-0.644</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-0.508</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(-0.68)</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(-0.58)</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(-0.09)</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(-1.73)</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(-1.43)</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(-1.25)</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Mexico City</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0.294**</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0.287**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0.213***</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0.693***</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0.677***</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0.517***</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(2.51)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(2.42)</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(3.05)</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(3.05)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(2.92)</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(3.05)</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ADR</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-0.0559</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-0.0603</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-0.0646</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-0.149</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-0.206</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-0.186</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(-0.47)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(-0.50)</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(-0.79)</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(-0.55)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(-0.77)</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(-0.80)</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Crisis</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-0.122</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-0.137*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-0.216***</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-0.186</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-0.252</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-0.373**</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(-1.42)</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(-1.77)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(-2.69)</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(-0.95)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(-1.58)</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(-2.21)</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Firm age</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-0.772**</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-0.939**</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-0.557*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-1.975**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-2.431**</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-1.840*</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(-2.05)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(-2.52)</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(-1.86)</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(-2.17)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(-2.36)</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(-1.96)</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Firm age</w:t>
            </w:r>
            <w:r w:rsidRPr="00E950AC">
              <w:rPr>
                <w:sz w:val="22"/>
                <w:szCs w:val="22"/>
                <w:vertAlign w:val="superscript"/>
                <w:lang w:val="en-US"/>
              </w:rPr>
              <w:t>2</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0.117*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0.140**</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0.0919*</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0.295**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0.357**</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0.287**</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(1.91)</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(2.32)</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(1.91)</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(2.15)</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(2.30)</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(1.98)</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Intercept</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2.118**</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2.417***</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1.736***</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2.627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3.241</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2.316</w:t>
            </w:r>
          </w:p>
        </w:tc>
      </w:tr>
      <w:tr w:rsidR="00170641" w:rsidRPr="00E950AC" w:rsidTr="00170641">
        <w:tc>
          <w:tcPr>
            <w:tcW w:w="888"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rPr>
                <w:sz w:val="22"/>
                <w:szCs w:val="22"/>
                <w:lang w:val="en-US"/>
              </w:rPr>
            </w:pPr>
          </w:p>
        </w:tc>
        <w:tc>
          <w:tcPr>
            <w:tcW w:w="725"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(2.30)</w:t>
            </w:r>
          </w:p>
        </w:tc>
        <w:tc>
          <w:tcPr>
            <w:tcW w:w="725"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(2.62)</w:t>
            </w:r>
          </w:p>
        </w:tc>
        <w:tc>
          <w:tcPr>
            <w:tcW w:w="660"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(2.69)</w:t>
            </w:r>
          </w:p>
        </w:tc>
        <w:tc>
          <w:tcPr>
            <w:tcW w:w="660"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(1.40)</w:t>
            </w:r>
          </w:p>
        </w:tc>
        <w:tc>
          <w:tcPr>
            <w:tcW w:w="725"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(1.52)</w:t>
            </w:r>
          </w:p>
        </w:tc>
        <w:tc>
          <w:tcPr>
            <w:tcW w:w="616"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(1.27)</w:t>
            </w:r>
          </w:p>
        </w:tc>
      </w:tr>
      <w:tr w:rsidR="00170641" w:rsidRPr="00E950AC" w:rsidTr="00170641">
        <w:tc>
          <w:tcPr>
            <w:tcW w:w="888"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Observations</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754</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750</w:t>
            </w:r>
          </w:p>
        </w:tc>
        <w:tc>
          <w:tcPr>
            <w:tcW w:w="660"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713</w:t>
            </w:r>
          </w:p>
        </w:tc>
        <w:tc>
          <w:tcPr>
            <w:tcW w:w="660"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756</w:t>
            </w:r>
          </w:p>
        </w:tc>
        <w:tc>
          <w:tcPr>
            <w:tcW w:w="725"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751</w:t>
            </w:r>
          </w:p>
        </w:tc>
        <w:tc>
          <w:tcPr>
            <w:tcW w:w="616" w:type="pct"/>
            <w:tcBorders>
              <w:top w:val="single" w:sz="4" w:space="0" w:color="auto"/>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715</w:t>
            </w:r>
          </w:p>
        </w:tc>
      </w:tr>
      <w:tr w:rsidR="00170641" w:rsidRPr="00E950AC" w:rsidTr="00170641">
        <w:tc>
          <w:tcPr>
            <w:tcW w:w="888" w:type="pct"/>
            <w:tcBorders>
              <w:top w:val="nil"/>
              <w:left w:val="nil"/>
              <w:bottom w:val="nil"/>
              <w:right w:val="nil"/>
            </w:tcBorders>
          </w:tcPr>
          <w:p w:rsidR="00170641" w:rsidRPr="00E950AC" w:rsidRDefault="00170641" w:rsidP="004F3B70">
            <w:pPr>
              <w:widowControl w:val="0"/>
              <w:autoSpaceDE w:val="0"/>
              <w:autoSpaceDN w:val="0"/>
              <w:adjustRightInd w:val="0"/>
              <w:rPr>
                <w:sz w:val="22"/>
                <w:szCs w:val="22"/>
                <w:lang w:val="en-US"/>
              </w:rPr>
            </w:pPr>
            <w:r w:rsidRPr="00E950AC">
              <w:rPr>
                <w:i/>
                <w:iCs/>
                <w:sz w:val="22"/>
                <w:szCs w:val="22"/>
                <w:lang w:val="en-US"/>
              </w:rPr>
              <w:t>R</w:t>
            </w:r>
            <w:r w:rsidRPr="00E950AC">
              <w:rPr>
                <w:sz w:val="22"/>
                <w:szCs w:val="22"/>
                <w:vertAlign w:val="superscript"/>
                <w:lang w:val="en-US"/>
              </w:rPr>
              <w:t>2</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0.223</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0.221</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0.461</w:t>
            </w:r>
          </w:p>
        </w:tc>
        <w:tc>
          <w:tcPr>
            <w:tcW w:w="660"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0.257</w:t>
            </w:r>
          </w:p>
        </w:tc>
        <w:tc>
          <w:tcPr>
            <w:tcW w:w="725"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0.248</w:t>
            </w:r>
          </w:p>
        </w:tc>
        <w:tc>
          <w:tcPr>
            <w:tcW w:w="616" w:type="pct"/>
            <w:tcBorders>
              <w:top w:val="nil"/>
              <w:left w:val="nil"/>
              <w:bottom w:val="nil"/>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0.349</w:t>
            </w:r>
          </w:p>
        </w:tc>
      </w:tr>
      <w:tr w:rsidR="00170641" w:rsidRPr="00E950AC" w:rsidTr="00170641">
        <w:tc>
          <w:tcPr>
            <w:tcW w:w="888"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rPr>
                <w:sz w:val="22"/>
                <w:szCs w:val="22"/>
                <w:lang w:val="en-US"/>
              </w:rPr>
            </w:pPr>
            <w:r w:rsidRPr="00E950AC">
              <w:rPr>
                <w:sz w:val="22"/>
                <w:szCs w:val="22"/>
                <w:lang w:val="en-US"/>
              </w:rPr>
              <w:t xml:space="preserve">Adjusted </w:t>
            </w:r>
            <w:r w:rsidRPr="00E950AC">
              <w:rPr>
                <w:i/>
                <w:iCs/>
                <w:sz w:val="22"/>
                <w:szCs w:val="22"/>
                <w:lang w:val="en-US"/>
              </w:rPr>
              <w:t>R</w:t>
            </w:r>
            <w:r w:rsidRPr="00E950AC">
              <w:rPr>
                <w:sz w:val="22"/>
                <w:szCs w:val="22"/>
                <w:vertAlign w:val="superscript"/>
                <w:lang w:val="en-US"/>
              </w:rPr>
              <w:t>2</w:t>
            </w:r>
          </w:p>
        </w:tc>
        <w:tc>
          <w:tcPr>
            <w:tcW w:w="725"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0.208</w:t>
            </w:r>
          </w:p>
        </w:tc>
        <w:tc>
          <w:tcPr>
            <w:tcW w:w="725"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0.205</w:t>
            </w:r>
          </w:p>
        </w:tc>
        <w:tc>
          <w:tcPr>
            <w:tcW w:w="660"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0.449</w:t>
            </w:r>
          </w:p>
        </w:tc>
        <w:tc>
          <w:tcPr>
            <w:tcW w:w="660"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0.242</w:t>
            </w:r>
          </w:p>
        </w:tc>
        <w:tc>
          <w:tcPr>
            <w:tcW w:w="725"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0.233</w:t>
            </w:r>
          </w:p>
        </w:tc>
        <w:tc>
          <w:tcPr>
            <w:tcW w:w="616" w:type="pct"/>
            <w:tcBorders>
              <w:top w:val="nil"/>
              <w:left w:val="nil"/>
              <w:bottom w:val="single" w:sz="4" w:space="0" w:color="auto"/>
              <w:right w:val="nil"/>
            </w:tcBorders>
          </w:tcPr>
          <w:p w:rsidR="00170641" w:rsidRPr="00E950AC" w:rsidRDefault="00170641" w:rsidP="004F3B70">
            <w:pPr>
              <w:widowControl w:val="0"/>
              <w:autoSpaceDE w:val="0"/>
              <w:autoSpaceDN w:val="0"/>
              <w:adjustRightInd w:val="0"/>
              <w:jc w:val="center"/>
              <w:rPr>
                <w:sz w:val="22"/>
                <w:szCs w:val="22"/>
                <w:lang w:val="en-US"/>
              </w:rPr>
            </w:pPr>
            <w:r w:rsidRPr="00E950AC">
              <w:rPr>
                <w:sz w:val="22"/>
                <w:szCs w:val="22"/>
                <w:lang w:val="en-US"/>
              </w:rPr>
              <w:t>0.335</w:t>
            </w:r>
          </w:p>
        </w:tc>
      </w:tr>
    </w:tbl>
    <w:p w:rsidR="00170641" w:rsidRPr="003B5716" w:rsidRDefault="00170641" w:rsidP="00170641">
      <w:pPr>
        <w:widowControl w:val="0"/>
        <w:autoSpaceDE w:val="0"/>
        <w:autoSpaceDN w:val="0"/>
        <w:adjustRightInd w:val="0"/>
        <w:rPr>
          <w:sz w:val="20"/>
          <w:szCs w:val="20"/>
        </w:rPr>
      </w:pPr>
      <w:proofErr w:type="gramStart"/>
      <w:r w:rsidRPr="003B5716">
        <w:rPr>
          <w:i/>
          <w:iCs/>
          <w:sz w:val="20"/>
          <w:szCs w:val="20"/>
        </w:rPr>
        <w:t>t</w:t>
      </w:r>
      <w:proofErr w:type="gramEnd"/>
      <w:r w:rsidRPr="003B5716">
        <w:rPr>
          <w:sz w:val="20"/>
          <w:szCs w:val="20"/>
        </w:rPr>
        <w:t xml:space="preserve"> statistics in parentheses</w:t>
      </w:r>
    </w:p>
    <w:p w:rsidR="00170641" w:rsidRPr="003B5716" w:rsidRDefault="00170641" w:rsidP="00170641">
      <w:pPr>
        <w:widowControl w:val="0"/>
        <w:autoSpaceDE w:val="0"/>
        <w:autoSpaceDN w:val="0"/>
        <w:adjustRightInd w:val="0"/>
        <w:rPr>
          <w:sz w:val="20"/>
          <w:szCs w:val="20"/>
        </w:rPr>
      </w:pPr>
      <w:r w:rsidRPr="003B5716">
        <w:rPr>
          <w:sz w:val="20"/>
          <w:szCs w:val="20"/>
        </w:rPr>
        <w:t>* p&lt;0.10, ** p&lt;0.05, *** p&lt;0.01</w:t>
      </w:r>
    </w:p>
    <w:p w:rsidR="00170641" w:rsidRPr="003B5716" w:rsidRDefault="00170641" w:rsidP="00170641">
      <w:pPr>
        <w:widowControl w:val="0"/>
        <w:autoSpaceDE w:val="0"/>
        <w:autoSpaceDN w:val="0"/>
        <w:adjustRightInd w:val="0"/>
        <w:rPr>
          <w:sz w:val="20"/>
          <w:szCs w:val="20"/>
        </w:rPr>
      </w:pPr>
      <w:r w:rsidRPr="003B5716">
        <w:rPr>
          <w:sz w:val="20"/>
          <w:szCs w:val="20"/>
        </w:rPr>
        <w:t>Dummy variables for industrial sector included in all the regressions</w:t>
      </w:r>
    </w:p>
    <w:p w:rsidR="00170641" w:rsidRDefault="00170641" w:rsidP="00FC692F">
      <w:pPr>
        <w:rPr>
          <w:b/>
        </w:rPr>
      </w:pPr>
    </w:p>
    <w:p w:rsidR="00170641" w:rsidRPr="003B5716" w:rsidRDefault="00170641" w:rsidP="00FC692F">
      <w:pPr>
        <w:rPr>
          <w:b/>
        </w:rPr>
      </w:pPr>
    </w:p>
    <w:p w:rsidR="00B77A62" w:rsidRPr="003B5716" w:rsidRDefault="00B77A62" w:rsidP="00FC692F">
      <w:pPr>
        <w:spacing w:after="200" w:line="480" w:lineRule="auto"/>
        <w:rPr>
          <w:sz w:val="20"/>
          <w:szCs w:val="20"/>
        </w:rPr>
      </w:pPr>
      <w:r w:rsidRPr="003B5716">
        <w:rPr>
          <w:sz w:val="20"/>
          <w:szCs w:val="20"/>
        </w:rPr>
        <w:br w:type="page"/>
      </w:r>
    </w:p>
    <w:p w:rsidR="008937D3" w:rsidRPr="003B5716" w:rsidRDefault="00150DCE" w:rsidP="008937D3">
      <w:pPr>
        <w:rPr>
          <w:b/>
        </w:rPr>
      </w:pPr>
      <w:r>
        <w:rPr>
          <w:b/>
        </w:rPr>
        <w:lastRenderedPageBreak/>
        <w:t>Table 8b</w:t>
      </w:r>
    </w:p>
    <w:p w:rsidR="008937D3" w:rsidRPr="003B5716" w:rsidRDefault="008937D3" w:rsidP="008937D3">
      <w:pPr>
        <w:rPr>
          <w:b/>
        </w:rPr>
      </w:pPr>
    </w:p>
    <w:p w:rsidR="008937D3" w:rsidRPr="003B5716" w:rsidRDefault="008937D3" w:rsidP="008937D3">
      <w:pPr>
        <w:rPr>
          <w:b/>
        </w:rPr>
      </w:pPr>
      <w:r w:rsidRPr="003B5716">
        <w:rPr>
          <w:b/>
        </w:rPr>
        <w:t>Estimated relationships between firm value and lagged risk from system GMM</w:t>
      </w:r>
    </w:p>
    <w:p w:rsidR="008937D3" w:rsidRPr="003B5716" w:rsidRDefault="008937D3" w:rsidP="00FC692F">
      <w:pPr>
        <w:widowControl w:val="0"/>
        <w:autoSpaceDE w:val="0"/>
        <w:autoSpaceDN w:val="0"/>
        <w:adjustRightInd w:val="0"/>
        <w:rPr>
          <w:sz w:val="20"/>
          <w:szCs w:val="20"/>
        </w:rPr>
      </w:pPr>
    </w:p>
    <w:tbl>
      <w:tblPr>
        <w:tblW w:w="9639" w:type="dxa"/>
        <w:tblLayout w:type="fixed"/>
        <w:tblLook w:val="0000"/>
      </w:tblPr>
      <w:tblGrid>
        <w:gridCol w:w="1691"/>
        <w:gridCol w:w="1324"/>
        <w:gridCol w:w="1324"/>
        <w:gridCol w:w="1325"/>
        <w:gridCol w:w="1325"/>
        <w:gridCol w:w="1325"/>
        <w:gridCol w:w="1325"/>
      </w:tblGrid>
      <w:tr w:rsidR="00B77A62" w:rsidRPr="003B5716" w:rsidTr="00FC692F">
        <w:tc>
          <w:tcPr>
            <w:tcW w:w="1691"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pPr>
          </w:p>
        </w:tc>
        <w:tc>
          <w:tcPr>
            <w:tcW w:w="1324"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jc w:val="center"/>
            </w:pPr>
            <w:r w:rsidRPr="003B5716">
              <w:t>(1)</w:t>
            </w:r>
          </w:p>
        </w:tc>
        <w:tc>
          <w:tcPr>
            <w:tcW w:w="1324"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jc w:val="center"/>
            </w:pPr>
            <w:r w:rsidRPr="003B5716">
              <w:t>(2)</w:t>
            </w:r>
          </w:p>
        </w:tc>
        <w:tc>
          <w:tcPr>
            <w:tcW w:w="1325"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jc w:val="center"/>
            </w:pPr>
            <w:r w:rsidRPr="003B5716">
              <w:t>(3)</w:t>
            </w:r>
          </w:p>
        </w:tc>
        <w:tc>
          <w:tcPr>
            <w:tcW w:w="1325"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jc w:val="center"/>
            </w:pPr>
            <w:r w:rsidRPr="003B5716">
              <w:t>(1)</w:t>
            </w:r>
          </w:p>
        </w:tc>
        <w:tc>
          <w:tcPr>
            <w:tcW w:w="1325"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jc w:val="center"/>
            </w:pPr>
            <w:r w:rsidRPr="003B5716">
              <w:t>(2)</w:t>
            </w:r>
          </w:p>
        </w:tc>
        <w:tc>
          <w:tcPr>
            <w:tcW w:w="1325" w:type="dxa"/>
            <w:tcBorders>
              <w:top w:val="single" w:sz="4" w:space="0" w:color="auto"/>
              <w:left w:val="nil"/>
              <w:bottom w:val="nil"/>
              <w:right w:val="nil"/>
            </w:tcBorders>
          </w:tcPr>
          <w:p w:rsidR="00B77A62" w:rsidRPr="003B5716" w:rsidRDefault="00B77A62" w:rsidP="00CF6592">
            <w:pPr>
              <w:widowControl w:val="0"/>
              <w:autoSpaceDE w:val="0"/>
              <w:autoSpaceDN w:val="0"/>
              <w:adjustRightInd w:val="0"/>
              <w:jc w:val="center"/>
            </w:pPr>
            <w:r w:rsidRPr="003B5716">
              <w:t>(3)</w:t>
            </w:r>
          </w:p>
        </w:tc>
      </w:tr>
      <w:tr w:rsidR="008F287B" w:rsidRPr="003B5716" w:rsidTr="00FC692F">
        <w:tc>
          <w:tcPr>
            <w:tcW w:w="1691" w:type="dxa"/>
            <w:tcBorders>
              <w:top w:val="nil"/>
              <w:left w:val="nil"/>
              <w:bottom w:val="nil"/>
              <w:right w:val="nil"/>
            </w:tcBorders>
          </w:tcPr>
          <w:p w:rsidR="008F287B" w:rsidRPr="003B5716" w:rsidRDefault="008F287B" w:rsidP="00CF6592">
            <w:pPr>
              <w:widowControl w:val="0"/>
              <w:autoSpaceDE w:val="0"/>
              <w:autoSpaceDN w:val="0"/>
              <w:adjustRightInd w:val="0"/>
            </w:pPr>
          </w:p>
        </w:tc>
        <w:tc>
          <w:tcPr>
            <w:tcW w:w="1324" w:type="dxa"/>
            <w:tcBorders>
              <w:top w:val="nil"/>
              <w:left w:val="nil"/>
              <w:bottom w:val="nil"/>
              <w:right w:val="nil"/>
            </w:tcBorders>
          </w:tcPr>
          <w:p w:rsidR="008F287B" w:rsidRPr="003B5716" w:rsidRDefault="008F287B" w:rsidP="00DB782A">
            <w:pPr>
              <w:widowControl w:val="0"/>
              <w:autoSpaceDE w:val="0"/>
              <w:autoSpaceDN w:val="0"/>
              <w:adjustRightInd w:val="0"/>
              <w:jc w:val="center"/>
            </w:pPr>
            <w:r w:rsidRPr="003B5716">
              <w:t>TQ</w:t>
            </w:r>
          </w:p>
        </w:tc>
        <w:tc>
          <w:tcPr>
            <w:tcW w:w="1324" w:type="dxa"/>
            <w:tcBorders>
              <w:top w:val="nil"/>
              <w:left w:val="nil"/>
              <w:bottom w:val="nil"/>
              <w:right w:val="nil"/>
            </w:tcBorders>
          </w:tcPr>
          <w:p w:rsidR="008F287B" w:rsidRPr="003B5716" w:rsidRDefault="008F287B" w:rsidP="00DB782A">
            <w:pPr>
              <w:widowControl w:val="0"/>
              <w:autoSpaceDE w:val="0"/>
              <w:autoSpaceDN w:val="0"/>
              <w:adjustRightInd w:val="0"/>
              <w:jc w:val="center"/>
            </w:pPr>
            <w:r w:rsidRPr="003B5716">
              <w:t>TQ</w:t>
            </w:r>
          </w:p>
        </w:tc>
        <w:tc>
          <w:tcPr>
            <w:tcW w:w="1325" w:type="dxa"/>
            <w:tcBorders>
              <w:top w:val="nil"/>
              <w:left w:val="nil"/>
              <w:bottom w:val="nil"/>
              <w:right w:val="nil"/>
            </w:tcBorders>
          </w:tcPr>
          <w:p w:rsidR="008F287B" w:rsidRPr="003B5716" w:rsidRDefault="008F287B" w:rsidP="00DB782A">
            <w:pPr>
              <w:widowControl w:val="0"/>
              <w:autoSpaceDE w:val="0"/>
              <w:autoSpaceDN w:val="0"/>
              <w:adjustRightInd w:val="0"/>
              <w:jc w:val="center"/>
            </w:pPr>
            <w:r w:rsidRPr="003B5716">
              <w:t>TQ</w:t>
            </w:r>
          </w:p>
        </w:tc>
        <w:tc>
          <w:tcPr>
            <w:tcW w:w="1325" w:type="dxa"/>
            <w:tcBorders>
              <w:top w:val="nil"/>
              <w:left w:val="nil"/>
              <w:bottom w:val="nil"/>
              <w:right w:val="nil"/>
            </w:tcBorders>
          </w:tcPr>
          <w:p w:rsidR="008F287B" w:rsidRPr="003B5716" w:rsidRDefault="008F287B" w:rsidP="00DB782A">
            <w:pPr>
              <w:widowControl w:val="0"/>
              <w:autoSpaceDE w:val="0"/>
              <w:autoSpaceDN w:val="0"/>
              <w:adjustRightInd w:val="0"/>
              <w:jc w:val="center"/>
            </w:pPr>
            <w:r w:rsidRPr="003B5716">
              <w:t>MB</w:t>
            </w:r>
          </w:p>
        </w:tc>
        <w:tc>
          <w:tcPr>
            <w:tcW w:w="1325" w:type="dxa"/>
            <w:tcBorders>
              <w:top w:val="nil"/>
              <w:left w:val="nil"/>
              <w:bottom w:val="nil"/>
              <w:right w:val="nil"/>
            </w:tcBorders>
          </w:tcPr>
          <w:p w:rsidR="008F287B" w:rsidRPr="003B5716" w:rsidRDefault="008F287B" w:rsidP="00DB782A">
            <w:pPr>
              <w:widowControl w:val="0"/>
              <w:autoSpaceDE w:val="0"/>
              <w:autoSpaceDN w:val="0"/>
              <w:adjustRightInd w:val="0"/>
              <w:jc w:val="center"/>
            </w:pPr>
            <w:r w:rsidRPr="003B5716">
              <w:t>MB</w:t>
            </w:r>
          </w:p>
        </w:tc>
        <w:tc>
          <w:tcPr>
            <w:tcW w:w="1325" w:type="dxa"/>
            <w:tcBorders>
              <w:top w:val="nil"/>
              <w:left w:val="nil"/>
              <w:bottom w:val="nil"/>
              <w:right w:val="nil"/>
            </w:tcBorders>
          </w:tcPr>
          <w:p w:rsidR="008F287B" w:rsidRPr="003B5716" w:rsidRDefault="008F287B" w:rsidP="00DB782A">
            <w:pPr>
              <w:widowControl w:val="0"/>
              <w:autoSpaceDE w:val="0"/>
              <w:autoSpaceDN w:val="0"/>
              <w:adjustRightInd w:val="0"/>
              <w:jc w:val="center"/>
            </w:pPr>
            <w:r w:rsidRPr="003B5716">
              <w:t>MB</w:t>
            </w:r>
          </w:p>
        </w:tc>
      </w:tr>
      <w:tr w:rsidR="00C01C4B" w:rsidRPr="003B5716" w:rsidTr="00FC692F">
        <w:tc>
          <w:tcPr>
            <w:tcW w:w="1691" w:type="dxa"/>
            <w:tcBorders>
              <w:top w:val="single" w:sz="4" w:space="0" w:color="auto"/>
              <w:left w:val="nil"/>
              <w:bottom w:val="nil"/>
              <w:right w:val="nil"/>
            </w:tcBorders>
          </w:tcPr>
          <w:p w:rsidR="00C01C4B" w:rsidRPr="003B5716" w:rsidRDefault="00C01C4B" w:rsidP="00DB782A">
            <w:pPr>
              <w:widowControl w:val="0"/>
              <w:autoSpaceDE w:val="0"/>
              <w:autoSpaceDN w:val="0"/>
              <w:adjustRightInd w:val="0"/>
            </w:pPr>
            <w:r w:rsidRPr="003B5716">
              <w:t>Total risk</w:t>
            </w:r>
            <w:r w:rsidRPr="003B5716">
              <w:rPr>
                <w:vertAlign w:val="subscript"/>
              </w:rPr>
              <w:t xml:space="preserve"> t-1</w:t>
            </w:r>
          </w:p>
        </w:tc>
        <w:tc>
          <w:tcPr>
            <w:tcW w:w="1324" w:type="dxa"/>
            <w:tcBorders>
              <w:top w:val="single" w:sz="4" w:space="0" w:color="auto"/>
              <w:left w:val="nil"/>
              <w:bottom w:val="nil"/>
              <w:right w:val="nil"/>
            </w:tcBorders>
          </w:tcPr>
          <w:p w:rsidR="00C01C4B" w:rsidRPr="003B5716" w:rsidRDefault="00C01C4B" w:rsidP="00CF6592">
            <w:pPr>
              <w:widowControl w:val="0"/>
              <w:autoSpaceDE w:val="0"/>
              <w:autoSpaceDN w:val="0"/>
              <w:adjustRightInd w:val="0"/>
              <w:jc w:val="center"/>
            </w:pPr>
            <w:r w:rsidRPr="006849D0">
              <w:t>1.478***</w:t>
            </w:r>
          </w:p>
        </w:tc>
        <w:tc>
          <w:tcPr>
            <w:tcW w:w="1324" w:type="dxa"/>
            <w:tcBorders>
              <w:top w:val="single" w:sz="4" w:space="0" w:color="auto"/>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single" w:sz="4" w:space="0" w:color="auto"/>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single" w:sz="4" w:space="0" w:color="auto"/>
              <w:left w:val="nil"/>
              <w:bottom w:val="nil"/>
              <w:right w:val="nil"/>
            </w:tcBorders>
          </w:tcPr>
          <w:p w:rsidR="00C01C4B" w:rsidRPr="003B5716" w:rsidRDefault="00C01C4B" w:rsidP="00CF6592">
            <w:pPr>
              <w:widowControl w:val="0"/>
              <w:autoSpaceDE w:val="0"/>
              <w:autoSpaceDN w:val="0"/>
              <w:adjustRightInd w:val="0"/>
              <w:jc w:val="center"/>
            </w:pPr>
            <w:r w:rsidRPr="006849D0">
              <w:t>3.079***</w:t>
            </w:r>
          </w:p>
        </w:tc>
        <w:tc>
          <w:tcPr>
            <w:tcW w:w="1325" w:type="dxa"/>
            <w:tcBorders>
              <w:top w:val="single" w:sz="4" w:space="0" w:color="auto"/>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single" w:sz="4" w:space="0" w:color="auto"/>
              <w:left w:val="nil"/>
              <w:bottom w:val="nil"/>
              <w:right w:val="nil"/>
            </w:tcBorders>
          </w:tcPr>
          <w:p w:rsidR="00C01C4B" w:rsidRPr="003B5716" w:rsidRDefault="00C01C4B" w:rsidP="00CF6592">
            <w:pPr>
              <w:widowControl w:val="0"/>
              <w:autoSpaceDE w:val="0"/>
              <w:autoSpaceDN w:val="0"/>
              <w:adjustRightInd w:val="0"/>
              <w:jc w:val="center"/>
            </w:pPr>
          </w:p>
        </w:tc>
      </w:tr>
      <w:tr w:rsidR="00C01C4B" w:rsidRPr="003B5716" w:rsidTr="00FC692F">
        <w:tc>
          <w:tcPr>
            <w:tcW w:w="1691" w:type="dxa"/>
            <w:tcBorders>
              <w:top w:val="nil"/>
              <w:left w:val="nil"/>
              <w:bottom w:val="nil"/>
              <w:right w:val="nil"/>
            </w:tcBorders>
          </w:tcPr>
          <w:p w:rsidR="00C01C4B" w:rsidRPr="003B5716" w:rsidRDefault="00C01C4B" w:rsidP="00DB782A">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(4.89)</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(4.29)</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r>
      <w:tr w:rsidR="00C01C4B" w:rsidRPr="003B5716" w:rsidTr="00FC692F">
        <w:tc>
          <w:tcPr>
            <w:tcW w:w="1691" w:type="dxa"/>
            <w:tcBorders>
              <w:top w:val="nil"/>
              <w:left w:val="nil"/>
              <w:bottom w:val="nil"/>
              <w:right w:val="nil"/>
            </w:tcBorders>
          </w:tcPr>
          <w:p w:rsidR="00C01C4B" w:rsidRPr="003B5716" w:rsidRDefault="00C01C4B" w:rsidP="00C0520A">
            <w:pPr>
              <w:widowControl w:val="0"/>
              <w:autoSpaceDE w:val="0"/>
              <w:autoSpaceDN w:val="0"/>
              <w:adjustRightInd w:val="0"/>
            </w:pPr>
            <w:r w:rsidRPr="003B5716">
              <w:t>Per. hazard</w:t>
            </w:r>
            <w:r w:rsidRPr="003B5716">
              <w:rPr>
                <w:vertAlign w:val="subscript"/>
              </w:rPr>
              <w:t xml:space="preserve"> t-1</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-0.258**</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-0.777***</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r>
      <w:tr w:rsidR="00C01C4B" w:rsidRPr="003B5716" w:rsidTr="00FC692F">
        <w:tc>
          <w:tcPr>
            <w:tcW w:w="1691" w:type="dxa"/>
            <w:tcBorders>
              <w:top w:val="nil"/>
              <w:left w:val="nil"/>
              <w:bottom w:val="nil"/>
              <w:right w:val="nil"/>
            </w:tcBorders>
          </w:tcPr>
          <w:p w:rsidR="00C01C4B" w:rsidRPr="003B5716" w:rsidRDefault="00C01C4B" w:rsidP="00DB782A">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(-2.45)</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(-2.77)</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r>
      <w:tr w:rsidR="00C01C4B" w:rsidRPr="003B5716" w:rsidTr="00FC692F">
        <w:tc>
          <w:tcPr>
            <w:tcW w:w="1691" w:type="dxa"/>
            <w:tcBorders>
              <w:top w:val="nil"/>
              <w:left w:val="nil"/>
              <w:bottom w:val="nil"/>
              <w:right w:val="nil"/>
            </w:tcBorders>
          </w:tcPr>
          <w:p w:rsidR="00C01C4B" w:rsidRPr="003B5716" w:rsidRDefault="00C01C4B" w:rsidP="00C0520A">
            <w:pPr>
              <w:widowControl w:val="0"/>
              <w:autoSpaceDE w:val="0"/>
              <w:autoSpaceDN w:val="0"/>
              <w:adjustRightInd w:val="0"/>
            </w:pPr>
            <w:r w:rsidRPr="003B5716">
              <w:t>Vent. risk</w:t>
            </w:r>
            <w:r w:rsidRPr="003B5716">
              <w:rPr>
                <w:vertAlign w:val="subscript"/>
              </w:rPr>
              <w:t xml:space="preserve"> t-1</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0.689</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2.181</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(1.12)</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(1.01)</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r w:rsidRPr="003B5716">
              <w:t xml:space="preserve">Size </w:t>
            </w:r>
            <w:r w:rsidRPr="003B5716">
              <w:rPr>
                <w:vertAlign w:val="subscript"/>
              </w:rPr>
              <w:t>t-1</w:t>
            </w:r>
            <w:r w:rsidRPr="003B5716">
              <w:t xml:space="preserve"> </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-0.00539</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0.130***</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0.147**</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0.0462</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0.348**</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0.407***</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(-0.09)</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(2.80)</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(2.49)</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(0.26)</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(2.50)</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(3.01)</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r w:rsidRPr="003B5716">
              <w:t xml:space="preserve">Leverage </w:t>
            </w:r>
            <w:r w:rsidRPr="003B5716">
              <w:rPr>
                <w:vertAlign w:val="subscript"/>
              </w:rPr>
              <w:t>t-1</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-0.0364**</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-0.0541***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-0.0503***</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-0.0846</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-0.137***</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-0.136***</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(-2.00)</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(-6.13)</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(-3.18)</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(-1.46)</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(-6.11)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(-3.61)</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r w:rsidRPr="003B5716">
              <w:t xml:space="preserve">Div. ratio </w:t>
            </w:r>
            <w:r w:rsidRPr="003B5716">
              <w:rPr>
                <w:vertAlign w:val="subscript"/>
              </w:rPr>
              <w:t>t-1</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1.402</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-0.223</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3.372</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-1.347</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-2.790</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0.117</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(1.30)</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(-0.20)</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(1.50)</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(-0.39)</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(-0.73)</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(0.02)</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r w:rsidRPr="003B5716">
              <w:t>ADR</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0.00410</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-0.152</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-0.261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0.0301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-0.304</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-0.383</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(0.03)</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(-1.04)</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(-1.59)</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(0.06)</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(-0.68)</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(-0.79)</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r w:rsidRPr="003B5716">
              <w:t>Mexico City</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0.171*</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0.279***</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0.201*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0.613**</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0.916***</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0.858**</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(1.94)</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(2.81)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(1.85)</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(2.01)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(3.41)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(2.48)</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r w:rsidRPr="003B5716">
              <w:t>Intercept</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1.158</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-0.737</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-1.091</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0.412</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-3.834*</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-5.063**</w:t>
            </w:r>
          </w:p>
        </w:tc>
      </w:tr>
      <w:tr w:rsidR="00C01C4B" w:rsidRPr="003B5716" w:rsidTr="00FC692F">
        <w:tc>
          <w:tcPr>
            <w:tcW w:w="1691" w:type="dxa"/>
            <w:tcBorders>
              <w:top w:val="nil"/>
              <w:left w:val="nil"/>
              <w:bottom w:val="nil"/>
              <w:right w:val="nil"/>
            </w:tcBorders>
          </w:tcPr>
          <w:p w:rsidR="00C01C4B" w:rsidRPr="003B5716" w:rsidRDefault="00C01C4B" w:rsidP="00CF6592">
            <w:pPr>
              <w:widowControl w:val="0"/>
              <w:autoSpaceDE w:val="0"/>
              <w:autoSpaceDN w:val="0"/>
              <w:adjustRightInd w:val="0"/>
            </w:pP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(1.24)</w:t>
            </w:r>
          </w:p>
        </w:tc>
        <w:tc>
          <w:tcPr>
            <w:tcW w:w="1324"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(-0.98)</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(-1.15)</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(0.14)</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(-1.75)</w:t>
            </w:r>
          </w:p>
        </w:tc>
        <w:tc>
          <w:tcPr>
            <w:tcW w:w="1325" w:type="dxa"/>
            <w:tcBorders>
              <w:top w:val="nil"/>
              <w:left w:val="nil"/>
              <w:bottom w:val="nil"/>
              <w:right w:val="nil"/>
            </w:tcBorders>
          </w:tcPr>
          <w:p w:rsidR="00C01C4B" w:rsidRPr="003B5716" w:rsidRDefault="00C01C4B" w:rsidP="00CF6592">
            <w:pPr>
              <w:widowControl w:val="0"/>
              <w:autoSpaceDE w:val="0"/>
              <w:autoSpaceDN w:val="0"/>
              <w:adjustRightInd w:val="0"/>
              <w:jc w:val="center"/>
            </w:pPr>
            <w:r w:rsidRPr="006849D0">
              <w:t>(-2.32)</w:t>
            </w:r>
          </w:p>
        </w:tc>
      </w:tr>
      <w:tr w:rsidR="008F287B" w:rsidRPr="003B5716" w:rsidTr="00FC692F">
        <w:tc>
          <w:tcPr>
            <w:tcW w:w="1691" w:type="dxa"/>
            <w:tcBorders>
              <w:top w:val="nil"/>
              <w:left w:val="nil"/>
              <w:bottom w:val="nil"/>
              <w:right w:val="nil"/>
            </w:tcBorders>
          </w:tcPr>
          <w:p w:rsidR="008F287B" w:rsidRPr="003B5716" w:rsidRDefault="008F287B" w:rsidP="00CF6592">
            <w:pPr>
              <w:widowControl w:val="0"/>
              <w:autoSpaceDE w:val="0"/>
              <w:autoSpaceDN w:val="0"/>
              <w:adjustRightInd w:val="0"/>
            </w:pPr>
            <w:r w:rsidRPr="003B5716">
              <w:t>AR(2)</w:t>
            </w:r>
          </w:p>
        </w:tc>
        <w:tc>
          <w:tcPr>
            <w:tcW w:w="1324" w:type="dxa"/>
            <w:tcBorders>
              <w:top w:val="nil"/>
              <w:left w:val="nil"/>
              <w:bottom w:val="nil"/>
              <w:right w:val="nil"/>
            </w:tcBorders>
          </w:tcPr>
          <w:p w:rsidR="008F287B" w:rsidRPr="003B5716" w:rsidRDefault="001313B0" w:rsidP="00CF6592">
            <w:pPr>
              <w:widowControl w:val="0"/>
              <w:autoSpaceDE w:val="0"/>
              <w:autoSpaceDN w:val="0"/>
              <w:adjustRightInd w:val="0"/>
              <w:jc w:val="center"/>
            </w:pPr>
            <w:r w:rsidRPr="001313B0">
              <w:t>0.276</w:t>
            </w:r>
          </w:p>
        </w:tc>
        <w:tc>
          <w:tcPr>
            <w:tcW w:w="1324" w:type="dxa"/>
            <w:tcBorders>
              <w:top w:val="nil"/>
              <w:left w:val="nil"/>
              <w:bottom w:val="nil"/>
              <w:right w:val="nil"/>
            </w:tcBorders>
          </w:tcPr>
          <w:p w:rsidR="008F287B" w:rsidRPr="003B5716" w:rsidRDefault="001313B0" w:rsidP="00CF6592">
            <w:pPr>
              <w:widowControl w:val="0"/>
              <w:autoSpaceDE w:val="0"/>
              <w:autoSpaceDN w:val="0"/>
              <w:adjustRightInd w:val="0"/>
              <w:jc w:val="center"/>
            </w:pPr>
            <w:r w:rsidRPr="001313B0">
              <w:t>0.587</w:t>
            </w:r>
          </w:p>
        </w:tc>
        <w:tc>
          <w:tcPr>
            <w:tcW w:w="1325" w:type="dxa"/>
            <w:tcBorders>
              <w:top w:val="nil"/>
              <w:left w:val="nil"/>
              <w:bottom w:val="nil"/>
              <w:right w:val="nil"/>
            </w:tcBorders>
          </w:tcPr>
          <w:p w:rsidR="008F287B" w:rsidRPr="003B5716" w:rsidRDefault="001313B0" w:rsidP="00CF6592">
            <w:pPr>
              <w:widowControl w:val="0"/>
              <w:autoSpaceDE w:val="0"/>
              <w:autoSpaceDN w:val="0"/>
              <w:adjustRightInd w:val="0"/>
              <w:jc w:val="center"/>
            </w:pPr>
            <w:r w:rsidRPr="001313B0">
              <w:t>0.324</w:t>
            </w:r>
          </w:p>
        </w:tc>
        <w:tc>
          <w:tcPr>
            <w:tcW w:w="1325" w:type="dxa"/>
            <w:tcBorders>
              <w:top w:val="nil"/>
              <w:left w:val="nil"/>
              <w:bottom w:val="nil"/>
              <w:right w:val="nil"/>
            </w:tcBorders>
          </w:tcPr>
          <w:p w:rsidR="00277B63" w:rsidRDefault="008F287B">
            <w:pPr>
              <w:widowControl w:val="0"/>
              <w:autoSpaceDE w:val="0"/>
              <w:autoSpaceDN w:val="0"/>
              <w:adjustRightInd w:val="0"/>
              <w:jc w:val="center"/>
            </w:pPr>
            <w:r w:rsidRPr="003B5716">
              <w:t>0.</w:t>
            </w:r>
            <w:r w:rsidR="001313B0">
              <w:t>539</w:t>
            </w:r>
          </w:p>
        </w:tc>
        <w:tc>
          <w:tcPr>
            <w:tcW w:w="1325" w:type="dxa"/>
            <w:tcBorders>
              <w:top w:val="nil"/>
              <w:left w:val="nil"/>
              <w:bottom w:val="nil"/>
              <w:right w:val="nil"/>
            </w:tcBorders>
          </w:tcPr>
          <w:p w:rsidR="008F287B" w:rsidRPr="003B5716" w:rsidRDefault="0023653D" w:rsidP="00CF6592">
            <w:pPr>
              <w:widowControl w:val="0"/>
              <w:autoSpaceDE w:val="0"/>
              <w:autoSpaceDN w:val="0"/>
              <w:adjustRightInd w:val="0"/>
              <w:jc w:val="center"/>
            </w:pPr>
            <w:r w:rsidRPr="0023653D">
              <w:t>0.112</w:t>
            </w:r>
          </w:p>
        </w:tc>
        <w:tc>
          <w:tcPr>
            <w:tcW w:w="1325" w:type="dxa"/>
            <w:tcBorders>
              <w:top w:val="nil"/>
              <w:left w:val="nil"/>
              <w:bottom w:val="nil"/>
              <w:right w:val="nil"/>
            </w:tcBorders>
          </w:tcPr>
          <w:p w:rsidR="008F287B" w:rsidRPr="003B5716" w:rsidRDefault="0023653D" w:rsidP="00CF6592">
            <w:pPr>
              <w:widowControl w:val="0"/>
              <w:autoSpaceDE w:val="0"/>
              <w:autoSpaceDN w:val="0"/>
              <w:adjustRightInd w:val="0"/>
              <w:jc w:val="center"/>
            </w:pPr>
            <w:r w:rsidRPr="0023653D">
              <w:t>0.187</w:t>
            </w:r>
          </w:p>
        </w:tc>
      </w:tr>
      <w:tr w:rsidR="008F287B" w:rsidRPr="003B5716" w:rsidTr="00FC692F">
        <w:tc>
          <w:tcPr>
            <w:tcW w:w="1691" w:type="dxa"/>
            <w:tcBorders>
              <w:top w:val="nil"/>
              <w:left w:val="nil"/>
              <w:right w:val="nil"/>
            </w:tcBorders>
          </w:tcPr>
          <w:p w:rsidR="008F287B" w:rsidRPr="003B5716" w:rsidRDefault="008F287B" w:rsidP="00CF6592">
            <w:pPr>
              <w:widowControl w:val="0"/>
              <w:autoSpaceDE w:val="0"/>
              <w:autoSpaceDN w:val="0"/>
              <w:adjustRightInd w:val="0"/>
            </w:pPr>
            <w:r w:rsidRPr="003B5716">
              <w:t>Hansen test</w:t>
            </w:r>
          </w:p>
        </w:tc>
        <w:tc>
          <w:tcPr>
            <w:tcW w:w="1324" w:type="dxa"/>
            <w:tcBorders>
              <w:top w:val="nil"/>
              <w:left w:val="nil"/>
              <w:right w:val="nil"/>
            </w:tcBorders>
          </w:tcPr>
          <w:p w:rsidR="00277B63" w:rsidRDefault="008F287B">
            <w:pPr>
              <w:widowControl w:val="0"/>
              <w:autoSpaceDE w:val="0"/>
              <w:autoSpaceDN w:val="0"/>
              <w:adjustRightInd w:val="0"/>
              <w:jc w:val="center"/>
            </w:pPr>
            <w:r w:rsidRPr="003B5716">
              <w:t>0.</w:t>
            </w:r>
            <w:r w:rsidR="001313B0">
              <w:t>142</w:t>
            </w:r>
          </w:p>
        </w:tc>
        <w:tc>
          <w:tcPr>
            <w:tcW w:w="1324" w:type="dxa"/>
            <w:tcBorders>
              <w:top w:val="nil"/>
              <w:left w:val="nil"/>
              <w:right w:val="nil"/>
            </w:tcBorders>
          </w:tcPr>
          <w:p w:rsidR="00277B63" w:rsidRDefault="008F287B">
            <w:pPr>
              <w:widowControl w:val="0"/>
              <w:autoSpaceDE w:val="0"/>
              <w:autoSpaceDN w:val="0"/>
              <w:adjustRightInd w:val="0"/>
              <w:jc w:val="center"/>
            </w:pPr>
            <w:r w:rsidRPr="003B5716">
              <w:t>0.</w:t>
            </w:r>
            <w:r w:rsidR="001313B0">
              <w:t>390</w:t>
            </w:r>
          </w:p>
        </w:tc>
        <w:tc>
          <w:tcPr>
            <w:tcW w:w="1325" w:type="dxa"/>
            <w:tcBorders>
              <w:top w:val="nil"/>
              <w:left w:val="nil"/>
              <w:right w:val="nil"/>
            </w:tcBorders>
          </w:tcPr>
          <w:p w:rsidR="00277B63" w:rsidRDefault="008F287B">
            <w:pPr>
              <w:widowControl w:val="0"/>
              <w:autoSpaceDE w:val="0"/>
              <w:autoSpaceDN w:val="0"/>
              <w:adjustRightInd w:val="0"/>
              <w:jc w:val="center"/>
            </w:pPr>
            <w:r w:rsidRPr="003B5716">
              <w:t>0.</w:t>
            </w:r>
            <w:r w:rsidR="001313B0">
              <w:t>132</w:t>
            </w:r>
          </w:p>
        </w:tc>
        <w:tc>
          <w:tcPr>
            <w:tcW w:w="1325" w:type="dxa"/>
            <w:tcBorders>
              <w:top w:val="nil"/>
              <w:left w:val="nil"/>
              <w:right w:val="nil"/>
            </w:tcBorders>
          </w:tcPr>
          <w:p w:rsidR="008F287B" w:rsidRPr="003B5716" w:rsidRDefault="001313B0" w:rsidP="00CF6592">
            <w:pPr>
              <w:widowControl w:val="0"/>
              <w:autoSpaceDE w:val="0"/>
              <w:autoSpaceDN w:val="0"/>
              <w:adjustRightInd w:val="0"/>
              <w:jc w:val="center"/>
            </w:pPr>
            <w:r w:rsidRPr="001313B0">
              <w:t>0.357</w:t>
            </w:r>
          </w:p>
        </w:tc>
        <w:tc>
          <w:tcPr>
            <w:tcW w:w="1325" w:type="dxa"/>
            <w:tcBorders>
              <w:top w:val="nil"/>
              <w:left w:val="nil"/>
              <w:right w:val="nil"/>
            </w:tcBorders>
          </w:tcPr>
          <w:p w:rsidR="00277B63" w:rsidRDefault="008F287B">
            <w:pPr>
              <w:widowControl w:val="0"/>
              <w:autoSpaceDE w:val="0"/>
              <w:autoSpaceDN w:val="0"/>
              <w:adjustRightInd w:val="0"/>
              <w:jc w:val="center"/>
            </w:pPr>
            <w:r w:rsidRPr="003B5716">
              <w:t>0.</w:t>
            </w:r>
            <w:r w:rsidR="0023653D">
              <w:t>475</w:t>
            </w:r>
          </w:p>
        </w:tc>
        <w:tc>
          <w:tcPr>
            <w:tcW w:w="1325" w:type="dxa"/>
            <w:tcBorders>
              <w:top w:val="nil"/>
              <w:left w:val="nil"/>
              <w:right w:val="nil"/>
            </w:tcBorders>
          </w:tcPr>
          <w:p w:rsidR="00277B63" w:rsidRDefault="008F287B">
            <w:pPr>
              <w:widowControl w:val="0"/>
              <w:autoSpaceDE w:val="0"/>
              <w:autoSpaceDN w:val="0"/>
              <w:adjustRightInd w:val="0"/>
              <w:jc w:val="center"/>
            </w:pPr>
            <w:r w:rsidRPr="003B5716">
              <w:t>0.</w:t>
            </w:r>
            <w:r w:rsidR="0023653D">
              <w:t>463</w:t>
            </w:r>
          </w:p>
        </w:tc>
      </w:tr>
      <w:tr w:rsidR="008F287B" w:rsidRPr="003B5716" w:rsidTr="00FC692F">
        <w:tc>
          <w:tcPr>
            <w:tcW w:w="1691" w:type="dxa"/>
            <w:tcBorders>
              <w:left w:val="nil"/>
              <w:right w:val="nil"/>
            </w:tcBorders>
          </w:tcPr>
          <w:p w:rsidR="008F287B" w:rsidRPr="003B5716" w:rsidRDefault="008F287B" w:rsidP="00CF6592">
            <w:pPr>
              <w:widowControl w:val="0"/>
              <w:autoSpaceDE w:val="0"/>
              <w:autoSpaceDN w:val="0"/>
              <w:adjustRightInd w:val="0"/>
            </w:pPr>
            <w:r w:rsidRPr="003B5716">
              <w:t>Diff-Hansen</w:t>
            </w:r>
          </w:p>
        </w:tc>
        <w:tc>
          <w:tcPr>
            <w:tcW w:w="1324" w:type="dxa"/>
            <w:tcBorders>
              <w:left w:val="nil"/>
              <w:right w:val="nil"/>
            </w:tcBorders>
          </w:tcPr>
          <w:p w:rsidR="00277B63" w:rsidRDefault="008F287B">
            <w:pPr>
              <w:widowControl w:val="0"/>
              <w:autoSpaceDE w:val="0"/>
              <w:autoSpaceDN w:val="0"/>
              <w:adjustRightInd w:val="0"/>
              <w:jc w:val="center"/>
            </w:pPr>
            <w:r w:rsidRPr="003B5716">
              <w:t>0.</w:t>
            </w:r>
            <w:r w:rsidR="001313B0">
              <w:t>520</w:t>
            </w:r>
          </w:p>
        </w:tc>
        <w:tc>
          <w:tcPr>
            <w:tcW w:w="1324" w:type="dxa"/>
            <w:tcBorders>
              <w:left w:val="nil"/>
              <w:right w:val="nil"/>
            </w:tcBorders>
          </w:tcPr>
          <w:p w:rsidR="008F287B" w:rsidRPr="003B5716" w:rsidRDefault="008F287B" w:rsidP="00CF6592">
            <w:pPr>
              <w:widowControl w:val="0"/>
              <w:autoSpaceDE w:val="0"/>
              <w:autoSpaceDN w:val="0"/>
              <w:adjustRightInd w:val="0"/>
              <w:jc w:val="center"/>
            </w:pPr>
            <w:r w:rsidRPr="003B5716">
              <w:t>0.7</w:t>
            </w:r>
            <w:r w:rsidR="001313B0">
              <w:t>7</w:t>
            </w:r>
            <w:r w:rsidRPr="003B5716">
              <w:t>8</w:t>
            </w:r>
          </w:p>
        </w:tc>
        <w:tc>
          <w:tcPr>
            <w:tcW w:w="1325" w:type="dxa"/>
            <w:tcBorders>
              <w:left w:val="nil"/>
              <w:right w:val="nil"/>
            </w:tcBorders>
          </w:tcPr>
          <w:p w:rsidR="00277B63" w:rsidRDefault="008F287B">
            <w:pPr>
              <w:widowControl w:val="0"/>
              <w:autoSpaceDE w:val="0"/>
              <w:autoSpaceDN w:val="0"/>
              <w:adjustRightInd w:val="0"/>
              <w:jc w:val="center"/>
            </w:pPr>
            <w:r w:rsidRPr="003B5716">
              <w:t>0.</w:t>
            </w:r>
            <w:r w:rsidR="001313B0">
              <w:t>145</w:t>
            </w:r>
          </w:p>
        </w:tc>
        <w:tc>
          <w:tcPr>
            <w:tcW w:w="1325" w:type="dxa"/>
            <w:tcBorders>
              <w:left w:val="nil"/>
              <w:right w:val="nil"/>
            </w:tcBorders>
          </w:tcPr>
          <w:p w:rsidR="00277B63" w:rsidRDefault="008F287B">
            <w:pPr>
              <w:widowControl w:val="0"/>
              <w:autoSpaceDE w:val="0"/>
              <w:autoSpaceDN w:val="0"/>
              <w:adjustRightInd w:val="0"/>
              <w:jc w:val="center"/>
            </w:pPr>
            <w:r w:rsidRPr="003B5716">
              <w:t>0.</w:t>
            </w:r>
            <w:r w:rsidR="001313B0">
              <w:t>746</w:t>
            </w:r>
          </w:p>
        </w:tc>
        <w:tc>
          <w:tcPr>
            <w:tcW w:w="1325" w:type="dxa"/>
            <w:tcBorders>
              <w:left w:val="nil"/>
              <w:right w:val="nil"/>
            </w:tcBorders>
          </w:tcPr>
          <w:p w:rsidR="00277B63" w:rsidRDefault="008F287B">
            <w:pPr>
              <w:widowControl w:val="0"/>
              <w:autoSpaceDE w:val="0"/>
              <w:autoSpaceDN w:val="0"/>
              <w:adjustRightInd w:val="0"/>
              <w:jc w:val="center"/>
            </w:pPr>
            <w:r w:rsidRPr="003B5716">
              <w:t>0.</w:t>
            </w:r>
            <w:r w:rsidR="0023653D">
              <w:t>213</w:t>
            </w:r>
          </w:p>
        </w:tc>
        <w:tc>
          <w:tcPr>
            <w:tcW w:w="1325" w:type="dxa"/>
            <w:tcBorders>
              <w:left w:val="nil"/>
              <w:right w:val="nil"/>
            </w:tcBorders>
          </w:tcPr>
          <w:p w:rsidR="00277B63" w:rsidRDefault="008F287B">
            <w:pPr>
              <w:widowControl w:val="0"/>
              <w:autoSpaceDE w:val="0"/>
              <w:autoSpaceDN w:val="0"/>
              <w:adjustRightInd w:val="0"/>
              <w:jc w:val="center"/>
            </w:pPr>
            <w:r w:rsidRPr="003B5716">
              <w:t>0.</w:t>
            </w:r>
            <w:r w:rsidR="0023653D">
              <w:t>658</w:t>
            </w:r>
          </w:p>
        </w:tc>
      </w:tr>
      <w:tr w:rsidR="0023653D" w:rsidRPr="003B5716" w:rsidTr="00FC692F">
        <w:tc>
          <w:tcPr>
            <w:tcW w:w="1691" w:type="dxa"/>
            <w:tcBorders>
              <w:left w:val="nil"/>
              <w:right w:val="nil"/>
            </w:tcBorders>
          </w:tcPr>
          <w:p w:rsidR="0023653D" w:rsidRPr="003B5716" w:rsidRDefault="0023653D" w:rsidP="00CF6592">
            <w:pPr>
              <w:widowControl w:val="0"/>
              <w:autoSpaceDE w:val="0"/>
              <w:autoSpaceDN w:val="0"/>
              <w:adjustRightInd w:val="0"/>
            </w:pPr>
            <w:r w:rsidRPr="003B5716">
              <w:t>Observations</w:t>
            </w:r>
          </w:p>
        </w:tc>
        <w:tc>
          <w:tcPr>
            <w:tcW w:w="1324" w:type="dxa"/>
            <w:tcBorders>
              <w:left w:val="nil"/>
              <w:right w:val="nil"/>
            </w:tcBorders>
          </w:tcPr>
          <w:p w:rsidR="0023653D" w:rsidRPr="003B5716" w:rsidRDefault="0023653D" w:rsidP="00CF6592">
            <w:pPr>
              <w:widowControl w:val="0"/>
              <w:autoSpaceDE w:val="0"/>
              <w:autoSpaceDN w:val="0"/>
              <w:adjustRightInd w:val="0"/>
              <w:jc w:val="center"/>
            </w:pPr>
            <w:r>
              <w:rPr>
                <w:lang w:val="en-US"/>
              </w:rPr>
              <w:t>728</w:t>
            </w:r>
          </w:p>
        </w:tc>
        <w:tc>
          <w:tcPr>
            <w:tcW w:w="1324" w:type="dxa"/>
            <w:tcBorders>
              <w:left w:val="nil"/>
              <w:right w:val="nil"/>
            </w:tcBorders>
          </w:tcPr>
          <w:p w:rsidR="0023653D" w:rsidRPr="003B5716" w:rsidRDefault="0023653D" w:rsidP="00CF6592">
            <w:pPr>
              <w:widowControl w:val="0"/>
              <w:autoSpaceDE w:val="0"/>
              <w:autoSpaceDN w:val="0"/>
              <w:adjustRightInd w:val="0"/>
              <w:jc w:val="center"/>
            </w:pPr>
            <w:r>
              <w:rPr>
                <w:lang w:val="en-US"/>
              </w:rPr>
              <w:t>765</w:t>
            </w:r>
          </w:p>
        </w:tc>
        <w:tc>
          <w:tcPr>
            <w:tcW w:w="1325" w:type="dxa"/>
            <w:tcBorders>
              <w:left w:val="nil"/>
              <w:right w:val="nil"/>
            </w:tcBorders>
          </w:tcPr>
          <w:p w:rsidR="0023653D" w:rsidRPr="003B5716" w:rsidRDefault="0023653D" w:rsidP="00CF6592">
            <w:pPr>
              <w:widowControl w:val="0"/>
              <w:autoSpaceDE w:val="0"/>
              <w:autoSpaceDN w:val="0"/>
              <w:adjustRightInd w:val="0"/>
              <w:jc w:val="center"/>
            </w:pPr>
            <w:r>
              <w:rPr>
                <w:lang w:val="en-US"/>
              </w:rPr>
              <w:t>761</w:t>
            </w:r>
          </w:p>
        </w:tc>
        <w:tc>
          <w:tcPr>
            <w:tcW w:w="1325" w:type="dxa"/>
            <w:tcBorders>
              <w:left w:val="nil"/>
              <w:right w:val="nil"/>
            </w:tcBorders>
          </w:tcPr>
          <w:p w:rsidR="0023653D" w:rsidRPr="003B5716" w:rsidRDefault="0023653D" w:rsidP="00CF6592">
            <w:pPr>
              <w:widowControl w:val="0"/>
              <w:autoSpaceDE w:val="0"/>
              <w:autoSpaceDN w:val="0"/>
              <w:adjustRightInd w:val="0"/>
              <w:jc w:val="center"/>
            </w:pPr>
            <w:r>
              <w:rPr>
                <w:lang w:val="en-US"/>
              </w:rPr>
              <w:t>730</w:t>
            </w:r>
          </w:p>
        </w:tc>
        <w:tc>
          <w:tcPr>
            <w:tcW w:w="1325" w:type="dxa"/>
            <w:tcBorders>
              <w:left w:val="nil"/>
              <w:right w:val="nil"/>
            </w:tcBorders>
          </w:tcPr>
          <w:p w:rsidR="0023653D" w:rsidRPr="003B5716" w:rsidRDefault="0023653D" w:rsidP="00CF6592">
            <w:pPr>
              <w:widowControl w:val="0"/>
              <w:autoSpaceDE w:val="0"/>
              <w:autoSpaceDN w:val="0"/>
              <w:adjustRightInd w:val="0"/>
              <w:jc w:val="center"/>
            </w:pPr>
            <w:r>
              <w:rPr>
                <w:lang w:val="en-US"/>
              </w:rPr>
              <w:t>767</w:t>
            </w:r>
          </w:p>
        </w:tc>
        <w:tc>
          <w:tcPr>
            <w:tcW w:w="1325" w:type="dxa"/>
            <w:tcBorders>
              <w:left w:val="nil"/>
              <w:right w:val="nil"/>
            </w:tcBorders>
          </w:tcPr>
          <w:p w:rsidR="0023653D" w:rsidRPr="003B5716" w:rsidRDefault="0023653D" w:rsidP="00CF6592">
            <w:pPr>
              <w:widowControl w:val="0"/>
              <w:autoSpaceDE w:val="0"/>
              <w:autoSpaceDN w:val="0"/>
              <w:adjustRightInd w:val="0"/>
              <w:jc w:val="center"/>
            </w:pPr>
            <w:r>
              <w:rPr>
                <w:lang w:val="en-US"/>
              </w:rPr>
              <w:t>762</w:t>
            </w:r>
          </w:p>
        </w:tc>
      </w:tr>
      <w:tr w:rsidR="008F287B" w:rsidRPr="003B5716" w:rsidTr="00FC692F">
        <w:tc>
          <w:tcPr>
            <w:tcW w:w="1691" w:type="dxa"/>
            <w:tcBorders>
              <w:left w:val="nil"/>
              <w:right w:val="nil"/>
            </w:tcBorders>
          </w:tcPr>
          <w:p w:rsidR="008F287B" w:rsidRPr="003B5716" w:rsidRDefault="008F287B" w:rsidP="00CF6592">
            <w:pPr>
              <w:widowControl w:val="0"/>
              <w:autoSpaceDE w:val="0"/>
              <w:autoSpaceDN w:val="0"/>
              <w:adjustRightInd w:val="0"/>
            </w:pPr>
            <w:r w:rsidRPr="003B5716">
              <w:t>Instruments</w:t>
            </w:r>
          </w:p>
        </w:tc>
        <w:tc>
          <w:tcPr>
            <w:tcW w:w="1324" w:type="dxa"/>
            <w:tcBorders>
              <w:left w:val="nil"/>
              <w:right w:val="nil"/>
            </w:tcBorders>
          </w:tcPr>
          <w:p w:rsidR="008F287B" w:rsidRPr="003B5716" w:rsidRDefault="001313B0" w:rsidP="00CF6592">
            <w:pPr>
              <w:widowControl w:val="0"/>
              <w:autoSpaceDE w:val="0"/>
              <w:autoSpaceDN w:val="0"/>
              <w:adjustRightInd w:val="0"/>
              <w:jc w:val="center"/>
            </w:pPr>
            <w:r>
              <w:t>71</w:t>
            </w:r>
          </w:p>
        </w:tc>
        <w:tc>
          <w:tcPr>
            <w:tcW w:w="1324" w:type="dxa"/>
            <w:tcBorders>
              <w:left w:val="nil"/>
              <w:right w:val="nil"/>
            </w:tcBorders>
          </w:tcPr>
          <w:p w:rsidR="008F287B" w:rsidRPr="003B5716" w:rsidRDefault="001313B0" w:rsidP="00CF6592">
            <w:pPr>
              <w:widowControl w:val="0"/>
              <w:autoSpaceDE w:val="0"/>
              <w:autoSpaceDN w:val="0"/>
              <w:adjustRightInd w:val="0"/>
              <w:jc w:val="center"/>
            </w:pPr>
            <w:r>
              <w:t>98</w:t>
            </w:r>
          </w:p>
        </w:tc>
        <w:tc>
          <w:tcPr>
            <w:tcW w:w="1325" w:type="dxa"/>
            <w:tcBorders>
              <w:left w:val="nil"/>
              <w:right w:val="nil"/>
            </w:tcBorders>
          </w:tcPr>
          <w:p w:rsidR="008F287B" w:rsidRPr="003B5716" w:rsidRDefault="001313B0" w:rsidP="00CF6592">
            <w:pPr>
              <w:widowControl w:val="0"/>
              <w:autoSpaceDE w:val="0"/>
              <w:autoSpaceDN w:val="0"/>
              <w:adjustRightInd w:val="0"/>
              <w:jc w:val="center"/>
            </w:pPr>
            <w:r>
              <w:t>71</w:t>
            </w:r>
          </w:p>
        </w:tc>
        <w:tc>
          <w:tcPr>
            <w:tcW w:w="1325" w:type="dxa"/>
            <w:tcBorders>
              <w:left w:val="nil"/>
              <w:right w:val="nil"/>
            </w:tcBorders>
          </w:tcPr>
          <w:p w:rsidR="008F287B" w:rsidRPr="003B5716" w:rsidRDefault="001313B0" w:rsidP="00CF6592">
            <w:pPr>
              <w:widowControl w:val="0"/>
              <w:autoSpaceDE w:val="0"/>
              <w:autoSpaceDN w:val="0"/>
              <w:adjustRightInd w:val="0"/>
              <w:jc w:val="center"/>
            </w:pPr>
            <w:r>
              <w:t>71</w:t>
            </w:r>
          </w:p>
        </w:tc>
        <w:tc>
          <w:tcPr>
            <w:tcW w:w="1325" w:type="dxa"/>
            <w:tcBorders>
              <w:left w:val="nil"/>
              <w:right w:val="nil"/>
            </w:tcBorders>
          </w:tcPr>
          <w:p w:rsidR="008F287B" w:rsidRPr="003B5716" w:rsidRDefault="0023653D" w:rsidP="00CF6592">
            <w:pPr>
              <w:widowControl w:val="0"/>
              <w:autoSpaceDE w:val="0"/>
              <w:autoSpaceDN w:val="0"/>
              <w:adjustRightInd w:val="0"/>
              <w:jc w:val="center"/>
            </w:pPr>
            <w:r>
              <w:t>98</w:t>
            </w:r>
          </w:p>
        </w:tc>
        <w:tc>
          <w:tcPr>
            <w:tcW w:w="1325" w:type="dxa"/>
            <w:tcBorders>
              <w:left w:val="nil"/>
              <w:right w:val="nil"/>
            </w:tcBorders>
          </w:tcPr>
          <w:p w:rsidR="008F287B" w:rsidRPr="003B5716" w:rsidRDefault="0023653D" w:rsidP="00CF6592">
            <w:pPr>
              <w:widowControl w:val="0"/>
              <w:autoSpaceDE w:val="0"/>
              <w:autoSpaceDN w:val="0"/>
              <w:adjustRightInd w:val="0"/>
              <w:jc w:val="center"/>
            </w:pPr>
            <w:r>
              <w:t>71</w:t>
            </w:r>
          </w:p>
        </w:tc>
      </w:tr>
      <w:tr w:rsidR="008F287B" w:rsidRPr="003B5716" w:rsidTr="00FC692F">
        <w:tc>
          <w:tcPr>
            <w:tcW w:w="1691" w:type="dxa"/>
            <w:tcBorders>
              <w:left w:val="nil"/>
              <w:bottom w:val="single" w:sz="4" w:space="0" w:color="auto"/>
              <w:right w:val="nil"/>
            </w:tcBorders>
          </w:tcPr>
          <w:p w:rsidR="008F287B" w:rsidRPr="003B5716" w:rsidRDefault="008F287B" w:rsidP="00CF6592">
            <w:pPr>
              <w:widowControl w:val="0"/>
              <w:autoSpaceDE w:val="0"/>
              <w:autoSpaceDN w:val="0"/>
              <w:adjustRightInd w:val="0"/>
            </w:pPr>
            <w:r w:rsidRPr="003B5716">
              <w:t>No. of groups</w:t>
            </w:r>
          </w:p>
        </w:tc>
        <w:tc>
          <w:tcPr>
            <w:tcW w:w="1324" w:type="dxa"/>
            <w:tcBorders>
              <w:left w:val="nil"/>
              <w:bottom w:val="single" w:sz="4" w:space="0" w:color="auto"/>
              <w:right w:val="nil"/>
            </w:tcBorders>
          </w:tcPr>
          <w:p w:rsidR="008F287B" w:rsidRPr="003B5716" w:rsidRDefault="008F287B" w:rsidP="00CF6592">
            <w:pPr>
              <w:widowControl w:val="0"/>
              <w:autoSpaceDE w:val="0"/>
              <w:autoSpaceDN w:val="0"/>
              <w:adjustRightInd w:val="0"/>
              <w:jc w:val="center"/>
            </w:pPr>
            <w:r w:rsidRPr="003B5716">
              <w:t>9</w:t>
            </w:r>
            <w:r w:rsidR="001313B0">
              <w:t>9</w:t>
            </w:r>
          </w:p>
        </w:tc>
        <w:tc>
          <w:tcPr>
            <w:tcW w:w="1324" w:type="dxa"/>
            <w:tcBorders>
              <w:left w:val="nil"/>
              <w:bottom w:val="single" w:sz="4" w:space="0" w:color="auto"/>
              <w:right w:val="nil"/>
            </w:tcBorders>
          </w:tcPr>
          <w:p w:rsidR="008F287B" w:rsidRPr="003B5716" w:rsidRDefault="008F287B" w:rsidP="00CF6592">
            <w:pPr>
              <w:widowControl w:val="0"/>
              <w:autoSpaceDE w:val="0"/>
              <w:autoSpaceDN w:val="0"/>
              <w:adjustRightInd w:val="0"/>
              <w:jc w:val="center"/>
            </w:pPr>
            <w:r w:rsidRPr="003B5716">
              <w:t>103</w:t>
            </w:r>
          </w:p>
        </w:tc>
        <w:tc>
          <w:tcPr>
            <w:tcW w:w="1325" w:type="dxa"/>
            <w:tcBorders>
              <w:left w:val="nil"/>
              <w:bottom w:val="single" w:sz="4" w:space="0" w:color="auto"/>
              <w:right w:val="nil"/>
            </w:tcBorders>
          </w:tcPr>
          <w:p w:rsidR="008F287B" w:rsidRPr="003B5716" w:rsidRDefault="008F287B" w:rsidP="00CF6592">
            <w:pPr>
              <w:widowControl w:val="0"/>
              <w:autoSpaceDE w:val="0"/>
              <w:autoSpaceDN w:val="0"/>
              <w:adjustRightInd w:val="0"/>
              <w:jc w:val="center"/>
            </w:pPr>
            <w:r w:rsidRPr="003B5716">
              <w:t>103</w:t>
            </w:r>
          </w:p>
        </w:tc>
        <w:tc>
          <w:tcPr>
            <w:tcW w:w="1325" w:type="dxa"/>
            <w:tcBorders>
              <w:left w:val="nil"/>
              <w:bottom w:val="single" w:sz="4" w:space="0" w:color="auto"/>
              <w:right w:val="nil"/>
            </w:tcBorders>
          </w:tcPr>
          <w:p w:rsidR="008F287B" w:rsidRPr="003B5716" w:rsidRDefault="008F287B" w:rsidP="00CF6592">
            <w:pPr>
              <w:widowControl w:val="0"/>
              <w:autoSpaceDE w:val="0"/>
              <w:autoSpaceDN w:val="0"/>
              <w:adjustRightInd w:val="0"/>
              <w:jc w:val="center"/>
            </w:pPr>
            <w:r w:rsidRPr="003B5716">
              <w:t>9</w:t>
            </w:r>
            <w:r w:rsidR="001313B0">
              <w:t>9</w:t>
            </w:r>
          </w:p>
        </w:tc>
        <w:tc>
          <w:tcPr>
            <w:tcW w:w="1325" w:type="dxa"/>
            <w:tcBorders>
              <w:left w:val="nil"/>
              <w:bottom w:val="single" w:sz="4" w:space="0" w:color="auto"/>
              <w:right w:val="nil"/>
            </w:tcBorders>
          </w:tcPr>
          <w:p w:rsidR="008F287B" w:rsidRPr="003B5716" w:rsidRDefault="008F287B" w:rsidP="00CF6592">
            <w:pPr>
              <w:widowControl w:val="0"/>
              <w:autoSpaceDE w:val="0"/>
              <w:autoSpaceDN w:val="0"/>
              <w:adjustRightInd w:val="0"/>
              <w:jc w:val="center"/>
            </w:pPr>
            <w:r w:rsidRPr="003B5716">
              <w:t>103</w:t>
            </w:r>
          </w:p>
        </w:tc>
        <w:tc>
          <w:tcPr>
            <w:tcW w:w="1325" w:type="dxa"/>
            <w:tcBorders>
              <w:left w:val="nil"/>
              <w:bottom w:val="single" w:sz="4" w:space="0" w:color="auto"/>
              <w:right w:val="nil"/>
            </w:tcBorders>
          </w:tcPr>
          <w:p w:rsidR="008F287B" w:rsidRPr="003B5716" w:rsidRDefault="008F287B" w:rsidP="00CF6592">
            <w:pPr>
              <w:widowControl w:val="0"/>
              <w:autoSpaceDE w:val="0"/>
              <w:autoSpaceDN w:val="0"/>
              <w:adjustRightInd w:val="0"/>
              <w:jc w:val="center"/>
            </w:pPr>
            <w:r w:rsidRPr="003B5716">
              <w:t>103</w:t>
            </w:r>
          </w:p>
        </w:tc>
      </w:tr>
    </w:tbl>
    <w:p w:rsidR="00B77A62" w:rsidRPr="003B5716" w:rsidRDefault="00B77A62" w:rsidP="00FC692F">
      <w:pPr>
        <w:widowControl w:val="0"/>
        <w:autoSpaceDE w:val="0"/>
        <w:autoSpaceDN w:val="0"/>
        <w:adjustRightInd w:val="0"/>
        <w:rPr>
          <w:sz w:val="20"/>
          <w:szCs w:val="20"/>
        </w:rPr>
      </w:pPr>
    </w:p>
    <w:p w:rsidR="00321CA4" w:rsidRPr="003B5716" w:rsidRDefault="00321CA4" w:rsidP="00321CA4">
      <w:pPr>
        <w:widowControl w:val="0"/>
        <w:autoSpaceDE w:val="0"/>
        <w:autoSpaceDN w:val="0"/>
        <w:adjustRightInd w:val="0"/>
        <w:rPr>
          <w:sz w:val="20"/>
          <w:szCs w:val="20"/>
        </w:rPr>
      </w:pPr>
      <w:proofErr w:type="gramStart"/>
      <w:r w:rsidRPr="003B5716">
        <w:rPr>
          <w:i/>
          <w:iCs/>
          <w:sz w:val="20"/>
          <w:szCs w:val="20"/>
        </w:rPr>
        <w:t>t</w:t>
      </w:r>
      <w:proofErr w:type="gramEnd"/>
      <w:r w:rsidRPr="003B5716">
        <w:rPr>
          <w:sz w:val="20"/>
          <w:szCs w:val="20"/>
        </w:rPr>
        <w:t xml:space="preserve"> statistics in parentheses</w:t>
      </w:r>
    </w:p>
    <w:p w:rsidR="00321CA4" w:rsidRPr="003B5716" w:rsidRDefault="00321CA4" w:rsidP="00321CA4">
      <w:pPr>
        <w:widowControl w:val="0"/>
        <w:autoSpaceDE w:val="0"/>
        <w:autoSpaceDN w:val="0"/>
        <w:adjustRightInd w:val="0"/>
        <w:rPr>
          <w:sz w:val="20"/>
          <w:szCs w:val="20"/>
        </w:rPr>
      </w:pPr>
      <w:r w:rsidRPr="003B5716">
        <w:rPr>
          <w:sz w:val="20"/>
          <w:szCs w:val="20"/>
        </w:rPr>
        <w:t>* p&lt;0.10, ** p&lt;0.05, *** p&lt;0.01</w:t>
      </w:r>
    </w:p>
    <w:p w:rsidR="00321CA4" w:rsidRDefault="00321CA4">
      <w:pPr>
        <w:rPr>
          <w:sz w:val="20"/>
          <w:szCs w:val="20"/>
        </w:rPr>
      </w:pPr>
      <w:r>
        <w:rPr>
          <w:sz w:val="20"/>
          <w:szCs w:val="20"/>
        </w:rPr>
        <w:br w:type="page"/>
      </w:r>
    </w:p>
    <w:p w:rsidR="00B77A62" w:rsidRPr="003B5716" w:rsidRDefault="0086673E" w:rsidP="00FC692F">
      <w:pPr>
        <w:spacing w:line="480" w:lineRule="auto"/>
        <w:ind w:firstLine="567"/>
        <w:rPr>
          <w:b/>
          <w:sz w:val="22"/>
          <w:szCs w:val="22"/>
        </w:rPr>
      </w:pPr>
      <w:r w:rsidRPr="003B5716">
        <w:rPr>
          <w:b/>
          <w:sz w:val="22"/>
          <w:szCs w:val="22"/>
        </w:rPr>
        <w:lastRenderedPageBreak/>
        <w:t>Table 9</w:t>
      </w:r>
    </w:p>
    <w:p w:rsidR="00B77A62" w:rsidRPr="003B5716" w:rsidRDefault="00B77A62" w:rsidP="00FC692F">
      <w:pPr>
        <w:widowControl w:val="0"/>
        <w:autoSpaceDE w:val="0"/>
        <w:autoSpaceDN w:val="0"/>
        <w:adjustRightInd w:val="0"/>
        <w:rPr>
          <w:b/>
          <w:sz w:val="22"/>
          <w:szCs w:val="22"/>
        </w:rPr>
      </w:pPr>
    </w:p>
    <w:p w:rsidR="00B77A62" w:rsidRPr="003B5716" w:rsidRDefault="00B77A62" w:rsidP="00FC692F">
      <w:pPr>
        <w:widowControl w:val="0"/>
        <w:autoSpaceDE w:val="0"/>
        <w:autoSpaceDN w:val="0"/>
        <w:adjustRightInd w:val="0"/>
        <w:rPr>
          <w:b/>
        </w:rPr>
      </w:pPr>
      <w:r w:rsidRPr="003B5716">
        <w:rPr>
          <w:b/>
        </w:rPr>
        <w:t>Correlation of actual values and predicted using hold-out samples</w:t>
      </w:r>
    </w:p>
    <w:p w:rsidR="00B77A62" w:rsidRPr="003B5716" w:rsidRDefault="00B77A62" w:rsidP="00FC692F">
      <w:pPr>
        <w:widowControl w:val="0"/>
        <w:autoSpaceDE w:val="0"/>
        <w:autoSpaceDN w:val="0"/>
        <w:adjustRightInd w:val="0"/>
        <w:rPr>
          <w:sz w:val="20"/>
          <w:szCs w:val="20"/>
        </w:rPr>
      </w:pPr>
    </w:p>
    <w:tbl>
      <w:tblPr>
        <w:tblW w:w="0" w:type="auto"/>
        <w:tblLook w:val="04A0"/>
      </w:tblPr>
      <w:tblGrid>
        <w:gridCol w:w="1467"/>
        <w:gridCol w:w="1492"/>
        <w:gridCol w:w="1492"/>
        <w:gridCol w:w="1569"/>
        <w:gridCol w:w="1526"/>
        <w:gridCol w:w="1492"/>
      </w:tblGrid>
      <w:tr w:rsidR="00B77A62" w:rsidRPr="003B5716" w:rsidTr="00FC692F">
        <w:tc>
          <w:tcPr>
            <w:tcW w:w="1467" w:type="dxa"/>
          </w:tcPr>
          <w:p w:rsidR="00B77A62" w:rsidRPr="003B5716" w:rsidRDefault="00B77A62" w:rsidP="00CF6592">
            <w:pPr>
              <w:widowControl w:val="0"/>
              <w:autoSpaceDE w:val="0"/>
              <w:autoSpaceDN w:val="0"/>
              <w:adjustRightInd w:val="0"/>
              <w:jc w:val="center"/>
            </w:pPr>
            <w:r w:rsidRPr="003B5716">
              <w:sym w:font="Symbol" w:char="F072"/>
            </w:r>
          </w:p>
        </w:tc>
        <w:tc>
          <w:tcPr>
            <w:tcW w:w="1492" w:type="dxa"/>
          </w:tcPr>
          <w:p w:rsidR="00B77A62" w:rsidRPr="003B5716" w:rsidRDefault="00B77A62" w:rsidP="00CF6592">
            <w:pPr>
              <w:widowControl w:val="0"/>
              <w:autoSpaceDE w:val="0"/>
              <w:autoSpaceDN w:val="0"/>
              <w:adjustRightInd w:val="0"/>
              <w:jc w:val="center"/>
            </w:pPr>
            <w:r w:rsidRPr="003B5716">
              <w:t>Tobin’s Q</w:t>
            </w:r>
          </w:p>
        </w:tc>
        <w:tc>
          <w:tcPr>
            <w:tcW w:w="1492" w:type="dxa"/>
          </w:tcPr>
          <w:p w:rsidR="00B77A62" w:rsidRPr="003B5716" w:rsidRDefault="00B77A62" w:rsidP="00CF6592">
            <w:pPr>
              <w:widowControl w:val="0"/>
              <w:autoSpaceDE w:val="0"/>
              <w:autoSpaceDN w:val="0"/>
              <w:adjustRightInd w:val="0"/>
              <w:jc w:val="center"/>
            </w:pPr>
            <w:r w:rsidRPr="003B5716">
              <w:t>MBT</w:t>
            </w:r>
          </w:p>
        </w:tc>
        <w:tc>
          <w:tcPr>
            <w:tcW w:w="1569" w:type="dxa"/>
          </w:tcPr>
          <w:p w:rsidR="00B77A62" w:rsidRPr="003B5716" w:rsidRDefault="00B77A62" w:rsidP="00CF6592">
            <w:pPr>
              <w:widowControl w:val="0"/>
              <w:autoSpaceDE w:val="0"/>
              <w:autoSpaceDN w:val="0"/>
              <w:adjustRightInd w:val="0"/>
              <w:jc w:val="center"/>
            </w:pPr>
            <w:r w:rsidRPr="003B5716">
              <w:t>Performance hazard risk</w:t>
            </w:r>
          </w:p>
        </w:tc>
        <w:tc>
          <w:tcPr>
            <w:tcW w:w="1526" w:type="dxa"/>
          </w:tcPr>
          <w:p w:rsidR="00B77A62" w:rsidRPr="003B5716" w:rsidRDefault="00B77A62" w:rsidP="00CF6592">
            <w:pPr>
              <w:widowControl w:val="0"/>
              <w:autoSpaceDE w:val="0"/>
              <w:autoSpaceDN w:val="0"/>
              <w:adjustRightInd w:val="0"/>
              <w:jc w:val="center"/>
            </w:pPr>
            <w:r w:rsidRPr="003B5716">
              <w:t>Venturing risk</w:t>
            </w:r>
          </w:p>
        </w:tc>
        <w:tc>
          <w:tcPr>
            <w:tcW w:w="1492" w:type="dxa"/>
          </w:tcPr>
          <w:p w:rsidR="00B77A62" w:rsidRPr="003B5716" w:rsidRDefault="00B77A62" w:rsidP="00CF6592">
            <w:pPr>
              <w:widowControl w:val="0"/>
              <w:autoSpaceDE w:val="0"/>
              <w:autoSpaceDN w:val="0"/>
              <w:adjustRightInd w:val="0"/>
              <w:jc w:val="center"/>
            </w:pPr>
            <w:r w:rsidRPr="003B5716">
              <w:t>Total risk</w:t>
            </w:r>
          </w:p>
        </w:tc>
      </w:tr>
      <w:tr w:rsidR="00B77A62" w:rsidRPr="003B5716" w:rsidTr="00FC692F">
        <w:tc>
          <w:tcPr>
            <w:tcW w:w="1467" w:type="dxa"/>
          </w:tcPr>
          <w:p w:rsidR="00B77A62" w:rsidRPr="003B5716" w:rsidRDefault="00B77A62" w:rsidP="00CF6592">
            <w:pPr>
              <w:widowControl w:val="0"/>
              <w:autoSpaceDE w:val="0"/>
              <w:autoSpaceDN w:val="0"/>
              <w:adjustRightInd w:val="0"/>
              <w:jc w:val="center"/>
            </w:pPr>
            <w:r w:rsidRPr="003B5716">
              <w:t>P1, Actual</w:t>
            </w:r>
          </w:p>
        </w:tc>
        <w:tc>
          <w:tcPr>
            <w:tcW w:w="1492" w:type="dxa"/>
          </w:tcPr>
          <w:p w:rsidR="00B77A62" w:rsidRPr="003B5716" w:rsidRDefault="00B77A62" w:rsidP="00E56960">
            <w:pPr>
              <w:widowControl w:val="0"/>
              <w:autoSpaceDE w:val="0"/>
              <w:autoSpaceDN w:val="0"/>
              <w:adjustRightInd w:val="0"/>
              <w:jc w:val="center"/>
            </w:pPr>
            <w:r w:rsidRPr="003B5716">
              <w:t>0.</w:t>
            </w:r>
            <w:r w:rsidR="00E56960">
              <w:t>2476</w:t>
            </w:r>
            <w:r w:rsidRPr="003B5716">
              <w:t>*</w:t>
            </w:r>
          </w:p>
        </w:tc>
        <w:tc>
          <w:tcPr>
            <w:tcW w:w="1492" w:type="dxa"/>
          </w:tcPr>
          <w:p w:rsidR="00B77A62" w:rsidRPr="003B5716" w:rsidRDefault="00B77A62" w:rsidP="00E56960">
            <w:pPr>
              <w:widowControl w:val="0"/>
              <w:autoSpaceDE w:val="0"/>
              <w:autoSpaceDN w:val="0"/>
              <w:adjustRightInd w:val="0"/>
              <w:jc w:val="center"/>
            </w:pPr>
            <w:r w:rsidRPr="003B5716">
              <w:t>0.3</w:t>
            </w:r>
            <w:r w:rsidR="00E56960">
              <w:t>1</w:t>
            </w:r>
            <w:r w:rsidRPr="003B5716">
              <w:t>9</w:t>
            </w:r>
            <w:r w:rsidR="00E56960">
              <w:t>1</w:t>
            </w:r>
            <w:r w:rsidRPr="003B5716">
              <w:t>*</w:t>
            </w:r>
          </w:p>
        </w:tc>
        <w:tc>
          <w:tcPr>
            <w:tcW w:w="1569" w:type="dxa"/>
          </w:tcPr>
          <w:p w:rsidR="00B77A62" w:rsidRPr="003B5716" w:rsidRDefault="00B77A62" w:rsidP="00E56960">
            <w:pPr>
              <w:widowControl w:val="0"/>
              <w:autoSpaceDE w:val="0"/>
              <w:autoSpaceDN w:val="0"/>
              <w:adjustRightInd w:val="0"/>
              <w:jc w:val="center"/>
            </w:pPr>
            <w:r w:rsidRPr="003B5716">
              <w:t>0.</w:t>
            </w:r>
            <w:r w:rsidR="00E56960">
              <w:t>1223*</w:t>
            </w:r>
          </w:p>
        </w:tc>
        <w:tc>
          <w:tcPr>
            <w:tcW w:w="1526" w:type="dxa"/>
          </w:tcPr>
          <w:p w:rsidR="00B77A62" w:rsidRPr="003B5716" w:rsidRDefault="00B77A62" w:rsidP="00E56960">
            <w:pPr>
              <w:widowControl w:val="0"/>
              <w:autoSpaceDE w:val="0"/>
              <w:autoSpaceDN w:val="0"/>
              <w:adjustRightInd w:val="0"/>
              <w:jc w:val="center"/>
            </w:pPr>
            <w:r w:rsidRPr="003B5716">
              <w:t>0.</w:t>
            </w:r>
            <w:r w:rsidR="00E56960">
              <w:t>2</w:t>
            </w:r>
            <w:r w:rsidRPr="003B5716">
              <w:t>1</w:t>
            </w:r>
            <w:r w:rsidR="00E56960">
              <w:t>56</w:t>
            </w:r>
            <w:r w:rsidRPr="003B5716">
              <w:t>*</w:t>
            </w:r>
          </w:p>
        </w:tc>
        <w:tc>
          <w:tcPr>
            <w:tcW w:w="1492" w:type="dxa"/>
          </w:tcPr>
          <w:p w:rsidR="00B77A62" w:rsidRPr="003B5716" w:rsidRDefault="00B77A62" w:rsidP="00E56960">
            <w:pPr>
              <w:widowControl w:val="0"/>
              <w:autoSpaceDE w:val="0"/>
              <w:autoSpaceDN w:val="0"/>
              <w:adjustRightInd w:val="0"/>
              <w:jc w:val="center"/>
            </w:pPr>
            <w:r w:rsidRPr="003B5716">
              <w:t>0.3</w:t>
            </w:r>
            <w:r w:rsidR="00E56960">
              <w:t>328</w:t>
            </w:r>
            <w:r w:rsidRPr="003B5716">
              <w:t>*</w:t>
            </w:r>
          </w:p>
        </w:tc>
      </w:tr>
      <w:tr w:rsidR="00B77A62" w:rsidRPr="003B5716" w:rsidTr="00FC692F">
        <w:tc>
          <w:tcPr>
            <w:tcW w:w="1467" w:type="dxa"/>
          </w:tcPr>
          <w:p w:rsidR="00B77A62" w:rsidRPr="003B5716" w:rsidRDefault="00B77A62" w:rsidP="00CF6592">
            <w:pPr>
              <w:widowControl w:val="0"/>
              <w:autoSpaceDE w:val="0"/>
              <w:autoSpaceDN w:val="0"/>
              <w:adjustRightInd w:val="0"/>
              <w:jc w:val="center"/>
            </w:pPr>
            <w:r w:rsidRPr="003B5716">
              <w:t>P2, Actual</w:t>
            </w:r>
          </w:p>
        </w:tc>
        <w:tc>
          <w:tcPr>
            <w:tcW w:w="1492" w:type="dxa"/>
          </w:tcPr>
          <w:p w:rsidR="00B77A62" w:rsidRPr="003B5716" w:rsidRDefault="00B77A62" w:rsidP="00E56960">
            <w:pPr>
              <w:widowControl w:val="0"/>
              <w:autoSpaceDE w:val="0"/>
              <w:autoSpaceDN w:val="0"/>
              <w:adjustRightInd w:val="0"/>
              <w:jc w:val="center"/>
            </w:pPr>
            <w:r w:rsidRPr="003B5716">
              <w:t>0.</w:t>
            </w:r>
            <w:r w:rsidR="00E56960">
              <w:t>1940</w:t>
            </w:r>
            <w:r w:rsidRPr="003B5716">
              <w:t>*</w:t>
            </w:r>
          </w:p>
        </w:tc>
        <w:tc>
          <w:tcPr>
            <w:tcW w:w="1492" w:type="dxa"/>
          </w:tcPr>
          <w:p w:rsidR="00B77A62" w:rsidRPr="003B5716" w:rsidRDefault="00B77A62" w:rsidP="00E56960">
            <w:pPr>
              <w:widowControl w:val="0"/>
              <w:autoSpaceDE w:val="0"/>
              <w:autoSpaceDN w:val="0"/>
              <w:adjustRightInd w:val="0"/>
              <w:jc w:val="center"/>
            </w:pPr>
            <w:r w:rsidRPr="003B5716">
              <w:t>0.</w:t>
            </w:r>
            <w:r w:rsidR="00E56960">
              <w:t>2473</w:t>
            </w:r>
            <w:r w:rsidRPr="003B5716">
              <w:t>*</w:t>
            </w:r>
          </w:p>
        </w:tc>
        <w:tc>
          <w:tcPr>
            <w:tcW w:w="1569" w:type="dxa"/>
          </w:tcPr>
          <w:p w:rsidR="00B77A62" w:rsidRPr="003B5716" w:rsidRDefault="00B77A62" w:rsidP="00E56960">
            <w:pPr>
              <w:widowControl w:val="0"/>
              <w:autoSpaceDE w:val="0"/>
              <w:autoSpaceDN w:val="0"/>
              <w:adjustRightInd w:val="0"/>
              <w:jc w:val="center"/>
            </w:pPr>
            <w:r w:rsidRPr="003B5716">
              <w:t>0.</w:t>
            </w:r>
            <w:r w:rsidR="00E56960">
              <w:t>0798</w:t>
            </w:r>
          </w:p>
        </w:tc>
        <w:tc>
          <w:tcPr>
            <w:tcW w:w="1526" w:type="dxa"/>
          </w:tcPr>
          <w:p w:rsidR="00B77A62" w:rsidRPr="003B5716" w:rsidRDefault="00B77A62" w:rsidP="00E56960">
            <w:pPr>
              <w:widowControl w:val="0"/>
              <w:autoSpaceDE w:val="0"/>
              <w:autoSpaceDN w:val="0"/>
              <w:adjustRightInd w:val="0"/>
              <w:jc w:val="center"/>
            </w:pPr>
            <w:r w:rsidRPr="003B5716">
              <w:t>0.</w:t>
            </w:r>
            <w:r w:rsidR="00A0169E" w:rsidRPr="003B5716">
              <w:t>2</w:t>
            </w:r>
            <w:r w:rsidR="00E56960">
              <w:t>093</w:t>
            </w:r>
            <w:r w:rsidR="00A0169E" w:rsidRPr="003B5716">
              <w:t>*</w:t>
            </w:r>
          </w:p>
        </w:tc>
        <w:tc>
          <w:tcPr>
            <w:tcW w:w="1492" w:type="dxa"/>
          </w:tcPr>
          <w:p w:rsidR="00B77A62" w:rsidRPr="003B5716" w:rsidRDefault="00B77A62" w:rsidP="00CF6592">
            <w:pPr>
              <w:widowControl w:val="0"/>
              <w:autoSpaceDE w:val="0"/>
              <w:autoSpaceDN w:val="0"/>
              <w:adjustRightInd w:val="0"/>
              <w:jc w:val="center"/>
            </w:pPr>
            <w:r w:rsidRPr="003B5716">
              <w:t>0</w:t>
            </w:r>
            <w:r w:rsidR="00E56960">
              <w:t>.2883</w:t>
            </w:r>
            <w:r w:rsidRPr="003B5716">
              <w:t>*</w:t>
            </w:r>
          </w:p>
        </w:tc>
      </w:tr>
    </w:tbl>
    <w:p w:rsidR="00B77A62" w:rsidRPr="003B5716" w:rsidRDefault="00B77A62" w:rsidP="00FC692F">
      <w:pPr>
        <w:widowControl w:val="0"/>
        <w:autoSpaceDE w:val="0"/>
        <w:autoSpaceDN w:val="0"/>
        <w:adjustRightInd w:val="0"/>
        <w:rPr>
          <w:sz w:val="20"/>
          <w:szCs w:val="20"/>
        </w:rPr>
      </w:pPr>
    </w:p>
    <w:p w:rsidR="00B77A62" w:rsidRPr="003B5716" w:rsidRDefault="00B77A62" w:rsidP="00FC692F">
      <w:pPr>
        <w:widowControl w:val="0"/>
        <w:autoSpaceDE w:val="0"/>
        <w:autoSpaceDN w:val="0"/>
        <w:adjustRightInd w:val="0"/>
        <w:rPr>
          <w:sz w:val="20"/>
          <w:szCs w:val="20"/>
        </w:rPr>
      </w:pPr>
      <w:r w:rsidRPr="003B5716">
        <w:rPr>
          <w:sz w:val="20"/>
          <w:szCs w:val="20"/>
        </w:rPr>
        <w:t>Note: P1 is the predicted value for sub-sample 1 using hold-out sample 2. P2 is the predicted value for sub-sample 2 using hold-out sample 1. * denotes significance at the 5 percent level.</w:t>
      </w:r>
    </w:p>
    <w:p w:rsidR="00B77A62" w:rsidRPr="003B5716" w:rsidRDefault="00B77A62" w:rsidP="00FC692F">
      <w:pPr>
        <w:jc w:val="center"/>
        <w:rPr>
          <w:b/>
          <w:sz w:val="22"/>
          <w:szCs w:val="22"/>
        </w:rPr>
      </w:pPr>
    </w:p>
    <w:p w:rsidR="0007371A" w:rsidRPr="003B5716" w:rsidRDefault="0007371A" w:rsidP="00FC692F"/>
    <w:p w:rsidR="0007371A" w:rsidRPr="003B5716" w:rsidRDefault="0007371A" w:rsidP="00FC692F">
      <w:pPr>
        <w:rPr>
          <w:b/>
          <w:sz w:val="22"/>
          <w:szCs w:val="22"/>
        </w:rPr>
      </w:pPr>
    </w:p>
    <w:p w:rsidR="0094196D" w:rsidRPr="003B5716" w:rsidRDefault="0094196D" w:rsidP="00FC692F">
      <w:pPr>
        <w:rPr>
          <w:sz w:val="22"/>
          <w:szCs w:val="22"/>
        </w:rPr>
      </w:pPr>
    </w:p>
    <w:p w:rsidR="001F7E84" w:rsidRPr="003B5716" w:rsidRDefault="001F7E84" w:rsidP="00FC692F">
      <w:pPr>
        <w:rPr>
          <w:sz w:val="22"/>
          <w:szCs w:val="22"/>
        </w:rPr>
      </w:pPr>
    </w:p>
    <w:sectPr w:rsidR="001F7E84" w:rsidRPr="003B5716" w:rsidSect="001E2206">
      <w:footerReference w:type="default" r:id="rId11"/>
      <w:endnotePr>
        <w:numFmt w:val="decimal"/>
      </w:endnotePr>
      <w:pgSz w:w="11906" w:h="16838" w:code="9"/>
      <w:pgMar w:top="1440" w:right="164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C4" w:rsidRDefault="00800BC4">
      <w:r>
        <w:separator/>
      </w:r>
    </w:p>
  </w:endnote>
  <w:endnote w:type="continuationSeparator" w:id="0">
    <w:p w:rsidR="00800BC4" w:rsidRDefault="00800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AF" w:rsidRDefault="00F41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AF" w:rsidRDefault="00E51CD3" w:rsidP="003B418C">
    <w:pPr>
      <w:pStyle w:val="Footer"/>
      <w:tabs>
        <w:tab w:val="left" w:pos="2835"/>
      </w:tabs>
      <w:jc w:val="center"/>
    </w:pPr>
    <w:r>
      <w:fldChar w:fldCharType="begin"/>
    </w:r>
    <w:r w:rsidR="00F41DAF">
      <w:instrText xml:space="preserve"> PAGE   \* MERGEFORMAT </w:instrText>
    </w:r>
    <w:r>
      <w:fldChar w:fldCharType="separate"/>
    </w:r>
    <w:r w:rsidR="004A74B8">
      <w:rPr>
        <w:noProof/>
      </w:rPr>
      <w:t>49</w:t>
    </w:r>
    <w:r>
      <w:rPr>
        <w:noProof/>
      </w:rPr>
      <w:fldChar w:fldCharType="end"/>
    </w:r>
  </w:p>
  <w:p w:rsidR="00F41DAF" w:rsidRDefault="00F41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C4" w:rsidRDefault="00800BC4">
      <w:r>
        <w:separator/>
      </w:r>
    </w:p>
  </w:footnote>
  <w:footnote w:type="continuationSeparator" w:id="0">
    <w:p w:rsidR="00800BC4" w:rsidRDefault="00800BC4">
      <w:r>
        <w:continuationSeparator/>
      </w:r>
    </w:p>
  </w:footnote>
  <w:footnote w:id="1">
    <w:p w:rsidR="00F41DAF" w:rsidRDefault="00F41DAF" w:rsidP="009F5DA3">
      <w:pPr>
        <w:pStyle w:val="FootnoteText"/>
      </w:pPr>
      <w:r>
        <w:rPr>
          <w:rStyle w:val="FootnoteReference"/>
        </w:rPr>
        <w:footnoteRef/>
      </w:r>
      <w:r>
        <w:t xml:space="preserve"> </w:t>
      </w:r>
      <w:proofErr w:type="spellStart"/>
      <w:r>
        <w:t>González</w:t>
      </w:r>
      <w:proofErr w:type="spellEnd"/>
      <w:r>
        <w:t xml:space="preserve"> et al (2012) suggest their findings on family firm performance in Colombia generalize to other Latin American countries including Mexico because of cross-country similarities in corporate governance and financial development. </w:t>
      </w:r>
      <w:proofErr w:type="spellStart"/>
      <w:r>
        <w:t>Brenes</w:t>
      </w:r>
      <w:proofErr w:type="spellEnd"/>
      <w:r>
        <w:t xml:space="preserve"> et al (2011) survey family members at 22 family firms in Latin America and consider the impact of governance structures on firm performance. On Mexican firms, </w:t>
      </w:r>
      <w:r w:rsidRPr="002F19D9">
        <w:rPr>
          <w:lang w:val="en-US"/>
        </w:rPr>
        <w:t xml:space="preserve">Chong </w:t>
      </w:r>
      <w:r>
        <w:rPr>
          <w:lang w:val="en-US"/>
        </w:rPr>
        <w:t>and</w:t>
      </w:r>
      <w:r w:rsidRPr="002F19D9">
        <w:rPr>
          <w:lang w:val="en-US"/>
        </w:rPr>
        <w:t xml:space="preserve"> Lopez-de-</w:t>
      </w:r>
      <w:proofErr w:type="spellStart"/>
      <w:r w:rsidRPr="002F19D9">
        <w:rPr>
          <w:lang w:val="en-US"/>
        </w:rPr>
        <w:t>Silanes</w:t>
      </w:r>
      <w:proofErr w:type="spellEnd"/>
      <w:r w:rsidRPr="002F19D9">
        <w:rPr>
          <w:lang w:val="en-US"/>
        </w:rPr>
        <w:t xml:space="preserve"> (2007)</w:t>
      </w:r>
      <w:r>
        <w:rPr>
          <w:lang w:val="en-US"/>
        </w:rPr>
        <w:t>,</w:t>
      </w:r>
      <w:r w:rsidRPr="002F19D9">
        <w:rPr>
          <w:lang w:val="en-US"/>
        </w:rPr>
        <w:t xml:space="preserve"> </w:t>
      </w:r>
      <w:r>
        <w:rPr>
          <w:lang w:val="en-US"/>
        </w:rPr>
        <w:t xml:space="preserve">and </w:t>
      </w:r>
      <w:proofErr w:type="spellStart"/>
      <w:r>
        <w:rPr>
          <w:lang w:val="en-US"/>
        </w:rPr>
        <w:t>Machuga</w:t>
      </w:r>
      <w:proofErr w:type="spellEnd"/>
      <w:r>
        <w:rPr>
          <w:lang w:val="en-US"/>
        </w:rPr>
        <w:t xml:space="preserve"> and </w:t>
      </w:r>
      <w:proofErr w:type="spellStart"/>
      <w:r>
        <w:rPr>
          <w:lang w:val="en-US"/>
        </w:rPr>
        <w:t>Teitel</w:t>
      </w:r>
      <w:proofErr w:type="spellEnd"/>
      <w:r>
        <w:rPr>
          <w:lang w:val="en-US"/>
        </w:rPr>
        <w:t xml:space="preserve"> (2009) find </w:t>
      </w:r>
      <w:r w:rsidRPr="002F19D9">
        <w:rPr>
          <w:lang w:val="en-US"/>
        </w:rPr>
        <w:t>lower capital costs encourage firms to improve governance practices</w:t>
      </w:r>
      <w:r>
        <w:rPr>
          <w:lang w:val="en-US"/>
        </w:rPr>
        <w:t xml:space="preserve">; and </w:t>
      </w:r>
      <w:r w:rsidRPr="002F19D9">
        <w:rPr>
          <w:lang w:val="en-US"/>
        </w:rPr>
        <w:t xml:space="preserve">earnings quality is </w:t>
      </w:r>
      <w:r>
        <w:rPr>
          <w:lang w:val="en-US"/>
        </w:rPr>
        <w:t xml:space="preserve">lower if family ownership is concentrated. </w:t>
      </w:r>
    </w:p>
  </w:footnote>
  <w:footnote w:id="2">
    <w:p w:rsidR="00F41DAF" w:rsidRPr="00BF1FF0" w:rsidRDefault="00F41DAF">
      <w:pPr>
        <w:pStyle w:val="FootnoteText"/>
      </w:pPr>
      <w:r>
        <w:rPr>
          <w:rStyle w:val="FootnoteReference"/>
        </w:rPr>
        <w:footnoteRef/>
      </w:r>
      <w:r>
        <w:t xml:space="preserve"> </w:t>
      </w:r>
      <w:r w:rsidRPr="00BF1FF0">
        <w:rPr>
          <w:rFonts w:eastAsia="MS PGothic"/>
          <w:color w:val="000000"/>
        </w:rPr>
        <w:t>The term familial behaviour highlights the differences in family and other social groups regarding the emotional, socio-cultural and legal relationships between the various members: spouses, parents, sibling, children and other relatives (</w:t>
      </w:r>
      <w:proofErr w:type="spellStart"/>
      <w:r w:rsidRPr="00BF1FF0">
        <w:rPr>
          <w:rFonts w:eastAsia="MS PGothic"/>
          <w:color w:val="000000"/>
        </w:rPr>
        <w:t>Laungani</w:t>
      </w:r>
      <w:proofErr w:type="spellEnd"/>
      <w:r w:rsidRPr="00BF1FF0">
        <w:rPr>
          <w:rFonts w:eastAsia="MS PGothic"/>
          <w:color w:val="000000"/>
        </w:rPr>
        <w:t xml:space="preserve">, 2006). As discussed in </w:t>
      </w:r>
      <w:proofErr w:type="spellStart"/>
      <w:r w:rsidRPr="00BF1FF0">
        <w:rPr>
          <w:rFonts w:eastAsia="MS PGothic"/>
          <w:color w:val="000000"/>
        </w:rPr>
        <w:t>Janjuha-Jivraj</w:t>
      </w:r>
      <w:proofErr w:type="spellEnd"/>
      <w:r w:rsidRPr="00BF1FF0">
        <w:rPr>
          <w:rFonts w:eastAsia="MS PGothic"/>
          <w:color w:val="000000"/>
        </w:rPr>
        <w:t xml:space="preserve"> </w:t>
      </w:r>
      <w:r>
        <w:rPr>
          <w:rFonts w:eastAsia="MS PGothic"/>
          <w:color w:val="000000"/>
        </w:rPr>
        <w:t>and</w:t>
      </w:r>
      <w:r w:rsidRPr="00BF1FF0">
        <w:rPr>
          <w:rFonts w:eastAsia="MS PGothic"/>
          <w:color w:val="000000"/>
        </w:rPr>
        <w:t xml:space="preserve"> Spence (2009), familial behaviour describes the emotional ties of a familial unit, which can be a factor for intergenerational reciprocity by the use of legal and financial structures.</w:t>
      </w:r>
    </w:p>
  </w:footnote>
  <w:footnote w:id="3">
    <w:p w:rsidR="00F41DAF" w:rsidRDefault="00F41DAF" w:rsidP="00254C2E">
      <w:pPr>
        <w:pStyle w:val="FootnoteText"/>
      </w:pPr>
      <w:r>
        <w:rPr>
          <w:rStyle w:val="FootnoteReference"/>
        </w:rPr>
        <w:footnoteRef/>
      </w:r>
      <w:r>
        <w:t xml:space="preserve"> Simultaneity is not problematic for corporate governance data. The limited annual variation in governance indicators implies that any changes are unlikely to cause changes in value.</w:t>
      </w:r>
    </w:p>
  </w:footnote>
  <w:footnote w:id="4">
    <w:p w:rsidR="00F41DAF" w:rsidRDefault="00F41DAF" w:rsidP="009B6273">
      <w:pPr>
        <w:pStyle w:val="FootnoteText"/>
      </w:pPr>
      <w:r>
        <w:rPr>
          <w:rStyle w:val="FootnoteReference"/>
        </w:rPr>
        <w:footnoteRef/>
      </w:r>
      <w:r>
        <w:t xml:space="preserve"> We obtain information from </w:t>
      </w:r>
      <w:hyperlink r:id="rId1" w:history="1">
        <w:r w:rsidRPr="00187373">
          <w:rPr>
            <w:rStyle w:val="Hyperlink"/>
          </w:rPr>
          <w:t>www.adr.com</w:t>
        </w:r>
      </w:hyperlink>
      <w:r>
        <w:t>.</w:t>
      </w:r>
    </w:p>
  </w:footnote>
  <w:footnote w:id="5">
    <w:p w:rsidR="00F41DAF" w:rsidRDefault="00F41DAF" w:rsidP="003B5716">
      <w:pPr>
        <w:pStyle w:val="EndnoteText"/>
      </w:pPr>
      <w:r>
        <w:rPr>
          <w:rStyle w:val="FootnoteReference"/>
        </w:rPr>
        <w:footnoteRef/>
      </w:r>
      <w:r>
        <w:t xml:space="preserve"> To </w:t>
      </w:r>
      <w:proofErr w:type="spellStart"/>
      <w:r>
        <w:t>orthogonalize</w:t>
      </w:r>
      <w:proofErr w:type="spellEnd"/>
      <w:r>
        <w:t xml:space="preserve"> the interactive terms, we regress a standard interactive term on its constituents and employ the residual as a covariate. </w:t>
      </w:r>
    </w:p>
    <w:p w:rsidR="00F41DAF" w:rsidRDefault="00F41DAF" w:rsidP="00192565">
      <w:pPr>
        <w:pStyle w:val="FootnoteText"/>
      </w:pPr>
    </w:p>
  </w:footnote>
  <w:footnote w:id="6">
    <w:p w:rsidR="00F41DAF" w:rsidRDefault="00F41DAF" w:rsidP="00414F80">
      <w:pPr>
        <w:pStyle w:val="FootnoteText"/>
      </w:pPr>
      <w:r>
        <w:rPr>
          <w:rStyle w:val="FootnoteReference"/>
        </w:rPr>
        <w:footnoteRef/>
      </w:r>
      <w:r>
        <w:t xml:space="preserve"> </w:t>
      </w:r>
      <w:r w:rsidRPr="00744B1A">
        <w:t>When TQ measures corporate value, the coefficients for BD from estimation of equations [1] and [2] absent controls for omitted variable bias (</w:t>
      </w:r>
      <w:r w:rsidR="00744B1A" w:rsidRPr="00744B1A">
        <w:t xml:space="preserve">with </w:t>
      </w:r>
      <w:r w:rsidRPr="00744B1A">
        <w:t>firm age) are 0.1825 (0.1628) and 0.1703 (0.1539). Using the MB to check robustness, the comparative coefficients are 0.3720 (0.3263) and 0.3224 (0.3376). All coefficients are significant at the 1 percent level.</w:t>
      </w:r>
    </w:p>
  </w:footnote>
  <w:footnote w:id="7">
    <w:p w:rsidR="00F41DAF" w:rsidRDefault="00F41DAF">
      <w:pPr>
        <w:pStyle w:val="FootnoteText"/>
      </w:pPr>
    </w:p>
    <w:p w:rsidR="00F41DAF" w:rsidRDefault="00F41DAF">
      <w:pPr>
        <w:pStyle w:val="FootnoteText"/>
      </w:pPr>
      <w:r>
        <w:rPr>
          <w:rStyle w:val="FootnoteReference"/>
        </w:rPr>
        <w:footnoteRef/>
      </w:r>
      <w:r>
        <w:t xml:space="preserve"> T</w:t>
      </w:r>
      <w:r w:rsidRPr="00160800">
        <w:t>urning point</w:t>
      </w:r>
      <w:r>
        <w:t xml:space="preserve">s are found </w:t>
      </w:r>
      <w:r w:rsidRPr="00160800">
        <w:t xml:space="preserve">using the second derivative of the coefficients </w:t>
      </w:r>
      <w:r>
        <w:t xml:space="preserve">on </w:t>
      </w:r>
      <w:r w:rsidRPr="00160800">
        <w:t>FCO and its quadratic</w:t>
      </w:r>
      <w:r>
        <w:t>.</w:t>
      </w:r>
    </w:p>
  </w:footnote>
  <w:footnote w:id="8">
    <w:p w:rsidR="00F41DAF" w:rsidRDefault="00F41DAF">
      <w:pPr>
        <w:pStyle w:val="FootnoteText"/>
      </w:pPr>
      <w:r>
        <w:rPr>
          <w:rStyle w:val="FootnoteReference"/>
        </w:rPr>
        <w:footnoteRef/>
      </w:r>
      <w:r>
        <w:t xml:space="preserve"> The results from regressions using the alternative measures of performance hazard risk are available from the authors upon request.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AF" w:rsidRDefault="00F41DAF">
    <w:pPr>
      <w:pStyle w:val="Header"/>
      <w:jc w:val="right"/>
    </w:pPr>
  </w:p>
  <w:p w:rsidR="00F41DAF" w:rsidRDefault="00F41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AF" w:rsidRDefault="00F41DAF">
    <w:pPr>
      <w:pStyle w:val="Header"/>
      <w:jc w:val="right"/>
    </w:pPr>
  </w:p>
  <w:p w:rsidR="00F41DAF" w:rsidRDefault="00F41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F7A"/>
    <w:multiLevelType w:val="hybridMultilevel"/>
    <w:tmpl w:val="23DE63EE"/>
    <w:lvl w:ilvl="0" w:tplc="1750D1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916C99"/>
    <w:multiLevelType w:val="hybridMultilevel"/>
    <w:tmpl w:val="F93E4E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3586A30"/>
    <w:multiLevelType w:val="hybridMultilevel"/>
    <w:tmpl w:val="ED36D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A72100"/>
    <w:multiLevelType w:val="multilevel"/>
    <w:tmpl w:val="52AA98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nsid w:val="73D511CB"/>
    <w:multiLevelType w:val="multilevel"/>
    <w:tmpl w:val="73FCF59A"/>
    <w:lvl w:ilvl="0">
      <w:start w:val="5"/>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78150759"/>
    <w:multiLevelType w:val="hybridMultilevel"/>
    <w:tmpl w:val="21925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3186"/>
  </w:hdrShapeDefaults>
  <w:footnotePr>
    <w:footnote w:id="-1"/>
    <w:footnote w:id="0"/>
  </w:footnotePr>
  <w:endnotePr>
    <w:numFmt w:val="decimal"/>
    <w:endnote w:id="-1"/>
    <w:endnote w:id="0"/>
  </w:endnotePr>
  <w:compat>
    <w:applyBreakingRules/>
  </w:compat>
  <w:rsids>
    <w:rsidRoot w:val="005C08B7"/>
    <w:rsid w:val="00000310"/>
    <w:rsid w:val="0000132C"/>
    <w:rsid w:val="00001392"/>
    <w:rsid w:val="0000164B"/>
    <w:rsid w:val="00001722"/>
    <w:rsid w:val="00001CF2"/>
    <w:rsid w:val="00002527"/>
    <w:rsid w:val="00002830"/>
    <w:rsid w:val="00002A6F"/>
    <w:rsid w:val="00002C30"/>
    <w:rsid w:val="00002F8B"/>
    <w:rsid w:val="0000453F"/>
    <w:rsid w:val="00004B12"/>
    <w:rsid w:val="00006428"/>
    <w:rsid w:val="000068C2"/>
    <w:rsid w:val="00007011"/>
    <w:rsid w:val="0000778D"/>
    <w:rsid w:val="00007845"/>
    <w:rsid w:val="00007929"/>
    <w:rsid w:val="00007D49"/>
    <w:rsid w:val="00010A91"/>
    <w:rsid w:val="000119F5"/>
    <w:rsid w:val="00011AFB"/>
    <w:rsid w:val="00012029"/>
    <w:rsid w:val="0001212B"/>
    <w:rsid w:val="00012668"/>
    <w:rsid w:val="000130A2"/>
    <w:rsid w:val="00013F0A"/>
    <w:rsid w:val="00014240"/>
    <w:rsid w:val="00014759"/>
    <w:rsid w:val="00015851"/>
    <w:rsid w:val="00015B33"/>
    <w:rsid w:val="0001629B"/>
    <w:rsid w:val="000162E8"/>
    <w:rsid w:val="000164BD"/>
    <w:rsid w:val="00016F67"/>
    <w:rsid w:val="000179E0"/>
    <w:rsid w:val="000203DD"/>
    <w:rsid w:val="000207C0"/>
    <w:rsid w:val="00020923"/>
    <w:rsid w:val="00020C35"/>
    <w:rsid w:val="00021074"/>
    <w:rsid w:val="00022710"/>
    <w:rsid w:val="0002336E"/>
    <w:rsid w:val="00023798"/>
    <w:rsid w:val="000238D4"/>
    <w:rsid w:val="00025222"/>
    <w:rsid w:val="0002563D"/>
    <w:rsid w:val="00025D25"/>
    <w:rsid w:val="00026386"/>
    <w:rsid w:val="00026AF4"/>
    <w:rsid w:val="00026B62"/>
    <w:rsid w:val="000303DC"/>
    <w:rsid w:val="0003070F"/>
    <w:rsid w:val="0003255E"/>
    <w:rsid w:val="00032B7E"/>
    <w:rsid w:val="00033151"/>
    <w:rsid w:val="0003338F"/>
    <w:rsid w:val="00033D09"/>
    <w:rsid w:val="000345E3"/>
    <w:rsid w:val="00034F68"/>
    <w:rsid w:val="00035A6B"/>
    <w:rsid w:val="00035A9E"/>
    <w:rsid w:val="00035AF1"/>
    <w:rsid w:val="00035FAB"/>
    <w:rsid w:val="000361A4"/>
    <w:rsid w:val="00037164"/>
    <w:rsid w:val="000377FD"/>
    <w:rsid w:val="00040A03"/>
    <w:rsid w:val="00040BC7"/>
    <w:rsid w:val="00040CB5"/>
    <w:rsid w:val="00040EA0"/>
    <w:rsid w:val="00040F09"/>
    <w:rsid w:val="00041274"/>
    <w:rsid w:val="00041911"/>
    <w:rsid w:val="00041B30"/>
    <w:rsid w:val="00041B86"/>
    <w:rsid w:val="000420DB"/>
    <w:rsid w:val="000427A9"/>
    <w:rsid w:val="00042D0B"/>
    <w:rsid w:val="00043AF0"/>
    <w:rsid w:val="0004487C"/>
    <w:rsid w:val="00044945"/>
    <w:rsid w:val="00044B0E"/>
    <w:rsid w:val="00045061"/>
    <w:rsid w:val="00045F7F"/>
    <w:rsid w:val="000463C9"/>
    <w:rsid w:val="00047B19"/>
    <w:rsid w:val="000503D9"/>
    <w:rsid w:val="00050A52"/>
    <w:rsid w:val="00050FFA"/>
    <w:rsid w:val="00051AD5"/>
    <w:rsid w:val="00052441"/>
    <w:rsid w:val="000524EF"/>
    <w:rsid w:val="00052787"/>
    <w:rsid w:val="00052E41"/>
    <w:rsid w:val="000537CC"/>
    <w:rsid w:val="00053BEE"/>
    <w:rsid w:val="00053E65"/>
    <w:rsid w:val="000542DB"/>
    <w:rsid w:val="00054BCC"/>
    <w:rsid w:val="00054C7E"/>
    <w:rsid w:val="0005628B"/>
    <w:rsid w:val="00056F6A"/>
    <w:rsid w:val="00057E40"/>
    <w:rsid w:val="00057FCE"/>
    <w:rsid w:val="0006082D"/>
    <w:rsid w:val="00060ED5"/>
    <w:rsid w:val="00061908"/>
    <w:rsid w:val="00061B26"/>
    <w:rsid w:val="00061D22"/>
    <w:rsid w:val="000623A8"/>
    <w:rsid w:val="0006298C"/>
    <w:rsid w:val="00062A45"/>
    <w:rsid w:val="00063D24"/>
    <w:rsid w:val="00063D60"/>
    <w:rsid w:val="00063D81"/>
    <w:rsid w:val="00064098"/>
    <w:rsid w:val="000640D3"/>
    <w:rsid w:val="00064797"/>
    <w:rsid w:val="00064A51"/>
    <w:rsid w:val="00064C51"/>
    <w:rsid w:val="00065082"/>
    <w:rsid w:val="000656D0"/>
    <w:rsid w:val="00065CE0"/>
    <w:rsid w:val="000667E2"/>
    <w:rsid w:val="000668AD"/>
    <w:rsid w:val="000671DB"/>
    <w:rsid w:val="00067223"/>
    <w:rsid w:val="00067439"/>
    <w:rsid w:val="00070271"/>
    <w:rsid w:val="00070599"/>
    <w:rsid w:val="00070EBB"/>
    <w:rsid w:val="000714EF"/>
    <w:rsid w:val="00072036"/>
    <w:rsid w:val="000726C2"/>
    <w:rsid w:val="00072B4F"/>
    <w:rsid w:val="0007371A"/>
    <w:rsid w:val="00073B33"/>
    <w:rsid w:val="00073D4E"/>
    <w:rsid w:val="000746E7"/>
    <w:rsid w:val="0007500F"/>
    <w:rsid w:val="0007563C"/>
    <w:rsid w:val="000762F1"/>
    <w:rsid w:val="0007650B"/>
    <w:rsid w:val="000768D0"/>
    <w:rsid w:val="0008037E"/>
    <w:rsid w:val="00080A48"/>
    <w:rsid w:val="00081ADB"/>
    <w:rsid w:val="0008323A"/>
    <w:rsid w:val="0008465D"/>
    <w:rsid w:val="00084C0A"/>
    <w:rsid w:val="0008531A"/>
    <w:rsid w:val="0008535D"/>
    <w:rsid w:val="0008536A"/>
    <w:rsid w:val="00086871"/>
    <w:rsid w:val="00086DF3"/>
    <w:rsid w:val="00087405"/>
    <w:rsid w:val="000877D1"/>
    <w:rsid w:val="00087876"/>
    <w:rsid w:val="00087F4E"/>
    <w:rsid w:val="00090C81"/>
    <w:rsid w:val="00091029"/>
    <w:rsid w:val="00092A68"/>
    <w:rsid w:val="00092AE5"/>
    <w:rsid w:val="00092E06"/>
    <w:rsid w:val="00092F52"/>
    <w:rsid w:val="00093308"/>
    <w:rsid w:val="00093779"/>
    <w:rsid w:val="0009419C"/>
    <w:rsid w:val="0009435C"/>
    <w:rsid w:val="00094530"/>
    <w:rsid w:val="000946F7"/>
    <w:rsid w:val="00095BD5"/>
    <w:rsid w:val="00096965"/>
    <w:rsid w:val="00097678"/>
    <w:rsid w:val="00097E7B"/>
    <w:rsid w:val="000A093C"/>
    <w:rsid w:val="000A156B"/>
    <w:rsid w:val="000A1C18"/>
    <w:rsid w:val="000A1C22"/>
    <w:rsid w:val="000A306D"/>
    <w:rsid w:val="000A33AC"/>
    <w:rsid w:val="000A38E3"/>
    <w:rsid w:val="000A3A61"/>
    <w:rsid w:val="000A3FF3"/>
    <w:rsid w:val="000A469D"/>
    <w:rsid w:val="000A5CB6"/>
    <w:rsid w:val="000A62C5"/>
    <w:rsid w:val="000A65A2"/>
    <w:rsid w:val="000A72C7"/>
    <w:rsid w:val="000B0072"/>
    <w:rsid w:val="000B079A"/>
    <w:rsid w:val="000B0968"/>
    <w:rsid w:val="000B1686"/>
    <w:rsid w:val="000B19CA"/>
    <w:rsid w:val="000B2194"/>
    <w:rsid w:val="000B2473"/>
    <w:rsid w:val="000B2747"/>
    <w:rsid w:val="000B2E44"/>
    <w:rsid w:val="000B32BE"/>
    <w:rsid w:val="000B334D"/>
    <w:rsid w:val="000B37F5"/>
    <w:rsid w:val="000B3FA5"/>
    <w:rsid w:val="000B434A"/>
    <w:rsid w:val="000B441C"/>
    <w:rsid w:val="000B502C"/>
    <w:rsid w:val="000B5879"/>
    <w:rsid w:val="000B59EB"/>
    <w:rsid w:val="000B5E5F"/>
    <w:rsid w:val="000B6646"/>
    <w:rsid w:val="000B7562"/>
    <w:rsid w:val="000C00B9"/>
    <w:rsid w:val="000C08A7"/>
    <w:rsid w:val="000C1DF9"/>
    <w:rsid w:val="000C2066"/>
    <w:rsid w:val="000C24AE"/>
    <w:rsid w:val="000C25C2"/>
    <w:rsid w:val="000C2C35"/>
    <w:rsid w:val="000C33BB"/>
    <w:rsid w:val="000C36FF"/>
    <w:rsid w:val="000C390F"/>
    <w:rsid w:val="000C3C10"/>
    <w:rsid w:val="000C3EC7"/>
    <w:rsid w:val="000C4BFB"/>
    <w:rsid w:val="000C5881"/>
    <w:rsid w:val="000C58F7"/>
    <w:rsid w:val="000C5DD1"/>
    <w:rsid w:val="000C639E"/>
    <w:rsid w:val="000C64D3"/>
    <w:rsid w:val="000C727F"/>
    <w:rsid w:val="000C7B35"/>
    <w:rsid w:val="000C7F5A"/>
    <w:rsid w:val="000C7F98"/>
    <w:rsid w:val="000D0277"/>
    <w:rsid w:val="000D0DE4"/>
    <w:rsid w:val="000D1C3A"/>
    <w:rsid w:val="000D1D49"/>
    <w:rsid w:val="000D1F5F"/>
    <w:rsid w:val="000D2416"/>
    <w:rsid w:val="000D286E"/>
    <w:rsid w:val="000D2F42"/>
    <w:rsid w:val="000D3211"/>
    <w:rsid w:val="000D3702"/>
    <w:rsid w:val="000D39F3"/>
    <w:rsid w:val="000D3C05"/>
    <w:rsid w:val="000D3E7C"/>
    <w:rsid w:val="000D4277"/>
    <w:rsid w:val="000D459D"/>
    <w:rsid w:val="000D4657"/>
    <w:rsid w:val="000D5B08"/>
    <w:rsid w:val="000D6066"/>
    <w:rsid w:val="000D7137"/>
    <w:rsid w:val="000D7D05"/>
    <w:rsid w:val="000D7F2F"/>
    <w:rsid w:val="000E02BF"/>
    <w:rsid w:val="000E0677"/>
    <w:rsid w:val="000E0CF4"/>
    <w:rsid w:val="000E15FC"/>
    <w:rsid w:val="000E1908"/>
    <w:rsid w:val="000E1C13"/>
    <w:rsid w:val="000E3E93"/>
    <w:rsid w:val="000E4378"/>
    <w:rsid w:val="000E500C"/>
    <w:rsid w:val="000E521E"/>
    <w:rsid w:val="000E5294"/>
    <w:rsid w:val="000E5A43"/>
    <w:rsid w:val="000E64FB"/>
    <w:rsid w:val="000E6567"/>
    <w:rsid w:val="000E7CE0"/>
    <w:rsid w:val="000F0861"/>
    <w:rsid w:val="000F0E68"/>
    <w:rsid w:val="000F16D5"/>
    <w:rsid w:val="000F2A20"/>
    <w:rsid w:val="000F2BFE"/>
    <w:rsid w:val="000F2DA2"/>
    <w:rsid w:val="000F3D03"/>
    <w:rsid w:val="000F552C"/>
    <w:rsid w:val="000F5603"/>
    <w:rsid w:val="000F5C18"/>
    <w:rsid w:val="000F5C54"/>
    <w:rsid w:val="000F6152"/>
    <w:rsid w:val="000F6771"/>
    <w:rsid w:val="000F74E8"/>
    <w:rsid w:val="000F7A4B"/>
    <w:rsid w:val="000F7DC4"/>
    <w:rsid w:val="000F7E85"/>
    <w:rsid w:val="0010008C"/>
    <w:rsid w:val="00100133"/>
    <w:rsid w:val="00100E6B"/>
    <w:rsid w:val="001010E0"/>
    <w:rsid w:val="00101128"/>
    <w:rsid w:val="00101984"/>
    <w:rsid w:val="001019E5"/>
    <w:rsid w:val="00101F99"/>
    <w:rsid w:val="001022A7"/>
    <w:rsid w:val="00102A4F"/>
    <w:rsid w:val="00102BAF"/>
    <w:rsid w:val="00103640"/>
    <w:rsid w:val="00103CFE"/>
    <w:rsid w:val="00105E8B"/>
    <w:rsid w:val="00106D4F"/>
    <w:rsid w:val="00107530"/>
    <w:rsid w:val="00107566"/>
    <w:rsid w:val="00107646"/>
    <w:rsid w:val="00107874"/>
    <w:rsid w:val="00107A25"/>
    <w:rsid w:val="00111078"/>
    <w:rsid w:val="00111810"/>
    <w:rsid w:val="00111D24"/>
    <w:rsid w:val="001123E9"/>
    <w:rsid w:val="00113115"/>
    <w:rsid w:val="00113970"/>
    <w:rsid w:val="00113EEC"/>
    <w:rsid w:val="00114082"/>
    <w:rsid w:val="00114CC3"/>
    <w:rsid w:val="00114D92"/>
    <w:rsid w:val="001154CF"/>
    <w:rsid w:val="00115A4F"/>
    <w:rsid w:val="00116179"/>
    <w:rsid w:val="001170EE"/>
    <w:rsid w:val="001200BE"/>
    <w:rsid w:val="001206B0"/>
    <w:rsid w:val="001209B3"/>
    <w:rsid w:val="00120DDD"/>
    <w:rsid w:val="00120FC5"/>
    <w:rsid w:val="00121D4A"/>
    <w:rsid w:val="0012312D"/>
    <w:rsid w:val="00123B06"/>
    <w:rsid w:val="00123D4B"/>
    <w:rsid w:val="00124480"/>
    <w:rsid w:val="0012477D"/>
    <w:rsid w:val="00124DD1"/>
    <w:rsid w:val="001256D0"/>
    <w:rsid w:val="00125837"/>
    <w:rsid w:val="001258D7"/>
    <w:rsid w:val="00125A5C"/>
    <w:rsid w:val="00125ABD"/>
    <w:rsid w:val="00127407"/>
    <w:rsid w:val="00127954"/>
    <w:rsid w:val="0013041D"/>
    <w:rsid w:val="001304D5"/>
    <w:rsid w:val="00130A79"/>
    <w:rsid w:val="00130B03"/>
    <w:rsid w:val="00130E43"/>
    <w:rsid w:val="001313B0"/>
    <w:rsid w:val="00131AD0"/>
    <w:rsid w:val="001323DD"/>
    <w:rsid w:val="0013269D"/>
    <w:rsid w:val="00132DAC"/>
    <w:rsid w:val="001330E3"/>
    <w:rsid w:val="00133139"/>
    <w:rsid w:val="00133295"/>
    <w:rsid w:val="00134CA8"/>
    <w:rsid w:val="00135C00"/>
    <w:rsid w:val="00135EB0"/>
    <w:rsid w:val="0013639B"/>
    <w:rsid w:val="001368C0"/>
    <w:rsid w:val="00136A18"/>
    <w:rsid w:val="00140DB1"/>
    <w:rsid w:val="00142C64"/>
    <w:rsid w:val="00142C96"/>
    <w:rsid w:val="001435F9"/>
    <w:rsid w:val="00143D22"/>
    <w:rsid w:val="00143F43"/>
    <w:rsid w:val="00145181"/>
    <w:rsid w:val="00146C7B"/>
    <w:rsid w:val="0014769D"/>
    <w:rsid w:val="00147750"/>
    <w:rsid w:val="00147FE2"/>
    <w:rsid w:val="00150649"/>
    <w:rsid w:val="001508DC"/>
    <w:rsid w:val="00150DCE"/>
    <w:rsid w:val="001513DC"/>
    <w:rsid w:val="00151625"/>
    <w:rsid w:val="00151D6E"/>
    <w:rsid w:val="00152705"/>
    <w:rsid w:val="001533D3"/>
    <w:rsid w:val="001534C7"/>
    <w:rsid w:val="00153ACB"/>
    <w:rsid w:val="00153CE9"/>
    <w:rsid w:val="00153E24"/>
    <w:rsid w:val="00154381"/>
    <w:rsid w:val="0015485A"/>
    <w:rsid w:val="00155014"/>
    <w:rsid w:val="00155F7F"/>
    <w:rsid w:val="00156ECE"/>
    <w:rsid w:val="00157445"/>
    <w:rsid w:val="00157F52"/>
    <w:rsid w:val="00160800"/>
    <w:rsid w:val="00160D8F"/>
    <w:rsid w:val="001614AE"/>
    <w:rsid w:val="001615B9"/>
    <w:rsid w:val="00161803"/>
    <w:rsid w:val="00161FAB"/>
    <w:rsid w:val="00162D97"/>
    <w:rsid w:val="0016338C"/>
    <w:rsid w:val="00164824"/>
    <w:rsid w:val="00164EFB"/>
    <w:rsid w:val="00165031"/>
    <w:rsid w:val="00165441"/>
    <w:rsid w:val="001654FC"/>
    <w:rsid w:val="00165950"/>
    <w:rsid w:val="00165DC0"/>
    <w:rsid w:val="00166014"/>
    <w:rsid w:val="00167E1C"/>
    <w:rsid w:val="001704AE"/>
    <w:rsid w:val="00170641"/>
    <w:rsid w:val="00170BF7"/>
    <w:rsid w:val="00171695"/>
    <w:rsid w:val="00171C2D"/>
    <w:rsid w:val="00172435"/>
    <w:rsid w:val="00172752"/>
    <w:rsid w:val="00172C96"/>
    <w:rsid w:val="001730AD"/>
    <w:rsid w:val="00173124"/>
    <w:rsid w:val="00173849"/>
    <w:rsid w:val="00173C6D"/>
    <w:rsid w:val="00173ECF"/>
    <w:rsid w:val="001748F0"/>
    <w:rsid w:val="001749A7"/>
    <w:rsid w:val="001749CD"/>
    <w:rsid w:val="00175A5C"/>
    <w:rsid w:val="00175F9C"/>
    <w:rsid w:val="00176733"/>
    <w:rsid w:val="001768A4"/>
    <w:rsid w:val="00177F76"/>
    <w:rsid w:val="001804FC"/>
    <w:rsid w:val="001805F3"/>
    <w:rsid w:val="00182488"/>
    <w:rsid w:val="00183142"/>
    <w:rsid w:val="001838EE"/>
    <w:rsid w:val="00184559"/>
    <w:rsid w:val="00184AC3"/>
    <w:rsid w:val="00184CFA"/>
    <w:rsid w:val="001859A5"/>
    <w:rsid w:val="00185E4F"/>
    <w:rsid w:val="00185EC8"/>
    <w:rsid w:val="001868D6"/>
    <w:rsid w:val="00186B01"/>
    <w:rsid w:val="001871A0"/>
    <w:rsid w:val="001879D0"/>
    <w:rsid w:val="00187C06"/>
    <w:rsid w:val="00187C74"/>
    <w:rsid w:val="00187CC4"/>
    <w:rsid w:val="0019007B"/>
    <w:rsid w:val="00190892"/>
    <w:rsid w:val="00190B98"/>
    <w:rsid w:val="00190D1B"/>
    <w:rsid w:val="00190E0C"/>
    <w:rsid w:val="00190E50"/>
    <w:rsid w:val="00191269"/>
    <w:rsid w:val="001915FF"/>
    <w:rsid w:val="001918C9"/>
    <w:rsid w:val="00192279"/>
    <w:rsid w:val="00192565"/>
    <w:rsid w:val="00192909"/>
    <w:rsid w:val="001931FF"/>
    <w:rsid w:val="00194851"/>
    <w:rsid w:val="00194870"/>
    <w:rsid w:val="00194D94"/>
    <w:rsid w:val="00194ECC"/>
    <w:rsid w:val="001952E9"/>
    <w:rsid w:val="00195B0D"/>
    <w:rsid w:val="00195EAC"/>
    <w:rsid w:val="00196610"/>
    <w:rsid w:val="00196C3C"/>
    <w:rsid w:val="001976E1"/>
    <w:rsid w:val="00197862"/>
    <w:rsid w:val="001A0392"/>
    <w:rsid w:val="001A0B73"/>
    <w:rsid w:val="001A0E4A"/>
    <w:rsid w:val="001A125A"/>
    <w:rsid w:val="001A28F8"/>
    <w:rsid w:val="001A2FB6"/>
    <w:rsid w:val="001A3968"/>
    <w:rsid w:val="001A3B5C"/>
    <w:rsid w:val="001A3C0B"/>
    <w:rsid w:val="001A44FC"/>
    <w:rsid w:val="001A469A"/>
    <w:rsid w:val="001A482F"/>
    <w:rsid w:val="001A4978"/>
    <w:rsid w:val="001A4BD7"/>
    <w:rsid w:val="001A57E8"/>
    <w:rsid w:val="001A611C"/>
    <w:rsid w:val="001A6204"/>
    <w:rsid w:val="001A6514"/>
    <w:rsid w:val="001A6BA6"/>
    <w:rsid w:val="001A6C10"/>
    <w:rsid w:val="001B00C6"/>
    <w:rsid w:val="001B0D6D"/>
    <w:rsid w:val="001B131D"/>
    <w:rsid w:val="001B13CD"/>
    <w:rsid w:val="001B1421"/>
    <w:rsid w:val="001B17E8"/>
    <w:rsid w:val="001B3002"/>
    <w:rsid w:val="001B3146"/>
    <w:rsid w:val="001B31BC"/>
    <w:rsid w:val="001B3270"/>
    <w:rsid w:val="001B3650"/>
    <w:rsid w:val="001B4719"/>
    <w:rsid w:val="001B4850"/>
    <w:rsid w:val="001B4871"/>
    <w:rsid w:val="001B4964"/>
    <w:rsid w:val="001B542B"/>
    <w:rsid w:val="001B5A71"/>
    <w:rsid w:val="001B5EAE"/>
    <w:rsid w:val="001B6035"/>
    <w:rsid w:val="001B6154"/>
    <w:rsid w:val="001B6AE2"/>
    <w:rsid w:val="001B754A"/>
    <w:rsid w:val="001C01A6"/>
    <w:rsid w:val="001C096E"/>
    <w:rsid w:val="001C1519"/>
    <w:rsid w:val="001C16EC"/>
    <w:rsid w:val="001C1DEA"/>
    <w:rsid w:val="001C1EF2"/>
    <w:rsid w:val="001C25B5"/>
    <w:rsid w:val="001C2BB3"/>
    <w:rsid w:val="001C3709"/>
    <w:rsid w:val="001C3FD2"/>
    <w:rsid w:val="001C516D"/>
    <w:rsid w:val="001C55C6"/>
    <w:rsid w:val="001C5B5D"/>
    <w:rsid w:val="001C5C7A"/>
    <w:rsid w:val="001C6048"/>
    <w:rsid w:val="001C6552"/>
    <w:rsid w:val="001C6861"/>
    <w:rsid w:val="001C6D0D"/>
    <w:rsid w:val="001C6E4B"/>
    <w:rsid w:val="001C782E"/>
    <w:rsid w:val="001D0D7B"/>
    <w:rsid w:val="001D0FB0"/>
    <w:rsid w:val="001D17FC"/>
    <w:rsid w:val="001D21B8"/>
    <w:rsid w:val="001D22E0"/>
    <w:rsid w:val="001D23E1"/>
    <w:rsid w:val="001D2437"/>
    <w:rsid w:val="001D2E84"/>
    <w:rsid w:val="001D32E1"/>
    <w:rsid w:val="001D4096"/>
    <w:rsid w:val="001D44FB"/>
    <w:rsid w:val="001D47B5"/>
    <w:rsid w:val="001D4F73"/>
    <w:rsid w:val="001D55D5"/>
    <w:rsid w:val="001D5860"/>
    <w:rsid w:val="001D5B20"/>
    <w:rsid w:val="001D6E32"/>
    <w:rsid w:val="001D712F"/>
    <w:rsid w:val="001D7340"/>
    <w:rsid w:val="001D7AE2"/>
    <w:rsid w:val="001E012D"/>
    <w:rsid w:val="001E0176"/>
    <w:rsid w:val="001E0532"/>
    <w:rsid w:val="001E0F76"/>
    <w:rsid w:val="001E1066"/>
    <w:rsid w:val="001E1595"/>
    <w:rsid w:val="001E1C5E"/>
    <w:rsid w:val="001E2206"/>
    <w:rsid w:val="001E2484"/>
    <w:rsid w:val="001E2C39"/>
    <w:rsid w:val="001E3B29"/>
    <w:rsid w:val="001E4CB5"/>
    <w:rsid w:val="001E534F"/>
    <w:rsid w:val="001E56CF"/>
    <w:rsid w:val="001E64E3"/>
    <w:rsid w:val="001E6D8C"/>
    <w:rsid w:val="001E7297"/>
    <w:rsid w:val="001E7B8D"/>
    <w:rsid w:val="001E7CC0"/>
    <w:rsid w:val="001F08E9"/>
    <w:rsid w:val="001F0B18"/>
    <w:rsid w:val="001F12ED"/>
    <w:rsid w:val="001F25B1"/>
    <w:rsid w:val="001F2D6E"/>
    <w:rsid w:val="001F3124"/>
    <w:rsid w:val="001F322C"/>
    <w:rsid w:val="001F391C"/>
    <w:rsid w:val="001F4361"/>
    <w:rsid w:val="001F460F"/>
    <w:rsid w:val="001F5EEB"/>
    <w:rsid w:val="001F64C1"/>
    <w:rsid w:val="001F6B56"/>
    <w:rsid w:val="001F6CAE"/>
    <w:rsid w:val="001F7B43"/>
    <w:rsid w:val="001F7E84"/>
    <w:rsid w:val="001F7E97"/>
    <w:rsid w:val="00200928"/>
    <w:rsid w:val="0020106A"/>
    <w:rsid w:val="00202A50"/>
    <w:rsid w:val="00203029"/>
    <w:rsid w:val="0020385A"/>
    <w:rsid w:val="00203C4D"/>
    <w:rsid w:val="00204270"/>
    <w:rsid w:val="00204294"/>
    <w:rsid w:val="002043B6"/>
    <w:rsid w:val="0020487F"/>
    <w:rsid w:val="00204F68"/>
    <w:rsid w:val="002053F8"/>
    <w:rsid w:val="0020552B"/>
    <w:rsid w:val="00205917"/>
    <w:rsid w:val="00206714"/>
    <w:rsid w:val="00206A98"/>
    <w:rsid w:val="002071BC"/>
    <w:rsid w:val="002072C8"/>
    <w:rsid w:val="002074B8"/>
    <w:rsid w:val="00207D34"/>
    <w:rsid w:val="00207DB5"/>
    <w:rsid w:val="00207E18"/>
    <w:rsid w:val="00210F74"/>
    <w:rsid w:val="002117A1"/>
    <w:rsid w:val="00211E0B"/>
    <w:rsid w:val="00211E88"/>
    <w:rsid w:val="00211E97"/>
    <w:rsid w:val="00212106"/>
    <w:rsid w:val="00212806"/>
    <w:rsid w:val="00212AB0"/>
    <w:rsid w:val="0021325E"/>
    <w:rsid w:val="00213A80"/>
    <w:rsid w:val="00213F7F"/>
    <w:rsid w:val="0021408B"/>
    <w:rsid w:val="00215190"/>
    <w:rsid w:val="0021529E"/>
    <w:rsid w:val="00215766"/>
    <w:rsid w:val="00216B4B"/>
    <w:rsid w:val="00216BF7"/>
    <w:rsid w:val="00216DAD"/>
    <w:rsid w:val="00216E54"/>
    <w:rsid w:val="00217032"/>
    <w:rsid w:val="002170A3"/>
    <w:rsid w:val="00217474"/>
    <w:rsid w:val="00217A18"/>
    <w:rsid w:val="00220375"/>
    <w:rsid w:val="002204F0"/>
    <w:rsid w:val="00220AA6"/>
    <w:rsid w:val="002223E9"/>
    <w:rsid w:val="0022268A"/>
    <w:rsid w:val="00222CF9"/>
    <w:rsid w:val="00223768"/>
    <w:rsid w:val="002243BC"/>
    <w:rsid w:val="002253D1"/>
    <w:rsid w:val="0022548F"/>
    <w:rsid w:val="002257C0"/>
    <w:rsid w:val="002259EF"/>
    <w:rsid w:val="00225AC1"/>
    <w:rsid w:val="0022609F"/>
    <w:rsid w:val="00226340"/>
    <w:rsid w:val="00226B26"/>
    <w:rsid w:val="00226F88"/>
    <w:rsid w:val="002276E9"/>
    <w:rsid w:val="002278DE"/>
    <w:rsid w:val="00227A68"/>
    <w:rsid w:val="00227F67"/>
    <w:rsid w:val="00230030"/>
    <w:rsid w:val="00230153"/>
    <w:rsid w:val="0023049B"/>
    <w:rsid w:val="00230B00"/>
    <w:rsid w:val="00231FCE"/>
    <w:rsid w:val="00232CF9"/>
    <w:rsid w:val="00232F50"/>
    <w:rsid w:val="002332CE"/>
    <w:rsid w:val="00233685"/>
    <w:rsid w:val="00234103"/>
    <w:rsid w:val="00234AA8"/>
    <w:rsid w:val="00234F13"/>
    <w:rsid w:val="002359EC"/>
    <w:rsid w:val="002362C1"/>
    <w:rsid w:val="002362FA"/>
    <w:rsid w:val="00236351"/>
    <w:rsid w:val="0023653D"/>
    <w:rsid w:val="00236648"/>
    <w:rsid w:val="0023672F"/>
    <w:rsid w:val="00236E5C"/>
    <w:rsid w:val="00237451"/>
    <w:rsid w:val="0023794F"/>
    <w:rsid w:val="002406AB"/>
    <w:rsid w:val="002409DB"/>
    <w:rsid w:val="00240DCB"/>
    <w:rsid w:val="002415B5"/>
    <w:rsid w:val="00241E94"/>
    <w:rsid w:val="002420B7"/>
    <w:rsid w:val="0024217C"/>
    <w:rsid w:val="0024219D"/>
    <w:rsid w:val="00243B78"/>
    <w:rsid w:val="00243B98"/>
    <w:rsid w:val="002447D9"/>
    <w:rsid w:val="00244901"/>
    <w:rsid w:val="002451ED"/>
    <w:rsid w:val="002451F2"/>
    <w:rsid w:val="0024577C"/>
    <w:rsid w:val="002458AF"/>
    <w:rsid w:val="00247028"/>
    <w:rsid w:val="00247D72"/>
    <w:rsid w:val="00250E94"/>
    <w:rsid w:val="0025187E"/>
    <w:rsid w:val="00251DF8"/>
    <w:rsid w:val="002526AB"/>
    <w:rsid w:val="002531E2"/>
    <w:rsid w:val="0025325F"/>
    <w:rsid w:val="002542F7"/>
    <w:rsid w:val="00254C2E"/>
    <w:rsid w:val="00255872"/>
    <w:rsid w:val="00255F27"/>
    <w:rsid w:val="0025632E"/>
    <w:rsid w:val="002571BA"/>
    <w:rsid w:val="00257462"/>
    <w:rsid w:val="00260E9E"/>
    <w:rsid w:val="0026126F"/>
    <w:rsid w:val="0026280F"/>
    <w:rsid w:val="00262CA7"/>
    <w:rsid w:val="00262F8D"/>
    <w:rsid w:val="0026319E"/>
    <w:rsid w:val="0026336C"/>
    <w:rsid w:val="00263E09"/>
    <w:rsid w:val="00263F03"/>
    <w:rsid w:val="0026413D"/>
    <w:rsid w:val="00264BDC"/>
    <w:rsid w:val="00264E8D"/>
    <w:rsid w:val="00265777"/>
    <w:rsid w:val="00265ABA"/>
    <w:rsid w:val="0026664E"/>
    <w:rsid w:val="00266777"/>
    <w:rsid w:val="002702F5"/>
    <w:rsid w:val="00270379"/>
    <w:rsid w:val="0027069A"/>
    <w:rsid w:val="00270729"/>
    <w:rsid w:val="0027170E"/>
    <w:rsid w:val="00271E6B"/>
    <w:rsid w:val="0027290A"/>
    <w:rsid w:val="002731D0"/>
    <w:rsid w:val="002739EE"/>
    <w:rsid w:val="00273BD6"/>
    <w:rsid w:val="00273EA5"/>
    <w:rsid w:val="00273F7E"/>
    <w:rsid w:val="00274D43"/>
    <w:rsid w:val="00274F0D"/>
    <w:rsid w:val="00274F75"/>
    <w:rsid w:val="00275358"/>
    <w:rsid w:val="002759BD"/>
    <w:rsid w:val="0027654F"/>
    <w:rsid w:val="002766EB"/>
    <w:rsid w:val="00277694"/>
    <w:rsid w:val="00277AB8"/>
    <w:rsid w:val="00277B63"/>
    <w:rsid w:val="00277EBA"/>
    <w:rsid w:val="00281268"/>
    <w:rsid w:val="002812B2"/>
    <w:rsid w:val="00281784"/>
    <w:rsid w:val="002819EE"/>
    <w:rsid w:val="00281A66"/>
    <w:rsid w:val="00282537"/>
    <w:rsid w:val="00282999"/>
    <w:rsid w:val="00282AAD"/>
    <w:rsid w:val="00282B1F"/>
    <w:rsid w:val="00283208"/>
    <w:rsid w:val="002837B3"/>
    <w:rsid w:val="0028441E"/>
    <w:rsid w:val="00284435"/>
    <w:rsid w:val="00284B62"/>
    <w:rsid w:val="00284BCC"/>
    <w:rsid w:val="00284EC2"/>
    <w:rsid w:val="00285506"/>
    <w:rsid w:val="0028598F"/>
    <w:rsid w:val="00286236"/>
    <w:rsid w:val="00286385"/>
    <w:rsid w:val="00286421"/>
    <w:rsid w:val="00286854"/>
    <w:rsid w:val="00286B00"/>
    <w:rsid w:val="002900CA"/>
    <w:rsid w:val="00290648"/>
    <w:rsid w:val="0029268C"/>
    <w:rsid w:val="002926FA"/>
    <w:rsid w:val="002927BB"/>
    <w:rsid w:val="00292843"/>
    <w:rsid w:val="0029388F"/>
    <w:rsid w:val="00293EA9"/>
    <w:rsid w:val="00294069"/>
    <w:rsid w:val="002942D0"/>
    <w:rsid w:val="00294418"/>
    <w:rsid w:val="002945DF"/>
    <w:rsid w:val="00294BE1"/>
    <w:rsid w:val="00294FC8"/>
    <w:rsid w:val="002958C2"/>
    <w:rsid w:val="00295F9D"/>
    <w:rsid w:val="00296393"/>
    <w:rsid w:val="0029658E"/>
    <w:rsid w:val="002971CD"/>
    <w:rsid w:val="00297B8F"/>
    <w:rsid w:val="00297DF3"/>
    <w:rsid w:val="002A03CE"/>
    <w:rsid w:val="002A0E24"/>
    <w:rsid w:val="002A109A"/>
    <w:rsid w:val="002A1C7A"/>
    <w:rsid w:val="002A1DD1"/>
    <w:rsid w:val="002A2340"/>
    <w:rsid w:val="002A2B87"/>
    <w:rsid w:val="002A32CB"/>
    <w:rsid w:val="002A33DA"/>
    <w:rsid w:val="002A38B9"/>
    <w:rsid w:val="002A41E0"/>
    <w:rsid w:val="002A485A"/>
    <w:rsid w:val="002A4EF5"/>
    <w:rsid w:val="002A50EE"/>
    <w:rsid w:val="002A609C"/>
    <w:rsid w:val="002A63FC"/>
    <w:rsid w:val="002A6716"/>
    <w:rsid w:val="002A7566"/>
    <w:rsid w:val="002A7C31"/>
    <w:rsid w:val="002B057D"/>
    <w:rsid w:val="002B07E5"/>
    <w:rsid w:val="002B104E"/>
    <w:rsid w:val="002B1D33"/>
    <w:rsid w:val="002B1D37"/>
    <w:rsid w:val="002B203C"/>
    <w:rsid w:val="002B2052"/>
    <w:rsid w:val="002B209A"/>
    <w:rsid w:val="002B2AD0"/>
    <w:rsid w:val="002B2B5C"/>
    <w:rsid w:val="002B2E9F"/>
    <w:rsid w:val="002B3F51"/>
    <w:rsid w:val="002B4204"/>
    <w:rsid w:val="002B426E"/>
    <w:rsid w:val="002B46E8"/>
    <w:rsid w:val="002B4AFE"/>
    <w:rsid w:val="002B4EEA"/>
    <w:rsid w:val="002B5102"/>
    <w:rsid w:val="002B5434"/>
    <w:rsid w:val="002B580F"/>
    <w:rsid w:val="002B5B0C"/>
    <w:rsid w:val="002B5BC5"/>
    <w:rsid w:val="002B6214"/>
    <w:rsid w:val="002B63BE"/>
    <w:rsid w:val="002B65D7"/>
    <w:rsid w:val="002B6876"/>
    <w:rsid w:val="002B69FF"/>
    <w:rsid w:val="002C0706"/>
    <w:rsid w:val="002C0B13"/>
    <w:rsid w:val="002C13F0"/>
    <w:rsid w:val="002C15DD"/>
    <w:rsid w:val="002C3045"/>
    <w:rsid w:val="002C30A0"/>
    <w:rsid w:val="002C343E"/>
    <w:rsid w:val="002C344E"/>
    <w:rsid w:val="002C3A2B"/>
    <w:rsid w:val="002C3AB1"/>
    <w:rsid w:val="002C3F7C"/>
    <w:rsid w:val="002C4568"/>
    <w:rsid w:val="002C4EA7"/>
    <w:rsid w:val="002C57C8"/>
    <w:rsid w:val="002C5B25"/>
    <w:rsid w:val="002C6280"/>
    <w:rsid w:val="002C644D"/>
    <w:rsid w:val="002C66F4"/>
    <w:rsid w:val="002C715C"/>
    <w:rsid w:val="002C79D8"/>
    <w:rsid w:val="002C7A89"/>
    <w:rsid w:val="002C7E45"/>
    <w:rsid w:val="002D0466"/>
    <w:rsid w:val="002D04E1"/>
    <w:rsid w:val="002D1DE1"/>
    <w:rsid w:val="002D28F9"/>
    <w:rsid w:val="002D29A2"/>
    <w:rsid w:val="002D31DB"/>
    <w:rsid w:val="002D3779"/>
    <w:rsid w:val="002D4328"/>
    <w:rsid w:val="002D4DC4"/>
    <w:rsid w:val="002D4E27"/>
    <w:rsid w:val="002D6385"/>
    <w:rsid w:val="002D6E6C"/>
    <w:rsid w:val="002D6F64"/>
    <w:rsid w:val="002E03A4"/>
    <w:rsid w:val="002E22BD"/>
    <w:rsid w:val="002E283B"/>
    <w:rsid w:val="002E28F2"/>
    <w:rsid w:val="002E3180"/>
    <w:rsid w:val="002E31E1"/>
    <w:rsid w:val="002E31F2"/>
    <w:rsid w:val="002E33F3"/>
    <w:rsid w:val="002E3713"/>
    <w:rsid w:val="002E3A6F"/>
    <w:rsid w:val="002E3AB8"/>
    <w:rsid w:val="002E3D62"/>
    <w:rsid w:val="002E4556"/>
    <w:rsid w:val="002E45B9"/>
    <w:rsid w:val="002E4C2E"/>
    <w:rsid w:val="002E5024"/>
    <w:rsid w:val="002E5884"/>
    <w:rsid w:val="002E59ED"/>
    <w:rsid w:val="002E5B68"/>
    <w:rsid w:val="002E5CF5"/>
    <w:rsid w:val="002E6500"/>
    <w:rsid w:val="002E6694"/>
    <w:rsid w:val="002E6BED"/>
    <w:rsid w:val="002E71BD"/>
    <w:rsid w:val="002E72C7"/>
    <w:rsid w:val="002E7894"/>
    <w:rsid w:val="002E7B32"/>
    <w:rsid w:val="002F0207"/>
    <w:rsid w:val="002F040C"/>
    <w:rsid w:val="002F119E"/>
    <w:rsid w:val="002F12A7"/>
    <w:rsid w:val="002F1743"/>
    <w:rsid w:val="002F19D9"/>
    <w:rsid w:val="002F19DB"/>
    <w:rsid w:val="002F2A21"/>
    <w:rsid w:val="002F2E92"/>
    <w:rsid w:val="002F30A4"/>
    <w:rsid w:val="002F3255"/>
    <w:rsid w:val="002F400E"/>
    <w:rsid w:val="002F5D47"/>
    <w:rsid w:val="002F5F39"/>
    <w:rsid w:val="002F6008"/>
    <w:rsid w:val="002F6F55"/>
    <w:rsid w:val="002F6F87"/>
    <w:rsid w:val="002F7814"/>
    <w:rsid w:val="002F7E60"/>
    <w:rsid w:val="003019B1"/>
    <w:rsid w:val="00301B1E"/>
    <w:rsid w:val="00301EA4"/>
    <w:rsid w:val="0030252A"/>
    <w:rsid w:val="00302AC8"/>
    <w:rsid w:val="00303164"/>
    <w:rsid w:val="003036E5"/>
    <w:rsid w:val="00304E7E"/>
    <w:rsid w:val="0030524E"/>
    <w:rsid w:val="0030698D"/>
    <w:rsid w:val="003073BC"/>
    <w:rsid w:val="003111AD"/>
    <w:rsid w:val="00311BDD"/>
    <w:rsid w:val="00312306"/>
    <w:rsid w:val="00312CD7"/>
    <w:rsid w:val="003132F5"/>
    <w:rsid w:val="00313923"/>
    <w:rsid w:val="00313F5F"/>
    <w:rsid w:val="00314117"/>
    <w:rsid w:val="003144A7"/>
    <w:rsid w:val="00316596"/>
    <w:rsid w:val="00316E2B"/>
    <w:rsid w:val="003172B7"/>
    <w:rsid w:val="003204BC"/>
    <w:rsid w:val="0032066A"/>
    <w:rsid w:val="00320842"/>
    <w:rsid w:val="00320975"/>
    <w:rsid w:val="00320D1F"/>
    <w:rsid w:val="0032102B"/>
    <w:rsid w:val="00321239"/>
    <w:rsid w:val="0032127E"/>
    <w:rsid w:val="003213FC"/>
    <w:rsid w:val="00321CA4"/>
    <w:rsid w:val="003221FA"/>
    <w:rsid w:val="003229DF"/>
    <w:rsid w:val="00322C13"/>
    <w:rsid w:val="003237B4"/>
    <w:rsid w:val="00323840"/>
    <w:rsid w:val="00324A72"/>
    <w:rsid w:val="00324AD6"/>
    <w:rsid w:val="00324D1B"/>
    <w:rsid w:val="00324DC7"/>
    <w:rsid w:val="00325613"/>
    <w:rsid w:val="00325EA6"/>
    <w:rsid w:val="003268AA"/>
    <w:rsid w:val="00327179"/>
    <w:rsid w:val="0032734B"/>
    <w:rsid w:val="00327357"/>
    <w:rsid w:val="0032740A"/>
    <w:rsid w:val="00327890"/>
    <w:rsid w:val="00327C48"/>
    <w:rsid w:val="003304CF"/>
    <w:rsid w:val="00330875"/>
    <w:rsid w:val="00330A14"/>
    <w:rsid w:val="00331364"/>
    <w:rsid w:val="00331973"/>
    <w:rsid w:val="00332ADB"/>
    <w:rsid w:val="003335A9"/>
    <w:rsid w:val="00333650"/>
    <w:rsid w:val="00333D2F"/>
    <w:rsid w:val="00335C82"/>
    <w:rsid w:val="00335CFD"/>
    <w:rsid w:val="00336792"/>
    <w:rsid w:val="00336C22"/>
    <w:rsid w:val="00336C95"/>
    <w:rsid w:val="00337925"/>
    <w:rsid w:val="00340208"/>
    <w:rsid w:val="003402EB"/>
    <w:rsid w:val="00340B2E"/>
    <w:rsid w:val="00340CA5"/>
    <w:rsid w:val="0034132B"/>
    <w:rsid w:val="0034248A"/>
    <w:rsid w:val="00342C80"/>
    <w:rsid w:val="00342DB9"/>
    <w:rsid w:val="00342F90"/>
    <w:rsid w:val="003430B7"/>
    <w:rsid w:val="003431C7"/>
    <w:rsid w:val="003435BE"/>
    <w:rsid w:val="003437C4"/>
    <w:rsid w:val="00343C2D"/>
    <w:rsid w:val="003441C2"/>
    <w:rsid w:val="00344DE0"/>
    <w:rsid w:val="00344F2A"/>
    <w:rsid w:val="00345345"/>
    <w:rsid w:val="00345776"/>
    <w:rsid w:val="003473E0"/>
    <w:rsid w:val="00350B81"/>
    <w:rsid w:val="00351108"/>
    <w:rsid w:val="00351A8A"/>
    <w:rsid w:val="00351B84"/>
    <w:rsid w:val="00352F9B"/>
    <w:rsid w:val="00352FF6"/>
    <w:rsid w:val="003535BB"/>
    <w:rsid w:val="00353C54"/>
    <w:rsid w:val="00354137"/>
    <w:rsid w:val="003548BF"/>
    <w:rsid w:val="00354917"/>
    <w:rsid w:val="0035497B"/>
    <w:rsid w:val="0035534F"/>
    <w:rsid w:val="00355AF0"/>
    <w:rsid w:val="0035616D"/>
    <w:rsid w:val="0035620E"/>
    <w:rsid w:val="00356338"/>
    <w:rsid w:val="00356EA0"/>
    <w:rsid w:val="003572D8"/>
    <w:rsid w:val="00357C5D"/>
    <w:rsid w:val="00357F43"/>
    <w:rsid w:val="003605AB"/>
    <w:rsid w:val="00360754"/>
    <w:rsid w:val="00360BDE"/>
    <w:rsid w:val="00360CA4"/>
    <w:rsid w:val="00361028"/>
    <w:rsid w:val="00362206"/>
    <w:rsid w:val="003630AD"/>
    <w:rsid w:val="00363496"/>
    <w:rsid w:val="00363C5F"/>
    <w:rsid w:val="00364298"/>
    <w:rsid w:val="003652E7"/>
    <w:rsid w:val="003654DB"/>
    <w:rsid w:val="00365D8C"/>
    <w:rsid w:val="00366565"/>
    <w:rsid w:val="003668C0"/>
    <w:rsid w:val="00366B41"/>
    <w:rsid w:val="00366C09"/>
    <w:rsid w:val="0036741F"/>
    <w:rsid w:val="00367450"/>
    <w:rsid w:val="003675F2"/>
    <w:rsid w:val="0036799A"/>
    <w:rsid w:val="00367D2E"/>
    <w:rsid w:val="003702F9"/>
    <w:rsid w:val="0037147C"/>
    <w:rsid w:val="00372E93"/>
    <w:rsid w:val="003731AC"/>
    <w:rsid w:val="003742CF"/>
    <w:rsid w:val="00374A97"/>
    <w:rsid w:val="00374BF1"/>
    <w:rsid w:val="00374D8C"/>
    <w:rsid w:val="00375460"/>
    <w:rsid w:val="00375B38"/>
    <w:rsid w:val="0037600C"/>
    <w:rsid w:val="003761AD"/>
    <w:rsid w:val="003766FC"/>
    <w:rsid w:val="003772A2"/>
    <w:rsid w:val="003773D0"/>
    <w:rsid w:val="00380182"/>
    <w:rsid w:val="003803A0"/>
    <w:rsid w:val="00380A05"/>
    <w:rsid w:val="00380AF8"/>
    <w:rsid w:val="003817C6"/>
    <w:rsid w:val="00381D8D"/>
    <w:rsid w:val="00381F2F"/>
    <w:rsid w:val="003825B3"/>
    <w:rsid w:val="00382ADA"/>
    <w:rsid w:val="0038317E"/>
    <w:rsid w:val="0038356A"/>
    <w:rsid w:val="00383BDD"/>
    <w:rsid w:val="0038439C"/>
    <w:rsid w:val="003844E4"/>
    <w:rsid w:val="00385C47"/>
    <w:rsid w:val="00386E42"/>
    <w:rsid w:val="00387CA3"/>
    <w:rsid w:val="00391689"/>
    <w:rsid w:val="003929CA"/>
    <w:rsid w:val="00393CD6"/>
    <w:rsid w:val="00393DAF"/>
    <w:rsid w:val="00393F2D"/>
    <w:rsid w:val="00394074"/>
    <w:rsid w:val="00394AB0"/>
    <w:rsid w:val="00394F74"/>
    <w:rsid w:val="0039503E"/>
    <w:rsid w:val="0039542E"/>
    <w:rsid w:val="0039697D"/>
    <w:rsid w:val="00396F22"/>
    <w:rsid w:val="00397FF0"/>
    <w:rsid w:val="003A0778"/>
    <w:rsid w:val="003A0AD0"/>
    <w:rsid w:val="003A17CF"/>
    <w:rsid w:val="003A1A34"/>
    <w:rsid w:val="003A2222"/>
    <w:rsid w:val="003A2A3C"/>
    <w:rsid w:val="003A2AA2"/>
    <w:rsid w:val="003A3114"/>
    <w:rsid w:val="003A41BC"/>
    <w:rsid w:val="003A4DD7"/>
    <w:rsid w:val="003A53A9"/>
    <w:rsid w:val="003A569A"/>
    <w:rsid w:val="003A5772"/>
    <w:rsid w:val="003A5794"/>
    <w:rsid w:val="003A5AE4"/>
    <w:rsid w:val="003A5B8A"/>
    <w:rsid w:val="003A5D09"/>
    <w:rsid w:val="003A6676"/>
    <w:rsid w:val="003A68CF"/>
    <w:rsid w:val="003A75A4"/>
    <w:rsid w:val="003A7BE6"/>
    <w:rsid w:val="003A7D4F"/>
    <w:rsid w:val="003B041D"/>
    <w:rsid w:val="003B056C"/>
    <w:rsid w:val="003B1896"/>
    <w:rsid w:val="003B299D"/>
    <w:rsid w:val="003B2A4E"/>
    <w:rsid w:val="003B3062"/>
    <w:rsid w:val="003B3FF6"/>
    <w:rsid w:val="003B418C"/>
    <w:rsid w:val="003B458F"/>
    <w:rsid w:val="003B5385"/>
    <w:rsid w:val="003B55FE"/>
    <w:rsid w:val="003B5716"/>
    <w:rsid w:val="003B5E77"/>
    <w:rsid w:val="003B630C"/>
    <w:rsid w:val="003B6711"/>
    <w:rsid w:val="003B6948"/>
    <w:rsid w:val="003B6E3F"/>
    <w:rsid w:val="003B709A"/>
    <w:rsid w:val="003B7F63"/>
    <w:rsid w:val="003C01B6"/>
    <w:rsid w:val="003C01EE"/>
    <w:rsid w:val="003C0394"/>
    <w:rsid w:val="003C0EAC"/>
    <w:rsid w:val="003C0FAF"/>
    <w:rsid w:val="003C2021"/>
    <w:rsid w:val="003C39BD"/>
    <w:rsid w:val="003C3AF9"/>
    <w:rsid w:val="003C3F30"/>
    <w:rsid w:val="003C481B"/>
    <w:rsid w:val="003C5E7E"/>
    <w:rsid w:val="003C62BE"/>
    <w:rsid w:val="003C6B89"/>
    <w:rsid w:val="003C724C"/>
    <w:rsid w:val="003C7B44"/>
    <w:rsid w:val="003D01E2"/>
    <w:rsid w:val="003D0B67"/>
    <w:rsid w:val="003D2620"/>
    <w:rsid w:val="003D2638"/>
    <w:rsid w:val="003D32E6"/>
    <w:rsid w:val="003D35B7"/>
    <w:rsid w:val="003D4FD5"/>
    <w:rsid w:val="003D5B5B"/>
    <w:rsid w:val="003D698B"/>
    <w:rsid w:val="003D6E14"/>
    <w:rsid w:val="003D7278"/>
    <w:rsid w:val="003D734C"/>
    <w:rsid w:val="003D79A1"/>
    <w:rsid w:val="003D7CC2"/>
    <w:rsid w:val="003E1386"/>
    <w:rsid w:val="003E3C68"/>
    <w:rsid w:val="003E3E1F"/>
    <w:rsid w:val="003E3F8C"/>
    <w:rsid w:val="003E4ED4"/>
    <w:rsid w:val="003E51DE"/>
    <w:rsid w:val="003E5A4D"/>
    <w:rsid w:val="003E5C85"/>
    <w:rsid w:val="003E5DFF"/>
    <w:rsid w:val="003E785F"/>
    <w:rsid w:val="003E7C8B"/>
    <w:rsid w:val="003E7FED"/>
    <w:rsid w:val="003F0386"/>
    <w:rsid w:val="003F074A"/>
    <w:rsid w:val="003F0D10"/>
    <w:rsid w:val="003F129D"/>
    <w:rsid w:val="003F1D3E"/>
    <w:rsid w:val="003F2002"/>
    <w:rsid w:val="003F2A00"/>
    <w:rsid w:val="003F2A75"/>
    <w:rsid w:val="003F31C5"/>
    <w:rsid w:val="003F424F"/>
    <w:rsid w:val="003F4875"/>
    <w:rsid w:val="003F4D11"/>
    <w:rsid w:val="003F521A"/>
    <w:rsid w:val="003F7014"/>
    <w:rsid w:val="003F789A"/>
    <w:rsid w:val="003F7FC7"/>
    <w:rsid w:val="00400DA9"/>
    <w:rsid w:val="0040124F"/>
    <w:rsid w:val="00401EA5"/>
    <w:rsid w:val="00401ECD"/>
    <w:rsid w:val="0040209C"/>
    <w:rsid w:val="00402464"/>
    <w:rsid w:val="00402DFA"/>
    <w:rsid w:val="004034EA"/>
    <w:rsid w:val="00403D01"/>
    <w:rsid w:val="004041D4"/>
    <w:rsid w:val="0040425C"/>
    <w:rsid w:val="004042D3"/>
    <w:rsid w:val="0040448C"/>
    <w:rsid w:val="0040461C"/>
    <w:rsid w:val="004048C5"/>
    <w:rsid w:val="0040495C"/>
    <w:rsid w:val="00405705"/>
    <w:rsid w:val="004057D1"/>
    <w:rsid w:val="00405998"/>
    <w:rsid w:val="00405B6F"/>
    <w:rsid w:val="0040675B"/>
    <w:rsid w:val="00406E0E"/>
    <w:rsid w:val="00406F5F"/>
    <w:rsid w:val="00407430"/>
    <w:rsid w:val="00407F93"/>
    <w:rsid w:val="0041066D"/>
    <w:rsid w:val="004111ED"/>
    <w:rsid w:val="0041131A"/>
    <w:rsid w:val="00411FC3"/>
    <w:rsid w:val="00412B3A"/>
    <w:rsid w:val="004130CE"/>
    <w:rsid w:val="004138A7"/>
    <w:rsid w:val="004146E4"/>
    <w:rsid w:val="00414873"/>
    <w:rsid w:val="004149E0"/>
    <w:rsid w:val="00414E2A"/>
    <w:rsid w:val="00414F80"/>
    <w:rsid w:val="00415094"/>
    <w:rsid w:val="00415561"/>
    <w:rsid w:val="00415A89"/>
    <w:rsid w:val="0041618F"/>
    <w:rsid w:val="004163DA"/>
    <w:rsid w:val="00417CB3"/>
    <w:rsid w:val="00417DF1"/>
    <w:rsid w:val="00420C96"/>
    <w:rsid w:val="00420C97"/>
    <w:rsid w:val="0042288E"/>
    <w:rsid w:val="004229A8"/>
    <w:rsid w:val="004231F9"/>
    <w:rsid w:val="00423343"/>
    <w:rsid w:val="004235AE"/>
    <w:rsid w:val="00423655"/>
    <w:rsid w:val="00423AC7"/>
    <w:rsid w:val="004244EF"/>
    <w:rsid w:val="0042455D"/>
    <w:rsid w:val="00424591"/>
    <w:rsid w:val="004245E1"/>
    <w:rsid w:val="00424CC9"/>
    <w:rsid w:val="00424CFC"/>
    <w:rsid w:val="00424EF3"/>
    <w:rsid w:val="0042538E"/>
    <w:rsid w:val="00425418"/>
    <w:rsid w:val="004266C1"/>
    <w:rsid w:val="00426A44"/>
    <w:rsid w:val="004277F4"/>
    <w:rsid w:val="004300AB"/>
    <w:rsid w:val="00430138"/>
    <w:rsid w:val="00430EF6"/>
    <w:rsid w:val="004313A0"/>
    <w:rsid w:val="00431554"/>
    <w:rsid w:val="0043224F"/>
    <w:rsid w:val="00432339"/>
    <w:rsid w:val="00432862"/>
    <w:rsid w:val="004333DD"/>
    <w:rsid w:val="004339A7"/>
    <w:rsid w:val="004345A7"/>
    <w:rsid w:val="00435079"/>
    <w:rsid w:val="004354F3"/>
    <w:rsid w:val="00435B16"/>
    <w:rsid w:val="00435CFE"/>
    <w:rsid w:val="0043637A"/>
    <w:rsid w:val="00436550"/>
    <w:rsid w:val="00436D39"/>
    <w:rsid w:val="004376F8"/>
    <w:rsid w:val="00437AA5"/>
    <w:rsid w:val="00437F33"/>
    <w:rsid w:val="00440A49"/>
    <w:rsid w:val="00440B1E"/>
    <w:rsid w:val="00440EB8"/>
    <w:rsid w:val="0044130A"/>
    <w:rsid w:val="004416C3"/>
    <w:rsid w:val="00441ED6"/>
    <w:rsid w:val="00442F5F"/>
    <w:rsid w:val="00443B90"/>
    <w:rsid w:val="00444172"/>
    <w:rsid w:val="0044446C"/>
    <w:rsid w:val="004445C1"/>
    <w:rsid w:val="00444B0B"/>
    <w:rsid w:val="00444D3F"/>
    <w:rsid w:val="00445077"/>
    <w:rsid w:val="0044625B"/>
    <w:rsid w:val="0044641A"/>
    <w:rsid w:val="004464AF"/>
    <w:rsid w:val="00446701"/>
    <w:rsid w:val="00446A03"/>
    <w:rsid w:val="00446C0C"/>
    <w:rsid w:val="004475D1"/>
    <w:rsid w:val="0044769F"/>
    <w:rsid w:val="00447A3A"/>
    <w:rsid w:val="00447F3C"/>
    <w:rsid w:val="00450141"/>
    <w:rsid w:val="00450379"/>
    <w:rsid w:val="00450DC1"/>
    <w:rsid w:val="00452BA3"/>
    <w:rsid w:val="00452D2C"/>
    <w:rsid w:val="00452EFA"/>
    <w:rsid w:val="00453375"/>
    <w:rsid w:val="004533B9"/>
    <w:rsid w:val="004533C7"/>
    <w:rsid w:val="004537B3"/>
    <w:rsid w:val="00453DDA"/>
    <w:rsid w:val="00454234"/>
    <w:rsid w:val="004545A3"/>
    <w:rsid w:val="00454981"/>
    <w:rsid w:val="00454D77"/>
    <w:rsid w:val="004552C9"/>
    <w:rsid w:val="00455AA2"/>
    <w:rsid w:val="00455EB0"/>
    <w:rsid w:val="00456B4C"/>
    <w:rsid w:val="00457584"/>
    <w:rsid w:val="00457653"/>
    <w:rsid w:val="00457E7E"/>
    <w:rsid w:val="0046075A"/>
    <w:rsid w:val="004613A7"/>
    <w:rsid w:val="00462436"/>
    <w:rsid w:val="00463251"/>
    <w:rsid w:val="004641B6"/>
    <w:rsid w:val="0046433E"/>
    <w:rsid w:val="00465398"/>
    <w:rsid w:val="00465C5E"/>
    <w:rsid w:val="00465D3F"/>
    <w:rsid w:val="004660B4"/>
    <w:rsid w:val="00467325"/>
    <w:rsid w:val="004676A8"/>
    <w:rsid w:val="0047074F"/>
    <w:rsid w:val="00470820"/>
    <w:rsid w:val="00471EF3"/>
    <w:rsid w:val="00472662"/>
    <w:rsid w:val="00474B1A"/>
    <w:rsid w:val="00475850"/>
    <w:rsid w:val="00475D43"/>
    <w:rsid w:val="00476B56"/>
    <w:rsid w:val="00480323"/>
    <w:rsid w:val="00480F69"/>
    <w:rsid w:val="00481EBF"/>
    <w:rsid w:val="004820CA"/>
    <w:rsid w:val="0048225D"/>
    <w:rsid w:val="00482B2E"/>
    <w:rsid w:val="004833DD"/>
    <w:rsid w:val="00483A35"/>
    <w:rsid w:val="004842D2"/>
    <w:rsid w:val="004842F2"/>
    <w:rsid w:val="00484675"/>
    <w:rsid w:val="00484923"/>
    <w:rsid w:val="004862EE"/>
    <w:rsid w:val="004868BC"/>
    <w:rsid w:val="004879C3"/>
    <w:rsid w:val="00487CDD"/>
    <w:rsid w:val="0049014E"/>
    <w:rsid w:val="0049027D"/>
    <w:rsid w:val="004907B3"/>
    <w:rsid w:val="00490A86"/>
    <w:rsid w:val="00490CBE"/>
    <w:rsid w:val="00492D0A"/>
    <w:rsid w:val="00492DE2"/>
    <w:rsid w:val="004936A4"/>
    <w:rsid w:val="004938EB"/>
    <w:rsid w:val="00494A14"/>
    <w:rsid w:val="0049666A"/>
    <w:rsid w:val="00497095"/>
    <w:rsid w:val="004A008D"/>
    <w:rsid w:val="004A0320"/>
    <w:rsid w:val="004A0364"/>
    <w:rsid w:val="004A0541"/>
    <w:rsid w:val="004A0BC3"/>
    <w:rsid w:val="004A11AE"/>
    <w:rsid w:val="004A127E"/>
    <w:rsid w:val="004A1934"/>
    <w:rsid w:val="004A1C2B"/>
    <w:rsid w:val="004A21BE"/>
    <w:rsid w:val="004A26A3"/>
    <w:rsid w:val="004A305D"/>
    <w:rsid w:val="004A343E"/>
    <w:rsid w:val="004A3B93"/>
    <w:rsid w:val="004A3D59"/>
    <w:rsid w:val="004A40AD"/>
    <w:rsid w:val="004A5081"/>
    <w:rsid w:val="004A50CE"/>
    <w:rsid w:val="004A5C2D"/>
    <w:rsid w:val="004A60FE"/>
    <w:rsid w:val="004A6191"/>
    <w:rsid w:val="004A66E7"/>
    <w:rsid w:val="004A6C71"/>
    <w:rsid w:val="004A6F2B"/>
    <w:rsid w:val="004A7059"/>
    <w:rsid w:val="004A74B8"/>
    <w:rsid w:val="004A753D"/>
    <w:rsid w:val="004A76A1"/>
    <w:rsid w:val="004A794C"/>
    <w:rsid w:val="004B000A"/>
    <w:rsid w:val="004B0F93"/>
    <w:rsid w:val="004B125C"/>
    <w:rsid w:val="004B146F"/>
    <w:rsid w:val="004B17FC"/>
    <w:rsid w:val="004B2008"/>
    <w:rsid w:val="004B2591"/>
    <w:rsid w:val="004B353D"/>
    <w:rsid w:val="004B481E"/>
    <w:rsid w:val="004B4A07"/>
    <w:rsid w:val="004B54AE"/>
    <w:rsid w:val="004B5CB7"/>
    <w:rsid w:val="004B6A7A"/>
    <w:rsid w:val="004B6A9E"/>
    <w:rsid w:val="004B74F2"/>
    <w:rsid w:val="004B7818"/>
    <w:rsid w:val="004B7EAA"/>
    <w:rsid w:val="004C07AF"/>
    <w:rsid w:val="004C0A02"/>
    <w:rsid w:val="004C1C0A"/>
    <w:rsid w:val="004C1D35"/>
    <w:rsid w:val="004C2052"/>
    <w:rsid w:val="004C2087"/>
    <w:rsid w:val="004C23F0"/>
    <w:rsid w:val="004C2603"/>
    <w:rsid w:val="004C2D8A"/>
    <w:rsid w:val="004C3FFC"/>
    <w:rsid w:val="004C4438"/>
    <w:rsid w:val="004C464F"/>
    <w:rsid w:val="004C4BC0"/>
    <w:rsid w:val="004C4EBD"/>
    <w:rsid w:val="004C5BDA"/>
    <w:rsid w:val="004C656A"/>
    <w:rsid w:val="004C67D3"/>
    <w:rsid w:val="004C6801"/>
    <w:rsid w:val="004C74F4"/>
    <w:rsid w:val="004C760A"/>
    <w:rsid w:val="004C7F90"/>
    <w:rsid w:val="004D0089"/>
    <w:rsid w:val="004D05E8"/>
    <w:rsid w:val="004D06F4"/>
    <w:rsid w:val="004D0CBE"/>
    <w:rsid w:val="004D0E08"/>
    <w:rsid w:val="004D1C4C"/>
    <w:rsid w:val="004D1D66"/>
    <w:rsid w:val="004D27A4"/>
    <w:rsid w:val="004D27C3"/>
    <w:rsid w:val="004D3106"/>
    <w:rsid w:val="004D4CA1"/>
    <w:rsid w:val="004D4CA7"/>
    <w:rsid w:val="004D528F"/>
    <w:rsid w:val="004D530F"/>
    <w:rsid w:val="004D532B"/>
    <w:rsid w:val="004D53AE"/>
    <w:rsid w:val="004D542C"/>
    <w:rsid w:val="004D5FDB"/>
    <w:rsid w:val="004D6DB3"/>
    <w:rsid w:val="004D70AC"/>
    <w:rsid w:val="004D77B5"/>
    <w:rsid w:val="004D78F8"/>
    <w:rsid w:val="004D7E68"/>
    <w:rsid w:val="004E061A"/>
    <w:rsid w:val="004E16C8"/>
    <w:rsid w:val="004E1B7A"/>
    <w:rsid w:val="004E2FB3"/>
    <w:rsid w:val="004E32C5"/>
    <w:rsid w:val="004E3E84"/>
    <w:rsid w:val="004E4296"/>
    <w:rsid w:val="004E44CF"/>
    <w:rsid w:val="004E57BA"/>
    <w:rsid w:val="004E5CA5"/>
    <w:rsid w:val="004E5CBF"/>
    <w:rsid w:val="004E6CC8"/>
    <w:rsid w:val="004E7CC4"/>
    <w:rsid w:val="004F0DDF"/>
    <w:rsid w:val="004F1055"/>
    <w:rsid w:val="004F1768"/>
    <w:rsid w:val="004F220F"/>
    <w:rsid w:val="004F266B"/>
    <w:rsid w:val="004F374F"/>
    <w:rsid w:val="004F3B70"/>
    <w:rsid w:val="004F3C83"/>
    <w:rsid w:val="004F4178"/>
    <w:rsid w:val="004F4462"/>
    <w:rsid w:val="004F553C"/>
    <w:rsid w:val="004F5EF0"/>
    <w:rsid w:val="004F5F36"/>
    <w:rsid w:val="004F5F81"/>
    <w:rsid w:val="004F7047"/>
    <w:rsid w:val="004F7506"/>
    <w:rsid w:val="004F7743"/>
    <w:rsid w:val="004F7DE3"/>
    <w:rsid w:val="0050191B"/>
    <w:rsid w:val="00502E86"/>
    <w:rsid w:val="0050387E"/>
    <w:rsid w:val="00503AAC"/>
    <w:rsid w:val="00503D4F"/>
    <w:rsid w:val="00504373"/>
    <w:rsid w:val="005046CC"/>
    <w:rsid w:val="00504975"/>
    <w:rsid w:val="00504FE8"/>
    <w:rsid w:val="00505018"/>
    <w:rsid w:val="0050512F"/>
    <w:rsid w:val="00505C1C"/>
    <w:rsid w:val="005063D5"/>
    <w:rsid w:val="00507134"/>
    <w:rsid w:val="00507DB9"/>
    <w:rsid w:val="0051084C"/>
    <w:rsid w:val="00510CAD"/>
    <w:rsid w:val="005110B8"/>
    <w:rsid w:val="00511676"/>
    <w:rsid w:val="00511C05"/>
    <w:rsid w:val="00512AD7"/>
    <w:rsid w:val="00512D33"/>
    <w:rsid w:val="005137C1"/>
    <w:rsid w:val="00513DCE"/>
    <w:rsid w:val="00513E4B"/>
    <w:rsid w:val="00514264"/>
    <w:rsid w:val="00514999"/>
    <w:rsid w:val="005155E7"/>
    <w:rsid w:val="00515890"/>
    <w:rsid w:val="005158E5"/>
    <w:rsid w:val="00515A81"/>
    <w:rsid w:val="00515B80"/>
    <w:rsid w:val="00515D05"/>
    <w:rsid w:val="00515F48"/>
    <w:rsid w:val="00516014"/>
    <w:rsid w:val="00516E1C"/>
    <w:rsid w:val="005172D0"/>
    <w:rsid w:val="00520943"/>
    <w:rsid w:val="00520D63"/>
    <w:rsid w:val="0052156C"/>
    <w:rsid w:val="005221A0"/>
    <w:rsid w:val="00522267"/>
    <w:rsid w:val="0052243E"/>
    <w:rsid w:val="005224D4"/>
    <w:rsid w:val="00522A70"/>
    <w:rsid w:val="005230E6"/>
    <w:rsid w:val="005234EC"/>
    <w:rsid w:val="00523546"/>
    <w:rsid w:val="00523869"/>
    <w:rsid w:val="005238DA"/>
    <w:rsid w:val="0052390C"/>
    <w:rsid w:val="00523A60"/>
    <w:rsid w:val="005243B7"/>
    <w:rsid w:val="00524653"/>
    <w:rsid w:val="00524EA6"/>
    <w:rsid w:val="0052544D"/>
    <w:rsid w:val="00525547"/>
    <w:rsid w:val="00525C84"/>
    <w:rsid w:val="005261DB"/>
    <w:rsid w:val="0052631F"/>
    <w:rsid w:val="00526844"/>
    <w:rsid w:val="00526CD8"/>
    <w:rsid w:val="005277AB"/>
    <w:rsid w:val="005279D2"/>
    <w:rsid w:val="00530399"/>
    <w:rsid w:val="00530AF3"/>
    <w:rsid w:val="00530B9A"/>
    <w:rsid w:val="00530E5A"/>
    <w:rsid w:val="0053132B"/>
    <w:rsid w:val="0053135C"/>
    <w:rsid w:val="005327DF"/>
    <w:rsid w:val="00532D16"/>
    <w:rsid w:val="00532DCE"/>
    <w:rsid w:val="005333BF"/>
    <w:rsid w:val="00533468"/>
    <w:rsid w:val="00533659"/>
    <w:rsid w:val="0053495A"/>
    <w:rsid w:val="005351F4"/>
    <w:rsid w:val="0053591A"/>
    <w:rsid w:val="00535EB2"/>
    <w:rsid w:val="00535FDE"/>
    <w:rsid w:val="0053647E"/>
    <w:rsid w:val="00536849"/>
    <w:rsid w:val="0053690B"/>
    <w:rsid w:val="00536ADC"/>
    <w:rsid w:val="005372B1"/>
    <w:rsid w:val="00537741"/>
    <w:rsid w:val="00537918"/>
    <w:rsid w:val="00537B9E"/>
    <w:rsid w:val="0054034D"/>
    <w:rsid w:val="005407D3"/>
    <w:rsid w:val="00540CC6"/>
    <w:rsid w:val="00540F1B"/>
    <w:rsid w:val="00543D3D"/>
    <w:rsid w:val="00543FC0"/>
    <w:rsid w:val="0054410D"/>
    <w:rsid w:val="0054453A"/>
    <w:rsid w:val="005445C8"/>
    <w:rsid w:val="00544A9A"/>
    <w:rsid w:val="00544CB5"/>
    <w:rsid w:val="00544D5E"/>
    <w:rsid w:val="00544DB2"/>
    <w:rsid w:val="00545278"/>
    <w:rsid w:val="00545726"/>
    <w:rsid w:val="00545BA2"/>
    <w:rsid w:val="00546188"/>
    <w:rsid w:val="00546459"/>
    <w:rsid w:val="0054673C"/>
    <w:rsid w:val="00546AC7"/>
    <w:rsid w:val="00546EC7"/>
    <w:rsid w:val="00547AC7"/>
    <w:rsid w:val="005509F9"/>
    <w:rsid w:val="00550A70"/>
    <w:rsid w:val="00551059"/>
    <w:rsid w:val="005511B9"/>
    <w:rsid w:val="00551BA3"/>
    <w:rsid w:val="00551E73"/>
    <w:rsid w:val="00555111"/>
    <w:rsid w:val="0055518C"/>
    <w:rsid w:val="00555B39"/>
    <w:rsid w:val="0055754B"/>
    <w:rsid w:val="0056073A"/>
    <w:rsid w:val="00560A9A"/>
    <w:rsid w:val="00560FD9"/>
    <w:rsid w:val="005612BD"/>
    <w:rsid w:val="005617E9"/>
    <w:rsid w:val="00562079"/>
    <w:rsid w:val="00563329"/>
    <w:rsid w:val="005635E0"/>
    <w:rsid w:val="0056379C"/>
    <w:rsid w:val="0056418F"/>
    <w:rsid w:val="0056457C"/>
    <w:rsid w:val="00564688"/>
    <w:rsid w:val="005647B3"/>
    <w:rsid w:val="00564CC9"/>
    <w:rsid w:val="00564EB6"/>
    <w:rsid w:val="00565065"/>
    <w:rsid w:val="00565408"/>
    <w:rsid w:val="00565D85"/>
    <w:rsid w:val="00566A92"/>
    <w:rsid w:val="0056765C"/>
    <w:rsid w:val="00567671"/>
    <w:rsid w:val="0057012C"/>
    <w:rsid w:val="00570293"/>
    <w:rsid w:val="00570337"/>
    <w:rsid w:val="00570AE2"/>
    <w:rsid w:val="00570E1B"/>
    <w:rsid w:val="0057125C"/>
    <w:rsid w:val="0057183E"/>
    <w:rsid w:val="00571EB5"/>
    <w:rsid w:val="00572597"/>
    <w:rsid w:val="00572CC4"/>
    <w:rsid w:val="005735C3"/>
    <w:rsid w:val="00573978"/>
    <w:rsid w:val="00573EB4"/>
    <w:rsid w:val="00573FE1"/>
    <w:rsid w:val="00574962"/>
    <w:rsid w:val="00577C6D"/>
    <w:rsid w:val="005801AF"/>
    <w:rsid w:val="005809C5"/>
    <w:rsid w:val="00580B1D"/>
    <w:rsid w:val="005811EE"/>
    <w:rsid w:val="00581763"/>
    <w:rsid w:val="0058277E"/>
    <w:rsid w:val="00582B3F"/>
    <w:rsid w:val="0058340D"/>
    <w:rsid w:val="005838EF"/>
    <w:rsid w:val="00583978"/>
    <w:rsid w:val="00584781"/>
    <w:rsid w:val="0058502E"/>
    <w:rsid w:val="00585422"/>
    <w:rsid w:val="00585615"/>
    <w:rsid w:val="00585B73"/>
    <w:rsid w:val="00585B7A"/>
    <w:rsid w:val="00586CE0"/>
    <w:rsid w:val="00586D98"/>
    <w:rsid w:val="00587080"/>
    <w:rsid w:val="005879F0"/>
    <w:rsid w:val="00587ED8"/>
    <w:rsid w:val="00587F49"/>
    <w:rsid w:val="0059001E"/>
    <w:rsid w:val="0059076A"/>
    <w:rsid w:val="005910D4"/>
    <w:rsid w:val="00591CEB"/>
    <w:rsid w:val="00592149"/>
    <w:rsid w:val="00592346"/>
    <w:rsid w:val="0059292F"/>
    <w:rsid w:val="0059349B"/>
    <w:rsid w:val="00593BBE"/>
    <w:rsid w:val="00593D10"/>
    <w:rsid w:val="00594964"/>
    <w:rsid w:val="00595783"/>
    <w:rsid w:val="00595814"/>
    <w:rsid w:val="00596091"/>
    <w:rsid w:val="00596C36"/>
    <w:rsid w:val="00597831"/>
    <w:rsid w:val="005A10EA"/>
    <w:rsid w:val="005A160F"/>
    <w:rsid w:val="005A1BDC"/>
    <w:rsid w:val="005A26D9"/>
    <w:rsid w:val="005A29DA"/>
    <w:rsid w:val="005A3242"/>
    <w:rsid w:val="005A3BEF"/>
    <w:rsid w:val="005A462B"/>
    <w:rsid w:val="005A48ED"/>
    <w:rsid w:val="005A4ADC"/>
    <w:rsid w:val="005A4DDA"/>
    <w:rsid w:val="005A53EC"/>
    <w:rsid w:val="005A594E"/>
    <w:rsid w:val="005A5FA8"/>
    <w:rsid w:val="005A6F51"/>
    <w:rsid w:val="005A7B09"/>
    <w:rsid w:val="005B2196"/>
    <w:rsid w:val="005B267A"/>
    <w:rsid w:val="005B2AA3"/>
    <w:rsid w:val="005B2B2F"/>
    <w:rsid w:val="005B3196"/>
    <w:rsid w:val="005B339C"/>
    <w:rsid w:val="005B3B20"/>
    <w:rsid w:val="005B4419"/>
    <w:rsid w:val="005B44F9"/>
    <w:rsid w:val="005B4A23"/>
    <w:rsid w:val="005B4D68"/>
    <w:rsid w:val="005B5AA0"/>
    <w:rsid w:val="005B5C63"/>
    <w:rsid w:val="005B5E08"/>
    <w:rsid w:val="005B5E6B"/>
    <w:rsid w:val="005B714A"/>
    <w:rsid w:val="005B7E1A"/>
    <w:rsid w:val="005B7E8B"/>
    <w:rsid w:val="005C08B7"/>
    <w:rsid w:val="005C1014"/>
    <w:rsid w:val="005C10EF"/>
    <w:rsid w:val="005C12C0"/>
    <w:rsid w:val="005C1784"/>
    <w:rsid w:val="005C1F84"/>
    <w:rsid w:val="005C1FD5"/>
    <w:rsid w:val="005C2197"/>
    <w:rsid w:val="005C2A92"/>
    <w:rsid w:val="005C2E9F"/>
    <w:rsid w:val="005C3426"/>
    <w:rsid w:val="005C369A"/>
    <w:rsid w:val="005C3EFC"/>
    <w:rsid w:val="005C42B2"/>
    <w:rsid w:val="005C482B"/>
    <w:rsid w:val="005C4D78"/>
    <w:rsid w:val="005C4D7E"/>
    <w:rsid w:val="005C5114"/>
    <w:rsid w:val="005C53C8"/>
    <w:rsid w:val="005C5743"/>
    <w:rsid w:val="005C5956"/>
    <w:rsid w:val="005C6B39"/>
    <w:rsid w:val="005C6FF7"/>
    <w:rsid w:val="005C706B"/>
    <w:rsid w:val="005C7504"/>
    <w:rsid w:val="005D0328"/>
    <w:rsid w:val="005D03D4"/>
    <w:rsid w:val="005D05B2"/>
    <w:rsid w:val="005D0BDD"/>
    <w:rsid w:val="005D1594"/>
    <w:rsid w:val="005D1A97"/>
    <w:rsid w:val="005D1FF9"/>
    <w:rsid w:val="005D3A98"/>
    <w:rsid w:val="005D40D8"/>
    <w:rsid w:val="005D52C2"/>
    <w:rsid w:val="005D5354"/>
    <w:rsid w:val="005D5A02"/>
    <w:rsid w:val="005D5CB8"/>
    <w:rsid w:val="005D64CD"/>
    <w:rsid w:val="005D6EBD"/>
    <w:rsid w:val="005D7BB5"/>
    <w:rsid w:val="005E033B"/>
    <w:rsid w:val="005E0B98"/>
    <w:rsid w:val="005E138D"/>
    <w:rsid w:val="005E14CF"/>
    <w:rsid w:val="005E182F"/>
    <w:rsid w:val="005E1BFF"/>
    <w:rsid w:val="005E1D66"/>
    <w:rsid w:val="005E3273"/>
    <w:rsid w:val="005E40F1"/>
    <w:rsid w:val="005E52A6"/>
    <w:rsid w:val="005E5609"/>
    <w:rsid w:val="005F1AA2"/>
    <w:rsid w:val="005F2339"/>
    <w:rsid w:val="005F2FA2"/>
    <w:rsid w:val="005F30E8"/>
    <w:rsid w:val="005F3646"/>
    <w:rsid w:val="005F3D4C"/>
    <w:rsid w:val="005F3E95"/>
    <w:rsid w:val="005F4A19"/>
    <w:rsid w:val="005F4E3B"/>
    <w:rsid w:val="005F56B5"/>
    <w:rsid w:val="005F5736"/>
    <w:rsid w:val="005F57CE"/>
    <w:rsid w:val="005F5A6A"/>
    <w:rsid w:val="005F5FC0"/>
    <w:rsid w:val="005F5FEA"/>
    <w:rsid w:val="005F6187"/>
    <w:rsid w:val="005F6746"/>
    <w:rsid w:val="005F7D90"/>
    <w:rsid w:val="005F7F5C"/>
    <w:rsid w:val="006002BA"/>
    <w:rsid w:val="00600560"/>
    <w:rsid w:val="006005BB"/>
    <w:rsid w:val="00600799"/>
    <w:rsid w:val="00600A86"/>
    <w:rsid w:val="00600F1C"/>
    <w:rsid w:val="00602389"/>
    <w:rsid w:val="006024E3"/>
    <w:rsid w:val="0060327F"/>
    <w:rsid w:val="00603544"/>
    <w:rsid w:val="006040DF"/>
    <w:rsid w:val="0060506C"/>
    <w:rsid w:val="0060555D"/>
    <w:rsid w:val="00605759"/>
    <w:rsid w:val="006064C7"/>
    <w:rsid w:val="00607E62"/>
    <w:rsid w:val="006101ED"/>
    <w:rsid w:val="00610511"/>
    <w:rsid w:val="00610A2E"/>
    <w:rsid w:val="00612714"/>
    <w:rsid w:val="00612EC3"/>
    <w:rsid w:val="00613977"/>
    <w:rsid w:val="00614F55"/>
    <w:rsid w:val="006161F4"/>
    <w:rsid w:val="006162FE"/>
    <w:rsid w:val="00616C66"/>
    <w:rsid w:val="00617393"/>
    <w:rsid w:val="00617A39"/>
    <w:rsid w:val="00617E9C"/>
    <w:rsid w:val="00620C13"/>
    <w:rsid w:val="00620C99"/>
    <w:rsid w:val="00621690"/>
    <w:rsid w:val="00621EF7"/>
    <w:rsid w:val="0062202E"/>
    <w:rsid w:val="00622B5E"/>
    <w:rsid w:val="006231EC"/>
    <w:rsid w:val="00624ECD"/>
    <w:rsid w:val="00625336"/>
    <w:rsid w:val="0062542D"/>
    <w:rsid w:val="00627217"/>
    <w:rsid w:val="006305FE"/>
    <w:rsid w:val="006307E4"/>
    <w:rsid w:val="006315AD"/>
    <w:rsid w:val="006319A2"/>
    <w:rsid w:val="00631D35"/>
    <w:rsid w:val="00631F75"/>
    <w:rsid w:val="0063292E"/>
    <w:rsid w:val="0063294D"/>
    <w:rsid w:val="00632B1A"/>
    <w:rsid w:val="00632F88"/>
    <w:rsid w:val="00633B87"/>
    <w:rsid w:val="00633D8F"/>
    <w:rsid w:val="00633FE1"/>
    <w:rsid w:val="00634DC7"/>
    <w:rsid w:val="0063501D"/>
    <w:rsid w:val="006357E1"/>
    <w:rsid w:val="00636CD6"/>
    <w:rsid w:val="00636CEE"/>
    <w:rsid w:val="006379AD"/>
    <w:rsid w:val="006405BB"/>
    <w:rsid w:val="006406C6"/>
    <w:rsid w:val="00640889"/>
    <w:rsid w:val="00640CF4"/>
    <w:rsid w:val="0064196C"/>
    <w:rsid w:val="006437BC"/>
    <w:rsid w:val="00643995"/>
    <w:rsid w:val="00643C19"/>
    <w:rsid w:val="006450C6"/>
    <w:rsid w:val="00645197"/>
    <w:rsid w:val="0064533C"/>
    <w:rsid w:val="00645B64"/>
    <w:rsid w:val="00645E66"/>
    <w:rsid w:val="00646685"/>
    <w:rsid w:val="00646B76"/>
    <w:rsid w:val="00646ED4"/>
    <w:rsid w:val="006471B5"/>
    <w:rsid w:val="00650576"/>
    <w:rsid w:val="00650CA2"/>
    <w:rsid w:val="00650D98"/>
    <w:rsid w:val="00651442"/>
    <w:rsid w:val="006514D8"/>
    <w:rsid w:val="006541EE"/>
    <w:rsid w:val="006542D4"/>
    <w:rsid w:val="00654CC8"/>
    <w:rsid w:val="00655341"/>
    <w:rsid w:val="0065639D"/>
    <w:rsid w:val="006566C1"/>
    <w:rsid w:val="00657325"/>
    <w:rsid w:val="0065791B"/>
    <w:rsid w:val="00657BFA"/>
    <w:rsid w:val="00657CF8"/>
    <w:rsid w:val="006601A0"/>
    <w:rsid w:val="0066023A"/>
    <w:rsid w:val="006604FD"/>
    <w:rsid w:val="00660AFB"/>
    <w:rsid w:val="00660B59"/>
    <w:rsid w:val="00661427"/>
    <w:rsid w:val="0066227F"/>
    <w:rsid w:val="00662AE4"/>
    <w:rsid w:val="00662C86"/>
    <w:rsid w:val="0066387D"/>
    <w:rsid w:val="0066430D"/>
    <w:rsid w:val="00665632"/>
    <w:rsid w:val="006664A0"/>
    <w:rsid w:val="00666FFF"/>
    <w:rsid w:val="0066711C"/>
    <w:rsid w:val="006675E0"/>
    <w:rsid w:val="0066771C"/>
    <w:rsid w:val="0067038F"/>
    <w:rsid w:val="0067058C"/>
    <w:rsid w:val="00671ED5"/>
    <w:rsid w:val="0067222D"/>
    <w:rsid w:val="00672495"/>
    <w:rsid w:val="0067304A"/>
    <w:rsid w:val="00673246"/>
    <w:rsid w:val="00673610"/>
    <w:rsid w:val="00674280"/>
    <w:rsid w:val="0067548D"/>
    <w:rsid w:val="0067563C"/>
    <w:rsid w:val="00676E90"/>
    <w:rsid w:val="00677225"/>
    <w:rsid w:val="00677D7E"/>
    <w:rsid w:val="006804BD"/>
    <w:rsid w:val="00680724"/>
    <w:rsid w:val="00680C63"/>
    <w:rsid w:val="00681518"/>
    <w:rsid w:val="00681844"/>
    <w:rsid w:val="00682533"/>
    <w:rsid w:val="00683AF8"/>
    <w:rsid w:val="006862D4"/>
    <w:rsid w:val="00686F00"/>
    <w:rsid w:val="00687ACF"/>
    <w:rsid w:val="00690534"/>
    <w:rsid w:val="006916BE"/>
    <w:rsid w:val="00691B66"/>
    <w:rsid w:val="006926DF"/>
    <w:rsid w:val="00693789"/>
    <w:rsid w:val="0069382C"/>
    <w:rsid w:val="006941B1"/>
    <w:rsid w:val="0069466D"/>
    <w:rsid w:val="00694CB3"/>
    <w:rsid w:val="00695658"/>
    <w:rsid w:val="006956B3"/>
    <w:rsid w:val="0069570D"/>
    <w:rsid w:val="0069633D"/>
    <w:rsid w:val="00697209"/>
    <w:rsid w:val="00697B8A"/>
    <w:rsid w:val="006A068E"/>
    <w:rsid w:val="006A0771"/>
    <w:rsid w:val="006A0FA3"/>
    <w:rsid w:val="006A19BA"/>
    <w:rsid w:val="006A1F7F"/>
    <w:rsid w:val="006A338C"/>
    <w:rsid w:val="006A3472"/>
    <w:rsid w:val="006A3A77"/>
    <w:rsid w:val="006A3BDD"/>
    <w:rsid w:val="006A4302"/>
    <w:rsid w:val="006A433B"/>
    <w:rsid w:val="006A4456"/>
    <w:rsid w:val="006A479B"/>
    <w:rsid w:val="006A485D"/>
    <w:rsid w:val="006A504E"/>
    <w:rsid w:val="006A52DE"/>
    <w:rsid w:val="006A5541"/>
    <w:rsid w:val="006A6891"/>
    <w:rsid w:val="006A6A10"/>
    <w:rsid w:val="006A6B7E"/>
    <w:rsid w:val="006A70F6"/>
    <w:rsid w:val="006A73FE"/>
    <w:rsid w:val="006A79E4"/>
    <w:rsid w:val="006A7AC5"/>
    <w:rsid w:val="006B0254"/>
    <w:rsid w:val="006B0A88"/>
    <w:rsid w:val="006B1642"/>
    <w:rsid w:val="006B2475"/>
    <w:rsid w:val="006B25AD"/>
    <w:rsid w:val="006B3995"/>
    <w:rsid w:val="006B4F6E"/>
    <w:rsid w:val="006B5A60"/>
    <w:rsid w:val="006B6110"/>
    <w:rsid w:val="006B61A7"/>
    <w:rsid w:val="006B707C"/>
    <w:rsid w:val="006B736B"/>
    <w:rsid w:val="006B7941"/>
    <w:rsid w:val="006C0979"/>
    <w:rsid w:val="006C1C65"/>
    <w:rsid w:val="006C1DA6"/>
    <w:rsid w:val="006C24E7"/>
    <w:rsid w:val="006C37D7"/>
    <w:rsid w:val="006C3BF3"/>
    <w:rsid w:val="006C4240"/>
    <w:rsid w:val="006C437D"/>
    <w:rsid w:val="006C6168"/>
    <w:rsid w:val="006C65B1"/>
    <w:rsid w:val="006C68E7"/>
    <w:rsid w:val="006C7274"/>
    <w:rsid w:val="006C788D"/>
    <w:rsid w:val="006D00EE"/>
    <w:rsid w:val="006D0203"/>
    <w:rsid w:val="006D0318"/>
    <w:rsid w:val="006D0AD7"/>
    <w:rsid w:val="006D10AD"/>
    <w:rsid w:val="006D1518"/>
    <w:rsid w:val="006D1FA2"/>
    <w:rsid w:val="006D2ED5"/>
    <w:rsid w:val="006D3318"/>
    <w:rsid w:val="006D50C4"/>
    <w:rsid w:val="006D6544"/>
    <w:rsid w:val="006D677A"/>
    <w:rsid w:val="006D68B2"/>
    <w:rsid w:val="006D6941"/>
    <w:rsid w:val="006D7325"/>
    <w:rsid w:val="006D76BA"/>
    <w:rsid w:val="006D77D2"/>
    <w:rsid w:val="006E0387"/>
    <w:rsid w:val="006E09D9"/>
    <w:rsid w:val="006E0B4D"/>
    <w:rsid w:val="006E0B6C"/>
    <w:rsid w:val="006E0B72"/>
    <w:rsid w:val="006E1125"/>
    <w:rsid w:val="006E1704"/>
    <w:rsid w:val="006E17EF"/>
    <w:rsid w:val="006E18FB"/>
    <w:rsid w:val="006E1B96"/>
    <w:rsid w:val="006E2443"/>
    <w:rsid w:val="006E25C4"/>
    <w:rsid w:val="006E266F"/>
    <w:rsid w:val="006E3AE2"/>
    <w:rsid w:val="006E3BE9"/>
    <w:rsid w:val="006E3E6A"/>
    <w:rsid w:val="006E3EB1"/>
    <w:rsid w:val="006E43F3"/>
    <w:rsid w:val="006E500D"/>
    <w:rsid w:val="006E5CE4"/>
    <w:rsid w:val="006E64EA"/>
    <w:rsid w:val="006E6521"/>
    <w:rsid w:val="006E65BA"/>
    <w:rsid w:val="006E79CC"/>
    <w:rsid w:val="006E7C65"/>
    <w:rsid w:val="006E7D0F"/>
    <w:rsid w:val="006F0151"/>
    <w:rsid w:val="006F0A2F"/>
    <w:rsid w:val="006F12D3"/>
    <w:rsid w:val="006F1684"/>
    <w:rsid w:val="006F1C4B"/>
    <w:rsid w:val="006F24EE"/>
    <w:rsid w:val="006F25EC"/>
    <w:rsid w:val="006F2ACC"/>
    <w:rsid w:val="006F2CCA"/>
    <w:rsid w:val="006F3DAB"/>
    <w:rsid w:val="006F3ECA"/>
    <w:rsid w:val="006F3F3F"/>
    <w:rsid w:val="006F4630"/>
    <w:rsid w:val="006F483C"/>
    <w:rsid w:val="006F4D14"/>
    <w:rsid w:val="006F50C2"/>
    <w:rsid w:val="006F54C5"/>
    <w:rsid w:val="006F584D"/>
    <w:rsid w:val="006F5A28"/>
    <w:rsid w:val="006F78C8"/>
    <w:rsid w:val="006F7F3C"/>
    <w:rsid w:val="0070079F"/>
    <w:rsid w:val="0070083F"/>
    <w:rsid w:val="00700CCA"/>
    <w:rsid w:val="00700DC2"/>
    <w:rsid w:val="0070110B"/>
    <w:rsid w:val="0070138C"/>
    <w:rsid w:val="007017D7"/>
    <w:rsid w:val="007018C3"/>
    <w:rsid w:val="00701BC4"/>
    <w:rsid w:val="00702412"/>
    <w:rsid w:val="007033DA"/>
    <w:rsid w:val="007034D3"/>
    <w:rsid w:val="0070379A"/>
    <w:rsid w:val="00703BB4"/>
    <w:rsid w:val="007041F9"/>
    <w:rsid w:val="00705AE9"/>
    <w:rsid w:val="00705DF5"/>
    <w:rsid w:val="00706997"/>
    <w:rsid w:val="00706B0C"/>
    <w:rsid w:val="00706BA0"/>
    <w:rsid w:val="00707171"/>
    <w:rsid w:val="00707351"/>
    <w:rsid w:val="00710333"/>
    <w:rsid w:val="007108FC"/>
    <w:rsid w:val="0071118A"/>
    <w:rsid w:val="007112D7"/>
    <w:rsid w:val="007114C8"/>
    <w:rsid w:val="00711941"/>
    <w:rsid w:val="00711C18"/>
    <w:rsid w:val="00711E71"/>
    <w:rsid w:val="00712224"/>
    <w:rsid w:val="00712F3A"/>
    <w:rsid w:val="00713841"/>
    <w:rsid w:val="00713902"/>
    <w:rsid w:val="007140CB"/>
    <w:rsid w:val="007148C9"/>
    <w:rsid w:val="0071509A"/>
    <w:rsid w:val="007152EF"/>
    <w:rsid w:val="00715325"/>
    <w:rsid w:val="007154FA"/>
    <w:rsid w:val="007157DD"/>
    <w:rsid w:val="007157F8"/>
    <w:rsid w:val="007167EA"/>
    <w:rsid w:val="00716D83"/>
    <w:rsid w:val="00720033"/>
    <w:rsid w:val="00720494"/>
    <w:rsid w:val="007204C1"/>
    <w:rsid w:val="00721B34"/>
    <w:rsid w:val="00724426"/>
    <w:rsid w:val="00724492"/>
    <w:rsid w:val="007244B0"/>
    <w:rsid w:val="00724FF0"/>
    <w:rsid w:val="007252AF"/>
    <w:rsid w:val="00725CDF"/>
    <w:rsid w:val="00726046"/>
    <w:rsid w:val="00727839"/>
    <w:rsid w:val="00727B43"/>
    <w:rsid w:val="00727C61"/>
    <w:rsid w:val="007302EB"/>
    <w:rsid w:val="00730594"/>
    <w:rsid w:val="007306F1"/>
    <w:rsid w:val="00730D4C"/>
    <w:rsid w:val="007313A3"/>
    <w:rsid w:val="00731E43"/>
    <w:rsid w:val="00732356"/>
    <w:rsid w:val="00732A2E"/>
    <w:rsid w:val="00733AC9"/>
    <w:rsid w:val="00733D48"/>
    <w:rsid w:val="007349AF"/>
    <w:rsid w:val="00735461"/>
    <w:rsid w:val="00735F90"/>
    <w:rsid w:val="007364AC"/>
    <w:rsid w:val="00736698"/>
    <w:rsid w:val="00736F90"/>
    <w:rsid w:val="00737263"/>
    <w:rsid w:val="00737F92"/>
    <w:rsid w:val="007403DE"/>
    <w:rsid w:val="00740E75"/>
    <w:rsid w:val="007411E6"/>
    <w:rsid w:val="00741652"/>
    <w:rsid w:val="00741B46"/>
    <w:rsid w:val="00743C35"/>
    <w:rsid w:val="00743E55"/>
    <w:rsid w:val="00743FCF"/>
    <w:rsid w:val="00744031"/>
    <w:rsid w:val="00744689"/>
    <w:rsid w:val="00744A3A"/>
    <w:rsid w:val="00744B1A"/>
    <w:rsid w:val="00744DF6"/>
    <w:rsid w:val="00744EA4"/>
    <w:rsid w:val="007450F7"/>
    <w:rsid w:val="007457CE"/>
    <w:rsid w:val="00745CC0"/>
    <w:rsid w:val="007464AD"/>
    <w:rsid w:val="00746790"/>
    <w:rsid w:val="00746A49"/>
    <w:rsid w:val="00746DFD"/>
    <w:rsid w:val="00747913"/>
    <w:rsid w:val="007479F6"/>
    <w:rsid w:val="0075118B"/>
    <w:rsid w:val="007518F4"/>
    <w:rsid w:val="00751B47"/>
    <w:rsid w:val="0075254F"/>
    <w:rsid w:val="00752A2F"/>
    <w:rsid w:val="00752E6D"/>
    <w:rsid w:val="00753F9B"/>
    <w:rsid w:val="0075400B"/>
    <w:rsid w:val="007540B4"/>
    <w:rsid w:val="00754A02"/>
    <w:rsid w:val="0075523B"/>
    <w:rsid w:val="00755A00"/>
    <w:rsid w:val="007570F7"/>
    <w:rsid w:val="007578D9"/>
    <w:rsid w:val="00760192"/>
    <w:rsid w:val="007607B4"/>
    <w:rsid w:val="00760927"/>
    <w:rsid w:val="00760C66"/>
    <w:rsid w:val="007614A2"/>
    <w:rsid w:val="00761D29"/>
    <w:rsid w:val="00761ED3"/>
    <w:rsid w:val="00762136"/>
    <w:rsid w:val="00762387"/>
    <w:rsid w:val="00762B09"/>
    <w:rsid w:val="00762FF6"/>
    <w:rsid w:val="0076327B"/>
    <w:rsid w:val="00763282"/>
    <w:rsid w:val="007634E4"/>
    <w:rsid w:val="00764140"/>
    <w:rsid w:val="00764371"/>
    <w:rsid w:val="00764672"/>
    <w:rsid w:val="00764934"/>
    <w:rsid w:val="00764D05"/>
    <w:rsid w:val="00764DD4"/>
    <w:rsid w:val="00765453"/>
    <w:rsid w:val="00766678"/>
    <w:rsid w:val="00767E67"/>
    <w:rsid w:val="00770BEA"/>
    <w:rsid w:val="00770CB0"/>
    <w:rsid w:val="007710A1"/>
    <w:rsid w:val="0077149C"/>
    <w:rsid w:val="007714CD"/>
    <w:rsid w:val="00771BAC"/>
    <w:rsid w:val="00771F33"/>
    <w:rsid w:val="00772441"/>
    <w:rsid w:val="0077244C"/>
    <w:rsid w:val="007726C8"/>
    <w:rsid w:val="007741E4"/>
    <w:rsid w:val="00775778"/>
    <w:rsid w:val="007757C0"/>
    <w:rsid w:val="0077638C"/>
    <w:rsid w:val="00776927"/>
    <w:rsid w:val="00776A09"/>
    <w:rsid w:val="00777253"/>
    <w:rsid w:val="0078066F"/>
    <w:rsid w:val="00781228"/>
    <w:rsid w:val="00782D13"/>
    <w:rsid w:val="00783B8D"/>
    <w:rsid w:val="0078476E"/>
    <w:rsid w:val="00784CDB"/>
    <w:rsid w:val="00785966"/>
    <w:rsid w:val="00785A7F"/>
    <w:rsid w:val="007862DB"/>
    <w:rsid w:val="00786A2F"/>
    <w:rsid w:val="00786BDE"/>
    <w:rsid w:val="007871C6"/>
    <w:rsid w:val="00787A26"/>
    <w:rsid w:val="00787E44"/>
    <w:rsid w:val="007909B9"/>
    <w:rsid w:val="00790FFD"/>
    <w:rsid w:val="0079140E"/>
    <w:rsid w:val="007917E5"/>
    <w:rsid w:val="007923A6"/>
    <w:rsid w:val="00792AC1"/>
    <w:rsid w:val="00793377"/>
    <w:rsid w:val="00794157"/>
    <w:rsid w:val="007952A3"/>
    <w:rsid w:val="007968D7"/>
    <w:rsid w:val="007975C3"/>
    <w:rsid w:val="00797A75"/>
    <w:rsid w:val="007A0039"/>
    <w:rsid w:val="007A0C3D"/>
    <w:rsid w:val="007A1A3B"/>
    <w:rsid w:val="007A1C47"/>
    <w:rsid w:val="007A23CA"/>
    <w:rsid w:val="007A252A"/>
    <w:rsid w:val="007A2722"/>
    <w:rsid w:val="007A2FC4"/>
    <w:rsid w:val="007A2FEF"/>
    <w:rsid w:val="007A3340"/>
    <w:rsid w:val="007A3A0E"/>
    <w:rsid w:val="007A3A6D"/>
    <w:rsid w:val="007A47D4"/>
    <w:rsid w:val="007A4B10"/>
    <w:rsid w:val="007A541E"/>
    <w:rsid w:val="007A5567"/>
    <w:rsid w:val="007A58FE"/>
    <w:rsid w:val="007A660F"/>
    <w:rsid w:val="007A6818"/>
    <w:rsid w:val="007A69F5"/>
    <w:rsid w:val="007A6AD6"/>
    <w:rsid w:val="007A6B25"/>
    <w:rsid w:val="007A6E7A"/>
    <w:rsid w:val="007A7794"/>
    <w:rsid w:val="007B275C"/>
    <w:rsid w:val="007B28D4"/>
    <w:rsid w:val="007B2CC6"/>
    <w:rsid w:val="007B31BB"/>
    <w:rsid w:val="007B43E8"/>
    <w:rsid w:val="007B5B1C"/>
    <w:rsid w:val="007B6036"/>
    <w:rsid w:val="007B610E"/>
    <w:rsid w:val="007B6E09"/>
    <w:rsid w:val="007B731C"/>
    <w:rsid w:val="007B750C"/>
    <w:rsid w:val="007B7A50"/>
    <w:rsid w:val="007C00BA"/>
    <w:rsid w:val="007C0309"/>
    <w:rsid w:val="007C03A7"/>
    <w:rsid w:val="007C0EDC"/>
    <w:rsid w:val="007C0F05"/>
    <w:rsid w:val="007C100D"/>
    <w:rsid w:val="007C1525"/>
    <w:rsid w:val="007C2459"/>
    <w:rsid w:val="007C3190"/>
    <w:rsid w:val="007C325C"/>
    <w:rsid w:val="007C3B45"/>
    <w:rsid w:val="007C47F4"/>
    <w:rsid w:val="007C4DFD"/>
    <w:rsid w:val="007C53CF"/>
    <w:rsid w:val="007C56DF"/>
    <w:rsid w:val="007C5D2C"/>
    <w:rsid w:val="007C62C2"/>
    <w:rsid w:val="007C6420"/>
    <w:rsid w:val="007C6438"/>
    <w:rsid w:val="007C6DFE"/>
    <w:rsid w:val="007C6F52"/>
    <w:rsid w:val="007C7B3E"/>
    <w:rsid w:val="007C7DCE"/>
    <w:rsid w:val="007D0CF9"/>
    <w:rsid w:val="007D15B2"/>
    <w:rsid w:val="007D2A3E"/>
    <w:rsid w:val="007D3050"/>
    <w:rsid w:val="007D41D0"/>
    <w:rsid w:val="007D43A8"/>
    <w:rsid w:val="007D4B43"/>
    <w:rsid w:val="007D50CD"/>
    <w:rsid w:val="007D5174"/>
    <w:rsid w:val="007D52C3"/>
    <w:rsid w:val="007D5402"/>
    <w:rsid w:val="007D5C3C"/>
    <w:rsid w:val="007D6BC4"/>
    <w:rsid w:val="007D76CA"/>
    <w:rsid w:val="007D7C39"/>
    <w:rsid w:val="007E0445"/>
    <w:rsid w:val="007E04AE"/>
    <w:rsid w:val="007E09F0"/>
    <w:rsid w:val="007E0ABF"/>
    <w:rsid w:val="007E0E59"/>
    <w:rsid w:val="007E0F41"/>
    <w:rsid w:val="007E1B2B"/>
    <w:rsid w:val="007E1BB0"/>
    <w:rsid w:val="007E1E12"/>
    <w:rsid w:val="007E3AA1"/>
    <w:rsid w:val="007E4307"/>
    <w:rsid w:val="007E456B"/>
    <w:rsid w:val="007E496D"/>
    <w:rsid w:val="007E5B9B"/>
    <w:rsid w:val="007E5F6C"/>
    <w:rsid w:val="007E6695"/>
    <w:rsid w:val="007E6F91"/>
    <w:rsid w:val="007E77E0"/>
    <w:rsid w:val="007E7959"/>
    <w:rsid w:val="007F012F"/>
    <w:rsid w:val="007F0453"/>
    <w:rsid w:val="007F141B"/>
    <w:rsid w:val="007F1A06"/>
    <w:rsid w:val="007F23FC"/>
    <w:rsid w:val="007F25D6"/>
    <w:rsid w:val="007F2739"/>
    <w:rsid w:val="007F32C0"/>
    <w:rsid w:val="007F3615"/>
    <w:rsid w:val="007F3D6E"/>
    <w:rsid w:val="007F3E6C"/>
    <w:rsid w:val="007F4812"/>
    <w:rsid w:val="007F6806"/>
    <w:rsid w:val="007F6A38"/>
    <w:rsid w:val="007F7323"/>
    <w:rsid w:val="007F7A2A"/>
    <w:rsid w:val="007F7FD2"/>
    <w:rsid w:val="00800392"/>
    <w:rsid w:val="00800613"/>
    <w:rsid w:val="00800696"/>
    <w:rsid w:val="00800BA6"/>
    <w:rsid w:val="00800BC4"/>
    <w:rsid w:val="00800F26"/>
    <w:rsid w:val="0080204F"/>
    <w:rsid w:val="00802C97"/>
    <w:rsid w:val="0080355F"/>
    <w:rsid w:val="00804213"/>
    <w:rsid w:val="00804282"/>
    <w:rsid w:val="00804726"/>
    <w:rsid w:val="00804FBA"/>
    <w:rsid w:val="00805FEE"/>
    <w:rsid w:val="008067FE"/>
    <w:rsid w:val="008103F9"/>
    <w:rsid w:val="008107DE"/>
    <w:rsid w:val="00810BEC"/>
    <w:rsid w:val="00810E95"/>
    <w:rsid w:val="00811132"/>
    <w:rsid w:val="00811811"/>
    <w:rsid w:val="00811B7C"/>
    <w:rsid w:val="00812712"/>
    <w:rsid w:val="00813F59"/>
    <w:rsid w:val="0081474E"/>
    <w:rsid w:val="008147B3"/>
    <w:rsid w:val="00815C15"/>
    <w:rsid w:val="00816576"/>
    <w:rsid w:val="0081681D"/>
    <w:rsid w:val="0081694D"/>
    <w:rsid w:val="00820696"/>
    <w:rsid w:val="00820B5C"/>
    <w:rsid w:val="008218F5"/>
    <w:rsid w:val="00822578"/>
    <w:rsid w:val="008226A9"/>
    <w:rsid w:val="00822794"/>
    <w:rsid w:val="008227E1"/>
    <w:rsid w:val="00822AD8"/>
    <w:rsid w:val="00823EB5"/>
    <w:rsid w:val="008243F6"/>
    <w:rsid w:val="008245CA"/>
    <w:rsid w:val="00824F0C"/>
    <w:rsid w:val="0082577A"/>
    <w:rsid w:val="0082681D"/>
    <w:rsid w:val="008269C2"/>
    <w:rsid w:val="00826EE6"/>
    <w:rsid w:val="00826FA4"/>
    <w:rsid w:val="00827F36"/>
    <w:rsid w:val="00830C63"/>
    <w:rsid w:val="00831AEA"/>
    <w:rsid w:val="008326C7"/>
    <w:rsid w:val="008326F0"/>
    <w:rsid w:val="00832A84"/>
    <w:rsid w:val="00832F42"/>
    <w:rsid w:val="008340FB"/>
    <w:rsid w:val="008352FB"/>
    <w:rsid w:val="0083539A"/>
    <w:rsid w:val="0083543F"/>
    <w:rsid w:val="00835540"/>
    <w:rsid w:val="008355E8"/>
    <w:rsid w:val="0083601C"/>
    <w:rsid w:val="008362BA"/>
    <w:rsid w:val="008370B1"/>
    <w:rsid w:val="00837147"/>
    <w:rsid w:val="008371E1"/>
    <w:rsid w:val="00837619"/>
    <w:rsid w:val="00837866"/>
    <w:rsid w:val="00837916"/>
    <w:rsid w:val="008379E9"/>
    <w:rsid w:val="008419B0"/>
    <w:rsid w:val="00841ABD"/>
    <w:rsid w:val="00841AC6"/>
    <w:rsid w:val="00842503"/>
    <w:rsid w:val="00842A14"/>
    <w:rsid w:val="00843051"/>
    <w:rsid w:val="0084336C"/>
    <w:rsid w:val="00843A35"/>
    <w:rsid w:val="00843D02"/>
    <w:rsid w:val="00844501"/>
    <w:rsid w:val="00844E3F"/>
    <w:rsid w:val="0084625A"/>
    <w:rsid w:val="008466E0"/>
    <w:rsid w:val="0084674E"/>
    <w:rsid w:val="00846EA9"/>
    <w:rsid w:val="00847B2B"/>
    <w:rsid w:val="00847D07"/>
    <w:rsid w:val="00847EB3"/>
    <w:rsid w:val="00850329"/>
    <w:rsid w:val="008507F8"/>
    <w:rsid w:val="00850C47"/>
    <w:rsid w:val="008513EB"/>
    <w:rsid w:val="00852283"/>
    <w:rsid w:val="00852642"/>
    <w:rsid w:val="00852CFF"/>
    <w:rsid w:val="00853A9A"/>
    <w:rsid w:val="00853B07"/>
    <w:rsid w:val="00854663"/>
    <w:rsid w:val="00854B62"/>
    <w:rsid w:val="00854FA0"/>
    <w:rsid w:val="0085682B"/>
    <w:rsid w:val="008575DD"/>
    <w:rsid w:val="00857C22"/>
    <w:rsid w:val="00857E20"/>
    <w:rsid w:val="0086174C"/>
    <w:rsid w:val="008618C1"/>
    <w:rsid w:val="00862156"/>
    <w:rsid w:val="00862615"/>
    <w:rsid w:val="00862636"/>
    <w:rsid w:val="0086275B"/>
    <w:rsid w:val="008629DD"/>
    <w:rsid w:val="00863397"/>
    <w:rsid w:val="00863AF3"/>
    <w:rsid w:val="008645D7"/>
    <w:rsid w:val="00864B1F"/>
    <w:rsid w:val="00865131"/>
    <w:rsid w:val="008651E7"/>
    <w:rsid w:val="0086673E"/>
    <w:rsid w:val="0086677E"/>
    <w:rsid w:val="00866823"/>
    <w:rsid w:val="00866E2F"/>
    <w:rsid w:val="008672DB"/>
    <w:rsid w:val="008675A0"/>
    <w:rsid w:val="008675F9"/>
    <w:rsid w:val="00870325"/>
    <w:rsid w:val="008703FA"/>
    <w:rsid w:val="00870A19"/>
    <w:rsid w:val="00871594"/>
    <w:rsid w:val="008729F9"/>
    <w:rsid w:val="00872CF2"/>
    <w:rsid w:val="00872F7D"/>
    <w:rsid w:val="0087353E"/>
    <w:rsid w:val="008738BD"/>
    <w:rsid w:val="00873E9F"/>
    <w:rsid w:val="0087477E"/>
    <w:rsid w:val="008748DD"/>
    <w:rsid w:val="00874E69"/>
    <w:rsid w:val="008750B4"/>
    <w:rsid w:val="0087525E"/>
    <w:rsid w:val="00875389"/>
    <w:rsid w:val="008756F3"/>
    <w:rsid w:val="00875DDA"/>
    <w:rsid w:val="00876228"/>
    <w:rsid w:val="008762F8"/>
    <w:rsid w:val="00876690"/>
    <w:rsid w:val="00876C59"/>
    <w:rsid w:val="00876E22"/>
    <w:rsid w:val="00876E8A"/>
    <w:rsid w:val="00877E86"/>
    <w:rsid w:val="00880398"/>
    <w:rsid w:val="00881196"/>
    <w:rsid w:val="00881977"/>
    <w:rsid w:val="00882321"/>
    <w:rsid w:val="008824EE"/>
    <w:rsid w:val="00882773"/>
    <w:rsid w:val="00882828"/>
    <w:rsid w:val="00882E71"/>
    <w:rsid w:val="00883236"/>
    <w:rsid w:val="0088342A"/>
    <w:rsid w:val="00883A86"/>
    <w:rsid w:val="00884803"/>
    <w:rsid w:val="00886798"/>
    <w:rsid w:val="00886911"/>
    <w:rsid w:val="0088787C"/>
    <w:rsid w:val="008879A7"/>
    <w:rsid w:val="00887F81"/>
    <w:rsid w:val="00890999"/>
    <w:rsid w:val="0089135B"/>
    <w:rsid w:val="008914CC"/>
    <w:rsid w:val="008918C2"/>
    <w:rsid w:val="0089305B"/>
    <w:rsid w:val="0089311F"/>
    <w:rsid w:val="008937D3"/>
    <w:rsid w:val="008939DA"/>
    <w:rsid w:val="00895065"/>
    <w:rsid w:val="008958D4"/>
    <w:rsid w:val="00895B94"/>
    <w:rsid w:val="00896448"/>
    <w:rsid w:val="00897BAE"/>
    <w:rsid w:val="008A0079"/>
    <w:rsid w:val="008A042D"/>
    <w:rsid w:val="008A093D"/>
    <w:rsid w:val="008A09B1"/>
    <w:rsid w:val="008A0F63"/>
    <w:rsid w:val="008A1293"/>
    <w:rsid w:val="008A166A"/>
    <w:rsid w:val="008A2E4D"/>
    <w:rsid w:val="008A34FD"/>
    <w:rsid w:val="008A394F"/>
    <w:rsid w:val="008A3E4D"/>
    <w:rsid w:val="008A3FF3"/>
    <w:rsid w:val="008A44FE"/>
    <w:rsid w:val="008A48C9"/>
    <w:rsid w:val="008A4D37"/>
    <w:rsid w:val="008A4DDE"/>
    <w:rsid w:val="008A4F3A"/>
    <w:rsid w:val="008A52D4"/>
    <w:rsid w:val="008A58C8"/>
    <w:rsid w:val="008A6611"/>
    <w:rsid w:val="008A6684"/>
    <w:rsid w:val="008A6C99"/>
    <w:rsid w:val="008A6DBF"/>
    <w:rsid w:val="008A7035"/>
    <w:rsid w:val="008A7516"/>
    <w:rsid w:val="008A79DF"/>
    <w:rsid w:val="008B0790"/>
    <w:rsid w:val="008B091D"/>
    <w:rsid w:val="008B0942"/>
    <w:rsid w:val="008B0946"/>
    <w:rsid w:val="008B0F2E"/>
    <w:rsid w:val="008B0F84"/>
    <w:rsid w:val="008B150A"/>
    <w:rsid w:val="008B1A3A"/>
    <w:rsid w:val="008B1D2A"/>
    <w:rsid w:val="008B248F"/>
    <w:rsid w:val="008B338B"/>
    <w:rsid w:val="008B3BA5"/>
    <w:rsid w:val="008B5D4A"/>
    <w:rsid w:val="008B5E88"/>
    <w:rsid w:val="008B65D3"/>
    <w:rsid w:val="008B68F8"/>
    <w:rsid w:val="008B6CFB"/>
    <w:rsid w:val="008C0D63"/>
    <w:rsid w:val="008C0EF4"/>
    <w:rsid w:val="008C20F8"/>
    <w:rsid w:val="008C24A4"/>
    <w:rsid w:val="008C3161"/>
    <w:rsid w:val="008C356D"/>
    <w:rsid w:val="008C3A14"/>
    <w:rsid w:val="008C3C55"/>
    <w:rsid w:val="008C4047"/>
    <w:rsid w:val="008C4245"/>
    <w:rsid w:val="008C4933"/>
    <w:rsid w:val="008C4974"/>
    <w:rsid w:val="008C49B5"/>
    <w:rsid w:val="008C4C94"/>
    <w:rsid w:val="008C515F"/>
    <w:rsid w:val="008C58C3"/>
    <w:rsid w:val="008C6C3E"/>
    <w:rsid w:val="008C79C9"/>
    <w:rsid w:val="008D02F9"/>
    <w:rsid w:val="008D0320"/>
    <w:rsid w:val="008D06ED"/>
    <w:rsid w:val="008D0C05"/>
    <w:rsid w:val="008D113E"/>
    <w:rsid w:val="008D170C"/>
    <w:rsid w:val="008D19BD"/>
    <w:rsid w:val="008D1AFA"/>
    <w:rsid w:val="008D1D17"/>
    <w:rsid w:val="008D27A9"/>
    <w:rsid w:val="008D292B"/>
    <w:rsid w:val="008D36BA"/>
    <w:rsid w:val="008D3D68"/>
    <w:rsid w:val="008D4339"/>
    <w:rsid w:val="008D45B3"/>
    <w:rsid w:val="008D4D5E"/>
    <w:rsid w:val="008D546F"/>
    <w:rsid w:val="008D5D09"/>
    <w:rsid w:val="008D77F9"/>
    <w:rsid w:val="008D7FCC"/>
    <w:rsid w:val="008E053E"/>
    <w:rsid w:val="008E0DCF"/>
    <w:rsid w:val="008E2305"/>
    <w:rsid w:val="008E248A"/>
    <w:rsid w:val="008E2FC2"/>
    <w:rsid w:val="008E3E28"/>
    <w:rsid w:val="008E423B"/>
    <w:rsid w:val="008E42E9"/>
    <w:rsid w:val="008E456C"/>
    <w:rsid w:val="008E486D"/>
    <w:rsid w:val="008E48E4"/>
    <w:rsid w:val="008E524C"/>
    <w:rsid w:val="008E5B1A"/>
    <w:rsid w:val="008E61AF"/>
    <w:rsid w:val="008E664C"/>
    <w:rsid w:val="008E74FA"/>
    <w:rsid w:val="008E7E09"/>
    <w:rsid w:val="008F022D"/>
    <w:rsid w:val="008F045D"/>
    <w:rsid w:val="008F0982"/>
    <w:rsid w:val="008F0D9A"/>
    <w:rsid w:val="008F10AB"/>
    <w:rsid w:val="008F12BE"/>
    <w:rsid w:val="008F1B09"/>
    <w:rsid w:val="008F1F64"/>
    <w:rsid w:val="008F2177"/>
    <w:rsid w:val="008F24F5"/>
    <w:rsid w:val="008F287B"/>
    <w:rsid w:val="008F39B4"/>
    <w:rsid w:val="008F4B31"/>
    <w:rsid w:val="008F521B"/>
    <w:rsid w:val="008F5910"/>
    <w:rsid w:val="008F6F0C"/>
    <w:rsid w:val="00900AC3"/>
    <w:rsid w:val="00900C1A"/>
    <w:rsid w:val="00901CA3"/>
    <w:rsid w:val="00902B72"/>
    <w:rsid w:val="00902CD2"/>
    <w:rsid w:val="009033D0"/>
    <w:rsid w:val="00903CE6"/>
    <w:rsid w:val="00903D2C"/>
    <w:rsid w:val="009043C3"/>
    <w:rsid w:val="009043F6"/>
    <w:rsid w:val="00905C61"/>
    <w:rsid w:val="0090611F"/>
    <w:rsid w:val="00906479"/>
    <w:rsid w:val="00906C36"/>
    <w:rsid w:val="00906CE3"/>
    <w:rsid w:val="009073E8"/>
    <w:rsid w:val="009077AE"/>
    <w:rsid w:val="009078EC"/>
    <w:rsid w:val="00907B2F"/>
    <w:rsid w:val="0091016F"/>
    <w:rsid w:val="0091030D"/>
    <w:rsid w:val="0091097B"/>
    <w:rsid w:val="00910C50"/>
    <w:rsid w:val="00911540"/>
    <w:rsid w:val="00911D8F"/>
    <w:rsid w:val="00911EF2"/>
    <w:rsid w:val="009121D7"/>
    <w:rsid w:val="009125C4"/>
    <w:rsid w:val="0091288D"/>
    <w:rsid w:val="00912BEB"/>
    <w:rsid w:val="00912D19"/>
    <w:rsid w:val="00913141"/>
    <w:rsid w:val="009139A6"/>
    <w:rsid w:val="00913C44"/>
    <w:rsid w:val="009147FD"/>
    <w:rsid w:val="0091518D"/>
    <w:rsid w:val="00915C9F"/>
    <w:rsid w:val="00916291"/>
    <w:rsid w:val="009162A6"/>
    <w:rsid w:val="0091658F"/>
    <w:rsid w:val="0091717E"/>
    <w:rsid w:val="0091779E"/>
    <w:rsid w:val="00920337"/>
    <w:rsid w:val="009205C9"/>
    <w:rsid w:val="0092063A"/>
    <w:rsid w:val="00921BCE"/>
    <w:rsid w:val="00922D7A"/>
    <w:rsid w:val="00923708"/>
    <w:rsid w:val="009238A9"/>
    <w:rsid w:val="009238FD"/>
    <w:rsid w:val="00924919"/>
    <w:rsid w:val="00925092"/>
    <w:rsid w:val="009258B9"/>
    <w:rsid w:val="00925972"/>
    <w:rsid w:val="00925A7E"/>
    <w:rsid w:val="00925CEB"/>
    <w:rsid w:val="00926C9B"/>
    <w:rsid w:val="00927919"/>
    <w:rsid w:val="009306D0"/>
    <w:rsid w:val="00930E5B"/>
    <w:rsid w:val="00931EE9"/>
    <w:rsid w:val="00931EEA"/>
    <w:rsid w:val="00932049"/>
    <w:rsid w:val="0093299F"/>
    <w:rsid w:val="00932EAB"/>
    <w:rsid w:val="0093339C"/>
    <w:rsid w:val="009333B5"/>
    <w:rsid w:val="009338F8"/>
    <w:rsid w:val="00933D56"/>
    <w:rsid w:val="009341C2"/>
    <w:rsid w:val="00934337"/>
    <w:rsid w:val="00935C3A"/>
    <w:rsid w:val="009365E7"/>
    <w:rsid w:val="00937128"/>
    <w:rsid w:val="00940378"/>
    <w:rsid w:val="00940965"/>
    <w:rsid w:val="00941697"/>
    <w:rsid w:val="0094196D"/>
    <w:rsid w:val="009420E9"/>
    <w:rsid w:val="009424A8"/>
    <w:rsid w:val="00942631"/>
    <w:rsid w:val="00943146"/>
    <w:rsid w:val="00945922"/>
    <w:rsid w:val="00945DFF"/>
    <w:rsid w:val="009461A4"/>
    <w:rsid w:val="009467D8"/>
    <w:rsid w:val="009467EE"/>
    <w:rsid w:val="00946EDF"/>
    <w:rsid w:val="0094773D"/>
    <w:rsid w:val="00947D2E"/>
    <w:rsid w:val="00947E3F"/>
    <w:rsid w:val="00950581"/>
    <w:rsid w:val="00950C06"/>
    <w:rsid w:val="00950FA7"/>
    <w:rsid w:val="00951347"/>
    <w:rsid w:val="0095184B"/>
    <w:rsid w:val="00951F7B"/>
    <w:rsid w:val="009527D8"/>
    <w:rsid w:val="00952B9E"/>
    <w:rsid w:val="00953427"/>
    <w:rsid w:val="00954929"/>
    <w:rsid w:val="00954B75"/>
    <w:rsid w:val="00954E36"/>
    <w:rsid w:val="009557DD"/>
    <w:rsid w:val="009558B4"/>
    <w:rsid w:val="00955B6D"/>
    <w:rsid w:val="00955BBE"/>
    <w:rsid w:val="0095618D"/>
    <w:rsid w:val="00956563"/>
    <w:rsid w:val="00956665"/>
    <w:rsid w:val="009568D8"/>
    <w:rsid w:val="009572EA"/>
    <w:rsid w:val="009575F9"/>
    <w:rsid w:val="00957827"/>
    <w:rsid w:val="009604A1"/>
    <w:rsid w:val="00960A1C"/>
    <w:rsid w:val="00960B8D"/>
    <w:rsid w:val="00961228"/>
    <w:rsid w:val="009616A6"/>
    <w:rsid w:val="00962BBE"/>
    <w:rsid w:val="00964074"/>
    <w:rsid w:val="00964404"/>
    <w:rsid w:val="00964B20"/>
    <w:rsid w:val="00964B92"/>
    <w:rsid w:val="00964DE3"/>
    <w:rsid w:val="009653A5"/>
    <w:rsid w:val="0096610E"/>
    <w:rsid w:val="00966548"/>
    <w:rsid w:val="00966784"/>
    <w:rsid w:val="00966863"/>
    <w:rsid w:val="009671F3"/>
    <w:rsid w:val="00967786"/>
    <w:rsid w:val="00967BF3"/>
    <w:rsid w:val="00970019"/>
    <w:rsid w:val="00970242"/>
    <w:rsid w:val="00971B79"/>
    <w:rsid w:val="00971BAC"/>
    <w:rsid w:val="009734D3"/>
    <w:rsid w:val="00973911"/>
    <w:rsid w:val="009739A6"/>
    <w:rsid w:val="0097507E"/>
    <w:rsid w:val="0097756A"/>
    <w:rsid w:val="0098026D"/>
    <w:rsid w:val="009808B7"/>
    <w:rsid w:val="00980967"/>
    <w:rsid w:val="00980B62"/>
    <w:rsid w:val="00980DA7"/>
    <w:rsid w:val="00980ECF"/>
    <w:rsid w:val="00980EE3"/>
    <w:rsid w:val="00980F27"/>
    <w:rsid w:val="00980FE0"/>
    <w:rsid w:val="00981872"/>
    <w:rsid w:val="009824AF"/>
    <w:rsid w:val="0098280B"/>
    <w:rsid w:val="00982ECC"/>
    <w:rsid w:val="009830C1"/>
    <w:rsid w:val="00983363"/>
    <w:rsid w:val="00983FA0"/>
    <w:rsid w:val="009841CB"/>
    <w:rsid w:val="00984D47"/>
    <w:rsid w:val="00985506"/>
    <w:rsid w:val="00985E7E"/>
    <w:rsid w:val="0098618D"/>
    <w:rsid w:val="00986790"/>
    <w:rsid w:val="009869D6"/>
    <w:rsid w:val="00986FA4"/>
    <w:rsid w:val="009876F8"/>
    <w:rsid w:val="0098773D"/>
    <w:rsid w:val="00987E84"/>
    <w:rsid w:val="009901C4"/>
    <w:rsid w:val="009902F8"/>
    <w:rsid w:val="009906A7"/>
    <w:rsid w:val="00990C82"/>
    <w:rsid w:val="0099168C"/>
    <w:rsid w:val="00991F17"/>
    <w:rsid w:val="009921CA"/>
    <w:rsid w:val="0099327E"/>
    <w:rsid w:val="0099354E"/>
    <w:rsid w:val="00993842"/>
    <w:rsid w:val="00993956"/>
    <w:rsid w:val="00994918"/>
    <w:rsid w:val="00994D69"/>
    <w:rsid w:val="009953C1"/>
    <w:rsid w:val="00995486"/>
    <w:rsid w:val="00995E34"/>
    <w:rsid w:val="0099613B"/>
    <w:rsid w:val="00996E41"/>
    <w:rsid w:val="00997746"/>
    <w:rsid w:val="009A0A04"/>
    <w:rsid w:val="009A0C24"/>
    <w:rsid w:val="009A12D5"/>
    <w:rsid w:val="009A18D9"/>
    <w:rsid w:val="009A266D"/>
    <w:rsid w:val="009A2E75"/>
    <w:rsid w:val="009A3468"/>
    <w:rsid w:val="009A3549"/>
    <w:rsid w:val="009A48B9"/>
    <w:rsid w:val="009A4AC8"/>
    <w:rsid w:val="009A515F"/>
    <w:rsid w:val="009A51DA"/>
    <w:rsid w:val="009A573F"/>
    <w:rsid w:val="009A620A"/>
    <w:rsid w:val="009A658C"/>
    <w:rsid w:val="009A6938"/>
    <w:rsid w:val="009A6B27"/>
    <w:rsid w:val="009A6C55"/>
    <w:rsid w:val="009A7AA5"/>
    <w:rsid w:val="009A7B6E"/>
    <w:rsid w:val="009A7C15"/>
    <w:rsid w:val="009A7D0C"/>
    <w:rsid w:val="009B0D63"/>
    <w:rsid w:val="009B34BD"/>
    <w:rsid w:val="009B389B"/>
    <w:rsid w:val="009B38DB"/>
    <w:rsid w:val="009B4855"/>
    <w:rsid w:val="009B54A2"/>
    <w:rsid w:val="009B60C3"/>
    <w:rsid w:val="009B6273"/>
    <w:rsid w:val="009B78C6"/>
    <w:rsid w:val="009B7E1F"/>
    <w:rsid w:val="009C056C"/>
    <w:rsid w:val="009C0947"/>
    <w:rsid w:val="009C0AA1"/>
    <w:rsid w:val="009C1CD2"/>
    <w:rsid w:val="009C2EAD"/>
    <w:rsid w:val="009C3584"/>
    <w:rsid w:val="009C52C6"/>
    <w:rsid w:val="009C632E"/>
    <w:rsid w:val="009C6588"/>
    <w:rsid w:val="009C65A5"/>
    <w:rsid w:val="009C6AF6"/>
    <w:rsid w:val="009C6BE9"/>
    <w:rsid w:val="009C748B"/>
    <w:rsid w:val="009C7874"/>
    <w:rsid w:val="009C7A04"/>
    <w:rsid w:val="009C7E11"/>
    <w:rsid w:val="009D0443"/>
    <w:rsid w:val="009D0717"/>
    <w:rsid w:val="009D0910"/>
    <w:rsid w:val="009D097D"/>
    <w:rsid w:val="009D0D5F"/>
    <w:rsid w:val="009D0F69"/>
    <w:rsid w:val="009D0FB6"/>
    <w:rsid w:val="009D1CDB"/>
    <w:rsid w:val="009D1F9F"/>
    <w:rsid w:val="009D2229"/>
    <w:rsid w:val="009D2B20"/>
    <w:rsid w:val="009D2C6C"/>
    <w:rsid w:val="009D2EF8"/>
    <w:rsid w:val="009D31DF"/>
    <w:rsid w:val="009D3273"/>
    <w:rsid w:val="009D34DB"/>
    <w:rsid w:val="009D3677"/>
    <w:rsid w:val="009D482A"/>
    <w:rsid w:val="009D49F2"/>
    <w:rsid w:val="009D5281"/>
    <w:rsid w:val="009D5D9F"/>
    <w:rsid w:val="009D650C"/>
    <w:rsid w:val="009D66FF"/>
    <w:rsid w:val="009D6797"/>
    <w:rsid w:val="009D6EF0"/>
    <w:rsid w:val="009D7059"/>
    <w:rsid w:val="009E03CE"/>
    <w:rsid w:val="009E0A13"/>
    <w:rsid w:val="009E0A3C"/>
    <w:rsid w:val="009E12F2"/>
    <w:rsid w:val="009E1386"/>
    <w:rsid w:val="009E14A7"/>
    <w:rsid w:val="009E177D"/>
    <w:rsid w:val="009E1811"/>
    <w:rsid w:val="009E1856"/>
    <w:rsid w:val="009E218F"/>
    <w:rsid w:val="009E26CD"/>
    <w:rsid w:val="009E2AFE"/>
    <w:rsid w:val="009E2C15"/>
    <w:rsid w:val="009E3750"/>
    <w:rsid w:val="009E4641"/>
    <w:rsid w:val="009E470E"/>
    <w:rsid w:val="009E49A6"/>
    <w:rsid w:val="009E51EE"/>
    <w:rsid w:val="009E53E9"/>
    <w:rsid w:val="009E5D7F"/>
    <w:rsid w:val="009E7DDA"/>
    <w:rsid w:val="009F0B03"/>
    <w:rsid w:val="009F1241"/>
    <w:rsid w:val="009F1E31"/>
    <w:rsid w:val="009F1FC4"/>
    <w:rsid w:val="009F23D8"/>
    <w:rsid w:val="009F259A"/>
    <w:rsid w:val="009F31E5"/>
    <w:rsid w:val="009F3E95"/>
    <w:rsid w:val="009F46E6"/>
    <w:rsid w:val="009F5AC2"/>
    <w:rsid w:val="009F5AEF"/>
    <w:rsid w:val="009F5B7C"/>
    <w:rsid w:val="009F5C6C"/>
    <w:rsid w:val="009F5DA3"/>
    <w:rsid w:val="009F5E16"/>
    <w:rsid w:val="009F5E77"/>
    <w:rsid w:val="009F73C2"/>
    <w:rsid w:val="009F7828"/>
    <w:rsid w:val="009F7B7D"/>
    <w:rsid w:val="00A000DA"/>
    <w:rsid w:val="00A00A38"/>
    <w:rsid w:val="00A00B47"/>
    <w:rsid w:val="00A0139D"/>
    <w:rsid w:val="00A0169E"/>
    <w:rsid w:val="00A01A9B"/>
    <w:rsid w:val="00A01BAC"/>
    <w:rsid w:val="00A01E63"/>
    <w:rsid w:val="00A0265B"/>
    <w:rsid w:val="00A03327"/>
    <w:rsid w:val="00A03336"/>
    <w:rsid w:val="00A03562"/>
    <w:rsid w:val="00A040C4"/>
    <w:rsid w:val="00A0413E"/>
    <w:rsid w:val="00A0423C"/>
    <w:rsid w:val="00A04381"/>
    <w:rsid w:val="00A04C1A"/>
    <w:rsid w:val="00A05516"/>
    <w:rsid w:val="00A05BE4"/>
    <w:rsid w:val="00A05D8A"/>
    <w:rsid w:val="00A0637B"/>
    <w:rsid w:val="00A067CB"/>
    <w:rsid w:val="00A0680A"/>
    <w:rsid w:val="00A06A90"/>
    <w:rsid w:val="00A06FB0"/>
    <w:rsid w:val="00A10858"/>
    <w:rsid w:val="00A11314"/>
    <w:rsid w:val="00A11481"/>
    <w:rsid w:val="00A11A21"/>
    <w:rsid w:val="00A11CA2"/>
    <w:rsid w:val="00A1276D"/>
    <w:rsid w:val="00A12E98"/>
    <w:rsid w:val="00A13DED"/>
    <w:rsid w:val="00A143CC"/>
    <w:rsid w:val="00A14552"/>
    <w:rsid w:val="00A14582"/>
    <w:rsid w:val="00A15175"/>
    <w:rsid w:val="00A152B5"/>
    <w:rsid w:val="00A1547B"/>
    <w:rsid w:val="00A15FC5"/>
    <w:rsid w:val="00A16202"/>
    <w:rsid w:val="00A16AA7"/>
    <w:rsid w:val="00A17EE7"/>
    <w:rsid w:val="00A20637"/>
    <w:rsid w:val="00A20BC6"/>
    <w:rsid w:val="00A2173F"/>
    <w:rsid w:val="00A217B7"/>
    <w:rsid w:val="00A217C5"/>
    <w:rsid w:val="00A2189B"/>
    <w:rsid w:val="00A22078"/>
    <w:rsid w:val="00A221C9"/>
    <w:rsid w:val="00A22B03"/>
    <w:rsid w:val="00A2332B"/>
    <w:rsid w:val="00A243CE"/>
    <w:rsid w:val="00A249C7"/>
    <w:rsid w:val="00A25152"/>
    <w:rsid w:val="00A258E9"/>
    <w:rsid w:val="00A25E51"/>
    <w:rsid w:val="00A26282"/>
    <w:rsid w:val="00A26505"/>
    <w:rsid w:val="00A26701"/>
    <w:rsid w:val="00A27701"/>
    <w:rsid w:val="00A27EDA"/>
    <w:rsid w:val="00A30249"/>
    <w:rsid w:val="00A30668"/>
    <w:rsid w:val="00A30877"/>
    <w:rsid w:val="00A308A6"/>
    <w:rsid w:val="00A30A4B"/>
    <w:rsid w:val="00A30AEF"/>
    <w:rsid w:val="00A3147B"/>
    <w:rsid w:val="00A31733"/>
    <w:rsid w:val="00A3180E"/>
    <w:rsid w:val="00A31D4D"/>
    <w:rsid w:val="00A31FEE"/>
    <w:rsid w:val="00A32844"/>
    <w:rsid w:val="00A32B43"/>
    <w:rsid w:val="00A32DEE"/>
    <w:rsid w:val="00A32FDB"/>
    <w:rsid w:val="00A3325B"/>
    <w:rsid w:val="00A33B17"/>
    <w:rsid w:val="00A34050"/>
    <w:rsid w:val="00A34F46"/>
    <w:rsid w:val="00A35222"/>
    <w:rsid w:val="00A363D1"/>
    <w:rsid w:val="00A37A60"/>
    <w:rsid w:val="00A404EC"/>
    <w:rsid w:val="00A40906"/>
    <w:rsid w:val="00A40D44"/>
    <w:rsid w:val="00A413DE"/>
    <w:rsid w:val="00A41719"/>
    <w:rsid w:val="00A41F78"/>
    <w:rsid w:val="00A432B8"/>
    <w:rsid w:val="00A43FD2"/>
    <w:rsid w:val="00A43FE3"/>
    <w:rsid w:val="00A4463B"/>
    <w:rsid w:val="00A45313"/>
    <w:rsid w:val="00A4538C"/>
    <w:rsid w:val="00A460BA"/>
    <w:rsid w:val="00A46C49"/>
    <w:rsid w:val="00A46E29"/>
    <w:rsid w:val="00A47086"/>
    <w:rsid w:val="00A4709B"/>
    <w:rsid w:val="00A50449"/>
    <w:rsid w:val="00A50C27"/>
    <w:rsid w:val="00A50ED3"/>
    <w:rsid w:val="00A50FEF"/>
    <w:rsid w:val="00A516F3"/>
    <w:rsid w:val="00A51A0B"/>
    <w:rsid w:val="00A51B04"/>
    <w:rsid w:val="00A51F21"/>
    <w:rsid w:val="00A52694"/>
    <w:rsid w:val="00A53499"/>
    <w:rsid w:val="00A53CE4"/>
    <w:rsid w:val="00A549E7"/>
    <w:rsid w:val="00A54A3F"/>
    <w:rsid w:val="00A56022"/>
    <w:rsid w:val="00A5615A"/>
    <w:rsid w:val="00A5687E"/>
    <w:rsid w:val="00A56898"/>
    <w:rsid w:val="00A57E57"/>
    <w:rsid w:val="00A601F1"/>
    <w:rsid w:val="00A606D8"/>
    <w:rsid w:val="00A60817"/>
    <w:rsid w:val="00A6083D"/>
    <w:rsid w:val="00A60B2D"/>
    <w:rsid w:val="00A61230"/>
    <w:rsid w:val="00A619A4"/>
    <w:rsid w:val="00A62C12"/>
    <w:rsid w:val="00A62DB2"/>
    <w:rsid w:val="00A6308A"/>
    <w:rsid w:val="00A6402A"/>
    <w:rsid w:val="00A64AE2"/>
    <w:rsid w:val="00A64EF1"/>
    <w:rsid w:val="00A66C09"/>
    <w:rsid w:val="00A67103"/>
    <w:rsid w:val="00A67930"/>
    <w:rsid w:val="00A67D25"/>
    <w:rsid w:val="00A71BF3"/>
    <w:rsid w:val="00A730F2"/>
    <w:rsid w:val="00A73523"/>
    <w:rsid w:val="00A7394A"/>
    <w:rsid w:val="00A73F21"/>
    <w:rsid w:val="00A742FC"/>
    <w:rsid w:val="00A74554"/>
    <w:rsid w:val="00A74BCB"/>
    <w:rsid w:val="00A76547"/>
    <w:rsid w:val="00A77BE1"/>
    <w:rsid w:val="00A80201"/>
    <w:rsid w:val="00A81295"/>
    <w:rsid w:val="00A81640"/>
    <w:rsid w:val="00A8232B"/>
    <w:rsid w:val="00A8232F"/>
    <w:rsid w:val="00A82F49"/>
    <w:rsid w:val="00A83170"/>
    <w:rsid w:val="00A832BA"/>
    <w:rsid w:val="00A83AF1"/>
    <w:rsid w:val="00A84535"/>
    <w:rsid w:val="00A84C14"/>
    <w:rsid w:val="00A85282"/>
    <w:rsid w:val="00A853C0"/>
    <w:rsid w:val="00A853DE"/>
    <w:rsid w:val="00A85989"/>
    <w:rsid w:val="00A859CD"/>
    <w:rsid w:val="00A85BA1"/>
    <w:rsid w:val="00A861E3"/>
    <w:rsid w:val="00A8644E"/>
    <w:rsid w:val="00A86C71"/>
    <w:rsid w:val="00A8789B"/>
    <w:rsid w:val="00A87DDF"/>
    <w:rsid w:val="00A90331"/>
    <w:rsid w:val="00A90A6E"/>
    <w:rsid w:val="00A90AC0"/>
    <w:rsid w:val="00A90CD1"/>
    <w:rsid w:val="00A9136B"/>
    <w:rsid w:val="00A919B8"/>
    <w:rsid w:val="00A91D15"/>
    <w:rsid w:val="00A91DDC"/>
    <w:rsid w:val="00A93115"/>
    <w:rsid w:val="00A93D1C"/>
    <w:rsid w:val="00A94112"/>
    <w:rsid w:val="00A957AC"/>
    <w:rsid w:val="00A95864"/>
    <w:rsid w:val="00A97CF1"/>
    <w:rsid w:val="00A97E6B"/>
    <w:rsid w:val="00A97E8D"/>
    <w:rsid w:val="00AA0991"/>
    <w:rsid w:val="00AA10F3"/>
    <w:rsid w:val="00AA152C"/>
    <w:rsid w:val="00AA18A8"/>
    <w:rsid w:val="00AA2174"/>
    <w:rsid w:val="00AA2F50"/>
    <w:rsid w:val="00AA307F"/>
    <w:rsid w:val="00AA30FB"/>
    <w:rsid w:val="00AA394D"/>
    <w:rsid w:val="00AA3E7C"/>
    <w:rsid w:val="00AA4054"/>
    <w:rsid w:val="00AA44AA"/>
    <w:rsid w:val="00AA4EEB"/>
    <w:rsid w:val="00AA5795"/>
    <w:rsid w:val="00AA5D72"/>
    <w:rsid w:val="00AA5E09"/>
    <w:rsid w:val="00AA61B8"/>
    <w:rsid w:val="00AA725A"/>
    <w:rsid w:val="00AA7DA8"/>
    <w:rsid w:val="00AA7FFE"/>
    <w:rsid w:val="00AB029B"/>
    <w:rsid w:val="00AB056E"/>
    <w:rsid w:val="00AB1906"/>
    <w:rsid w:val="00AB1C28"/>
    <w:rsid w:val="00AB1E7B"/>
    <w:rsid w:val="00AB20BD"/>
    <w:rsid w:val="00AB2254"/>
    <w:rsid w:val="00AB232F"/>
    <w:rsid w:val="00AB2C67"/>
    <w:rsid w:val="00AB4079"/>
    <w:rsid w:val="00AB49B7"/>
    <w:rsid w:val="00AB5771"/>
    <w:rsid w:val="00AB5B9F"/>
    <w:rsid w:val="00AB5D33"/>
    <w:rsid w:val="00AB61A2"/>
    <w:rsid w:val="00AB68DE"/>
    <w:rsid w:val="00AB6CDA"/>
    <w:rsid w:val="00AB7542"/>
    <w:rsid w:val="00AB7D2B"/>
    <w:rsid w:val="00AB7F26"/>
    <w:rsid w:val="00AC0464"/>
    <w:rsid w:val="00AC0511"/>
    <w:rsid w:val="00AC0A1E"/>
    <w:rsid w:val="00AC0AD3"/>
    <w:rsid w:val="00AC0DB8"/>
    <w:rsid w:val="00AC0EE0"/>
    <w:rsid w:val="00AC128B"/>
    <w:rsid w:val="00AC17DE"/>
    <w:rsid w:val="00AC1C07"/>
    <w:rsid w:val="00AC201D"/>
    <w:rsid w:val="00AC23FB"/>
    <w:rsid w:val="00AC2DA5"/>
    <w:rsid w:val="00AC3586"/>
    <w:rsid w:val="00AC42F2"/>
    <w:rsid w:val="00AC4E1F"/>
    <w:rsid w:val="00AC5F56"/>
    <w:rsid w:val="00AC6A39"/>
    <w:rsid w:val="00AC73B2"/>
    <w:rsid w:val="00AD00FA"/>
    <w:rsid w:val="00AD04DB"/>
    <w:rsid w:val="00AD056E"/>
    <w:rsid w:val="00AD0BB6"/>
    <w:rsid w:val="00AD0E87"/>
    <w:rsid w:val="00AD1669"/>
    <w:rsid w:val="00AD235F"/>
    <w:rsid w:val="00AD252F"/>
    <w:rsid w:val="00AD29FE"/>
    <w:rsid w:val="00AD2B91"/>
    <w:rsid w:val="00AD2DA3"/>
    <w:rsid w:val="00AD2EA4"/>
    <w:rsid w:val="00AD32EC"/>
    <w:rsid w:val="00AD3C89"/>
    <w:rsid w:val="00AD4140"/>
    <w:rsid w:val="00AD44CA"/>
    <w:rsid w:val="00AD47E0"/>
    <w:rsid w:val="00AD5851"/>
    <w:rsid w:val="00AD5C0B"/>
    <w:rsid w:val="00AD6688"/>
    <w:rsid w:val="00AD7660"/>
    <w:rsid w:val="00AE0095"/>
    <w:rsid w:val="00AE021C"/>
    <w:rsid w:val="00AE1921"/>
    <w:rsid w:val="00AE1ACD"/>
    <w:rsid w:val="00AE2230"/>
    <w:rsid w:val="00AE2552"/>
    <w:rsid w:val="00AE2B0B"/>
    <w:rsid w:val="00AE302B"/>
    <w:rsid w:val="00AE39BF"/>
    <w:rsid w:val="00AE3B25"/>
    <w:rsid w:val="00AE428A"/>
    <w:rsid w:val="00AE47EE"/>
    <w:rsid w:val="00AE5099"/>
    <w:rsid w:val="00AE5DBE"/>
    <w:rsid w:val="00AE696E"/>
    <w:rsid w:val="00AE69A7"/>
    <w:rsid w:val="00AE71AC"/>
    <w:rsid w:val="00AE7320"/>
    <w:rsid w:val="00AE732F"/>
    <w:rsid w:val="00AE793B"/>
    <w:rsid w:val="00AE79D4"/>
    <w:rsid w:val="00AF004A"/>
    <w:rsid w:val="00AF01BD"/>
    <w:rsid w:val="00AF1A93"/>
    <w:rsid w:val="00AF2599"/>
    <w:rsid w:val="00AF274B"/>
    <w:rsid w:val="00AF2E22"/>
    <w:rsid w:val="00AF336A"/>
    <w:rsid w:val="00AF37D8"/>
    <w:rsid w:val="00AF3D7D"/>
    <w:rsid w:val="00AF4178"/>
    <w:rsid w:val="00AF4841"/>
    <w:rsid w:val="00AF4B4E"/>
    <w:rsid w:val="00AF4B84"/>
    <w:rsid w:val="00AF4E7B"/>
    <w:rsid w:val="00AF4F10"/>
    <w:rsid w:val="00AF51C5"/>
    <w:rsid w:val="00AF665F"/>
    <w:rsid w:val="00AF6AD2"/>
    <w:rsid w:val="00AF6AFE"/>
    <w:rsid w:val="00AF713F"/>
    <w:rsid w:val="00AF7C08"/>
    <w:rsid w:val="00B00597"/>
    <w:rsid w:val="00B00EA7"/>
    <w:rsid w:val="00B01C82"/>
    <w:rsid w:val="00B01F65"/>
    <w:rsid w:val="00B021F0"/>
    <w:rsid w:val="00B03063"/>
    <w:rsid w:val="00B04135"/>
    <w:rsid w:val="00B045BF"/>
    <w:rsid w:val="00B04766"/>
    <w:rsid w:val="00B04AE0"/>
    <w:rsid w:val="00B04D44"/>
    <w:rsid w:val="00B05F1F"/>
    <w:rsid w:val="00B0628B"/>
    <w:rsid w:val="00B068F3"/>
    <w:rsid w:val="00B0704A"/>
    <w:rsid w:val="00B07993"/>
    <w:rsid w:val="00B10151"/>
    <w:rsid w:val="00B1138B"/>
    <w:rsid w:val="00B113FB"/>
    <w:rsid w:val="00B11C5D"/>
    <w:rsid w:val="00B12DE2"/>
    <w:rsid w:val="00B136BE"/>
    <w:rsid w:val="00B138C1"/>
    <w:rsid w:val="00B13DC0"/>
    <w:rsid w:val="00B147BC"/>
    <w:rsid w:val="00B14A9B"/>
    <w:rsid w:val="00B15147"/>
    <w:rsid w:val="00B15952"/>
    <w:rsid w:val="00B161ED"/>
    <w:rsid w:val="00B166FD"/>
    <w:rsid w:val="00B16B9D"/>
    <w:rsid w:val="00B1780C"/>
    <w:rsid w:val="00B179F7"/>
    <w:rsid w:val="00B17CEE"/>
    <w:rsid w:val="00B17F5D"/>
    <w:rsid w:val="00B200AE"/>
    <w:rsid w:val="00B213D1"/>
    <w:rsid w:val="00B22E74"/>
    <w:rsid w:val="00B2335C"/>
    <w:rsid w:val="00B234F0"/>
    <w:rsid w:val="00B235D3"/>
    <w:rsid w:val="00B23781"/>
    <w:rsid w:val="00B237FA"/>
    <w:rsid w:val="00B23A15"/>
    <w:rsid w:val="00B24D7F"/>
    <w:rsid w:val="00B24F5A"/>
    <w:rsid w:val="00B2528E"/>
    <w:rsid w:val="00B25375"/>
    <w:rsid w:val="00B2575C"/>
    <w:rsid w:val="00B261F2"/>
    <w:rsid w:val="00B26666"/>
    <w:rsid w:val="00B26CAE"/>
    <w:rsid w:val="00B275FC"/>
    <w:rsid w:val="00B2792D"/>
    <w:rsid w:val="00B30584"/>
    <w:rsid w:val="00B307A0"/>
    <w:rsid w:val="00B30955"/>
    <w:rsid w:val="00B30983"/>
    <w:rsid w:val="00B30A1C"/>
    <w:rsid w:val="00B31255"/>
    <w:rsid w:val="00B3254F"/>
    <w:rsid w:val="00B32BBD"/>
    <w:rsid w:val="00B32DDA"/>
    <w:rsid w:val="00B3315F"/>
    <w:rsid w:val="00B33EEA"/>
    <w:rsid w:val="00B34252"/>
    <w:rsid w:val="00B34750"/>
    <w:rsid w:val="00B35578"/>
    <w:rsid w:val="00B3565F"/>
    <w:rsid w:val="00B35E50"/>
    <w:rsid w:val="00B3658F"/>
    <w:rsid w:val="00B368AE"/>
    <w:rsid w:val="00B3727E"/>
    <w:rsid w:val="00B3778F"/>
    <w:rsid w:val="00B4082B"/>
    <w:rsid w:val="00B4134F"/>
    <w:rsid w:val="00B437F7"/>
    <w:rsid w:val="00B438F2"/>
    <w:rsid w:val="00B43C92"/>
    <w:rsid w:val="00B44413"/>
    <w:rsid w:val="00B44CC6"/>
    <w:rsid w:val="00B454CD"/>
    <w:rsid w:val="00B45767"/>
    <w:rsid w:val="00B45BC1"/>
    <w:rsid w:val="00B46590"/>
    <w:rsid w:val="00B47135"/>
    <w:rsid w:val="00B47B42"/>
    <w:rsid w:val="00B47B62"/>
    <w:rsid w:val="00B52247"/>
    <w:rsid w:val="00B522F5"/>
    <w:rsid w:val="00B527AF"/>
    <w:rsid w:val="00B53627"/>
    <w:rsid w:val="00B53DB3"/>
    <w:rsid w:val="00B54CBE"/>
    <w:rsid w:val="00B555E3"/>
    <w:rsid w:val="00B55645"/>
    <w:rsid w:val="00B56BFE"/>
    <w:rsid w:val="00B56DAC"/>
    <w:rsid w:val="00B5754E"/>
    <w:rsid w:val="00B579F0"/>
    <w:rsid w:val="00B57BCF"/>
    <w:rsid w:val="00B57FE6"/>
    <w:rsid w:val="00B627C5"/>
    <w:rsid w:val="00B6335A"/>
    <w:rsid w:val="00B635AD"/>
    <w:rsid w:val="00B6373F"/>
    <w:rsid w:val="00B63D90"/>
    <w:rsid w:val="00B64D6B"/>
    <w:rsid w:val="00B6526C"/>
    <w:rsid w:val="00B65B51"/>
    <w:rsid w:val="00B65DA8"/>
    <w:rsid w:val="00B65E8A"/>
    <w:rsid w:val="00B6651E"/>
    <w:rsid w:val="00B66860"/>
    <w:rsid w:val="00B6699C"/>
    <w:rsid w:val="00B67234"/>
    <w:rsid w:val="00B7017F"/>
    <w:rsid w:val="00B7058A"/>
    <w:rsid w:val="00B71EC8"/>
    <w:rsid w:val="00B724FD"/>
    <w:rsid w:val="00B7250A"/>
    <w:rsid w:val="00B7295C"/>
    <w:rsid w:val="00B73BE1"/>
    <w:rsid w:val="00B73CB2"/>
    <w:rsid w:val="00B7407C"/>
    <w:rsid w:val="00B7454A"/>
    <w:rsid w:val="00B745CC"/>
    <w:rsid w:val="00B74727"/>
    <w:rsid w:val="00B75CF1"/>
    <w:rsid w:val="00B75E39"/>
    <w:rsid w:val="00B75F75"/>
    <w:rsid w:val="00B76336"/>
    <w:rsid w:val="00B76A8A"/>
    <w:rsid w:val="00B7732A"/>
    <w:rsid w:val="00B77940"/>
    <w:rsid w:val="00B77A62"/>
    <w:rsid w:val="00B77C5C"/>
    <w:rsid w:val="00B80520"/>
    <w:rsid w:val="00B80B3B"/>
    <w:rsid w:val="00B80BEA"/>
    <w:rsid w:val="00B81049"/>
    <w:rsid w:val="00B81361"/>
    <w:rsid w:val="00B8142C"/>
    <w:rsid w:val="00B814F7"/>
    <w:rsid w:val="00B8156C"/>
    <w:rsid w:val="00B81B41"/>
    <w:rsid w:val="00B81CE8"/>
    <w:rsid w:val="00B82457"/>
    <w:rsid w:val="00B82604"/>
    <w:rsid w:val="00B82D85"/>
    <w:rsid w:val="00B82F9C"/>
    <w:rsid w:val="00B834C5"/>
    <w:rsid w:val="00B8384D"/>
    <w:rsid w:val="00B8443A"/>
    <w:rsid w:val="00B84E28"/>
    <w:rsid w:val="00B86648"/>
    <w:rsid w:val="00B86AAC"/>
    <w:rsid w:val="00B90112"/>
    <w:rsid w:val="00B906E6"/>
    <w:rsid w:val="00B91031"/>
    <w:rsid w:val="00B91BD5"/>
    <w:rsid w:val="00B92118"/>
    <w:rsid w:val="00B92439"/>
    <w:rsid w:val="00B924A5"/>
    <w:rsid w:val="00B926E0"/>
    <w:rsid w:val="00B92983"/>
    <w:rsid w:val="00B93026"/>
    <w:rsid w:val="00B932B5"/>
    <w:rsid w:val="00B933C7"/>
    <w:rsid w:val="00B934A6"/>
    <w:rsid w:val="00B9350C"/>
    <w:rsid w:val="00B93D17"/>
    <w:rsid w:val="00B93E94"/>
    <w:rsid w:val="00B942C6"/>
    <w:rsid w:val="00B94852"/>
    <w:rsid w:val="00B957A0"/>
    <w:rsid w:val="00B95AC0"/>
    <w:rsid w:val="00B95EA9"/>
    <w:rsid w:val="00B970A8"/>
    <w:rsid w:val="00B974F0"/>
    <w:rsid w:val="00B97F73"/>
    <w:rsid w:val="00BA04FA"/>
    <w:rsid w:val="00BA07FF"/>
    <w:rsid w:val="00BA1607"/>
    <w:rsid w:val="00BA1AD4"/>
    <w:rsid w:val="00BA1B2E"/>
    <w:rsid w:val="00BA1EF3"/>
    <w:rsid w:val="00BA24EE"/>
    <w:rsid w:val="00BA29AC"/>
    <w:rsid w:val="00BA313A"/>
    <w:rsid w:val="00BA3DBA"/>
    <w:rsid w:val="00BA477E"/>
    <w:rsid w:val="00BA4FEF"/>
    <w:rsid w:val="00BA5DE7"/>
    <w:rsid w:val="00BA785B"/>
    <w:rsid w:val="00BA7BC7"/>
    <w:rsid w:val="00BA7EA0"/>
    <w:rsid w:val="00BB0C51"/>
    <w:rsid w:val="00BB15BD"/>
    <w:rsid w:val="00BB224F"/>
    <w:rsid w:val="00BB27DA"/>
    <w:rsid w:val="00BB29FC"/>
    <w:rsid w:val="00BB31F4"/>
    <w:rsid w:val="00BB347B"/>
    <w:rsid w:val="00BB3D2E"/>
    <w:rsid w:val="00BB3D88"/>
    <w:rsid w:val="00BB4154"/>
    <w:rsid w:val="00BB44D3"/>
    <w:rsid w:val="00BB4830"/>
    <w:rsid w:val="00BB4921"/>
    <w:rsid w:val="00BB4C0D"/>
    <w:rsid w:val="00BB5060"/>
    <w:rsid w:val="00BB52D6"/>
    <w:rsid w:val="00BB5B17"/>
    <w:rsid w:val="00BB5DDC"/>
    <w:rsid w:val="00BB5F94"/>
    <w:rsid w:val="00BB7B87"/>
    <w:rsid w:val="00BC03CA"/>
    <w:rsid w:val="00BC06D0"/>
    <w:rsid w:val="00BC11EB"/>
    <w:rsid w:val="00BC120D"/>
    <w:rsid w:val="00BC201D"/>
    <w:rsid w:val="00BC2334"/>
    <w:rsid w:val="00BC263B"/>
    <w:rsid w:val="00BC32D3"/>
    <w:rsid w:val="00BC336D"/>
    <w:rsid w:val="00BC372A"/>
    <w:rsid w:val="00BC3A92"/>
    <w:rsid w:val="00BC3CE5"/>
    <w:rsid w:val="00BC4AE4"/>
    <w:rsid w:val="00BC5027"/>
    <w:rsid w:val="00BC50B1"/>
    <w:rsid w:val="00BC541B"/>
    <w:rsid w:val="00BC56B2"/>
    <w:rsid w:val="00BC5D7C"/>
    <w:rsid w:val="00BC630D"/>
    <w:rsid w:val="00BC65E0"/>
    <w:rsid w:val="00BC6942"/>
    <w:rsid w:val="00BC6B9A"/>
    <w:rsid w:val="00BC78F3"/>
    <w:rsid w:val="00BC7D84"/>
    <w:rsid w:val="00BC7F47"/>
    <w:rsid w:val="00BD003C"/>
    <w:rsid w:val="00BD00AB"/>
    <w:rsid w:val="00BD022E"/>
    <w:rsid w:val="00BD10D7"/>
    <w:rsid w:val="00BD1479"/>
    <w:rsid w:val="00BD1A79"/>
    <w:rsid w:val="00BD2313"/>
    <w:rsid w:val="00BD2797"/>
    <w:rsid w:val="00BD2C3E"/>
    <w:rsid w:val="00BD33D3"/>
    <w:rsid w:val="00BD3683"/>
    <w:rsid w:val="00BD3910"/>
    <w:rsid w:val="00BD3932"/>
    <w:rsid w:val="00BD3F37"/>
    <w:rsid w:val="00BD4255"/>
    <w:rsid w:val="00BD4F11"/>
    <w:rsid w:val="00BD56C1"/>
    <w:rsid w:val="00BD5765"/>
    <w:rsid w:val="00BD58BB"/>
    <w:rsid w:val="00BD5A92"/>
    <w:rsid w:val="00BD6888"/>
    <w:rsid w:val="00BD76A5"/>
    <w:rsid w:val="00BD7F6D"/>
    <w:rsid w:val="00BE0271"/>
    <w:rsid w:val="00BE0A94"/>
    <w:rsid w:val="00BE0DF2"/>
    <w:rsid w:val="00BE22E5"/>
    <w:rsid w:val="00BE277A"/>
    <w:rsid w:val="00BE355E"/>
    <w:rsid w:val="00BE39BA"/>
    <w:rsid w:val="00BE63E2"/>
    <w:rsid w:val="00BE64AD"/>
    <w:rsid w:val="00BE650B"/>
    <w:rsid w:val="00BE729C"/>
    <w:rsid w:val="00BE7346"/>
    <w:rsid w:val="00BE762A"/>
    <w:rsid w:val="00BE7875"/>
    <w:rsid w:val="00BE7A47"/>
    <w:rsid w:val="00BE7B3A"/>
    <w:rsid w:val="00BF040C"/>
    <w:rsid w:val="00BF0866"/>
    <w:rsid w:val="00BF17DE"/>
    <w:rsid w:val="00BF1FF0"/>
    <w:rsid w:val="00BF2112"/>
    <w:rsid w:val="00BF2658"/>
    <w:rsid w:val="00BF2B88"/>
    <w:rsid w:val="00BF2C93"/>
    <w:rsid w:val="00BF2CA4"/>
    <w:rsid w:val="00BF329E"/>
    <w:rsid w:val="00BF32DD"/>
    <w:rsid w:val="00BF3C87"/>
    <w:rsid w:val="00BF3F8F"/>
    <w:rsid w:val="00BF401A"/>
    <w:rsid w:val="00BF5657"/>
    <w:rsid w:val="00BF6089"/>
    <w:rsid w:val="00BF639B"/>
    <w:rsid w:val="00BF70D7"/>
    <w:rsid w:val="00BF75E9"/>
    <w:rsid w:val="00BF79C3"/>
    <w:rsid w:val="00BF7A91"/>
    <w:rsid w:val="00BF7F2F"/>
    <w:rsid w:val="00C00180"/>
    <w:rsid w:val="00C00250"/>
    <w:rsid w:val="00C00A94"/>
    <w:rsid w:val="00C010D9"/>
    <w:rsid w:val="00C01C4B"/>
    <w:rsid w:val="00C02EEE"/>
    <w:rsid w:val="00C03056"/>
    <w:rsid w:val="00C03DBD"/>
    <w:rsid w:val="00C0520A"/>
    <w:rsid w:val="00C0526F"/>
    <w:rsid w:val="00C05C99"/>
    <w:rsid w:val="00C05F2A"/>
    <w:rsid w:val="00C0647D"/>
    <w:rsid w:val="00C0650A"/>
    <w:rsid w:val="00C0666B"/>
    <w:rsid w:val="00C0691E"/>
    <w:rsid w:val="00C06C86"/>
    <w:rsid w:val="00C07372"/>
    <w:rsid w:val="00C077B5"/>
    <w:rsid w:val="00C078F1"/>
    <w:rsid w:val="00C07A50"/>
    <w:rsid w:val="00C07AB4"/>
    <w:rsid w:val="00C07C50"/>
    <w:rsid w:val="00C07E0C"/>
    <w:rsid w:val="00C117E1"/>
    <w:rsid w:val="00C1193A"/>
    <w:rsid w:val="00C11B27"/>
    <w:rsid w:val="00C125BA"/>
    <w:rsid w:val="00C1279F"/>
    <w:rsid w:val="00C12B85"/>
    <w:rsid w:val="00C13369"/>
    <w:rsid w:val="00C13F33"/>
    <w:rsid w:val="00C14238"/>
    <w:rsid w:val="00C143D6"/>
    <w:rsid w:val="00C144E2"/>
    <w:rsid w:val="00C14E58"/>
    <w:rsid w:val="00C160C4"/>
    <w:rsid w:val="00C166DA"/>
    <w:rsid w:val="00C169FF"/>
    <w:rsid w:val="00C16F04"/>
    <w:rsid w:val="00C172D6"/>
    <w:rsid w:val="00C204AF"/>
    <w:rsid w:val="00C20BA4"/>
    <w:rsid w:val="00C21018"/>
    <w:rsid w:val="00C21415"/>
    <w:rsid w:val="00C219B4"/>
    <w:rsid w:val="00C21BFA"/>
    <w:rsid w:val="00C22132"/>
    <w:rsid w:val="00C23182"/>
    <w:rsid w:val="00C23476"/>
    <w:rsid w:val="00C23931"/>
    <w:rsid w:val="00C239E3"/>
    <w:rsid w:val="00C23C92"/>
    <w:rsid w:val="00C23DB6"/>
    <w:rsid w:val="00C246B9"/>
    <w:rsid w:val="00C24CDC"/>
    <w:rsid w:val="00C24CE0"/>
    <w:rsid w:val="00C25197"/>
    <w:rsid w:val="00C25472"/>
    <w:rsid w:val="00C25CB4"/>
    <w:rsid w:val="00C25F0F"/>
    <w:rsid w:val="00C2609A"/>
    <w:rsid w:val="00C26AA6"/>
    <w:rsid w:val="00C272AF"/>
    <w:rsid w:val="00C27BA0"/>
    <w:rsid w:val="00C30E3F"/>
    <w:rsid w:val="00C30FC6"/>
    <w:rsid w:val="00C319D3"/>
    <w:rsid w:val="00C31A44"/>
    <w:rsid w:val="00C31D8A"/>
    <w:rsid w:val="00C32518"/>
    <w:rsid w:val="00C32678"/>
    <w:rsid w:val="00C32A5B"/>
    <w:rsid w:val="00C33DE7"/>
    <w:rsid w:val="00C3453A"/>
    <w:rsid w:val="00C355A1"/>
    <w:rsid w:val="00C3627E"/>
    <w:rsid w:val="00C3650A"/>
    <w:rsid w:val="00C367A1"/>
    <w:rsid w:val="00C36DA1"/>
    <w:rsid w:val="00C3754B"/>
    <w:rsid w:val="00C37947"/>
    <w:rsid w:val="00C37C0D"/>
    <w:rsid w:val="00C4001F"/>
    <w:rsid w:val="00C4053A"/>
    <w:rsid w:val="00C40800"/>
    <w:rsid w:val="00C40D66"/>
    <w:rsid w:val="00C4129D"/>
    <w:rsid w:val="00C41435"/>
    <w:rsid w:val="00C423E8"/>
    <w:rsid w:val="00C42610"/>
    <w:rsid w:val="00C426FB"/>
    <w:rsid w:val="00C4281E"/>
    <w:rsid w:val="00C4297C"/>
    <w:rsid w:val="00C430FC"/>
    <w:rsid w:val="00C434EA"/>
    <w:rsid w:val="00C453E9"/>
    <w:rsid w:val="00C45D31"/>
    <w:rsid w:val="00C470FA"/>
    <w:rsid w:val="00C47119"/>
    <w:rsid w:val="00C477B6"/>
    <w:rsid w:val="00C5079F"/>
    <w:rsid w:val="00C51EF8"/>
    <w:rsid w:val="00C520BA"/>
    <w:rsid w:val="00C53003"/>
    <w:rsid w:val="00C5356A"/>
    <w:rsid w:val="00C535BA"/>
    <w:rsid w:val="00C535E2"/>
    <w:rsid w:val="00C538DB"/>
    <w:rsid w:val="00C548F1"/>
    <w:rsid w:val="00C571C2"/>
    <w:rsid w:val="00C57547"/>
    <w:rsid w:val="00C576FF"/>
    <w:rsid w:val="00C57952"/>
    <w:rsid w:val="00C57C5F"/>
    <w:rsid w:val="00C60389"/>
    <w:rsid w:val="00C6041B"/>
    <w:rsid w:val="00C61378"/>
    <w:rsid w:val="00C61648"/>
    <w:rsid w:val="00C61BE1"/>
    <w:rsid w:val="00C61EBA"/>
    <w:rsid w:val="00C61EFE"/>
    <w:rsid w:val="00C62249"/>
    <w:rsid w:val="00C624E3"/>
    <w:rsid w:val="00C62B44"/>
    <w:rsid w:val="00C631DE"/>
    <w:rsid w:val="00C63628"/>
    <w:rsid w:val="00C63707"/>
    <w:rsid w:val="00C63723"/>
    <w:rsid w:val="00C63A8E"/>
    <w:rsid w:val="00C642D0"/>
    <w:rsid w:val="00C654D3"/>
    <w:rsid w:val="00C66353"/>
    <w:rsid w:val="00C66E78"/>
    <w:rsid w:val="00C67207"/>
    <w:rsid w:val="00C677B9"/>
    <w:rsid w:val="00C678B2"/>
    <w:rsid w:val="00C67E4A"/>
    <w:rsid w:val="00C7044A"/>
    <w:rsid w:val="00C705F2"/>
    <w:rsid w:val="00C70C7F"/>
    <w:rsid w:val="00C70DD0"/>
    <w:rsid w:val="00C7133F"/>
    <w:rsid w:val="00C715C5"/>
    <w:rsid w:val="00C71CED"/>
    <w:rsid w:val="00C71DE0"/>
    <w:rsid w:val="00C7261D"/>
    <w:rsid w:val="00C7337D"/>
    <w:rsid w:val="00C7368B"/>
    <w:rsid w:val="00C74125"/>
    <w:rsid w:val="00C74268"/>
    <w:rsid w:val="00C75248"/>
    <w:rsid w:val="00C75D23"/>
    <w:rsid w:val="00C765CC"/>
    <w:rsid w:val="00C773AF"/>
    <w:rsid w:val="00C77B50"/>
    <w:rsid w:val="00C77E16"/>
    <w:rsid w:val="00C800A4"/>
    <w:rsid w:val="00C80BD1"/>
    <w:rsid w:val="00C810B1"/>
    <w:rsid w:val="00C81928"/>
    <w:rsid w:val="00C81D4C"/>
    <w:rsid w:val="00C821CA"/>
    <w:rsid w:val="00C82692"/>
    <w:rsid w:val="00C826EF"/>
    <w:rsid w:val="00C82A6E"/>
    <w:rsid w:val="00C82A75"/>
    <w:rsid w:val="00C82DE5"/>
    <w:rsid w:val="00C838F3"/>
    <w:rsid w:val="00C83C78"/>
    <w:rsid w:val="00C8435B"/>
    <w:rsid w:val="00C84DA1"/>
    <w:rsid w:val="00C85531"/>
    <w:rsid w:val="00C85EF5"/>
    <w:rsid w:val="00C86147"/>
    <w:rsid w:val="00C86207"/>
    <w:rsid w:val="00C865CD"/>
    <w:rsid w:val="00C87B51"/>
    <w:rsid w:val="00C907EA"/>
    <w:rsid w:val="00C91510"/>
    <w:rsid w:val="00C922D0"/>
    <w:rsid w:val="00C925A2"/>
    <w:rsid w:val="00C925E3"/>
    <w:rsid w:val="00C92AB5"/>
    <w:rsid w:val="00C93B9A"/>
    <w:rsid w:val="00C93DB7"/>
    <w:rsid w:val="00C93F16"/>
    <w:rsid w:val="00C94966"/>
    <w:rsid w:val="00C95B83"/>
    <w:rsid w:val="00C96050"/>
    <w:rsid w:val="00C963A2"/>
    <w:rsid w:val="00C96604"/>
    <w:rsid w:val="00C9693A"/>
    <w:rsid w:val="00C97045"/>
    <w:rsid w:val="00C974EB"/>
    <w:rsid w:val="00CA0377"/>
    <w:rsid w:val="00CA09DC"/>
    <w:rsid w:val="00CA0FBC"/>
    <w:rsid w:val="00CA249D"/>
    <w:rsid w:val="00CA29F5"/>
    <w:rsid w:val="00CA3632"/>
    <w:rsid w:val="00CA3C82"/>
    <w:rsid w:val="00CA3DA2"/>
    <w:rsid w:val="00CA42CA"/>
    <w:rsid w:val="00CA47CC"/>
    <w:rsid w:val="00CA63D8"/>
    <w:rsid w:val="00CA648D"/>
    <w:rsid w:val="00CB027A"/>
    <w:rsid w:val="00CB0E88"/>
    <w:rsid w:val="00CB19F8"/>
    <w:rsid w:val="00CB3405"/>
    <w:rsid w:val="00CB36BC"/>
    <w:rsid w:val="00CB3739"/>
    <w:rsid w:val="00CB4624"/>
    <w:rsid w:val="00CB56BB"/>
    <w:rsid w:val="00CB5D2E"/>
    <w:rsid w:val="00CB5E39"/>
    <w:rsid w:val="00CB6E75"/>
    <w:rsid w:val="00CB6F85"/>
    <w:rsid w:val="00CB7304"/>
    <w:rsid w:val="00CB751D"/>
    <w:rsid w:val="00CC01E2"/>
    <w:rsid w:val="00CC0AE6"/>
    <w:rsid w:val="00CC110C"/>
    <w:rsid w:val="00CC1CA9"/>
    <w:rsid w:val="00CC1DC3"/>
    <w:rsid w:val="00CC2804"/>
    <w:rsid w:val="00CC4684"/>
    <w:rsid w:val="00CC4686"/>
    <w:rsid w:val="00CC4CE9"/>
    <w:rsid w:val="00CC51E1"/>
    <w:rsid w:val="00CC5295"/>
    <w:rsid w:val="00CC5C85"/>
    <w:rsid w:val="00CC5D06"/>
    <w:rsid w:val="00CC5F74"/>
    <w:rsid w:val="00CC6316"/>
    <w:rsid w:val="00CC6641"/>
    <w:rsid w:val="00CC7331"/>
    <w:rsid w:val="00CD0402"/>
    <w:rsid w:val="00CD0527"/>
    <w:rsid w:val="00CD0D2E"/>
    <w:rsid w:val="00CD0EA6"/>
    <w:rsid w:val="00CD0F24"/>
    <w:rsid w:val="00CD3A97"/>
    <w:rsid w:val="00CD46D9"/>
    <w:rsid w:val="00CD4718"/>
    <w:rsid w:val="00CD4F05"/>
    <w:rsid w:val="00CD5090"/>
    <w:rsid w:val="00CD57FB"/>
    <w:rsid w:val="00CD5A59"/>
    <w:rsid w:val="00CD614B"/>
    <w:rsid w:val="00CD699C"/>
    <w:rsid w:val="00CD6A2C"/>
    <w:rsid w:val="00CE02F9"/>
    <w:rsid w:val="00CE0728"/>
    <w:rsid w:val="00CE0746"/>
    <w:rsid w:val="00CE10EA"/>
    <w:rsid w:val="00CE13FB"/>
    <w:rsid w:val="00CE18F0"/>
    <w:rsid w:val="00CE1D22"/>
    <w:rsid w:val="00CE1F33"/>
    <w:rsid w:val="00CE2394"/>
    <w:rsid w:val="00CE23C7"/>
    <w:rsid w:val="00CE25CC"/>
    <w:rsid w:val="00CE2715"/>
    <w:rsid w:val="00CE2E93"/>
    <w:rsid w:val="00CE398F"/>
    <w:rsid w:val="00CE4629"/>
    <w:rsid w:val="00CE534B"/>
    <w:rsid w:val="00CE54CB"/>
    <w:rsid w:val="00CE5816"/>
    <w:rsid w:val="00CE5843"/>
    <w:rsid w:val="00CE5A60"/>
    <w:rsid w:val="00CE5A81"/>
    <w:rsid w:val="00CE6052"/>
    <w:rsid w:val="00CE61F2"/>
    <w:rsid w:val="00CE706F"/>
    <w:rsid w:val="00CE7468"/>
    <w:rsid w:val="00CE75D4"/>
    <w:rsid w:val="00CE7D0A"/>
    <w:rsid w:val="00CE7E37"/>
    <w:rsid w:val="00CF0604"/>
    <w:rsid w:val="00CF065D"/>
    <w:rsid w:val="00CF0E4E"/>
    <w:rsid w:val="00CF1060"/>
    <w:rsid w:val="00CF118C"/>
    <w:rsid w:val="00CF18E0"/>
    <w:rsid w:val="00CF1AAF"/>
    <w:rsid w:val="00CF1D1A"/>
    <w:rsid w:val="00CF24C2"/>
    <w:rsid w:val="00CF24E5"/>
    <w:rsid w:val="00CF2A40"/>
    <w:rsid w:val="00CF57A9"/>
    <w:rsid w:val="00CF5C7D"/>
    <w:rsid w:val="00CF5F6B"/>
    <w:rsid w:val="00CF6494"/>
    <w:rsid w:val="00CF6592"/>
    <w:rsid w:val="00CF6B64"/>
    <w:rsid w:val="00CF6F8F"/>
    <w:rsid w:val="00CF7132"/>
    <w:rsid w:val="00CF7AB6"/>
    <w:rsid w:val="00CF7B62"/>
    <w:rsid w:val="00D00710"/>
    <w:rsid w:val="00D007E5"/>
    <w:rsid w:val="00D00A29"/>
    <w:rsid w:val="00D00C70"/>
    <w:rsid w:val="00D0267A"/>
    <w:rsid w:val="00D02A98"/>
    <w:rsid w:val="00D02B12"/>
    <w:rsid w:val="00D02C23"/>
    <w:rsid w:val="00D041F1"/>
    <w:rsid w:val="00D042A3"/>
    <w:rsid w:val="00D04FF1"/>
    <w:rsid w:val="00D055EF"/>
    <w:rsid w:val="00D05CA2"/>
    <w:rsid w:val="00D07653"/>
    <w:rsid w:val="00D07A1E"/>
    <w:rsid w:val="00D07C88"/>
    <w:rsid w:val="00D07D06"/>
    <w:rsid w:val="00D102A4"/>
    <w:rsid w:val="00D10710"/>
    <w:rsid w:val="00D10EEC"/>
    <w:rsid w:val="00D115BD"/>
    <w:rsid w:val="00D11D62"/>
    <w:rsid w:val="00D1206A"/>
    <w:rsid w:val="00D1223C"/>
    <w:rsid w:val="00D1394E"/>
    <w:rsid w:val="00D140D1"/>
    <w:rsid w:val="00D1488B"/>
    <w:rsid w:val="00D1493B"/>
    <w:rsid w:val="00D14CC4"/>
    <w:rsid w:val="00D158AC"/>
    <w:rsid w:val="00D1628E"/>
    <w:rsid w:val="00D171D3"/>
    <w:rsid w:val="00D17867"/>
    <w:rsid w:val="00D20377"/>
    <w:rsid w:val="00D20403"/>
    <w:rsid w:val="00D209D1"/>
    <w:rsid w:val="00D213C7"/>
    <w:rsid w:val="00D21827"/>
    <w:rsid w:val="00D22216"/>
    <w:rsid w:val="00D22AD3"/>
    <w:rsid w:val="00D22B9C"/>
    <w:rsid w:val="00D22D96"/>
    <w:rsid w:val="00D23073"/>
    <w:rsid w:val="00D232EE"/>
    <w:rsid w:val="00D23427"/>
    <w:rsid w:val="00D2463E"/>
    <w:rsid w:val="00D2477A"/>
    <w:rsid w:val="00D24A37"/>
    <w:rsid w:val="00D24FB3"/>
    <w:rsid w:val="00D250AD"/>
    <w:rsid w:val="00D258AE"/>
    <w:rsid w:val="00D258FB"/>
    <w:rsid w:val="00D25EDD"/>
    <w:rsid w:val="00D2698C"/>
    <w:rsid w:val="00D2792F"/>
    <w:rsid w:val="00D31906"/>
    <w:rsid w:val="00D32611"/>
    <w:rsid w:val="00D330B9"/>
    <w:rsid w:val="00D33103"/>
    <w:rsid w:val="00D33C2E"/>
    <w:rsid w:val="00D34307"/>
    <w:rsid w:val="00D34551"/>
    <w:rsid w:val="00D3548F"/>
    <w:rsid w:val="00D359DF"/>
    <w:rsid w:val="00D3650A"/>
    <w:rsid w:val="00D3667C"/>
    <w:rsid w:val="00D36A20"/>
    <w:rsid w:val="00D36B81"/>
    <w:rsid w:val="00D3720A"/>
    <w:rsid w:val="00D40A54"/>
    <w:rsid w:val="00D42845"/>
    <w:rsid w:val="00D42B3C"/>
    <w:rsid w:val="00D42EAE"/>
    <w:rsid w:val="00D43612"/>
    <w:rsid w:val="00D43AAF"/>
    <w:rsid w:val="00D43C7E"/>
    <w:rsid w:val="00D44F6C"/>
    <w:rsid w:val="00D45B35"/>
    <w:rsid w:val="00D45C52"/>
    <w:rsid w:val="00D45D8C"/>
    <w:rsid w:val="00D4619F"/>
    <w:rsid w:val="00D465A5"/>
    <w:rsid w:val="00D46789"/>
    <w:rsid w:val="00D4688B"/>
    <w:rsid w:val="00D46D51"/>
    <w:rsid w:val="00D46EE9"/>
    <w:rsid w:val="00D47661"/>
    <w:rsid w:val="00D47878"/>
    <w:rsid w:val="00D478EC"/>
    <w:rsid w:val="00D50D22"/>
    <w:rsid w:val="00D50E50"/>
    <w:rsid w:val="00D514BC"/>
    <w:rsid w:val="00D51792"/>
    <w:rsid w:val="00D5186C"/>
    <w:rsid w:val="00D51CD9"/>
    <w:rsid w:val="00D51E2D"/>
    <w:rsid w:val="00D52257"/>
    <w:rsid w:val="00D543A3"/>
    <w:rsid w:val="00D54494"/>
    <w:rsid w:val="00D553C4"/>
    <w:rsid w:val="00D5546B"/>
    <w:rsid w:val="00D556BC"/>
    <w:rsid w:val="00D5736F"/>
    <w:rsid w:val="00D600CB"/>
    <w:rsid w:val="00D6064B"/>
    <w:rsid w:val="00D61550"/>
    <w:rsid w:val="00D6211C"/>
    <w:rsid w:val="00D625D4"/>
    <w:rsid w:val="00D62946"/>
    <w:rsid w:val="00D634C8"/>
    <w:rsid w:val="00D63D98"/>
    <w:rsid w:val="00D63EE6"/>
    <w:rsid w:val="00D64009"/>
    <w:rsid w:val="00D64CDD"/>
    <w:rsid w:val="00D65203"/>
    <w:rsid w:val="00D65E43"/>
    <w:rsid w:val="00D66037"/>
    <w:rsid w:val="00D6612E"/>
    <w:rsid w:val="00D66B25"/>
    <w:rsid w:val="00D66BC6"/>
    <w:rsid w:val="00D66D59"/>
    <w:rsid w:val="00D67217"/>
    <w:rsid w:val="00D674F4"/>
    <w:rsid w:val="00D67983"/>
    <w:rsid w:val="00D67D48"/>
    <w:rsid w:val="00D70292"/>
    <w:rsid w:val="00D70FE2"/>
    <w:rsid w:val="00D71BFF"/>
    <w:rsid w:val="00D71E6F"/>
    <w:rsid w:val="00D72B2F"/>
    <w:rsid w:val="00D72F72"/>
    <w:rsid w:val="00D7452F"/>
    <w:rsid w:val="00D7476C"/>
    <w:rsid w:val="00D749EE"/>
    <w:rsid w:val="00D74DC5"/>
    <w:rsid w:val="00D7503F"/>
    <w:rsid w:val="00D75AC9"/>
    <w:rsid w:val="00D75CC3"/>
    <w:rsid w:val="00D7619C"/>
    <w:rsid w:val="00D76EAD"/>
    <w:rsid w:val="00D77127"/>
    <w:rsid w:val="00D77722"/>
    <w:rsid w:val="00D80071"/>
    <w:rsid w:val="00D8037A"/>
    <w:rsid w:val="00D8068F"/>
    <w:rsid w:val="00D83267"/>
    <w:rsid w:val="00D8355B"/>
    <w:rsid w:val="00D8379F"/>
    <w:rsid w:val="00D838A5"/>
    <w:rsid w:val="00D83901"/>
    <w:rsid w:val="00D83A15"/>
    <w:rsid w:val="00D83BD6"/>
    <w:rsid w:val="00D83CDF"/>
    <w:rsid w:val="00D83EBF"/>
    <w:rsid w:val="00D84313"/>
    <w:rsid w:val="00D84904"/>
    <w:rsid w:val="00D84F0F"/>
    <w:rsid w:val="00D8555A"/>
    <w:rsid w:val="00D8670F"/>
    <w:rsid w:val="00D90614"/>
    <w:rsid w:val="00D9131A"/>
    <w:rsid w:val="00D915A7"/>
    <w:rsid w:val="00D922AD"/>
    <w:rsid w:val="00D92590"/>
    <w:rsid w:val="00D92F2B"/>
    <w:rsid w:val="00D94298"/>
    <w:rsid w:val="00D943AF"/>
    <w:rsid w:val="00D9518B"/>
    <w:rsid w:val="00D95A5D"/>
    <w:rsid w:val="00D96C06"/>
    <w:rsid w:val="00D97343"/>
    <w:rsid w:val="00D97EFE"/>
    <w:rsid w:val="00DA105B"/>
    <w:rsid w:val="00DA14B5"/>
    <w:rsid w:val="00DA160B"/>
    <w:rsid w:val="00DA1F69"/>
    <w:rsid w:val="00DA21A0"/>
    <w:rsid w:val="00DA3139"/>
    <w:rsid w:val="00DA31DB"/>
    <w:rsid w:val="00DA3AF7"/>
    <w:rsid w:val="00DA3C1B"/>
    <w:rsid w:val="00DA4F81"/>
    <w:rsid w:val="00DA5A82"/>
    <w:rsid w:val="00DA61D4"/>
    <w:rsid w:val="00DA6C42"/>
    <w:rsid w:val="00DA6E18"/>
    <w:rsid w:val="00DB01BC"/>
    <w:rsid w:val="00DB052F"/>
    <w:rsid w:val="00DB058D"/>
    <w:rsid w:val="00DB0944"/>
    <w:rsid w:val="00DB2F98"/>
    <w:rsid w:val="00DB3036"/>
    <w:rsid w:val="00DB3A1E"/>
    <w:rsid w:val="00DB3F0D"/>
    <w:rsid w:val="00DB440B"/>
    <w:rsid w:val="00DB7313"/>
    <w:rsid w:val="00DB744C"/>
    <w:rsid w:val="00DB7498"/>
    <w:rsid w:val="00DB7725"/>
    <w:rsid w:val="00DB782A"/>
    <w:rsid w:val="00DB7B4F"/>
    <w:rsid w:val="00DC2F2C"/>
    <w:rsid w:val="00DC42EF"/>
    <w:rsid w:val="00DC4E3D"/>
    <w:rsid w:val="00DC51EC"/>
    <w:rsid w:val="00DC5C37"/>
    <w:rsid w:val="00DC60EE"/>
    <w:rsid w:val="00DC615F"/>
    <w:rsid w:val="00DC675B"/>
    <w:rsid w:val="00DC6DA8"/>
    <w:rsid w:val="00DC7007"/>
    <w:rsid w:val="00DC7287"/>
    <w:rsid w:val="00DC7781"/>
    <w:rsid w:val="00DC782D"/>
    <w:rsid w:val="00DC7843"/>
    <w:rsid w:val="00DC79E3"/>
    <w:rsid w:val="00DC7C81"/>
    <w:rsid w:val="00DC7D8C"/>
    <w:rsid w:val="00DD0417"/>
    <w:rsid w:val="00DD0BAD"/>
    <w:rsid w:val="00DD18A3"/>
    <w:rsid w:val="00DD1DF0"/>
    <w:rsid w:val="00DD2505"/>
    <w:rsid w:val="00DD2572"/>
    <w:rsid w:val="00DD2AB7"/>
    <w:rsid w:val="00DD2B3D"/>
    <w:rsid w:val="00DD3B72"/>
    <w:rsid w:val="00DD403D"/>
    <w:rsid w:val="00DD4740"/>
    <w:rsid w:val="00DD4ED9"/>
    <w:rsid w:val="00DD5016"/>
    <w:rsid w:val="00DD5161"/>
    <w:rsid w:val="00DD5F0B"/>
    <w:rsid w:val="00DD6377"/>
    <w:rsid w:val="00DD6658"/>
    <w:rsid w:val="00DD6D32"/>
    <w:rsid w:val="00DE02E2"/>
    <w:rsid w:val="00DE0A38"/>
    <w:rsid w:val="00DE12FF"/>
    <w:rsid w:val="00DE17BF"/>
    <w:rsid w:val="00DE275D"/>
    <w:rsid w:val="00DE2B9F"/>
    <w:rsid w:val="00DE2D36"/>
    <w:rsid w:val="00DE3A95"/>
    <w:rsid w:val="00DE3E82"/>
    <w:rsid w:val="00DE3F72"/>
    <w:rsid w:val="00DE4AE5"/>
    <w:rsid w:val="00DE4F4B"/>
    <w:rsid w:val="00DE5DD6"/>
    <w:rsid w:val="00DE6AAF"/>
    <w:rsid w:val="00DE71F2"/>
    <w:rsid w:val="00DE729C"/>
    <w:rsid w:val="00DE7E5A"/>
    <w:rsid w:val="00DF080E"/>
    <w:rsid w:val="00DF0BB8"/>
    <w:rsid w:val="00DF1FB5"/>
    <w:rsid w:val="00DF220A"/>
    <w:rsid w:val="00DF3245"/>
    <w:rsid w:val="00DF3BFB"/>
    <w:rsid w:val="00DF50F0"/>
    <w:rsid w:val="00DF5419"/>
    <w:rsid w:val="00DF6187"/>
    <w:rsid w:val="00DF692B"/>
    <w:rsid w:val="00DF6F8F"/>
    <w:rsid w:val="00DF797E"/>
    <w:rsid w:val="00E0016E"/>
    <w:rsid w:val="00E007FF"/>
    <w:rsid w:val="00E00ABC"/>
    <w:rsid w:val="00E01600"/>
    <w:rsid w:val="00E01C23"/>
    <w:rsid w:val="00E02028"/>
    <w:rsid w:val="00E02695"/>
    <w:rsid w:val="00E038EC"/>
    <w:rsid w:val="00E03A24"/>
    <w:rsid w:val="00E03BA1"/>
    <w:rsid w:val="00E03DB1"/>
    <w:rsid w:val="00E0424D"/>
    <w:rsid w:val="00E04C18"/>
    <w:rsid w:val="00E04CB0"/>
    <w:rsid w:val="00E05234"/>
    <w:rsid w:val="00E0523A"/>
    <w:rsid w:val="00E0585D"/>
    <w:rsid w:val="00E06145"/>
    <w:rsid w:val="00E0666C"/>
    <w:rsid w:val="00E06D75"/>
    <w:rsid w:val="00E070D0"/>
    <w:rsid w:val="00E0740D"/>
    <w:rsid w:val="00E07B12"/>
    <w:rsid w:val="00E1146B"/>
    <w:rsid w:val="00E1191D"/>
    <w:rsid w:val="00E12217"/>
    <w:rsid w:val="00E12AE9"/>
    <w:rsid w:val="00E13143"/>
    <w:rsid w:val="00E133A1"/>
    <w:rsid w:val="00E146AF"/>
    <w:rsid w:val="00E163BF"/>
    <w:rsid w:val="00E16E8D"/>
    <w:rsid w:val="00E17851"/>
    <w:rsid w:val="00E20D97"/>
    <w:rsid w:val="00E21B9B"/>
    <w:rsid w:val="00E22A43"/>
    <w:rsid w:val="00E23340"/>
    <w:rsid w:val="00E241E3"/>
    <w:rsid w:val="00E2449B"/>
    <w:rsid w:val="00E244EB"/>
    <w:rsid w:val="00E24801"/>
    <w:rsid w:val="00E2499B"/>
    <w:rsid w:val="00E24A1E"/>
    <w:rsid w:val="00E24D4A"/>
    <w:rsid w:val="00E25596"/>
    <w:rsid w:val="00E25806"/>
    <w:rsid w:val="00E273CC"/>
    <w:rsid w:val="00E30017"/>
    <w:rsid w:val="00E30379"/>
    <w:rsid w:val="00E30577"/>
    <w:rsid w:val="00E31538"/>
    <w:rsid w:val="00E31D00"/>
    <w:rsid w:val="00E33515"/>
    <w:rsid w:val="00E33988"/>
    <w:rsid w:val="00E34171"/>
    <w:rsid w:val="00E345A4"/>
    <w:rsid w:val="00E34876"/>
    <w:rsid w:val="00E3500B"/>
    <w:rsid w:val="00E35641"/>
    <w:rsid w:val="00E3602D"/>
    <w:rsid w:val="00E360E1"/>
    <w:rsid w:val="00E36203"/>
    <w:rsid w:val="00E36670"/>
    <w:rsid w:val="00E37074"/>
    <w:rsid w:val="00E376DC"/>
    <w:rsid w:val="00E3778D"/>
    <w:rsid w:val="00E378B2"/>
    <w:rsid w:val="00E37D6B"/>
    <w:rsid w:val="00E40F7E"/>
    <w:rsid w:val="00E410D3"/>
    <w:rsid w:val="00E411C6"/>
    <w:rsid w:val="00E4154A"/>
    <w:rsid w:val="00E415A2"/>
    <w:rsid w:val="00E42281"/>
    <w:rsid w:val="00E42D67"/>
    <w:rsid w:val="00E43CAA"/>
    <w:rsid w:val="00E43D0E"/>
    <w:rsid w:val="00E446A4"/>
    <w:rsid w:val="00E4491C"/>
    <w:rsid w:val="00E45913"/>
    <w:rsid w:val="00E45D28"/>
    <w:rsid w:val="00E46494"/>
    <w:rsid w:val="00E47F15"/>
    <w:rsid w:val="00E50582"/>
    <w:rsid w:val="00E513BD"/>
    <w:rsid w:val="00E51784"/>
    <w:rsid w:val="00E51CD3"/>
    <w:rsid w:val="00E52F5C"/>
    <w:rsid w:val="00E53E2D"/>
    <w:rsid w:val="00E54395"/>
    <w:rsid w:val="00E55121"/>
    <w:rsid w:val="00E552E4"/>
    <w:rsid w:val="00E5534C"/>
    <w:rsid w:val="00E55563"/>
    <w:rsid w:val="00E555EC"/>
    <w:rsid w:val="00E55A40"/>
    <w:rsid w:val="00E55A57"/>
    <w:rsid w:val="00E561DE"/>
    <w:rsid w:val="00E56888"/>
    <w:rsid w:val="00E56960"/>
    <w:rsid w:val="00E60369"/>
    <w:rsid w:val="00E603FD"/>
    <w:rsid w:val="00E61305"/>
    <w:rsid w:val="00E61622"/>
    <w:rsid w:val="00E61856"/>
    <w:rsid w:val="00E62045"/>
    <w:rsid w:val="00E62058"/>
    <w:rsid w:val="00E62D52"/>
    <w:rsid w:val="00E633B5"/>
    <w:rsid w:val="00E64D8A"/>
    <w:rsid w:val="00E65179"/>
    <w:rsid w:val="00E65C92"/>
    <w:rsid w:val="00E65D0C"/>
    <w:rsid w:val="00E6642E"/>
    <w:rsid w:val="00E664F3"/>
    <w:rsid w:val="00E6669E"/>
    <w:rsid w:val="00E66D4F"/>
    <w:rsid w:val="00E678EC"/>
    <w:rsid w:val="00E6796A"/>
    <w:rsid w:val="00E67A1B"/>
    <w:rsid w:val="00E719A9"/>
    <w:rsid w:val="00E72401"/>
    <w:rsid w:val="00E727CF"/>
    <w:rsid w:val="00E72CF4"/>
    <w:rsid w:val="00E72EC4"/>
    <w:rsid w:val="00E73206"/>
    <w:rsid w:val="00E7384B"/>
    <w:rsid w:val="00E7385F"/>
    <w:rsid w:val="00E741DC"/>
    <w:rsid w:val="00E74811"/>
    <w:rsid w:val="00E74AC4"/>
    <w:rsid w:val="00E74F4F"/>
    <w:rsid w:val="00E7564D"/>
    <w:rsid w:val="00E7594D"/>
    <w:rsid w:val="00E75EC9"/>
    <w:rsid w:val="00E76521"/>
    <w:rsid w:val="00E76B53"/>
    <w:rsid w:val="00E76CD3"/>
    <w:rsid w:val="00E76DA6"/>
    <w:rsid w:val="00E77221"/>
    <w:rsid w:val="00E77679"/>
    <w:rsid w:val="00E778B2"/>
    <w:rsid w:val="00E805BF"/>
    <w:rsid w:val="00E81083"/>
    <w:rsid w:val="00E81174"/>
    <w:rsid w:val="00E81DC6"/>
    <w:rsid w:val="00E82AC8"/>
    <w:rsid w:val="00E8340C"/>
    <w:rsid w:val="00E83B9D"/>
    <w:rsid w:val="00E83F15"/>
    <w:rsid w:val="00E841F1"/>
    <w:rsid w:val="00E84992"/>
    <w:rsid w:val="00E85292"/>
    <w:rsid w:val="00E85E81"/>
    <w:rsid w:val="00E86833"/>
    <w:rsid w:val="00E86D18"/>
    <w:rsid w:val="00E86F2D"/>
    <w:rsid w:val="00E874A7"/>
    <w:rsid w:val="00E87CB5"/>
    <w:rsid w:val="00E9134E"/>
    <w:rsid w:val="00E9151E"/>
    <w:rsid w:val="00E916CC"/>
    <w:rsid w:val="00E91CAD"/>
    <w:rsid w:val="00E91F9B"/>
    <w:rsid w:val="00E92316"/>
    <w:rsid w:val="00E92E66"/>
    <w:rsid w:val="00E93E48"/>
    <w:rsid w:val="00E9426B"/>
    <w:rsid w:val="00E9505D"/>
    <w:rsid w:val="00E95067"/>
    <w:rsid w:val="00E95E84"/>
    <w:rsid w:val="00E95F0A"/>
    <w:rsid w:val="00E962E8"/>
    <w:rsid w:val="00E96613"/>
    <w:rsid w:val="00E96779"/>
    <w:rsid w:val="00E97FA0"/>
    <w:rsid w:val="00E97FB6"/>
    <w:rsid w:val="00EA040B"/>
    <w:rsid w:val="00EA052A"/>
    <w:rsid w:val="00EA0A0B"/>
    <w:rsid w:val="00EA1890"/>
    <w:rsid w:val="00EA2281"/>
    <w:rsid w:val="00EA2820"/>
    <w:rsid w:val="00EA34BE"/>
    <w:rsid w:val="00EA3C64"/>
    <w:rsid w:val="00EA4739"/>
    <w:rsid w:val="00EA536B"/>
    <w:rsid w:val="00EA5436"/>
    <w:rsid w:val="00EA5943"/>
    <w:rsid w:val="00EA5D32"/>
    <w:rsid w:val="00EA63ED"/>
    <w:rsid w:val="00EA6775"/>
    <w:rsid w:val="00EA7594"/>
    <w:rsid w:val="00EA7AAD"/>
    <w:rsid w:val="00EA7D8A"/>
    <w:rsid w:val="00EB05F6"/>
    <w:rsid w:val="00EB2176"/>
    <w:rsid w:val="00EB21EF"/>
    <w:rsid w:val="00EB2BC3"/>
    <w:rsid w:val="00EB2C83"/>
    <w:rsid w:val="00EB2DEE"/>
    <w:rsid w:val="00EB3217"/>
    <w:rsid w:val="00EB34EB"/>
    <w:rsid w:val="00EB4014"/>
    <w:rsid w:val="00EB5E6E"/>
    <w:rsid w:val="00EB6817"/>
    <w:rsid w:val="00EB7D4B"/>
    <w:rsid w:val="00EC0B35"/>
    <w:rsid w:val="00EC175B"/>
    <w:rsid w:val="00EC316E"/>
    <w:rsid w:val="00EC3E9A"/>
    <w:rsid w:val="00EC43C3"/>
    <w:rsid w:val="00EC492A"/>
    <w:rsid w:val="00EC51A7"/>
    <w:rsid w:val="00EC56E6"/>
    <w:rsid w:val="00EC6EA6"/>
    <w:rsid w:val="00EC73E5"/>
    <w:rsid w:val="00EC7D61"/>
    <w:rsid w:val="00ED0562"/>
    <w:rsid w:val="00ED0B42"/>
    <w:rsid w:val="00ED0E01"/>
    <w:rsid w:val="00ED0F4D"/>
    <w:rsid w:val="00ED1958"/>
    <w:rsid w:val="00ED1B95"/>
    <w:rsid w:val="00ED2044"/>
    <w:rsid w:val="00ED20C0"/>
    <w:rsid w:val="00ED29DA"/>
    <w:rsid w:val="00ED2C60"/>
    <w:rsid w:val="00ED4030"/>
    <w:rsid w:val="00ED4FEE"/>
    <w:rsid w:val="00ED5383"/>
    <w:rsid w:val="00ED5A61"/>
    <w:rsid w:val="00ED5BCA"/>
    <w:rsid w:val="00ED612A"/>
    <w:rsid w:val="00ED647F"/>
    <w:rsid w:val="00ED730F"/>
    <w:rsid w:val="00ED798D"/>
    <w:rsid w:val="00ED7DB8"/>
    <w:rsid w:val="00EE06F0"/>
    <w:rsid w:val="00EE0712"/>
    <w:rsid w:val="00EE188F"/>
    <w:rsid w:val="00EE32D4"/>
    <w:rsid w:val="00EE3A19"/>
    <w:rsid w:val="00EE3F74"/>
    <w:rsid w:val="00EE3F7D"/>
    <w:rsid w:val="00EE40BB"/>
    <w:rsid w:val="00EE4B0F"/>
    <w:rsid w:val="00EE5BCE"/>
    <w:rsid w:val="00EE65B0"/>
    <w:rsid w:val="00EE68D2"/>
    <w:rsid w:val="00EE7E13"/>
    <w:rsid w:val="00EF012D"/>
    <w:rsid w:val="00EF075D"/>
    <w:rsid w:val="00EF1267"/>
    <w:rsid w:val="00EF1629"/>
    <w:rsid w:val="00EF1BE5"/>
    <w:rsid w:val="00EF22CC"/>
    <w:rsid w:val="00EF2356"/>
    <w:rsid w:val="00EF23DD"/>
    <w:rsid w:val="00EF29E7"/>
    <w:rsid w:val="00EF328E"/>
    <w:rsid w:val="00EF3521"/>
    <w:rsid w:val="00EF374E"/>
    <w:rsid w:val="00EF3978"/>
    <w:rsid w:val="00EF408E"/>
    <w:rsid w:val="00EF4E27"/>
    <w:rsid w:val="00EF5A1D"/>
    <w:rsid w:val="00EF5D1B"/>
    <w:rsid w:val="00EF6D6E"/>
    <w:rsid w:val="00EF714E"/>
    <w:rsid w:val="00EF7301"/>
    <w:rsid w:val="00EF795A"/>
    <w:rsid w:val="00EF7FDE"/>
    <w:rsid w:val="00F0081B"/>
    <w:rsid w:val="00F015D8"/>
    <w:rsid w:val="00F01DE8"/>
    <w:rsid w:val="00F01EFD"/>
    <w:rsid w:val="00F032EF"/>
    <w:rsid w:val="00F03353"/>
    <w:rsid w:val="00F034B4"/>
    <w:rsid w:val="00F0423A"/>
    <w:rsid w:val="00F05629"/>
    <w:rsid w:val="00F05B30"/>
    <w:rsid w:val="00F05B92"/>
    <w:rsid w:val="00F06187"/>
    <w:rsid w:val="00F062D1"/>
    <w:rsid w:val="00F06993"/>
    <w:rsid w:val="00F07CD4"/>
    <w:rsid w:val="00F101EE"/>
    <w:rsid w:val="00F108BD"/>
    <w:rsid w:val="00F10B83"/>
    <w:rsid w:val="00F111D2"/>
    <w:rsid w:val="00F117D5"/>
    <w:rsid w:val="00F11C43"/>
    <w:rsid w:val="00F1238E"/>
    <w:rsid w:val="00F123DC"/>
    <w:rsid w:val="00F12746"/>
    <w:rsid w:val="00F12750"/>
    <w:rsid w:val="00F12D3D"/>
    <w:rsid w:val="00F14B98"/>
    <w:rsid w:val="00F1543A"/>
    <w:rsid w:val="00F156E2"/>
    <w:rsid w:val="00F15A06"/>
    <w:rsid w:val="00F1604F"/>
    <w:rsid w:val="00F163CF"/>
    <w:rsid w:val="00F16617"/>
    <w:rsid w:val="00F16917"/>
    <w:rsid w:val="00F16CF4"/>
    <w:rsid w:val="00F16D05"/>
    <w:rsid w:val="00F16E8E"/>
    <w:rsid w:val="00F174C2"/>
    <w:rsid w:val="00F1785E"/>
    <w:rsid w:val="00F2096B"/>
    <w:rsid w:val="00F2099D"/>
    <w:rsid w:val="00F20DE8"/>
    <w:rsid w:val="00F226B3"/>
    <w:rsid w:val="00F22E0E"/>
    <w:rsid w:val="00F24808"/>
    <w:rsid w:val="00F256B2"/>
    <w:rsid w:val="00F25B14"/>
    <w:rsid w:val="00F25E6B"/>
    <w:rsid w:val="00F26B31"/>
    <w:rsid w:val="00F273A0"/>
    <w:rsid w:val="00F2750D"/>
    <w:rsid w:val="00F278CF"/>
    <w:rsid w:val="00F2799B"/>
    <w:rsid w:val="00F279F3"/>
    <w:rsid w:val="00F30055"/>
    <w:rsid w:val="00F30EA7"/>
    <w:rsid w:val="00F310F3"/>
    <w:rsid w:val="00F31DA1"/>
    <w:rsid w:val="00F31E81"/>
    <w:rsid w:val="00F32208"/>
    <w:rsid w:val="00F3224E"/>
    <w:rsid w:val="00F32B4E"/>
    <w:rsid w:val="00F32C40"/>
    <w:rsid w:val="00F32D1E"/>
    <w:rsid w:val="00F33348"/>
    <w:rsid w:val="00F3349C"/>
    <w:rsid w:val="00F33571"/>
    <w:rsid w:val="00F35009"/>
    <w:rsid w:val="00F35118"/>
    <w:rsid w:val="00F3724E"/>
    <w:rsid w:val="00F37B8F"/>
    <w:rsid w:val="00F37E12"/>
    <w:rsid w:val="00F37ED7"/>
    <w:rsid w:val="00F4026B"/>
    <w:rsid w:val="00F41695"/>
    <w:rsid w:val="00F41A5C"/>
    <w:rsid w:val="00F41BCB"/>
    <w:rsid w:val="00F41DAF"/>
    <w:rsid w:val="00F41DB4"/>
    <w:rsid w:val="00F42304"/>
    <w:rsid w:val="00F42318"/>
    <w:rsid w:val="00F42635"/>
    <w:rsid w:val="00F426C4"/>
    <w:rsid w:val="00F43274"/>
    <w:rsid w:val="00F432A2"/>
    <w:rsid w:val="00F43412"/>
    <w:rsid w:val="00F43B49"/>
    <w:rsid w:val="00F447DD"/>
    <w:rsid w:val="00F4486F"/>
    <w:rsid w:val="00F448BD"/>
    <w:rsid w:val="00F44D5F"/>
    <w:rsid w:val="00F4556C"/>
    <w:rsid w:val="00F45AD5"/>
    <w:rsid w:val="00F45CA3"/>
    <w:rsid w:val="00F46A9F"/>
    <w:rsid w:val="00F46BA1"/>
    <w:rsid w:val="00F47F6E"/>
    <w:rsid w:val="00F502DA"/>
    <w:rsid w:val="00F50531"/>
    <w:rsid w:val="00F51243"/>
    <w:rsid w:val="00F51D2F"/>
    <w:rsid w:val="00F51E49"/>
    <w:rsid w:val="00F52181"/>
    <w:rsid w:val="00F53403"/>
    <w:rsid w:val="00F54E04"/>
    <w:rsid w:val="00F54FDA"/>
    <w:rsid w:val="00F55BBA"/>
    <w:rsid w:val="00F56CF8"/>
    <w:rsid w:val="00F572FA"/>
    <w:rsid w:val="00F57AE9"/>
    <w:rsid w:val="00F60999"/>
    <w:rsid w:val="00F60DF1"/>
    <w:rsid w:val="00F61CEA"/>
    <w:rsid w:val="00F61F28"/>
    <w:rsid w:val="00F61FEB"/>
    <w:rsid w:val="00F622B9"/>
    <w:rsid w:val="00F6366D"/>
    <w:rsid w:val="00F64779"/>
    <w:rsid w:val="00F6529F"/>
    <w:rsid w:val="00F657F7"/>
    <w:rsid w:val="00F65DC8"/>
    <w:rsid w:val="00F65F74"/>
    <w:rsid w:val="00F65FBD"/>
    <w:rsid w:val="00F66180"/>
    <w:rsid w:val="00F6649F"/>
    <w:rsid w:val="00F66531"/>
    <w:rsid w:val="00F66673"/>
    <w:rsid w:val="00F678C2"/>
    <w:rsid w:val="00F67A25"/>
    <w:rsid w:val="00F706BA"/>
    <w:rsid w:val="00F71AF4"/>
    <w:rsid w:val="00F7248C"/>
    <w:rsid w:val="00F72935"/>
    <w:rsid w:val="00F72F9E"/>
    <w:rsid w:val="00F738A0"/>
    <w:rsid w:val="00F746AD"/>
    <w:rsid w:val="00F74B5A"/>
    <w:rsid w:val="00F74D87"/>
    <w:rsid w:val="00F74EB7"/>
    <w:rsid w:val="00F7508A"/>
    <w:rsid w:val="00F77C62"/>
    <w:rsid w:val="00F802CB"/>
    <w:rsid w:val="00F807A7"/>
    <w:rsid w:val="00F807C8"/>
    <w:rsid w:val="00F807E2"/>
    <w:rsid w:val="00F81149"/>
    <w:rsid w:val="00F8180A"/>
    <w:rsid w:val="00F81C1E"/>
    <w:rsid w:val="00F81E37"/>
    <w:rsid w:val="00F81F0E"/>
    <w:rsid w:val="00F82320"/>
    <w:rsid w:val="00F823BE"/>
    <w:rsid w:val="00F82A48"/>
    <w:rsid w:val="00F83020"/>
    <w:rsid w:val="00F83032"/>
    <w:rsid w:val="00F833C7"/>
    <w:rsid w:val="00F83703"/>
    <w:rsid w:val="00F838DC"/>
    <w:rsid w:val="00F845B8"/>
    <w:rsid w:val="00F84615"/>
    <w:rsid w:val="00F84F6C"/>
    <w:rsid w:val="00F85459"/>
    <w:rsid w:val="00F85604"/>
    <w:rsid w:val="00F86644"/>
    <w:rsid w:val="00F86A20"/>
    <w:rsid w:val="00F86C51"/>
    <w:rsid w:val="00F87138"/>
    <w:rsid w:val="00F8714E"/>
    <w:rsid w:val="00F878F0"/>
    <w:rsid w:val="00F90385"/>
    <w:rsid w:val="00F90D6F"/>
    <w:rsid w:val="00F91371"/>
    <w:rsid w:val="00F91AEE"/>
    <w:rsid w:val="00F92110"/>
    <w:rsid w:val="00F925E3"/>
    <w:rsid w:val="00F926FA"/>
    <w:rsid w:val="00F92D76"/>
    <w:rsid w:val="00F94B5C"/>
    <w:rsid w:val="00F952CD"/>
    <w:rsid w:val="00F95321"/>
    <w:rsid w:val="00F9560C"/>
    <w:rsid w:val="00F95722"/>
    <w:rsid w:val="00F96115"/>
    <w:rsid w:val="00F96B96"/>
    <w:rsid w:val="00F96FB6"/>
    <w:rsid w:val="00F972CD"/>
    <w:rsid w:val="00F97F58"/>
    <w:rsid w:val="00FA1062"/>
    <w:rsid w:val="00FA18E9"/>
    <w:rsid w:val="00FA2105"/>
    <w:rsid w:val="00FA24C8"/>
    <w:rsid w:val="00FA2D79"/>
    <w:rsid w:val="00FA2E44"/>
    <w:rsid w:val="00FA455A"/>
    <w:rsid w:val="00FA4935"/>
    <w:rsid w:val="00FA4B24"/>
    <w:rsid w:val="00FA5C1A"/>
    <w:rsid w:val="00FA778E"/>
    <w:rsid w:val="00FA779D"/>
    <w:rsid w:val="00FB01ED"/>
    <w:rsid w:val="00FB02E3"/>
    <w:rsid w:val="00FB0AE4"/>
    <w:rsid w:val="00FB16CC"/>
    <w:rsid w:val="00FB248D"/>
    <w:rsid w:val="00FB250C"/>
    <w:rsid w:val="00FB254F"/>
    <w:rsid w:val="00FB2EA5"/>
    <w:rsid w:val="00FB46C1"/>
    <w:rsid w:val="00FB49BF"/>
    <w:rsid w:val="00FB4E57"/>
    <w:rsid w:val="00FB4F50"/>
    <w:rsid w:val="00FB51BC"/>
    <w:rsid w:val="00FB5929"/>
    <w:rsid w:val="00FB5B15"/>
    <w:rsid w:val="00FB62C6"/>
    <w:rsid w:val="00FB6835"/>
    <w:rsid w:val="00FB6A62"/>
    <w:rsid w:val="00FB6D04"/>
    <w:rsid w:val="00FB7488"/>
    <w:rsid w:val="00FB75DE"/>
    <w:rsid w:val="00FB78D0"/>
    <w:rsid w:val="00FB7AB5"/>
    <w:rsid w:val="00FB7E90"/>
    <w:rsid w:val="00FB7E9C"/>
    <w:rsid w:val="00FC0632"/>
    <w:rsid w:val="00FC07AB"/>
    <w:rsid w:val="00FC123C"/>
    <w:rsid w:val="00FC14E4"/>
    <w:rsid w:val="00FC16B0"/>
    <w:rsid w:val="00FC26E1"/>
    <w:rsid w:val="00FC2876"/>
    <w:rsid w:val="00FC3EEC"/>
    <w:rsid w:val="00FC4040"/>
    <w:rsid w:val="00FC4B9D"/>
    <w:rsid w:val="00FC5E21"/>
    <w:rsid w:val="00FC6123"/>
    <w:rsid w:val="00FC6275"/>
    <w:rsid w:val="00FC651B"/>
    <w:rsid w:val="00FC692F"/>
    <w:rsid w:val="00FC6A68"/>
    <w:rsid w:val="00FC7163"/>
    <w:rsid w:val="00FC77EB"/>
    <w:rsid w:val="00FC78FF"/>
    <w:rsid w:val="00FD0005"/>
    <w:rsid w:val="00FD04D8"/>
    <w:rsid w:val="00FD0862"/>
    <w:rsid w:val="00FD0BEE"/>
    <w:rsid w:val="00FD1AD7"/>
    <w:rsid w:val="00FD1E22"/>
    <w:rsid w:val="00FD200E"/>
    <w:rsid w:val="00FD286B"/>
    <w:rsid w:val="00FD2F50"/>
    <w:rsid w:val="00FD3B63"/>
    <w:rsid w:val="00FD3C22"/>
    <w:rsid w:val="00FD474D"/>
    <w:rsid w:val="00FD4776"/>
    <w:rsid w:val="00FD56BD"/>
    <w:rsid w:val="00FD591E"/>
    <w:rsid w:val="00FD67CD"/>
    <w:rsid w:val="00FD79B9"/>
    <w:rsid w:val="00FD7FBF"/>
    <w:rsid w:val="00FE00EF"/>
    <w:rsid w:val="00FE03CF"/>
    <w:rsid w:val="00FE0BA9"/>
    <w:rsid w:val="00FE1031"/>
    <w:rsid w:val="00FE2B47"/>
    <w:rsid w:val="00FE2BD0"/>
    <w:rsid w:val="00FE3B85"/>
    <w:rsid w:val="00FE4293"/>
    <w:rsid w:val="00FE4793"/>
    <w:rsid w:val="00FE4997"/>
    <w:rsid w:val="00FE49B4"/>
    <w:rsid w:val="00FE4C3F"/>
    <w:rsid w:val="00FE4F6F"/>
    <w:rsid w:val="00FE68EC"/>
    <w:rsid w:val="00FE6A6D"/>
    <w:rsid w:val="00FE6AF9"/>
    <w:rsid w:val="00FE740A"/>
    <w:rsid w:val="00FE7A26"/>
    <w:rsid w:val="00FE7EC1"/>
    <w:rsid w:val="00FF09DA"/>
    <w:rsid w:val="00FF1FC4"/>
    <w:rsid w:val="00FF2441"/>
    <w:rsid w:val="00FF3952"/>
    <w:rsid w:val="00FF3BB6"/>
    <w:rsid w:val="00FF4376"/>
    <w:rsid w:val="00FF459C"/>
    <w:rsid w:val="00FF46B9"/>
    <w:rsid w:val="00FF4CEE"/>
    <w:rsid w:val="00FF52EC"/>
    <w:rsid w:val="00FF5869"/>
    <w:rsid w:val="00FF5B8E"/>
    <w:rsid w:val="00FF5F7D"/>
    <w:rsid w:val="00FF6E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5485A"/>
    <w:rPr>
      <w:sz w:val="20"/>
      <w:szCs w:val="20"/>
    </w:rPr>
  </w:style>
  <w:style w:type="character" w:customStyle="1" w:styleId="FootnoteTextChar">
    <w:name w:val="Footnote Text Char"/>
    <w:basedOn w:val="DefaultParagraphFont"/>
    <w:link w:val="FootnoteText"/>
    <w:semiHidden/>
    <w:rsid w:val="002E3713"/>
  </w:style>
  <w:style w:type="character" w:styleId="FootnoteReference">
    <w:name w:val="footnote reference"/>
    <w:basedOn w:val="DefaultParagraphFont"/>
    <w:semiHidden/>
    <w:rsid w:val="0015485A"/>
    <w:rPr>
      <w:vertAlign w:val="superscript"/>
    </w:rPr>
  </w:style>
  <w:style w:type="table" w:styleId="TableGrid">
    <w:name w:val="Table Grid"/>
    <w:basedOn w:val="TableNormal"/>
    <w:uiPriority w:val="59"/>
    <w:rsid w:val="004E7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4E7C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ediumList2-Accent1">
    <w:name w:val="Medium List 2 Accent 1"/>
    <w:basedOn w:val="TableNormal"/>
    <w:uiPriority w:val="66"/>
    <w:rsid w:val="00C03DBD"/>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Caption">
    <w:name w:val="caption"/>
    <w:basedOn w:val="Normal"/>
    <w:next w:val="Normal"/>
    <w:qFormat/>
    <w:rsid w:val="00273EA5"/>
    <w:pPr>
      <w:spacing w:before="120" w:after="120"/>
    </w:pPr>
    <w:rPr>
      <w:b/>
      <w:bCs/>
      <w:sz w:val="20"/>
      <w:szCs w:val="20"/>
    </w:rPr>
  </w:style>
  <w:style w:type="character" w:styleId="CommentReference">
    <w:name w:val="annotation reference"/>
    <w:basedOn w:val="DefaultParagraphFont"/>
    <w:uiPriority w:val="99"/>
    <w:semiHidden/>
    <w:unhideWhenUsed/>
    <w:rsid w:val="00C1279F"/>
    <w:rPr>
      <w:sz w:val="16"/>
      <w:szCs w:val="16"/>
    </w:rPr>
  </w:style>
  <w:style w:type="paragraph" w:styleId="CommentText">
    <w:name w:val="annotation text"/>
    <w:basedOn w:val="Normal"/>
    <w:link w:val="CommentTextChar"/>
    <w:uiPriority w:val="99"/>
    <w:semiHidden/>
    <w:unhideWhenUsed/>
    <w:rsid w:val="00C1279F"/>
    <w:rPr>
      <w:sz w:val="20"/>
      <w:szCs w:val="20"/>
    </w:rPr>
  </w:style>
  <w:style w:type="character" w:customStyle="1" w:styleId="CommentTextChar">
    <w:name w:val="Comment Text Char"/>
    <w:basedOn w:val="DefaultParagraphFont"/>
    <w:link w:val="CommentText"/>
    <w:uiPriority w:val="99"/>
    <w:semiHidden/>
    <w:rsid w:val="00C1279F"/>
  </w:style>
  <w:style w:type="paragraph" w:styleId="CommentSubject">
    <w:name w:val="annotation subject"/>
    <w:basedOn w:val="CommentText"/>
    <w:next w:val="CommentText"/>
    <w:link w:val="CommentSubjectChar"/>
    <w:uiPriority w:val="99"/>
    <w:semiHidden/>
    <w:unhideWhenUsed/>
    <w:rsid w:val="00C1279F"/>
    <w:rPr>
      <w:b/>
      <w:bCs/>
    </w:rPr>
  </w:style>
  <w:style w:type="character" w:customStyle="1" w:styleId="CommentSubjectChar">
    <w:name w:val="Comment Subject Char"/>
    <w:basedOn w:val="CommentTextChar"/>
    <w:link w:val="CommentSubject"/>
    <w:uiPriority w:val="99"/>
    <w:semiHidden/>
    <w:rsid w:val="00C1279F"/>
    <w:rPr>
      <w:b/>
      <w:bCs/>
    </w:rPr>
  </w:style>
  <w:style w:type="paragraph" w:styleId="BalloonText">
    <w:name w:val="Balloon Text"/>
    <w:basedOn w:val="Normal"/>
    <w:link w:val="BalloonTextChar"/>
    <w:uiPriority w:val="99"/>
    <w:semiHidden/>
    <w:unhideWhenUsed/>
    <w:rsid w:val="00C1279F"/>
    <w:rPr>
      <w:rFonts w:ascii="Tahoma" w:hAnsi="Tahoma" w:cs="Tahoma"/>
      <w:sz w:val="16"/>
      <w:szCs w:val="16"/>
    </w:rPr>
  </w:style>
  <w:style w:type="character" w:customStyle="1" w:styleId="BalloonTextChar">
    <w:name w:val="Balloon Text Char"/>
    <w:basedOn w:val="DefaultParagraphFont"/>
    <w:link w:val="BalloonText"/>
    <w:uiPriority w:val="99"/>
    <w:semiHidden/>
    <w:rsid w:val="00C1279F"/>
    <w:rPr>
      <w:rFonts w:ascii="Tahoma" w:hAnsi="Tahoma" w:cs="Tahoma"/>
      <w:sz w:val="16"/>
      <w:szCs w:val="16"/>
    </w:rPr>
  </w:style>
  <w:style w:type="character" w:styleId="Hyperlink">
    <w:name w:val="Hyperlink"/>
    <w:basedOn w:val="DefaultParagraphFont"/>
    <w:rsid w:val="000238D4"/>
    <w:rPr>
      <w:color w:val="0000FF"/>
      <w:u w:val="single"/>
    </w:rPr>
  </w:style>
  <w:style w:type="paragraph" w:customStyle="1" w:styleId="Default">
    <w:name w:val="Default"/>
    <w:rsid w:val="008C79C9"/>
    <w:pPr>
      <w:autoSpaceDE w:val="0"/>
      <w:autoSpaceDN w:val="0"/>
      <w:adjustRightInd w:val="0"/>
    </w:pPr>
    <w:rPr>
      <w:color w:val="000000"/>
      <w:sz w:val="24"/>
      <w:szCs w:val="24"/>
    </w:rPr>
  </w:style>
  <w:style w:type="paragraph" w:styleId="Header">
    <w:name w:val="header"/>
    <w:basedOn w:val="Normal"/>
    <w:link w:val="HeaderChar"/>
    <w:uiPriority w:val="99"/>
    <w:unhideWhenUsed/>
    <w:rsid w:val="00B43C92"/>
    <w:pPr>
      <w:tabs>
        <w:tab w:val="center" w:pos="4513"/>
        <w:tab w:val="right" w:pos="9026"/>
      </w:tabs>
    </w:pPr>
  </w:style>
  <w:style w:type="character" w:customStyle="1" w:styleId="HeaderChar">
    <w:name w:val="Header Char"/>
    <w:basedOn w:val="DefaultParagraphFont"/>
    <w:link w:val="Header"/>
    <w:uiPriority w:val="99"/>
    <w:rsid w:val="00B43C92"/>
    <w:rPr>
      <w:sz w:val="24"/>
      <w:szCs w:val="24"/>
    </w:rPr>
  </w:style>
  <w:style w:type="paragraph" w:styleId="Footer">
    <w:name w:val="footer"/>
    <w:basedOn w:val="Normal"/>
    <w:link w:val="FooterChar"/>
    <w:uiPriority w:val="99"/>
    <w:unhideWhenUsed/>
    <w:rsid w:val="00B43C92"/>
    <w:pPr>
      <w:tabs>
        <w:tab w:val="center" w:pos="4513"/>
        <w:tab w:val="right" w:pos="9026"/>
      </w:tabs>
    </w:pPr>
  </w:style>
  <w:style w:type="character" w:customStyle="1" w:styleId="FooterChar">
    <w:name w:val="Footer Char"/>
    <w:basedOn w:val="DefaultParagraphFont"/>
    <w:link w:val="Footer"/>
    <w:uiPriority w:val="99"/>
    <w:rsid w:val="00B43C92"/>
    <w:rPr>
      <w:sz w:val="24"/>
      <w:szCs w:val="24"/>
    </w:rPr>
  </w:style>
  <w:style w:type="paragraph" w:styleId="EndnoteText">
    <w:name w:val="endnote text"/>
    <w:basedOn w:val="Normal"/>
    <w:link w:val="EndnoteTextChar"/>
    <w:uiPriority w:val="99"/>
    <w:semiHidden/>
    <w:unhideWhenUsed/>
    <w:rsid w:val="00EA7594"/>
    <w:rPr>
      <w:sz w:val="20"/>
      <w:szCs w:val="20"/>
    </w:rPr>
  </w:style>
  <w:style w:type="character" w:customStyle="1" w:styleId="EndnoteTextChar">
    <w:name w:val="Endnote Text Char"/>
    <w:basedOn w:val="DefaultParagraphFont"/>
    <w:link w:val="EndnoteText"/>
    <w:uiPriority w:val="99"/>
    <w:semiHidden/>
    <w:rsid w:val="00EA7594"/>
  </w:style>
  <w:style w:type="character" w:styleId="EndnoteReference">
    <w:name w:val="endnote reference"/>
    <w:basedOn w:val="DefaultParagraphFont"/>
    <w:uiPriority w:val="99"/>
    <w:semiHidden/>
    <w:unhideWhenUsed/>
    <w:rsid w:val="00EA7594"/>
    <w:rPr>
      <w:vertAlign w:val="superscript"/>
    </w:rPr>
  </w:style>
  <w:style w:type="paragraph" w:styleId="ListParagraph">
    <w:name w:val="List Paragraph"/>
    <w:basedOn w:val="Normal"/>
    <w:uiPriority w:val="34"/>
    <w:qFormat/>
    <w:rsid w:val="008E61AF"/>
    <w:pPr>
      <w:ind w:left="720"/>
      <w:contextualSpacing/>
    </w:pPr>
  </w:style>
  <w:style w:type="character" w:styleId="PlaceholderText">
    <w:name w:val="Placeholder Text"/>
    <w:basedOn w:val="DefaultParagraphFont"/>
    <w:uiPriority w:val="99"/>
    <w:semiHidden/>
    <w:rsid w:val="006E17EF"/>
    <w:rPr>
      <w:color w:val="808080"/>
    </w:rPr>
  </w:style>
  <w:style w:type="paragraph" w:styleId="Revision">
    <w:name w:val="Revision"/>
    <w:hidden/>
    <w:uiPriority w:val="99"/>
    <w:semiHidden/>
    <w:rsid w:val="00C75D23"/>
    <w:rPr>
      <w:sz w:val="24"/>
      <w:szCs w:val="24"/>
    </w:rPr>
  </w:style>
  <w:style w:type="character" w:customStyle="1" w:styleId="apple-converted-space">
    <w:name w:val="apple-converted-space"/>
    <w:basedOn w:val="DefaultParagraphFont"/>
    <w:rsid w:val="00627217"/>
  </w:style>
</w:styles>
</file>

<file path=word/webSettings.xml><?xml version="1.0" encoding="utf-8"?>
<w:webSettings xmlns:r="http://schemas.openxmlformats.org/officeDocument/2006/relationships" xmlns:w="http://schemas.openxmlformats.org/wordprocessingml/2006/main">
  <w:divs>
    <w:div w:id="334380522">
      <w:bodyDiv w:val="1"/>
      <w:marLeft w:val="0"/>
      <w:marRight w:val="0"/>
      <w:marTop w:val="0"/>
      <w:marBottom w:val="0"/>
      <w:divBdr>
        <w:top w:val="none" w:sz="0" w:space="0" w:color="auto"/>
        <w:left w:val="none" w:sz="0" w:space="0" w:color="auto"/>
        <w:bottom w:val="none" w:sz="0" w:space="0" w:color="auto"/>
        <w:right w:val="none" w:sz="0" w:space="0" w:color="auto"/>
      </w:divBdr>
    </w:div>
    <w:div w:id="780689909">
      <w:bodyDiv w:val="1"/>
      <w:marLeft w:val="0"/>
      <w:marRight w:val="0"/>
      <w:marTop w:val="0"/>
      <w:marBottom w:val="0"/>
      <w:divBdr>
        <w:top w:val="none" w:sz="0" w:space="0" w:color="auto"/>
        <w:left w:val="none" w:sz="0" w:space="0" w:color="auto"/>
        <w:bottom w:val="none" w:sz="0" w:space="0" w:color="auto"/>
        <w:right w:val="none" w:sz="0" w:space="0" w:color="auto"/>
      </w:divBdr>
      <w:divsChild>
        <w:div w:id="1018696176">
          <w:marLeft w:val="0"/>
          <w:marRight w:val="75"/>
          <w:marTop w:val="0"/>
          <w:marBottom w:val="0"/>
          <w:divBdr>
            <w:top w:val="none" w:sz="0" w:space="0" w:color="auto"/>
            <w:left w:val="single" w:sz="6" w:space="2" w:color="DDDDDD"/>
            <w:bottom w:val="single" w:sz="6" w:space="2" w:color="DDDDDD"/>
            <w:right w:val="none" w:sz="0" w:space="0" w:color="auto"/>
          </w:divBdr>
          <w:divsChild>
            <w:div w:id="156894693">
              <w:marLeft w:val="0"/>
              <w:marRight w:val="75"/>
              <w:marTop w:val="0"/>
              <w:marBottom w:val="0"/>
              <w:divBdr>
                <w:top w:val="single" w:sz="6" w:space="8" w:color="A6B5C7"/>
                <w:left w:val="single" w:sz="6" w:space="2" w:color="DDDDDD"/>
                <w:bottom w:val="single" w:sz="6" w:space="2" w:color="DDDDDD"/>
                <w:right w:val="single" w:sz="6" w:space="8" w:color="A6B5C7"/>
              </w:divBdr>
              <w:divsChild>
                <w:div w:id="1915238554">
                  <w:marLeft w:val="0"/>
                  <w:marRight w:val="75"/>
                  <w:marTop w:val="0"/>
                  <w:marBottom w:val="0"/>
                  <w:divBdr>
                    <w:top w:val="single" w:sz="6" w:space="4" w:color="E4E4E4"/>
                    <w:left w:val="single" w:sz="6" w:space="2" w:color="DDDDDD"/>
                    <w:bottom w:val="single" w:sz="6" w:space="2" w:color="DDDDDD"/>
                    <w:right w:val="single" w:sz="6" w:space="15" w:color="E4E4E4"/>
                  </w:divBdr>
                  <w:divsChild>
                    <w:div w:id="640309924">
                      <w:marLeft w:val="0"/>
                      <w:marRight w:val="75"/>
                      <w:marTop w:val="0"/>
                      <w:marBottom w:val="0"/>
                      <w:divBdr>
                        <w:top w:val="single" w:sz="6" w:space="4" w:color="E4E4E4"/>
                        <w:left w:val="single" w:sz="6" w:space="2" w:color="DDDDDD"/>
                        <w:bottom w:val="single" w:sz="6" w:space="2" w:color="DDDDDD"/>
                        <w:right w:val="single" w:sz="6" w:space="15" w:color="E4E4E4"/>
                      </w:divBdr>
                    </w:div>
                  </w:divsChild>
                </w:div>
              </w:divsChild>
            </w:div>
          </w:divsChild>
        </w:div>
      </w:divsChild>
    </w:div>
    <w:div w:id="1662542362">
      <w:bodyDiv w:val="1"/>
      <w:marLeft w:val="0"/>
      <w:marRight w:val="0"/>
      <w:marTop w:val="0"/>
      <w:marBottom w:val="0"/>
      <w:divBdr>
        <w:top w:val="none" w:sz="0" w:space="0" w:color="auto"/>
        <w:left w:val="none" w:sz="0" w:space="0" w:color="auto"/>
        <w:bottom w:val="none" w:sz="0" w:space="0" w:color="auto"/>
        <w:right w:val="none" w:sz="0" w:space="0" w:color="auto"/>
      </w:divBdr>
      <w:divsChild>
        <w:div w:id="1898272586">
          <w:marLeft w:val="0"/>
          <w:marRight w:val="0"/>
          <w:marTop w:val="0"/>
          <w:marBottom w:val="0"/>
          <w:divBdr>
            <w:top w:val="none" w:sz="0" w:space="0" w:color="auto"/>
            <w:left w:val="none" w:sz="0" w:space="0" w:color="auto"/>
            <w:bottom w:val="none" w:sz="0" w:space="0" w:color="auto"/>
            <w:right w:val="none" w:sz="0" w:space="0" w:color="auto"/>
          </w:divBdr>
        </w:div>
        <w:div w:id="1564950699">
          <w:marLeft w:val="0"/>
          <w:marRight w:val="0"/>
          <w:marTop w:val="0"/>
          <w:marBottom w:val="0"/>
          <w:divBdr>
            <w:top w:val="none" w:sz="0" w:space="0" w:color="auto"/>
            <w:left w:val="none" w:sz="0" w:space="0" w:color="auto"/>
            <w:bottom w:val="none" w:sz="0" w:space="0" w:color="auto"/>
            <w:right w:val="none" w:sz="0" w:space="0" w:color="auto"/>
          </w:divBdr>
        </w:div>
        <w:div w:id="74669733">
          <w:marLeft w:val="0"/>
          <w:marRight w:val="0"/>
          <w:marTop w:val="0"/>
          <w:marBottom w:val="0"/>
          <w:divBdr>
            <w:top w:val="none" w:sz="0" w:space="0" w:color="auto"/>
            <w:left w:val="none" w:sz="0" w:space="0" w:color="auto"/>
            <w:bottom w:val="none" w:sz="0" w:space="0" w:color="auto"/>
            <w:right w:val="none" w:sz="0" w:space="0" w:color="auto"/>
          </w:divBdr>
        </w:div>
        <w:div w:id="2052075247">
          <w:marLeft w:val="0"/>
          <w:marRight w:val="0"/>
          <w:marTop w:val="0"/>
          <w:marBottom w:val="0"/>
          <w:divBdr>
            <w:top w:val="none" w:sz="0" w:space="0" w:color="auto"/>
            <w:left w:val="none" w:sz="0" w:space="0" w:color="auto"/>
            <w:bottom w:val="none" w:sz="0" w:space="0" w:color="auto"/>
            <w:right w:val="none" w:sz="0" w:space="0" w:color="auto"/>
          </w:divBdr>
        </w:div>
        <w:div w:id="626084903">
          <w:marLeft w:val="0"/>
          <w:marRight w:val="0"/>
          <w:marTop w:val="0"/>
          <w:marBottom w:val="0"/>
          <w:divBdr>
            <w:top w:val="none" w:sz="0" w:space="0" w:color="auto"/>
            <w:left w:val="none" w:sz="0" w:space="0" w:color="auto"/>
            <w:bottom w:val="none" w:sz="0" w:space="0" w:color="auto"/>
            <w:right w:val="none" w:sz="0" w:space="0" w:color="auto"/>
          </w:divBdr>
        </w:div>
        <w:div w:id="75708378">
          <w:marLeft w:val="0"/>
          <w:marRight w:val="0"/>
          <w:marTop w:val="0"/>
          <w:marBottom w:val="0"/>
          <w:divBdr>
            <w:top w:val="none" w:sz="0" w:space="0" w:color="auto"/>
            <w:left w:val="none" w:sz="0" w:space="0" w:color="auto"/>
            <w:bottom w:val="none" w:sz="0" w:space="0" w:color="auto"/>
            <w:right w:val="none" w:sz="0" w:space="0" w:color="auto"/>
          </w:divBdr>
        </w:div>
        <w:div w:id="1089230861">
          <w:marLeft w:val="0"/>
          <w:marRight w:val="0"/>
          <w:marTop w:val="0"/>
          <w:marBottom w:val="0"/>
          <w:divBdr>
            <w:top w:val="none" w:sz="0" w:space="0" w:color="auto"/>
            <w:left w:val="none" w:sz="0" w:space="0" w:color="auto"/>
            <w:bottom w:val="none" w:sz="0" w:space="0" w:color="auto"/>
            <w:right w:val="none" w:sz="0" w:space="0" w:color="auto"/>
          </w:divBdr>
        </w:div>
        <w:div w:id="73556601">
          <w:marLeft w:val="0"/>
          <w:marRight w:val="0"/>
          <w:marTop w:val="0"/>
          <w:marBottom w:val="0"/>
          <w:divBdr>
            <w:top w:val="none" w:sz="0" w:space="0" w:color="auto"/>
            <w:left w:val="none" w:sz="0" w:space="0" w:color="auto"/>
            <w:bottom w:val="none" w:sz="0" w:space="0" w:color="auto"/>
            <w:right w:val="none" w:sz="0" w:space="0" w:color="auto"/>
          </w:divBdr>
        </w:div>
        <w:div w:id="1913805274">
          <w:marLeft w:val="0"/>
          <w:marRight w:val="0"/>
          <w:marTop w:val="0"/>
          <w:marBottom w:val="0"/>
          <w:divBdr>
            <w:top w:val="none" w:sz="0" w:space="0" w:color="auto"/>
            <w:left w:val="none" w:sz="0" w:space="0" w:color="auto"/>
            <w:bottom w:val="none" w:sz="0" w:space="0" w:color="auto"/>
            <w:right w:val="none" w:sz="0" w:space="0" w:color="auto"/>
          </w:divBdr>
        </w:div>
        <w:div w:id="698971486">
          <w:marLeft w:val="0"/>
          <w:marRight w:val="0"/>
          <w:marTop w:val="0"/>
          <w:marBottom w:val="0"/>
          <w:divBdr>
            <w:top w:val="none" w:sz="0" w:space="0" w:color="auto"/>
            <w:left w:val="none" w:sz="0" w:space="0" w:color="auto"/>
            <w:bottom w:val="none" w:sz="0" w:space="0" w:color="auto"/>
            <w:right w:val="none" w:sz="0" w:space="0" w:color="auto"/>
          </w:divBdr>
        </w:div>
        <w:div w:id="1430346479">
          <w:marLeft w:val="0"/>
          <w:marRight w:val="0"/>
          <w:marTop w:val="0"/>
          <w:marBottom w:val="0"/>
          <w:divBdr>
            <w:top w:val="none" w:sz="0" w:space="0" w:color="auto"/>
            <w:left w:val="none" w:sz="0" w:space="0" w:color="auto"/>
            <w:bottom w:val="none" w:sz="0" w:space="0" w:color="auto"/>
            <w:right w:val="none" w:sz="0" w:space="0" w:color="auto"/>
          </w:divBdr>
        </w:div>
        <w:div w:id="845025401">
          <w:marLeft w:val="0"/>
          <w:marRight w:val="0"/>
          <w:marTop w:val="0"/>
          <w:marBottom w:val="0"/>
          <w:divBdr>
            <w:top w:val="none" w:sz="0" w:space="0" w:color="auto"/>
            <w:left w:val="none" w:sz="0" w:space="0" w:color="auto"/>
            <w:bottom w:val="none" w:sz="0" w:space="0" w:color="auto"/>
            <w:right w:val="none" w:sz="0" w:space="0" w:color="auto"/>
          </w:divBdr>
        </w:div>
        <w:div w:id="1895657081">
          <w:marLeft w:val="0"/>
          <w:marRight w:val="0"/>
          <w:marTop w:val="0"/>
          <w:marBottom w:val="0"/>
          <w:divBdr>
            <w:top w:val="none" w:sz="0" w:space="0" w:color="auto"/>
            <w:left w:val="none" w:sz="0" w:space="0" w:color="auto"/>
            <w:bottom w:val="none" w:sz="0" w:space="0" w:color="auto"/>
            <w:right w:val="none" w:sz="0" w:space="0" w:color="auto"/>
          </w:divBdr>
        </w:div>
        <w:div w:id="833036880">
          <w:marLeft w:val="0"/>
          <w:marRight w:val="0"/>
          <w:marTop w:val="0"/>
          <w:marBottom w:val="0"/>
          <w:divBdr>
            <w:top w:val="none" w:sz="0" w:space="0" w:color="auto"/>
            <w:left w:val="none" w:sz="0" w:space="0" w:color="auto"/>
            <w:bottom w:val="none" w:sz="0" w:space="0" w:color="auto"/>
            <w:right w:val="none" w:sz="0" w:space="0" w:color="auto"/>
          </w:divBdr>
        </w:div>
        <w:div w:id="2051033438">
          <w:marLeft w:val="0"/>
          <w:marRight w:val="0"/>
          <w:marTop w:val="0"/>
          <w:marBottom w:val="0"/>
          <w:divBdr>
            <w:top w:val="none" w:sz="0" w:space="0" w:color="auto"/>
            <w:left w:val="none" w:sz="0" w:space="0" w:color="auto"/>
            <w:bottom w:val="none" w:sz="0" w:space="0" w:color="auto"/>
            <w:right w:val="none" w:sz="0" w:space="0" w:color="auto"/>
          </w:divBdr>
        </w:div>
        <w:div w:id="1155295422">
          <w:marLeft w:val="0"/>
          <w:marRight w:val="0"/>
          <w:marTop w:val="0"/>
          <w:marBottom w:val="0"/>
          <w:divBdr>
            <w:top w:val="none" w:sz="0" w:space="0" w:color="auto"/>
            <w:left w:val="none" w:sz="0" w:space="0" w:color="auto"/>
            <w:bottom w:val="none" w:sz="0" w:space="0" w:color="auto"/>
            <w:right w:val="none" w:sz="0" w:space="0" w:color="auto"/>
          </w:divBdr>
        </w:div>
      </w:divsChild>
    </w:div>
    <w:div w:id="2083990965">
      <w:bodyDiv w:val="1"/>
      <w:marLeft w:val="137"/>
      <w:marRight w:val="0"/>
      <w:marTop w:val="91"/>
      <w:marBottom w:val="0"/>
      <w:divBdr>
        <w:top w:val="none" w:sz="0" w:space="0" w:color="auto"/>
        <w:left w:val="none" w:sz="0" w:space="0" w:color="auto"/>
        <w:bottom w:val="none" w:sz="0" w:space="0" w:color="auto"/>
        <w:right w:val="none" w:sz="0" w:space="0" w:color="auto"/>
      </w:divBdr>
      <w:divsChild>
        <w:div w:id="966156391">
          <w:marLeft w:val="0"/>
          <w:marRight w:val="0"/>
          <w:marTop w:val="0"/>
          <w:marBottom w:val="0"/>
          <w:divBdr>
            <w:top w:val="none" w:sz="0" w:space="0" w:color="auto"/>
            <w:left w:val="none" w:sz="0" w:space="0" w:color="auto"/>
            <w:bottom w:val="none" w:sz="0" w:space="0" w:color="auto"/>
            <w:right w:val="none" w:sz="0" w:space="0" w:color="auto"/>
          </w:divBdr>
          <w:divsChild>
            <w:div w:id="583732620">
              <w:marLeft w:val="0"/>
              <w:marRight w:val="0"/>
              <w:marTop w:val="0"/>
              <w:marBottom w:val="0"/>
              <w:divBdr>
                <w:top w:val="none" w:sz="0" w:space="0" w:color="auto"/>
                <w:left w:val="none" w:sz="0" w:space="0" w:color="auto"/>
                <w:bottom w:val="none" w:sz="0" w:space="0" w:color="auto"/>
                <w:right w:val="none" w:sz="0" w:space="0" w:color="auto"/>
              </w:divBdr>
              <w:divsChild>
                <w:div w:id="2098822417">
                  <w:marLeft w:val="0"/>
                  <w:marRight w:val="0"/>
                  <w:marTop w:val="0"/>
                  <w:marBottom w:val="0"/>
                  <w:divBdr>
                    <w:top w:val="none" w:sz="0" w:space="0" w:color="auto"/>
                    <w:left w:val="none" w:sz="0" w:space="0" w:color="auto"/>
                    <w:bottom w:val="none" w:sz="0" w:space="0" w:color="auto"/>
                    <w:right w:val="none" w:sz="0" w:space="0" w:color="auto"/>
                  </w:divBdr>
                  <w:divsChild>
                    <w:div w:id="1517840381">
                      <w:marLeft w:val="0"/>
                      <w:marRight w:val="0"/>
                      <w:marTop w:val="0"/>
                      <w:marBottom w:val="0"/>
                      <w:divBdr>
                        <w:top w:val="none" w:sz="0" w:space="0" w:color="auto"/>
                        <w:left w:val="none" w:sz="0" w:space="0" w:color="auto"/>
                        <w:bottom w:val="none" w:sz="0" w:space="0" w:color="auto"/>
                        <w:right w:val="none" w:sz="0" w:space="0" w:color="auto"/>
                      </w:divBdr>
                      <w:divsChild>
                        <w:div w:id="21054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2968-92DB-4900-98B0-714F2EB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13468</TotalTime>
  <Pages>49</Pages>
  <Words>12597</Words>
  <Characters>71803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The value of corporate control: Evidence from Mexico</vt:lpstr>
    </vt:vector>
  </TitlesOfParts>
  <Company>The University of Liverpool</Company>
  <LinksUpToDate>false</LinksUpToDate>
  <CharactersWithSpaces>84232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corporate control: Evidence from Mexico</dc:title>
  <dc:creator>administrator</dc:creator>
  <cp:lastModifiedBy>Administrator</cp:lastModifiedBy>
  <cp:revision>130</cp:revision>
  <cp:lastPrinted>2016-12-21T17:48:00Z</cp:lastPrinted>
  <dcterms:created xsi:type="dcterms:W3CDTF">2015-08-10T22:13:00Z</dcterms:created>
  <dcterms:modified xsi:type="dcterms:W3CDTF">2017-02-21T15:25:00Z</dcterms:modified>
</cp:coreProperties>
</file>