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1BE" w:rsidRPr="004B4DEC" w:rsidRDefault="007E15BD" w:rsidP="007F0F61">
      <w:pPr>
        <w:spacing w:after="0" w:line="480" w:lineRule="auto"/>
        <w:jc w:val="center"/>
        <w:rPr>
          <w:rFonts w:cs="Times New Roman"/>
          <w:sz w:val="24"/>
          <w:szCs w:val="24"/>
        </w:rPr>
      </w:pPr>
      <w:r w:rsidRPr="004B4DEC">
        <w:rPr>
          <w:rFonts w:cs="Times New Roman"/>
          <w:sz w:val="24"/>
          <w:szCs w:val="24"/>
        </w:rPr>
        <w:t xml:space="preserve">Menander, </w:t>
      </w:r>
      <w:r w:rsidRPr="004B4DEC">
        <w:rPr>
          <w:rFonts w:cs="Times New Roman"/>
          <w:i/>
          <w:sz w:val="24"/>
          <w:szCs w:val="24"/>
        </w:rPr>
        <w:t>Epitrepontes</w:t>
      </w:r>
      <w:r w:rsidRPr="004B4DEC">
        <w:rPr>
          <w:rFonts w:cs="Times New Roman"/>
          <w:sz w:val="24"/>
          <w:szCs w:val="24"/>
        </w:rPr>
        <w:t xml:space="preserve"> 366</w:t>
      </w:r>
      <w:r w:rsidR="00B66BCB" w:rsidRPr="004B4DEC">
        <w:rPr>
          <w:rStyle w:val="EndnoteReference"/>
          <w:rFonts w:cs="Times New Roman"/>
          <w:sz w:val="24"/>
          <w:szCs w:val="24"/>
        </w:rPr>
        <w:endnoteReference w:customMarkFollows="1" w:id="1"/>
        <w:t>*</w:t>
      </w:r>
    </w:p>
    <w:p w:rsidR="004A6409" w:rsidRDefault="004A6409" w:rsidP="004A6409">
      <w:pPr>
        <w:spacing w:after="0" w:line="480" w:lineRule="auto"/>
        <w:jc w:val="center"/>
        <w:rPr>
          <w:rFonts w:cs="Times New Roman"/>
          <w:sz w:val="24"/>
          <w:szCs w:val="24"/>
        </w:rPr>
      </w:pPr>
      <w:r>
        <w:rPr>
          <w:rFonts w:cs="Times New Roman"/>
          <w:sz w:val="24"/>
          <w:szCs w:val="24"/>
        </w:rPr>
        <w:t>Ben Cart</w:t>
      </w:r>
      <w:r w:rsidR="000B08DD">
        <w:rPr>
          <w:rFonts w:cs="Times New Roman"/>
          <w:sz w:val="24"/>
          <w:szCs w:val="24"/>
        </w:rPr>
        <w:t>lidge, St John’s College, Oxfor</w:t>
      </w:r>
      <w:r w:rsidR="00DE2AEF">
        <w:rPr>
          <w:rFonts w:cs="Times New Roman"/>
          <w:sz w:val="24"/>
          <w:szCs w:val="24"/>
        </w:rPr>
        <w:t>d</w:t>
      </w:r>
      <w:bookmarkStart w:id="0" w:name="_GoBack"/>
      <w:bookmarkEnd w:id="0"/>
    </w:p>
    <w:p w:rsidR="0026455B" w:rsidRPr="0026455B" w:rsidRDefault="0026455B" w:rsidP="007F0F61">
      <w:pPr>
        <w:spacing w:after="0" w:line="480" w:lineRule="auto"/>
        <w:rPr>
          <w:rFonts w:cs="Times New Roman"/>
          <w:sz w:val="24"/>
          <w:szCs w:val="24"/>
        </w:rPr>
      </w:pPr>
      <w:r>
        <w:rPr>
          <w:rFonts w:cs="Times New Roman"/>
          <w:sz w:val="24"/>
          <w:szCs w:val="24"/>
        </w:rPr>
        <w:t xml:space="preserve">The central scene of the </w:t>
      </w:r>
      <w:r>
        <w:rPr>
          <w:rFonts w:cs="Times New Roman"/>
          <w:i/>
          <w:sz w:val="24"/>
          <w:szCs w:val="24"/>
        </w:rPr>
        <w:t>Epitrepontes</w:t>
      </w:r>
      <w:r>
        <w:rPr>
          <w:rFonts w:cs="Times New Roman"/>
          <w:sz w:val="24"/>
          <w:szCs w:val="24"/>
        </w:rPr>
        <w:t xml:space="preserve">, from which the drama took its name, is an arbitration-scene between two slaves, Davus and Syrus. When our papyrus begins, they are mid-argument, but quickly decide to move to an informal arbitration, with a passing gentleman, Smicrines, as their mediator. </w:t>
      </w:r>
      <w:r w:rsidR="00986324">
        <w:rPr>
          <w:rFonts w:cs="Times New Roman"/>
          <w:sz w:val="24"/>
          <w:szCs w:val="24"/>
        </w:rPr>
        <w:t xml:space="preserve">The point at issue is the ownership of the tokens left with an abandoned child whom Davus found but gave to Syrus (who was childless) to raise as his own. Davus </w:t>
      </w:r>
      <w:r w:rsidR="000A5FF1">
        <w:rPr>
          <w:rFonts w:cs="Times New Roman"/>
          <w:sz w:val="24"/>
          <w:szCs w:val="24"/>
        </w:rPr>
        <w:t>wishes</w:t>
      </w:r>
      <w:r w:rsidR="00986324">
        <w:rPr>
          <w:rFonts w:cs="Times New Roman"/>
          <w:sz w:val="24"/>
          <w:szCs w:val="24"/>
        </w:rPr>
        <w:t xml:space="preserve"> to keep the tokens for himself; Syrus argues that the tokens must stay with the child. After their speeches, Smicrines decides in favor of Syrus, and Davus is made to hand the tokens over. In the process of the removal of the tokens from the possession of the reluctant Davus, Smicrines makes the following remark:</w:t>
      </w:r>
    </w:p>
    <w:p w:rsidR="00D751BE" w:rsidRPr="003A52F8" w:rsidRDefault="00D751BE" w:rsidP="007F0F61">
      <w:pPr>
        <w:spacing w:after="0" w:line="480" w:lineRule="auto"/>
        <w:ind w:firstLine="720"/>
        <w:rPr>
          <w:rFonts w:cs="Times New Roman"/>
          <w:sz w:val="24"/>
          <w:szCs w:val="24"/>
        </w:rPr>
      </w:pPr>
      <w:r w:rsidRPr="003A52F8">
        <w:rPr>
          <w:rFonts w:cs="Times New Roman"/>
          <w:sz w:val="24"/>
          <w:szCs w:val="24"/>
        </w:rPr>
        <w:t>Men</w:t>
      </w:r>
      <w:r w:rsidRPr="003A52F8">
        <w:rPr>
          <w:rFonts w:cs="Times New Roman"/>
          <w:i/>
          <w:sz w:val="24"/>
          <w:szCs w:val="24"/>
        </w:rPr>
        <w:t>. Ep</w:t>
      </w:r>
      <w:r w:rsidRPr="003A52F8">
        <w:rPr>
          <w:rFonts w:cs="Times New Roman"/>
          <w:sz w:val="24"/>
          <w:szCs w:val="24"/>
        </w:rPr>
        <w:t>. 366 δός ποτ᾿, ἐργαστήριον</w:t>
      </w:r>
    </w:p>
    <w:p w:rsidR="00D751BE" w:rsidRPr="003A52F8" w:rsidRDefault="00D751BE" w:rsidP="007F0F61">
      <w:pPr>
        <w:spacing w:after="0" w:line="480" w:lineRule="auto"/>
        <w:rPr>
          <w:rFonts w:cs="Times New Roman"/>
          <w:sz w:val="24"/>
          <w:szCs w:val="24"/>
        </w:rPr>
      </w:pPr>
      <w:r w:rsidRPr="003A52F8">
        <w:rPr>
          <w:rFonts w:cs="Times New Roman"/>
          <w:sz w:val="24"/>
          <w:szCs w:val="24"/>
        </w:rPr>
        <w:t xml:space="preserve">The </w:t>
      </w:r>
      <w:r w:rsidR="00986324">
        <w:rPr>
          <w:rFonts w:cs="Times New Roman"/>
          <w:sz w:val="24"/>
          <w:szCs w:val="24"/>
        </w:rPr>
        <w:t xml:space="preserve">use of the </w:t>
      </w:r>
      <w:r w:rsidRPr="003A52F8">
        <w:rPr>
          <w:rFonts w:cs="Times New Roman"/>
          <w:sz w:val="24"/>
          <w:szCs w:val="24"/>
        </w:rPr>
        <w:t xml:space="preserve">term ἐργαστήριον </w:t>
      </w:r>
      <w:r w:rsidR="00986324" w:rsidRPr="003A52F8">
        <w:rPr>
          <w:rFonts w:cs="Times New Roman"/>
          <w:sz w:val="24"/>
          <w:szCs w:val="24"/>
        </w:rPr>
        <w:t xml:space="preserve">as a form of address </w:t>
      </w:r>
      <w:r w:rsidRPr="003A52F8">
        <w:rPr>
          <w:rFonts w:cs="Times New Roman"/>
          <w:sz w:val="24"/>
          <w:szCs w:val="24"/>
        </w:rPr>
        <w:t xml:space="preserve">in </w:t>
      </w:r>
      <w:r w:rsidR="00986324">
        <w:rPr>
          <w:rFonts w:cs="Times New Roman"/>
          <w:sz w:val="24"/>
          <w:szCs w:val="24"/>
        </w:rPr>
        <w:t xml:space="preserve">this passage </w:t>
      </w:r>
      <w:r w:rsidRPr="003A52F8">
        <w:rPr>
          <w:rFonts w:cs="Times New Roman"/>
          <w:sz w:val="24"/>
          <w:szCs w:val="24"/>
        </w:rPr>
        <w:t>is unusual,</w:t>
      </w:r>
      <w:r w:rsidR="00986324" w:rsidRPr="003A52F8">
        <w:rPr>
          <w:rStyle w:val="EndnoteReference"/>
          <w:rFonts w:cs="Times New Roman"/>
          <w:sz w:val="24"/>
          <w:szCs w:val="24"/>
        </w:rPr>
        <w:endnoteReference w:id="2"/>
      </w:r>
      <w:r w:rsidR="00986324" w:rsidRPr="003A52F8">
        <w:rPr>
          <w:rFonts w:cs="Times New Roman"/>
          <w:sz w:val="24"/>
          <w:szCs w:val="24"/>
        </w:rPr>
        <w:t xml:space="preserve"> </w:t>
      </w:r>
      <w:r w:rsidRPr="003A52F8">
        <w:rPr>
          <w:rFonts w:cs="Times New Roman"/>
          <w:sz w:val="24"/>
          <w:szCs w:val="24"/>
        </w:rPr>
        <w:t xml:space="preserve"> since the </w:t>
      </w:r>
      <w:r w:rsidR="00986324">
        <w:rPr>
          <w:rFonts w:cs="Times New Roman"/>
          <w:sz w:val="24"/>
          <w:szCs w:val="24"/>
        </w:rPr>
        <w:t xml:space="preserve">common </w:t>
      </w:r>
      <w:r w:rsidRPr="003A52F8">
        <w:rPr>
          <w:rFonts w:cs="Times New Roman"/>
          <w:sz w:val="24"/>
          <w:szCs w:val="24"/>
        </w:rPr>
        <w:t>function of the suffix –τήριον is to form the names of places. Indeed, the</w:t>
      </w:r>
      <w:r w:rsidR="009C2BA9">
        <w:rPr>
          <w:rFonts w:cs="Times New Roman"/>
          <w:sz w:val="24"/>
          <w:szCs w:val="24"/>
        </w:rPr>
        <w:t xml:space="preserve"> word is attested in the sense “workshop”</w:t>
      </w:r>
      <w:r w:rsidRPr="003A52F8">
        <w:rPr>
          <w:rFonts w:cs="Times New Roman"/>
          <w:sz w:val="24"/>
          <w:szCs w:val="24"/>
        </w:rPr>
        <w:t xml:space="preserve"> elsewhere in comedy,</w:t>
      </w:r>
      <w:r w:rsidRPr="003A52F8">
        <w:rPr>
          <w:rStyle w:val="EndnoteReference"/>
          <w:rFonts w:cs="Times New Roman"/>
          <w:sz w:val="24"/>
          <w:szCs w:val="24"/>
        </w:rPr>
        <w:endnoteReference w:id="3"/>
      </w:r>
      <w:r w:rsidRPr="003A52F8">
        <w:rPr>
          <w:rFonts w:cs="Times New Roman"/>
          <w:sz w:val="24"/>
          <w:szCs w:val="24"/>
        </w:rPr>
        <w:t xml:space="preserve"> as well as in other texts.</w:t>
      </w:r>
      <w:bookmarkStart w:id="1" w:name="_Ref390102111"/>
      <w:r w:rsidRPr="003A52F8">
        <w:rPr>
          <w:rStyle w:val="EndnoteReference"/>
          <w:rFonts w:cs="Times New Roman"/>
          <w:sz w:val="24"/>
          <w:szCs w:val="24"/>
        </w:rPr>
        <w:endnoteReference w:id="4"/>
      </w:r>
      <w:bookmarkEnd w:id="1"/>
      <w:r w:rsidRPr="003A52F8">
        <w:rPr>
          <w:rFonts w:cs="Times New Roman"/>
          <w:sz w:val="24"/>
          <w:szCs w:val="24"/>
        </w:rPr>
        <w:t xml:space="preserve"> Commentators on the </w:t>
      </w:r>
      <w:r w:rsidRPr="003A52F8">
        <w:rPr>
          <w:rFonts w:cs="Times New Roman"/>
          <w:i/>
          <w:sz w:val="24"/>
          <w:szCs w:val="24"/>
        </w:rPr>
        <w:t xml:space="preserve">Epitrepontes </w:t>
      </w:r>
      <w:r w:rsidRPr="003A52F8">
        <w:rPr>
          <w:rFonts w:cs="Times New Roman"/>
          <w:sz w:val="24"/>
          <w:szCs w:val="24"/>
        </w:rPr>
        <w:t>have gene</w:t>
      </w:r>
      <w:r w:rsidR="009C2BA9">
        <w:rPr>
          <w:rFonts w:cs="Times New Roman"/>
          <w:sz w:val="24"/>
          <w:szCs w:val="24"/>
        </w:rPr>
        <w:t>rally interpreted this word as “</w:t>
      </w:r>
      <w:r w:rsidRPr="003A52F8">
        <w:rPr>
          <w:rFonts w:cs="Times New Roman"/>
          <w:sz w:val="24"/>
          <w:szCs w:val="24"/>
        </w:rPr>
        <w:t>scoundrel</w:t>
      </w:r>
      <w:r w:rsidR="00F412FD">
        <w:rPr>
          <w:rFonts w:cs="Times New Roman"/>
          <w:sz w:val="24"/>
          <w:szCs w:val="24"/>
        </w:rPr>
        <w:t>”</w:t>
      </w:r>
      <w:r w:rsidRPr="003A52F8">
        <w:rPr>
          <w:rFonts w:cs="Times New Roman"/>
          <w:sz w:val="24"/>
          <w:szCs w:val="24"/>
        </w:rPr>
        <w:t xml:space="preserve">, deriving the meaning from an individualisation of a collective meaning </w:t>
      </w:r>
      <w:r w:rsidR="00F412FD">
        <w:rPr>
          <w:rFonts w:cs="Times New Roman"/>
          <w:sz w:val="24"/>
          <w:szCs w:val="24"/>
        </w:rPr>
        <w:t>“</w:t>
      </w:r>
      <w:r w:rsidRPr="003A52F8">
        <w:rPr>
          <w:rFonts w:cs="Times New Roman"/>
          <w:sz w:val="24"/>
          <w:szCs w:val="24"/>
        </w:rPr>
        <w:t>workshop, gang</w:t>
      </w:r>
      <w:r w:rsidR="00F412FD">
        <w:rPr>
          <w:rFonts w:cs="Times New Roman"/>
          <w:sz w:val="24"/>
          <w:szCs w:val="24"/>
        </w:rPr>
        <w:t>”</w:t>
      </w:r>
      <w:r w:rsidRPr="003A52F8">
        <w:rPr>
          <w:rFonts w:cs="Times New Roman"/>
          <w:sz w:val="24"/>
          <w:szCs w:val="24"/>
        </w:rPr>
        <w:t>.</w:t>
      </w:r>
      <w:r w:rsidRPr="003A52F8">
        <w:rPr>
          <w:rStyle w:val="EndnoteReference"/>
          <w:rFonts w:cs="Times New Roman"/>
          <w:sz w:val="24"/>
          <w:szCs w:val="24"/>
        </w:rPr>
        <w:endnoteReference w:id="5"/>
      </w:r>
      <w:r w:rsidRPr="003A52F8">
        <w:rPr>
          <w:rFonts w:cs="Times New Roman"/>
          <w:sz w:val="24"/>
          <w:szCs w:val="24"/>
        </w:rPr>
        <w:t xml:space="preserve"> This is facilitated by the occurrence in Demosthenes of phrases like τὸ ἐργαστήριον τῶν συνεστώτων </w:t>
      </w:r>
      <w:r w:rsidR="00F412FD">
        <w:rPr>
          <w:rFonts w:cs="Times New Roman"/>
          <w:sz w:val="24"/>
          <w:szCs w:val="24"/>
        </w:rPr>
        <w:t>“</w:t>
      </w:r>
      <w:r w:rsidRPr="003A52F8">
        <w:rPr>
          <w:rFonts w:cs="Times New Roman"/>
          <w:sz w:val="24"/>
          <w:szCs w:val="24"/>
        </w:rPr>
        <w:t>the gang of followers</w:t>
      </w:r>
      <w:r w:rsidR="00F412FD">
        <w:rPr>
          <w:rFonts w:cs="Times New Roman"/>
          <w:sz w:val="24"/>
          <w:szCs w:val="24"/>
        </w:rPr>
        <w:t>”</w:t>
      </w:r>
      <w:r w:rsidRPr="003A52F8">
        <w:rPr>
          <w:rFonts w:cs="Times New Roman"/>
          <w:sz w:val="24"/>
          <w:szCs w:val="24"/>
        </w:rPr>
        <w:t xml:space="preserve"> (37.39.8), ἐργαστήριον συκοφαντῶν </w:t>
      </w:r>
      <w:r w:rsidR="00F412FD">
        <w:rPr>
          <w:rFonts w:cs="Times New Roman"/>
          <w:sz w:val="24"/>
          <w:szCs w:val="24"/>
        </w:rPr>
        <w:t>“</w:t>
      </w:r>
      <w:r w:rsidRPr="003A52F8">
        <w:rPr>
          <w:rFonts w:cs="Times New Roman"/>
          <w:sz w:val="24"/>
          <w:szCs w:val="24"/>
        </w:rPr>
        <w:t>a gang of sycophants</w:t>
      </w:r>
      <w:r w:rsidR="00F412FD">
        <w:rPr>
          <w:rFonts w:cs="Times New Roman"/>
          <w:sz w:val="24"/>
          <w:szCs w:val="24"/>
        </w:rPr>
        <w:t>”</w:t>
      </w:r>
      <w:r w:rsidRPr="003A52F8">
        <w:rPr>
          <w:rFonts w:cs="Times New Roman"/>
          <w:sz w:val="24"/>
          <w:szCs w:val="24"/>
        </w:rPr>
        <w:t xml:space="preserve"> (39.2.4, [40].9.8), ἐργαστήρια μοχθηρῶν ἀνθρώπων συνεστηκότων </w:t>
      </w:r>
      <w:r w:rsidR="00F412FD">
        <w:rPr>
          <w:rFonts w:cs="Times New Roman"/>
          <w:sz w:val="24"/>
          <w:szCs w:val="24"/>
        </w:rPr>
        <w:t>“</w:t>
      </w:r>
      <w:r w:rsidRPr="003A52F8">
        <w:rPr>
          <w:rFonts w:cs="Times New Roman"/>
          <w:sz w:val="24"/>
          <w:szCs w:val="24"/>
        </w:rPr>
        <w:t>gangs of wicked people standing about</w:t>
      </w:r>
      <w:r w:rsidR="00F412FD">
        <w:rPr>
          <w:rFonts w:cs="Times New Roman"/>
          <w:sz w:val="24"/>
          <w:szCs w:val="24"/>
        </w:rPr>
        <w:t>”</w:t>
      </w:r>
      <w:r w:rsidRPr="003A52F8">
        <w:rPr>
          <w:rFonts w:cs="Times New Roman"/>
          <w:sz w:val="24"/>
          <w:szCs w:val="24"/>
        </w:rPr>
        <w:t xml:space="preserve"> (32.10.4). In each case, the ἐργαστήριον is conceived of as a collection of people (in 37.39.8 it is in apposition to τοὺς μεθ᾿ ἑαυτοῦ </w:t>
      </w:r>
      <w:r w:rsidR="00F412FD">
        <w:rPr>
          <w:rFonts w:cs="Times New Roman"/>
          <w:sz w:val="24"/>
          <w:szCs w:val="24"/>
        </w:rPr>
        <w:t>“</w:t>
      </w:r>
      <w:r w:rsidRPr="003A52F8">
        <w:rPr>
          <w:rFonts w:cs="Times New Roman"/>
          <w:sz w:val="24"/>
          <w:szCs w:val="24"/>
        </w:rPr>
        <w:t>his followers</w:t>
      </w:r>
      <w:r w:rsidR="00F412FD">
        <w:rPr>
          <w:rFonts w:cs="Times New Roman"/>
          <w:sz w:val="24"/>
          <w:szCs w:val="24"/>
        </w:rPr>
        <w:t>”</w:t>
      </w:r>
      <w:r w:rsidRPr="003A52F8">
        <w:rPr>
          <w:rFonts w:cs="Times New Roman"/>
          <w:sz w:val="24"/>
          <w:szCs w:val="24"/>
        </w:rPr>
        <w:t>). By metonymy, it is reasoned, the term might then be applied to an individual member.</w:t>
      </w:r>
      <w:r w:rsidRPr="003A52F8">
        <w:rPr>
          <w:rStyle w:val="EndnoteReference"/>
          <w:rFonts w:cs="Times New Roman"/>
          <w:sz w:val="24"/>
          <w:szCs w:val="24"/>
        </w:rPr>
        <w:endnoteReference w:id="6"/>
      </w:r>
      <w:r w:rsidRPr="003A52F8">
        <w:rPr>
          <w:rFonts w:cs="Times New Roman"/>
          <w:sz w:val="24"/>
          <w:szCs w:val="24"/>
        </w:rPr>
        <w:t xml:space="preserve"> </w:t>
      </w:r>
    </w:p>
    <w:p w:rsidR="00D751BE" w:rsidRPr="003A52F8" w:rsidRDefault="00D751BE" w:rsidP="007F0F61">
      <w:pPr>
        <w:spacing w:after="0" w:line="480" w:lineRule="auto"/>
        <w:ind w:firstLine="720"/>
        <w:rPr>
          <w:rFonts w:cs="Times New Roman"/>
          <w:sz w:val="24"/>
          <w:szCs w:val="24"/>
        </w:rPr>
      </w:pPr>
      <w:r w:rsidRPr="003A52F8">
        <w:rPr>
          <w:rFonts w:cs="Times New Roman"/>
          <w:sz w:val="24"/>
          <w:szCs w:val="24"/>
        </w:rPr>
        <w:lastRenderedPageBreak/>
        <w:t>On the face of it, this seems a logical thing to do. It seems even more logical when it is compared to certain Latin idioms. T</w:t>
      </w:r>
      <w:r w:rsidR="00E548A1">
        <w:rPr>
          <w:rFonts w:cs="Times New Roman"/>
          <w:sz w:val="24"/>
          <w:szCs w:val="24"/>
        </w:rPr>
        <w:t>he best parallel is perhaps Terence,</w:t>
      </w:r>
      <w:r w:rsidRPr="003A52F8">
        <w:rPr>
          <w:rFonts w:cs="Times New Roman"/>
          <w:sz w:val="24"/>
          <w:szCs w:val="24"/>
        </w:rPr>
        <w:t xml:space="preserve"> </w:t>
      </w:r>
      <w:r w:rsidR="00381EAF">
        <w:rPr>
          <w:rFonts w:cs="Times New Roman"/>
          <w:i/>
          <w:sz w:val="24"/>
          <w:szCs w:val="24"/>
        </w:rPr>
        <w:t>Phormio</w:t>
      </w:r>
      <w:r w:rsidR="000A5FF1">
        <w:rPr>
          <w:rFonts w:cs="Times New Roman"/>
          <w:i/>
          <w:sz w:val="24"/>
          <w:szCs w:val="24"/>
        </w:rPr>
        <w:t xml:space="preserve"> </w:t>
      </w:r>
      <w:r w:rsidRPr="003A52F8">
        <w:rPr>
          <w:rFonts w:cs="Times New Roman"/>
          <w:sz w:val="24"/>
          <w:szCs w:val="24"/>
        </w:rPr>
        <w:t xml:space="preserve">373 </w:t>
      </w:r>
      <w:r w:rsidRPr="003A52F8">
        <w:rPr>
          <w:rFonts w:cs="Times New Roman"/>
          <w:i/>
          <w:sz w:val="24"/>
          <w:szCs w:val="24"/>
        </w:rPr>
        <w:t xml:space="preserve">carcer </w:t>
      </w:r>
      <w:r w:rsidR="00CF0698">
        <w:rPr>
          <w:rFonts w:cs="Times New Roman"/>
          <w:sz w:val="24"/>
          <w:szCs w:val="24"/>
        </w:rPr>
        <w:t xml:space="preserve">“jail-bird” </w:t>
      </w:r>
      <w:r w:rsidRPr="003A52F8">
        <w:rPr>
          <w:rFonts w:cs="Times New Roman"/>
          <w:sz w:val="24"/>
          <w:szCs w:val="24"/>
        </w:rPr>
        <w:t>(voc.);</w:t>
      </w:r>
      <w:r w:rsidRPr="003A52F8">
        <w:rPr>
          <w:rStyle w:val="EndnoteReference"/>
          <w:rFonts w:cs="Times New Roman"/>
          <w:sz w:val="24"/>
          <w:szCs w:val="24"/>
        </w:rPr>
        <w:endnoteReference w:id="7"/>
      </w:r>
      <w:r w:rsidRPr="003A52F8">
        <w:rPr>
          <w:rFonts w:cs="Times New Roman"/>
          <w:sz w:val="24"/>
          <w:szCs w:val="24"/>
        </w:rPr>
        <w:t xml:space="preserve"> Plautus uses </w:t>
      </w:r>
      <w:r w:rsidRPr="003A52F8">
        <w:rPr>
          <w:rFonts w:cs="Times New Roman"/>
          <w:i/>
          <w:sz w:val="24"/>
          <w:szCs w:val="24"/>
        </w:rPr>
        <w:t>stabulum</w:t>
      </w:r>
      <w:r w:rsidRPr="003A52F8">
        <w:rPr>
          <w:rFonts w:cs="Times New Roman"/>
          <w:sz w:val="24"/>
          <w:szCs w:val="24"/>
        </w:rPr>
        <w:t xml:space="preserve"> </w:t>
      </w:r>
      <w:r w:rsidR="00F412FD">
        <w:rPr>
          <w:rFonts w:cs="Times New Roman"/>
          <w:sz w:val="24"/>
          <w:szCs w:val="24"/>
        </w:rPr>
        <w:t>“</w:t>
      </w:r>
      <w:r w:rsidRPr="003A52F8">
        <w:rPr>
          <w:rFonts w:cs="Times New Roman"/>
          <w:sz w:val="24"/>
          <w:szCs w:val="24"/>
        </w:rPr>
        <w:t>stable</w:t>
      </w:r>
      <w:r w:rsidR="00F412FD">
        <w:rPr>
          <w:rFonts w:cs="Times New Roman"/>
          <w:sz w:val="24"/>
          <w:szCs w:val="24"/>
        </w:rPr>
        <w:t>”</w:t>
      </w:r>
      <w:r w:rsidRPr="003A52F8">
        <w:rPr>
          <w:rFonts w:cs="Times New Roman"/>
          <w:sz w:val="24"/>
          <w:szCs w:val="24"/>
        </w:rPr>
        <w:t xml:space="preserve"> with a genitive (</w:t>
      </w:r>
      <w:r w:rsidRPr="003A52F8">
        <w:rPr>
          <w:rFonts w:cs="Times New Roman"/>
          <w:i/>
          <w:sz w:val="24"/>
          <w:szCs w:val="24"/>
        </w:rPr>
        <w:t>nequitiae</w:t>
      </w:r>
      <w:r w:rsidRPr="003A52F8">
        <w:rPr>
          <w:rFonts w:cs="Times New Roman"/>
          <w:sz w:val="24"/>
          <w:szCs w:val="24"/>
        </w:rPr>
        <w:t xml:space="preserve"> </w:t>
      </w:r>
      <w:r w:rsidRPr="003A52F8">
        <w:rPr>
          <w:rFonts w:cs="Times New Roman"/>
          <w:i/>
          <w:sz w:val="24"/>
          <w:szCs w:val="24"/>
        </w:rPr>
        <w:t>Cas.</w:t>
      </w:r>
      <w:r w:rsidRPr="003A52F8">
        <w:rPr>
          <w:rFonts w:cs="Times New Roman"/>
          <w:sz w:val="24"/>
          <w:szCs w:val="24"/>
        </w:rPr>
        <w:t xml:space="preserve"> 160, </w:t>
      </w:r>
      <w:r w:rsidRPr="003A52F8">
        <w:rPr>
          <w:rFonts w:cs="Times New Roman"/>
          <w:i/>
          <w:sz w:val="24"/>
          <w:szCs w:val="24"/>
        </w:rPr>
        <w:t>flagiti</w:t>
      </w:r>
      <w:r w:rsidRPr="003A52F8">
        <w:rPr>
          <w:rFonts w:cs="Times New Roman"/>
          <w:sz w:val="24"/>
          <w:szCs w:val="24"/>
        </w:rPr>
        <w:t xml:space="preserve"> </w:t>
      </w:r>
      <w:r w:rsidR="00381EAF">
        <w:rPr>
          <w:rFonts w:cs="Times New Roman"/>
          <w:i/>
          <w:sz w:val="24"/>
          <w:szCs w:val="24"/>
        </w:rPr>
        <w:t xml:space="preserve">Truc. </w:t>
      </w:r>
      <w:r w:rsidRPr="003A52F8">
        <w:rPr>
          <w:rFonts w:cs="Times New Roman"/>
          <w:sz w:val="24"/>
          <w:szCs w:val="24"/>
        </w:rPr>
        <w:t xml:space="preserve">587, </w:t>
      </w:r>
      <w:r w:rsidRPr="003A52F8">
        <w:rPr>
          <w:rFonts w:cs="Times New Roman"/>
          <w:i/>
          <w:sz w:val="24"/>
          <w:szCs w:val="24"/>
        </w:rPr>
        <w:t>confidentiae</w:t>
      </w:r>
      <w:r w:rsidRPr="003A52F8">
        <w:rPr>
          <w:rFonts w:cs="Times New Roman"/>
          <w:sz w:val="24"/>
          <w:szCs w:val="24"/>
        </w:rPr>
        <w:t xml:space="preserve"> </w:t>
      </w:r>
      <w:r w:rsidRPr="003A52F8">
        <w:rPr>
          <w:rFonts w:cs="Times New Roman"/>
          <w:i/>
          <w:sz w:val="24"/>
          <w:szCs w:val="24"/>
        </w:rPr>
        <w:t>Mo</w:t>
      </w:r>
      <w:r w:rsidRPr="003A52F8">
        <w:rPr>
          <w:rFonts w:cs="Times New Roman"/>
          <w:sz w:val="24"/>
          <w:szCs w:val="24"/>
        </w:rPr>
        <w:t>. 350) or adjective (</w:t>
      </w:r>
      <w:r w:rsidRPr="003A52F8">
        <w:rPr>
          <w:rFonts w:cs="Times New Roman"/>
          <w:i/>
          <w:sz w:val="24"/>
          <w:szCs w:val="24"/>
        </w:rPr>
        <w:t>servitritium</w:t>
      </w:r>
      <w:r w:rsidRPr="003A52F8">
        <w:rPr>
          <w:rFonts w:cs="Times New Roman"/>
          <w:sz w:val="24"/>
          <w:szCs w:val="24"/>
        </w:rPr>
        <w:t xml:space="preserve"> </w:t>
      </w:r>
      <w:r w:rsidRPr="003A52F8">
        <w:rPr>
          <w:rFonts w:cs="Times New Roman"/>
          <w:i/>
          <w:sz w:val="24"/>
          <w:szCs w:val="24"/>
        </w:rPr>
        <w:t>Pers</w:t>
      </w:r>
      <w:r w:rsidRPr="003A52F8">
        <w:rPr>
          <w:rFonts w:cs="Times New Roman"/>
          <w:sz w:val="24"/>
          <w:szCs w:val="24"/>
        </w:rPr>
        <w:t>. 418).</w:t>
      </w:r>
      <w:r w:rsidRPr="003A52F8">
        <w:rPr>
          <w:rStyle w:val="EndnoteReference"/>
          <w:rFonts w:cs="Times New Roman"/>
          <w:sz w:val="24"/>
          <w:szCs w:val="24"/>
        </w:rPr>
        <w:endnoteReference w:id="8"/>
      </w:r>
      <w:r w:rsidRPr="003A52F8">
        <w:rPr>
          <w:rFonts w:cs="Times New Roman"/>
          <w:sz w:val="24"/>
          <w:szCs w:val="24"/>
        </w:rPr>
        <w:t xml:space="preserve"> Only the final example is in the vocative. Latin writers also use abstract nouns in a concrete collective sense; thus </w:t>
      </w:r>
      <w:r w:rsidRPr="003A52F8">
        <w:rPr>
          <w:rFonts w:cs="Times New Roman"/>
          <w:i/>
          <w:sz w:val="24"/>
          <w:szCs w:val="24"/>
        </w:rPr>
        <w:t xml:space="preserve">servitium </w:t>
      </w:r>
      <w:r w:rsidR="00F412FD">
        <w:rPr>
          <w:rFonts w:cs="Times New Roman"/>
          <w:sz w:val="24"/>
          <w:szCs w:val="24"/>
        </w:rPr>
        <w:t>“</w:t>
      </w:r>
      <w:r w:rsidRPr="003A52F8">
        <w:rPr>
          <w:rFonts w:cs="Times New Roman"/>
          <w:sz w:val="24"/>
          <w:szCs w:val="24"/>
        </w:rPr>
        <w:t>slavery</w:t>
      </w:r>
      <w:r w:rsidR="00F412FD">
        <w:rPr>
          <w:rFonts w:cs="Times New Roman"/>
          <w:sz w:val="24"/>
          <w:szCs w:val="24"/>
        </w:rPr>
        <w:t>”</w:t>
      </w:r>
      <w:r w:rsidRPr="003A52F8">
        <w:rPr>
          <w:rFonts w:cs="Times New Roman"/>
          <w:sz w:val="24"/>
          <w:szCs w:val="24"/>
        </w:rPr>
        <w:t xml:space="preserve"> &gt; </w:t>
      </w:r>
      <w:r w:rsidR="00F412FD">
        <w:rPr>
          <w:rFonts w:cs="Times New Roman"/>
          <w:sz w:val="24"/>
          <w:szCs w:val="24"/>
        </w:rPr>
        <w:t>“</w:t>
      </w:r>
      <w:r w:rsidRPr="003A52F8">
        <w:rPr>
          <w:rFonts w:cs="Times New Roman"/>
          <w:sz w:val="24"/>
          <w:szCs w:val="24"/>
        </w:rPr>
        <w:t>slave</w:t>
      </w:r>
      <w:r w:rsidR="00F412FD">
        <w:rPr>
          <w:rFonts w:cs="Times New Roman"/>
          <w:sz w:val="24"/>
          <w:szCs w:val="24"/>
        </w:rPr>
        <w:t>”</w:t>
      </w:r>
      <w:r w:rsidRPr="003A52F8">
        <w:rPr>
          <w:rFonts w:cs="Times New Roman"/>
          <w:sz w:val="24"/>
          <w:szCs w:val="24"/>
        </w:rPr>
        <w:t xml:space="preserve"> (Pl. </w:t>
      </w:r>
      <w:r w:rsidRPr="003A52F8">
        <w:rPr>
          <w:rFonts w:cs="Times New Roman"/>
          <w:i/>
          <w:sz w:val="24"/>
          <w:szCs w:val="24"/>
        </w:rPr>
        <w:t>Curc.</w:t>
      </w:r>
      <w:r w:rsidRPr="003A52F8">
        <w:rPr>
          <w:rFonts w:cs="Times New Roman"/>
          <w:sz w:val="24"/>
          <w:szCs w:val="24"/>
        </w:rPr>
        <w:t xml:space="preserve"> 300) or </w:t>
      </w:r>
      <w:r w:rsidRPr="003A52F8">
        <w:rPr>
          <w:rFonts w:cs="Times New Roman"/>
          <w:i/>
          <w:sz w:val="24"/>
          <w:szCs w:val="24"/>
        </w:rPr>
        <w:t xml:space="preserve">mancipium </w:t>
      </w:r>
      <w:r w:rsidR="00F412FD">
        <w:rPr>
          <w:rFonts w:cs="Times New Roman"/>
          <w:sz w:val="24"/>
          <w:szCs w:val="24"/>
        </w:rPr>
        <w:t>“</w:t>
      </w:r>
      <w:r w:rsidRPr="003A52F8">
        <w:rPr>
          <w:rFonts w:cs="Times New Roman"/>
          <w:sz w:val="24"/>
          <w:szCs w:val="24"/>
        </w:rPr>
        <w:t>purchase</w:t>
      </w:r>
      <w:r w:rsidR="00F412FD">
        <w:rPr>
          <w:rFonts w:cs="Times New Roman"/>
          <w:sz w:val="24"/>
          <w:szCs w:val="24"/>
        </w:rPr>
        <w:t>”</w:t>
      </w:r>
      <w:r w:rsidRPr="003A52F8">
        <w:rPr>
          <w:rFonts w:cs="Times New Roman"/>
          <w:sz w:val="24"/>
          <w:szCs w:val="24"/>
        </w:rPr>
        <w:t xml:space="preserve"> &gt; </w:t>
      </w:r>
      <w:r w:rsidR="00F412FD">
        <w:rPr>
          <w:rFonts w:cs="Times New Roman"/>
          <w:sz w:val="24"/>
          <w:szCs w:val="24"/>
        </w:rPr>
        <w:t>“</w:t>
      </w:r>
      <w:r w:rsidRPr="003A52F8">
        <w:rPr>
          <w:rFonts w:cs="Times New Roman"/>
          <w:sz w:val="24"/>
          <w:szCs w:val="24"/>
        </w:rPr>
        <w:t>purchased commodity, slave</w:t>
      </w:r>
      <w:r w:rsidR="00F412FD">
        <w:rPr>
          <w:rFonts w:cs="Times New Roman"/>
          <w:sz w:val="24"/>
          <w:szCs w:val="24"/>
        </w:rPr>
        <w:t>”</w:t>
      </w:r>
      <w:r w:rsidRPr="003A52F8">
        <w:rPr>
          <w:rFonts w:cs="Times New Roman"/>
          <w:sz w:val="24"/>
          <w:szCs w:val="24"/>
        </w:rPr>
        <w:t xml:space="preserve"> (Pl</w:t>
      </w:r>
      <w:r w:rsidR="00017C8A">
        <w:rPr>
          <w:rFonts w:cs="Times New Roman"/>
          <w:sz w:val="24"/>
          <w:szCs w:val="24"/>
        </w:rPr>
        <w:t>aut</w:t>
      </w:r>
      <w:r w:rsidRPr="003A52F8">
        <w:rPr>
          <w:rFonts w:cs="Times New Roman"/>
          <w:sz w:val="24"/>
          <w:szCs w:val="24"/>
        </w:rPr>
        <w:t xml:space="preserve">. </w:t>
      </w:r>
      <w:r w:rsidRPr="003A52F8">
        <w:rPr>
          <w:rFonts w:cs="Times New Roman"/>
          <w:i/>
          <w:sz w:val="24"/>
          <w:szCs w:val="24"/>
        </w:rPr>
        <w:t>Ep</w:t>
      </w:r>
      <w:r w:rsidRPr="003A52F8">
        <w:rPr>
          <w:rFonts w:cs="Times New Roman"/>
          <w:sz w:val="24"/>
          <w:szCs w:val="24"/>
        </w:rPr>
        <w:t>. 686). Exceptionally, such words are</w:t>
      </w:r>
      <w:r w:rsidR="00381EAF">
        <w:rPr>
          <w:rFonts w:cs="Times New Roman"/>
          <w:sz w:val="24"/>
          <w:szCs w:val="24"/>
        </w:rPr>
        <w:t xml:space="preserve"> used as forms of address, as Plautus</w:t>
      </w:r>
      <w:r w:rsidR="00381EAF">
        <w:rPr>
          <w:rFonts w:cs="Times New Roman"/>
          <w:i/>
          <w:sz w:val="24"/>
          <w:szCs w:val="24"/>
        </w:rPr>
        <w:t xml:space="preserve"> Menaechmi</w:t>
      </w:r>
      <w:r w:rsidRPr="003A52F8">
        <w:rPr>
          <w:rFonts w:cs="Times New Roman"/>
          <w:sz w:val="24"/>
          <w:szCs w:val="24"/>
        </w:rPr>
        <w:t xml:space="preserve"> 489, 709 </w:t>
      </w:r>
      <w:r w:rsidRPr="003A52F8">
        <w:rPr>
          <w:rFonts w:cs="Times New Roman"/>
          <w:i/>
          <w:sz w:val="24"/>
          <w:szCs w:val="24"/>
        </w:rPr>
        <w:t>flagitium hominis</w:t>
      </w:r>
      <w:r w:rsidRPr="003A52F8">
        <w:rPr>
          <w:rFonts w:cs="Times New Roman"/>
          <w:sz w:val="24"/>
          <w:szCs w:val="24"/>
        </w:rPr>
        <w:t xml:space="preserve">. In other words, were the form under discussion a Latin word, the usage of ἐργαστήριον as a singulative form of address derived from a collective usage of a place-noun would be regular, or at least paralleled. This however is highly suggestive; for the first interpreters and commentators of </w:t>
      </w:r>
      <w:r w:rsidRPr="003A52F8">
        <w:rPr>
          <w:rFonts w:cs="Times New Roman"/>
          <w:i/>
          <w:sz w:val="24"/>
          <w:szCs w:val="24"/>
        </w:rPr>
        <w:t xml:space="preserve">Epitrepontes </w:t>
      </w:r>
      <w:r w:rsidRPr="003A52F8">
        <w:rPr>
          <w:rFonts w:cs="Times New Roman"/>
          <w:sz w:val="24"/>
          <w:szCs w:val="24"/>
        </w:rPr>
        <w:t xml:space="preserve">went about their work with Roman comedy in their ears. </w:t>
      </w:r>
      <w:r w:rsidR="00755E47">
        <w:rPr>
          <w:rFonts w:cs="Times New Roman"/>
          <w:sz w:val="24"/>
          <w:szCs w:val="24"/>
        </w:rPr>
        <w:t xml:space="preserve">And in fact the form under discussion has been interpreted as the source for the Latin form </w:t>
      </w:r>
      <w:r w:rsidR="00755E47">
        <w:rPr>
          <w:rFonts w:cs="Times New Roman"/>
          <w:i/>
          <w:sz w:val="24"/>
          <w:szCs w:val="24"/>
        </w:rPr>
        <w:t>ergastulus</w:t>
      </w:r>
      <w:r w:rsidR="0028723A">
        <w:rPr>
          <w:rFonts w:cs="Times New Roman"/>
          <w:sz w:val="24"/>
          <w:szCs w:val="24"/>
        </w:rPr>
        <w:t xml:space="preserve">; this form was assumed by Wilamowitz to continue, and have identical function as, the Greek form in </w:t>
      </w:r>
      <w:r w:rsidR="0028723A">
        <w:rPr>
          <w:rFonts w:cs="Times New Roman"/>
          <w:i/>
          <w:sz w:val="24"/>
          <w:szCs w:val="24"/>
        </w:rPr>
        <w:t>Epitrepontes</w:t>
      </w:r>
      <w:r w:rsidR="0028723A">
        <w:rPr>
          <w:rFonts w:cs="Times New Roman"/>
          <w:sz w:val="24"/>
          <w:szCs w:val="24"/>
        </w:rPr>
        <w:t>.</w:t>
      </w:r>
      <w:r w:rsidR="0028723A">
        <w:rPr>
          <w:rStyle w:val="EndnoteReference"/>
          <w:rFonts w:cs="Times New Roman"/>
          <w:sz w:val="24"/>
          <w:szCs w:val="24"/>
        </w:rPr>
        <w:endnoteReference w:id="9"/>
      </w:r>
      <w:r w:rsidR="00212FD4">
        <w:rPr>
          <w:rFonts w:cs="Times New Roman"/>
          <w:sz w:val="24"/>
          <w:szCs w:val="24"/>
        </w:rPr>
        <w:t xml:space="preserve"> </w:t>
      </w:r>
      <w:r w:rsidRPr="003A52F8">
        <w:rPr>
          <w:rFonts w:cs="Times New Roman"/>
          <w:sz w:val="24"/>
          <w:szCs w:val="24"/>
        </w:rPr>
        <w:t xml:space="preserve">But given what we know about the freedom with which Roman playwrights treated their originals, relying on the practice of Latin playwrights is not, perhaps, a robust method. </w:t>
      </w:r>
      <w:r w:rsidR="00212FD4">
        <w:rPr>
          <w:rFonts w:cs="Times New Roman"/>
          <w:sz w:val="24"/>
          <w:szCs w:val="24"/>
        </w:rPr>
        <w:t>We shall nevertheless return to the Latin plays at the end of this paper.</w:t>
      </w:r>
    </w:p>
    <w:p w:rsidR="00D751BE" w:rsidRPr="003A52F8" w:rsidRDefault="00D751BE" w:rsidP="007F0F61">
      <w:pPr>
        <w:spacing w:after="0" w:line="480" w:lineRule="auto"/>
        <w:ind w:firstLine="720"/>
        <w:rPr>
          <w:rFonts w:cs="Times New Roman"/>
          <w:sz w:val="24"/>
          <w:szCs w:val="24"/>
        </w:rPr>
      </w:pPr>
      <w:r w:rsidRPr="003A52F8">
        <w:rPr>
          <w:rFonts w:cs="Times New Roman"/>
          <w:sz w:val="24"/>
          <w:szCs w:val="24"/>
        </w:rPr>
        <w:t xml:space="preserve">One might, then, seek a Greek parallel, and in fact something of the kind seems to be attested in Menander: the character speaking at the opening of Act IV of the </w:t>
      </w:r>
      <w:r w:rsidR="00381EAF">
        <w:rPr>
          <w:rFonts w:cs="Times New Roman"/>
          <w:i/>
          <w:sz w:val="24"/>
          <w:szCs w:val="24"/>
        </w:rPr>
        <w:t>Sicyonius</w:t>
      </w:r>
      <w:r w:rsidRPr="003A52F8">
        <w:rPr>
          <w:rFonts w:cs="Times New Roman"/>
          <w:sz w:val="24"/>
          <w:szCs w:val="24"/>
        </w:rPr>
        <w:t xml:space="preserve"> (Smicrines in most editions) refers to his interlocutor as an ὄχλος</w:t>
      </w:r>
      <w:r w:rsidR="00CF0698">
        <w:rPr>
          <w:rFonts w:cs="Times New Roman"/>
          <w:sz w:val="24"/>
          <w:szCs w:val="24"/>
        </w:rPr>
        <w:t>...</w:t>
      </w:r>
      <w:r w:rsidRPr="003A52F8">
        <w:rPr>
          <w:rFonts w:cs="Times New Roman"/>
          <w:sz w:val="24"/>
          <w:szCs w:val="24"/>
        </w:rPr>
        <w:t xml:space="preserve">φλυάρου μεστός </w:t>
      </w:r>
      <w:r w:rsidR="00F412FD">
        <w:rPr>
          <w:rFonts w:cs="Times New Roman"/>
          <w:sz w:val="24"/>
          <w:szCs w:val="24"/>
        </w:rPr>
        <w:t>“</w:t>
      </w:r>
      <w:r w:rsidRPr="003A52F8">
        <w:rPr>
          <w:rFonts w:cs="Times New Roman"/>
          <w:sz w:val="24"/>
          <w:szCs w:val="24"/>
        </w:rPr>
        <w:t>a crowd full of nonsense</w:t>
      </w:r>
      <w:r w:rsidR="00F412FD">
        <w:rPr>
          <w:rFonts w:cs="Times New Roman"/>
          <w:sz w:val="24"/>
          <w:szCs w:val="24"/>
        </w:rPr>
        <w:t>”</w:t>
      </w:r>
      <w:r w:rsidRPr="003A52F8">
        <w:rPr>
          <w:rFonts w:cs="Times New Roman"/>
          <w:sz w:val="24"/>
          <w:szCs w:val="24"/>
        </w:rPr>
        <w:t xml:space="preserve"> (</w:t>
      </w:r>
      <w:r w:rsidR="00EC7AAD">
        <w:rPr>
          <w:rFonts w:cs="Times New Roman"/>
          <w:i/>
          <w:sz w:val="24"/>
          <w:szCs w:val="24"/>
        </w:rPr>
        <w:t>Sic</w:t>
      </w:r>
      <w:r w:rsidRPr="003A52F8">
        <w:rPr>
          <w:rFonts w:cs="Times New Roman"/>
          <w:sz w:val="24"/>
          <w:szCs w:val="24"/>
        </w:rPr>
        <w:t xml:space="preserve">. 150). This would be a candidate for the use of a collective in singulative function as an appellative; on the </w:t>
      </w:r>
      <w:r w:rsidRPr="003A52F8">
        <w:rPr>
          <w:rFonts w:cs="Times New Roman"/>
          <w:sz w:val="24"/>
          <w:szCs w:val="24"/>
        </w:rPr>
        <w:lastRenderedPageBreak/>
        <w:t>other hand it is not a syntactic parallel, as it is not being used here in the vocative as a form of address.</w:t>
      </w:r>
      <w:r w:rsidRPr="003A52F8">
        <w:rPr>
          <w:rStyle w:val="EndnoteReference"/>
          <w:rFonts w:cs="Times New Roman"/>
          <w:sz w:val="24"/>
          <w:szCs w:val="24"/>
        </w:rPr>
        <w:endnoteReference w:id="10"/>
      </w:r>
    </w:p>
    <w:p w:rsidR="00D751BE" w:rsidRPr="003A52F8" w:rsidRDefault="00D751BE" w:rsidP="007F0F61">
      <w:pPr>
        <w:spacing w:after="0" w:line="480" w:lineRule="auto"/>
        <w:ind w:firstLine="360"/>
        <w:rPr>
          <w:rFonts w:cs="Times New Roman"/>
          <w:sz w:val="24"/>
          <w:szCs w:val="24"/>
        </w:rPr>
      </w:pPr>
      <w:r w:rsidRPr="003A52F8">
        <w:rPr>
          <w:rFonts w:cs="Times New Roman"/>
          <w:sz w:val="24"/>
          <w:szCs w:val="24"/>
        </w:rPr>
        <w:t>The traditional explanation relies on a segmentation of the word as ἐργασ–τήριον. The suffix –τήριον is known to be productive in Greek in forming the names of places.</w:t>
      </w:r>
      <w:r w:rsidRPr="003A52F8">
        <w:rPr>
          <w:rStyle w:val="EndnoteReference"/>
          <w:rFonts w:cs="Times New Roman"/>
          <w:sz w:val="24"/>
          <w:szCs w:val="24"/>
        </w:rPr>
        <w:endnoteReference w:id="11"/>
      </w:r>
      <w:r w:rsidRPr="003A52F8">
        <w:rPr>
          <w:rFonts w:cs="Times New Roman"/>
          <w:sz w:val="24"/>
          <w:szCs w:val="24"/>
        </w:rPr>
        <w:t xml:space="preserve"> But since –τήριον is in origin a </w:t>
      </w:r>
      <w:r w:rsidR="006E7E5A">
        <w:rPr>
          <w:rFonts w:cs="Times New Roman"/>
          <w:sz w:val="24"/>
          <w:szCs w:val="24"/>
        </w:rPr>
        <w:t xml:space="preserve">suffix compounded </w:t>
      </w:r>
      <w:r w:rsidRPr="003A52F8">
        <w:rPr>
          <w:rFonts w:cs="Times New Roman"/>
          <w:sz w:val="24"/>
          <w:szCs w:val="24"/>
        </w:rPr>
        <w:t xml:space="preserve">from –τήρ and –ιον, this is not the only segmentation open to us. Another analysis could take –ιον to be the only suffix present, thus ἐργαστήρ–ιον. On this explanation, the word would be a diminutive of the form ἐργαστήρ </w:t>
      </w:r>
      <w:r w:rsidR="00F412FD">
        <w:rPr>
          <w:rFonts w:cs="Times New Roman"/>
          <w:sz w:val="24"/>
          <w:szCs w:val="24"/>
        </w:rPr>
        <w:t>“</w:t>
      </w:r>
      <w:r w:rsidRPr="003A52F8">
        <w:rPr>
          <w:rFonts w:cs="Times New Roman"/>
          <w:sz w:val="24"/>
          <w:szCs w:val="24"/>
        </w:rPr>
        <w:t>workman</w:t>
      </w:r>
      <w:r w:rsidR="00F412FD">
        <w:rPr>
          <w:rFonts w:cs="Times New Roman"/>
          <w:sz w:val="24"/>
          <w:szCs w:val="24"/>
        </w:rPr>
        <w:t>”</w:t>
      </w:r>
      <w:r w:rsidRPr="003A52F8">
        <w:rPr>
          <w:rFonts w:cs="Times New Roman"/>
          <w:sz w:val="24"/>
          <w:szCs w:val="24"/>
        </w:rPr>
        <w:t>.</w:t>
      </w:r>
      <w:r w:rsidRPr="003A52F8">
        <w:rPr>
          <w:rStyle w:val="EndnoteReference"/>
          <w:rFonts w:cs="Times New Roman"/>
          <w:sz w:val="24"/>
          <w:szCs w:val="24"/>
        </w:rPr>
        <w:endnoteReference w:id="12"/>
      </w:r>
      <w:r w:rsidRPr="003A52F8">
        <w:rPr>
          <w:rFonts w:cs="Times New Roman"/>
          <w:sz w:val="24"/>
          <w:szCs w:val="24"/>
        </w:rPr>
        <w:t xml:space="preserve"> In order to secure this analysis, the form must fulfil certain criteria:</w:t>
      </w:r>
    </w:p>
    <w:p w:rsidR="00D751BE" w:rsidRPr="003A52F8" w:rsidRDefault="00D751BE" w:rsidP="007F0F61">
      <w:pPr>
        <w:pStyle w:val="ListParagraph"/>
        <w:numPr>
          <w:ilvl w:val="0"/>
          <w:numId w:val="3"/>
        </w:numPr>
        <w:spacing w:after="0" w:line="480" w:lineRule="auto"/>
        <w:rPr>
          <w:rFonts w:cs="Times New Roman"/>
          <w:sz w:val="24"/>
          <w:szCs w:val="24"/>
        </w:rPr>
      </w:pPr>
      <w:r w:rsidRPr="003A52F8">
        <w:rPr>
          <w:rFonts w:cs="Times New Roman"/>
          <w:sz w:val="24"/>
          <w:szCs w:val="24"/>
        </w:rPr>
        <w:t xml:space="preserve">It must be a likely form for Menander to use, whether he coined it or inherited it; </w:t>
      </w:r>
    </w:p>
    <w:p w:rsidR="00D751BE" w:rsidRPr="003A52F8" w:rsidRDefault="00D751BE" w:rsidP="007F0F61">
      <w:pPr>
        <w:pStyle w:val="ListParagraph"/>
        <w:numPr>
          <w:ilvl w:val="0"/>
          <w:numId w:val="3"/>
        </w:numPr>
        <w:spacing w:after="0" w:line="480" w:lineRule="auto"/>
        <w:rPr>
          <w:rFonts w:cs="Times New Roman"/>
          <w:sz w:val="24"/>
          <w:szCs w:val="24"/>
        </w:rPr>
      </w:pPr>
      <w:r w:rsidRPr="003A52F8">
        <w:rPr>
          <w:rFonts w:cs="Times New Roman"/>
          <w:sz w:val="24"/>
          <w:szCs w:val="24"/>
        </w:rPr>
        <w:t>It must fit the context of the dramatic utterance;</w:t>
      </w:r>
    </w:p>
    <w:p w:rsidR="00D751BE" w:rsidRPr="003A52F8" w:rsidRDefault="00D751BE" w:rsidP="007F0F61">
      <w:pPr>
        <w:pStyle w:val="ListParagraph"/>
        <w:numPr>
          <w:ilvl w:val="0"/>
          <w:numId w:val="3"/>
        </w:numPr>
        <w:spacing w:after="0" w:line="480" w:lineRule="auto"/>
        <w:rPr>
          <w:rFonts w:cs="Times New Roman"/>
          <w:sz w:val="24"/>
          <w:szCs w:val="24"/>
        </w:rPr>
      </w:pPr>
      <w:r w:rsidRPr="003A52F8">
        <w:rPr>
          <w:rFonts w:cs="Times New Roman"/>
          <w:sz w:val="24"/>
          <w:szCs w:val="24"/>
        </w:rPr>
        <w:t>It should preferably tell us something about the Latin forms used to adapt it.</w:t>
      </w:r>
    </w:p>
    <w:p w:rsidR="00D751BE" w:rsidRPr="003A52F8" w:rsidRDefault="00D751BE" w:rsidP="007F0F61">
      <w:pPr>
        <w:spacing w:after="0" w:line="480" w:lineRule="auto"/>
        <w:rPr>
          <w:rFonts w:cs="Times New Roman"/>
          <w:sz w:val="24"/>
          <w:szCs w:val="24"/>
        </w:rPr>
      </w:pPr>
      <w:r w:rsidRPr="003A52F8">
        <w:rPr>
          <w:rFonts w:cs="Times New Roman"/>
          <w:sz w:val="24"/>
          <w:szCs w:val="24"/>
        </w:rPr>
        <w:t>We will examine these points in turn.</w:t>
      </w:r>
    </w:p>
    <w:p w:rsidR="00D751BE" w:rsidRPr="003A52F8" w:rsidRDefault="00D751BE" w:rsidP="007F0F61">
      <w:pPr>
        <w:spacing w:after="0" w:line="480" w:lineRule="auto"/>
        <w:ind w:firstLine="720"/>
        <w:rPr>
          <w:rFonts w:cs="Times New Roman"/>
          <w:sz w:val="24"/>
          <w:szCs w:val="24"/>
        </w:rPr>
      </w:pPr>
      <w:r w:rsidRPr="003A52F8">
        <w:rPr>
          <w:rFonts w:cs="Times New Roman"/>
          <w:sz w:val="24"/>
          <w:szCs w:val="24"/>
        </w:rPr>
        <w:t>Among the derivational morphology of Menander, the diminutives form one of the most productive categories, with sixteen new forms of different shapes attested: ἀπφάριον,</w:t>
      </w:r>
      <w:r w:rsidRPr="003A52F8">
        <w:rPr>
          <w:rStyle w:val="EndnoteReference"/>
          <w:rFonts w:cs="Times New Roman"/>
          <w:sz w:val="24"/>
          <w:szCs w:val="24"/>
        </w:rPr>
        <w:endnoteReference w:id="13"/>
      </w:r>
      <w:r w:rsidRPr="003A52F8">
        <w:rPr>
          <w:rFonts w:cs="Times New Roman"/>
          <w:sz w:val="24"/>
          <w:szCs w:val="24"/>
        </w:rPr>
        <w:t xml:space="preserve"> ἀρτίδιον, ἑταιρίδιον, θεραπαινίδιον, θυγατρίδιον, ἱστάριον, λῄδιον, λοφίδιον, ξενύδριον, παιδισκάριον, πελτίον, πλόκιον, ποτηρίδιον, ῥοΐδιον, ταμιείδιον, χιτωνάριον. </w:t>
      </w:r>
      <w:r w:rsidRPr="003A52F8">
        <w:rPr>
          <w:sz w:val="24"/>
          <w:szCs w:val="24"/>
        </w:rPr>
        <w:t>On this evidence, Menander was free to coin new diminutive formations, and we should not rule out new diminutives coming to light.</w:t>
      </w:r>
      <w:r w:rsidRPr="003A52F8">
        <w:rPr>
          <w:rStyle w:val="EndnoteReference"/>
          <w:sz w:val="24"/>
          <w:szCs w:val="24"/>
        </w:rPr>
        <w:endnoteReference w:id="14"/>
      </w:r>
      <w:r w:rsidR="00143852">
        <w:rPr>
          <w:sz w:val="24"/>
          <w:szCs w:val="24"/>
        </w:rPr>
        <w:t xml:space="preserve"> It matters less that Menander invented each and every one of the forms first attested in his text – which is </w:t>
      </w:r>
      <w:r w:rsidR="00FF2C52">
        <w:rPr>
          <w:sz w:val="24"/>
          <w:szCs w:val="24"/>
        </w:rPr>
        <w:t>almost impossible to believe – than that new coinages of diminutive forms were possible in the period in general.</w:t>
      </w:r>
    </w:p>
    <w:p w:rsidR="00D751BE" w:rsidRPr="006A632B" w:rsidRDefault="00D751BE" w:rsidP="007F0F61">
      <w:pPr>
        <w:spacing w:after="0" w:line="480" w:lineRule="auto"/>
        <w:ind w:firstLine="720"/>
        <w:rPr>
          <w:rFonts w:cs="Times New Roman"/>
          <w:sz w:val="24"/>
          <w:szCs w:val="24"/>
        </w:rPr>
      </w:pPr>
      <w:r w:rsidRPr="003A52F8">
        <w:rPr>
          <w:sz w:val="24"/>
          <w:szCs w:val="24"/>
        </w:rPr>
        <w:t xml:space="preserve">On the other hand, were </w:t>
      </w:r>
      <w:r w:rsidRPr="003A52F8">
        <w:rPr>
          <w:i/>
          <w:sz w:val="24"/>
          <w:szCs w:val="24"/>
        </w:rPr>
        <w:t>nomina agentis</w:t>
      </w:r>
      <w:r w:rsidRPr="003A52F8">
        <w:rPr>
          <w:sz w:val="24"/>
          <w:szCs w:val="24"/>
        </w:rPr>
        <w:t xml:space="preserve"> in –τήρ</w:t>
      </w:r>
      <w:r w:rsidRPr="003A52F8">
        <w:rPr>
          <w:rFonts w:cs="Times New Roman"/>
          <w:sz w:val="24"/>
          <w:szCs w:val="24"/>
        </w:rPr>
        <w:t xml:space="preserve"> possible inputs for diminutive formation? Chantraine already observed that where a form in –τήρ had </w:t>
      </w:r>
      <w:r w:rsidRPr="003A52F8">
        <w:rPr>
          <w:rFonts w:cs="Times New Roman"/>
          <w:sz w:val="24"/>
          <w:szCs w:val="24"/>
        </w:rPr>
        <w:lastRenderedPageBreak/>
        <w:t xml:space="preserve">been rebuilt in –τήριον, the base word had the function of a </w:t>
      </w:r>
      <w:r w:rsidR="00F412FD">
        <w:rPr>
          <w:rFonts w:cs="Times New Roman"/>
          <w:sz w:val="24"/>
          <w:szCs w:val="24"/>
        </w:rPr>
        <w:t>“</w:t>
      </w:r>
      <w:r w:rsidRPr="003A52F8">
        <w:rPr>
          <w:rFonts w:cs="Times New Roman"/>
          <w:sz w:val="24"/>
          <w:szCs w:val="24"/>
        </w:rPr>
        <w:t>tool</w:t>
      </w:r>
      <w:r w:rsidR="00F412FD">
        <w:rPr>
          <w:rFonts w:cs="Times New Roman"/>
          <w:sz w:val="24"/>
          <w:szCs w:val="24"/>
        </w:rPr>
        <w:t>”</w:t>
      </w:r>
      <w:r w:rsidRPr="003A52F8">
        <w:rPr>
          <w:rFonts w:cs="Times New Roman"/>
          <w:sz w:val="24"/>
          <w:szCs w:val="24"/>
        </w:rPr>
        <w:t>-word.</w:t>
      </w:r>
      <w:r w:rsidRPr="003A52F8">
        <w:rPr>
          <w:rStyle w:val="EndnoteReference"/>
          <w:rFonts w:cs="Times New Roman"/>
          <w:sz w:val="24"/>
          <w:szCs w:val="24"/>
        </w:rPr>
        <w:endnoteReference w:id="15"/>
      </w:r>
      <w:r w:rsidRPr="003A52F8">
        <w:rPr>
          <w:rFonts w:cs="Times New Roman"/>
          <w:sz w:val="24"/>
          <w:szCs w:val="24"/>
        </w:rPr>
        <w:t xml:space="preserve"> This applies to some 21 examples of nouns in –τήριον which look like candidates for being genuine diminutives, all derived from tool words rather than from personal agent nouns. The form φυλακτήριον, for example, is first attested in the sense </w:t>
      </w:r>
      <w:r w:rsidR="00F412FD">
        <w:rPr>
          <w:rFonts w:cs="Times New Roman"/>
          <w:sz w:val="24"/>
          <w:szCs w:val="24"/>
        </w:rPr>
        <w:t>“</w:t>
      </w:r>
      <w:r w:rsidRPr="003A52F8">
        <w:rPr>
          <w:rFonts w:cs="Times New Roman"/>
          <w:sz w:val="24"/>
          <w:szCs w:val="24"/>
        </w:rPr>
        <w:t>castle</w:t>
      </w:r>
      <w:r w:rsidR="00F412FD">
        <w:rPr>
          <w:rFonts w:cs="Times New Roman"/>
          <w:sz w:val="24"/>
          <w:szCs w:val="24"/>
        </w:rPr>
        <w:t>”</w:t>
      </w:r>
      <w:r w:rsidRPr="003A52F8">
        <w:rPr>
          <w:rFonts w:cs="Times New Roman"/>
          <w:sz w:val="24"/>
          <w:szCs w:val="24"/>
        </w:rPr>
        <w:t xml:space="preserve"> but later comes to mean </w:t>
      </w:r>
      <w:r w:rsidR="00F412FD">
        <w:rPr>
          <w:rFonts w:cs="Times New Roman"/>
          <w:sz w:val="24"/>
          <w:szCs w:val="24"/>
        </w:rPr>
        <w:t>“</w:t>
      </w:r>
      <w:r w:rsidRPr="003A52F8">
        <w:rPr>
          <w:rFonts w:cs="Times New Roman"/>
          <w:sz w:val="24"/>
          <w:szCs w:val="24"/>
        </w:rPr>
        <w:t>amulet</w:t>
      </w:r>
      <w:r w:rsidR="00F412FD">
        <w:rPr>
          <w:rFonts w:cs="Times New Roman"/>
          <w:sz w:val="24"/>
          <w:szCs w:val="24"/>
        </w:rPr>
        <w:t>”</w:t>
      </w:r>
      <w:r w:rsidRPr="003A52F8">
        <w:rPr>
          <w:rFonts w:cs="Times New Roman"/>
          <w:sz w:val="24"/>
          <w:szCs w:val="24"/>
        </w:rPr>
        <w:t>.</w:t>
      </w:r>
      <w:r w:rsidRPr="003A52F8">
        <w:rPr>
          <w:rStyle w:val="EndnoteReference"/>
          <w:rFonts w:cs="Times New Roman"/>
          <w:sz w:val="24"/>
          <w:szCs w:val="24"/>
        </w:rPr>
        <w:endnoteReference w:id="16"/>
      </w:r>
      <w:r w:rsidRPr="003A52F8">
        <w:rPr>
          <w:rFonts w:cs="Times New Roman"/>
          <w:sz w:val="24"/>
          <w:szCs w:val="24"/>
        </w:rPr>
        <w:t xml:space="preserve"> It is more likely that both senses of the term coexisted, given the unlikelihood that context would ever result in genuine ambiguity, than that the form was reanalysed at a later date, but the latter scenario is not impossible. </w:t>
      </w:r>
      <w:r w:rsidR="006A632B">
        <w:rPr>
          <w:rFonts w:cs="Times New Roman"/>
          <w:sz w:val="24"/>
          <w:szCs w:val="24"/>
        </w:rPr>
        <w:t xml:space="preserve">The polysemy of the form in –τήριον is suggestive, </w:t>
      </w:r>
      <w:r w:rsidR="003C126B">
        <w:rPr>
          <w:rFonts w:cs="Times New Roman"/>
          <w:sz w:val="24"/>
          <w:szCs w:val="24"/>
        </w:rPr>
        <w:t xml:space="preserve">but does not </w:t>
      </w:r>
      <w:r w:rsidR="006A632B">
        <w:rPr>
          <w:rFonts w:cs="Times New Roman"/>
          <w:sz w:val="24"/>
          <w:szCs w:val="24"/>
        </w:rPr>
        <w:t>prove that diminutives to agent nouns in –τήρ could be formed.</w:t>
      </w:r>
    </w:p>
    <w:p w:rsidR="00D751BE" w:rsidRPr="003A52F8" w:rsidRDefault="003C126B" w:rsidP="007F0F61">
      <w:pPr>
        <w:spacing w:after="0" w:line="480" w:lineRule="auto"/>
        <w:ind w:firstLine="720"/>
        <w:rPr>
          <w:rFonts w:cs="Times New Roman"/>
          <w:sz w:val="24"/>
          <w:szCs w:val="24"/>
        </w:rPr>
      </w:pPr>
      <w:r>
        <w:rPr>
          <w:rFonts w:cs="Times New Roman"/>
          <w:sz w:val="24"/>
          <w:szCs w:val="24"/>
        </w:rPr>
        <w:t>On the other hand,</w:t>
      </w:r>
      <w:r w:rsidR="00D751BE" w:rsidRPr="003A52F8">
        <w:rPr>
          <w:rFonts w:cs="Times New Roman"/>
          <w:sz w:val="24"/>
          <w:szCs w:val="24"/>
        </w:rPr>
        <w:t xml:space="preserve"> the existence of these place-terms in –τήριο</w:t>
      </w:r>
      <w:r>
        <w:rPr>
          <w:rFonts w:cs="Times New Roman"/>
          <w:sz w:val="24"/>
          <w:szCs w:val="24"/>
        </w:rPr>
        <w:t>ν, and their productivity, might explain</w:t>
      </w:r>
      <w:r w:rsidR="00D751BE" w:rsidRPr="003A52F8">
        <w:rPr>
          <w:rFonts w:cs="Times New Roman"/>
          <w:sz w:val="24"/>
          <w:szCs w:val="24"/>
        </w:rPr>
        <w:t xml:space="preserve"> the dearth of diminutives to agent nouns. A diminutive to an agent noun in –τήρ would be homophonous with a derivative in –τήριον to the same root. In such cases, the existence of one of the possible derivatives can be expected to block the formation (or at least the permanent lexicalisation) of the other;</w:t>
      </w:r>
      <w:r w:rsidR="00D751BE" w:rsidRPr="003A52F8">
        <w:rPr>
          <w:rStyle w:val="EndnoteReference"/>
          <w:rFonts w:cs="Times New Roman"/>
          <w:sz w:val="24"/>
          <w:szCs w:val="24"/>
        </w:rPr>
        <w:endnoteReference w:id="17"/>
      </w:r>
      <w:r w:rsidR="00D751BE" w:rsidRPr="003A52F8">
        <w:rPr>
          <w:rFonts w:cs="Times New Roman"/>
          <w:sz w:val="24"/>
          <w:szCs w:val="24"/>
        </w:rPr>
        <w:t xml:space="preserve"> this phenomenon is known as </w:t>
      </w:r>
      <w:r w:rsidR="00363B96">
        <w:rPr>
          <w:rFonts w:cs="Times New Roman"/>
          <w:sz w:val="24"/>
          <w:szCs w:val="24"/>
        </w:rPr>
        <w:t>homonymy</w:t>
      </w:r>
      <w:r w:rsidR="00D751BE" w:rsidRPr="003A52F8">
        <w:rPr>
          <w:rFonts w:cs="Times New Roman"/>
          <w:sz w:val="24"/>
          <w:szCs w:val="24"/>
        </w:rPr>
        <w:t xml:space="preserve"> blocking. </w:t>
      </w:r>
      <w:r w:rsidR="00363B96">
        <w:rPr>
          <w:rFonts w:cs="Times New Roman"/>
          <w:sz w:val="24"/>
          <w:szCs w:val="24"/>
        </w:rPr>
        <w:t>Homonymy</w:t>
      </w:r>
      <w:r w:rsidR="00D751BE" w:rsidRPr="003A52F8">
        <w:rPr>
          <w:rFonts w:cs="Times New Roman"/>
          <w:sz w:val="24"/>
          <w:szCs w:val="24"/>
        </w:rPr>
        <w:t xml:space="preserve"> blocking is a contested phenomenon, but there are good examples which cannot be explained away very easily.</w:t>
      </w:r>
      <w:r w:rsidR="00D751BE" w:rsidRPr="003A52F8">
        <w:rPr>
          <w:rStyle w:val="EndnoteReference"/>
          <w:rFonts w:cs="Times New Roman"/>
          <w:sz w:val="24"/>
          <w:szCs w:val="24"/>
        </w:rPr>
        <w:endnoteReference w:id="18"/>
      </w:r>
      <w:r w:rsidR="00D751BE" w:rsidRPr="003A52F8">
        <w:rPr>
          <w:rFonts w:cs="Times New Roman"/>
          <w:sz w:val="24"/>
          <w:szCs w:val="24"/>
        </w:rPr>
        <w:t xml:space="preserve"> The</w:t>
      </w:r>
      <w:r w:rsidR="00E049A1">
        <w:rPr>
          <w:rFonts w:cs="Times New Roman"/>
          <w:sz w:val="24"/>
          <w:szCs w:val="24"/>
        </w:rPr>
        <w:t xml:space="preserve"> relative sparseness of attestations for diminutives derived from agent nouns in –τήρ can therefore be explained as being due to homonymy blocking; this will not have prevented occasional forms from occurring, however,</w:t>
      </w:r>
      <w:r w:rsidR="00E049A1" w:rsidRPr="003A52F8">
        <w:rPr>
          <w:rStyle w:val="EndnoteReference"/>
          <w:rFonts w:cs="Times New Roman"/>
          <w:sz w:val="24"/>
          <w:szCs w:val="24"/>
        </w:rPr>
        <w:endnoteReference w:id="19"/>
      </w:r>
      <w:r w:rsidR="00E049A1" w:rsidRPr="003A52F8">
        <w:rPr>
          <w:rFonts w:cs="Times New Roman"/>
          <w:sz w:val="24"/>
          <w:szCs w:val="24"/>
        </w:rPr>
        <w:t xml:space="preserve"> </w:t>
      </w:r>
      <w:r w:rsidR="00E049A1">
        <w:rPr>
          <w:rFonts w:cs="Times New Roman"/>
          <w:sz w:val="24"/>
          <w:szCs w:val="24"/>
        </w:rPr>
        <w:t xml:space="preserve"> and therefore allows us to consider segmenting nouns in –τήριον </w:t>
      </w:r>
      <w:bookmarkStart w:id="2" w:name="_Ref403754491"/>
      <w:r w:rsidR="00E049A1">
        <w:rPr>
          <w:rFonts w:cs="Times New Roman"/>
          <w:sz w:val="24"/>
          <w:szCs w:val="24"/>
        </w:rPr>
        <w:t>as diminutives.</w:t>
      </w:r>
      <w:bookmarkEnd w:id="2"/>
      <w:r w:rsidR="00D751BE" w:rsidRPr="003A52F8">
        <w:rPr>
          <w:rFonts w:cs="Times New Roman"/>
          <w:sz w:val="24"/>
          <w:szCs w:val="24"/>
        </w:rPr>
        <w:t xml:space="preserve"> </w:t>
      </w:r>
      <w:r w:rsidR="00E049A1">
        <w:rPr>
          <w:rFonts w:cs="Times New Roman"/>
          <w:sz w:val="24"/>
          <w:szCs w:val="24"/>
        </w:rPr>
        <w:t xml:space="preserve">We therefore </w:t>
      </w:r>
      <w:r w:rsidR="00D751BE" w:rsidRPr="003A52F8">
        <w:rPr>
          <w:rFonts w:cs="Times New Roman"/>
          <w:sz w:val="24"/>
          <w:szCs w:val="24"/>
        </w:rPr>
        <w:t xml:space="preserve">have license to interpret a given form as a diminutive, and an explanation for why such forms are apparently so rare. </w:t>
      </w:r>
    </w:p>
    <w:p w:rsidR="00D751BE" w:rsidRPr="003A52F8" w:rsidRDefault="00D751BE" w:rsidP="007F0F61">
      <w:pPr>
        <w:spacing w:after="0" w:line="480" w:lineRule="auto"/>
        <w:ind w:firstLine="720"/>
        <w:rPr>
          <w:rFonts w:cs="Times New Roman"/>
          <w:sz w:val="24"/>
          <w:szCs w:val="24"/>
        </w:rPr>
      </w:pPr>
      <w:r w:rsidRPr="003A52F8">
        <w:rPr>
          <w:rFonts w:cs="Times New Roman"/>
          <w:sz w:val="24"/>
          <w:szCs w:val="24"/>
        </w:rPr>
        <w:t xml:space="preserve">To strengthen our hypothesis of a segmentation ἐργαστήρ-ιον we must examine the dramatic context to establish whether such a form is in place here. </w:t>
      </w:r>
      <w:r w:rsidRPr="003A52F8">
        <w:rPr>
          <w:rFonts w:cs="Times New Roman"/>
          <w:i/>
          <w:sz w:val="24"/>
          <w:szCs w:val="24"/>
        </w:rPr>
        <w:t>Ep</w:t>
      </w:r>
      <w:r w:rsidRPr="003A52F8">
        <w:rPr>
          <w:rFonts w:cs="Times New Roman"/>
          <w:sz w:val="24"/>
          <w:szCs w:val="24"/>
        </w:rPr>
        <w:t xml:space="preserve">. 366 is from the end of the </w:t>
      </w:r>
      <w:r w:rsidRPr="003A52F8">
        <w:rPr>
          <w:rFonts w:cs="Times New Roman"/>
          <w:i/>
          <w:sz w:val="24"/>
          <w:szCs w:val="24"/>
        </w:rPr>
        <w:t>agon</w:t>
      </w:r>
      <w:r w:rsidRPr="003A52F8">
        <w:rPr>
          <w:rFonts w:cs="Times New Roman"/>
          <w:sz w:val="24"/>
          <w:szCs w:val="24"/>
        </w:rPr>
        <w:t>-scene; Sm</w:t>
      </w:r>
      <w:r w:rsidR="00755E47">
        <w:rPr>
          <w:rFonts w:cs="Times New Roman"/>
          <w:sz w:val="24"/>
          <w:szCs w:val="24"/>
        </w:rPr>
        <w:t>icrines has adjudicated in favo</w:t>
      </w:r>
      <w:r w:rsidRPr="003A52F8">
        <w:rPr>
          <w:rFonts w:cs="Times New Roman"/>
          <w:sz w:val="24"/>
          <w:szCs w:val="24"/>
        </w:rPr>
        <w:t xml:space="preserve">r of Syrus, </w:t>
      </w:r>
      <w:r w:rsidRPr="003A52F8">
        <w:rPr>
          <w:rFonts w:cs="Times New Roman"/>
          <w:sz w:val="24"/>
          <w:szCs w:val="24"/>
        </w:rPr>
        <w:lastRenderedPageBreak/>
        <w:t xml:space="preserve">and is attempting to prevail on Davus to hand the recognition tokens over. One of the remarks addressed by Smicrines to Davus is our line, </w:t>
      </w:r>
      <w:r w:rsidRPr="003A52F8">
        <w:rPr>
          <w:rFonts w:cs="Times New Roman"/>
          <w:i/>
          <w:sz w:val="24"/>
          <w:szCs w:val="24"/>
        </w:rPr>
        <w:t>Ep</w:t>
      </w:r>
      <w:r w:rsidRPr="003A52F8">
        <w:rPr>
          <w:rFonts w:cs="Times New Roman"/>
          <w:sz w:val="24"/>
          <w:szCs w:val="24"/>
        </w:rPr>
        <w:t>. 366.</w:t>
      </w:r>
      <w:r w:rsidRPr="003A52F8">
        <w:rPr>
          <w:rStyle w:val="EndnoteReference"/>
          <w:rFonts w:cs="Times New Roman"/>
          <w:sz w:val="24"/>
          <w:szCs w:val="24"/>
        </w:rPr>
        <w:endnoteReference w:id="20"/>
      </w:r>
      <w:r w:rsidRPr="003A52F8">
        <w:rPr>
          <w:rFonts w:cs="Times New Roman"/>
          <w:sz w:val="24"/>
          <w:szCs w:val="24"/>
        </w:rPr>
        <w:t xml:space="preserve"> Davus, it seems, has accepted defeat, but like all good comic victims, is putting up a good if futile fight. The judgement happens in 355-7, but at 363 Davus has still not handed the goods over. At 366 an exasperated Smicrines tells him to give the things up. Da</w:t>
      </w:r>
      <w:r w:rsidR="003C126B">
        <w:rPr>
          <w:rFonts w:cs="Times New Roman"/>
          <w:sz w:val="24"/>
          <w:szCs w:val="24"/>
        </w:rPr>
        <w:t>vus</w:t>
      </w:r>
      <w:r w:rsidR="00F412FD">
        <w:rPr>
          <w:rFonts w:cs="Times New Roman"/>
          <w:sz w:val="24"/>
          <w:szCs w:val="24"/>
        </w:rPr>
        <w:t>”</w:t>
      </w:r>
      <w:r w:rsidR="003C126B">
        <w:rPr>
          <w:rFonts w:cs="Times New Roman"/>
          <w:sz w:val="24"/>
          <w:szCs w:val="24"/>
        </w:rPr>
        <w:t xml:space="preserve"> whining is well-</w:t>
      </w:r>
      <w:r w:rsidR="00755E47">
        <w:rPr>
          <w:rFonts w:cs="Times New Roman"/>
          <w:sz w:val="24"/>
          <w:szCs w:val="24"/>
        </w:rPr>
        <w:t>characteriz</w:t>
      </w:r>
      <w:r w:rsidRPr="003A52F8">
        <w:rPr>
          <w:rFonts w:cs="Times New Roman"/>
          <w:sz w:val="24"/>
          <w:szCs w:val="24"/>
        </w:rPr>
        <w:t>ed: it is repetitious (δεινή γ᾿ ἡ κρίσις</w:t>
      </w:r>
      <w:r w:rsidR="00CB29EC">
        <w:rPr>
          <w:rFonts w:cs="Times New Roman"/>
          <w:sz w:val="24"/>
          <w:szCs w:val="24"/>
        </w:rPr>
        <w:t xml:space="preserve"> </w:t>
      </w:r>
      <w:r w:rsidR="00F412FD">
        <w:rPr>
          <w:rFonts w:cs="Times New Roman"/>
          <w:sz w:val="24"/>
          <w:szCs w:val="24"/>
        </w:rPr>
        <w:t>“</w:t>
      </w:r>
      <w:r w:rsidR="00CB29EC">
        <w:rPr>
          <w:rFonts w:cs="Times New Roman"/>
          <w:sz w:val="24"/>
          <w:szCs w:val="24"/>
        </w:rPr>
        <w:t>the judgement is harsh</w:t>
      </w:r>
      <w:r w:rsidR="00F412FD">
        <w:rPr>
          <w:rFonts w:cs="Times New Roman"/>
          <w:sz w:val="24"/>
          <w:szCs w:val="24"/>
        </w:rPr>
        <w:t>”</w:t>
      </w:r>
      <w:r w:rsidRPr="003A52F8">
        <w:rPr>
          <w:rFonts w:cs="Times New Roman"/>
          <w:sz w:val="24"/>
          <w:szCs w:val="24"/>
        </w:rPr>
        <w:t>, 358, 361; cf. οὐ γέγονε δεινοτέρα κρίσις</w:t>
      </w:r>
      <w:r w:rsidR="00CB29EC">
        <w:rPr>
          <w:rFonts w:cs="Times New Roman"/>
          <w:sz w:val="24"/>
          <w:szCs w:val="24"/>
        </w:rPr>
        <w:t xml:space="preserve"> </w:t>
      </w:r>
      <w:r w:rsidR="00F412FD">
        <w:rPr>
          <w:rFonts w:cs="Times New Roman"/>
          <w:sz w:val="24"/>
          <w:szCs w:val="24"/>
        </w:rPr>
        <w:t>“</w:t>
      </w:r>
      <w:r w:rsidR="00CB29EC">
        <w:rPr>
          <w:rFonts w:cs="Times New Roman"/>
          <w:sz w:val="24"/>
          <w:szCs w:val="24"/>
        </w:rPr>
        <w:t>there</w:t>
      </w:r>
      <w:r w:rsidR="00F412FD">
        <w:rPr>
          <w:rFonts w:cs="Times New Roman"/>
          <w:sz w:val="24"/>
          <w:szCs w:val="24"/>
        </w:rPr>
        <w:t>”</w:t>
      </w:r>
      <w:r w:rsidR="00CB29EC">
        <w:rPr>
          <w:rFonts w:cs="Times New Roman"/>
          <w:sz w:val="24"/>
          <w:szCs w:val="24"/>
        </w:rPr>
        <w:t>s no harsher judgement</w:t>
      </w:r>
      <w:r w:rsidR="00F412FD">
        <w:rPr>
          <w:rFonts w:cs="Times New Roman"/>
          <w:sz w:val="24"/>
          <w:szCs w:val="24"/>
        </w:rPr>
        <w:t>”</w:t>
      </w:r>
      <w:r w:rsidRPr="003A52F8">
        <w:rPr>
          <w:rFonts w:cs="Times New Roman"/>
          <w:sz w:val="24"/>
          <w:szCs w:val="24"/>
        </w:rPr>
        <w:t xml:space="preserve">, 372), sententious (ἅπανθ᾿ εὑρὼν </w:t>
      </w:r>
      <w:r w:rsidR="00F75029">
        <w:rPr>
          <w:rFonts w:cs="Times New Roman"/>
          <w:sz w:val="24"/>
          <w:szCs w:val="24"/>
        </w:rPr>
        <w:t>[</w:t>
      </w:r>
      <w:r w:rsidRPr="003A52F8">
        <w:rPr>
          <w:rFonts w:cs="Times New Roman"/>
          <w:sz w:val="24"/>
          <w:szCs w:val="24"/>
        </w:rPr>
        <w:t>ἐγὼ</w:t>
      </w:r>
      <w:r w:rsidR="00F75029">
        <w:rPr>
          <w:rFonts w:cs="Times New Roman"/>
          <w:sz w:val="24"/>
          <w:szCs w:val="24"/>
        </w:rPr>
        <w:t>]</w:t>
      </w:r>
      <w:r w:rsidRPr="003A52F8">
        <w:rPr>
          <w:rFonts w:cs="Times New Roman"/>
          <w:sz w:val="24"/>
          <w:szCs w:val="24"/>
        </w:rPr>
        <w:t xml:space="preserve"> ἅπαντα περιέσπασμαι</w:t>
      </w:r>
      <w:r w:rsidR="00CB29EC">
        <w:rPr>
          <w:rFonts w:cs="Times New Roman"/>
          <w:sz w:val="24"/>
          <w:szCs w:val="24"/>
        </w:rPr>
        <w:t xml:space="preserve"> </w:t>
      </w:r>
      <w:r w:rsidR="00F412FD">
        <w:rPr>
          <w:rFonts w:cs="Times New Roman"/>
          <w:sz w:val="24"/>
          <w:szCs w:val="24"/>
        </w:rPr>
        <w:t>“</w:t>
      </w:r>
      <w:r w:rsidR="00CB29EC">
        <w:rPr>
          <w:rFonts w:cs="Times New Roman"/>
          <w:sz w:val="24"/>
          <w:szCs w:val="24"/>
        </w:rPr>
        <w:t>I who found all am now robbed of all</w:t>
      </w:r>
      <w:r w:rsidR="00F412FD">
        <w:rPr>
          <w:rFonts w:cs="Times New Roman"/>
          <w:sz w:val="24"/>
          <w:szCs w:val="24"/>
        </w:rPr>
        <w:t>”</w:t>
      </w:r>
      <w:r w:rsidRPr="003A52F8">
        <w:rPr>
          <w:rFonts w:cs="Times New Roman"/>
          <w:sz w:val="24"/>
          <w:szCs w:val="24"/>
        </w:rPr>
        <w:t>, 360) and overladen with pathos (ὦ Ἡράκλεις, ἃ πέπονθα</w:t>
      </w:r>
      <w:r w:rsidR="00CB29EC">
        <w:rPr>
          <w:rFonts w:cs="Times New Roman"/>
          <w:sz w:val="24"/>
          <w:szCs w:val="24"/>
        </w:rPr>
        <w:t xml:space="preserve"> </w:t>
      </w:r>
      <w:r w:rsidR="00F412FD">
        <w:rPr>
          <w:rFonts w:cs="Times New Roman"/>
          <w:sz w:val="24"/>
          <w:szCs w:val="24"/>
        </w:rPr>
        <w:t>“</w:t>
      </w:r>
      <w:r w:rsidR="00CB29EC">
        <w:rPr>
          <w:rFonts w:cs="Times New Roman"/>
          <w:sz w:val="24"/>
          <w:szCs w:val="24"/>
        </w:rPr>
        <w:t>Heracles! My sufferings!</w:t>
      </w:r>
      <w:r w:rsidR="00F412FD">
        <w:rPr>
          <w:rFonts w:cs="Times New Roman"/>
          <w:sz w:val="24"/>
          <w:szCs w:val="24"/>
        </w:rPr>
        <w:t>”</w:t>
      </w:r>
      <w:r w:rsidRPr="003A52F8">
        <w:rPr>
          <w:rFonts w:cs="Times New Roman"/>
          <w:sz w:val="24"/>
          <w:szCs w:val="24"/>
        </w:rPr>
        <w:t>, 363; cf. αἰσχρά γ᾿ ἃ πέπονθα</w:t>
      </w:r>
      <w:r w:rsidR="00CB29EC">
        <w:rPr>
          <w:rFonts w:cs="Times New Roman"/>
          <w:sz w:val="24"/>
          <w:szCs w:val="24"/>
        </w:rPr>
        <w:t xml:space="preserve"> </w:t>
      </w:r>
      <w:r w:rsidR="00F412FD">
        <w:rPr>
          <w:rFonts w:cs="Times New Roman"/>
          <w:sz w:val="24"/>
          <w:szCs w:val="24"/>
        </w:rPr>
        <w:t>“</w:t>
      </w:r>
      <w:r w:rsidR="00CB29EC">
        <w:rPr>
          <w:rFonts w:cs="Times New Roman"/>
          <w:sz w:val="24"/>
          <w:szCs w:val="24"/>
        </w:rPr>
        <w:t xml:space="preserve">these </w:t>
      </w:r>
      <w:r w:rsidR="00CB29EC">
        <w:rPr>
          <w:rFonts w:cs="Times New Roman"/>
          <w:i/>
          <w:sz w:val="24"/>
          <w:szCs w:val="24"/>
        </w:rPr>
        <w:t>are</w:t>
      </w:r>
      <w:r w:rsidR="00CB29EC">
        <w:rPr>
          <w:rFonts w:cs="Times New Roman"/>
          <w:sz w:val="24"/>
          <w:szCs w:val="24"/>
        </w:rPr>
        <w:t xml:space="preserve"> awful sufferings</w:t>
      </w:r>
      <w:r w:rsidR="00F412FD">
        <w:rPr>
          <w:rFonts w:cs="Times New Roman"/>
          <w:sz w:val="24"/>
          <w:szCs w:val="24"/>
        </w:rPr>
        <w:t>”</w:t>
      </w:r>
      <w:r w:rsidRPr="003A52F8">
        <w:rPr>
          <w:rFonts w:cs="Times New Roman"/>
          <w:sz w:val="24"/>
          <w:szCs w:val="24"/>
        </w:rPr>
        <w:t>, 367 and ὦ Ἡράκλεις, 372). Davus is shortly to leave the stage (as far as we can tell, never to reappear) – the character is thus being given its swan-song. Smicrines</w:t>
      </w:r>
      <w:r w:rsidR="00F412FD">
        <w:rPr>
          <w:rFonts w:cs="Times New Roman"/>
          <w:sz w:val="24"/>
          <w:szCs w:val="24"/>
        </w:rPr>
        <w:t>’</w:t>
      </w:r>
      <w:r w:rsidRPr="003A52F8">
        <w:rPr>
          <w:rFonts w:cs="Times New Roman"/>
          <w:sz w:val="24"/>
          <w:szCs w:val="24"/>
        </w:rPr>
        <w:t xml:space="preserve"> form of address, therefore, might best be interpreted as being maximally consistent with </w:t>
      </w:r>
      <w:r w:rsidR="003C126B">
        <w:rPr>
          <w:rFonts w:cs="Times New Roman"/>
          <w:sz w:val="24"/>
          <w:szCs w:val="24"/>
        </w:rPr>
        <w:t>the portrayal</w:t>
      </w:r>
      <w:r w:rsidRPr="003A52F8">
        <w:rPr>
          <w:rFonts w:cs="Times New Roman"/>
          <w:sz w:val="24"/>
          <w:szCs w:val="24"/>
        </w:rPr>
        <w:t xml:space="preserve"> </w:t>
      </w:r>
      <w:r w:rsidR="00F412FD">
        <w:rPr>
          <w:rFonts w:cs="Times New Roman"/>
          <w:sz w:val="24"/>
          <w:szCs w:val="24"/>
        </w:rPr>
        <w:t xml:space="preserve">of </w:t>
      </w:r>
      <w:r w:rsidR="003C126B">
        <w:rPr>
          <w:rFonts w:cs="Times New Roman"/>
          <w:sz w:val="24"/>
          <w:szCs w:val="24"/>
        </w:rPr>
        <w:t>Davus</w:t>
      </w:r>
      <w:r w:rsidR="00F412FD">
        <w:rPr>
          <w:rFonts w:cs="Times New Roman"/>
          <w:sz w:val="24"/>
          <w:szCs w:val="24"/>
        </w:rPr>
        <w:t>’</w:t>
      </w:r>
      <w:r w:rsidRPr="003A52F8">
        <w:rPr>
          <w:rFonts w:cs="Times New Roman"/>
          <w:sz w:val="24"/>
          <w:szCs w:val="24"/>
        </w:rPr>
        <w:t xml:space="preserve"> character already, as w</w:t>
      </w:r>
      <w:r w:rsidR="00755E47">
        <w:rPr>
          <w:rFonts w:cs="Times New Roman"/>
          <w:sz w:val="24"/>
          <w:szCs w:val="24"/>
        </w:rPr>
        <w:t>ell as with his tedious behavio</w:t>
      </w:r>
      <w:r w:rsidRPr="003A52F8">
        <w:rPr>
          <w:rFonts w:cs="Times New Roman"/>
          <w:sz w:val="24"/>
          <w:szCs w:val="24"/>
        </w:rPr>
        <w:t>r.</w:t>
      </w:r>
      <w:r w:rsidRPr="003A52F8">
        <w:rPr>
          <w:rStyle w:val="EndnoteReference"/>
          <w:rFonts w:cs="Times New Roman"/>
          <w:sz w:val="24"/>
          <w:szCs w:val="24"/>
        </w:rPr>
        <w:endnoteReference w:id="21"/>
      </w:r>
      <w:r w:rsidRPr="003A52F8">
        <w:rPr>
          <w:rFonts w:cs="Times New Roman"/>
          <w:sz w:val="24"/>
          <w:szCs w:val="24"/>
        </w:rPr>
        <w:t xml:space="preserve"> Can this requirement also be squared with our segmentation of the form?</w:t>
      </w:r>
    </w:p>
    <w:p w:rsidR="00D751BE" w:rsidRPr="003A52F8" w:rsidRDefault="00D751BE" w:rsidP="007F0F61">
      <w:pPr>
        <w:spacing w:after="0" w:line="480" w:lineRule="auto"/>
        <w:ind w:firstLine="720"/>
        <w:rPr>
          <w:rFonts w:cs="Times New Roman"/>
          <w:sz w:val="24"/>
          <w:szCs w:val="24"/>
        </w:rPr>
      </w:pPr>
      <w:r w:rsidRPr="003A52F8">
        <w:rPr>
          <w:rFonts w:cs="Times New Roman"/>
          <w:sz w:val="24"/>
          <w:szCs w:val="24"/>
        </w:rPr>
        <w:t xml:space="preserve">Diminutive forms, in Greek as in many languages, have various functions beyond the </w:t>
      </w:r>
      <w:r w:rsidR="007F0F61">
        <w:rPr>
          <w:rFonts w:cs="Times New Roman"/>
          <w:sz w:val="24"/>
          <w:szCs w:val="24"/>
        </w:rPr>
        <w:t>prototypical</w:t>
      </w:r>
      <w:r w:rsidRPr="003A52F8">
        <w:rPr>
          <w:rFonts w:cs="Times New Roman"/>
          <w:sz w:val="24"/>
          <w:szCs w:val="24"/>
        </w:rPr>
        <w:t xml:space="preserve"> sense of </w:t>
      </w:r>
      <w:r w:rsidR="00F412FD">
        <w:rPr>
          <w:rFonts w:cs="Times New Roman"/>
          <w:sz w:val="24"/>
          <w:szCs w:val="24"/>
        </w:rPr>
        <w:t>“</w:t>
      </w:r>
      <w:r w:rsidRPr="003A52F8">
        <w:rPr>
          <w:rFonts w:cs="Times New Roman"/>
          <w:sz w:val="24"/>
          <w:szCs w:val="24"/>
        </w:rPr>
        <w:t>small</w:t>
      </w:r>
      <w:r w:rsidR="00F412FD">
        <w:rPr>
          <w:rFonts w:cs="Times New Roman"/>
          <w:sz w:val="24"/>
          <w:szCs w:val="24"/>
        </w:rPr>
        <w:t>”</w:t>
      </w:r>
      <w:r w:rsidRPr="003A52F8">
        <w:rPr>
          <w:rFonts w:cs="Times New Roman"/>
          <w:sz w:val="24"/>
          <w:szCs w:val="24"/>
        </w:rPr>
        <w:t>.</w:t>
      </w:r>
      <w:r w:rsidRPr="003A52F8">
        <w:rPr>
          <w:rStyle w:val="EndnoteReference"/>
          <w:rFonts w:cs="Times New Roman"/>
          <w:sz w:val="24"/>
          <w:szCs w:val="24"/>
        </w:rPr>
        <w:endnoteReference w:id="22"/>
      </w:r>
      <w:r w:rsidRPr="003A52F8">
        <w:rPr>
          <w:rFonts w:cs="Times New Roman"/>
          <w:sz w:val="24"/>
          <w:szCs w:val="24"/>
        </w:rPr>
        <w:t xml:space="preserve"> The most common are </w:t>
      </w:r>
      <w:r w:rsidR="00F412FD">
        <w:rPr>
          <w:rFonts w:cs="Times New Roman"/>
          <w:sz w:val="24"/>
          <w:szCs w:val="24"/>
        </w:rPr>
        <w:t>“</w:t>
      </w:r>
      <w:r w:rsidRPr="003A52F8">
        <w:rPr>
          <w:rFonts w:cs="Times New Roman"/>
          <w:sz w:val="24"/>
          <w:szCs w:val="24"/>
        </w:rPr>
        <w:t>pretty, neat</w:t>
      </w:r>
      <w:r w:rsidR="00F412FD">
        <w:rPr>
          <w:rFonts w:cs="Times New Roman"/>
          <w:sz w:val="24"/>
          <w:szCs w:val="24"/>
        </w:rPr>
        <w:t>”</w:t>
      </w:r>
      <w:r w:rsidRPr="003A52F8">
        <w:rPr>
          <w:rFonts w:cs="Times New Roman"/>
          <w:sz w:val="24"/>
          <w:szCs w:val="24"/>
        </w:rPr>
        <w:t xml:space="preserve"> or </w:t>
      </w:r>
      <w:r w:rsidR="00F412FD">
        <w:rPr>
          <w:rFonts w:cs="Times New Roman"/>
          <w:sz w:val="24"/>
          <w:szCs w:val="24"/>
        </w:rPr>
        <w:t>“</w:t>
      </w:r>
      <w:r w:rsidRPr="003A52F8">
        <w:rPr>
          <w:rFonts w:cs="Times New Roman"/>
          <w:sz w:val="24"/>
          <w:szCs w:val="24"/>
        </w:rPr>
        <w:t>lesser in worth, bad, shoddy</w:t>
      </w:r>
      <w:r w:rsidR="00F412FD">
        <w:rPr>
          <w:rFonts w:cs="Times New Roman"/>
          <w:sz w:val="24"/>
          <w:szCs w:val="24"/>
        </w:rPr>
        <w:t>”</w:t>
      </w:r>
      <w:r w:rsidRPr="003A52F8">
        <w:rPr>
          <w:rFonts w:cs="Times New Roman"/>
          <w:sz w:val="24"/>
          <w:szCs w:val="24"/>
        </w:rPr>
        <w:t xml:space="preserve">, sometimes known as the deteriorative. In English, for example, </w:t>
      </w:r>
      <w:r w:rsidRPr="003A52F8">
        <w:rPr>
          <w:rFonts w:cs="Times New Roman"/>
          <w:i/>
          <w:sz w:val="24"/>
          <w:szCs w:val="24"/>
        </w:rPr>
        <w:t>darling</w:t>
      </w:r>
      <w:r w:rsidRPr="003A52F8">
        <w:rPr>
          <w:rFonts w:cs="Times New Roman"/>
          <w:sz w:val="24"/>
          <w:szCs w:val="24"/>
        </w:rPr>
        <w:t xml:space="preserve"> and </w:t>
      </w:r>
      <w:r w:rsidRPr="003A52F8">
        <w:rPr>
          <w:rFonts w:cs="Times New Roman"/>
          <w:i/>
          <w:sz w:val="24"/>
          <w:szCs w:val="24"/>
        </w:rPr>
        <w:t>weakling</w:t>
      </w:r>
      <w:r w:rsidRPr="003A52F8">
        <w:rPr>
          <w:rFonts w:cs="Times New Roman"/>
          <w:sz w:val="24"/>
          <w:szCs w:val="24"/>
        </w:rPr>
        <w:t>, b</w:t>
      </w:r>
      <w:r w:rsidR="00755E47">
        <w:rPr>
          <w:rFonts w:cs="Times New Roman"/>
          <w:sz w:val="24"/>
          <w:szCs w:val="24"/>
        </w:rPr>
        <w:t>oth attesting the (now lexicaliz</w:t>
      </w:r>
      <w:r w:rsidRPr="003A52F8">
        <w:rPr>
          <w:rFonts w:cs="Times New Roman"/>
          <w:sz w:val="24"/>
          <w:szCs w:val="24"/>
        </w:rPr>
        <w:t xml:space="preserve">ed) diminutive suffix </w:t>
      </w:r>
      <w:r w:rsidRPr="003A52F8">
        <w:rPr>
          <w:rFonts w:cs="Times New Roman"/>
          <w:i/>
          <w:sz w:val="24"/>
          <w:szCs w:val="24"/>
        </w:rPr>
        <w:t>–ling</w:t>
      </w:r>
      <w:r w:rsidRPr="003A52F8">
        <w:rPr>
          <w:rFonts w:cs="Times New Roman"/>
          <w:sz w:val="24"/>
          <w:szCs w:val="24"/>
        </w:rPr>
        <w:t xml:space="preserve">, incorporate quite different value judgements in their semantics; sometimes languages have several diminutive strategies corresponding to different semantic ranges. Thus Hebrew </w:t>
      </w:r>
      <w:r w:rsidRPr="003A52F8">
        <w:rPr>
          <w:rFonts w:cs="Times New Roman"/>
          <w:i/>
          <w:sz w:val="24"/>
          <w:szCs w:val="24"/>
        </w:rPr>
        <w:t>sak-it</w:t>
      </w:r>
      <w:r w:rsidRPr="003A52F8">
        <w:rPr>
          <w:rFonts w:cs="Times New Roman"/>
          <w:sz w:val="24"/>
          <w:szCs w:val="24"/>
        </w:rPr>
        <w:t xml:space="preserve"> </w:t>
      </w:r>
      <w:r w:rsidR="00F412FD">
        <w:rPr>
          <w:rFonts w:cs="Times New Roman"/>
          <w:sz w:val="24"/>
          <w:szCs w:val="24"/>
        </w:rPr>
        <w:t>“</w:t>
      </w:r>
      <w:r w:rsidRPr="003A52F8">
        <w:rPr>
          <w:rFonts w:cs="Times New Roman"/>
          <w:sz w:val="24"/>
          <w:szCs w:val="24"/>
        </w:rPr>
        <w:t>a small bag</w:t>
      </w:r>
      <w:r w:rsidR="00F412FD">
        <w:rPr>
          <w:rFonts w:cs="Times New Roman"/>
          <w:sz w:val="24"/>
          <w:szCs w:val="24"/>
        </w:rPr>
        <w:t>”</w:t>
      </w:r>
      <w:r w:rsidRPr="003A52F8">
        <w:rPr>
          <w:rFonts w:cs="Times New Roman"/>
          <w:sz w:val="24"/>
          <w:szCs w:val="24"/>
        </w:rPr>
        <w:t xml:space="preserve"> contrasts with </w:t>
      </w:r>
      <w:r w:rsidRPr="003A52F8">
        <w:rPr>
          <w:rFonts w:cs="Times New Roman"/>
          <w:i/>
          <w:sz w:val="24"/>
          <w:szCs w:val="24"/>
        </w:rPr>
        <w:t>sak-ik</w:t>
      </w:r>
      <w:r w:rsidRPr="003A52F8">
        <w:rPr>
          <w:rFonts w:cs="Times New Roman"/>
          <w:sz w:val="24"/>
          <w:szCs w:val="24"/>
        </w:rPr>
        <w:t xml:space="preserve"> </w:t>
      </w:r>
      <w:r w:rsidR="00F412FD">
        <w:rPr>
          <w:rFonts w:cs="Times New Roman"/>
          <w:sz w:val="24"/>
          <w:szCs w:val="24"/>
        </w:rPr>
        <w:t>“</w:t>
      </w:r>
      <w:r w:rsidRPr="003A52F8">
        <w:rPr>
          <w:rFonts w:cs="Times New Roman"/>
          <w:sz w:val="24"/>
          <w:szCs w:val="24"/>
        </w:rPr>
        <w:t>a nice small bag</w:t>
      </w:r>
      <w:r w:rsidR="00F412FD">
        <w:rPr>
          <w:rFonts w:cs="Times New Roman"/>
          <w:sz w:val="24"/>
          <w:szCs w:val="24"/>
        </w:rPr>
        <w:t>”</w:t>
      </w:r>
      <w:r w:rsidRPr="003A52F8">
        <w:rPr>
          <w:rFonts w:cs="Times New Roman"/>
          <w:sz w:val="24"/>
          <w:szCs w:val="24"/>
        </w:rPr>
        <w:t>.</w:t>
      </w:r>
      <w:r w:rsidRPr="003A52F8">
        <w:rPr>
          <w:rStyle w:val="EndnoteReference"/>
          <w:rFonts w:cs="Times New Roman"/>
          <w:sz w:val="24"/>
          <w:szCs w:val="24"/>
        </w:rPr>
        <w:endnoteReference w:id="23"/>
      </w:r>
      <w:r w:rsidRPr="003A52F8">
        <w:rPr>
          <w:rFonts w:cs="Times New Roman"/>
          <w:sz w:val="24"/>
          <w:szCs w:val="24"/>
        </w:rPr>
        <w:t xml:space="preserve"> There is some evidence for the deteriorative diminutive in Menander: καλῴδιον at </w:t>
      </w:r>
      <w:r w:rsidRPr="003A52F8">
        <w:rPr>
          <w:rFonts w:cs="Times New Roman"/>
          <w:i/>
          <w:sz w:val="24"/>
          <w:szCs w:val="24"/>
        </w:rPr>
        <w:t>Dysk</w:t>
      </w:r>
      <w:r w:rsidRPr="003A52F8">
        <w:rPr>
          <w:rFonts w:cs="Times New Roman"/>
          <w:sz w:val="24"/>
          <w:szCs w:val="24"/>
        </w:rPr>
        <w:t xml:space="preserve">. 580, since it is a rope that has just broken, may be equivalent to </w:t>
      </w:r>
      <w:r w:rsidR="00F412FD">
        <w:rPr>
          <w:rFonts w:cs="Times New Roman"/>
          <w:sz w:val="24"/>
          <w:szCs w:val="24"/>
        </w:rPr>
        <w:t>“</w:t>
      </w:r>
      <w:r w:rsidRPr="003A52F8">
        <w:rPr>
          <w:rFonts w:cs="Times New Roman"/>
          <w:sz w:val="24"/>
          <w:szCs w:val="24"/>
        </w:rPr>
        <w:t xml:space="preserve">the </w:t>
      </w:r>
      <w:r w:rsidR="00755E47">
        <w:rPr>
          <w:rFonts w:cs="Times New Roman"/>
          <w:sz w:val="24"/>
          <w:szCs w:val="24"/>
        </w:rPr>
        <w:t>blasted</w:t>
      </w:r>
      <w:r w:rsidRPr="003A52F8">
        <w:rPr>
          <w:rFonts w:cs="Times New Roman"/>
          <w:sz w:val="24"/>
          <w:szCs w:val="24"/>
        </w:rPr>
        <w:t xml:space="preserve"> rope</w:t>
      </w:r>
      <w:r w:rsidR="00F412FD">
        <w:rPr>
          <w:rFonts w:cs="Times New Roman"/>
          <w:sz w:val="24"/>
          <w:szCs w:val="24"/>
        </w:rPr>
        <w:t>”</w:t>
      </w:r>
      <w:r w:rsidRPr="003A52F8">
        <w:rPr>
          <w:rFonts w:cs="Times New Roman"/>
          <w:sz w:val="24"/>
          <w:szCs w:val="24"/>
        </w:rPr>
        <w:t xml:space="preserve"> or similar;</w:t>
      </w:r>
      <w:r w:rsidRPr="003A52F8">
        <w:rPr>
          <w:rStyle w:val="EndnoteReference"/>
          <w:rFonts w:cs="Times New Roman"/>
          <w:sz w:val="24"/>
          <w:szCs w:val="24"/>
        </w:rPr>
        <w:endnoteReference w:id="24"/>
      </w:r>
      <w:r w:rsidRPr="003A52F8">
        <w:rPr>
          <w:rFonts w:cs="Times New Roman"/>
          <w:sz w:val="24"/>
          <w:szCs w:val="24"/>
        </w:rPr>
        <w:t xml:space="preserve"> the form παιδισκάριον</w:t>
      </w:r>
      <w:r w:rsidRPr="003A52F8">
        <w:rPr>
          <w:i/>
          <w:sz w:val="24"/>
          <w:szCs w:val="24"/>
        </w:rPr>
        <w:t xml:space="preserve"> </w:t>
      </w:r>
      <w:r w:rsidRPr="003A52F8">
        <w:rPr>
          <w:sz w:val="24"/>
          <w:szCs w:val="24"/>
        </w:rPr>
        <w:t xml:space="preserve">(Men. </w:t>
      </w:r>
      <w:r w:rsidRPr="003A52F8">
        <w:rPr>
          <w:i/>
          <w:sz w:val="24"/>
          <w:szCs w:val="24"/>
        </w:rPr>
        <w:t>Mis</w:t>
      </w:r>
      <w:r w:rsidRPr="003A52F8">
        <w:rPr>
          <w:sz w:val="24"/>
          <w:szCs w:val="24"/>
        </w:rPr>
        <w:t xml:space="preserve">. </w:t>
      </w:r>
      <w:r w:rsidR="00F761FB">
        <w:rPr>
          <w:sz w:val="24"/>
          <w:szCs w:val="24"/>
        </w:rPr>
        <w:t>frag.</w:t>
      </w:r>
      <w:r w:rsidR="003E208B">
        <w:rPr>
          <w:sz w:val="24"/>
          <w:szCs w:val="24"/>
        </w:rPr>
        <w:t xml:space="preserve"> </w:t>
      </w:r>
      <w:r w:rsidRPr="003A52F8">
        <w:rPr>
          <w:sz w:val="24"/>
          <w:szCs w:val="24"/>
        </w:rPr>
        <w:t xml:space="preserve">4.1; </w:t>
      </w:r>
      <w:r w:rsidR="00F761FB">
        <w:rPr>
          <w:sz w:val="24"/>
          <w:szCs w:val="24"/>
        </w:rPr>
        <w:t>frag.</w:t>
      </w:r>
      <w:r w:rsidRPr="003A52F8">
        <w:rPr>
          <w:sz w:val="24"/>
          <w:szCs w:val="24"/>
        </w:rPr>
        <w:t xml:space="preserve"> 296.15) has two </w:t>
      </w:r>
      <w:r w:rsidRPr="003A52F8">
        <w:rPr>
          <w:sz w:val="24"/>
          <w:szCs w:val="24"/>
        </w:rPr>
        <w:lastRenderedPageBreak/>
        <w:t xml:space="preserve">diminutive suffixes, one (-ισκο-) </w:t>
      </w:r>
      <w:r w:rsidRPr="003A52F8">
        <w:rPr>
          <w:rFonts w:cs="Times New Roman"/>
          <w:sz w:val="24"/>
          <w:szCs w:val="24"/>
        </w:rPr>
        <w:t xml:space="preserve">simply indicating </w:t>
      </w:r>
      <w:r w:rsidR="00F412FD">
        <w:rPr>
          <w:rFonts w:cs="Times New Roman"/>
          <w:sz w:val="24"/>
          <w:szCs w:val="24"/>
        </w:rPr>
        <w:t>“</w:t>
      </w:r>
      <w:r w:rsidRPr="003A52F8">
        <w:rPr>
          <w:rFonts w:cs="Times New Roman"/>
          <w:sz w:val="24"/>
          <w:szCs w:val="24"/>
        </w:rPr>
        <w:t>diminutive</w:t>
      </w:r>
      <w:r w:rsidR="00F412FD">
        <w:rPr>
          <w:rFonts w:cs="Times New Roman"/>
          <w:sz w:val="24"/>
          <w:szCs w:val="24"/>
        </w:rPr>
        <w:t>”</w:t>
      </w:r>
      <w:r w:rsidRPr="003A52F8">
        <w:rPr>
          <w:rFonts w:cs="Times New Roman"/>
          <w:sz w:val="24"/>
          <w:szCs w:val="24"/>
        </w:rPr>
        <w:t>, one (-άριον) with deteriorative function; compare μισθάριον (</w:t>
      </w:r>
      <w:r w:rsidR="00F761FB">
        <w:rPr>
          <w:rFonts w:cs="Times New Roman"/>
          <w:sz w:val="24"/>
          <w:szCs w:val="24"/>
        </w:rPr>
        <w:t>frag.</w:t>
      </w:r>
      <w:r w:rsidRPr="003A52F8">
        <w:rPr>
          <w:rFonts w:cs="Times New Roman"/>
          <w:sz w:val="24"/>
          <w:szCs w:val="24"/>
        </w:rPr>
        <w:t xml:space="preserve"> 220.2), apparently in the context of a complaint about wages; finally there is ξενύδριον (</w:t>
      </w:r>
      <w:r w:rsidR="00F761FB">
        <w:rPr>
          <w:rFonts w:cs="Times New Roman"/>
          <w:sz w:val="24"/>
          <w:szCs w:val="24"/>
        </w:rPr>
        <w:t>frag.</w:t>
      </w:r>
      <w:r w:rsidRPr="003A52F8">
        <w:rPr>
          <w:rFonts w:cs="Times New Roman"/>
          <w:sz w:val="24"/>
          <w:szCs w:val="24"/>
        </w:rPr>
        <w:t xml:space="preserve"> 351.3) in a cook</w:t>
      </w:r>
      <w:r w:rsidR="00753C3A">
        <w:rPr>
          <w:rFonts w:cs="Times New Roman"/>
          <w:sz w:val="24"/>
          <w:szCs w:val="24"/>
        </w:rPr>
        <w:t>’</w:t>
      </w:r>
      <w:r w:rsidRPr="003A52F8">
        <w:rPr>
          <w:rFonts w:cs="Times New Roman"/>
          <w:sz w:val="24"/>
          <w:szCs w:val="24"/>
        </w:rPr>
        <w:t xml:space="preserve">s complaint. It is relevant that two of these are coinages; it is precisely in the context of emotive language that we expect speakers to coin new phrases. And since we are dealing in </w:t>
      </w:r>
      <w:r w:rsidRPr="003A52F8">
        <w:rPr>
          <w:rFonts w:cs="Times New Roman"/>
          <w:i/>
          <w:sz w:val="24"/>
          <w:szCs w:val="24"/>
        </w:rPr>
        <w:t>Ep</w:t>
      </w:r>
      <w:r w:rsidRPr="003A52F8">
        <w:rPr>
          <w:rFonts w:cs="Times New Roman"/>
          <w:sz w:val="24"/>
          <w:szCs w:val="24"/>
        </w:rPr>
        <w:t>. 366 with a unique form of address, it is this register we might expect to find.</w:t>
      </w:r>
      <w:r w:rsidR="007F0F61">
        <w:rPr>
          <w:rFonts w:cs="Times New Roman"/>
          <w:sz w:val="24"/>
          <w:szCs w:val="24"/>
        </w:rPr>
        <w:tab/>
      </w:r>
    </w:p>
    <w:p w:rsidR="00D751BE" w:rsidRPr="003A52F8" w:rsidRDefault="00D751BE" w:rsidP="007F0F61">
      <w:pPr>
        <w:spacing w:after="0" w:line="480" w:lineRule="auto"/>
        <w:ind w:firstLine="709"/>
        <w:rPr>
          <w:rFonts w:cs="Times New Roman"/>
          <w:sz w:val="24"/>
          <w:szCs w:val="24"/>
        </w:rPr>
      </w:pPr>
      <w:r w:rsidRPr="003A52F8">
        <w:rPr>
          <w:rFonts w:cs="Times New Roman"/>
          <w:sz w:val="24"/>
          <w:szCs w:val="24"/>
        </w:rPr>
        <w:t xml:space="preserve">The question remains what the stem of the formation is. If this is a deteriorative diminutive, what is Davus being labelled a </w:t>
      </w:r>
      <w:r w:rsidR="00F412FD">
        <w:rPr>
          <w:rFonts w:cs="Times New Roman"/>
          <w:sz w:val="24"/>
          <w:szCs w:val="24"/>
        </w:rPr>
        <w:t>“</w:t>
      </w:r>
      <w:r w:rsidRPr="003A52F8">
        <w:rPr>
          <w:rFonts w:cs="Times New Roman"/>
          <w:sz w:val="24"/>
          <w:szCs w:val="24"/>
        </w:rPr>
        <w:t>bad</w:t>
      </w:r>
      <w:r w:rsidR="00F412FD">
        <w:rPr>
          <w:rFonts w:cs="Times New Roman"/>
          <w:sz w:val="24"/>
          <w:szCs w:val="24"/>
        </w:rPr>
        <w:t>”</w:t>
      </w:r>
      <w:r w:rsidRPr="003A52F8">
        <w:rPr>
          <w:rFonts w:cs="Times New Roman"/>
          <w:sz w:val="24"/>
          <w:szCs w:val="24"/>
        </w:rPr>
        <w:t xml:space="preserve"> version </w:t>
      </w:r>
      <w:r w:rsidRPr="003A52F8">
        <w:rPr>
          <w:rFonts w:cs="Times New Roman"/>
          <w:i/>
          <w:sz w:val="24"/>
          <w:szCs w:val="24"/>
        </w:rPr>
        <w:t>of</w:t>
      </w:r>
      <w:r w:rsidRPr="003A52F8">
        <w:rPr>
          <w:rFonts w:cs="Times New Roman"/>
          <w:sz w:val="24"/>
          <w:szCs w:val="24"/>
        </w:rPr>
        <w:t>? Again, we can appeal to the context of the scene more broadly. The professions of our men at arbitration are named: Syrus, at 257 is identified by Davus as an ἀνθρακεύς, a charcoal burner, while he at 243 describes what he does (ἐποίμαινον) – he is a shepherd. It is known that Davus</w:t>
      </w:r>
      <w:r w:rsidR="00F412FD">
        <w:rPr>
          <w:rFonts w:cs="Times New Roman"/>
          <w:sz w:val="24"/>
          <w:szCs w:val="24"/>
        </w:rPr>
        <w:t>’</w:t>
      </w:r>
      <w:r w:rsidRPr="003A52F8">
        <w:rPr>
          <w:rFonts w:cs="Times New Roman"/>
          <w:sz w:val="24"/>
          <w:szCs w:val="24"/>
        </w:rPr>
        <w:t xml:space="preserve"> speech is, while not without its rhetorical effects, comparatively unelaborate, while Syrus</w:t>
      </w:r>
      <w:r w:rsidR="00F412FD">
        <w:rPr>
          <w:rFonts w:cs="Times New Roman"/>
          <w:sz w:val="24"/>
          <w:szCs w:val="24"/>
        </w:rPr>
        <w:t>’</w:t>
      </w:r>
      <w:r w:rsidRPr="003A52F8">
        <w:rPr>
          <w:rFonts w:cs="Times New Roman"/>
          <w:sz w:val="24"/>
          <w:szCs w:val="24"/>
        </w:rPr>
        <w:t xml:space="preserve"> shows much more formal elaboration.</w:t>
      </w:r>
      <w:r w:rsidRPr="003A52F8">
        <w:rPr>
          <w:rStyle w:val="EndnoteReference"/>
          <w:rFonts w:cs="Times New Roman"/>
          <w:sz w:val="24"/>
          <w:szCs w:val="24"/>
        </w:rPr>
        <w:endnoteReference w:id="25"/>
      </w:r>
      <w:r w:rsidRPr="003A52F8">
        <w:rPr>
          <w:rFonts w:cs="Times New Roman"/>
          <w:sz w:val="24"/>
          <w:szCs w:val="24"/>
        </w:rPr>
        <w:t xml:space="preserve"> We might therefore expect a dig from Syrus towards Davus</w:t>
      </w:r>
      <w:r w:rsidR="00F412FD">
        <w:rPr>
          <w:rFonts w:cs="Times New Roman"/>
          <w:sz w:val="24"/>
          <w:szCs w:val="24"/>
        </w:rPr>
        <w:t>’</w:t>
      </w:r>
      <w:r w:rsidRPr="003A52F8">
        <w:rPr>
          <w:rFonts w:cs="Times New Roman"/>
          <w:sz w:val="24"/>
          <w:szCs w:val="24"/>
        </w:rPr>
        <w:t xml:space="preserve"> more humble occupation. And we are not disappointed: </w:t>
      </w:r>
    </w:p>
    <w:p w:rsidR="00D751BE" w:rsidRPr="003A52F8" w:rsidRDefault="00D751BE" w:rsidP="007F0F61">
      <w:pPr>
        <w:spacing w:after="0" w:line="480" w:lineRule="auto"/>
        <w:ind w:left="709"/>
        <w:rPr>
          <w:rFonts w:cs="Times New Roman"/>
          <w:sz w:val="24"/>
          <w:szCs w:val="24"/>
        </w:rPr>
      </w:pPr>
      <w:r w:rsidRPr="003A52F8">
        <w:rPr>
          <w:rFonts w:cs="Times New Roman"/>
          <w:sz w:val="24"/>
          <w:szCs w:val="24"/>
        </w:rPr>
        <w:tab/>
        <w:t>βλέψον δὲ κἀκεῖ, πάτερ· ἴσως ἔσθ᾿ οὑτοσί</w:t>
      </w:r>
    </w:p>
    <w:p w:rsidR="00D751BE" w:rsidRPr="003A52F8" w:rsidRDefault="00D751BE" w:rsidP="007F0F61">
      <w:pPr>
        <w:spacing w:after="0" w:line="480" w:lineRule="auto"/>
        <w:ind w:left="709"/>
        <w:rPr>
          <w:rFonts w:cs="Times New Roman"/>
          <w:sz w:val="24"/>
          <w:szCs w:val="24"/>
        </w:rPr>
      </w:pPr>
      <w:r w:rsidRPr="003A52F8">
        <w:rPr>
          <w:rFonts w:cs="Times New Roman"/>
          <w:sz w:val="24"/>
          <w:szCs w:val="24"/>
        </w:rPr>
        <w:tab/>
        <w:t xml:space="preserve">ὁ παῖς ὑπὲρ ἡμᾶς καὶ τραφεὶς </w:t>
      </w:r>
      <w:r w:rsidRPr="003A52F8">
        <w:rPr>
          <w:rFonts w:cs="Times New Roman"/>
          <w:sz w:val="24"/>
          <w:szCs w:val="24"/>
          <w:u w:val="single"/>
        </w:rPr>
        <w:t>ἐν ἐργάταις</w:t>
      </w:r>
    </w:p>
    <w:p w:rsidR="00D751BE" w:rsidRPr="003A52F8" w:rsidRDefault="00D751BE" w:rsidP="007F0F61">
      <w:pPr>
        <w:spacing w:after="0" w:line="480" w:lineRule="auto"/>
        <w:ind w:left="709"/>
        <w:rPr>
          <w:rFonts w:cs="Times New Roman"/>
          <w:sz w:val="24"/>
          <w:szCs w:val="24"/>
        </w:rPr>
      </w:pPr>
      <w:r w:rsidRPr="003A52F8">
        <w:rPr>
          <w:rFonts w:cs="Times New Roman"/>
          <w:sz w:val="24"/>
          <w:szCs w:val="24"/>
        </w:rPr>
        <w:tab/>
        <w:t>ὑπερόψεται ταῦτα κτλ.</w:t>
      </w:r>
      <w:r w:rsidRPr="003A52F8">
        <w:rPr>
          <w:rFonts w:cs="Times New Roman"/>
          <w:sz w:val="24"/>
          <w:szCs w:val="24"/>
        </w:rPr>
        <w:tab/>
      </w:r>
      <w:r w:rsidRPr="003A52F8">
        <w:rPr>
          <w:rFonts w:cs="Times New Roman"/>
          <w:sz w:val="24"/>
          <w:szCs w:val="24"/>
        </w:rPr>
        <w:tab/>
        <w:t>(</w:t>
      </w:r>
      <w:r w:rsidRPr="003A52F8">
        <w:rPr>
          <w:rFonts w:cs="Times New Roman"/>
          <w:i/>
          <w:sz w:val="24"/>
          <w:szCs w:val="24"/>
        </w:rPr>
        <w:t>Ep</w:t>
      </w:r>
      <w:r w:rsidRPr="003A52F8">
        <w:rPr>
          <w:rFonts w:cs="Times New Roman"/>
          <w:sz w:val="24"/>
          <w:szCs w:val="24"/>
        </w:rPr>
        <w:t>. 320-2)</w:t>
      </w:r>
    </w:p>
    <w:p w:rsidR="00D751BE" w:rsidRPr="003A52F8" w:rsidRDefault="00D751BE" w:rsidP="007F0F61">
      <w:pPr>
        <w:spacing w:after="0" w:line="480" w:lineRule="auto"/>
        <w:ind w:left="720"/>
        <w:rPr>
          <w:rFonts w:cs="Times New Roman"/>
          <w:sz w:val="24"/>
          <w:szCs w:val="24"/>
        </w:rPr>
      </w:pPr>
      <w:r w:rsidRPr="003A52F8">
        <w:rPr>
          <w:rFonts w:cs="Times New Roman"/>
          <w:sz w:val="24"/>
          <w:szCs w:val="24"/>
        </w:rPr>
        <w:t xml:space="preserve">Consider this, sir: perhaps this child </w:t>
      </w:r>
      <w:r w:rsidRPr="003A52F8">
        <w:rPr>
          <w:rFonts w:cs="Times New Roman"/>
          <w:i/>
          <w:sz w:val="24"/>
          <w:szCs w:val="24"/>
        </w:rPr>
        <w:t>is</w:t>
      </w:r>
      <w:r w:rsidRPr="003A52F8">
        <w:rPr>
          <w:rFonts w:cs="Times New Roman"/>
          <w:sz w:val="24"/>
          <w:szCs w:val="24"/>
        </w:rPr>
        <w:t xml:space="preserve"> a cut above us, and raised </w:t>
      </w:r>
      <w:r w:rsidRPr="003A52F8">
        <w:rPr>
          <w:rFonts w:cs="Times New Roman"/>
          <w:sz w:val="24"/>
          <w:szCs w:val="24"/>
          <w:u w:val="single"/>
        </w:rPr>
        <w:t>among husbandmen</w:t>
      </w:r>
      <w:r w:rsidRPr="003A52F8">
        <w:rPr>
          <w:rFonts w:cs="Times New Roman"/>
          <w:sz w:val="24"/>
          <w:szCs w:val="24"/>
        </w:rPr>
        <w:t xml:space="preserve"> will despise these things, etc.</w:t>
      </w:r>
    </w:p>
    <w:p w:rsidR="00D751BE" w:rsidRPr="003A52F8" w:rsidRDefault="00D751BE" w:rsidP="007F0F61">
      <w:pPr>
        <w:spacing w:after="0" w:line="480" w:lineRule="auto"/>
        <w:rPr>
          <w:rFonts w:cs="Times New Roman"/>
          <w:sz w:val="24"/>
          <w:szCs w:val="24"/>
        </w:rPr>
      </w:pPr>
      <w:r w:rsidRPr="003A52F8">
        <w:rPr>
          <w:rFonts w:cs="Times New Roman"/>
          <w:sz w:val="24"/>
          <w:szCs w:val="24"/>
        </w:rPr>
        <w:t>Syrus</w:t>
      </w:r>
      <w:r w:rsidR="00F412FD">
        <w:rPr>
          <w:rFonts w:cs="Times New Roman"/>
          <w:sz w:val="24"/>
          <w:szCs w:val="24"/>
        </w:rPr>
        <w:t>’</w:t>
      </w:r>
      <w:r w:rsidRPr="003A52F8">
        <w:rPr>
          <w:rFonts w:cs="Times New Roman"/>
          <w:sz w:val="24"/>
          <w:szCs w:val="24"/>
        </w:rPr>
        <w:t xml:space="preserve"> point in his speech is not that the child should be reunited with its original parents, but that the recognition tokens, held by Davus, should be restored to it, in order to facilitate later </w:t>
      </w:r>
      <w:r w:rsidRPr="003A52F8">
        <w:rPr>
          <w:rFonts w:cs="Times New Roman"/>
          <w:i/>
          <w:sz w:val="24"/>
          <w:szCs w:val="24"/>
        </w:rPr>
        <w:t>anagnorisis</w:t>
      </w:r>
      <w:r w:rsidRPr="003A52F8">
        <w:rPr>
          <w:rFonts w:cs="Times New Roman"/>
          <w:sz w:val="24"/>
          <w:szCs w:val="24"/>
        </w:rPr>
        <w:t>. In addition, he must combat Davus</w:t>
      </w:r>
      <w:r w:rsidR="00F412FD">
        <w:rPr>
          <w:rFonts w:cs="Times New Roman"/>
          <w:sz w:val="24"/>
          <w:szCs w:val="24"/>
        </w:rPr>
        <w:t>’</w:t>
      </w:r>
      <w:r w:rsidRPr="003A52F8">
        <w:rPr>
          <w:rFonts w:cs="Times New Roman"/>
          <w:sz w:val="24"/>
          <w:szCs w:val="24"/>
        </w:rPr>
        <w:t xml:space="preserve"> argument that an alternative course would be to restore the child to him again (</w:t>
      </w:r>
      <w:r w:rsidRPr="003A52F8">
        <w:rPr>
          <w:rFonts w:cs="Times New Roman"/>
          <w:i/>
          <w:sz w:val="24"/>
          <w:szCs w:val="24"/>
        </w:rPr>
        <w:t>Ep</w:t>
      </w:r>
      <w:r w:rsidRPr="003A52F8">
        <w:rPr>
          <w:rFonts w:cs="Times New Roman"/>
          <w:sz w:val="24"/>
          <w:szCs w:val="24"/>
        </w:rPr>
        <w:t xml:space="preserve">. 289-90). </w:t>
      </w:r>
      <w:r w:rsidRPr="003A52F8">
        <w:rPr>
          <w:rFonts w:cs="Times New Roman"/>
          <w:sz w:val="24"/>
          <w:szCs w:val="24"/>
        </w:rPr>
        <w:lastRenderedPageBreak/>
        <w:t>The sneer that the child will notice its superior nature if raised by peasants is therefore exactly to the point: Davus is characteri</w:t>
      </w:r>
      <w:r w:rsidR="00755E47">
        <w:rPr>
          <w:rFonts w:cs="Times New Roman"/>
          <w:sz w:val="24"/>
          <w:szCs w:val="24"/>
        </w:rPr>
        <w:t>z</w:t>
      </w:r>
      <w:r w:rsidRPr="003A52F8">
        <w:rPr>
          <w:rFonts w:cs="Times New Roman"/>
          <w:sz w:val="24"/>
          <w:szCs w:val="24"/>
        </w:rPr>
        <w:t>ed as an inappropriate father figure for the child. The insult may also be based on a tragic allusion: at S</w:t>
      </w:r>
      <w:r w:rsidR="00017C8A">
        <w:rPr>
          <w:rFonts w:cs="Times New Roman"/>
          <w:sz w:val="24"/>
          <w:szCs w:val="24"/>
        </w:rPr>
        <w:t>oph</w:t>
      </w:r>
      <w:r w:rsidRPr="003A52F8">
        <w:rPr>
          <w:rFonts w:cs="Times New Roman"/>
          <w:sz w:val="24"/>
          <w:szCs w:val="24"/>
        </w:rPr>
        <w:t xml:space="preserve">. </w:t>
      </w:r>
      <w:r w:rsidRPr="003A52F8">
        <w:rPr>
          <w:rFonts w:cs="Times New Roman"/>
          <w:i/>
          <w:sz w:val="24"/>
          <w:szCs w:val="24"/>
        </w:rPr>
        <w:t>OT</w:t>
      </w:r>
      <w:r w:rsidRPr="003A52F8">
        <w:rPr>
          <w:rFonts w:cs="Times New Roman"/>
          <w:sz w:val="24"/>
          <w:szCs w:val="24"/>
        </w:rPr>
        <w:t>. 859, Oedipus tells Jocasta to send for τὸν ἐργάτην, the former retainer of Laius who survived Oedipus</w:t>
      </w:r>
      <w:r w:rsidR="00F412FD">
        <w:rPr>
          <w:rFonts w:cs="Times New Roman"/>
          <w:sz w:val="24"/>
          <w:szCs w:val="24"/>
        </w:rPr>
        <w:t>’</w:t>
      </w:r>
      <w:r w:rsidRPr="003A52F8">
        <w:rPr>
          <w:rFonts w:cs="Times New Roman"/>
          <w:sz w:val="24"/>
          <w:szCs w:val="24"/>
        </w:rPr>
        <w:t xml:space="preserve"> attack on him. But it is clear what this man</w:t>
      </w:r>
      <w:r w:rsidR="00F412FD">
        <w:rPr>
          <w:rFonts w:cs="Times New Roman"/>
          <w:sz w:val="24"/>
          <w:szCs w:val="24"/>
        </w:rPr>
        <w:t>’</w:t>
      </w:r>
      <w:r w:rsidRPr="003A52F8">
        <w:rPr>
          <w:rFonts w:cs="Times New Roman"/>
          <w:sz w:val="24"/>
          <w:szCs w:val="24"/>
        </w:rPr>
        <w:t xml:space="preserve">s new profession is: he was sent ἐπὶ ποιμνίων νομάς </w:t>
      </w:r>
      <w:r w:rsidR="00F412FD">
        <w:rPr>
          <w:rFonts w:cs="Times New Roman"/>
          <w:sz w:val="24"/>
          <w:szCs w:val="24"/>
        </w:rPr>
        <w:t>“</w:t>
      </w:r>
      <w:r w:rsidRPr="003A52F8">
        <w:rPr>
          <w:rFonts w:cs="Times New Roman"/>
          <w:sz w:val="24"/>
          <w:szCs w:val="24"/>
        </w:rPr>
        <w:t>to the pastures of flocks</w:t>
      </w:r>
      <w:r w:rsidR="00F412FD">
        <w:rPr>
          <w:rFonts w:cs="Times New Roman"/>
          <w:sz w:val="24"/>
          <w:szCs w:val="24"/>
        </w:rPr>
        <w:t>”</w:t>
      </w:r>
      <w:r w:rsidRPr="003A52F8">
        <w:rPr>
          <w:rFonts w:cs="Times New Roman"/>
          <w:sz w:val="24"/>
          <w:szCs w:val="24"/>
        </w:rPr>
        <w:t xml:space="preserve"> at 761, he is a βοτήρ </w:t>
      </w:r>
      <w:r w:rsidR="00F412FD">
        <w:rPr>
          <w:rFonts w:cs="Times New Roman"/>
          <w:sz w:val="24"/>
          <w:szCs w:val="24"/>
        </w:rPr>
        <w:t>“</w:t>
      </w:r>
      <w:r w:rsidRPr="003A52F8">
        <w:rPr>
          <w:rFonts w:cs="Times New Roman"/>
          <w:sz w:val="24"/>
          <w:szCs w:val="24"/>
        </w:rPr>
        <w:t>herdsman</w:t>
      </w:r>
      <w:r w:rsidR="00F412FD">
        <w:rPr>
          <w:rFonts w:cs="Times New Roman"/>
          <w:sz w:val="24"/>
          <w:szCs w:val="24"/>
        </w:rPr>
        <w:t>”</w:t>
      </w:r>
      <w:r w:rsidRPr="003A52F8">
        <w:rPr>
          <w:rFonts w:cs="Times New Roman"/>
          <w:sz w:val="24"/>
          <w:szCs w:val="24"/>
        </w:rPr>
        <w:t xml:space="preserve"> at 837, 1044, 1111, 1114, a ποιμήν </w:t>
      </w:r>
      <w:r w:rsidR="00F412FD">
        <w:rPr>
          <w:rFonts w:cs="Times New Roman"/>
          <w:sz w:val="24"/>
          <w:szCs w:val="24"/>
        </w:rPr>
        <w:t>“</w:t>
      </w:r>
      <w:r w:rsidRPr="003A52F8">
        <w:rPr>
          <w:rFonts w:cs="Times New Roman"/>
          <w:sz w:val="24"/>
          <w:szCs w:val="24"/>
        </w:rPr>
        <w:t>shepherd</w:t>
      </w:r>
      <w:r w:rsidR="00F412FD">
        <w:rPr>
          <w:rFonts w:cs="Times New Roman"/>
          <w:sz w:val="24"/>
          <w:szCs w:val="24"/>
        </w:rPr>
        <w:t>”</w:t>
      </w:r>
      <w:r w:rsidRPr="003A52F8">
        <w:rPr>
          <w:rFonts w:cs="Times New Roman"/>
          <w:sz w:val="24"/>
          <w:szCs w:val="24"/>
        </w:rPr>
        <w:t xml:space="preserve"> at 1040; and Oedipus perhaps puns on the occupation of the man who found him at 1080. The parallel of the exposure of Oedipus and its consequences is bound to have been evoked by the situation in </w:t>
      </w:r>
      <w:r w:rsidRPr="003A52F8">
        <w:rPr>
          <w:rFonts w:cs="Times New Roman"/>
          <w:i/>
          <w:sz w:val="24"/>
          <w:szCs w:val="24"/>
        </w:rPr>
        <w:t>Epitrepontes</w:t>
      </w:r>
      <w:r w:rsidRPr="003A52F8">
        <w:rPr>
          <w:rFonts w:cs="Times New Roman"/>
          <w:sz w:val="24"/>
          <w:szCs w:val="24"/>
        </w:rPr>
        <w:t xml:space="preserve">. </w:t>
      </w:r>
    </w:p>
    <w:p w:rsidR="00D751BE" w:rsidRPr="003A52F8" w:rsidRDefault="00D751BE" w:rsidP="007F0F61">
      <w:pPr>
        <w:spacing w:after="0" w:line="480" w:lineRule="auto"/>
        <w:ind w:firstLine="720"/>
        <w:rPr>
          <w:rFonts w:cs="Times New Roman"/>
          <w:sz w:val="24"/>
          <w:szCs w:val="24"/>
        </w:rPr>
      </w:pPr>
      <w:r w:rsidRPr="003A52F8">
        <w:rPr>
          <w:rFonts w:cs="Times New Roman"/>
          <w:sz w:val="24"/>
          <w:szCs w:val="24"/>
        </w:rPr>
        <w:t>This can therefore be seen as the motivation for the use of the term ἐργαστήριον: Smicrines, having pronounced Syrus the winner, is siding also with his value judgement about the loser.</w:t>
      </w:r>
      <w:r w:rsidRPr="003A52F8">
        <w:rPr>
          <w:rStyle w:val="EndnoteReference"/>
          <w:rFonts w:cs="Times New Roman"/>
          <w:sz w:val="24"/>
          <w:szCs w:val="24"/>
        </w:rPr>
        <w:endnoteReference w:id="26"/>
      </w:r>
      <w:r w:rsidRPr="003A52F8">
        <w:rPr>
          <w:rFonts w:cs="Times New Roman"/>
          <w:sz w:val="24"/>
          <w:szCs w:val="24"/>
        </w:rPr>
        <w:t xml:space="preserve"> He therefore uses a deteriorative diminutive in order to underscore his contempt for Davus. It is no objection that Menander uses the </w:t>
      </w:r>
      <w:r w:rsidRPr="003A52F8">
        <w:rPr>
          <w:rFonts w:cs="Times New Roman"/>
          <w:i/>
          <w:sz w:val="24"/>
          <w:szCs w:val="24"/>
        </w:rPr>
        <w:t>a</w:t>
      </w:r>
      <w:r w:rsidRPr="003A52F8">
        <w:rPr>
          <w:rFonts w:cs="Times New Roman"/>
          <w:sz w:val="24"/>
          <w:szCs w:val="24"/>
        </w:rPr>
        <w:t xml:space="preserve">-stem of the simplex ἐργάτης but the –τήρ suffix for the derived form ἐργαστήριον; this is an established pattern in </w:t>
      </w:r>
      <w:r w:rsidR="00755E47">
        <w:rPr>
          <w:rFonts w:cs="Times New Roman"/>
          <w:sz w:val="24"/>
          <w:szCs w:val="24"/>
        </w:rPr>
        <w:t xml:space="preserve">the </w:t>
      </w:r>
      <w:r w:rsidRPr="003A52F8">
        <w:rPr>
          <w:rFonts w:cs="Times New Roman"/>
          <w:sz w:val="24"/>
          <w:szCs w:val="24"/>
        </w:rPr>
        <w:t xml:space="preserve">derivatives of </w:t>
      </w:r>
      <w:r w:rsidR="00755E47">
        <w:rPr>
          <w:rFonts w:cs="Times New Roman"/>
          <w:sz w:val="24"/>
          <w:szCs w:val="24"/>
        </w:rPr>
        <w:t>first declension masculine (</w:t>
      </w:r>
      <w:r w:rsidR="00755E47">
        <w:rPr>
          <w:rFonts w:cs="Times New Roman"/>
          <w:i/>
          <w:sz w:val="24"/>
          <w:szCs w:val="24"/>
        </w:rPr>
        <w:t>ā</w:t>
      </w:r>
      <w:r w:rsidR="00755E47">
        <w:rPr>
          <w:rFonts w:cs="Times New Roman"/>
          <w:sz w:val="24"/>
          <w:szCs w:val="24"/>
        </w:rPr>
        <w:t>-stem) nouns</w:t>
      </w:r>
      <w:r w:rsidRPr="003A52F8">
        <w:rPr>
          <w:rFonts w:cs="Times New Roman"/>
          <w:sz w:val="24"/>
          <w:szCs w:val="24"/>
        </w:rPr>
        <w:t>.</w:t>
      </w:r>
      <w:r w:rsidRPr="003A52F8">
        <w:rPr>
          <w:rStyle w:val="EndnoteReference"/>
          <w:rFonts w:cs="Times New Roman"/>
          <w:sz w:val="24"/>
          <w:szCs w:val="24"/>
        </w:rPr>
        <w:endnoteReference w:id="27"/>
      </w:r>
    </w:p>
    <w:p w:rsidR="00D751BE" w:rsidRPr="003A52F8" w:rsidRDefault="00D751BE" w:rsidP="007F0F61">
      <w:pPr>
        <w:spacing w:after="0" w:line="480" w:lineRule="auto"/>
        <w:ind w:firstLine="720"/>
        <w:rPr>
          <w:rFonts w:cs="Times New Roman"/>
          <w:sz w:val="24"/>
          <w:szCs w:val="24"/>
        </w:rPr>
      </w:pPr>
      <w:r w:rsidRPr="003A52F8">
        <w:rPr>
          <w:rFonts w:cs="Times New Roman"/>
          <w:sz w:val="24"/>
          <w:szCs w:val="24"/>
        </w:rPr>
        <w:t xml:space="preserve">The final piece of the puzzle is the relation of Latin </w:t>
      </w:r>
      <w:r w:rsidRPr="003A52F8">
        <w:rPr>
          <w:rFonts w:cs="Times New Roman"/>
          <w:i/>
          <w:sz w:val="24"/>
          <w:szCs w:val="24"/>
        </w:rPr>
        <w:t>ergastulus</w:t>
      </w:r>
      <w:r w:rsidRPr="003A52F8">
        <w:rPr>
          <w:rFonts w:cs="Times New Roman"/>
          <w:sz w:val="24"/>
          <w:szCs w:val="24"/>
        </w:rPr>
        <w:t xml:space="preserve"> to ἐργαστή</w:t>
      </w:r>
      <w:r w:rsidR="002C3299">
        <w:rPr>
          <w:rFonts w:cs="Times New Roman"/>
          <w:sz w:val="24"/>
          <w:szCs w:val="24"/>
        </w:rPr>
        <w:t>ριον; Wilamowitz, it will be remembered, thought that the Latin form had been adapted from the Greek.</w:t>
      </w:r>
      <w:r w:rsidRPr="003A52F8">
        <w:rPr>
          <w:rFonts w:cs="Times New Roman"/>
          <w:sz w:val="24"/>
          <w:szCs w:val="24"/>
        </w:rPr>
        <w:t xml:space="preserve"> The Latin form is often cited from Lucilius as </w:t>
      </w:r>
      <w:r w:rsidRPr="003A52F8">
        <w:rPr>
          <w:rFonts w:cs="Times New Roman"/>
          <w:i/>
          <w:sz w:val="24"/>
          <w:szCs w:val="24"/>
        </w:rPr>
        <w:t>servus ergastulus</w:t>
      </w:r>
      <w:r w:rsidRPr="003A52F8">
        <w:rPr>
          <w:rFonts w:cs="Times New Roman"/>
          <w:sz w:val="24"/>
          <w:szCs w:val="24"/>
        </w:rPr>
        <w:t>;</w:t>
      </w:r>
      <w:r w:rsidRPr="003A52F8">
        <w:rPr>
          <w:rStyle w:val="EndnoteReference"/>
          <w:rFonts w:cs="Times New Roman"/>
          <w:sz w:val="24"/>
          <w:szCs w:val="24"/>
        </w:rPr>
        <w:endnoteReference w:id="28"/>
      </w:r>
      <w:r w:rsidRPr="003A52F8">
        <w:rPr>
          <w:rFonts w:cs="Times New Roman"/>
          <w:i/>
          <w:sz w:val="24"/>
          <w:szCs w:val="24"/>
        </w:rPr>
        <w:t xml:space="preserve"> </w:t>
      </w:r>
      <w:r w:rsidRPr="003A52F8">
        <w:rPr>
          <w:rFonts w:cs="Times New Roman"/>
          <w:sz w:val="24"/>
          <w:szCs w:val="24"/>
        </w:rPr>
        <w:t xml:space="preserve">but in fact, Lucilius has </w:t>
      </w:r>
      <w:r w:rsidRPr="003A52F8">
        <w:rPr>
          <w:rFonts w:cs="Times New Roman"/>
          <w:i/>
          <w:sz w:val="24"/>
          <w:szCs w:val="24"/>
        </w:rPr>
        <w:t>non ergastilus unus</w:t>
      </w:r>
      <w:r w:rsidRPr="003A52F8">
        <w:rPr>
          <w:rFonts w:cs="Times New Roman"/>
          <w:sz w:val="24"/>
          <w:szCs w:val="24"/>
        </w:rPr>
        <w:t xml:space="preserve">. This is a fragment cited by Nonius (447.7) in order to prove that the masculine </w:t>
      </w:r>
      <w:r w:rsidRPr="003A52F8">
        <w:rPr>
          <w:rFonts w:cs="Times New Roman"/>
          <w:i/>
          <w:sz w:val="24"/>
          <w:szCs w:val="24"/>
        </w:rPr>
        <w:t>ergastulus</w:t>
      </w:r>
      <w:r w:rsidRPr="003A52F8">
        <w:rPr>
          <w:rFonts w:cs="Times New Roman"/>
          <w:sz w:val="24"/>
          <w:szCs w:val="24"/>
        </w:rPr>
        <w:t xml:space="preserve"> referred to a person (he glosses </w:t>
      </w:r>
      <w:r w:rsidRPr="003A52F8">
        <w:rPr>
          <w:rFonts w:cs="Times New Roman"/>
          <w:i/>
          <w:sz w:val="24"/>
          <w:szCs w:val="24"/>
        </w:rPr>
        <w:t>custos poenalis loci</w:t>
      </w:r>
      <w:r w:rsidR="007C7E10">
        <w:rPr>
          <w:rFonts w:cs="Times New Roman"/>
          <w:sz w:val="24"/>
          <w:szCs w:val="24"/>
        </w:rPr>
        <w:t xml:space="preserve">, </w:t>
      </w:r>
      <w:r w:rsidR="00F412FD">
        <w:rPr>
          <w:rFonts w:cs="Times New Roman"/>
          <w:sz w:val="24"/>
          <w:szCs w:val="24"/>
        </w:rPr>
        <w:t>“</w:t>
      </w:r>
      <w:r w:rsidR="007C7E10">
        <w:rPr>
          <w:rFonts w:cs="Times New Roman"/>
          <w:sz w:val="24"/>
          <w:szCs w:val="24"/>
        </w:rPr>
        <w:t>guard of a penal institution</w:t>
      </w:r>
      <w:r w:rsidR="00F412FD">
        <w:rPr>
          <w:rFonts w:cs="Times New Roman"/>
          <w:sz w:val="24"/>
          <w:szCs w:val="24"/>
        </w:rPr>
        <w:t>”</w:t>
      </w:r>
      <w:r w:rsidRPr="003A52F8">
        <w:rPr>
          <w:rFonts w:cs="Times New Roman"/>
          <w:sz w:val="24"/>
          <w:szCs w:val="24"/>
        </w:rPr>
        <w:t xml:space="preserve">), while the neuter </w:t>
      </w:r>
      <w:r w:rsidRPr="003A52F8">
        <w:rPr>
          <w:rFonts w:cs="Times New Roman"/>
          <w:i/>
          <w:sz w:val="24"/>
          <w:szCs w:val="24"/>
        </w:rPr>
        <w:t xml:space="preserve">ergastulum </w:t>
      </w:r>
      <w:r w:rsidRPr="003A52F8">
        <w:rPr>
          <w:rFonts w:cs="Times New Roman"/>
          <w:sz w:val="24"/>
          <w:szCs w:val="24"/>
        </w:rPr>
        <w:t xml:space="preserve">meant a place, a </w:t>
      </w:r>
      <w:r w:rsidRPr="003A52F8">
        <w:rPr>
          <w:rFonts w:cs="Times New Roman"/>
          <w:i/>
          <w:sz w:val="24"/>
          <w:szCs w:val="24"/>
        </w:rPr>
        <w:t>carceris locus</w:t>
      </w:r>
      <w:r w:rsidR="007C7E10">
        <w:rPr>
          <w:rFonts w:cs="Times New Roman"/>
          <w:sz w:val="24"/>
          <w:szCs w:val="24"/>
        </w:rPr>
        <w:t xml:space="preserve"> </w:t>
      </w:r>
      <w:r w:rsidR="00F412FD">
        <w:rPr>
          <w:rFonts w:cs="Times New Roman"/>
          <w:sz w:val="24"/>
          <w:szCs w:val="24"/>
        </w:rPr>
        <w:t>“</w:t>
      </w:r>
      <w:r w:rsidR="007C7E10">
        <w:rPr>
          <w:rFonts w:cs="Times New Roman"/>
          <w:sz w:val="24"/>
          <w:szCs w:val="24"/>
        </w:rPr>
        <w:t>prison place</w:t>
      </w:r>
      <w:r w:rsidR="00F412FD">
        <w:rPr>
          <w:rFonts w:cs="Times New Roman"/>
          <w:sz w:val="24"/>
          <w:szCs w:val="24"/>
        </w:rPr>
        <w:t>”</w:t>
      </w:r>
      <w:r w:rsidRPr="003A52F8">
        <w:rPr>
          <w:rFonts w:cs="Times New Roman"/>
          <w:sz w:val="24"/>
          <w:szCs w:val="24"/>
        </w:rPr>
        <w:t>. Now Nonius may be wrong about this; Marx,</w:t>
      </w:r>
      <w:r w:rsidR="00B1709D">
        <w:rPr>
          <w:rFonts w:cs="Times New Roman"/>
          <w:sz w:val="24"/>
          <w:szCs w:val="24"/>
        </w:rPr>
        <w:t xml:space="preserve"> for example, conjectures that </w:t>
      </w:r>
      <w:r w:rsidRPr="003A52F8">
        <w:rPr>
          <w:rFonts w:cs="Times New Roman"/>
          <w:sz w:val="24"/>
          <w:szCs w:val="24"/>
        </w:rPr>
        <w:t xml:space="preserve">the meaning of </w:t>
      </w:r>
      <w:r w:rsidRPr="003A52F8">
        <w:rPr>
          <w:rFonts w:cs="Times New Roman"/>
          <w:i/>
          <w:sz w:val="24"/>
          <w:szCs w:val="24"/>
        </w:rPr>
        <w:t xml:space="preserve">ergastulus </w:t>
      </w:r>
      <w:r w:rsidRPr="003A52F8">
        <w:rPr>
          <w:rFonts w:cs="Times New Roman"/>
          <w:sz w:val="24"/>
          <w:szCs w:val="24"/>
        </w:rPr>
        <w:t xml:space="preserve">was </w:t>
      </w:r>
      <w:r w:rsidRPr="003A52F8">
        <w:rPr>
          <w:rFonts w:cs="Times New Roman"/>
          <w:sz w:val="24"/>
          <w:szCs w:val="24"/>
        </w:rPr>
        <w:lastRenderedPageBreak/>
        <w:t xml:space="preserve">a </w:t>
      </w:r>
      <w:r w:rsidR="00F412FD">
        <w:rPr>
          <w:rFonts w:cs="Times New Roman"/>
          <w:sz w:val="24"/>
          <w:szCs w:val="24"/>
        </w:rPr>
        <w:t>“</w:t>
      </w:r>
      <w:r w:rsidRPr="003A52F8">
        <w:rPr>
          <w:rFonts w:cs="Times New Roman"/>
          <w:sz w:val="24"/>
          <w:szCs w:val="24"/>
        </w:rPr>
        <w:t>servus compeditus uilissimi generis, qui in ergastulo subterraneo uinctus operatur</w:t>
      </w:r>
      <w:r w:rsidR="00F412FD">
        <w:rPr>
          <w:rFonts w:cs="Times New Roman"/>
          <w:sz w:val="24"/>
          <w:szCs w:val="24"/>
        </w:rPr>
        <w:t>”</w:t>
      </w:r>
      <w:r w:rsidR="00B1709D">
        <w:rPr>
          <w:rFonts w:cs="Times New Roman"/>
          <w:sz w:val="24"/>
          <w:szCs w:val="24"/>
        </w:rPr>
        <w:t xml:space="preserve">, </w:t>
      </w:r>
      <w:r w:rsidR="00F412FD">
        <w:rPr>
          <w:rFonts w:cs="Times New Roman"/>
          <w:sz w:val="24"/>
          <w:szCs w:val="24"/>
        </w:rPr>
        <w:t>“</w:t>
      </w:r>
      <w:r w:rsidR="00B1709D">
        <w:rPr>
          <w:rFonts w:cs="Times New Roman"/>
          <w:sz w:val="24"/>
          <w:szCs w:val="24"/>
        </w:rPr>
        <w:t>a shackled slave of the worst sort, who works in chains in an underground workshop</w:t>
      </w:r>
      <w:r w:rsidR="00F412FD">
        <w:rPr>
          <w:rFonts w:cs="Times New Roman"/>
          <w:sz w:val="24"/>
          <w:szCs w:val="24"/>
        </w:rPr>
        <w:t>”</w:t>
      </w:r>
      <w:r w:rsidRPr="003A52F8">
        <w:rPr>
          <w:rFonts w:cs="Times New Roman"/>
          <w:sz w:val="24"/>
          <w:szCs w:val="24"/>
        </w:rPr>
        <w:t>.</w:t>
      </w:r>
      <w:r w:rsidRPr="003A52F8">
        <w:rPr>
          <w:rStyle w:val="EndnoteReference"/>
          <w:rFonts w:cs="Times New Roman"/>
          <w:sz w:val="24"/>
          <w:szCs w:val="24"/>
        </w:rPr>
        <w:endnoteReference w:id="29"/>
      </w:r>
      <w:r w:rsidRPr="003A52F8">
        <w:rPr>
          <w:rFonts w:cs="Times New Roman"/>
          <w:sz w:val="24"/>
          <w:szCs w:val="24"/>
        </w:rPr>
        <w:t xml:space="preserve"> But the form </w:t>
      </w:r>
      <w:r w:rsidRPr="003A52F8">
        <w:rPr>
          <w:rFonts w:cs="Times New Roman"/>
          <w:i/>
          <w:sz w:val="24"/>
          <w:szCs w:val="24"/>
        </w:rPr>
        <w:t xml:space="preserve">ergastulus </w:t>
      </w:r>
      <w:r w:rsidRPr="003A52F8">
        <w:rPr>
          <w:rFonts w:cs="Times New Roman"/>
          <w:sz w:val="24"/>
          <w:szCs w:val="24"/>
        </w:rPr>
        <w:t xml:space="preserve">is a </w:t>
      </w:r>
      <w:r w:rsidRPr="003A52F8">
        <w:rPr>
          <w:rFonts w:cs="Times New Roman"/>
          <w:i/>
          <w:sz w:val="24"/>
          <w:szCs w:val="24"/>
        </w:rPr>
        <w:t>hapax</w:t>
      </w:r>
      <w:r w:rsidRPr="003A52F8">
        <w:rPr>
          <w:rFonts w:cs="Times New Roman"/>
          <w:sz w:val="24"/>
          <w:szCs w:val="24"/>
        </w:rPr>
        <w:t xml:space="preserve">; we are therefore not in a position to argue with Nonius. We must therefore assume that an </w:t>
      </w:r>
      <w:r w:rsidRPr="003A52F8">
        <w:rPr>
          <w:rFonts w:cs="Times New Roman"/>
          <w:i/>
          <w:sz w:val="24"/>
          <w:szCs w:val="24"/>
        </w:rPr>
        <w:t xml:space="preserve">ergastulus </w:t>
      </w:r>
      <w:r w:rsidRPr="003A52F8">
        <w:rPr>
          <w:rFonts w:cs="Times New Roman"/>
          <w:sz w:val="24"/>
          <w:szCs w:val="24"/>
        </w:rPr>
        <w:t xml:space="preserve">was a slave guarding an </w:t>
      </w:r>
      <w:r w:rsidRPr="003A52F8">
        <w:rPr>
          <w:rFonts w:cs="Times New Roman"/>
          <w:i/>
          <w:sz w:val="24"/>
          <w:szCs w:val="24"/>
        </w:rPr>
        <w:t>ergastulum</w:t>
      </w:r>
      <w:r w:rsidRPr="003A52F8">
        <w:rPr>
          <w:rFonts w:cs="Times New Roman"/>
          <w:sz w:val="24"/>
          <w:szCs w:val="24"/>
        </w:rPr>
        <w:t xml:space="preserve">. </w:t>
      </w:r>
    </w:p>
    <w:p w:rsidR="00D751BE" w:rsidRPr="003A52F8" w:rsidRDefault="00D751BE" w:rsidP="007F0F61">
      <w:pPr>
        <w:spacing w:after="0" w:line="480" w:lineRule="auto"/>
        <w:ind w:firstLine="720"/>
        <w:rPr>
          <w:rFonts w:cs="Times New Roman"/>
          <w:sz w:val="24"/>
          <w:szCs w:val="24"/>
        </w:rPr>
      </w:pPr>
      <w:r w:rsidRPr="003A52F8">
        <w:rPr>
          <w:rFonts w:cs="Times New Roman"/>
          <w:sz w:val="24"/>
          <w:szCs w:val="24"/>
        </w:rPr>
        <w:t xml:space="preserve">We begin with an obvious observation: the sense attested for </w:t>
      </w:r>
      <w:r w:rsidRPr="003A52F8">
        <w:rPr>
          <w:rFonts w:cs="Times New Roman"/>
          <w:i/>
          <w:sz w:val="24"/>
          <w:szCs w:val="24"/>
        </w:rPr>
        <w:t>ergastulus</w:t>
      </w:r>
      <w:r w:rsidRPr="003A52F8">
        <w:rPr>
          <w:rFonts w:cs="Times New Roman"/>
          <w:sz w:val="24"/>
          <w:szCs w:val="24"/>
        </w:rPr>
        <w:t xml:space="preserve"> and </w:t>
      </w:r>
      <w:r w:rsidRPr="003A52F8">
        <w:rPr>
          <w:rFonts w:cs="Times New Roman"/>
          <w:i/>
          <w:sz w:val="24"/>
          <w:szCs w:val="24"/>
        </w:rPr>
        <w:t>ergastulum</w:t>
      </w:r>
      <w:r w:rsidRPr="003A52F8">
        <w:rPr>
          <w:rFonts w:cs="Times New Roman"/>
          <w:sz w:val="24"/>
          <w:szCs w:val="24"/>
        </w:rPr>
        <w:t xml:space="preserve"> have little in common with ἐργαστήριον </w:t>
      </w:r>
      <w:r w:rsidR="00F412FD">
        <w:rPr>
          <w:rFonts w:cs="Times New Roman"/>
          <w:sz w:val="24"/>
          <w:szCs w:val="24"/>
        </w:rPr>
        <w:t>“</w:t>
      </w:r>
      <w:r w:rsidRPr="003A52F8">
        <w:rPr>
          <w:rFonts w:cs="Times New Roman"/>
          <w:sz w:val="24"/>
          <w:szCs w:val="24"/>
        </w:rPr>
        <w:t>work-shop</w:t>
      </w:r>
      <w:r w:rsidR="00F412FD">
        <w:rPr>
          <w:rFonts w:cs="Times New Roman"/>
          <w:sz w:val="24"/>
          <w:szCs w:val="24"/>
        </w:rPr>
        <w:t>”</w:t>
      </w:r>
      <w:r w:rsidRPr="003A52F8">
        <w:rPr>
          <w:rFonts w:cs="Times New Roman"/>
          <w:sz w:val="24"/>
          <w:szCs w:val="24"/>
        </w:rPr>
        <w:t xml:space="preserve"> or the like. Like the Latin forms reviewed earlier in this article, </w:t>
      </w:r>
      <w:r w:rsidRPr="003A52F8">
        <w:rPr>
          <w:rFonts w:cs="Times New Roman"/>
          <w:i/>
          <w:sz w:val="24"/>
          <w:szCs w:val="24"/>
        </w:rPr>
        <w:t>ergastulum</w:t>
      </w:r>
      <w:r w:rsidRPr="003A52F8">
        <w:rPr>
          <w:rFonts w:cs="Times New Roman"/>
          <w:sz w:val="24"/>
          <w:szCs w:val="24"/>
        </w:rPr>
        <w:t xml:space="preserve"> in the </w:t>
      </w:r>
      <w:r w:rsidRPr="003A52F8">
        <w:rPr>
          <w:rFonts w:cs="Times New Roman"/>
          <w:i/>
          <w:sz w:val="24"/>
          <w:szCs w:val="24"/>
        </w:rPr>
        <w:t>plural</w:t>
      </w:r>
      <w:r w:rsidRPr="003A52F8">
        <w:rPr>
          <w:rFonts w:cs="Times New Roman"/>
          <w:sz w:val="24"/>
          <w:szCs w:val="24"/>
        </w:rPr>
        <w:t xml:space="preserve"> could be used to refer to the </w:t>
      </w:r>
      <w:r w:rsidR="00F412FD">
        <w:rPr>
          <w:rFonts w:cs="Times New Roman"/>
          <w:sz w:val="24"/>
          <w:szCs w:val="24"/>
        </w:rPr>
        <w:t>“</w:t>
      </w:r>
      <w:r w:rsidRPr="003A52F8">
        <w:rPr>
          <w:rFonts w:cs="Times New Roman"/>
          <w:sz w:val="24"/>
          <w:szCs w:val="24"/>
        </w:rPr>
        <w:t>inmates of a workhouse</w:t>
      </w:r>
      <w:r w:rsidR="00F412FD">
        <w:rPr>
          <w:rFonts w:cs="Times New Roman"/>
          <w:sz w:val="24"/>
          <w:szCs w:val="24"/>
        </w:rPr>
        <w:t>”</w:t>
      </w:r>
      <w:r w:rsidRPr="003A52F8">
        <w:rPr>
          <w:rFonts w:cs="Times New Roman"/>
          <w:sz w:val="24"/>
          <w:szCs w:val="24"/>
        </w:rPr>
        <w:t>;</w:t>
      </w:r>
      <w:r w:rsidRPr="003A52F8">
        <w:rPr>
          <w:rStyle w:val="EndnoteReference"/>
          <w:rFonts w:cs="Times New Roman"/>
          <w:sz w:val="24"/>
          <w:szCs w:val="24"/>
        </w:rPr>
        <w:endnoteReference w:id="30"/>
      </w:r>
      <w:r w:rsidRPr="003A52F8">
        <w:rPr>
          <w:rFonts w:cs="Times New Roman"/>
          <w:sz w:val="24"/>
          <w:szCs w:val="24"/>
        </w:rPr>
        <w:t xml:space="preserve"> but there is no evidence for the singular being used in the vocative as we have with ἐργαστήριον. Importantly, when </w:t>
      </w:r>
      <w:r w:rsidRPr="003A52F8">
        <w:rPr>
          <w:rFonts w:cs="Times New Roman"/>
          <w:i/>
          <w:sz w:val="24"/>
          <w:szCs w:val="24"/>
        </w:rPr>
        <w:t>ergasterium</w:t>
      </w:r>
      <w:r w:rsidRPr="003A52F8">
        <w:rPr>
          <w:rFonts w:cs="Times New Roman"/>
          <w:sz w:val="24"/>
          <w:szCs w:val="24"/>
        </w:rPr>
        <w:t xml:space="preserve"> is borrowed from Greek, it shows the expected semantics of a place-word.</w:t>
      </w:r>
      <w:r w:rsidRPr="003A52F8">
        <w:rPr>
          <w:rStyle w:val="EndnoteReference"/>
          <w:rFonts w:cs="Times New Roman"/>
          <w:sz w:val="24"/>
          <w:szCs w:val="24"/>
        </w:rPr>
        <w:endnoteReference w:id="31"/>
      </w:r>
      <w:r w:rsidRPr="003A52F8">
        <w:rPr>
          <w:rFonts w:cs="Times New Roman"/>
          <w:sz w:val="24"/>
          <w:szCs w:val="24"/>
        </w:rPr>
        <w:t xml:space="preserve"> In order to understand the Latin forms, therefore, we have to consider them from the perspective of Latin word-formation rules. On this account, what kind of meaning would </w:t>
      </w:r>
      <w:r w:rsidRPr="003A52F8">
        <w:rPr>
          <w:rFonts w:cs="Times New Roman"/>
          <w:i/>
          <w:sz w:val="24"/>
          <w:szCs w:val="24"/>
        </w:rPr>
        <w:t>ergastulus</w:t>
      </w:r>
      <w:r w:rsidRPr="003A52F8">
        <w:rPr>
          <w:rFonts w:cs="Times New Roman"/>
          <w:sz w:val="24"/>
          <w:szCs w:val="24"/>
        </w:rPr>
        <w:t xml:space="preserve"> have?</w:t>
      </w:r>
    </w:p>
    <w:p w:rsidR="00CE49E9" w:rsidRPr="003A52F8" w:rsidRDefault="00D751BE" w:rsidP="007F0F61">
      <w:pPr>
        <w:spacing w:after="0" w:line="480" w:lineRule="auto"/>
        <w:ind w:firstLine="720"/>
        <w:rPr>
          <w:rFonts w:cs="Times New Roman"/>
          <w:sz w:val="24"/>
          <w:szCs w:val="24"/>
        </w:rPr>
      </w:pPr>
      <w:r w:rsidRPr="003A52F8">
        <w:rPr>
          <w:rFonts w:cs="Times New Roman"/>
          <w:sz w:val="24"/>
          <w:szCs w:val="24"/>
        </w:rPr>
        <w:t xml:space="preserve">The </w:t>
      </w:r>
      <w:r w:rsidRPr="003A52F8">
        <w:rPr>
          <w:rFonts w:cs="Times New Roman"/>
          <w:i/>
          <w:sz w:val="24"/>
          <w:szCs w:val="24"/>
        </w:rPr>
        <w:t>–ulus</w:t>
      </w:r>
      <w:r w:rsidRPr="003A52F8">
        <w:rPr>
          <w:rFonts w:cs="Times New Roman"/>
          <w:sz w:val="24"/>
          <w:szCs w:val="24"/>
        </w:rPr>
        <w:t xml:space="preserve"> suffix in Latin is used in two main functions: to form deverbal adjectives, and to form diminutives.</w:t>
      </w:r>
      <w:r w:rsidRPr="003A52F8">
        <w:rPr>
          <w:rStyle w:val="EndnoteReference"/>
          <w:rFonts w:cs="Times New Roman"/>
          <w:sz w:val="24"/>
          <w:szCs w:val="24"/>
        </w:rPr>
        <w:endnoteReference w:id="32"/>
      </w:r>
      <w:r w:rsidRPr="003A52F8">
        <w:rPr>
          <w:rFonts w:cs="Times New Roman"/>
          <w:sz w:val="24"/>
          <w:szCs w:val="24"/>
        </w:rPr>
        <w:t xml:space="preserve"> On this analysis, one might suppose that </w:t>
      </w:r>
      <w:r w:rsidRPr="003A52F8">
        <w:rPr>
          <w:rFonts w:cs="Times New Roman"/>
          <w:i/>
          <w:sz w:val="24"/>
          <w:szCs w:val="24"/>
        </w:rPr>
        <w:t xml:space="preserve">ergastulus </w:t>
      </w:r>
      <w:r w:rsidRPr="003A52F8">
        <w:rPr>
          <w:rFonts w:cs="Times New Roman"/>
          <w:sz w:val="24"/>
          <w:szCs w:val="24"/>
        </w:rPr>
        <w:t xml:space="preserve">was a Greek loan-word adapted to a Latin deverbal pattern. If this is true, the deverbal meaning of the source-word (ἐργαστήρ?) must have been available to native-speaker intuition. This would then seem to be the most natural interpretation for </w:t>
      </w:r>
      <w:r w:rsidRPr="003A52F8">
        <w:rPr>
          <w:rFonts w:cs="Times New Roman"/>
          <w:i/>
          <w:sz w:val="24"/>
          <w:szCs w:val="24"/>
        </w:rPr>
        <w:t>ergastulus</w:t>
      </w:r>
      <w:r w:rsidRPr="003A52F8">
        <w:rPr>
          <w:rFonts w:cs="Times New Roman"/>
          <w:sz w:val="24"/>
          <w:szCs w:val="24"/>
        </w:rPr>
        <w:t>, –</w:t>
      </w:r>
      <w:r w:rsidRPr="003A52F8">
        <w:rPr>
          <w:rFonts w:cs="Times New Roman"/>
          <w:i/>
          <w:sz w:val="24"/>
          <w:szCs w:val="24"/>
        </w:rPr>
        <w:t>um</w:t>
      </w:r>
      <w:r w:rsidRPr="003A52F8">
        <w:rPr>
          <w:rFonts w:cs="Times New Roman"/>
          <w:sz w:val="24"/>
          <w:szCs w:val="24"/>
        </w:rPr>
        <w:t>.</w:t>
      </w:r>
      <w:r w:rsidRPr="003A52F8">
        <w:rPr>
          <w:rStyle w:val="EndnoteReference"/>
          <w:rFonts w:cs="Times New Roman"/>
          <w:sz w:val="24"/>
          <w:szCs w:val="24"/>
        </w:rPr>
        <w:endnoteReference w:id="33"/>
      </w:r>
      <w:r w:rsidRPr="003A52F8">
        <w:rPr>
          <w:rFonts w:cs="Times New Roman"/>
          <w:sz w:val="24"/>
          <w:szCs w:val="24"/>
        </w:rPr>
        <w:t xml:space="preserve"> </w:t>
      </w:r>
      <w:r w:rsidR="00514B93" w:rsidRPr="003A52F8">
        <w:rPr>
          <w:rFonts w:cs="Times New Roman"/>
          <w:sz w:val="24"/>
          <w:szCs w:val="24"/>
        </w:rPr>
        <w:t xml:space="preserve">However this works in detail, however, is not our concern. </w:t>
      </w:r>
      <w:r w:rsidR="00CE49E9" w:rsidRPr="003A52F8">
        <w:rPr>
          <w:rFonts w:cs="Times New Roman"/>
          <w:sz w:val="24"/>
          <w:szCs w:val="24"/>
        </w:rPr>
        <w:t xml:space="preserve">The important point that emerges is that </w:t>
      </w:r>
      <w:r w:rsidR="00CE49E9" w:rsidRPr="003A52F8">
        <w:rPr>
          <w:rFonts w:cs="Times New Roman"/>
          <w:i/>
          <w:sz w:val="24"/>
          <w:szCs w:val="24"/>
        </w:rPr>
        <w:t>ergastulus</w:t>
      </w:r>
      <w:r w:rsidR="00CE49E9" w:rsidRPr="003A52F8">
        <w:rPr>
          <w:rFonts w:cs="Times New Roman"/>
          <w:sz w:val="24"/>
          <w:szCs w:val="24"/>
        </w:rPr>
        <w:t xml:space="preserve"> is not good evidence for the usage of ἐργαστήριον at </w:t>
      </w:r>
      <w:r w:rsidR="00CE49E9" w:rsidRPr="003A52F8">
        <w:rPr>
          <w:rFonts w:cs="Times New Roman"/>
          <w:i/>
          <w:sz w:val="24"/>
          <w:szCs w:val="24"/>
        </w:rPr>
        <w:t>Ep</w:t>
      </w:r>
      <w:r w:rsidR="00CE49E9" w:rsidRPr="003A52F8">
        <w:rPr>
          <w:rFonts w:cs="Times New Roman"/>
          <w:sz w:val="24"/>
          <w:szCs w:val="24"/>
        </w:rPr>
        <w:t xml:space="preserve">. 366. Rather the Latin forms correspond to a well-established pattern of word-formation and forms of address. </w:t>
      </w:r>
      <w:r w:rsidR="00B3225D" w:rsidRPr="003A52F8">
        <w:rPr>
          <w:rFonts w:cs="Times New Roman"/>
          <w:sz w:val="24"/>
          <w:szCs w:val="24"/>
        </w:rPr>
        <w:t>The Greek form, by contrast, is best analysed using what we already know about</w:t>
      </w:r>
      <w:r w:rsidR="008E634B" w:rsidRPr="003A52F8">
        <w:rPr>
          <w:rFonts w:cs="Times New Roman"/>
          <w:sz w:val="24"/>
          <w:szCs w:val="24"/>
        </w:rPr>
        <w:t xml:space="preserve"> Greek derivational morphology.</w:t>
      </w:r>
      <w:r w:rsidR="00514B93" w:rsidRPr="003A52F8">
        <w:rPr>
          <w:rFonts w:cs="Times New Roman"/>
          <w:sz w:val="24"/>
          <w:szCs w:val="24"/>
        </w:rPr>
        <w:t xml:space="preserve"> </w:t>
      </w:r>
      <w:r w:rsidR="008E634B" w:rsidRPr="003A52F8">
        <w:rPr>
          <w:rFonts w:cs="Times New Roman"/>
          <w:sz w:val="24"/>
          <w:szCs w:val="24"/>
        </w:rPr>
        <w:t xml:space="preserve"> </w:t>
      </w:r>
    </w:p>
    <w:p w:rsidR="000A5FF1" w:rsidRDefault="000A5FF1" w:rsidP="007F0F61">
      <w:pPr>
        <w:spacing w:after="0"/>
        <w:rPr>
          <w:rFonts w:cs="Times New Roman"/>
          <w:smallCaps/>
          <w:sz w:val="24"/>
          <w:szCs w:val="24"/>
        </w:rPr>
      </w:pPr>
      <w:r>
        <w:rPr>
          <w:rFonts w:cs="Times New Roman"/>
          <w:smallCaps/>
          <w:sz w:val="24"/>
          <w:szCs w:val="24"/>
        </w:rPr>
        <w:br w:type="page"/>
      </w:r>
    </w:p>
    <w:p w:rsidR="00225373" w:rsidRPr="0077221F" w:rsidRDefault="00A37603" w:rsidP="007F0F61">
      <w:pPr>
        <w:spacing w:after="0" w:line="480" w:lineRule="auto"/>
        <w:rPr>
          <w:rFonts w:cs="Times New Roman"/>
          <w:sz w:val="24"/>
          <w:szCs w:val="24"/>
        </w:rPr>
      </w:pPr>
      <w:r>
        <w:rPr>
          <w:rFonts w:cs="Times New Roman"/>
          <w:sz w:val="24"/>
          <w:szCs w:val="24"/>
        </w:rPr>
        <w:lastRenderedPageBreak/>
        <w:t>Literature Cited</w:t>
      </w:r>
    </w:p>
    <w:p w:rsidR="00DC5C0C" w:rsidRPr="0077221F" w:rsidRDefault="009C2BA9" w:rsidP="00566B1D">
      <w:pPr>
        <w:spacing w:after="0" w:line="480" w:lineRule="auto"/>
        <w:ind w:left="567" w:hanging="567"/>
        <w:rPr>
          <w:rFonts w:cs="Times New Roman"/>
          <w:sz w:val="24"/>
          <w:szCs w:val="24"/>
        </w:rPr>
      </w:pPr>
      <w:r w:rsidRPr="0077221F">
        <w:rPr>
          <w:rFonts w:cs="Times New Roman"/>
          <w:sz w:val="24"/>
          <w:szCs w:val="24"/>
        </w:rPr>
        <w:t>Aikhenvald, Alexandra</w:t>
      </w:r>
      <w:r w:rsidR="00566B1D">
        <w:rPr>
          <w:rFonts w:cs="Times New Roman"/>
          <w:sz w:val="24"/>
          <w:szCs w:val="24"/>
        </w:rPr>
        <w:t xml:space="preserve"> Y.</w:t>
      </w:r>
      <w:r w:rsidR="00DC5C0C" w:rsidRPr="0077221F">
        <w:rPr>
          <w:rFonts w:cs="Times New Roman"/>
          <w:sz w:val="24"/>
          <w:szCs w:val="24"/>
        </w:rPr>
        <w:t xml:space="preserve"> 2007. Typological distinctions in word-formation</w:t>
      </w:r>
      <w:r w:rsidR="00566B1D">
        <w:rPr>
          <w:rFonts w:cs="Times New Roman"/>
          <w:sz w:val="24"/>
          <w:szCs w:val="24"/>
        </w:rPr>
        <w:t>. I</w:t>
      </w:r>
      <w:r w:rsidR="00DC5C0C" w:rsidRPr="0077221F">
        <w:rPr>
          <w:rFonts w:cs="Times New Roman"/>
          <w:sz w:val="24"/>
          <w:szCs w:val="24"/>
        </w:rPr>
        <w:t xml:space="preserve">n </w:t>
      </w:r>
      <w:r w:rsidR="00DC5C0C" w:rsidRPr="0077221F">
        <w:rPr>
          <w:rFonts w:cs="Times New Roman"/>
          <w:i/>
          <w:sz w:val="24"/>
          <w:szCs w:val="24"/>
        </w:rPr>
        <w:t>Language Typology and Syntactic Description. Volume III: Grammatical Categories and the Lexicon</w:t>
      </w:r>
      <w:r w:rsidR="00F960FE" w:rsidRPr="0077221F">
        <w:rPr>
          <w:rFonts w:cs="Times New Roman"/>
          <w:sz w:val="24"/>
          <w:szCs w:val="24"/>
        </w:rPr>
        <w:t xml:space="preserve"> (2</w:t>
      </w:r>
      <w:r w:rsidR="00F960FE" w:rsidRPr="0077221F">
        <w:rPr>
          <w:rFonts w:cs="Times New Roman"/>
          <w:sz w:val="24"/>
          <w:szCs w:val="24"/>
          <w:vertAlign w:val="superscript"/>
        </w:rPr>
        <w:t>nd</w:t>
      </w:r>
      <w:r w:rsidR="00566B1D">
        <w:rPr>
          <w:rFonts w:cs="Times New Roman"/>
          <w:sz w:val="24"/>
          <w:szCs w:val="24"/>
        </w:rPr>
        <w:t xml:space="preserve"> ed.)</w:t>
      </w:r>
      <w:r w:rsidR="00804B94">
        <w:rPr>
          <w:rFonts w:cs="Times New Roman"/>
          <w:sz w:val="24"/>
          <w:szCs w:val="24"/>
        </w:rPr>
        <w:t>,</w:t>
      </w:r>
      <w:r w:rsidR="00566B1D">
        <w:rPr>
          <w:rFonts w:cs="Times New Roman"/>
          <w:sz w:val="24"/>
          <w:szCs w:val="24"/>
        </w:rPr>
        <w:t xml:space="preserve"> ed. Timothy Shopen, </w:t>
      </w:r>
      <w:r w:rsidR="00F960FE" w:rsidRPr="0077221F">
        <w:rPr>
          <w:rFonts w:cs="Times New Roman"/>
          <w:sz w:val="24"/>
          <w:szCs w:val="24"/>
        </w:rPr>
        <w:t>1-65.</w:t>
      </w:r>
      <w:r w:rsidR="00566B1D">
        <w:rPr>
          <w:rFonts w:cs="Times New Roman"/>
          <w:sz w:val="24"/>
          <w:szCs w:val="24"/>
        </w:rPr>
        <w:t xml:space="preserve"> Cambridge.</w:t>
      </w:r>
    </w:p>
    <w:p w:rsidR="000D7961" w:rsidRPr="0077221F" w:rsidRDefault="000D7961" w:rsidP="00566B1D">
      <w:pPr>
        <w:spacing w:after="0" w:line="480" w:lineRule="auto"/>
        <w:ind w:left="567" w:hanging="567"/>
        <w:rPr>
          <w:sz w:val="24"/>
          <w:szCs w:val="24"/>
        </w:rPr>
      </w:pPr>
      <w:r w:rsidRPr="0077221F">
        <w:rPr>
          <w:rFonts w:cs="Times New Roman"/>
          <w:sz w:val="24"/>
          <w:szCs w:val="24"/>
        </w:rPr>
        <w:t>Amundsen</w:t>
      </w:r>
      <w:r w:rsidR="009C2BA9" w:rsidRPr="0077221F">
        <w:rPr>
          <w:sz w:val="24"/>
          <w:szCs w:val="24"/>
        </w:rPr>
        <w:t>, Leiv</w:t>
      </w:r>
      <w:r w:rsidR="00566B1D">
        <w:rPr>
          <w:sz w:val="24"/>
          <w:szCs w:val="24"/>
        </w:rPr>
        <w:t>.</w:t>
      </w:r>
      <w:r w:rsidR="00D8594A" w:rsidRPr="0077221F">
        <w:rPr>
          <w:sz w:val="24"/>
          <w:szCs w:val="24"/>
        </w:rPr>
        <w:t xml:space="preserve"> 1965. Some remarks on Greek diminutives</w:t>
      </w:r>
      <w:r w:rsidR="004F226C">
        <w:rPr>
          <w:sz w:val="24"/>
          <w:szCs w:val="24"/>
        </w:rPr>
        <w:t>.</w:t>
      </w:r>
      <w:r w:rsidR="00D8594A" w:rsidRPr="0077221F">
        <w:rPr>
          <w:sz w:val="24"/>
          <w:szCs w:val="24"/>
        </w:rPr>
        <w:t xml:space="preserve"> </w:t>
      </w:r>
      <w:r w:rsidR="00D8594A" w:rsidRPr="0077221F">
        <w:rPr>
          <w:i/>
          <w:sz w:val="24"/>
          <w:szCs w:val="24"/>
        </w:rPr>
        <w:t>SO</w:t>
      </w:r>
      <w:r w:rsidR="00D8594A" w:rsidRPr="0077221F">
        <w:rPr>
          <w:sz w:val="24"/>
          <w:szCs w:val="24"/>
        </w:rPr>
        <w:t xml:space="preserve"> 40: 5-16</w:t>
      </w:r>
      <w:r w:rsidR="00F960FE" w:rsidRPr="0077221F">
        <w:rPr>
          <w:sz w:val="24"/>
          <w:szCs w:val="24"/>
        </w:rPr>
        <w:t>.</w:t>
      </w:r>
    </w:p>
    <w:p w:rsidR="00ED6C4E" w:rsidRPr="0077221F" w:rsidRDefault="00566B1D" w:rsidP="00566B1D">
      <w:pPr>
        <w:spacing w:after="0" w:line="480" w:lineRule="auto"/>
        <w:ind w:left="567" w:hanging="567"/>
        <w:rPr>
          <w:rFonts w:cs="Times New Roman"/>
          <w:sz w:val="24"/>
          <w:szCs w:val="24"/>
        </w:rPr>
      </w:pPr>
      <w:r>
        <w:rPr>
          <w:rFonts w:cs="Times New Roman"/>
          <w:sz w:val="24"/>
          <w:szCs w:val="24"/>
        </w:rPr>
        <w:t>Arnott, W. G.</w:t>
      </w:r>
      <w:r w:rsidR="00ED6C4E" w:rsidRPr="0077221F">
        <w:rPr>
          <w:rFonts w:cs="Times New Roman"/>
          <w:sz w:val="24"/>
          <w:szCs w:val="24"/>
        </w:rPr>
        <w:t xml:space="preserve"> 1979. </w:t>
      </w:r>
      <w:r w:rsidR="00ED6C4E" w:rsidRPr="0077221F">
        <w:rPr>
          <w:rFonts w:cs="Times New Roman"/>
          <w:i/>
          <w:sz w:val="24"/>
          <w:szCs w:val="24"/>
        </w:rPr>
        <w:t>Menander. Volume I</w:t>
      </w:r>
      <w:r w:rsidR="00F960FE" w:rsidRPr="0077221F">
        <w:rPr>
          <w:rFonts w:cs="Times New Roman"/>
          <w:sz w:val="24"/>
          <w:szCs w:val="24"/>
        </w:rPr>
        <w:t>. Cambridge, Mass. / London.</w:t>
      </w:r>
    </w:p>
    <w:p w:rsidR="00ED6C4E" w:rsidRPr="0077221F" w:rsidRDefault="009C2BA9" w:rsidP="00566B1D">
      <w:pPr>
        <w:spacing w:after="0" w:line="480" w:lineRule="auto"/>
        <w:ind w:left="567" w:hanging="567"/>
        <w:rPr>
          <w:rFonts w:cs="Times New Roman"/>
          <w:sz w:val="24"/>
          <w:szCs w:val="24"/>
        </w:rPr>
      </w:pPr>
      <w:r w:rsidRPr="0077221F">
        <w:rPr>
          <w:rFonts w:cs="Times New Roman"/>
          <w:sz w:val="24"/>
          <w:szCs w:val="24"/>
        </w:rPr>
        <w:t>Balme, Maurice</w:t>
      </w:r>
      <w:r w:rsidR="00566B1D">
        <w:rPr>
          <w:rFonts w:cs="Times New Roman"/>
          <w:sz w:val="24"/>
          <w:szCs w:val="24"/>
        </w:rPr>
        <w:t>.</w:t>
      </w:r>
      <w:r w:rsidR="00ED6C4E" w:rsidRPr="0077221F">
        <w:rPr>
          <w:rFonts w:cs="Times New Roman"/>
          <w:sz w:val="24"/>
          <w:szCs w:val="24"/>
        </w:rPr>
        <w:t xml:space="preserve"> 2005. </w:t>
      </w:r>
      <w:r w:rsidR="00ED6C4E" w:rsidRPr="0077221F">
        <w:rPr>
          <w:rFonts w:cs="Times New Roman"/>
          <w:i/>
          <w:sz w:val="24"/>
          <w:szCs w:val="24"/>
        </w:rPr>
        <w:t>Menander. The Plays and Fragments</w:t>
      </w:r>
      <w:r w:rsidR="00F960FE" w:rsidRPr="0077221F">
        <w:rPr>
          <w:rFonts w:cs="Times New Roman"/>
          <w:sz w:val="24"/>
          <w:szCs w:val="24"/>
        </w:rPr>
        <w:t>. Oxford.</w:t>
      </w:r>
    </w:p>
    <w:p w:rsidR="00DA57EA" w:rsidRPr="0077221F" w:rsidRDefault="00566B1D" w:rsidP="00566B1D">
      <w:pPr>
        <w:spacing w:after="0" w:line="480" w:lineRule="auto"/>
        <w:ind w:left="567" w:hanging="567"/>
        <w:rPr>
          <w:rFonts w:cs="Times New Roman"/>
          <w:sz w:val="24"/>
          <w:szCs w:val="24"/>
        </w:rPr>
      </w:pPr>
      <w:r>
        <w:rPr>
          <w:rFonts w:cs="Times New Roman"/>
          <w:sz w:val="24"/>
          <w:szCs w:val="24"/>
        </w:rPr>
        <w:t>Barrett, W. S.</w:t>
      </w:r>
      <w:r w:rsidR="00DA57EA" w:rsidRPr="0077221F">
        <w:rPr>
          <w:rFonts w:cs="Times New Roman"/>
          <w:sz w:val="24"/>
          <w:szCs w:val="24"/>
        </w:rPr>
        <w:t xml:space="preserve"> 2007. </w:t>
      </w:r>
      <w:r w:rsidR="00DA57EA" w:rsidRPr="0077221F">
        <w:rPr>
          <w:rFonts w:cs="Times New Roman"/>
          <w:i/>
          <w:sz w:val="24"/>
          <w:szCs w:val="24"/>
        </w:rPr>
        <w:t>Collected Papers</w:t>
      </w:r>
      <w:r w:rsidR="00F960FE" w:rsidRPr="0077221F">
        <w:rPr>
          <w:rFonts w:cs="Times New Roman"/>
          <w:sz w:val="24"/>
          <w:szCs w:val="24"/>
        </w:rPr>
        <w:t>. Oxford.</w:t>
      </w:r>
    </w:p>
    <w:p w:rsidR="00D8594A" w:rsidRPr="0077221F" w:rsidRDefault="00D8594A" w:rsidP="00566B1D">
      <w:pPr>
        <w:spacing w:after="0" w:line="480" w:lineRule="auto"/>
        <w:ind w:left="567" w:hanging="567"/>
        <w:rPr>
          <w:rFonts w:cs="Times New Roman"/>
          <w:sz w:val="24"/>
          <w:szCs w:val="24"/>
        </w:rPr>
      </w:pPr>
      <w:r w:rsidRPr="0077221F">
        <w:rPr>
          <w:rFonts w:cs="Times New Roman"/>
          <w:sz w:val="24"/>
          <w:szCs w:val="24"/>
        </w:rPr>
        <w:t>B</w:t>
      </w:r>
      <w:r w:rsidR="009C2BA9" w:rsidRPr="0077221F">
        <w:rPr>
          <w:rFonts w:cs="Times New Roman"/>
          <w:sz w:val="24"/>
          <w:szCs w:val="24"/>
        </w:rPr>
        <w:t>auer, Laurie</w:t>
      </w:r>
      <w:r w:rsidR="00566B1D">
        <w:rPr>
          <w:rFonts w:cs="Times New Roman"/>
          <w:sz w:val="24"/>
          <w:szCs w:val="24"/>
        </w:rPr>
        <w:t>.</w:t>
      </w:r>
      <w:r w:rsidRPr="0077221F">
        <w:rPr>
          <w:rFonts w:cs="Times New Roman"/>
          <w:sz w:val="24"/>
          <w:szCs w:val="24"/>
        </w:rPr>
        <w:t xml:space="preserve"> 1983. </w:t>
      </w:r>
      <w:r w:rsidRPr="0077221F">
        <w:rPr>
          <w:rFonts w:cs="Times New Roman"/>
          <w:i/>
          <w:sz w:val="24"/>
          <w:szCs w:val="24"/>
        </w:rPr>
        <w:t>English Word-Formation</w:t>
      </w:r>
      <w:r w:rsidR="00F960FE" w:rsidRPr="0077221F">
        <w:rPr>
          <w:rFonts w:cs="Times New Roman"/>
          <w:sz w:val="24"/>
          <w:szCs w:val="24"/>
        </w:rPr>
        <w:t>. Cambridge.</w:t>
      </w:r>
    </w:p>
    <w:p w:rsidR="00D8594A" w:rsidRPr="0077221F" w:rsidRDefault="00753C3A" w:rsidP="00566B1D">
      <w:pPr>
        <w:spacing w:after="0" w:line="480" w:lineRule="auto"/>
        <w:ind w:left="567" w:hanging="567"/>
        <w:rPr>
          <w:rFonts w:cs="Times New Roman"/>
          <w:sz w:val="24"/>
          <w:szCs w:val="24"/>
        </w:rPr>
      </w:pPr>
      <w:r>
        <w:rPr>
          <w:rFonts w:cs="Times New Roman"/>
          <w:sz w:val="24"/>
          <w:szCs w:val="24"/>
        </w:rPr>
        <w:t>—</w:t>
      </w:r>
      <w:r w:rsidR="00566B1D">
        <w:rPr>
          <w:rFonts w:cs="Times New Roman"/>
          <w:sz w:val="24"/>
          <w:szCs w:val="24"/>
        </w:rPr>
        <w:t>.</w:t>
      </w:r>
      <w:r w:rsidR="00D8594A" w:rsidRPr="0077221F">
        <w:rPr>
          <w:rFonts w:cs="Times New Roman"/>
          <w:sz w:val="24"/>
          <w:szCs w:val="24"/>
        </w:rPr>
        <w:t xml:space="preserve"> 2003. </w:t>
      </w:r>
      <w:r w:rsidR="00D8594A" w:rsidRPr="0077221F">
        <w:rPr>
          <w:rFonts w:cs="Times New Roman"/>
          <w:i/>
          <w:sz w:val="24"/>
          <w:szCs w:val="24"/>
        </w:rPr>
        <w:t>Introducing Linguistic Morphology</w:t>
      </w:r>
      <w:r w:rsidR="00D8594A" w:rsidRPr="0077221F">
        <w:rPr>
          <w:rFonts w:cs="Times New Roman"/>
          <w:sz w:val="24"/>
          <w:szCs w:val="24"/>
        </w:rPr>
        <w:t xml:space="preserve"> (2</w:t>
      </w:r>
      <w:r w:rsidR="00D8594A" w:rsidRPr="0077221F">
        <w:rPr>
          <w:rFonts w:cs="Times New Roman"/>
          <w:sz w:val="24"/>
          <w:szCs w:val="24"/>
          <w:vertAlign w:val="superscript"/>
        </w:rPr>
        <w:t>nd</w:t>
      </w:r>
      <w:r w:rsidR="00D8594A" w:rsidRPr="0077221F">
        <w:rPr>
          <w:rFonts w:cs="Times New Roman"/>
          <w:sz w:val="24"/>
          <w:szCs w:val="24"/>
        </w:rPr>
        <w:t xml:space="preserve"> ed.). Edinburgh.</w:t>
      </w:r>
    </w:p>
    <w:p w:rsidR="00ED6C4E" w:rsidRPr="0077221F" w:rsidRDefault="009C2BA9" w:rsidP="00566B1D">
      <w:pPr>
        <w:spacing w:after="0" w:line="480" w:lineRule="auto"/>
        <w:ind w:left="567" w:hanging="567"/>
        <w:rPr>
          <w:rFonts w:cs="Times New Roman"/>
          <w:sz w:val="24"/>
          <w:szCs w:val="24"/>
        </w:rPr>
      </w:pPr>
      <w:r w:rsidRPr="0077221F">
        <w:rPr>
          <w:rFonts w:cs="Times New Roman"/>
          <w:sz w:val="24"/>
          <w:szCs w:val="24"/>
        </w:rPr>
        <w:t>Blanchard, Alain M.</w:t>
      </w:r>
      <w:r w:rsidR="00ED6C4E" w:rsidRPr="0077221F">
        <w:rPr>
          <w:rFonts w:cs="Times New Roman"/>
          <w:sz w:val="24"/>
          <w:szCs w:val="24"/>
        </w:rPr>
        <w:t xml:space="preserve"> 2013. </w:t>
      </w:r>
      <w:r w:rsidR="00ED6C4E" w:rsidRPr="0077221F">
        <w:rPr>
          <w:rFonts w:cs="Times New Roman"/>
          <w:i/>
          <w:sz w:val="24"/>
          <w:szCs w:val="24"/>
        </w:rPr>
        <w:t>Ménandre. Tome II</w:t>
      </w:r>
      <w:r w:rsidR="00ED6C4E" w:rsidRPr="0077221F">
        <w:rPr>
          <w:rFonts w:cs="Times New Roman"/>
          <w:sz w:val="24"/>
          <w:szCs w:val="24"/>
        </w:rPr>
        <w:t xml:space="preserve">. Paris. </w:t>
      </w:r>
    </w:p>
    <w:p w:rsidR="00DA57EA" w:rsidRPr="0077221F" w:rsidRDefault="009C2BA9" w:rsidP="00566B1D">
      <w:pPr>
        <w:spacing w:after="0" w:line="480" w:lineRule="auto"/>
        <w:ind w:left="567" w:hanging="567"/>
        <w:rPr>
          <w:rFonts w:cs="Times New Roman"/>
          <w:sz w:val="24"/>
          <w:szCs w:val="24"/>
        </w:rPr>
      </w:pPr>
      <w:r w:rsidRPr="0077221F">
        <w:rPr>
          <w:rFonts w:cs="Times New Roman"/>
          <w:sz w:val="24"/>
          <w:szCs w:val="24"/>
        </w:rPr>
        <w:t>Chantraine, Pierre</w:t>
      </w:r>
      <w:r w:rsidR="00566B1D">
        <w:rPr>
          <w:rFonts w:cs="Times New Roman"/>
          <w:sz w:val="24"/>
          <w:szCs w:val="24"/>
        </w:rPr>
        <w:t>.</w:t>
      </w:r>
      <w:r w:rsidR="00DA57EA" w:rsidRPr="0077221F">
        <w:rPr>
          <w:rFonts w:cs="Times New Roman"/>
          <w:sz w:val="24"/>
          <w:szCs w:val="24"/>
        </w:rPr>
        <w:t xml:space="preserve"> 1933. </w:t>
      </w:r>
      <w:r w:rsidR="00DA57EA" w:rsidRPr="0077221F">
        <w:rPr>
          <w:rFonts w:cs="Times New Roman"/>
          <w:i/>
          <w:sz w:val="24"/>
          <w:szCs w:val="24"/>
        </w:rPr>
        <w:t>La formation des noms en grec ancien</w:t>
      </w:r>
      <w:r w:rsidR="00DA57EA" w:rsidRPr="0077221F">
        <w:rPr>
          <w:rFonts w:cs="Times New Roman"/>
          <w:sz w:val="24"/>
          <w:szCs w:val="24"/>
        </w:rPr>
        <w:t>. Paris.</w:t>
      </w:r>
    </w:p>
    <w:p w:rsidR="00F9385C" w:rsidRPr="0077221F" w:rsidRDefault="00F9385C" w:rsidP="00566B1D">
      <w:pPr>
        <w:spacing w:after="0" w:line="480" w:lineRule="auto"/>
        <w:ind w:left="567" w:hanging="567"/>
        <w:rPr>
          <w:rFonts w:cs="Times New Roman"/>
          <w:sz w:val="24"/>
          <w:szCs w:val="24"/>
        </w:rPr>
      </w:pPr>
      <w:r w:rsidRPr="0077221F">
        <w:rPr>
          <w:rFonts w:cs="Times New Roman"/>
          <w:sz w:val="24"/>
          <w:szCs w:val="24"/>
        </w:rPr>
        <w:t>C</w:t>
      </w:r>
      <w:r w:rsidR="009C2BA9" w:rsidRPr="0077221F">
        <w:rPr>
          <w:rFonts w:cs="Times New Roman"/>
          <w:sz w:val="24"/>
          <w:szCs w:val="24"/>
        </w:rPr>
        <w:t>ohoon, James W.</w:t>
      </w:r>
      <w:r w:rsidRPr="0077221F">
        <w:rPr>
          <w:rFonts w:cs="Times New Roman"/>
          <w:sz w:val="24"/>
          <w:szCs w:val="24"/>
        </w:rPr>
        <w:t xml:space="preserve"> 1914. Rhetorical studies in the arbitration scene of Menander</w:t>
      </w:r>
      <w:r w:rsidR="00E60F87">
        <w:rPr>
          <w:rFonts w:cs="Times New Roman"/>
          <w:sz w:val="24"/>
          <w:szCs w:val="24"/>
        </w:rPr>
        <w:t>’</w:t>
      </w:r>
      <w:r w:rsidRPr="0077221F">
        <w:rPr>
          <w:rFonts w:cs="Times New Roman"/>
          <w:sz w:val="24"/>
          <w:szCs w:val="24"/>
        </w:rPr>
        <w:t xml:space="preserve">s </w:t>
      </w:r>
      <w:r w:rsidRPr="0077221F">
        <w:rPr>
          <w:rFonts w:cs="Times New Roman"/>
          <w:i/>
          <w:sz w:val="24"/>
          <w:szCs w:val="24"/>
        </w:rPr>
        <w:t>Epitrepontes</w:t>
      </w:r>
      <w:r w:rsidR="004F226C">
        <w:rPr>
          <w:rFonts w:cs="Times New Roman"/>
          <w:sz w:val="24"/>
          <w:szCs w:val="24"/>
        </w:rPr>
        <w:t>.</w:t>
      </w:r>
      <w:r w:rsidRPr="0077221F">
        <w:rPr>
          <w:rFonts w:cs="Times New Roman"/>
          <w:sz w:val="24"/>
          <w:szCs w:val="24"/>
        </w:rPr>
        <w:t xml:space="preserve"> </w:t>
      </w:r>
      <w:r w:rsidRPr="0077221F">
        <w:rPr>
          <w:rFonts w:cs="Times New Roman"/>
          <w:i/>
          <w:sz w:val="24"/>
          <w:szCs w:val="24"/>
        </w:rPr>
        <w:t>TAPA</w:t>
      </w:r>
      <w:r w:rsidRPr="0077221F">
        <w:rPr>
          <w:rFonts w:cs="Times New Roman"/>
          <w:sz w:val="24"/>
          <w:szCs w:val="24"/>
        </w:rPr>
        <w:t xml:space="preserve"> 45: 141-230.</w:t>
      </w:r>
    </w:p>
    <w:p w:rsidR="00DA57EA" w:rsidRPr="0077221F" w:rsidRDefault="009C2BA9" w:rsidP="00566B1D">
      <w:pPr>
        <w:spacing w:after="0" w:line="480" w:lineRule="auto"/>
        <w:ind w:left="567" w:hanging="567"/>
        <w:rPr>
          <w:rFonts w:cs="Times New Roman"/>
          <w:sz w:val="24"/>
          <w:szCs w:val="24"/>
        </w:rPr>
      </w:pPr>
      <w:r w:rsidRPr="0077221F">
        <w:rPr>
          <w:rFonts w:cs="Times New Roman"/>
          <w:sz w:val="24"/>
          <w:szCs w:val="24"/>
        </w:rPr>
        <w:t>de Melo, Wolgang</w:t>
      </w:r>
      <w:r w:rsidR="00566B1D">
        <w:rPr>
          <w:rFonts w:cs="Times New Roman"/>
          <w:sz w:val="24"/>
          <w:szCs w:val="24"/>
        </w:rPr>
        <w:t xml:space="preserve"> D. C.</w:t>
      </w:r>
      <w:r w:rsidR="00DA57EA" w:rsidRPr="0077221F">
        <w:rPr>
          <w:rFonts w:cs="Times New Roman"/>
          <w:sz w:val="24"/>
          <w:szCs w:val="24"/>
        </w:rPr>
        <w:t xml:space="preserve"> 2011. </w:t>
      </w:r>
      <w:r w:rsidR="00DA57EA" w:rsidRPr="0077221F">
        <w:rPr>
          <w:rFonts w:cs="Times New Roman"/>
          <w:i/>
          <w:sz w:val="24"/>
          <w:szCs w:val="24"/>
        </w:rPr>
        <w:t>Plautus. Vol. III</w:t>
      </w:r>
      <w:r w:rsidR="00DA57EA" w:rsidRPr="0077221F">
        <w:rPr>
          <w:rFonts w:cs="Times New Roman"/>
          <w:sz w:val="24"/>
          <w:szCs w:val="24"/>
        </w:rPr>
        <w:t>. Cambridge, Mass. / London.</w:t>
      </w:r>
    </w:p>
    <w:p w:rsidR="00D751BE" w:rsidRPr="0077221F" w:rsidRDefault="009C2BA9" w:rsidP="00566B1D">
      <w:pPr>
        <w:spacing w:after="0" w:line="480" w:lineRule="auto"/>
        <w:ind w:left="567" w:hanging="567"/>
        <w:rPr>
          <w:rFonts w:cs="Times New Roman"/>
          <w:sz w:val="24"/>
          <w:szCs w:val="24"/>
        </w:rPr>
      </w:pPr>
      <w:r w:rsidRPr="0077221F">
        <w:rPr>
          <w:rFonts w:cs="Times New Roman"/>
          <w:sz w:val="24"/>
          <w:szCs w:val="24"/>
        </w:rPr>
        <w:t>Dickey, Eleanor</w:t>
      </w:r>
      <w:r w:rsidR="00566B1D">
        <w:rPr>
          <w:rFonts w:cs="Times New Roman"/>
          <w:sz w:val="24"/>
          <w:szCs w:val="24"/>
        </w:rPr>
        <w:t>.</w:t>
      </w:r>
      <w:r w:rsidR="00D751BE" w:rsidRPr="0077221F">
        <w:rPr>
          <w:rFonts w:cs="Times New Roman"/>
          <w:sz w:val="24"/>
          <w:szCs w:val="24"/>
        </w:rPr>
        <w:t xml:space="preserve"> 1996. </w:t>
      </w:r>
      <w:r w:rsidR="00D751BE" w:rsidRPr="0077221F">
        <w:rPr>
          <w:rFonts w:cs="Times New Roman"/>
          <w:i/>
          <w:sz w:val="24"/>
          <w:szCs w:val="24"/>
        </w:rPr>
        <w:t>Greek Forms of Address from Herodotus to Lucian</w:t>
      </w:r>
      <w:r w:rsidR="00D751BE" w:rsidRPr="0077221F">
        <w:rPr>
          <w:rFonts w:cs="Times New Roman"/>
          <w:sz w:val="24"/>
          <w:szCs w:val="24"/>
        </w:rPr>
        <w:t xml:space="preserve">. Oxford. </w:t>
      </w:r>
    </w:p>
    <w:p w:rsidR="00DA57EA" w:rsidRPr="0077221F" w:rsidRDefault="00566B1D" w:rsidP="00566B1D">
      <w:pPr>
        <w:spacing w:after="0" w:line="480" w:lineRule="auto"/>
        <w:ind w:left="567" w:hanging="567"/>
        <w:rPr>
          <w:rFonts w:cs="Times New Roman"/>
          <w:sz w:val="24"/>
          <w:szCs w:val="24"/>
        </w:rPr>
      </w:pPr>
      <w:r>
        <w:rPr>
          <w:rFonts w:cs="Times New Roman"/>
          <w:sz w:val="24"/>
          <w:szCs w:val="24"/>
        </w:rPr>
        <w:t>—.</w:t>
      </w:r>
      <w:r w:rsidR="00DA57EA" w:rsidRPr="0077221F">
        <w:rPr>
          <w:rFonts w:cs="Times New Roman"/>
          <w:sz w:val="24"/>
          <w:szCs w:val="24"/>
        </w:rPr>
        <w:t xml:space="preserve"> 2002. </w:t>
      </w:r>
      <w:r w:rsidR="00DA57EA" w:rsidRPr="0077221F">
        <w:rPr>
          <w:rFonts w:cs="Times New Roman"/>
          <w:i/>
          <w:sz w:val="24"/>
          <w:szCs w:val="24"/>
        </w:rPr>
        <w:t>Latin Forms of Address from Plautus to Apuleius.</w:t>
      </w:r>
      <w:r w:rsidR="00DA57EA" w:rsidRPr="0077221F">
        <w:rPr>
          <w:rFonts w:cs="Times New Roman"/>
          <w:sz w:val="24"/>
          <w:szCs w:val="24"/>
        </w:rPr>
        <w:t xml:space="preserve"> Oxford.</w:t>
      </w:r>
    </w:p>
    <w:p w:rsidR="000D7961" w:rsidRPr="0077221F" w:rsidRDefault="000D7961" w:rsidP="00566B1D">
      <w:pPr>
        <w:spacing w:after="0" w:line="480" w:lineRule="auto"/>
        <w:ind w:left="567" w:hanging="567"/>
        <w:rPr>
          <w:rFonts w:cs="Times New Roman"/>
          <w:sz w:val="24"/>
          <w:szCs w:val="24"/>
        </w:rPr>
      </w:pPr>
      <w:r w:rsidRPr="0077221F">
        <w:rPr>
          <w:rFonts w:cs="Times New Roman"/>
          <w:sz w:val="24"/>
          <w:szCs w:val="24"/>
        </w:rPr>
        <w:t>D</w:t>
      </w:r>
      <w:r w:rsidR="009C2BA9" w:rsidRPr="0077221F">
        <w:rPr>
          <w:rFonts w:cs="Times New Roman"/>
          <w:sz w:val="24"/>
          <w:szCs w:val="24"/>
        </w:rPr>
        <w:t>ebrunner, Albert</w:t>
      </w:r>
      <w:r w:rsidR="00566B1D">
        <w:rPr>
          <w:rFonts w:cs="Times New Roman"/>
          <w:sz w:val="24"/>
          <w:szCs w:val="24"/>
        </w:rPr>
        <w:t>.</w:t>
      </w:r>
      <w:r w:rsidRPr="0077221F">
        <w:rPr>
          <w:rFonts w:cs="Times New Roman"/>
          <w:sz w:val="24"/>
          <w:szCs w:val="24"/>
        </w:rPr>
        <w:t xml:space="preserve"> 1917. </w:t>
      </w:r>
      <w:r w:rsidRPr="0077221F">
        <w:rPr>
          <w:rFonts w:cs="Times New Roman"/>
          <w:i/>
          <w:sz w:val="24"/>
          <w:szCs w:val="24"/>
        </w:rPr>
        <w:t>Griechische Wortbildungslehre</w:t>
      </w:r>
      <w:r w:rsidRPr="0077221F">
        <w:rPr>
          <w:rFonts w:cs="Times New Roman"/>
          <w:sz w:val="24"/>
          <w:szCs w:val="24"/>
        </w:rPr>
        <w:t>. Heidelberg.</w:t>
      </w:r>
    </w:p>
    <w:p w:rsidR="00F9385C" w:rsidRPr="0077221F" w:rsidRDefault="009C2BA9" w:rsidP="00566B1D">
      <w:pPr>
        <w:spacing w:after="0" w:line="480" w:lineRule="auto"/>
        <w:ind w:left="567" w:hanging="567"/>
        <w:rPr>
          <w:rFonts w:cs="Times New Roman"/>
          <w:sz w:val="24"/>
          <w:szCs w:val="24"/>
        </w:rPr>
      </w:pPr>
      <w:r w:rsidRPr="0077221F">
        <w:rPr>
          <w:rFonts w:cs="Times New Roman"/>
          <w:sz w:val="24"/>
          <w:szCs w:val="24"/>
        </w:rPr>
        <w:t>Fraenkel, Eduard</w:t>
      </w:r>
      <w:r w:rsidR="00566B1D">
        <w:rPr>
          <w:rFonts w:cs="Times New Roman"/>
          <w:sz w:val="24"/>
          <w:szCs w:val="24"/>
        </w:rPr>
        <w:t>.</w:t>
      </w:r>
      <w:r w:rsidR="00F9385C" w:rsidRPr="0077221F">
        <w:rPr>
          <w:rFonts w:cs="Times New Roman"/>
          <w:sz w:val="24"/>
          <w:szCs w:val="24"/>
        </w:rPr>
        <w:t xml:space="preserve"> 1910</w:t>
      </w:r>
      <w:r w:rsidR="004244AE" w:rsidRPr="0077221F">
        <w:rPr>
          <w:rFonts w:cs="Times New Roman"/>
          <w:sz w:val="24"/>
          <w:szCs w:val="24"/>
        </w:rPr>
        <w:t xml:space="preserve">. </w:t>
      </w:r>
      <w:r w:rsidR="004244AE" w:rsidRPr="0077221F">
        <w:rPr>
          <w:rFonts w:cs="Times New Roman"/>
          <w:i/>
          <w:sz w:val="24"/>
          <w:szCs w:val="24"/>
        </w:rPr>
        <w:t>Geschichte der griechischen Nomina Agentis auf –τηρ, –τωρ, –της (-τ-) I</w:t>
      </w:r>
      <w:r w:rsidR="004244AE" w:rsidRPr="0077221F">
        <w:rPr>
          <w:rFonts w:cs="Times New Roman"/>
          <w:sz w:val="24"/>
          <w:szCs w:val="24"/>
        </w:rPr>
        <w:t>. Strasbourg.</w:t>
      </w:r>
    </w:p>
    <w:p w:rsidR="00225373" w:rsidRPr="0077221F" w:rsidRDefault="00566B1D" w:rsidP="00566B1D">
      <w:pPr>
        <w:spacing w:after="0" w:line="480" w:lineRule="auto"/>
        <w:ind w:left="567" w:hanging="567"/>
        <w:rPr>
          <w:rFonts w:cs="Times New Roman"/>
          <w:sz w:val="24"/>
          <w:szCs w:val="24"/>
        </w:rPr>
      </w:pPr>
      <w:r>
        <w:rPr>
          <w:rFonts w:cs="Times New Roman"/>
          <w:sz w:val="24"/>
          <w:szCs w:val="24"/>
        </w:rPr>
        <w:t>Furley, W. D.</w:t>
      </w:r>
      <w:r w:rsidR="00225373" w:rsidRPr="0077221F">
        <w:rPr>
          <w:rFonts w:cs="Times New Roman"/>
          <w:sz w:val="24"/>
          <w:szCs w:val="24"/>
        </w:rPr>
        <w:t xml:space="preserve"> 2009. </w:t>
      </w:r>
      <w:r w:rsidR="00225373" w:rsidRPr="0077221F">
        <w:rPr>
          <w:rFonts w:cs="Times New Roman"/>
          <w:i/>
          <w:sz w:val="24"/>
          <w:szCs w:val="24"/>
        </w:rPr>
        <w:t>Menander:</w:t>
      </w:r>
      <w:r w:rsidR="00225373" w:rsidRPr="0077221F">
        <w:rPr>
          <w:rFonts w:cs="Times New Roman"/>
          <w:sz w:val="24"/>
          <w:szCs w:val="24"/>
        </w:rPr>
        <w:t xml:space="preserve"> Epitrepontes. London.</w:t>
      </w:r>
      <w:r w:rsidR="00ED6C4E" w:rsidRPr="0077221F">
        <w:rPr>
          <w:rFonts w:cs="Times New Roman"/>
          <w:sz w:val="24"/>
          <w:szCs w:val="24"/>
        </w:rPr>
        <w:t xml:space="preserve"> </w:t>
      </w:r>
    </w:p>
    <w:p w:rsidR="00ED6C4E" w:rsidRPr="0077221F" w:rsidRDefault="009C2BA9" w:rsidP="00566B1D">
      <w:pPr>
        <w:spacing w:after="0" w:line="480" w:lineRule="auto"/>
        <w:ind w:left="567" w:hanging="567"/>
        <w:rPr>
          <w:rFonts w:cs="Times New Roman"/>
          <w:sz w:val="24"/>
          <w:szCs w:val="24"/>
        </w:rPr>
      </w:pPr>
      <w:r w:rsidRPr="0077221F">
        <w:rPr>
          <w:rFonts w:cs="Times New Roman"/>
          <w:sz w:val="24"/>
          <w:szCs w:val="24"/>
        </w:rPr>
        <w:t>Ireland, Stanley</w:t>
      </w:r>
      <w:r w:rsidR="00566B1D">
        <w:rPr>
          <w:rFonts w:cs="Times New Roman"/>
          <w:sz w:val="24"/>
          <w:szCs w:val="24"/>
        </w:rPr>
        <w:t>.</w:t>
      </w:r>
      <w:r w:rsidR="00ED6C4E" w:rsidRPr="0077221F">
        <w:rPr>
          <w:rFonts w:cs="Times New Roman"/>
          <w:sz w:val="24"/>
          <w:szCs w:val="24"/>
        </w:rPr>
        <w:t xml:space="preserve"> 2010. </w:t>
      </w:r>
      <w:r w:rsidR="00ED6C4E" w:rsidRPr="0077221F">
        <w:rPr>
          <w:rFonts w:cs="Times New Roman"/>
          <w:i/>
          <w:sz w:val="24"/>
          <w:szCs w:val="24"/>
        </w:rPr>
        <w:t>Menander:</w:t>
      </w:r>
      <w:r w:rsidR="00ED6C4E" w:rsidRPr="0077221F">
        <w:rPr>
          <w:rFonts w:cs="Times New Roman"/>
          <w:sz w:val="24"/>
          <w:szCs w:val="24"/>
        </w:rPr>
        <w:t xml:space="preserve"> The Shield </w:t>
      </w:r>
      <w:r w:rsidR="00ED6C4E" w:rsidRPr="0077221F">
        <w:rPr>
          <w:rFonts w:cs="Times New Roman"/>
          <w:i/>
          <w:sz w:val="24"/>
          <w:szCs w:val="24"/>
        </w:rPr>
        <w:t>and</w:t>
      </w:r>
      <w:r w:rsidR="00ED6C4E" w:rsidRPr="0077221F">
        <w:rPr>
          <w:rFonts w:cs="Times New Roman"/>
          <w:sz w:val="24"/>
          <w:szCs w:val="24"/>
        </w:rPr>
        <w:t xml:space="preserve"> The Arbitration. Oxford.</w:t>
      </w:r>
    </w:p>
    <w:p w:rsidR="00D8594A" w:rsidRPr="0077221F" w:rsidRDefault="009C2BA9" w:rsidP="00566B1D">
      <w:pPr>
        <w:spacing w:after="0" w:line="480" w:lineRule="auto"/>
        <w:ind w:left="567" w:hanging="567"/>
        <w:rPr>
          <w:sz w:val="24"/>
          <w:szCs w:val="24"/>
        </w:rPr>
      </w:pPr>
      <w:r w:rsidRPr="0077221F">
        <w:rPr>
          <w:sz w:val="24"/>
          <w:szCs w:val="24"/>
        </w:rPr>
        <w:t>Jurafsky, David</w:t>
      </w:r>
      <w:r w:rsidR="00566B1D">
        <w:rPr>
          <w:sz w:val="24"/>
          <w:szCs w:val="24"/>
        </w:rPr>
        <w:t>.</w:t>
      </w:r>
      <w:r w:rsidR="00D8594A" w:rsidRPr="0077221F">
        <w:rPr>
          <w:sz w:val="24"/>
          <w:szCs w:val="24"/>
        </w:rPr>
        <w:t xml:space="preserve"> 1996. Universal tendencies in the semantics of the diminutive</w:t>
      </w:r>
      <w:r w:rsidR="004F226C">
        <w:rPr>
          <w:sz w:val="24"/>
          <w:szCs w:val="24"/>
        </w:rPr>
        <w:t>.</w:t>
      </w:r>
      <w:r w:rsidR="00D8594A" w:rsidRPr="0077221F">
        <w:rPr>
          <w:sz w:val="24"/>
          <w:szCs w:val="24"/>
        </w:rPr>
        <w:t xml:space="preserve"> </w:t>
      </w:r>
      <w:r w:rsidR="00D8594A" w:rsidRPr="0077221F">
        <w:rPr>
          <w:i/>
          <w:sz w:val="24"/>
          <w:szCs w:val="24"/>
        </w:rPr>
        <w:t>Language</w:t>
      </w:r>
      <w:r w:rsidR="00D8594A" w:rsidRPr="0077221F">
        <w:rPr>
          <w:sz w:val="24"/>
          <w:szCs w:val="24"/>
        </w:rPr>
        <w:t xml:space="preserve"> 72/3: 533-578</w:t>
      </w:r>
      <w:r w:rsidR="00340F26">
        <w:rPr>
          <w:sz w:val="24"/>
          <w:szCs w:val="24"/>
        </w:rPr>
        <w:t>.</w:t>
      </w:r>
    </w:p>
    <w:p w:rsidR="00F960FE" w:rsidRPr="0077221F" w:rsidRDefault="009C2BA9" w:rsidP="00566B1D">
      <w:pPr>
        <w:spacing w:after="0" w:line="480" w:lineRule="auto"/>
        <w:ind w:left="567" w:hanging="567"/>
        <w:rPr>
          <w:rFonts w:cs="Times New Roman"/>
          <w:sz w:val="24"/>
          <w:szCs w:val="24"/>
        </w:rPr>
      </w:pPr>
      <w:r w:rsidRPr="0077221F">
        <w:rPr>
          <w:rFonts w:cs="Times New Roman"/>
          <w:sz w:val="24"/>
          <w:szCs w:val="24"/>
        </w:rPr>
        <w:lastRenderedPageBreak/>
        <w:t>Krieter-Spiro, Martha</w:t>
      </w:r>
      <w:r w:rsidR="00566B1D">
        <w:rPr>
          <w:rFonts w:cs="Times New Roman"/>
          <w:sz w:val="24"/>
          <w:szCs w:val="24"/>
        </w:rPr>
        <w:t>.</w:t>
      </w:r>
      <w:r w:rsidR="00F960FE" w:rsidRPr="0077221F">
        <w:rPr>
          <w:rFonts w:cs="Times New Roman"/>
          <w:sz w:val="24"/>
          <w:szCs w:val="24"/>
        </w:rPr>
        <w:t xml:space="preserve"> 1997. </w:t>
      </w:r>
      <w:r w:rsidR="00F960FE" w:rsidRPr="0077221F">
        <w:rPr>
          <w:rFonts w:cs="Times New Roman"/>
          <w:i/>
          <w:sz w:val="24"/>
          <w:szCs w:val="24"/>
        </w:rPr>
        <w:t>Sklaven, Köche und Hetären: Das Dienstpersonal bei Menander</w:t>
      </w:r>
      <w:r w:rsidR="00F960FE" w:rsidRPr="0077221F">
        <w:rPr>
          <w:rFonts w:cs="Times New Roman"/>
          <w:sz w:val="24"/>
          <w:szCs w:val="24"/>
        </w:rPr>
        <w:t xml:space="preserve">. Stuttgart / Leipzig. </w:t>
      </w:r>
    </w:p>
    <w:p w:rsidR="00050A27" w:rsidRPr="0077221F" w:rsidRDefault="009C2BA9" w:rsidP="00566B1D">
      <w:pPr>
        <w:spacing w:after="0" w:line="480" w:lineRule="auto"/>
        <w:ind w:left="567" w:hanging="567"/>
        <w:rPr>
          <w:rFonts w:cs="Times New Roman"/>
          <w:sz w:val="24"/>
          <w:szCs w:val="24"/>
        </w:rPr>
      </w:pPr>
      <w:r w:rsidRPr="0077221F">
        <w:rPr>
          <w:rFonts w:cs="Times New Roman"/>
          <w:sz w:val="24"/>
          <w:szCs w:val="24"/>
        </w:rPr>
        <w:t>Leumann, Manu</w:t>
      </w:r>
      <w:r w:rsidR="00566B1D">
        <w:rPr>
          <w:rFonts w:cs="Times New Roman"/>
          <w:sz w:val="24"/>
          <w:szCs w:val="24"/>
        </w:rPr>
        <w:t>.</w:t>
      </w:r>
      <w:r w:rsidR="00050A27" w:rsidRPr="0077221F">
        <w:rPr>
          <w:rFonts w:cs="Times New Roman"/>
          <w:sz w:val="24"/>
          <w:szCs w:val="24"/>
        </w:rPr>
        <w:t xml:space="preserve"> 1977. </w:t>
      </w:r>
      <w:r w:rsidR="00050A27" w:rsidRPr="0077221F">
        <w:rPr>
          <w:rFonts w:cs="Times New Roman"/>
          <w:i/>
          <w:sz w:val="24"/>
          <w:szCs w:val="24"/>
        </w:rPr>
        <w:t>Lateinische Laut- und Formenlehre</w:t>
      </w:r>
      <w:r w:rsidR="00050A27" w:rsidRPr="0077221F">
        <w:rPr>
          <w:rFonts w:cs="Times New Roman"/>
          <w:sz w:val="24"/>
          <w:szCs w:val="24"/>
        </w:rPr>
        <w:t xml:space="preserve">. Munich. </w:t>
      </w:r>
    </w:p>
    <w:p w:rsidR="00DA57EA" w:rsidRPr="0077221F" w:rsidRDefault="009C2BA9" w:rsidP="00566B1D">
      <w:pPr>
        <w:spacing w:after="0" w:line="480" w:lineRule="auto"/>
        <w:ind w:left="567" w:hanging="567"/>
        <w:rPr>
          <w:rFonts w:cs="Times New Roman"/>
          <w:sz w:val="24"/>
          <w:szCs w:val="24"/>
        </w:rPr>
      </w:pPr>
      <w:r w:rsidRPr="0077221F">
        <w:rPr>
          <w:rFonts w:cs="Times New Roman"/>
          <w:sz w:val="24"/>
          <w:szCs w:val="24"/>
        </w:rPr>
        <w:t>Martina, Antonio</w:t>
      </w:r>
      <w:r w:rsidR="00566B1D">
        <w:rPr>
          <w:rFonts w:cs="Times New Roman"/>
          <w:sz w:val="24"/>
          <w:szCs w:val="24"/>
        </w:rPr>
        <w:t>.</w:t>
      </w:r>
      <w:r w:rsidR="00ED6C4E" w:rsidRPr="0077221F">
        <w:rPr>
          <w:rFonts w:cs="Times New Roman"/>
          <w:sz w:val="24"/>
          <w:szCs w:val="24"/>
        </w:rPr>
        <w:t xml:space="preserve"> </w:t>
      </w:r>
      <w:r w:rsidR="00DA57EA" w:rsidRPr="0077221F">
        <w:rPr>
          <w:rFonts w:cs="Times New Roman"/>
          <w:sz w:val="24"/>
          <w:szCs w:val="24"/>
        </w:rPr>
        <w:t>1997</w:t>
      </w:r>
      <w:r w:rsidR="007A720F" w:rsidRPr="0077221F">
        <w:rPr>
          <w:rFonts w:cs="Times New Roman"/>
          <w:sz w:val="24"/>
          <w:szCs w:val="24"/>
        </w:rPr>
        <w:t>-2002</w:t>
      </w:r>
      <w:r w:rsidR="00ED6C4E" w:rsidRPr="0077221F">
        <w:rPr>
          <w:rFonts w:cs="Times New Roman"/>
          <w:sz w:val="24"/>
          <w:szCs w:val="24"/>
        </w:rPr>
        <w:t xml:space="preserve">. </w:t>
      </w:r>
      <w:r w:rsidR="00ED6C4E" w:rsidRPr="0077221F">
        <w:rPr>
          <w:rFonts w:cs="Times New Roman"/>
          <w:i/>
          <w:sz w:val="24"/>
          <w:szCs w:val="24"/>
        </w:rPr>
        <w:t xml:space="preserve">Menandri </w:t>
      </w:r>
      <w:r w:rsidR="00ED6C4E" w:rsidRPr="0077221F">
        <w:rPr>
          <w:rFonts w:cs="Times New Roman"/>
          <w:sz w:val="24"/>
          <w:szCs w:val="24"/>
        </w:rPr>
        <w:t>Epitrepontes.</w:t>
      </w:r>
      <w:r w:rsidR="00804B94">
        <w:rPr>
          <w:rFonts w:cs="Times New Roman"/>
          <w:sz w:val="24"/>
          <w:szCs w:val="24"/>
        </w:rPr>
        <w:t xml:space="preserve"> Rome.</w:t>
      </w:r>
    </w:p>
    <w:p w:rsidR="00AB14DB" w:rsidRPr="0077221F" w:rsidRDefault="00AB14DB" w:rsidP="00566B1D">
      <w:pPr>
        <w:spacing w:after="0" w:line="480" w:lineRule="auto"/>
        <w:ind w:left="567" w:hanging="567"/>
        <w:rPr>
          <w:rFonts w:cs="Times New Roman"/>
          <w:sz w:val="24"/>
          <w:szCs w:val="24"/>
        </w:rPr>
      </w:pPr>
      <w:r w:rsidRPr="0077221F">
        <w:rPr>
          <w:rFonts w:cs="Times New Roman"/>
          <w:sz w:val="24"/>
          <w:szCs w:val="24"/>
        </w:rPr>
        <w:t>M</w:t>
      </w:r>
      <w:r w:rsidR="009C2BA9" w:rsidRPr="0077221F">
        <w:rPr>
          <w:rFonts w:cs="Times New Roman"/>
          <w:sz w:val="24"/>
          <w:szCs w:val="24"/>
        </w:rPr>
        <w:t>arx, Friedrich</w:t>
      </w:r>
      <w:r w:rsidRPr="0077221F">
        <w:rPr>
          <w:rFonts w:cs="Times New Roman"/>
          <w:sz w:val="24"/>
          <w:szCs w:val="24"/>
        </w:rPr>
        <w:t xml:space="preserve">, 1904-5. </w:t>
      </w:r>
      <w:r w:rsidRPr="0077221F">
        <w:rPr>
          <w:rFonts w:cs="Times New Roman"/>
          <w:i/>
          <w:sz w:val="24"/>
          <w:szCs w:val="24"/>
        </w:rPr>
        <w:t>C. Lucilii carminum reliquiae</w:t>
      </w:r>
      <w:r w:rsidRPr="0077221F">
        <w:rPr>
          <w:rFonts w:cs="Times New Roman"/>
          <w:sz w:val="24"/>
          <w:szCs w:val="24"/>
        </w:rPr>
        <w:t>. 2 vols. Leipzig.</w:t>
      </w:r>
    </w:p>
    <w:p w:rsidR="00D8594A" w:rsidRPr="0077221F" w:rsidRDefault="009C2BA9" w:rsidP="00566B1D">
      <w:pPr>
        <w:spacing w:after="0" w:line="480" w:lineRule="auto"/>
        <w:ind w:left="567" w:hanging="567"/>
        <w:rPr>
          <w:rFonts w:cs="Times New Roman"/>
          <w:sz w:val="24"/>
          <w:szCs w:val="24"/>
        </w:rPr>
      </w:pPr>
      <w:r w:rsidRPr="0077221F">
        <w:rPr>
          <w:rFonts w:cs="Times New Roman"/>
          <w:sz w:val="24"/>
          <w:szCs w:val="24"/>
        </w:rPr>
        <w:t>Matthews, P.</w:t>
      </w:r>
      <w:r w:rsidR="00566B1D">
        <w:rPr>
          <w:rFonts w:cs="Times New Roman"/>
          <w:sz w:val="24"/>
          <w:szCs w:val="24"/>
        </w:rPr>
        <w:t xml:space="preserve"> H.</w:t>
      </w:r>
      <w:r w:rsidR="00D8594A" w:rsidRPr="0077221F">
        <w:rPr>
          <w:rFonts w:cs="Times New Roman"/>
          <w:sz w:val="24"/>
          <w:szCs w:val="24"/>
        </w:rPr>
        <w:t xml:space="preserve"> 1991. </w:t>
      </w:r>
      <w:r w:rsidR="00D8594A" w:rsidRPr="0077221F">
        <w:rPr>
          <w:rFonts w:cs="Times New Roman"/>
          <w:i/>
          <w:sz w:val="24"/>
          <w:szCs w:val="24"/>
        </w:rPr>
        <w:t>Morphology</w:t>
      </w:r>
      <w:r w:rsidR="00D8594A" w:rsidRPr="0077221F">
        <w:rPr>
          <w:rFonts w:cs="Times New Roman"/>
          <w:sz w:val="24"/>
          <w:szCs w:val="24"/>
        </w:rPr>
        <w:t xml:space="preserve"> (2</w:t>
      </w:r>
      <w:r w:rsidR="00D8594A" w:rsidRPr="0077221F">
        <w:rPr>
          <w:rFonts w:cs="Times New Roman"/>
          <w:sz w:val="24"/>
          <w:szCs w:val="24"/>
          <w:vertAlign w:val="superscript"/>
        </w:rPr>
        <w:t>nd</w:t>
      </w:r>
      <w:r w:rsidR="00D8594A" w:rsidRPr="0077221F">
        <w:rPr>
          <w:rFonts w:cs="Times New Roman"/>
          <w:sz w:val="24"/>
          <w:szCs w:val="24"/>
        </w:rPr>
        <w:t xml:space="preserve"> ed.). Cambridge.</w:t>
      </w:r>
    </w:p>
    <w:p w:rsidR="00ED6C4E" w:rsidRPr="0077221F" w:rsidRDefault="009C2BA9" w:rsidP="00566B1D">
      <w:pPr>
        <w:spacing w:after="0" w:line="480" w:lineRule="auto"/>
        <w:ind w:left="567" w:hanging="567"/>
        <w:rPr>
          <w:rFonts w:cs="Times New Roman"/>
          <w:sz w:val="24"/>
          <w:szCs w:val="24"/>
        </w:rPr>
      </w:pPr>
      <w:r w:rsidRPr="0077221F">
        <w:rPr>
          <w:rFonts w:cs="Times New Roman"/>
          <w:sz w:val="24"/>
          <w:szCs w:val="24"/>
        </w:rPr>
        <w:t>Miller, N</w:t>
      </w:r>
      <w:r w:rsidR="00566B1D">
        <w:rPr>
          <w:rFonts w:cs="Times New Roman"/>
          <w:sz w:val="24"/>
          <w:szCs w:val="24"/>
        </w:rPr>
        <w:t xml:space="preserve">orma. </w:t>
      </w:r>
      <w:r w:rsidR="00ED6C4E" w:rsidRPr="0077221F">
        <w:rPr>
          <w:rFonts w:cs="Times New Roman"/>
          <w:sz w:val="24"/>
          <w:szCs w:val="24"/>
        </w:rPr>
        <w:t xml:space="preserve">1987. </w:t>
      </w:r>
      <w:r w:rsidR="00ED6C4E" w:rsidRPr="0077221F">
        <w:rPr>
          <w:rFonts w:cs="Times New Roman"/>
          <w:i/>
          <w:sz w:val="24"/>
          <w:szCs w:val="24"/>
        </w:rPr>
        <w:t>Menander. Plays and Fragments</w:t>
      </w:r>
      <w:r w:rsidR="00ED6C4E" w:rsidRPr="0077221F">
        <w:rPr>
          <w:rFonts w:cs="Times New Roman"/>
          <w:sz w:val="24"/>
          <w:szCs w:val="24"/>
        </w:rPr>
        <w:t>. London.</w:t>
      </w:r>
    </w:p>
    <w:p w:rsidR="00225373" w:rsidRPr="0077221F" w:rsidRDefault="009C2BA9" w:rsidP="00566B1D">
      <w:pPr>
        <w:spacing w:after="0" w:line="480" w:lineRule="auto"/>
        <w:ind w:left="567" w:hanging="567"/>
        <w:rPr>
          <w:rFonts w:cs="Times New Roman"/>
          <w:sz w:val="24"/>
          <w:szCs w:val="24"/>
        </w:rPr>
      </w:pPr>
      <w:r w:rsidRPr="0077221F">
        <w:rPr>
          <w:rFonts w:cs="Times New Roman"/>
          <w:sz w:val="24"/>
          <w:szCs w:val="24"/>
        </w:rPr>
        <w:t>Murray, Gilbert</w:t>
      </w:r>
      <w:r w:rsidR="00566B1D">
        <w:rPr>
          <w:rFonts w:cs="Times New Roman"/>
          <w:sz w:val="24"/>
          <w:szCs w:val="24"/>
        </w:rPr>
        <w:t>.</w:t>
      </w:r>
      <w:r w:rsidR="00ED6C4E" w:rsidRPr="0077221F">
        <w:rPr>
          <w:rFonts w:cs="Times New Roman"/>
          <w:sz w:val="24"/>
          <w:szCs w:val="24"/>
        </w:rPr>
        <w:t xml:space="preserve"> 1945.</w:t>
      </w:r>
      <w:r w:rsidR="00225373" w:rsidRPr="0077221F">
        <w:rPr>
          <w:rFonts w:cs="Times New Roman"/>
          <w:sz w:val="24"/>
          <w:szCs w:val="24"/>
        </w:rPr>
        <w:t xml:space="preserve"> </w:t>
      </w:r>
      <w:r w:rsidR="00225373" w:rsidRPr="0077221F">
        <w:rPr>
          <w:rFonts w:cs="Times New Roman"/>
          <w:i/>
          <w:sz w:val="24"/>
          <w:szCs w:val="24"/>
        </w:rPr>
        <w:t>The Arbitration</w:t>
      </w:r>
      <w:r w:rsidR="00225373" w:rsidRPr="0077221F">
        <w:rPr>
          <w:rFonts w:cs="Times New Roman"/>
          <w:sz w:val="24"/>
          <w:szCs w:val="24"/>
        </w:rPr>
        <w:t xml:space="preserve">. </w:t>
      </w:r>
      <w:r w:rsidR="00ED6C4E" w:rsidRPr="0077221F">
        <w:rPr>
          <w:rFonts w:cs="Times New Roman"/>
          <w:sz w:val="24"/>
          <w:szCs w:val="24"/>
        </w:rPr>
        <w:t>London.</w:t>
      </w:r>
    </w:p>
    <w:p w:rsidR="00D8594A" w:rsidRPr="0077221F" w:rsidRDefault="009C2BA9" w:rsidP="00566B1D">
      <w:pPr>
        <w:spacing w:after="0" w:line="480" w:lineRule="auto"/>
        <w:ind w:left="567" w:hanging="567"/>
        <w:rPr>
          <w:rFonts w:cs="Times New Roman"/>
          <w:sz w:val="24"/>
          <w:szCs w:val="24"/>
        </w:rPr>
      </w:pPr>
      <w:r w:rsidRPr="0077221F">
        <w:rPr>
          <w:rFonts w:cs="Times New Roman"/>
          <w:sz w:val="24"/>
          <w:szCs w:val="24"/>
        </w:rPr>
        <w:t>Plag, Ingo</w:t>
      </w:r>
      <w:r w:rsidR="00566B1D">
        <w:rPr>
          <w:rFonts w:cs="Times New Roman"/>
          <w:sz w:val="24"/>
          <w:szCs w:val="24"/>
        </w:rPr>
        <w:t>.</w:t>
      </w:r>
      <w:r w:rsidR="00132040" w:rsidRPr="0077221F">
        <w:rPr>
          <w:rFonts w:cs="Times New Roman"/>
          <w:sz w:val="24"/>
          <w:szCs w:val="24"/>
        </w:rPr>
        <w:t xml:space="preserve"> 2003</w:t>
      </w:r>
      <w:r w:rsidR="00D8594A" w:rsidRPr="0077221F">
        <w:rPr>
          <w:rFonts w:cs="Times New Roman"/>
          <w:sz w:val="24"/>
          <w:szCs w:val="24"/>
        </w:rPr>
        <w:t xml:space="preserve">. </w:t>
      </w:r>
      <w:r w:rsidR="00D8594A" w:rsidRPr="0077221F">
        <w:rPr>
          <w:rFonts w:cs="Times New Roman"/>
          <w:i/>
          <w:sz w:val="24"/>
          <w:szCs w:val="24"/>
        </w:rPr>
        <w:t>Word-Formation in English</w:t>
      </w:r>
      <w:r w:rsidR="00D8594A" w:rsidRPr="0077221F">
        <w:rPr>
          <w:rFonts w:cs="Times New Roman"/>
          <w:sz w:val="24"/>
          <w:szCs w:val="24"/>
        </w:rPr>
        <w:t>. Cambridge.</w:t>
      </w:r>
    </w:p>
    <w:p w:rsidR="00132040" w:rsidRPr="0077221F" w:rsidRDefault="00132040" w:rsidP="00566B1D">
      <w:pPr>
        <w:spacing w:after="0" w:line="480" w:lineRule="auto"/>
        <w:ind w:left="567" w:hanging="567"/>
        <w:rPr>
          <w:rFonts w:cs="Times New Roman"/>
          <w:sz w:val="24"/>
          <w:szCs w:val="24"/>
        </w:rPr>
      </w:pPr>
      <w:r w:rsidRPr="0077221F">
        <w:rPr>
          <w:rFonts w:cs="Times New Roman"/>
          <w:sz w:val="24"/>
          <w:szCs w:val="24"/>
        </w:rPr>
        <w:t>P</w:t>
      </w:r>
      <w:r w:rsidR="009C2BA9" w:rsidRPr="0077221F">
        <w:rPr>
          <w:rFonts w:cs="Times New Roman"/>
          <w:sz w:val="24"/>
          <w:szCs w:val="24"/>
        </w:rPr>
        <w:t>rato, Carlo,</w:t>
      </w:r>
      <w:r w:rsidRPr="0077221F">
        <w:rPr>
          <w:rFonts w:cs="Times New Roman"/>
          <w:sz w:val="24"/>
          <w:szCs w:val="24"/>
        </w:rPr>
        <w:t xml:space="preserve"> Giannini</w:t>
      </w:r>
      <w:r w:rsidR="009C2BA9" w:rsidRPr="0077221F">
        <w:rPr>
          <w:rFonts w:cs="Times New Roman"/>
          <w:sz w:val="24"/>
          <w:szCs w:val="24"/>
        </w:rPr>
        <w:t xml:space="preserve">, Pietro, </w:t>
      </w:r>
      <w:r w:rsidRPr="0077221F">
        <w:rPr>
          <w:rFonts w:cs="Times New Roman"/>
          <w:sz w:val="24"/>
          <w:szCs w:val="24"/>
        </w:rPr>
        <w:t>Pallara</w:t>
      </w:r>
      <w:r w:rsidR="009C2BA9" w:rsidRPr="0077221F">
        <w:rPr>
          <w:rFonts w:cs="Times New Roman"/>
          <w:sz w:val="24"/>
          <w:szCs w:val="24"/>
        </w:rPr>
        <w:t xml:space="preserve">, Erasmo, </w:t>
      </w:r>
      <w:r w:rsidRPr="0077221F">
        <w:rPr>
          <w:rFonts w:cs="Times New Roman"/>
          <w:sz w:val="24"/>
          <w:szCs w:val="24"/>
        </w:rPr>
        <w:t>Sardiello</w:t>
      </w:r>
      <w:r w:rsidR="009C2BA9" w:rsidRPr="0077221F">
        <w:rPr>
          <w:rFonts w:cs="Times New Roman"/>
          <w:sz w:val="24"/>
          <w:szCs w:val="24"/>
        </w:rPr>
        <w:t>, Rosanna</w:t>
      </w:r>
      <w:r w:rsidRPr="0077221F">
        <w:rPr>
          <w:rFonts w:cs="Times New Roman"/>
          <w:sz w:val="24"/>
          <w:szCs w:val="24"/>
        </w:rPr>
        <w:t xml:space="preserve">, </w:t>
      </w:r>
      <w:r w:rsidR="009C2BA9" w:rsidRPr="0077221F">
        <w:rPr>
          <w:rFonts w:cs="Times New Roman"/>
          <w:sz w:val="24"/>
          <w:szCs w:val="24"/>
        </w:rPr>
        <w:t>and</w:t>
      </w:r>
      <w:r w:rsidRPr="0077221F">
        <w:rPr>
          <w:rFonts w:cs="Times New Roman"/>
          <w:sz w:val="24"/>
          <w:szCs w:val="24"/>
        </w:rPr>
        <w:t xml:space="preserve"> Marzotta</w:t>
      </w:r>
      <w:r w:rsidR="009C2BA9" w:rsidRPr="0077221F">
        <w:rPr>
          <w:rFonts w:cs="Times New Roman"/>
          <w:sz w:val="24"/>
          <w:szCs w:val="24"/>
        </w:rPr>
        <w:t>, Luigina</w:t>
      </w:r>
      <w:r w:rsidR="00566B1D">
        <w:rPr>
          <w:rFonts w:cs="Times New Roman"/>
          <w:sz w:val="24"/>
          <w:szCs w:val="24"/>
        </w:rPr>
        <w:t>.</w:t>
      </w:r>
      <w:r w:rsidRPr="0077221F">
        <w:rPr>
          <w:rFonts w:cs="Times New Roman"/>
          <w:sz w:val="24"/>
          <w:szCs w:val="24"/>
        </w:rPr>
        <w:t xml:space="preserve"> 1983. </w:t>
      </w:r>
      <w:r w:rsidRPr="0077221F">
        <w:rPr>
          <w:rFonts w:cs="Times New Roman"/>
          <w:i/>
          <w:sz w:val="24"/>
          <w:szCs w:val="24"/>
        </w:rPr>
        <w:t>Ricerche sul trimetro di Menandro: metro e verso</w:t>
      </w:r>
      <w:r w:rsidRPr="0077221F">
        <w:rPr>
          <w:rFonts w:cs="Times New Roman"/>
          <w:sz w:val="24"/>
          <w:szCs w:val="24"/>
        </w:rPr>
        <w:t xml:space="preserve">. </w:t>
      </w:r>
      <w:r w:rsidR="003F65B6" w:rsidRPr="0077221F">
        <w:rPr>
          <w:rFonts w:cs="Times New Roman"/>
          <w:sz w:val="24"/>
          <w:szCs w:val="24"/>
        </w:rPr>
        <w:t>Rome.</w:t>
      </w:r>
    </w:p>
    <w:p w:rsidR="00DA57EA" w:rsidRPr="0077221F" w:rsidRDefault="009C2BA9" w:rsidP="00566B1D">
      <w:pPr>
        <w:spacing w:after="0" w:line="480" w:lineRule="auto"/>
        <w:ind w:left="567" w:hanging="567"/>
        <w:rPr>
          <w:rFonts w:cs="Times New Roman"/>
          <w:sz w:val="24"/>
          <w:szCs w:val="24"/>
        </w:rPr>
      </w:pPr>
      <w:r w:rsidRPr="0077221F">
        <w:rPr>
          <w:rFonts w:cs="Times New Roman"/>
          <w:sz w:val="24"/>
          <w:szCs w:val="24"/>
        </w:rPr>
        <w:t>Schwyzer, Eduard</w:t>
      </w:r>
      <w:r w:rsidR="00566B1D">
        <w:rPr>
          <w:rFonts w:cs="Times New Roman"/>
          <w:sz w:val="24"/>
          <w:szCs w:val="24"/>
        </w:rPr>
        <w:t>.</w:t>
      </w:r>
      <w:r w:rsidR="00DA57EA" w:rsidRPr="0077221F">
        <w:rPr>
          <w:rFonts w:cs="Times New Roman"/>
          <w:sz w:val="24"/>
          <w:szCs w:val="24"/>
        </w:rPr>
        <w:t xml:space="preserve"> 1939. </w:t>
      </w:r>
      <w:r w:rsidR="00DA57EA" w:rsidRPr="0077221F">
        <w:rPr>
          <w:rFonts w:cs="Times New Roman"/>
          <w:i/>
          <w:sz w:val="24"/>
          <w:szCs w:val="24"/>
        </w:rPr>
        <w:t>Griechische Grammatik</w:t>
      </w:r>
      <w:r w:rsidR="000D7961" w:rsidRPr="0077221F">
        <w:rPr>
          <w:rFonts w:cs="Times New Roman"/>
          <w:i/>
          <w:sz w:val="24"/>
          <w:szCs w:val="24"/>
        </w:rPr>
        <w:t xml:space="preserve">. Erster Band. </w:t>
      </w:r>
      <w:r w:rsidR="000D7961" w:rsidRPr="0077221F">
        <w:rPr>
          <w:rFonts w:cs="Times New Roman"/>
          <w:sz w:val="24"/>
          <w:szCs w:val="24"/>
        </w:rPr>
        <w:t>Munich.</w:t>
      </w:r>
    </w:p>
    <w:p w:rsidR="000D7961" w:rsidRPr="0077221F" w:rsidRDefault="000D7961" w:rsidP="00566B1D">
      <w:pPr>
        <w:spacing w:after="0" w:line="480" w:lineRule="auto"/>
        <w:ind w:left="567" w:hanging="567"/>
        <w:rPr>
          <w:rFonts w:cs="Times New Roman"/>
          <w:sz w:val="24"/>
          <w:szCs w:val="24"/>
        </w:rPr>
      </w:pPr>
      <w:r w:rsidRPr="0077221F">
        <w:rPr>
          <w:rFonts w:cs="Times New Roman"/>
          <w:sz w:val="24"/>
          <w:szCs w:val="24"/>
        </w:rPr>
        <w:t>Theodoridis</w:t>
      </w:r>
      <w:r w:rsidR="00295C47" w:rsidRPr="0077221F">
        <w:rPr>
          <w:rFonts w:cs="Times New Roman"/>
          <w:sz w:val="24"/>
          <w:szCs w:val="24"/>
        </w:rPr>
        <w:t xml:space="preserve">, </w:t>
      </w:r>
      <w:r w:rsidR="009C2BA9" w:rsidRPr="0077221F">
        <w:rPr>
          <w:sz w:val="24"/>
          <w:szCs w:val="24"/>
        </w:rPr>
        <w:t>Christos</w:t>
      </w:r>
      <w:r w:rsidR="00566B1D">
        <w:rPr>
          <w:sz w:val="24"/>
          <w:szCs w:val="24"/>
        </w:rPr>
        <w:t>.</w:t>
      </w:r>
      <w:r w:rsidR="00295C47" w:rsidRPr="0077221F">
        <w:rPr>
          <w:sz w:val="24"/>
          <w:szCs w:val="24"/>
        </w:rPr>
        <w:t xml:space="preserve"> 1975. ΑΠΦΑΡΙΟΝ: Ein neues Wort für Menander</w:t>
      </w:r>
      <w:r w:rsidR="004F226C">
        <w:rPr>
          <w:sz w:val="24"/>
          <w:szCs w:val="24"/>
        </w:rPr>
        <w:t>.</w:t>
      </w:r>
      <w:r w:rsidR="00295C47" w:rsidRPr="0077221F">
        <w:rPr>
          <w:sz w:val="24"/>
          <w:szCs w:val="24"/>
        </w:rPr>
        <w:t xml:space="preserve"> </w:t>
      </w:r>
      <w:r w:rsidR="00295C47" w:rsidRPr="0077221F">
        <w:rPr>
          <w:i/>
          <w:sz w:val="24"/>
          <w:szCs w:val="24"/>
        </w:rPr>
        <w:t>Philologus</w:t>
      </w:r>
      <w:r w:rsidR="00295C47" w:rsidRPr="0077221F">
        <w:rPr>
          <w:sz w:val="24"/>
          <w:szCs w:val="24"/>
        </w:rPr>
        <w:t xml:space="preserve"> 119: 259-61.</w:t>
      </w:r>
    </w:p>
    <w:p w:rsidR="00225373" w:rsidRPr="0077221F" w:rsidRDefault="009C2BA9" w:rsidP="00566B1D">
      <w:pPr>
        <w:spacing w:after="0" w:line="480" w:lineRule="auto"/>
        <w:ind w:left="567" w:hanging="567"/>
        <w:rPr>
          <w:sz w:val="24"/>
          <w:szCs w:val="24"/>
        </w:rPr>
      </w:pPr>
      <w:r w:rsidRPr="0077221F">
        <w:rPr>
          <w:rFonts w:cs="Times New Roman"/>
          <w:sz w:val="24"/>
          <w:szCs w:val="24"/>
        </w:rPr>
        <w:t>Wilamowitz-Moellendorf, Ulrich</w:t>
      </w:r>
      <w:r w:rsidR="00566B1D">
        <w:rPr>
          <w:rFonts w:cs="Times New Roman"/>
          <w:sz w:val="24"/>
          <w:szCs w:val="24"/>
        </w:rPr>
        <w:t xml:space="preserve"> von.</w:t>
      </w:r>
      <w:r w:rsidR="00225373" w:rsidRPr="0077221F">
        <w:rPr>
          <w:sz w:val="24"/>
          <w:szCs w:val="24"/>
        </w:rPr>
        <w:t xml:space="preserve"> 1925. </w:t>
      </w:r>
      <w:r w:rsidR="00225373" w:rsidRPr="0077221F">
        <w:rPr>
          <w:i/>
          <w:sz w:val="24"/>
          <w:szCs w:val="24"/>
        </w:rPr>
        <w:t>Das Schiedsgericht.</w:t>
      </w:r>
      <w:r w:rsidR="00225373" w:rsidRPr="0077221F">
        <w:rPr>
          <w:sz w:val="24"/>
          <w:szCs w:val="24"/>
        </w:rPr>
        <w:t xml:space="preserve"> Berlin.</w:t>
      </w:r>
    </w:p>
    <w:p w:rsidR="00225373" w:rsidRPr="0077221F" w:rsidRDefault="009C2BA9" w:rsidP="00566B1D">
      <w:pPr>
        <w:spacing w:after="0" w:line="480" w:lineRule="auto"/>
        <w:ind w:left="567" w:hanging="567"/>
        <w:rPr>
          <w:rFonts w:cs="Times New Roman"/>
          <w:sz w:val="24"/>
          <w:szCs w:val="24"/>
        </w:rPr>
      </w:pPr>
      <w:r w:rsidRPr="0077221F">
        <w:rPr>
          <w:rFonts w:cs="Times New Roman"/>
          <w:sz w:val="24"/>
          <w:szCs w:val="24"/>
        </w:rPr>
        <w:t>Woytek, Erich</w:t>
      </w:r>
      <w:r w:rsidR="00566B1D">
        <w:rPr>
          <w:rFonts w:cs="Times New Roman"/>
          <w:sz w:val="24"/>
          <w:szCs w:val="24"/>
        </w:rPr>
        <w:t>.</w:t>
      </w:r>
      <w:r w:rsidR="00DA57EA" w:rsidRPr="0077221F">
        <w:rPr>
          <w:rFonts w:cs="Times New Roman"/>
          <w:sz w:val="24"/>
          <w:szCs w:val="24"/>
        </w:rPr>
        <w:t xml:space="preserve"> 1982. </w:t>
      </w:r>
      <w:r w:rsidR="00DA57EA" w:rsidRPr="0077221F">
        <w:rPr>
          <w:rFonts w:cs="Times New Roman"/>
          <w:i/>
          <w:sz w:val="24"/>
          <w:szCs w:val="24"/>
        </w:rPr>
        <w:t xml:space="preserve">T. Maccius Plautus, </w:t>
      </w:r>
      <w:r w:rsidR="00DA57EA" w:rsidRPr="0077221F">
        <w:rPr>
          <w:rFonts w:cs="Times New Roman"/>
          <w:sz w:val="24"/>
          <w:szCs w:val="24"/>
        </w:rPr>
        <w:t>Persa</w:t>
      </w:r>
      <w:r w:rsidR="00DA57EA" w:rsidRPr="0077221F">
        <w:rPr>
          <w:rFonts w:cs="Times New Roman"/>
          <w:i/>
          <w:sz w:val="24"/>
          <w:szCs w:val="24"/>
        </w:rPr>
        <w:t>: Einleitung, Text und Kommentar</w:t>
      </w:r>
      <w:r w:rsidR="00DA57EA" w:rsidRPr="0077221F">
        <w:rPr>
          <w:rFonts w:cs="Times New Roman"/>
          <w:sz w:val="24"/>
          <w:szCs w:val="24"/>
        </w:rPr>
        <w:t>. Vienna.</w:t>
      </w:r>
    </w:p>
    <w:p w:rsidR="000A5FF1" w:rsidRDefault="000A5FF1" w:rsidP="007F0F61">
      <w:pPr>
        <w:spacing w:after="0"/>
        <w:rPr>
          <w:rFonts w:cs="Times New Roman"/>
          <w:sz w:val="24"/>
          <w:szCs w:val="24"/>
        </w:rPr>
      </w:pPr>
      <w:r>
        <w:rPr>
          <w:rFonts w:cs="Times New Roman"/>
          <w:sz w:val="24"/>
          <w:szCs w:val="24"/>
        </w:rPr>
        <w:br w:type="page"/>
      </w:r>
    </w:p>
    <w:sectPr w:rsidR="000A5FF1" w:rsidSect="006038C0">
      <w:footerReference w:type="default" r:id="rId9"/>
      <w:endnotePr>
        <w:numFmt w:val="decimal"/>
      </w:endnotePr>
      <w:pgSz w:w="11906" w:h="16838"/>
      <w:pgMar w:top="1440" w:right="1841" w:bottom="144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836" w:rsidRDefault="004A1836" w:rsidP="00E62769">
      <w:pPr>
        <w:spacing w:after="0" w:line="240" w:lineRule="auto"/>
      </w:pPr>
      <w:r>
        <w:separator/>
      </w:r>
    </w:p>
  </w:endnote>
  <w:endnote w:type="continuationSeparator" w:id="0">
    <w:p w:rsidR="004A1836" w:rsidRDefault="004A1836" w:rsidP="00E62769">
      <w:pPr>
        <w:spacing w:after="0" w:line="240" w:lineRule="auto"/>
      </w:pPr>
      <w:r>
        <w:continuationSeparator/>
      </w:r>
    </w:p>
  </w:endnote>
  <w:endnote w:id="1">
    <w:p w:rsidR="00B66BCB" w:rsidRDefault="00B66BCB" w:rsidP="00B66BCB">
      <w:pPr>
        <w:pStyle w:val="EndnoteText"/>
        <w:spacing w:line="480" w:lineRule="auto"/>
      </w:pPr>
      <w:r w:rsidRPr="00B66BCB">
        <w:rPr>
          <w:sz w:val="24"/>
          <w:szCs w:val="24"/>
        </w:rPr>
        <w:t xml:space="preserve">* </w:t>
      </w:r>
      <w:r>
        <w:rPr>
          <w:sz w:val="24"/>
          <w:szCs w:val="24"/>
        </w:rPr>
        <w:t>My thanks to Wolfgang de Melo for discussion of this article at an early stage, and to the helpful comments of the anonymous reviewer. All translations are my own, unless otherwise indicated.</w:t>
      </w:r>
    </w:p>
  </w:endnote>
  <w:endnote w:id="2">
    <w:p w:rsidR="00986324" w:rsidRPr="003A52F8" w:rsidRDefault="00986324" w:rsidP="00986324">
      <w:pPr>
        <w:pStyle w:val="EndnoteText"/>
        <w:spacing w:line="480" w:lineRule="auto"/>
        <w:rPr>
          <w:rFonts w:cs="Times New Roman"/>
          <w:sz w:val="24"/>
          <w:szCs w:val="24"/>
        </w:rPr>
      </w:pPr>
      <w:r w:rsidRPr="003A52F8">
        <w:rPr>
          <w:rStyle w:val="EndnoteReference"/>
          <w:sz w:val="24"/>
          <w:szCs w:val="24"/>
        </w:rPr>
        <w:endnoteRef/>
      </w:r>
      <w:r w:rsidRPr="003A52F8">
        <w:rPr>
          <w:sz w:val="24"/>
          <w:szCs w:val="24"/>
        </w:rPr>
        <w:t xml:space="preserve"> The only parallel I have found is Greg. Naz. 40. 393. But this reflects an extremely productive metaphor in Christian writers (see</w:t>
      </w:r>
      <w:r w:rsidRPr="003A52F8">
        <w:rPr>
          <w:rFonts w:cs="Times New Roman"/>
          <w:sz w:val="24"/>
          <w:szCs w:val="24"/>
        </w:rPr>
        <w:t xml:space="preserve"> n.</w:t>
      </w:r>
      <w:r w:rsidRPr="003A52F8">
        <w:rPr>
          <w:rFonts w:cs="Times New Roman"/>
          <w:sz w:val="24"/>
          <w:szCs w:val="24"/>
        </w:rPr>
        <w:fldChar w:fldCharType="begin"/>
      </w:r>
      <w:r w:rsidRPr="003A52F8">
        <w:rPr>
          <w:rFonts w:cs="Times New Roman"/>
          <w:sz w:val="24"/>
          <w:szCs w:val="24"/>
        </w:rPr>
        <w:instrText xml:space="preserve"> NOTEREF _Ref390102111 \h </w:instrText>
      </w:r>
      <w:r>
        <w:rPr>
          <w:rFonts w:cs="Times New Roman"/>
          <w:sz w:val="24"/>
          <w:szCs w:val="24"/>
        </w:rPr>
        <w:instrText xml:space="preserve"> \* MERGEFORMAT </w:instrText>
      </w:r>
      <w:r w:rsidRPr="003A52F8">
        <w:rPr>
          <w:rFonts w:cs="Times New Roman"/>
          <w:sz w:val="24"/>
          <w:szCs w:val="24"/>
        </w:rPr>
      </w:r>
      <w:r w:rsidRPr="003A52F8">
        <w:rPr>
          <w:rFonts w:cs="Times New Roman"/>
          <w:sz w:val="24"/>
          <w:szCs w:val="24"/>
        </w:rPr>
        <w:fldChar w:fldCharType="separate"/>
      </w:r>
      <w:r w:rsidR="004A6409">
        <w:rPr>
          <w:rFonts w:cs="Times New Roman"/>
          <w:sz w:val="24"/>
          <w:szCs w:val="24"/>
        </w:rPr>
        <w:t>3</w:t>
      </w:r>
      <w:r w:rsidRPr="003A52F8">
        <w:rPr>
          <w:rFonts w:cs="Times New Roman"/>
          <w:sz w:val="24"/>
          <w:szCs w:val="24"/>
        </w:rPr>
        <w:fldChar w:fldCharType="end"/>
      </w:r>
      <w:r w:rsidRPr="003A52F8">
        <w:rPr>
          <w:rFonts w:cs="Times New Roman"/>
          <w:sz w:val="24"/>
          <w:szCs w:val="24"/>
        </w:rPr>
        <w:t xml:space="preserve"> below) and is therefore not strictly parallel.</w:t>
      </w:r>
      <w:r>
        <w:rPr>
          <w:rFonts w:cs="Times New Roman"/>
          <w:sz w:val="24"/>
          <w:szCs w:val="24"/>
        </w:rPr>
        <w:t xml:space="preserve"> </w:t>
      </w:r>
    </w:p>
  </w:endnote>
  <w:endnote w:id="3">
    <w:p w:rsidR="00D751BE" w:rsidRPr="003A52F8" w:rsidRDefault="00D751BE" w:rsidP="003A52F8">
      <w:pPr>
        <w:pStyle w:val="EndnoteText"/>
        <w:spacing w:line="480" w:lineRule="auto"/>
        <w:rPr>
          <w:sz w:val="24"/>
          <w:szCs w:val="24"/>
        </w:rPr>
      </w:pPr>
      <w:r w:rsidRPr="003A52F8">
        <w:rPr>
          <w:rStyle w:val="EndnoteReference"/>
          <w:sz w:val="24"/>
          <w:szCs w:val="24"/>
        </w:rPr>
        <w:endnoteRef/>
      </w:r>
      <w:r w:rsidRPr="003A52F8">
        <w:rPr>
          <w:sz w:val="24"/>
          <w:szCs w:val="24"/>
        </w:rPr>
        <w:t xml:space="preserve"> See Ar. </w:t>
      </w:r>
      <w:r w:rsidRPr="003A52F8">
        <w:rPr>
          <w:i/>
          <w:sz w:val="24"/>
          <w:szCs w:val="24"/>
        </w:rPr>
        <w:t>Eq.</w:t>
      </w:r>
      <w:r w:rsidRPr="003A52F8">
        <w:rPr>
          <w:sz w:val="24"/>
          <w:szCs w:val="24"/>
        </w:rPr>
        <w:t xml:space="preserve"> 744, Antiphanes </w:t>
      </w:r>
      <w:r w:rsidR="00F761FB">
        <w:rPr>
          <w:sz w:val="24"/>
          <w:szCs w:val="24"/>
        </w:rPr>
        <w:t>frag.</w:t>
      </w:r>
      <w:r w:rsidRPr="003A52F8">
        <w:rPr>
          <w:sz w:val="24"/>
          <w:szCs w:val="24"/>
        </w:rPr>
        <w:t xml:space="preserve"> 251. Alexis </w:t>
      </w:r>
      <w:r w:rsidR="00F761FB">
        <w:rPr>
          <w:sz w:val="24"/>
          <w:szCs w:val="24"/>
        </w:rPr>
        <w:t>frag.</w:t>
      </w:r>
      <w:r w:rsidRPr="003A52F8">
        <w:rPr>
          <w:sz w:val="24"/>
          <w:szCs w:val="24"/>
        </w:rPr>
        <w:t xml:space="preserve"> 206.5.</w:t>
      </w:r>
    </w:p>
  </w:endnote>
  <w:endnote w:id="4">
    <w:p w:rsidR="00D751BE" w:rsidRPr="003A52F8" w:rsidRDefault="00D751BE" w:rsidP="003A52F8">
      <w:pPr>
        <w:pStyle w:val="EndnoteText"/>
        <w:spacing w:line="480" w:lineRule="auto"/>
        <w:rPr>
          <w:sz w:val="24"/>
          <w:szCs w:val="24"/>
        </w:rPr>
      </w:pPr>
      <w:r w:rsidRPr="003A52F8">
        <w:rPr>
          <w:rStyle w:val="EndnoteReference"/>
          <w:sz w:val="24"/>
          <w:szCs w:val="24"/>
        </w:rPr>
        <w:endnoteRef/>
      </w:r>
      <w:r w:rsidRPr="003A52F8">
        <w:rPr>
          <w:sz w:val="24"/>
          <w:szCs w:val="24"/>
        </w:rPr>
        <w:t xml:space="preserve"> Hdt. 4.14.6; in the sense </w:t>
      </w:r>
      <w:r w:rsidR="00F412FD">
        <w:rPr>
          <w:sz w:val="24"/>
          <w:szCs w:val="24"/>
        </w:rPr>
        <w:t>“</w:t>
      </w:r>
      <w:r w:rsidRPr="003A52F8">
        <w:rPr>
          <w:sz w:val="24"/>
          <w:szCs w:val="24"/>
        </w:rPr>
        <w:t>shop</w:t>
      </w:r>
      <w:r w:rsidR="00F412FD">
        <w:rPr>
          <w:sz w:val="24"/>
          <w:szCs w:val="24"/>
        </w:rPr>
        <w:t>”</w:t>
      </w:r>
      <w:r w:rsidRPr="003A52F8">
        <w:rPr>
          <w:sz w:val="24"/>
          <w:szCs w:val="24"/>
        </w:rPr>
        <w:t xml:space="preserve">, or </w:t>
      </w:r>
      <w:r w:rsidR="00F412FD">
        <w:rPr>
          <w:sz w:val="24"/>
          <w:szCs w:val="24"/>
        </w:rPr>
        <w:t>“</w:t>
      </w:r>
      <w:r w:rsidRPr="003A52F8">
        <w:rPr>
          <w:sz w:val="24"/>
          <w:szCs w:val="24"/>
        </w:rPr>
        <w:t>premises</w:t>
      </w:r>
      <w:r w:rsidR="00F412FD">
        <w:rPr>
          <w:sz w:val="24"/>
          <w:szCs w:val="24"/>
        </w:rPr>
        <w:t>”</w:t>
      </w:r>
      <w:r w:rsidRPr="003A52F8">
        <w:rPr>
          <w:sz w:val="24"/>
          <w:szCs w:val="24"/>
        </w:rPr>
        <w:t xml:space="preserve"> Aeschin. 1.123; Ephesus is the </w:t>
      </w:r>
      <w:r w:rsidR="00F412FD">
        <w:rPr>
          <w:sz w:val="24"/>
          <w:szCs w:val="24"/>
        </w:rPr>
        <w:t>“</w:t>
      </w:r>
      <w:r w:rsidRPr="003A52F8">
        <w:rPr>
          <w:sz w:val="24"/>
          <w:szCs w:val="24"/>
        </w:rPr>
        <w:t>workshop of war</w:t>
      </w:r>
      <w:r w:rsidR="00F412FD">
        <w:rPr>
          <w:sz w:val="24"/>
          <w:szCs w:val="24"/>
        </w:rPr>
        <w:t>”</w:t>
      </w:r>
      <w:r w:rsidRPr="003A52F8">
        <w:rPr>
          <w:sz w:val="24"/>
          <w:szCs w:val="24"/>
        </w:rPr>
        <w:t xml:space="preserve"> at Xen. </w:t>
      </w:r>
      <w:r w:rsidRPr="003A52F8">
        <w:rPr>
          <w:i/>
          <w:sz w:val="24"/>
          <w:szCs w:val="24"/>
        </w:rPr>
        <w:t>Hell</w:t>
      </w:r>
      <w:r w:rsidRPr="003A52F8">
        <w:rPr>
          <w:sz w:val="24"/>
          <w:szCs w:val="24"/>
        </w:rPr>
        <w:t xml:space="preserve">. 3.4.17 ~ </w:t>
      </w:r>
      <w:r w:rsidRPr="003A52F8">
        <w:rPr>
          <w:i/>
          <w:sz w:val="24"/>
          <w:szCs w:val="24"/>
        </w:rPr>
        <w:t>Ages</w:t>
      </w:r>
      <w:r w:rsidRPr="003A52F8">
        <w:rPr>
          <w:sz w:val="24"/>
          <w:szCs w:val="24"/>
        </w:rPr>
        <w:t>. 1. 26 (cf. Polyb</w:t>
      </w:r>
      <w:r w:rsidR="00017C8A">
        <w:rPr>
          <w:sz w:val="24"/>
          <w:szCs w:val="24"/>
        </w:rPr>
        <w:t xml:space="preserve">. 10.20.7, Plut. </w:t>
      </w:r>
      <w:r w:rsidRPr="003A52F8">
        <w:rPr>
          <w:i/>
          <w:sz w:val="24"/>
          <w:szCs w:val="24"/>
        </w:rPr>
        <w:t>Marc</w:t>
      </w:r>
      <w:r w:rsidR="00017C8A">
        <w:rPr>
          <w:sz w:val="24"/>
          <w:szCs w:val="24"/>
        </w:rPr>
        <w:t>. 21.3.3, Ath</w:t>
      </w:r>
      <w:r w:rsidRPr="003A52F8">
        <w:rPr>
          <w:sz w:val="24"/>
          <w:szCs w:val="24"/>
        </w:rPr>
        <w:t xml:space="preserve">. 10.421b, Suda ε 2903.1); </w:t>
      </w:r>
      <w:r w:rsidR="00F412FD">
        <w:rPr>
          <w:sz w:val="24"/>
          <w:szCs w:val="24"/>
        </w:rPr>
        <w:t>“</w:t>
      </w:r>
      <w:r w:rsidRPr="003A52F8">
        <w:rPr>
          <w:sz w:val="24"/>
          <w:szCs w:val="24"/>
        </w:rPr>
        <w:t>brothel</w:t>
      </w:r>
      <w:r w:rsidR="00F412FD">
        <w:rPr>
          <w:sz w:val="24"/>
          <w:szCs w:val="24"/>
        </w:rPr>
        <w:t>”</w:t>
      </w:r>
      <w:r w:rsidR="00017C8A">
        <w:rPr>
          <w:sz w:val="24"/>
          <w:szCs w:val="24"/>
        </w:rPr>
        <w:t xml:space="preserve"> at Artem.</w:t>
      </w:r>
      <w:r w:rsidRPr="003A52F8">
        <w:rPr>
          <w:sz w:val="24"/>
          <w:szCs w:val="24"/>
        </w:rPr>
        <w:t xml:space="preserve"> 4.9; </w:t>
      </w:r>
      <w:r w:rsidR="00F412FD">
        <w:rPr>
          <w:sz w:val="24"/>
          <w:szCs w:val="24"/>
        </w:rPr>
        <w:t>“</w:t>
      </w:r>
      <w:r w:rsidRPr="003A52F8">
        <w:rPr>
          <w:sz w:val="24"/>
          <w:szCs w:val="24"/>
        </w:rPr>
        <w:t>barber</w:t>
      </w:r>
      <w:r w:rsidR="00F412FD">
        <w:rPr>
          <w:sz w:val="24"/>
          <w:szCs w:val="24"/>
        </w:rPr>
        <w:t>”</w:t>
      </w:r>
      <w:r w:rsidRPr="003A52F8">
        <w:rPr>
          <w:sz w:val="24"/>
          <w:szCs w:val="24"/>
        </w:rPr>
        <w:t>s shop</w:t>
      </w:r>
      <w:r w:rsidR="00F412FD">
        <w:rPr>
          <w:sz w:val="24"/>
          <w:szCs w:val="24"/>
        </w:rPr>
        <w:t>”</w:t>
      </w:r>
      <w:r w:rsidR="00017C8A">
        <w:rPr>
          <w:sz w:val="24"/>
          <w:szCs w:val="24"/>
        </w:rPr>
        <w:t xml:space="preserve"> at Ath</w:t>
      </w:r>
      <w:r w:rsidRPr="003A52F8">
        <w:rPr>
          <w:sz w:val="24"/>
          <w:szCs w:val="24"/>
        </w:rPr>
        <w:t>. 12.518a (ἐργαστήρια</w:t>
      </w:r>
      <w:r w:rsidRPr="003A52F8">
        <w:rPr>
          <w:rFonts w:cs="Times New Roman"/>
          <w:sz w:val="24"/>
          <w:szCs w:val="24"/>
        </w:rPr>
        <w:t xml:space="preserve"> are similarly venues for gossip at Isocr. </w:t>
      </w:r>
      <w:r w:rsidRPr="003A52F8">
        <w:rPr>
          <w:rFonts w:cs="Times New Roman"/>
          <w:i/>
          <w:sz w:val="24"/>
          <w:szCs w:val="24"/>
        </w:rPr>
        <w:t>Areop</w:t>
      </w:r>
      <w:r w:rsidRPr="003A52F8">
        <w:rPr>
          <w:rFonts w:cs="Times New Roman"/>
          <w:sz w:val="24"/>
          <w:szCs w:val="24"/>
        </w:rPr>
        <w:t xml:space="preserve">. 15, </w:t>
      </w:r>
      <w:r w:rsidRPr="003A52F8">
        <w:rPr>
          <w:rFonts w:cs="Times New Roman"/>
          <w:i/>
          <w:sz w:val="24"/>
          <w:szCs w:val="24"/>
        </w:rPr>
        <w:t>Callim.</w:t>
      </w:r>
      <w:r w:rsidRPr="003A52F8">
        <w:rPr>
          <w:rFonts w:cs="Times New Roman"/>
          <w:sz w:val="24"/>
          <w:szCs w:val="24"/>
        </w:rPr>
        <w:t xml:space="preserve"> 9, Plut. </w:t>
      </w:r>
      <w:r w:rsidRPr="003A52F8">
        <w:rPr>
          <w:rFonts w:cs="Times New Roman"/>
          <w:i/>
          <w:sz w:val="24"/>
          <w:szCs w:val="24"/>
        </w:rPr>
        <w:t>Nic</w:t>
      </w:r>
      <w:r w:rsidRPr="003A52F8">
        <w:rPr>
          <w:rFonts w:cs="Times New Roman"/>
          <w:sz w:val="24"/>
          <w:szCs w:val="24"/>
        </w:rPr>
        <w:t>. 12)</w:t>
      </w:r>
      <w:r w:rsidRPr="003A52F8">
        <w:rPr>
          <w:sz w:val="24"/>
          <w:szCs w:val="24"/>
        </w:rPr>
        <w:t xml:space="preserve">. The metaphorical description of man as a </w:t>
      </w:r>
      <w:r w:rsidR="00F412FD">
        <w:rPr>
          <w:sz w:val="24"/>
          <w:szCs w:val="24"/>
        </w:rPr>
        <w:t>“</w:t>
      </w:r>
      <w:r w:rsidRPr="003A52F8">
        <w:rPr>
          <w:sz w:val="24"/>
          <w:szCs w:val="24"/>
        </w:rPr>
        <w:t>workshop</w:t>
      </w:r>
      <w:r w:rsidR="00F412FD">
        <w:rPr>
          <w:sz w:val="24"/>
          <w:szCs w:val="24"/>
        </w:rPr>
        <w:t>”</w:t>
      </w:r>
      <w:r w:rsidRPr="003A52F8">
        <w:rPr>
          <w:sz w:val="24"/>
          <w:szCs w:val="24"/>
        </w:rPr>
        <w:t xml:space="preserve"> of virtues and vices is extremely common in ecclesiastical writers (e.g. in </w:t>
      </w:r>
      <w:r w:rsidRPr="003A52F8">
        <w:rPr>
          <w:rFonts w:cs="Times New Roman"/>
          <w:sz w:val="24"/>
          <w:szCs w:val="24"/>
        </w:rPr>
        <w:t xml:space="preserve">Athanasius ἀνομίας ἐργαστήριον </w:t>
      </w:r>
      <w:r w:rsidRPr="003A52F8">
        <w:rPr>
          <w:rFonts w:cs="Times New Roman"/>
          <w:i/>
          <w:sz w:val="24"/>
          <w:szCs w:val="24"/>
        </w:rPr>
        <w:t>decr</w:t>
      </w:r>
      <w:r w:rsidRPr="003A52F8">
        <w:rPr>
          <w:rFonts w:cs="Times New Roman"/>
          <w:sz w:val="24"/>
          <w:szCs w:val="24"/>
        </w:rPr>
        <w:t xml:space="preserve">. 40.12, τὸ χριστόμαχον ἐργαστήριον </w:t>
      </w:r>
      <w:r w:rsidRPr="003A52F8">
        <w:rPr>
          <w:rFonts w:cs="Times New Roman"/>
          <w:i/>
          <w:sz w:val="24"/>
          <w:szCs w:val="24"/>
        </w:rPr>
        <w:t>ep. mort. Ar.</w:t>
      </w:r>
      <w:r w:rsidRPr="003A52F8">
        <w:rPr>
          <w:rFonts w:cs="Times New Roman"/>
          <w:sz w:val="24"/>
          <w:szCs w:val="24"/>
        </w:rPr>
        <w:t xml:space="preserve"> 4.3, </w:t>
      </w:r>
      <w:r w:rsidRPr="003A52F8">
        <w:rPr>
          <w:rFonts w:cs="Times New Roman"/>
          <w:i/>
          <w:sz w:val="24"/>
          <w:szCs w:val="24"/>
        </w:rPr>
        <w:t>syn</w:t>
      </w:r>
      <w:r w:rsidRPr="003A52F8">
        <w:rPr>
          <w:rFonts w:cs="Times New Roman"/>
          <w:sz w:val="24"/>
          <w:szCs w:val="24"/>
        </w:rPr>
        <w:t xml:space="preserve">. 20.4, τὸ μυσαρὸν ἐργαστήριον τῶν θεομάχων </w:t>
      </w:r>
      <w:r w:rsidRPr="003A52F8">
        <w:rPr>
          <w:rFonts w:cs="Times New Roman"/>
          <w:i/>
          <w:sz w:val="24"/>
          <w:szCs w:val="24"/>
        </w:rPr>
        <w:t>Dion.</w:t>
      </w:r>
      <w:r w:rsidRPr="003A52F8">
        <w:rPr>
          <w:rFonts w:cs="Times New Roman"/>
          <w:sz w:val="24"/>
          <w:szCs w:val="24"/>
        </w:rPr>
        <w:t xml:space="preserve"> 13.3).</w:t>
      </w:r>
    </w:p>
  </w:endnote>
  <w:endnote w:id="5">
    <w:p w:rsidR="00D751BE" w:rsidRPr="003A52F8" w:rsidRDefault="00D751BE" w:rsidP="003A52F8">
      <w:pPr>
        <w:pStyle w:val="EndnoteText"/>
        <w:spacing w:line="480" w:lineRule="auto"/>
        <w:rPr>
          <w:sz w:val="24"/>
          <w:szCs w:val="24"/>
        </w:rPr>
      </w:pPr>
      <w:r w:rsidRPr="003A52F8">
        <w:rPr>
          <w:rStyle w:val="EndnoteReference"/>
          <w:sz w:val="24"/>
          <w:szCs w:val="24"/>
        </w:rPr>
        <w:endnoteRef/>
      </w:r>
      <w:r w:rsidR="00C7603E">
        <w:rPr>
          <w:sz w:val="24"/>
          <w:szCs w:val="24"/>
        </w:rPr>
        <w:t xml:space="preserve"> Wilamowitz 1925,</w:t>
      </w:r>
      <w:r w:rsidRPr="003A52F8">
        <w:rPr>
          <w:sz w:val="24"/>
          <w:szCs w:val="24"/>
        </w:rPr>
        <w:t xml:space="preserve"> 69 </w:t>
      </w:r>
      <w:r w:rsidR="00F412FD">
        <w:rPr>
          <w:sz w:val="24"/>
          <w:szCs w:val="24"/>
        </w:rPr>
        <w:t>“</w:t>
      </w:r>
      <w:r w:rsidRPr="003A52F8">
        <w:rPr>
          <w:sz w:val="24"/>
          <w:szCs w:val="24"/>
        </w:rPr>
        <w:t>Insasse eines Zuchthauses für Sklaven</w:t>
      </w:r>
      <w:r w:rsidR="00F412FD">
        <w:rPr>
          <w:sz w:val="24"/>
          <w:szCs w:val="24"/>
        </w:rPr>
        <w:t>”</w:t>
      </w:r>
      <w:r w:rsidRPr="003A52F8">
        <w:rPr>
          <w:rFonts w:cs="Times New Roman"/>
          <w:sz w:val="24"/>
          <w:szCs w:val="24"/>
        </w:rPr>
        <w:t xml:space="preserve">; </w:t>
      </w:r>
      <w:r w:rsidR="00C7603E">
        <w:rPr>
          <w:sz w:val="24"/>
          <w:szCs w:val="24"/>
        </w:rPr>
        <w:t>Furley 2009,</w:t>
      </w:r>
      <w:r w:rsidRPr="003A52F8">
        <w:rPr>
          <w:sz w:val="24"/>
          <w:szCs w:val="24"/>
        </w:rPr>
        <w:t xml:space="preserve"> 159 </w:t>
      </w:r>
      <w:r w:rsidR="00F412FD">
        <w:rPr>
          <w:sz w:val="24"/>
          <w:szCs w:val="24"/>
        </w:rPr>
        <w:t>“</w:t>
      </w:r>
      <w:r w:rsidRPr="003A52F8">
        <w:rPr>
          <w:sz w:val="24"/>
          <w:szCs w:val="24"/>
        </w:rPr>
        <w:t>rabble, riff-raff, scum</w:t>
      </w:r>
      <w:r w:rsidR="00F412FD">
        <w:rPr>
          <w:sz w:val="24"/>
          <w:szCs w:val="24"/>
        </w:rPr>
        <w:t>”</w:t>
      </w:r>
      <w:r w:rsidRPr="003A52F8">
        <w:rPr>
          <w:sz w:val="24"/>
          <w:szCs w:val="24"/>
        </w:rPr>
        <w:t xml:space="preserve">. Translations render </w:t>
      </w:r>
      <w:r w:rsidR="00F412FD">
        <w:rPr>
          <w:sz w:val="24"/>
          <w:szCs w:val="24"/>
        </w:rPr>
        <w:t>“</w:t>
      </w:r>
      <w:r w:rsidRPr="003A52F8">
        <w:rPr>
          <w:sz w:val="24"/>
          <w:szCs w:val="24"/>
        </w:rPr>
        <w:t>jailbird</w:t>
      </w:r>
      <w:r w:rsidR="00F412FD">
        <w:rPr>
          <w:sz w:val="24"/>
          <w:szCs w:val="24"/>
        </w:rPr>
        <w:t>”</w:t>
      </w:r>
      <w:r w:rsidR="00C7603E">
        <w:rPr>
          <w:sz w:val="24"/>
          <w:szCs w:val="24"/>
        </w:rPr>
        <w:t xml:space="preserve"> (Murray 1945, 48, Arnott 1979, 427, Ireland 2010,</w:t>
      </w:r>
      <w:r w:rsidRPr="003A52F8">
        <w:rPr>
          <w:sz w:val="24"/>
          <w:szCs w:val="24"/>
        </w:rPr>
        <w:t xml:space="preserve"> 149), </w:t>
      </w:r>
      <w:r w:rsidR="00F412FD">
        <w:rPr>
          <w:sz w:val="24"/>
          <w:szCs w:val="24"/>
        </w:rPr>
        <w:t>“</w:t>
      </w:r>
      <w:r w:rsidRPr="003A52F8">
        <w:rPr>
          <w:sz w:val="24"/>
          <w:szCs w:val="24"/>
        </w:rPr>
        <w:t>convicted criminal</w:t>
      </w:r>
      <w:r w:rsidR="00F412FD">
        <w:rPr>
          <w:sz w:val="24"/>
          <w:szCs w:val="24"/>
        </w:rPr>
        <w:t>”</w:t>
      </w:r>
      <w:r w:rsidR="00C7603E">
        <w:rPr>
          <w:sz w:val="24"/>
          <w:szCs w:val="24"/>
        </w:rPr>
        <w:t xml:space="preserve"> (Miller 1987,</w:t>
      </w:r>
      <w:r w:rsidRPr="003A52F8">
        <w:rPr>
          <w:sz w:val="24"/>
          <w:szCs w:val="24"/>
        </w:rPr>
        <w:t xml:space="preserve"> 88), </w:t>
      </w:r>
      <w:r w:rsidR="00F412FD">
        <w:rPr>
          <w:sz w:val="24"/>
          <w:szCs w:val="24"/>
        </w:rPr>
        <w:t>“</w:t>
      </w:r>
      <w:r w:rsidRPr="003A52F8">
        <w:rPr>
          <w:sz w:val="24"/>
          <w:szCs w:val="24"/>
        </w:rPr>
        <w:t>you thief</w:t>
      </w:r>
      <w:r w:rsidR="00F412FD">
        <w:rPr>
          <w:sz w:val="24"/>
          <w:szCs w:val="24"/>
        </w:rPr>
        <w:t>”</w:t>
      </w:r>
      <w:r w:rsidR="00C7603E">
        <w:rPr>
          <w:sz w:val="24"/>
          <w:szCs w:val="24"/>
        </w:rPr>
        <w:t xml:space="preserve"> (Balme 2005,</w:t>
      </w:r>
      <w:r w:rsidRPr="003A52F8">
        <w:rPr>
          <w:sz w:val="24"/>
          <w:szCs w:val="24"/>
        </w:rPr>
        <w:t xml:space="preserve"> 91), </w:t>
      </w:r>
      <w:r w:rsidR="00F412FD">
        <w:rPr>
          <w:sz w:val="24"/>
          <w:szCs w:val="24"/>
        </w:rPr>
        <w:t>“</w:t>
      </w:r>
      <w:r w:rsidRPr="003A52F8">
        <w:rPr>
          <w:sz w:val="24"/>
          <w:szCs w:val="24"/>
        </w:rPr>
        <w:t>pilier de mauvais lieu</w:t>
      </w:r>
      <w:r w:rsidR="00F412FD">
        <w:rPr>
          <w:sz w:val="24"/>
          <w:szCs w:val="24"/>
        </w:rPr>
        <w:t>”</w:t>
      </w:r>
      <w:r w:rsidR="00C7603E">
        <w:rPr>
          <w:sz w:val="24"/>
          <w:szCs w:val="24"/>
        </w:rPr>
        <w:t xml:space="preserve"> (Blanchard 2013,</w:t>
      </w:r>
      <w:r w:rsidRPr="003A52F8">
        <w:rPr>
          <w:sz w:val="24"/>
          <w:szCs w:val="24"/>
        </w:rPr>
        <w:t xml:space="preserve"> 90). </w:t>
      </w:r>
    </w:p>
  </w:endnote>
  <w:endnote w:id="6">
    <w:p w:rsidR="00D751BE" w:rsidRPr="003A52F8" w:rsidRDefault="00D751BE" w:rsidP="003A52F8">
      <w:pPr>
        <w:pStyle w:val="EndnoteText"/>
        <w:spacing w:line="480" w:lineRule="auto"/>
        <w:rPr>
          <w:rFonts w:cs="Times New Roman"/>
          <w:sz w:val="24"/>
          <w:szCs w:val="24"/>
        </w:rPr>
      </w:pPr>
      <w:r w:rsidRPr="003A52F8">
        <w:rPr>
          <w:rStyle w:val="EndnoteReference"/>
          <w:sz w:val="24"/>
          <w:szCs w:val="24"/>
        </w:rPr>
        <w:endnoteRef/>
      </w:r>
      <w:r w:rsidR="00C7603E">
        <w:rPr>
          <w:sz w:val="24"/>
          <w:szCs w:val="24"/>
        </w:rPr>
        <w:t xml:space="preserve"> Martina (2000,</w:t>
      </w:r>
      <w:r w:rsidRPr="003A52F8">
        <w:rPr>
          <w:sz w:val="24"/>
          <w:szCs w:val="24"/>
        </w:rPr>
        <w:t xml:space="preserve"> 231</w:t>
      </w:r>
      <w:r w:rsidR="00C7603E">
        <w:rPr>
          <w:sz w:val="24"/>
          <w:szCs w:val="24"/>
        </w:rPr>
        <w:t>)</w:t>
      </w:r>
      <w:r w:rsidRPr="003A52F8">
        <w:rPr>
          <w:sz w:val="24"/>
          <w:szCs w:val="24"/>
        </w:rPr>
        <w:t xml:space="preserve"> gives the semantic evolution </w:t>
      </w:r>
      <w:r w:rsidR="00F412FD">
        <w:rPr>
          <w:rFonts w:cs="Times New Roman"/>
          <w:sz w:val="24"/>
          <w:szCs w:val="24"/>
        </w:rPr>
        <w:t>“</w:t>
      </w:r>
      <w:r w:rsidRPr="003A52F8">
        <w:rPr>
          <w:rFonts w:cs="Times New Roman"/>
          <w:sz w:val="24"/>
          <w:szCs w:val="24"/>
        </w:rPr>
        <w:t>luogo per i lavori forzati</w:t>
      </w:r>
      <w:r w:rsidR="00F412FD">
        <w:rPr>
          <w:rFonts w:cs="Times New Roman"/>
          <w:sz w:val="24"/>
          <w:szCs w:val="24"/>
        </w:rPr>
        <w:t>”</w:t>
      </w:r>
      <w:r w:rsidRPr="003A52F8">
        <w:rPr>
          <w:rFonts w:cs="Times New Roman"/>
          <w:sz w:val="24"/>
          <w:szCs w:val="24"/>
        </w:rPr>
        <w:t xml:space="preserve"> &gt;&gt; </w:t>
      </w:r>
      <w:r w:rsidR="00F412FD">
        <w:rPr>
          <w:rFonts w:cs="Times New Roman"/>
          <w:sz w:val="24"/>
          <w:szCs w:val="24"/>
        </w:rPr>
        <w:t>“</w:t>
      </w:r>
      <w:r w:rsidRPr="003A52F8">
        <w:rPr>
          <w:rFonts w:cs="Times New Roman"/>
          <w:sz w:val="24"/>
          <w:szCs w:val="24"/>
        </w:rPr>
        <w:t>persona adatta a quel luogo</w:t>
      </w:r>
      <w:r w:rsidR="00F412FD">
        <w:rPr>
          <w:rFonts w:cs="Times New Roman"/>
          <w:sz w:val="24"/>
          <w:szCs w:val="24"/>
        </w:rPr>
        <w:t>”</w:t>
      </w:r>
      <w:r w:rsidR="00C7603E">
        <w:rPr>
          <w:rFonts w:cs="Times New Roman"/>
          <w:sz w:val="24"/>
          <w:szCs w:val="24"/>
        </w:rPr>
        <w:t xml:space="preserve"> and renders (1997, </w:t>
      </w:r>
      <w:r w:rsidRPr="003A52F8">
        <w:rPr>
          <w:rFonts w:cs="Times New Roman"/>
          <w:sz w:val="24"/>
          <w:szCs w:val="24"/>
        </w:rPr>
        <w:t>39</w:t>
      </w:r>
      <w:r w:rsidR="00C7603E">
        <w:rPr>
          <w:rFonts w:cs="Times New Roman"/>
          <w:sz w:val="24"/>
          <w:szCs w:val="24"/>
        </w:rPr>
        <w:t>)</w:t>
      </w:r>
      <w:r w:rsidRPr="003A52F8">
        <w:rPr>
          <w:rFonts w:cs="Times New Roman"/>
          <w:sz w:val="24"/>
          <w:szCs w:val="24"/>
        </w:rPr>
        <w:t xml:space="preserve"> </w:t>
      </w:r>
      <w:r w:rsidR="00F412FD">
        <w:rPr>
          <w:rFonts w:cs="Times New Roman"/>
          <w:sz w:val="24"/>
          <w:szCs w:val="24"/>
        </w:rPr>
        <w:t>“</w:t>
      </w:r>
      <w:r w:rsidRPr="003A52F8">
        <w:rPr>
          <w:rFonts w:cs="Times New Roman"/>
          <w:sz w:val="24"/>
          <w:szCs w:val="24"/>
        </w:rPr>
        <w:t>pezzo di galera</w:t>
      </w:r>
      <w:r w:rsidR="00F412FD">
        <w:rPr>
          <w:rFonts w:cs="Times New Roman"/>
          <w:sz w:val="24"/>
          <w:szCs w:val="24"/>
        </w:rPr>
        <w:t>”</w:t>
      </w:r>
      <w:r w:rsidRPr="003A52F8">
        <w:rPr>
          <w:rFonts w:cs="Times New Roman"/>
          <w:sz w:val="24"/>
          <w:szCs w:val="24"/>
        </w:rPr>
        <w:t xml:space="preserve">. </w:t>
      </w:r>
      <w:r w:rsidR="00C7603E">
        <w:rPr>
          <w:sz w:val="24"/>
          <w:szCs w:val="24"/>
        </w:rPr>
        <w:t>Wilamowitz (1925,</w:t>
      </w:r>
      <w:r w:rsidRPr="003A52F8">
        <w:rPr>
          <w:sz w:val="24"/>
          <w:szCs w:val="24"/>
        </w:rPr>
        <w:t xml:space="preserve"> 69</w:t>
      </w:r>
      <w:r w:rsidR="00C7603E">
        <w:rPr>
          <w:sz w:val="24"/>
          <w:szCs w:val="24"/>
        </w:rPr>
        <w:t>)</w:t>
      </w:r>
      <w:r w:rsidRPr="003A52F8">
        <w:rPr>
          <w:sz w:val="24"/>
          <w:szCs w:val="24"/>
        </w:rPr>
        <w:t xml:space="preserve"> compares the use of abstract nouns as insults in tragedy and comedy: ἡ πᾶσα βλαβή (S. </w:t>
      </w:r>
      <w:r w:rsidRPr="003A52F8">
        <w:rPr>
          <w:i/>
          <w:sz w:val="24"/>
          <w:szCs w:val="24"/>
        </w:rPr>
        <w:t>El</w:t>
      </w:r>
      <w:r w:rsidRPr="003A52F8">
        <w:rPr>
          <w:sz w:val="24"/>
          <w:szCs w:val="24"/>
        </w:rPr>
        <w:t xml:space="preserve">. 301, </w:t>
      </w:r>
      <w:r w:rsidRPr="003A52F8">
        <w:rPr>
          <w:i/>
          <w:sz w:val="24"/>
          <w:szCs w:val="24"/>
        </w:rPr>
        <w:t xml:space="preserve">Ph. </w:t>
      </w:r>
      <w:r w:rsidRPr="003A52F8">
        <w:rPr>
          <w:sz w:val="24"/>
          <w:szCs w:val="24"/>
        </w:rPr>
        <w:t>622)</w:t>
      </w:r>
      <w:r w:rsidRPr="003A52F8">
        <w:rPr>
          <w:rFonts w:cs="Times New Roman"/>
          <w:sz w:val="24"/>
          <w:szCs w:val="24"/>
        </w:rPr>
        <w:t>, πᾶν δεῖμα (S</w:t>
      </w:r>
      <w:r w:rsidRPr="003A52F8">
        <w:rPr>
          <w:rFonts w:cs="Times New Roman"/>
          <w:i/>
          <w:sz w:val="24"/>
          <w:szCs w:val="24"/>
        </w:rPr>
        <w:t>. Ph</w:t>
      </w:r>
      <w:r w:rsidRPr="003A52F8">
        <w:rPr>
          <w:rFonts w:cs="Times New Roman"/>
          <w:sz w:val="24"/>
          <w:szCs w:val="24"/>
        </w:rPr>
        <w:t xml:space="preserve">. 927), ὄλεθρος (Ar. </w:t>
      </w:r>
      <w:r w:rsidRPr="003A52F8">
        <w:rPr>
          <w:rFonts w:cs="Times New Roman"/>
          <w:i/>
          <w:sz w:val="24"/>
          <w:szCs w:val="24"/>
        </w:rPr>
        <w:t>Lys</w:t>
      </w:r>
      <w:r w:rsidR="00C7603E">
        <w:rPr>
          <w:rFonts w:cs="Times New Roman"/>
          <w:sz w:val="24"/>
          <w:szCs w:val="24"/>
        </w:rPr>
        <w:t>. 325), and see Barrett 2007</w:t>
      </w:r>
      <w:r w:rsidRPr="003A52F8">
        <w:rPr>
          <w:rFonts w:cs="Times New Roman"/>
          <w:sz w:val="24"/>
          <w:szCs w:val="24"/>
        </w:rPr>
        <w:t>. But since we do not have an abstract noun in this case, this approach will not take us much further.</w:t>
      </w:r>
    </w:p>
  </w:endnote>
  <w:endnote w:id="7">
    <w:p w:rsidR="00D751BE" w:rsidRPr="003A52F8" w:rsidRDefault="00D751BE" w:rsidP="003A52F8">
      <w:pPr>
        <w:pStyle w:val="EndnoteText"/>
        <w:spacing w:line="480" w:lineRule="auto"/>
        <w:rPr>
          <w:rFonts w:cs="Times New Roman"/>
          <w:sz w:val="24"/>
          <w:szCs w:val="24"/>
        </w:rPr>
      </w:pPr>
      <w:r w:rsidRPr="003A52F8">
        <w:rPr>
          <w:rStyle w:val="EndnoteReference"/>
          <w:sz w:val="24"/>
          <w:szCs w:val="24"/>
        </w:rPr>
        <w:endnoteRef/>
      </w:r>
      <w:r w:rsidR="00C7603E">
        <w:rPr>
          <w:sz w:val="24"/>
          <w:szCs w:val="24"/>
        </w:rPr>
        <w:t xml:space="preserve"> Dickey 2002,</w:t>
      </w:r>
      <w:r w:rsidRPr="003A52F8">
        <w:rPr>
          <w:sz w:val="24"/>
          <w:szCs w:val="24"/>
        </w:rPr>
        <w:t xml:space="preserve"> 177, and compare τύμβε,</w:t>
      </w:r>
      <w:r w:rsidRPr="003A52F8">
        <w:rPr>
          <w:rFonts w:cs="Times New Roman"/>
          <w:sz w:val="24"/>
          <w:szCs w:val="24"/>
        </w:rPr>
        <w:t xml:space="preserve"> Ar. </w:t>
      </w:r>
      <w:r w:rsidRPr="003A52F8">
        <w:rPr>
          <w:rFonts w:cs="Times New Roman"/>
          <w:i/>
          <w:sz w:val="24"/>
          <w:szCs w:val="24"/>
        </w:rPr>
        <w:t>Lys</w:t>
      </w:r>
      <w:r w:rsidRPr="003A52F8">
        <w:rPr>
          <w:rFonts w:cs="Times New Roman"/>
          <w:sz w:val="24"/>
          <w:szCs w:val="24"/>
        </w:rPr>
        <w:t>. 372.</w:t>
      </w:r>
    </w:p>
  </w:endnote>
  <w:endnote w:id="8">
    <w:p w:rsidR="00D751BE" w:rsidRPr="0028723A" w:rsidRDefault="00D751BE" w:rsidP="0028723A">
      <w:pPr>
        <w:pStyle w:val="EndnoteText"/>
        <w:spacing w:line="480" w:lineRule="auto"/>
        <w:rPr>
          <w:sz w:val="24"/>
          <w:szCs w:val="24"/>
        </w:rPr>
      </w:pPr>
      <w:r w:rsidRPr="003A52F8">
        <w:rPr>
          <w:rStyle w:val="EndnoteReference"/>
          <w:sz w:val="24"/>
          <w:szCs w:val="24"/>
        </w:rPr>
        <w:endnoteRef/>
      </w:r>
      <w:r w:rsidRPr="003A52F8">
        <w:rPr>
          <w:sz w:val="24"/>
          <w:szCs w:val="24"/>
        </w:rPr>
        <w:t xml:space="preserve"> </w:t>
      </w:r>
      <w:r w:rsidRPr="003A52F8">
        <w:rPr>
          <w:i/>
          <w:sz w:val="24"/>
          <w:szCs w:val="24"/>
        </w:rPr>
        <w:t>Pers</w:t>
      </w:r>
      <w:r w:rsidRPr="003A52F8">
        <w:rPr>
          <w:sz w:val="24"/>
          <w:szCs w:val="24"/>
        </w:rPr>
        <w:t xml:space="preserve">. 418 is difficult. The codices read </w:t>
      </w:r>
      <w:r w:rsidRPr="003A52F8">
        <w:rPr>
          <w:i/>
          <w:sz w:val="24"/>
          <w:szCs w:val="24"/>
        </w:rPr>
        <w:t>servitritium</w:t>
      </w:r>
      <w:r w:rsidRPr="003A52F8">
        <w:rPr>
          <w:sz w:val="24"/>
          <w:szCs w:val="24"/>
        </w:rPr>
        <w:t xml:space="preserve">, which could only be </w:t>
      </w:r>
      <w:r w:rsidR="00C7603E">
        <w:rPr>
          <w:sz w:val="24"/>
          <w:szCs w:val="24"/>
        </w:rPr>
        <w:t xml:space="preserve">an </w:t>
      </w:r>
      <w:r w:rsidR="00C7603E" w:rsidRPr="0028723A">
        <w:rPr>
          <w:sz w:val="24"/>
          <w:szCs w:val="24"/>
        </w:rPr>
        <w:t xml:space="preserve">adjective. But Woytek (1982, </w:t>
      </w:r>
      <w:r w:rsidRPr="0028723A">
        <w:rPr>
          <w:sz w:val="24"/>
          <w:szCs w:val="24"/>
        </w:rPr>
        <w:t>304</w:t>
      </w:r>
      <w:r w:rsidR="00C7603E" w:rsidRPr="0028723A">
        <w:rPr>
          <w:sz w:val="24"/>
          <w:szCs w:val="24"/>
        </w:rPr>
        <w:t>)</w:t>
      </w:r>
      <w:r w:rsidRPr="0028723A">
        <w:rPr>
          <w:sz w:val="24"/>
          <w:szCs w:val="24"/>
        </w:rPr>
        <w:t xml:space="preserve"> following Leo rightly prefers the emendation </w:t>
      </w:r>
      <w:r w:rsidRPr="0028723A">
        <w:rPr>
          <w:i/>
          <w:sz w:val="24"/>
          <w:szCs w:val="24"/>
        </w:rPr>
        <w:t>servitricium</w:t>
      </w:r>
      <w:r w:rsidRPr="0028723A">
        <w:rPr>
          <w:sz w:val="24"/>
          <w:szCs w:val="24"/>
        </w:rPr>
        <w:t xml:space="preserve"> (i.e. from </w:t>
      </w:r>
      <w:r w:rsidRPr="0028723A">
        <w:rPr>
          <w:i/>
          <w:sz w:val="24"/>
          <w:szCs w:val="24"/>
        </w:rPr>
        <w:t xml:space="preserve">servitrix </w:t>
      </w:r>
      <w:r w:rsidRPr="0028723A">
        <w:rPr>
          <w:sz w:val="24"/>
          <w:szCs w:val="24"/>
        </w:rPr>
        <w:t xml:space="preserve">on the analogy of </w:t>
      </w:r>
      <w:r w:rsidRPr="0028723A">
        <w:rPr>
          <w:i/>
          <w:sz w:val="24"/>
          <w:szCs w:val="24"/>
        </w:rPr>
        <w:t>meretrix</w:t>
      </w:r>
      <w:r w:rsidRPr="0028723A">
        <w:rPr>
          <w:sz w:val="24"/>
          <w:szCs w:val="24"/>
        </w:rPr>
        <w:t>), bringing the phrase into line with Plauti</w:t>
      </w:r>
      <w:r w:rsidR="00C7603E" w:rsidRPr="0028723A">
        <w:rPr>
          <w:sz w:val="24"/>
          <w:szCs w:val="24"/>
        </w:rPr>
        <w:t>ne practice; thus also de Melo (2011,</w:t>
      </w:r>
      <w:r w:rsidRPr="0028723A">
        <w:rPr>
          <w:sz w:val="24"/>
          <w:szCs w:val="24"/>
        </w:rPr>
        <w:t xml:space="preserve"> 504</w:t>
      </w:r>
      <w:r w:rsidR="00C7603E" w:rsidRPr="0028723A">
        <w:rPr>
          <w:sz w:val="24"/>
          <w:szCs w:val="24"/>
        </w:rPr>
        <w:t>)</w:t>
      </w:r>
      <w:r w:rsidRPr="0028723A">
        <w:rPr>
          <w:sz w:val="24"/>
          <w:szCs w:val="24"/>
        </w:rPr>
        <w:t xml:space="preserve"> translating </w:t>
      </w:r>
      <w:r w:rsidR="00F412FD" w:rsidRPr="0028723A">
        <w:rPr>
          <w:sz w:val="24"/>
          <w:szCs w:val="24"/>
        </w:rPr>
        <w:t>“</w:t>
      </w:r>
      <w:r w:rsidRPr="0028723A">
        <w:rPr>
          <w:sz w:val="24"/>
          <w:szCs w:val="24"/>
        </w:rPr>
        <w:t>brothel for slave girls</w:t>
      </w:r>
      <w:r w:rsidR="00F412FD" w:rsidRPr="0028723A">
        <w:rPr>
          <w:sz w:val="24"/>
          <w:szCs w:val="24"/>
        </w:rPr>
        <w:t>”</w:t>
      </w:r>
      <w:r w:rsidRPr="0028723A">
        <w:rPr>
          <w:sz w:val="24"/>
          <w:szCs w:val="24"/>
        </w:rPr>
        <w:t xml:space="preserve">. </w:t>
      </w:r>
    </w:p>
  </w:endnote>
  <w:endnote w:id="9">
    <w:p w:rsidR="0028723A" w:rsidRPr="0028723A" w:rsidRDefault="0028723A" w:rsidP="0028723A">
      <w:pPr>
        <w:pStyle w:val="EndnoteText"/>
        <w:spacing w:line="480" w:lineRule="auto"/>
        <w:rPr>
          <w:sz w:val="24"/>
          <w:szCs w:val="24"/>
        </w:rPr>
      </w:pPr>
      <w:r w:rsidRPr="0028723A">
        <w:rPr>
          <w:rStyle w:val="EndnoteReference"/>
          <w:sz w:val="24"/>
          <w:szCs w:val="24"/>
        </w:rPr>
        <w:endnoteRef/>
      </w:r>
      <w:r w:rsidRPr="0028723A">
        <w:rPr>
          <w:sz w:val="24"/>
          <w:szCs w:val="24"/>
        </w:rPr>
        <w:t xml:space="preserve"> Wilamowitz (1925) 69.</w:t>
      </w:r>
    </w:p>
  </w:endnote>
  <w:endnote w:id="10">
    <w:p w:rsidR="00D751BE" w:rsidRPr="003A52F8" w:rsidRDefault="00D751BE" w:rsidP="0028723A">
      <w:pPr>
        <w:pStyle w:val="EndnoteText"/>
        <w:spacing w:line="480" w:lineRule="auto"/>
        <w:rPr>
          <w:sz w:val="24"/>
          <w:szCs w:val="24"/>
        </w:rPr>
      </w:pPr>
      <w:r w:rsidRPr="0028723A">
        <w:rPr>
          <w:rStyle w:val="EndnoteReference"/>
          <w:sz w:val="24"/>
          <w:szCs w:val="24"/>
        </w:rPr>
        <w:endnoteRef/>
      </w:r>
      <w:r w:rsidRPr="0028723A">
        <w:rPr>
          <w:sz w:val="24"/>
          <w:szCs w:val="24"/>
        </w:rPr>
        <w:t xml:space="preserve"> This is significant, as it is</w:t>
      </w:r>
      <w:r w:rsidRPr="003A52F8">
        <w:rPr>
          <w:sz w:val="24"/>
          <w:szCs w:val="24"/>
        </w:rPr>
        <w:t xml:space="preserve"> well-established that vocatives may not have the same seman</w:t>
      </w:r>
      <w:r w:rsidR="00C7603E">
        <w:rPr>
          <w:sz w:val="24"/>
          <w:szCs w:val="24"/>
        </w:rPr>
        <w:t xml:space="preserve">tics as predicates; see Dickey </w:t>
      </w:r>
      <w:r w:rsidR="005D5723">
        <w:rPr>
          <w:sz w:val="24"/>
          <w:szCs w:val="24"/>
        </w:rPr>
        <w:t>1996</w:t>
      </w:r>
      <w:r w:rsidR="00C7603E">
        <w:rPr>
          <w:sz w:val="24"/>
          <w:szCs w:val="24"/>
        </w:rPr>
        <w:t xml:space="preserve">, </w:t>
      </w:r>
      <w:r w:rsidR="009A7484">
        <w:rPr>
          <w:sz w:val="24"/>
          <w:szCs w:val="24"/>
        </w:rPr>
        <w:t>9-12</w:t>
      </w:r>
      <w:r w:rsidRPr="003A52F8">
        <w:rPr>
          <w:sz w:val="24"/>
          <w:szCs w:val="24"/>
        </w:rPr>
        <w:t xml:space="preserve">. </w:t>
      </w:r>
    </w:p>
  </w:endnote>
  <w:endnote w:id="11">
    <w:p w:rsidR="00D751BE" w:rsidRPr="003A52F8" w:rsidRDefault="00D751BE" w:rsidP="003A52F8">
      <w:pPr>
        <w:pStyle w:val="EndnoteText"/>
        <w:spacing w:line="480" w:lineRule="auto"/>
        <w:rPr>
          <w:rFonts w:cs="Times New Roman"/>
          <w:sz w:val="24"/>
          <w:szCs w:val="24"/>
        </w:rPr>
      </w:pPr>
      <w:r w:rsidRPr="003A52F8">
        <w:rPr>
          <w:rStyle w:val="EndnoteReference"/>
          <w:sz w:val="24"/>
          <w:szCs w:val="24"/>
        </w:rPr>
        <w:endnoteRef/>
      </w:r>
      <w:r w:rsidR="00C7603E">
        <w:rPr>
          <w:sz w:val="24"/>
          <w:szCs w:val="24"/>
        </w:rPr>
        <w:t xml:space="preserve"> Chantraine 1933, 63; Schwyzer 1939, 470. Debrunner 1917, </w:t>
      </w:r>
      <w:r w:rsidRPr="003A52F8">
        <w:rPr>
          <w:sz w:val="24"/>
          <w:szCs w:val="24"/>
        </w:rPr>
        <w:t>143 does not explicitly state the semantics of the formation, but his examples show that he considers these forms primarily the names of places.</w:t>
      </w:r>
    </w:p>
  </w:endnote>
  <w:endnote w:id="12">
    <w:p w:rsidR="00D751BE" w:rsidRPr="003A52F8" w:rsidRDefault="00D751BE" w:rsidP="003A52F8">
      <w:pPr>
        <w:pStyle w:val="EndnoteText"/>
        <w:spacing w:line="480" w:lineRule="auto"/>
        <w:rPr>
          <w:rFonts w:cs="Times New Roman"/>
          <w:sz w:val="24"/>
          <w:szCs w:val="24"/>
        </w:rPr>
      </w:pPr>
      <w:r w:rsidRPr="003A52F8">
        <w:rPr>
          <w:rStyle w:val="EndnoteReference"/>
          <w:sz w:val="24"/>
          <w:szCs w:val="24"/>
        </w:rPr>
        <w:endnoteRef/>
      </w:r>
      <w:r w:rsidR="00C7603E">
        <w:rPr>
          <w:sz w:val="24"/>
          <w:szCs w:val="24"/>
        </w:rPr>
        <w:t xml:space="preserve"> Chantraine 1933,</w:t>
      </w:r>
      <w:r w:rsidRPr="003A52F8">
        <w:rPr>
          <w:sz w:val="24"/>
          <w:szCs w:val="24"/>
        </w:rPr>
        <w:t xml:space="preserve"> 62-3, esp. 63 </w:t>
      </w:r>
      <w:r w:rsidR="00F412FD">
        <w:rPr>
          <w:sz w:val="24"/>
          <w:szCs w:val="24"/>
        </w:rPr>
        <w:t>“</w:t>
      </w:r>
      <w:r w:rsidRPr="003A52F8">
        <w:rPr>
          <w:sz w:val="24"/>
          <w:szCs w:val="24"/>
        </w:rPr>
        <w:t>la finale –ιον</w:t>
      </w:r>
      <w:r w:rsidRPr="003A52F8">
        <w:rPr>
          <w:rFonts w:cs="Times New Roman"/>
          <w:sz w:val="24"/>
          <w:szCs w:val="24"/>
        </w:rPr>
        <w:t xml:space="preserve"> dans ces cas a parfois été considérée comme une finale de diminutif</w:t>
      </w:r>
      <w:r w:rsidR="00F412FD">
        <w:rPr>
          <w:rFonts w:cs="Times New Roman"/>
          <w:sz w:val="24"/>
          <w:szCs w:val="24"/>
        </w:rPr>
        <w:t>”</w:t>
      </w:r>
      <w:r w:rsidRPr="003A52F8">
        <w:rPr>
          <w:rFonts w:cs="Times New Roman"/>
          <w:sz w:val="24"/>
          <w:szCs w:val="24"/>
        </w:rPr>
        <w:t xml:space="preserve">. </w:t>
      </w:r>
    </w:p>
  </w:endnote>
  <w:endnote w:id="13">
    <w:p w:rsidR="00D751BE" w:rsidRPr="003A52F8" w:rsidRDefault="00D751BE" w:rsidP="003A52F8">
      <w:pPr>
        <w:pStyle w:val="EndnoteText"/>
        <w:spacing w:line="480" w:lineRule="auto"/>
        <w:rPr>
          <w:sz w:val="24"/>
          <w:szCs w:val="24"/>
        </w:rPr>
      </w:pPr>
      <w:r w:rsidRPr="003A52F8">
        <w:rPr>
          <w:rStyle w:val="EndnoteReference"/>
          <w:sz w:val="24"/>
          <w:szCs w:val="24"/>
        </w:rPr>
        <w:endnoteRef/>
      </w:r>
      <w:r w:rsidR="00C7603E">
        <w:rPr>
          <w:sz w:val="24"/>
          <w:szCs w:val="24"/>
        </w:rPr>
        <w:t xml:space="preserve"> </w:t>
      </w:r>
      <w:r w:rsidRPr="003A52F8">
        <w:rPr>
          <w:sz w:val="24"/>
          <w:szCs w:val="24"/>
        </w:rPr>
        <w:t>The</w:t>
      </w:r>
      <w:r w:rsidR="00C7603E">
        <w:rPr>
          <w:sz w:val="24"/>
          <w:szCs w:val="24"/>
        </w:rPr>
        <w:t>odoridis 1975</w:t>
      </w:r>
      <w:r w:rsidRPr="003A52F8">
        <w:rPr>
          <w:sz w:val="24"/>
          <w:szCs w:val="24"/>
        </w:rPr>
        <w:t>.</w:t>
      </w:r>
    </w:p>
  </w:endnote>
  <w:endnote w:id="14">
    <w:p w:rsidR="00D751BE" w:rsidRPr="003A52F8" w:rsidRDefault="00D751BE" w:rsidP="003A52F8">
      <w:pPr>
        <w:pStyle w:val="EndnoteText"/>
        <w:spacing w:line="480" w:lineRule="auto"/>
        <w:rPr>
          <w:rFonts w:cs="Times New Roman"/>
          <w:sz w:val="24"/>
          <w:szCs w:val="24"/>
        </w:rPr>
      </w:pPr>
      <w:r w:rsidRPr="003A52F8">
        <w:rPr>
          <w:rStyle w:val="EndnoteReference"/>
          <w:sz w:val="24"/>
          <w:szCs w:val="24"/>
        </w:rPr>
        <w:endnoteRef/>
      </w:r>
      <w:r w:rsidR="00C7603E">
        <w:rPr>
          <w:sz w:val="24"/>
          <w:szCs w:val="24"/>
        </w:rPr>
        <w:t xml:space="preserve"> </w:t>
      </w:r>
      <w:r w:rsidRPr="003A52F8">
        <w:rPr>
          <w:rFonts w:cs="Times New Roman"/>
          <w:sz w:val="24"/>
          <w:szCs w:val="24"/>
        </w:rPr>
        <w:t>Amundsen</w:t>
      </w:r>
      <w:r w:rsidR="00C7603E">
        <w:rPr>
          <w:sz w:val="24"/>
          <w:szCs w:val="24"/>
        </w:rPr>
        <w:t xml:space="preserve"> 1965</w:t>
      </w:r>
      <w:r w:rsidRPr="003A52F8">
        <w:rPr>
          <w:sz w:val="24"/>
          <w:szCs w:val="24"/>
        </w:rPr>
        <w:t xml:space="preserve"> for the diminutives of the </w:t>
      </w:r>
      <w:r w:rsidRPr="003A52F8">
        <w:rPr>
          <w:i/>
          <w:sz w:val="24"/>
          <w:szCs w:val="24"/>
        </w:rPr>
        <w:t>Dyskolos</w:t>
      </w:r>
      <w:r w:rsidRPr="003A52F8">
        <w:rPr>
          <w:rFonts w:cs="Times New Roman"/>
          <w:sz w:val="24"/>
          <w:szCs w:val="24"/>
        </w:rPr>
        <w:t xml:space="preserve">. </w:t>
      </w:r>
    </w:p>
  </w:endnote>
  <w:endnote w:id="15">
    <w:p w:rsidR="00D751BE" w:rsidRPr="003A52F8" w:rsidRDefault="00D751BE" w:rsidP="003A52F8">
      <w:pPr>
        <w:pStyle w:val="EndnoteText"/>
        <w:spacing w:line="480" w:lineRule="auto"/>
        <w:rPr>
          <w:sz w:val="24"/>
          <w:szCs w:val="24"/>
        </w:rPr>
      </w:pPr>
      <w:r w:rsidRPr="003A52F8">
        <w:rPr>
          <w:rStyle w:val="EndnoteReference"/>
          <w:sz w:val="24"/>
          <w:szCs w:val="24"/>
        </w:rPr>
        <w:endnoteRef/>
      </w:r>
      <w:r w:rsidR="00C7603E">
        <w:rPr>
          <w:sz w:val="24"/>
          <w:szCs w:val="24"/>
        </w:rPr>
        <w:t xml:space="preserve"> Chantraine 1933,</w:t>
      </w:r>
      <w:r w:rsidRPr="003A52F8">
        <w:rPr>
          <w:sz w:val="24"/>
          <w:szCs w:val="24"/>
        </w:rPr>
        <w:t xml:space="preserve"> 63.</w:t>
      </w:r>
    </w:p>
  </w:endnote>
  <w:endnote w:id="16">
    <w:p w:rsidR="00D751BE" w:rsidRPr="003A52F8" w:rsidRDefault="00D751BE" w:rsidP="003A52F8">
      <w:pPr>
        <w:pStyle w:val="EndnoteText"/>
        <w:spacing w:line="480" w:lineRule="auto"/>
        <w:rPr>
          <w:sz w:val="24"/>
          <w:szCs w:val="24"/>
        </w:rPr>
      </w:pPr>
      <w:r w:rsidRPr="003A52F8">
        <w:rPr>
          <w:rStyle w:val="EndnoteReference"/>
          <w:sz w:val="24"/>
          <w:szCs w:val="24"/>
        </w:rPr>
        <w:endnoteRef/>
      </w:r>
      <w:r w:rsidRPr="003A52F8">
        <w:rPr>
          <w:sz w:val="24"/>
          <w:szCs w:val="24"/>
        </w:rPr>
        <w:t xml:space="preserve"> Contrast Hdt. 5. 52, Thuc. 4.31 with Plut. </w:t>
      </w:r>
      <w:r w:rsidRPr="003A52F8">
        <w:rPr>
          <w:i/>
          <w:sz w:val="24"/>
          <w:szCs w:val="24"/>
        </w:rPr>
        <w:t xml:space="preserve">de Is. et Os. </w:t>
      </w:r>
      <w:r w:rsidRPr="003A52F8">
        <w:rPr>
          <w:sz w:val="24"/>
          <w:szCs w:val="24"/>
        </w:rPr>
        <w:t xml:space="preserve">378b, NT </w:t>
      </w:r>
      <w:r w:rsidRPr="003A52F8">
        <w:rPr>
          <w:i/>
          <w:sz w:val="24"/>
          <w:szCs w:val="24"/>
        </w:rPr>
        <w:t>Matt</w:t>
      </w:r>
      <w:r w:rsidRPr="003A52F8">
        <w:rPr>
          <w:sz w:val="24"/>
          <w:szCs w:val="24"/>
        </w:rPr>
        <w:t xml:space="preserve">. 23:5. </w:t>
      </w:r>
    </w:p>
  </w:endnote>
  <w:endnote w:id="17">
    <w:p w:rsidR="00D751BE" w:rsidRPr="003A52F8" w:rsidRDefault="00D751BE" w:rsidP="003A52F8">
      <w:pPr>
        <w:pStyle w:val="EndnoteText"/>
        <w:spacing w:line="480" w:lineRule="auto"/>
        <w:rPr>
          <w:sz w:val="24"/>
          <w:szCs w:val="24"/>
        </w:rPr>
      </w:pPr>
      <w:r w:rsidRPr="003A52F8">
        <w:rPr>
          <w:rStyle w:val="EndnoteReference"/>
          <w:sz w:val="24"/>
          <w:szCs w:val="24"/>
        </w:rPr>
        <w:endnoteRef/>
      </w:r>
      <w:r w:rsidRPr="003A52F8">
        <w:rPr>
          <w:sz w:val="24"/>
          <w:szCs w:val="24"/>
        </w:rPr>
        <w:t xml:space="preserve"> I quote an example I observed myself: a friend referred to a group of scholars working in reception studies as </w:t>
      </w:r>
      <w:r w:rsidR="00F412FD">
        <w:rPr>
          <w:sz w:val="24"/>
          <w:szCs w:val="24"/>
        </w:rPr>
        <w:t>“</w:t>
      </w:r>
      <w:r w:rsidRPr="003A52F8">
        <w:rPr>
          <w:sz w:val="24"/>
          <w:szCs w:val="24"/>
        </w:rPr>
        <w:t>receptionists</w:t>
      </w:r>
      <w:r w:rsidR="00F412FD">
        <w:rPr>
          <w:sz w:val="24"/>
          <w:szCs w:val="24"/>
        </w:rPr>
        <w:t>”</w:t>
      </w:r>
      <w:r w:rsidRPr="003A52F8">
        <w:rPr>
          <w:sz w:val="24"/>
          <w:szCs w:val="24"/>
        </w:rPr>
        <w:t xml:space="preserve">. Upon using the word, she </w:t>
      </w:r>
      <w:r w:rsidR="009978CA">
        <w:rPr>
          <w:sz w:val="24"/>
          <w:szCs w:val="24"/>
        </w:rPr>
        <w:t xml:space="preserve">stopped speaking, looked puzzled, and said that the expression did not quite </w:t>
      </w:r>
      <w:r w:rsidR="00F412FD">
        <w:rPr>
          <w:sz w:val="24"/>
          <w:szCs w:val="24"/>
        </w:rPr>
        <w:t>“</w:t>
      </w:r>
      <w:r w:rsidR="009978CA">
        <w:rPr>
          <w:sz w:val="24"/>
          <w:szCs w:val="24"/>
        </w:rPr>
        <w:t>sound right</w:t>
      </w:r>
      <w:r w:rsidR="00F412FD">
        <w:rPr>
          <w:sz w:val="24"/>
          <w:szCs w:val="24"/>
        </w:rPr>
        <w:t>”</w:t>
      </w:r>
      <w:r w:rsidR="009978CA">
        <w:rPr>
          <w:sz w:val="24"/>
          <w:szCs w:val="24"/>
        </w:rPr>
        <w:t xml:space="preserve">. Although she was capable of coining the word </w:t>
      </w:r>
      <w:r w:rsidR="00F412FD">
        <w:rPr>
          <w:sz w:val="24"/>
          <w:szCs w:val="24"/>
        </w:rPr>
        <w:t>“</w:t>
      </w:r>
      <w:r w:rsidR="009978CA">
        <w:rPr>
          <w:sz w:val="24"/>
          <w:szCs w:val="24"/>
        </w:rPr>
        <w:t>receptionist</w:t>
      </w:r>
      <w:r w:rsidR="00F412FD">
        <w:rPr>
          <w:sz w:val="24"/>
          <w:szCs w:val="24"/>
        </w:rPr>
        <w:t>”</w:t>
      </w:r>
      <w:r w:rsidR="009978CA">
        <w:rPr>
          <w:sz w:val="24"/>
          <w:szCs w:val="24"/>
        </w:rPr>
        <w:t xml:space="preserve"> to mean </w:t>
      </w:r>
      <w:r w:rsidR="00F412FD">
        <w:rPr>
          <w:sz w:val="24"/>
          <w:szCs w:val="24"/>
        </w:rPr>
        <w:t>“</w:t>
      </w:r>
      <w:r w:rsidR="009978CA">
        <w:rPr>
          <w:sz w:val="24"/>
          <w:szCs w:val="24"/>
        </w:rPr>
        <w:t>scholar of reception studies</w:t>
      </w:r>
      <w:r w:rsidR="00F412FD">
        <w:rPr>
          <w:sz w:val="24"/>
          <w:szCs w:val="24"/>
        </w:rPr>
        <w:t>”</w:t>
      </w:r>
      <w:r w:rsidR="009978CA">
        <w:rPr>
          <w:sz w:val="24"/>
          <w:szCs w:val="24"/>
        </w:rPr>
        <w:t>, she was unhappy with it, due to the pre-existing homo</w:t>
      </w:r>
      <w:r w:rsidR="00363B96">
        <w:rPr>
          <w:sz w:val="24"/>
          <w:szCs w:val="24"/>
        </w:rPr>
        <w:t>nym</w:t>
      </w:r>
      <w:r w:rsidR="009978CA">
        <w:rPr>
          <w:sz w:val="24"/>
          <w:szCs w:val="24"/>
        </w:rPr>
        <w:t xml:space="preserve"> </w:t>
      </w:r>
      <w:r w:rsidR="00F412FD">
        <w:rPr>
          <w:sz w:val="24"/>
          <w:szCs w:val="24"/>
        </w:rPr>
        <w:t>“</w:t>
      </w:r>
      <w:r w:rsidRPr="003A52F8">
        <w:rPr>
          <w:sz w:val="24"/>
          <w:szCs w:val="24"/>
        </w:rPr>
        <w:t>someone who staffs a reception desk</w:t>
      </w:r>
      <w:r w:rsidR="00F412FD">
        <w:rPr>
          <w:sz w:val="24"/>
          <w:szCs w:val="24"/>
        </w:rPr>
        <w:t>”</w:t>
      </w:r>
      <w:r w:rsidRPr="003A52F8">
        <w:rPr>
          <w:sz w:val="24"/>
          <w:szCs w:val="24"/>
        </w:rPr>
        <w:t xml:space="preserve">. </w:t>
      </w:r>
      <w:r w:rsidR="009978CA">
        <w:rPr>
          <w:sz w:val="24"/>
          <w:szCs w:val="24"/>
        </w:rPr>
        <w:t>My referee informs me that the word is used pejoratively about scholars of reception</w:t>
      </w:r>
      <w:r w:rsidR="00BE1021">
        <w:rPr>
          <w:sz w:val="24"/>
          <w:szCs w:val="24"/>
        </w:rPr>
        <w:t>. T</w:t>
      </w:r>
      <w:r w:rsidR="009978CA">
        <w:rPr>
          <w:sz w:val="24"/>
          <w:szCs w:val="24"/>
        </w:rPr>
        <w:t>his</w:t>
      </w:r>
      <w:r w:rsidR="00BE1021">
        <w:rPr>
          <w:sz w:val="24"/>
          <w:szCs w:val="24"/>
        </w:rPr>
        <w:t>, however,</w:t>
      </w:r>
      <w:r w:rsidR="009978CA">
        <w:rPr>
          <w:sz w:val="24"/>
          <w:szCs w:val="24"/>
        </w:rPr>
        <w:t xml:space="preserve"> is a different phenomenon, in which the homophony is exploited deliberately, and does not reflect the pragmatics of the situation I observed. </w:t>
      </w:r>
      <w:r w:rsidR="00BE1021">
        <w:rPr>
          <w:sz w:val="24"/>
          <w:szCs w:val="24"/>
        </w:rPr>
        <w:t>It is an example of the kind of studied exceptions to blocking possible in particular situations – Shakespeare</w:t>
      </w:r>
      <w:r w:rsidR="00363B96">
        <w:rPr>
          <w:sz w:val="24"/>
          <w:szCs w:val="24"/>
        </w:rPr>
        <w:t>’</w:t>
      </w:r>
      <w:r w:rsidR="00BE1021">
        <w:rPr>
          <w:sz w:val="24"/>
          <w:szCs w:val="24"/>
        </w:rPr>
        <w:t xml:space="preserve">s </w:t>
      </w:r>
      <w:r w:rsidR="00F412FD">
        <w:rPr>
          <w:sz w:val="24"/>
          <w:szCs w:val="24"/>
        </w:rPr>
        <w:t>“</w:t>
      </w:r>
      <w:r w:rsidR="00BE1021">
        <w:rPr>
          <w:sz w:val="24"/>
          <w:szCs w:val="24"/>
        </w:rPr>
        <w:t>stealers</w:t>
      </w:r>
      <w:r w:rsidR="00F412FD">
        <w:rPr>
          <w:sz w:val="24"/>
          <w:szCs w:val="24"/>
        </w:rPr>
        <w:t>”</w:t>
      </w:r>
      <w:r w:rsidR="00BE1021">
        <w:rPr>
          <w:sz w:val="24"/>
          <w:szCs w:val="24"/>
        </w:rPr>
        <w:t xml:space="preserve"> (see n.</w:t>
      </w:r>
      <w:r w:rsidR="00017C8A">
        <w:rPr>
          <w:sz w:val="24"/>
          <w:szCs w:val="24"/>
        </w:rPr>
        <w:t xml:space="preserve"> 18</w:t>
      </w:r>
      <w:r w:rsidR="00BE1021">
        <w:rPr>
          <w:sz w:val="24"/>
          <w:szCs w:val="24"/>
        </w:rPr>
        <w:t>) are comparable.</w:t>
      </w:r>
    </w:p>
  </w:endnote>
  <w:endnote w:id="18">
    <w:p w:rsidR="00D751BE" w:rsidRPr="003A52F8" w:rsidRDefault="00D751BE" w:rsidP="003A52F8">
      <w:pPr>
        <w:pStyle w:val="EndnoteText"/>
        <w:spacing w:line="480" w:lineRule="auto"/>
        <w:rPr>
          <w:sz w:val="24"/>
          <w:szCs w:val="24"/>
        </w:rPr>
      </w:pPr>
      <w:r w:rsidRPr="003A52F8">
        <w:rPr>
          <w:rStyle w:val="EndnoteReference"/>
          <w:sz w:val="24"/>
          <w:szCs w:val="24"/>
        </w:rPr>
        <w:endnoteRef/>
      </w:r>
      <w:r w:rsidR="00C7603E">
        <w:rPr>
          <w:sz w:val="24"/>
          <w:szCs w:val="24"/>
        </w:rPr>
        <w:t xml:space="preserve"> Plag (2003,</w:t>
      </w:r>
      <w:r w:rsidRPr="003A52F8">
        <w:rPr>
          <w:sz w:val="24"/>
          <w:szCs w:val="24"/>
        </w:rPr>
        <w:t xml:space="preserve"> 64</w:t>
      </w:r>
      <w:r w:rsidR="00C7603E">
        <w:rPr>
          <w:sz w:val="24"/>
          <w:szCs w:val="24"/>
        </w:rPr>
        <w:t>)</w:t>
      </w:r>
      <w:r w:rsidRPr="003A52F8">
        <w:rPr>
          <w:sz w:val="24"/>
          <w:szCs w:val="24"/>
        </w:rPr>
        <w:t xml:space="preserve"> is critical,</w:t>
      </w:r>
      <w:r w:rsidR="00C7603E">
        <w:rPr>
          <w:sz w:val="24"/>
          <w:szCs w:val="24"/>
        </w:rPr>
        <w:t xml:space="preserve"> but see the examples in Bauer (2003, 234-5), (1988,</w:t>
      </w:r>
      <w:r w:rsidRPr="003A52F8">
        <w:rPr>
          <w:sz w:val="24"/>
          <w:szCs w:val="24"/>
        </w:rPr>
        <w:t xml:space="preserve"> 82</w:t>
      </w:r>
      <w:r w:rsidR="00C7603E">
        <w:rPr>
          <w:sz w:val="24"/>
          <w:szCs w:val="24"/>
        </w:rPr>
        <w:t>)</w:t>
      </w:r>
      <w:r w:rsidRPr="003A52F8">
        <w:rPr>
          <w:sz w:val="24"/>
          <w:szCs w:val="24"/>
        </w:rPr>
        <w:t xml:space="preserve">. </w:t>
      </w:r>
      <w:r w:rsidR="00363B96">
        <w:rPr>
          <w:sz w:val="24"/>
          <w:szCs w:val="24"/>
        </w:rPr>
        <w:t xml:space="preserve">Blocking phenomena are rarely entirely consistent, </w:t>
      </w:r>
      <w:r w:rsidR="00C7603E">
        <w:rPr>
          <w:sz w:val="24"/>
          <w:szCs w:val="24"/>
        </w:rPr>
        <w:t xml:space="preserve">see Matthews (1991, </w:t>
      </w:r>
      <w:r w:rsidRPr="003A52F8">
        <w:rPr>
          <w:sz w:val="24"/>
          <w:szCs w:val="24"/>
        </w:rPr>
        <w:t>76-80</w:t>
      </w:r>
      <w:r w:rsidR="00363B96">
        <w:rPr>
          <w:sz w:val="24"/>
          <w:szCs w:val="24"/>
        </w:rPr>
        <w:t xml:space="preserve">); this discussion also shows how blocking can nevertheless be a helpful tool to understand morphological change (and its absence). </w:t>
      </w:r>
    </w:p>
  </w:endnote>
  <w:endnote w:id="19">
    <w:p w:rsidR="00E049A1" w:rsidRPr="003A52F8" w:rsidRDefault="00E049A1" w:rsidP="00E049A1">
      <w:pPr>
        <w:pStyle w:val="EndnoteText"/>
        <w:spacing w:line="480" w:lineRule="auto"/>
        <w:rPr>
          <w:sz w:val="24"/>
          <w:szCs w:val="24"/>
        </w:rPr>
      </w:pPr>
      <w:r w:rsidRPr="003A52F8">
        <w:rPr>
          <w:rStyle w:val="EndnoteReference"/>
          <w:sz w:val="24"/>
          <w:szCs w:val="24"/>
        </w:rPr>
        <w:endnoteRef/>
      </w:r>
      <w:r w:rsidRPr="003A52F8">
        <w:rPr>
          <w:sz w:val="24"/>
          <w:szCs w:val="24"/>
        </w:rPr>
        <w:t xml:space="preserve"> </w:t>
      </w:r>
      <w:r>
        <w:rPr>
          <w:sz w:val="24"/>
          <w:szCs w:val="24"/>
        </w:rPr>
        <w:t xml:space="preserve">This phenomenon has been used to argue against the very notion of blocking; see Bauer (1983, </w:t>
      </w:r>
      <w:r w:rsidRPr="003A52F8">
        <w:rPr>
          <w:sz w:val="24"/>
          <w:szCs w:val="24"/>
        </w:rPr>
        <w:t>81</w:t>
      </w:r>
      <w:r>
        <w:rPr>
          <w:sz w:val="24"/>
          <w:szCs w:val="24"/>
        </w:rPr>
        <w:t>)</w:t>
      </w:r>
      <w:r w:rsidRPr="003A52F8">
        <w:rPr>
          <w:sz w:val="24"/>
          <w:szCs w:val="24"/>
        </w:rPr>
        <w:t xml:space="preserve"> on Shakespeare</w:t>
      </w:r>
      <w:r>
        <w:rPr>
          <w:sz w:val="24"/>
          <w:szCs w:val="24"/>
        </w:rPr>
        <w:t>’</w:t>
      </w:r>
      <w:r w:rsidRPr="003A52F8">
        <w:rPr>
          <w:sz w:val="24"/>
          <w:szCs w:val="24"/>
        </w:rPr>
        <w:t xml:space="preserve">s expression </w:t>
      </w:r>
      <w:r>
        <w:rPr>
          <w:sz w:val="24"/>
          <w:szCs w:val="24"/>
        </w:rPr>
        <w:t>“</w:t>
      </w:r>
      <w:r w:rsidRPr="003A52F8">
        <w:rPr>
          <w:sz w:val="24"/>
          <w:szCs w:val="24"/>
        </w:rPr>
        <w:t>the ten stealers</w:t>
      </w:r>
      <w:r>
        <w:rPr>
          <w:sz w:val="24"/>
          <w:szCs w:val="24"/>
        </w:rPr>
        <w:t>”</w:t>
      </w:r>
      <w:r w:rsidRPr="003A52F8">
        <w:rPr>
          <w:sz w:val="24"/>
          <w:szCs w:val="24"/>
        </w:rPr>
        <w:t xml:space="preserve"> (= fingers), despite </w:t>
      </w:r>
      <w:r w:rsidRPr="003A52F8">
        <w:rPr>
          <w:i/>
          <w:sz w:val="24"/>
          <w:szCs w:val="24"/>
        </w:rPr>
        <w:t>stealer</w:t>
      </w:r>
      <w:r w:rsidRPr="003A52F8">
        <w:rPr>
          <w:sz w:val="24"/>
          <w:szCs w:val="24"/>
        </w:rPr>
        <w:t xml:space="preserve"> being blocked in standard language by </w:t>
      </w:r>
      <w:r w:rsidRPr="003A52F8">
        <w:rPr>
          <w:i/>
          <w:sz w:val="24"/>
          <w:szCs w:val="24"/>
        </w:rPr>
        <w:t>thief</w:t>
      </w:r>
      <w:r w:rsidRPr="003A52F8">
        <w:rPr>
          <w:sz w:val="24"/>
          <w:szCs w:val="24"/>
        </w:rPr>
        <w:t>.</w:t>
      </w:r>
    </w:p>
  </w:endnote>
  <w:endnote w:id="20">
    <w:p w:rsidR="00D751BE" w:rsidRPr="003A52F8" w:rsidRDefault="00D751BE" w:rsidP="003A52F8">
      <w:pPr>
        <w:pStyle w:val="EndnoteText"/>
        <w:spacing w:line="480" w:lineRule="auto"/>
        <w:rPr>
          <w:sz w:val="24"/>
          <w:szCs w:val="24"/>
        </w:rPr>
      </w:pPr>
      <w:r w:rsidRPr="003A52F8">
        <w:rPr>
          <w:rStyle w:val="EndnoteReference"/>
          <w:sz w:val="24"/>
          <w:szCs w:val="24"/>
        </w:rPr>
        <w:endnoteRef/>
      </w:r>
      <w:r w:rsidRPr="003A52F8">
        <w:rPr>
          <w:sz w:val="24"/>
          <w:szCs w:val="24"/>
        </w:rPr>
        <w:t xml:space="preserve"> The speaker is not clear – it could be Syrus or Smicrines. But none of the argument below is affected by this; in fact, some details would be simpler if it were established that Syrus was the speaker.</w:t>
      </w:r>
    </w:p>
  </w:endnote>
  <w:endnote w:id="21">
    <w:p w:rsidR="00D751BE" w:rsidRPr="003A52F8" w:rsidRDefault="00D751BE" w:rsidP="003A52F8">
      <w:pPr>
        <w:pStyle w:val="EndnoteText"/>
        <w:spacing w:line="480" w:lineRule="auto"/>
        <w:rPr>
          <w:rFonts w:cs="Times New Roman"/>
          <w:sz w:val="24"/>
          <w:szCs w:val="24"/>
        </w:rPr>
      </w:pPr>
      <w:r w:rsidRPr="003A52F8">
        <w:rPr>
          <w:rStyle w:val="EndnoteReference"/>
          <w:sz w:val="24"/>
          <w:szCs w:val="24"/>
        </w:rPr>
        <w:endnoteRef/>
      </w:r>
      <w:r w:rsidRPr="003A52F8">
        <w:rPr>
          <w:sz w:val="24"/>
          <w:szCs w:val="24"/>
        </w:rPr>
        <w:t xml:space="preserve"> Furle</w:t>
      </w:r>
      <w:r w:rsidR="00C7603E">
        <w:rPr>
          <w:sz w:val="24"/>
          <w:szCs w:val="24"/>
        </w:rPr>
        <w:t>y (2009,</w:t>
      </w:r>
      <w:r w:rsidRPr="003A52F8">
        <w:rPr>
          <w:sz w:val="24"/>
          <w:szCs w:val="24"/>
        </w:rPr>
        <w:t xml:space="preserve"> 160</w:t>
      </w:r>
      <w:r w:rsidR="00C7603E">
        <w:rPr>
          <w:sz w:val="24"/>
          <w:szCs w:val="24"/>
        </w:rPr>
        <w:t>)</w:t>
      </w:r>
      <w:r w:rsidRPr="003A52F8">
        <w:rPr>
          <w:sz w:val="24"/>
          <w:szCs w:val="24"/>
        </w:rPr>
        <w:t xml:space="preserve"> suggests that Smicrines is simply addressing a member of the kind of work-force referred to as an ἐργαστήριον</w:t>
      </w:r>
      <w:r w:rsidRPr="003A52F8">
        <w:rPr>
          <w:rFonts w:cs="Times New Roman"/>
          <w:sz w:val="24"/>
          <w:szCs w:val="24"/>
        </w:rPr>
        <w:t xml:space="preserve"> by that term. This is of course possible; but the utterance seems to lose in force as a result. This is the moment the objects are handed over (πάντ᾿ ἔχεις 367, whether punctuated as a question from Smicrines or a sigh of surrender by Davus, shows that the transaction is complete), a moment of dramatic significance as the audience sees the tokens for the first time.</w:t>
      </w:r>
    </w:p>
  </w:endnote>
  <w:endnote w:id="22">
    <w:p w:rsidR="00D751BE" w:rsidRPr="003A52F8" w:rsidRDefault="00D751BE" w:rsidP="003A52F8">
      <w:pPr>
        <w:pStyle w:val="EndnoteText"/>
        <w:spacing w:line="480" w:lineRule="auto"/>
        <w:rPr>
          <w:sz w:val="24"/>
          <w:szCs w:val="24"/>
        </w:rPr>
      </w:pPr>
      <w:r w:rsidRPr="003A52F8">
        <w:rPr>
          <w:rStyle w:val="EndnoteReference"/>
          <w:sz w:val="24"/>
          <w:szCs w:val="24"/>
        </w:rPr>
        <w:endnoteRef/>
      </w:r>
      <w:r w:rsidRPr="003A52F8">
        <w:rPr>
          <w:sz w:val="24"/>
          <w:szCs w:val="24"/>
        </w:rPr>
        <w:t xml:space="preserve"> For a survey, see </w:t>
      </w:r>
      <w:r w:rsidR="00C7603E">
        <w:rPr>
          <w:sz w:val="24"/>
          <w:szCs w:val="24"/>
        </w:rPr>
        <w:t xml:space="preserve">Jurafsky 1995; for Greek, Schwyzer (1939, </w:t>
      </w:r>
      <w:r w:rsidRPr="003A52F8">
        <w:rPr>
          <w:sz w:val="24"/>
          <w:szCs w:val="24"/>
        </w:rPr>
        <w:t>470</w:t>
      </w:r>
      <w:r w:rsidR="00C7603E">
        <w:rPr>
          <w:sz w:val="24"/>
          <w:szCs w:val="24"/>
        </w:rPr>
        <w:t>)</w:t>
      </w:r>
      <w:r w:rsidRPr="003A52F8">
        <w:rPr>
          <w:sz w:val="24"/>
          <w:szCs w:val="24"/>
        </w:rPr>
        <w:t xml:space="preserve"> on the semantic range of the diminutive in Greek (indicating small size; affection; derogatory; partitivity).  </w:t>
      </w:r>
    </w:p>
  </w:endnote>
  <w:endnote w:id="23">
    <w:p w:rsidR="00D751BE" w:rsidRPr="003A52F8" w:rsidRDefault="00D751BE" w:rsidP="003A52F8">
      <w:pPr>
        <w:pStyle w:val="EndnoteText"/>
        <w:spacing w:line="480" w:lineRule="auto"/>
        <w:rPr>
          <w:sz w:val="24"/>
          <w:szCs w:val="24"/>
        </w:rPr>
      </w:pPr>
      <w:r w:rsidRPr="003A52F8">
        <w:rPr>
          <w:rStyle w:val="EndnoteReference"/>
          <w:sz w:val="24"/>
          <w:szCs w:val="24"/>
        </w:rPr>
        <w:endnoteRef/>
      </w:r>
      <w:r w:rsidR="00C7603E">
        <w:rPr>
          <w:sz w:val="24"/>
          <w:szCs w:val="24"/>
        </w:rPr>
        <w:t xml:space="preserve"> Aikhenvald 2007,</w:t>
      </w:r>
      <w:r w:rsidRPr="003A52F8">
        <w:rPr>
          <w:sz w:val="24"/>
          <w:szCs w:val="24"/>
        </w:rPr>
        <w:t xml:space="preserve"> 54.</w:t>
      </w:r>
    </w:p>
  </w:endnote>
  <w:endnote w:id="24">
    <w:p w:rsidR="00D751BE" w:rsidRPr="003A52F8" w:rsidRDefault="00D751BE" w:rsidP="003A52F8">
      <w:pPr>
        <w:pStyle w:val="EndnoteText"/>
        <w:spacing w:line="480" w:lineRule="auto"/>
        <w:rPr>
          <w:sz w:val="24"/>
          <w:szCs w:val="24"/>
        </w:rPr>
      </w:pPr>
      <w:r w:rsidRPr="003A52F8">
        <w:rPr>
          <w:rStyle w:val="EndnoteReference"/>
          <w:sz w:val="24"/>
          <w:szCs w:val="24"/>
        </w:rPr>
        <w:endnoteRef/>
      </w:r>
      <w:r w:rsidRPr="003A52F8">
        <w:rPr>
          <w:sz w:val="24"/>
          <w:szCs w:val="24"/>
        </w:rPr>
        <w:t xml:space="preserve"> This is admittedly not secure: the word</w:t>
      </w:r>
      <w:r w:rsidR="00755E47">
        <w:rPr>
          <w:sz w:val="24"/>
          <w:szCs w:val="24"/>
        </w:rPr>
        <w:t xml:space="preserve"> may already have been lexicaliz</w:t>
      </w:r>
      <w:r w:rsidRPr="003A52F8">
        <w:rPr>
          <w:sz w:val="24"/>
          <w:szCs w:val="24"/>
        </w:rPr>
        <w:t xml:space="preserve">ed given the use of the term in Ar. </w:t>
      </w:r>
      <w:r w:rsidRPr="003A52F8">
        <w:rPr>
          <w:i/>
          <w:sz w:val="24"/>
          <w:szCs w:val="24"/>
        </w:rPr>
        <w:t>Vesp</w:t>
      </w:r>
      <w:r w:rsidRPr="003A52F8">
        <w:rPr>
          <w:sz w:val="24"/>
          <w:szCs w:val="24"/>
        </w:rPr>
        <w:t xml:space="preserve">. 379. </w:t>
      </w:r>
    </w:p>
  </w:endnote>
  <w:endnote w:id="25">
    <w:p w:rsidR="00D751BE" w:rsidRPr="003A52F8" w:rsidRDefault="00D751BE" w:rsidP="003A52F8">
      <w:pPr>
        <w:pStyle w:val="EndnoteText"/>
        <w:spacing w:line="480" w:lineRule="auto"/>
        <w:rPr>
          <w:sz w:val="24"/>
          <w:szCs w:val="24"/>
        </w:rPr>
      </w:pPr>
      <w:r w:rsidRPr="003A52F8">
        <w:rPr>
          <w:rStyle w:val="EndnoteReference"/>
          <w:sz w:val="24"/>
          <w:szCs w:val="24"/>
        </w:rPr>
        <w:endnoteRef/>
      </w:r>
      <w:r w:rsidR="00C7603E">
        <w:rPr>
          <w:sz w:val="24"/>
          <w:szCs w:val="24"/>
        </w:rPr>
        <w:t xml:space="preserve"> Krieter-Spiro 1997, 244. Cohoon (1914,</w:t>
      </w:r>
      <w:r w:rsidRPr="003A52F8">
        <w:rPr>
          <w:sz w:val="24"/>
          <w:szCs w:val="24"/>
        </w:rPr>
        <w:t xml:space="preserve"> 164-6</w:t>
      </w:r>
      <w:r w:rsidR="00C7603E">
        <w:rPr>
          <w:sz w:val="24"/>
          <w:szCs w:val="24"/>
        </w:rPr>
        <w:t>)</w:t>
      </w:r>
      <w:r w:rsidRPr="003A52F8">
        <w:rPr>
          <w:sz w:val="24"/>
          <w:szCs w:val="24"/>
        </w:rPr>
        <w:t xml:space="preserve"> is unclear whether this is being portrayed as Davus</w:t>
      </w:r>
      <w:r w:rsidR="00C7603E">
        <w:rPr>
          <w:sz w:val="24"/>
          <w:szCs w:val="24"/>
        </w:rPr>
        <w:t>’</w:t>
      </w:r>
      <w:r w:rsidRPr="003A52F8">
        <w:rPr>
          <w:sz w:val="24"/>
          <w:szCs w:val="24"/>
        </w:rPr>
        <w:t xml:space="preserve"> strategy, or whether Davus is simply given a plainer style (but see 170 on παιδάριον</w:t>
      </w:r>
      <w:r w:rsidRPr="003A52F8">
        <w:rPr>
          <w:rFonts w:cs="Times New Roman"/>
          <w:sz w:val="24"/>
          <w:szCs w:val="24"/>
        </w:rPr>
        <w:t xml:space="preserve"> vs. παιδίον)</w:t>
      </w:r>
      <w:r w:rsidRPr="003A52F8">
        <w:rPr>
          <w:sz w:val="24"/>
          <w:szCs w:val="24"/>
        </w:rPr>
        <w:t>. Such a distinction in a literary text is somewhat artificial (or at least would need to be made by an actor, rather than by a philologis</w:t>
      </w:r>
      <w:r w:rsidR="00C7603E">
        <w:rPr>
          <w:sz w:val="24"/>
          <w:szCs w:val="24"/>
        </w:rPr>
        <w:t>t). Prato in Prato et al. (1983,</w:t>
      </w:r>
      <w:r w:rsidRPr="003A52F8">
        <w:rPr>
          <w:sz w:val="24"/>
          <w:szCs w:val="24"/>
        </w:rPr>
        <w:t xml:space="preserve"> 32-3</w:t>
      </w:r>
      <w:r w:rsidR="00C7603E">
        <w:rPr>
          <w:sz w:val="24"/>
          <w:szCs w:val="24"/>
        </w:rPr>
        <w:t>)</w:t>
      </w:r>
      <w:r w:rsidRPr="003A52F8">
        <w:rPr>
          <w:sz w:val="24"/>
          <w:szCs w:val="24"/>
        </w:rPr>
        <w:t xml:space="preserve"> observes that Davus</w:t>
      </w:r>
      <w:r w:rsidR="00363B96">
        <w:rPr>
          <w:sz w:val="24"/>
          <w:szCs w:val="24"/>
        </w:rPr>
        <w:t>’</w:t>
      </w:r>
      <w:r w:rsidRPr="003A52F8">
        <w:rPr>
          <w:sz w:val="24"/>
          <w:szCs w:val="24"/>
        </w:rPr>
        <w:t xml:space="preserve"> metre is noticeably more </w:t>
      </w:r>
      <w:r w:rsidR="00F412FD">
        <w:rPr>
          <w:sz w:val="24"/>
          <w:szCs w:val="24"/>
        </w:rPr>
        <w:t>“</w:t>
      </w:r>
      <w:r w:rsidRPr="003A52F8">
        <w:rPr>
          <w:sz w:val="24"/>
          <w:szCs w:val="24"/>
        </w:rPr>
        <w:t>severe</w:t>
      </w:r>
      <w:r w:rsidR="00F412FD">
        <w:rPr>
          <w:sz w:val="24"/>
          <w:szCs w:val="24"/>
        </w:rPr>
        <w:t>”</w:t>
      </w:r>
      <w:r w:rsidRPr="003A52F8">
        <w:rPr>
          <w:sz w:val="24"/>
          <w:szCs w:val="24"/>
        </w:rPr>
        <w:t xml:space="preserve"> than Syrus</w:t>
      </w:r>
      <w:r w:rsidR="00C7603E">
        <w:rPr>
          <w:sz w:val="24"/>
          <w:szCs w:val="24"/>
        </w:rPr>
        <w:t>’</w:t>
      </w:r>
      <w:r w:rsidRPr="003A52F8">
        <w:rPr>
          <w:sz w:val="24"/>
          <w:szCs w:val="24"/>
        </w:rPr>
        <w:t xml:space="preserve">. </w:t>
      </w:r>
    </w:p>
  </w:endnote>
  <w:endnote w:id="26">
    <w:p w:rsidR="00D751BE" w:rsidRPr="003A52F8" w:rsidRDefault="00D751BE" w:rsidP="003A52F8">
      <w:pPr>
        <w:pStyle w:val="EndnoteText"/>
        <w:spacing w:line="480" w:lineRule="auto"/>
        <w:rPr>
          <w:sz w:val="24"/>
          <w:szCs w:val="24"/>
        </w:rPr>
      </w:pPr>
      <w:r w:rsidRPr="003A52F8">
        <w:rPr>
          <w:rStyle w:val="EndnoteReference"/>
          <w:sz w:val="24"/>
          <w:szCs w:val="24"/>
        </w:rPr>
        <w:endnoteRef/>
      </w:r>
      <w:r w:rsidRPr="003A52F8">
        <w:rPr>
          <w:sz w:val="24"/>
          <w:szCs w:val="24"/>
        </w:rPr>
        <w:t xml:space="preserve"> </w:t>
      </w:r>
      <w:r w:rsidRPr="003A52F8">
        <w:rPr>
          <w:rFonts w:cs="Times New Roman"/>
          <w:sz w:val="24"/>
          <w:szCs w:val="24"/>
        </w:rPr>
        <w:t>T</w:t>
      </w:r>
      <w:r w:rsidRPr="003A52F8">
        <w:rPr>
          <w:sz w:val="24"/>
          <w:szCs w:val="24"/>
        </w:rPr>
        <w:t xml:space="preserve">he forms </w:t>
      </w:r>
      <w:r w:rsidRPr="003A52F8">
        <w:rPr>
          <w:rFonts w:cs="Times New Roman"/>
          <w:sz w:val="24"/>
          <w:szCs w:val="24"/>
        </w:rPr>
        <w:t xml:space="preserve">ἐργαστήρ and ἐργάτης were synonyms in the classical period, one being an archaic noun in –της, the other a deverbal </w:t>
      </w:r>
      <w:r w:rsidRPr="003A52F8">
        <w:rPr>
          <w:rFonts w:cs="Times New Roman"/>
          <w:i/>
          <w:sz w:val="24"/>
          <w:szCs w:val="24"/>
        </w:rPr>
        <w:t xml:space="preserve">nomen agentis </w:t>
      </w:r>
      <w:r w:rsidRPr="003A52F8">
        <w:rPr>
          <w:rFonts w:cs="Times New Roman"/>
          <w:sz w:val="24"/>
          <w:szCs w:val="24"/>
        </w:rPr>
        <w:t xml:space="preserve">from ἐργάζεσθαι; the forms ἐργαστής by contrast is a </w:t>
      </w:r>
      <w:r w:rsidRPr="003A52F8">
        <w:rPr>
          <w:rFonts w:cs="Times New Roman"/>
          <w:i/>
          <w:sz w:val="24"/>
          <w:szCs w:val="24"/>
        </w:rPr>
        <w:t>hapax legomenon</w:t>
      </w:r>
      <w:r w:rsidRPr="003A52F8">
        <w:rPr>
          <w:rFonts w:cs="Times New Roman"/>
          <w:sz w:val="24"/>
          <w:szCs w:val="24"/>
        </w:rPr>
        <w:t xml:space="preserve"> attested only in the Roman period in the sense </w:t>
      </w:r>
      <w:r w:rsidR="00F412FD">
        <w:rPr>
          <w:rFonts w:cs="Times New Roman"/>
          <w:sz w:val="24"/>
          <w:szCs w:val="24"/>
        </w:rPr>
        <w:t>“</w:t>
      </w:r>
      <w:r w:rsidRPr="003A52F8">
        <w:rPr>
          <w:rFonts w:cs="Times New Roman"/>
          <w:sz w:val="24"/>
          <w:szCs w:val="24"/>
        </w:rPr>
        <w:t>businessman</w:t>
      </w:r>
      <w:r w:rsidR="00F412FD">
        <w:rPr>
          <w:rFonts w:cs="Times New Roman"/>
          <w:sz w:val="24"/>
          <w:szCs w:val="24"/>
        </w:rPr>
        <w:t>”</w:t>
      </w:r>
      <w:r w:rsidRPr="003A52F8">
        <w:rPr>
          <w:rFonts w:cs="Times New Roman"/>
          <w:sz w:val="24"/>
          <w:szCs w:val="24"/>
        </w:rPr>
        <w:t xml:space="preserve"> (</w:t>
      </w:r>
      <w:r w:rsidRPr="003A52F8">
        <w:rPr>
          <w:rFonts w:cs="Times New Roman"/>
          <w:i/>
          <w:sz w:val="24"/>
          <w:szCs w:val="24"/>
        </w:rPr>
        <w:t>negotiator</w:t>
      </w:r>
      <w:r w:rsidRPr="003A52F8">
        <w:rPr>
          <w:rFonts w:cs="Times New Roman"/>
          <w:sz w:val="24"/>
          <w:szCs w:val="24"/>
        </w:rPr>
        <w:t>). See</w:t>
      </w:r>
      <w:r w:rsidR="00C7603E">
        <w:rPr>
          <w:sz w:val="24"/>
          <w:szCs w:val="24"/>
        </w:rPr>
        <w:t xml:space="preserve"> Fraenkel (1910,</w:t>
      </w:r>
      <w:r w:rsidRPr="003A52F8">
        <w:rPr>
          <w:sz w:val="24"/>
          <w:szCs w:val="24"/>
        </w:rPr>
        <w:t xml:space="preserve"> 146-9</w:t>
      </w:r>
      <w:r w:rsidR="00C7603E">
        <w:rPr>
          <w:sz w:val="24"/>
          <w:szCs w:val="24"/>
        </w:rPr>
        <w:t>)</w:t>
      </w:r>
      <w:r w:rsidRPr="003A52F8">
        <w:rPr>
          <w:sz w:val="24"/>
          <w:szCs w:val="24"/>
        </w:rPr>
        <w:t>.</w:t>
      </w:r>
    </w:p>
  </w:endnote>
  <w:endnote w:id="27">
    <w:p w:rsidR="00D751BE" w:rsidRPr="003A52F8" w:rsidRDefault="00D751BE" w:rsidP="003A52F8">
      <w:pPr>
        <w:pStyle w:val="EndnoteText"/>
        <w:spacing w:line="480" w:lineRule="auto"/>
        <w:rPr>
          <w:sz w:val="24"/>
          <w:szCs w:val="24"/>
        </w:rPr>
      </w:pPr>
      <w:r w:rsidRPr="003A52F8">
        <w:rPr>
          <w:rStyle w:val="EndnoteReference"/>
          <w:sz w:val="24"/>
          <w:szCs w:val="24"/>
        </w:rPr>
        <w:endnoteRef/>
      </w:r>
      <w:r w:rsidR="00C7603E">
        <w:rPr>
          <w:sz w:val="24"/>
          <w:szCs w:val="24"/>
        </w:rPr>
        <w:t xml:space="preserve"> Chantraine 1933, </w:t>
      </w:r>
      <w:r w:rsidRPr="003A52F8">
        <w:rPr>
          <w:sz w:val="24"/>
          <w:szCs w:val="24"/>
        </w:rPr>
        <w:t xml:space="preserve">321, with examples of both feminines and locatival derivatives. </w:t>
      </w:r>
    </w:p>
  </w:endnote>
  <w:endnote w:id="28">
    <w:p w:rsidR="00D751BE" w:rsidRPr="003A52F8" w:rsidRDefault="00D751BE" w:rsidP="003A52F8">
      <w:pPr>
        <w:pStyle w:val="EndnoteText"/>
        <w:spacing w:line="480" w:lineRule="auto"/>
        <w:rPr>
          <w:sz w:val="24"/>
          <w:szCs w:val="24"/>
        </w:rPr>
      </w:pPr>
      <w:r w:rsidRPr="003A52F8">
        <w:rPr>
          <w:rStyle w:val="EndnoteReference"/>
          <w:sz w:val="24"/>
          <w:szCs w:val="24"/>
        </w:rPr>
        <w:endnoteRef/>
      </w:r>
      <w:r w:rsidR="00C7603E">
        <w:rPr>
          <w:sz w:val="24"/>
          <w:szCs w:val="24"/>
        </w:rPr>
        <w:t xml:space="preserve"> Thus Wilamowitz 1925, 69; Martina 2002, </w:t>
      </w:r>
      <w:r w:rsidRPr="003A52F8">
        <w:rPr>
          <w:sz w:val="24"/>
          <w:szCs w:val="24"/>
        </w:rPr>
        <w:t xml:space="preserve">366. </w:t>
      </w:r>
    </w:p>
  </w:endnote>
  <w:endnote w:id="29">
    <w:p w:rsidR="00D751BE" w:rsidRPr="003A52F8" w:rsidRDefault="00D751BE" w:rsidP="003A52F8">
      <w:pPr>
        <w:pStyle w:val="EndnoteText"/>
        <w:spacing w:line="480" w:lineRule="auto"/>
        <w:rPr>
          <w:sz w:val="24"/>
          <w:szCs w:val="24"/>
        </w:rPr>
      </w:pPr>
      <w:r w:rsidRPr="003A52F8">
        <w:rPr>
          <w:rStyle w:val="EndnoteReference"/>
          <w:sz w:val="24"/>
          <w:szCs w:val="24"/>
        </w:rPr>
        <w:endnoteRef/>
      </w:r>
      <w:r w:rsidR="00C7603E">
        <w:rPr>
          <w:sz w:val="24"/>
          <w:szCs w:val="24"/>
        </w:rPr>
        <w:t xml:space="preserve"> Marx 1905, </w:t>
      </w:r>
      <w:r w:rsidRPr="003A52F8">
        <w:rPr>
          <w:sz w:val="24"/>
          <w:szCs w:val="24"/>
        </w:rPr>
        <w:t>187-8.</w:t>
      </w:r>
    </w:p>
  </w:endnote>
  <w:endnote w:id="30">
    <w:p w:rsidR="00D751BE" w:rsidRPr="003A52F8" w:rsidRDefault="00D751BE" w:rsidP="003A52F8">
      <w:pPr>
        <w:pStyle w:val="EndnoteText"/>
        <w:spacing w:line="480" w:lineRule="auto"/>
        <w:rPr>
          <w:sz w:val="24"/>
          <w:szCs w:val="24"/>
        </w:rPr>
      </w:pPr>
      <w:r w:rsidRPr="003A52F8">
        <w:rPr>
          <w:rStyle w:val="EndnoteReference"/>
          <w:sz w:val="24"/>
          <w:szCs w:val="24"/>
        </w:rPr>
        <w:endnoteRef/>
      </w:r>
      <w:r w:rsidRPr="003A52F8">
        <w:rPr>
          <w:sz w:val="24"/>
          <w:szCs w:val="24"/>
        </w:rPr>
        <w:t xml:space="preserve"> E.g. Caes. </w:t>
      </w:r>
      <w:r w:rsidRPr="003A52F8">
        <w:rPr>
          <w:i/>
          <w:sz w:val="24"/>
          <w:szCs w:val="24"/>
        </w:rPr>
        <w:t>B. C.</w:t>
      </w:r>
      <w:r w:rsidRPr="003A52F8">
        <w:rPr>
          <w:sz w:val="24"/>
          <w:szCs w:val="24"/>
        </w:rPr>
        <w:t xml:space="preserve"> 3.22.2.</w:t>
      </w:r>
    </w:p>
  </w:endnote>
  <w:endnote w:id="31">
    <w:p w:rsidR="00D751BE" w:rsidRPr="003A52F8" w:rsidRDefault="00D751BE" w:rsidP="003A52F8">
      <w:pPr>
        <w:pStyle w:val="EndnoteText"/>
        <w:spacing w:line="480" w:lineRule="auto"/>
        <w:rPr>
          <w:sz w:val="24"/>
          <w:szCs w:val="24"/>
        </w:rPr>
      </w:pPr>
      <w:r w:rsidRPr="003A52F8">
        <w:rPr>
          <w:rStyle w:val="EndnoteReference"/>
          <w:sz w:val="24"/>
          <w:szCs w:val="24"/>
        </w:rPr>
        <w:endnoteRef/>
      </w:r>
      <w:r w:rsidRPr="003A52F8">
        <w:rPr>
          <w:sz w:val="24"/>
          <w:szCs w:val="24"/>
        </w:rPr>
        <w:t xml:space="preserve"> This form is in fact attested but purely in the sense </w:t>
      </w:r>
      <w:r w:rsidR="00F412FD">
        <w:rPr>
          <w:sz w:val="24"/>
          <w:szCs w:val="24"/>
        </w:rPr>
        <w:t>“</w:t>
      </w:r>
      <w:r w:rsidRPr="003A52F8">
        <w:rPr>
          <w:sz w:val="24"/>
          <w:szCs w:val="24"/>
        </w:rPr>
        <w:t>workshop</w:t>
      </w:r>
      <w:r w:rsidR="00F412FD">
        <w:rPr>
          <w:sz w:val="24"/>
          <w:szCs w:val="24"/>
        </w:rPr>
        <w:t>”</w:t>
      </w:r>
      <w:r w:rsidRPr="003A52F8">
        <w:rPr>
          <w:sz w:val="24"/>
          <w:szCs w:val="24"/>
        </w:rPr>
        <w:t xml:space="preserve"> (Cod. Just. 1.3.2, 12.41.2); this can therefore be considered a loan from Greek, retaining the sense the form had in ordinary language. </w:t>
      </w:r>
    </w:p>
  </w:endnote>
  <w:endnote w:id="32">
    <w:p w:rsidR="00D751BE" w:rsidRPr="003A52F8" w:rsidRDefault="00D751BE" w:rsidP="003A52F8">
      <w:pPr>
        <w:spacing w:after="0" w:line="480" w:lineRule="auto"/>
        <w:ind w:left="720" w:hanging="720"/>
        <w:rPr>
          <w:sz w:val="24"/>
          <w:szCs w:val="24"/>
          <w:lang w:val="de-DE"/>
        </w:rPr>
      </w:pPr>
      <w:r w:rsidRPr="003A52F8">
        <w:rPr>
          <w:rStyle w:val="EndnoteReference"/>
          <w:sz w:val="24"/>
          <w:szCs w:val="24"/>
        </w:rPr>
        <w:endnoteRef/>
      </w:r>
      <w:r w:rsidRPr="003A52F8">
        <w:rPr>
          <w:sz w:val="24"/>
          <w:szCs w:val="24"/>
        </w:rPr>
        <w:t xml:space="preserve"> Leumann</w:t>
      </w:r>
      <w:r w:rsidR="00C7603E">
        <w:rPr>
          <w:sz w:val="24"/>
          <w:szCs w:val="24"/>
          <w:lang w:val="de-DE"/>
        </w:rPr>
        <w:t xml:space="preserve"> 1977, </w:t>
      </w:r>
      <w:r w:rsidRPr="003A52F8">
        <w:rPr>
          <w:sz w:val="24"/>
          <w:szCs w:val="24"/>
          <w:lang w:val="de-DE"/>
        </w:rPr>
        <w:t>305-312.</w:t>
      </w:r>
    </w:p>
  </w:endnote>
  <w:endnote w:id="33">
    <w:p w:rsidR="00D751BE" w:rsidRPr="003A52F8" w:rsidRDefault="00D751BE" w:rsidP="003A52F8">
      <w:pPr>
        <w:pStyle w:val="EndnoteText"/>
        <w:spacing w:line="480" w:lineRule="auto"/>
        <w:rPr>
          <w:rFonts w:cs="Times New Roman"/>
          <w:sz w:val="24"/>
          <w:szCs w:val="24"/>
        </w:rPr>
      </w:pPr>
      <w:r w:rsidRPr="003A52F8">
        <w:rPr>
          <w:rStyle w:val="EndnoteReference"/>
          <w:sz w:val="24"/>
          <w:szCs w:val="24"/>
        </w:rPr>
        <w:endnoteRef/>
      </w:r>
      <w:r w:rsidR="00C7603E">
        <w:rPr>
          <w:sz w:val="24"/>
          <w:szCs w:val="24"/>
        </w:rPr>
        <w:t xml:space="preserve"> Leumann 1977,</w:t>
      </w:r>
      <w:r w:rsidRPr="003A52F8">
        <w:rPr>
          <w:sz w:val="24"/>
          <w:szCs w:val="24"/>
        </w:rPr>
        <w:t xml:space="preserve"> 231 assumes that </w:t>
      </w:r>
      <w:r w:rsidRPr="003A52F8">
        <w:rPr>
          <w:i/>
          <w:sz w:val="24"/>
          <w:szCs w:val="24"/>
        </w:rPr>
        <w:t>ergastulum</w:t>
      </w:r>
      <w:r w:rsidRPr="003A52F8">
        <w:rPr>
          <w:sz w:val="24"/>
          <w:szCs w:val="24"/>
        </w:rPr>
        <w:t xml:space="preserve"> is a loan from Greek ἔργαστρον</w:t>
      </w:r>
      <w:r w:rsidRPr="003A52F8">
        <w:rPr>
          <w:rFonts w:cs="Times New Roman"/>
          <w:sz w:val="24"/>
          <w:szCs w:val="24"/>
        </w:rPr>
        <w:t xml:space="preserve"> with dissimilation of the second /r/, but ἔ</w:t>
      </w:r>
      <w:r w:rsidR="00755E47">
        <w:rPr>
          <w:rFonts w:cs="Times New Roman"/>
          <w:sz w:val="24"/>
          <w:szCs w:val="24"/>
        </w:rPr>
        <w:t xml:space="preserve">ργαστρα </w:t>
      </w:r>
      <w:r w:rsidR="00F412FD">
        <w:rPr>
          <w:rFonts w:cs="Times New Roman"/>
          <w:sz w:val="24"/>
          <w:szCs w:val="24"/>
        </w:rPr>
        <w:t>“</w:t>
      </w:r>
      <w:r w:rsidR="00755E47">
        <w:rPr>
          <w:rFonts w:cs="Times New Roman"/>
          <w:sz w:val="24"/>
          <w:szCs w:val="24"/>
        </w:rPr>
        <w:t>rewards of labo</w:t>
      </w:r>
      <w:r w:rsidRPr="003A52F8">
        <w:rPr>
          <w:rFonts w:cs="Times New Roman"/>
          <w:sz w:val="24"/>
          <w:szCs w:val="24"/>
        </w:rPr>
        <w:t>r</w:t>
      </w:r>
      <w:r w:rsidR="00F412FD">
        <w:rPr>
          <w:rFonts w:cs="Times New Roman"/>
          <w:sz w:val="24"/>
          <w:szCs w:val="24"/>
        </w:rPr>
        <w:t>”</w:t>
      </w:r>
      <w:r w:rsidRPr="003A52F8">
        <w:rPr>
          <w:rFonts w:cs="Times New Roman"/>
          <w:sz w:val="24"/>
          <w:szCs w:val="24"/>
        </w:rPr>
        <w:t xml:space="preserve"> is </w:t>
      </w:r>
      <w:r w:rsidRPr="003A52F8">
        <w:rPr>
          <w:rFonts w:cs="Times New Roman"/>
          <w:i/>
          <w:sz w:val="24"/>
          <w:szCs w:val="24"/>
        </w:rPr>
        <w:t>plurale tantum</w:t>
      </w:r>
      <w:r w:rsidRPr="003A52F8">
        <w:rPr>
          <w:rFonts w:cs="Times New Roman"/>
          <w:sz w:val="24"/>
          <w:szCs w:val="24"/>
        </w:rPr>
        <w:t>, and a poor semantic match.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192427"/>
      <w:docPartObj>
        <w:docPartGallery w:val="Page Numbers (Bottom of Page)"/>
        <w:docPartUnique/>
      </w:docPartObj>
    </w:sdtPr>
    <w:sdtEndPr>
      <w:rPr>
        <w:noProof/>
      </w:rPr>
    </w:sdtEndPr>
    <w:sdtContent>
      <w:p w:rsidR="00547A43" w:rsidRDefault="00547A43">
        <w:pPr>
          <w:pStyle w:val="Footer"/>
          <w:jc w:val="center"/>
        </w:pPr>
        <w:r>
          <w:fldChar w:fldCharType="begin"/>
        </w:r>
        <w:r>
          <w:instrText xml:space="preserve"> PAGE   \* MERGEFORMAT </w:instrText>
        </w:r>
        <w:r>
          <w:fldChar w:fldCharType="separate"/>
        </w:r>
        <w:r w:rsidR="00DE2AEF">
          <w:rPr>
            <w:noProof/>
          </w:rPr>
          <w:t>1</w:t>
        </w:r>
        <w:r>
          <w:rPr>
            <w:noProof/>
          </w:rPr>
          <w:fldChar w:fldCharType="end"/>
        </w:r>
      </w:p>
    </w:sdtContent>
  </w:sdt>
  <w:p w:rsidR="00547A43" w:rsidRDefault="00547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836" w:rsidRDefault="004A1836" w:rsidP="00E62769">
      <w:pPr>
        <w:spacing w:after="0" w:line="240" w:lineRule="auto"/>
      </w:pPr>
      <w:r>
        <w:separator/>
      </w:r>
    </w:p>
  </w:footnote>
  <w:footnote w:type="continuationSeparator" w:id="0">
    <w:p w:rsidR="004A1836" w:rsidRDefault="004A1836" w:rsidP="00E627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F577A"/>
    <w:multiLevelType w:val="hybridMultilevel"/>
    <w:tmpl w:val="F67A5D60"/>
    <w:lvl w:ilvl="0" w:tplc="613EF1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2F1CE5"/>
    <w:multiLevelType w:val="hybridMultilevel"/>
    <w:tmpl w:val="0D6E7DAA"/>
    <w:lvl w:ilvl="0" w:tplc="08090015">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BF5903"/>
    <w:multiLevelType w:val="hybridMultilevel"/>
    <w:tmpl w:val="C59C9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5BD"/>
    <w:rsid w:val="00002AF1"/>
    <w:rsid w:val="00003E69"/>
    <w:rsid w:val="00017261"/>
    <w:rsid w:val="00017C8A"/>
    <w:rsid w:val="00025F01"/>
    <w:rsid w:val="00031E84"/>
    <w:rsid w:val="00050A27"/>
    <w:rsid w:val="00061AE3"/>
    <w:rsid w:val="00083B4E"/>
    <w:rsid w:val="00093958"/>
    <w:rsid w:val="000A219F"/>
    <w:rsid w:val="000A4804"/>
    <w:rsid w:val="000A5FF1"/>
    <w:rsid w:val="000A67B6"/>
    <w:rsid w:val="000B08DD"/>
    <w:rsid w:val="000D4E19"/>
    <w:rsid w:val="000D7961"/>
    <w:rsid w:val="000E1A1D"/>
    <w:rsid w:val="000E6F2E"/>
    <w:rsid w:val="001055EE"/>
    <w:rsid w:val="00107726"/>
    <w:rsid w:val="00110D86"/>
    <w:rsid w:val="00115E57"/>
    <w:rsid w:val="00120694"/>
    <w:rsid w:val="001239CB"/>
    <w:rsid w:val="00132040"/>
    <w:rsid w:val="0014244C"/>
    <w:rsid w:val="00143852"/>
    <w:rsid w:val="00151B78"/>
    <w:rsid w:val="00163AAD"/>
    <w:rsid w:val="001674D1"/>
    <w:rsid w:val="00176B57"/>
    <w:rsid w:val="00192B90"/>
    <w:rsid w:val="00197C5F"/>
    <w:rsid w:val="001A524F"/>
    <w:rsid w:val="001A6EEB"/>
    <w:rsid w:val="001A75D4"/>
    <w:rsid w:val="001C704F"/>
    <w:rsid w:val="001D0783"/>
    <w:rsid w:val="001F2ED2"/>
    <w:rsid w:val="001F62A1"/>
    <w:rsid w:val="001F6394"/>
    <w:rsid w:val="00212FD4"/>
    <w:rsid w:val="00225373"/>
    <w:rsid w:val="00225B6E"/>
    <w:rsid w:val="00226F65"/>
    <w:rsid w:val="002505A0"/>
    <w:rsid w:val="0026455B"/>
    <w:rsid w:val="0028723A"/>
    <w:rsid w:val="00295C47"/>
    <w:rsid w:val="0029668B"/>
    <w:rsid w:val="002B79D3"/>
    <w:rsid w:val="002C3299"/>
    <w:rsid w:val="002D7222"/>
    <w:rsid w:val="003141C8"/>
    <w:rsid w:val="00314222"/>
    <w:rsid w:val="003260E0"/>
    <w:rsid w:val="00330238"/>
    <w:rsid w:val="00331576"/>
    <w:rsid w:val="00333846"/>
    <w:rsid w:val="003369AF"/>
    <w:rsid w:val="00340F26"/>
    <w:rsid w:val="003413E4"/>
    <w:rsid w:val="00363B96"/>
    <w:rsid w:val="0036732B"/>
    <w:rsid w:val="00370C31"/>
    <w:rsid w:val="003715D8"/>
    <w:rsid w:val="00371D5C"/>
    <w:rsid w:val="00381EAF"/>
    <w:rsid w:val="00383965"/>
    <w:rsid w:val="003A1CCD"/>
    <w:rsid w:val="003A4114"/>
    <w:rsid w:val="003A4405"/>
    <w:rsid w:val="003A52F8"/>
    <w:rsid w:val="003B42E5"/>
    <w:rsid w:val="003C051E"/>
    <w:rsid w:val="003C126B"/>
    <w:rsid w:val="003C2579"/>
    <w:rsid w:val="003D1E5F"/>
    <w:rsid w:val="003D7EF3"/>
    <w:rsid w:val="003E208B"/>
    <w:rsid w:val="003F291B"/>
    <w:rsid w:val="003F65B6"/>
    <w:rsid w:val="00410B04"/>
    <w:rsid w:val="004231FE"/>
    <w:rsid w:val="004244AE"/>
    <w:rsid w:val="00443957"/>
    <w:rsid w:val="00447B2D"/>
    <w:rsid w:val="0045431E"/>
    <w:rsid w:val="00461427"/>
    <w:rsid w:val="004A0F4A"/>
    <w:rsid w:val="004A1836"/>
    <w:rsid w:val="004A379C"/>
    <w:rsid w:val="004A6409"/>
    <w:rsid w:val="004B4DEC"/>
    <w:rsid w:val="004C352C"/>
    <w:rsid w:val="004D7756"/>
    <w:rsid w:val="004D7F36"/>
    <w:rsid w:val="004F226C"/>
    <w:rsid w:val="004F4D6D"/>
    <w:rsid w:val="004F733C"/>
    <w:rsid w:val="00514B93"/>
    <w:rsid w:val="00521A80"/>
    <w:rsid w:val="00523050"/>
    <w:rsid w:val="00523734"/>
    <w:rsid w:val="0053116A"/>
    <w:rsid w:val="00540E0B"/>
    <w:rsid w:val="00547A43"/>
    <w:rsid w:val="00552951"/>
    <w:rsid w:val="0056169C"/>
    <w:rsid w:val="00566B1D"/>
    <w:rsid w:val="00571E5F"/>
    <w:rsid w:val="005B54E4"/>
    <w:rsid w:val="005C4274"/>
    <w:rsid w:val="005C52C9"/>
    <w:rsid w:val="005C636E"/>
    <w:rsid w:val="005C6979"/>
    <w:rsid w:val="005D5286"/>
    <w:rsid w:val="005D5723"/>
    <w:rsid w:val="005E1EC4"/>
    <w:rsid w:val="005E66F9"/>
    <w:rsid w:val="005F628F"/>
    <w:rsid w:val="006038C0"/>
    <w:rsid w:val="006039BE"/>
    <w:rsid w:val="0060465C"/>
    <w:rsid w:val="0060470F"/>
    <w:rsid w:val="00611784"/>
    <w:rsid w:val="006129B7"/>
    <w:rsid w:val="00614609"/>
    <w:rsid w:val="00647D3C"/>
    <w:rsid w:val="00661FEC"/>
    <w:rsid w:val="006622B1"/>
    <w:rsid w:val="006A4AAB"/>
    <w:rsid w:val="006A632B"/>
    <w:rsid w:val="006C0DE6"/>
    <w:rsid w:val="006C63DE"/>
    <w:rsid w:val="006C7694"/>
    <w:rsid w:val="006D1F11"/>
    <w:rsid w:val="006D34EC"/>
    <w:rsid w:val="006D58B5"/>
    <w:rsid w:val="006D605C"/>
    <w:rsid w:val="006E7E5A"/>
    <w:rsid w:val="007141E7"/>
    <w:rsid w:val="00745323"/>
    <w:rsid w:val="00746141"/>
    <w:rsid w:val="00750AF3"/>
    <w:rsid w:val="00753C3A"/>
    <w:rsid w:val="00755E47"/>
    <w:rsid w:val="00757F65"/>
    <w:rsid w:val="00770DE5"/>
    <w:rsid w:val="0077221F"/>
    <w:rsid w:val="00785970"/>
    <w:rsid w:val="00790EAD"/>
    <w:rsid w:val="00790F45"/>
    <w:rsid w:val="00792BCF"/>
    <w:rsid w:val="007A1240"/>
    <w:rsid w:val="007A720F"/>
    <w:rsid w:val="007C0AC1"/>
    <w:rsid w:val="007C7E10"/>
    <w:rsid w:val="007D3BC0"/>
    <w:rsid w:val="007E15BD"/>
    <w:rsid w:val="007F0F61"/>
    <w:rsid w:val="007F3E20"/>
    <w:rsid w:val="00804B94"/>
    <w:rsid w:val="0082134E"/>
    <w:rsid w:val="008421D8"/>
    <w:rsid w:val="00861292"/>
    <w:rsid w:val="0086166B"/>
    <w:rsid w:val="00865894"/>
    <w:rsid w:val="00870730"/>
    <w:rsid w:val="00877339"/>
    <w:rsid w:val="00877BE2"/>
    <w:rsid w:val="008976F0"/>
    <w:rsid w:val="008B39F7"/>
    <w:rsid w:val="008B7E56"/>
    <w:rsid w:val="008C53AC"/>
    <w:rsid w:val="008D5C54"/>
    <w:rsid w:val="008D6A93"/>
    <w:rsid w:val="008E45A4"/>
    <w:rsid w:val="008E634B"/>
    <w:rsid w:val="008F6E08"/>
    <w:rsid w:val="00900A7F"/>
    <w:rsid w:val="00905086"/>
    <w:rsid w:val="00905785"/>
    <w:rsid w:val="00905D18"/>
    <w:rsid w:val="00910C58"/>
    <w:rsid w:val="00913D0B"/>
    <w:rsid w:val="00915BAB"/>
    <w:rsid w:val="009210C5"/>
    <w:rsid w:val="00922127"/>
    <w:rsid w:val="00936667"/>
    <w:rsid w:val="00944054"/>
    <w:rsid w:val="0095492B"/>
    <w:rsid w:val="00986324"/>
    <w:rsid w:val="0098651C"/>
    <w:rsid w:val="009911C0"/>
    <w:rsid w:val="009978CA"/>
    <w:rsid w:val="00997CA2"/>
    <w:rsid w:val="009A66E4"/>
    <w:rsid w:val="009A7484"/>
    <w:rsid w:val="009B6549"/>
    <w:rsid w:val="009C1B58"/>
    <w:rsid w:val="009C2BA9"/>
    <w:rsid w:val="009D2066"/>
    <w:rsid w:val="009D4287"/>
    <w:rsid w:val="009E0738"/>
    <w:rsid w:val="009F34DC"/>
    <w:rsid w:val="00A10CF3"/>
    <w:rsid w:val="00A16B93"/>
    <w:rsid w:val="00A17B17"/>
    <w:rsid w:val="00A250A4"/>
    <w:rsid w:val="00A315B5"/>
    <w:rsid w:val="00A37603"/>
    <w:rsid w:val="00A535B3"/>
    <w:rsid w:val="00A67761"/>
    <w:rsid w:val="00A82057"/>
    <w:rsid w:val="00A855C2"/>
    <w:rsid w:val="00A86CED"/>
    <w:rsid w:val="00A9738B"/>
    <w:rsid w:val="00AB14DB"/>
    <w:rsid w:val="00AB70A6"/>
    <w:rsid w:val="00AE10B4"/>
    <w:rsid w:val="00AF2EA2"/>
    <w:rsid w:val="00B020EB"/>
    <w:rsid w:val="00B0521F"/>
    <w:rsid w:val="00B1709D"/>
    <w:rsid w:val="00B3225D"/>
    <w:rsid w:val="00B45F44"/>
    <w:rsid w:val="00B50CF0"/>
    <w:rsid w:val="00B52385"/>
    <w:rsid w:val="00B54330"/>
    <w:rsid w:val="00B60964"/>
    <w:rsid w:val="00B62EE4"/>
    <w:rsid w:val="00B66BCB"/>
    <w:rsid w:val="00B8515A"/>
    <w:rsid w:val="00B87467"/>
    <w:rsid w:val="00BA4B8E"/>
    <w:rsid w:val="00BB1EE4"/>
    <w:rsid w:val="00BB7F03"/>
    <w:rsid w:val="00BC2E63"/>
    <w:rsid w:val="00BE1021"/>
    <w:rsid w:val="00BE15B9"/>
    <w:rsid w:val="00BE175A"/>
    <w:rsid w:val="00BE536B"/>
    <w:rsid w:val="00BF0F78"/>
    <w:rsid w:val="00C1532E"/>
    <w:rsid w:val="00C22353"/>
    <w:rsid w:val="00C3731A"/>
    <w:rsid w:val="00C52E56"/>
    <w:rsid w:val="00C65CA0"/>
    <w:rsid w:val="00C74FFE"/>
    <w:rsid w:val="00C7603E"/>
    <w:rsid w:val="00C90C3C"/>
    <w:rsid w:val="00CA6AE3"/>
    <w:rsid w:val="00CB29EC"/>
    <w:rsid w:val="00CC2E10"/>
    <w:rsid w:val="00CC5D18"/>
    <w:rsid w:val="00CD1348"/>
    <w:rsid w:val="00CD1F0F"/>
    <w:rsid w:val="00CE0F8D"/>
    <w:rsid w:val="00CE33B8"/>
    <w:rsid w:val="00CE49E9"/>
    <w:rsid w:val="00CF0698"/>
    <w:rsid w:val="00CF4BC5"/>
    <w:rsid w:val="00D0362D"/>
    <w:rsid w:val="00D21B40"/>
    <w:rsid w:val="00D45016"/>
    <w:rsid w:val="00D6605E"/>
    <w:rsid w:val="00D751BE"/>
    <w:rsid w:val="00D80BCB"/>
    <w:rsid w:val="00D8594A"/>
    <w:rsid w:val="00D94FAB"/>
    <w:rsid w:val="00DA57EA"/>
    <w:rsid w:val="00DB0AA7"/>
    <w:rsid w:val="00DB236E"/>
    <w:rsid w:val="00DC5C0C"/>
    <w:rsid w:val="00DC6691"/>
    <w:rsid w:val="00DE277B"/>
    <w:rsid w:val="00DE2AEF"/>
    <w:rsid w:val="00DE57D6"/>
    <w:rsid w:val="00E03F57"/>
    <w:rsid w:val="00E049A1"/>
    <w:rsid w:val="00E22BB4"/>
    <w:rsid w:val="00E23D86"/>
    <w:rsid w:val="00E31086"/>
    <w:rsid w:val="00E43786"/>
    <w:rsid w:val="00E53CB9"/>
    <w:rsid w:val="00E548A1"/>
    <w:rsid w:val="00E60F87"/>
    <w:rsid w:val="00E62769"/>
    <w:rsid w:val="00E63F5A"/>
    <w:rsid w:val="00E73F78"/>
    <w:rsid w:val="00EA778F"/>
    <w:rsid w:val="00EC7AAD"/>
    <w:rsid w:val="00ED6C4E"/>
    <w:rsid w:val="00ED7A21"/>
    <w:rsid w:val="00EF04E0"/>
    <w:rsid w:val="00EF43A5"/>
    <w:rsid w:val="00EF4FEB"/>
    <w:rsid w:val="00EF7ADA"/>
    <w:rsid w:val="00F03068"/>
    <w:rsid w:val="00F13D6E"/>
    <w:rsid w:val="00F412FD"/>
    <w:rsid w:val="00F75029"/>
    <w:rsid w:val="00F761FB"/>
    <w:rsid w:val="00F7694E"/>
    <w:rsid w:val="00F87F64"/>
    <w:rsid w:val="00F9385C"/>
    <w:rsid w:val="00F960FE"/>
    <w:rsid w:val="00FB5DF3"/>
    <w:rsid w:val="00FB768A"/>
    <w:rsid w:val="00FC43E4"/>
    <w:rsid w:val="00FD162E"/>
    <w:rsid w:val="00FD5220"/>
    <w:rsid w:val="00FF2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27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2769"/>
    <w:rPr>
      <w:sz w:val="20"/>
      <w:szCs w:val="20"/>
    </w:rPr>
  </w:style>
  <w:style w:type="character" w:styleId="FootnoteReference">
    <w:name w:val="footnote reference"/>
    <w:basedOn w:val="DefaultParagraphFont"/>
    <w:uiPriority w:val="99"/>
    <w:semiHidden/>
    <w:unhideWhenUsed/>
    <w:rsid w:val="00E62769"/>
    <w:rPr>
      <w:vertAlign w:val="superscript"/>
    </w:rPr>
  </w:style>
  <w:style w:type="paragraph" w:styleId="ListParagraph">
    <w:name w:val="List Paragraph"/>
    <w:basedOn w:val="Normal"/>
    <w:uiPriority w:val="34"/>
    <w:qFormat/>
    <w:rsid w:val="001055EE"/>
    <w:pPr>
      <w:ind w:left="720"/>
      <w:contextualSpacing/>
    </w:pPr>
  </w:style>
  <w:style w:type="table" w:styleId="TableGrid">
    <w:name w:val="Table Grid"/>
    <w:basedOn w:val="TableNormal"/>
    <w:uiPriority w:val="59"/>
    <w:rsid w:val="00FD5220"/>
    <w:pPr>
      <w:spacing w:after="0" w:line="240" w:lineRule="auto"/>
    </w:pPr>
    <w:rPr>
      <w:rFonts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751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1BE"/>
    <w:rPr>
      <w:sz w:val="20"/>
      <w:szCs w:val="20"/>
    </w:rPr>
  </w:style>
  <w:style w:type="character" w:styleId="EndnoteReference">
    <w:name w:val="endnote reference"/>
    <w:basedOn w:val="DefaultParagraphFont"/>
    <w:uiPriority w:val="99"/>
    <w:semiHidden/>
    <w:unhideWhenUsed/>
    <w:rsid w:val="00D751BE"/>
    <w:rPr>
      <w:vertAlign w:val="superscript"/>
    </w:rPr>
  </w:style>
  <w:style w:type="paragraph" w:styleId="Header">
    <w:name w:val="header"/>
    <w:basedOn w:val="Normal"/>
    <w:link w:val="HeaderChar"/>
    <w:uiPriority w:val="99"/>
    <w:unhideWhenUsed/>
    <w:rsid w:val="00547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A43"/>
  </w:style>
  <w:style w:type="paragraph" w:styleId="Footer">
    <w:name w:val="footer"/>
    <w:basedOn w:val="Normal"/>
    <w:link w:val="FooterChar"/>
    <w:uiPriority w:val="99"/>
    <w:unhideWhenUsed/>
    <w:rsid w:val="00547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A43"/>
  </w:style>
  <w:style w:type="paragraph" w:styleId="BalloonText">
    <w:name w:val="Balloon Text"/>
    <w:basedOn w:val="Normal"/>
    <w:link w:val="BalloonTextChar"/>
    <w:uiPriority w:val="99"/>
    <w:semiHidden/>
    <w:unhideWhenUsed/>
    <w:rsid w:val="0028723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28723A"/>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27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2769"/>
    <w:rPr>
      <w:sz w:val="20"/>
      <w:szCs w:val="20"/>
    </w:rPr>
  </w:style>
  <w:style w:type="character" w:styleId="FootnoteReference">
    <w:name w:val="footnote reference"/>
    <w:basedOn w:val="DefaultParagraphFont"/>
    <w:uiPriority w:val="99"/>
    <w:semiHidden/>
    <w:unhideWhenUsed/>
    <w:rsid w:val="00E62769"/>
    <w:rPr>
      <w:vertAlign w:val="superscript"/>
    </w:rPr>
  </w:style>
  <w:style w:type="paragraph" w:styleId="ListParagraph">
    <w:name w:val="List Paragraph"/>
    <w:basedOn w:val="Normal"/>
    <w:uiPriority w:val="34"/>
    <w:qFormat/>
    <w:rsid w:val="001055EE"/>
    <w:pPr>
      <w:ind w:left="720"/>
      <w:contextualSpacing/>
    </w:pPr>
  </w:style>
  <w:style w:type="table" w:styleId="TableGrid">
    <w:name w:val="Table Grid"/>
    <w:basedOn w:val="TableNormal"/>
    <w:uiPriority w:val="59"/>
    <w:rsid w:val="00FD5220"/>
    <w:pPr>
      <w:spacing w:after="0" w:line="240" w:lineRule="auto"/>
    </w:pPr>
    <w:rPr>
      <w:rFonts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751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1BE"/>
    <w:rPr>
      <w:sz w:val="20"/>
      <w:szCs w:val="20"/>
    </w:rPr>
  </w:style>
  <w:style w:type="character" w:styleId="EndnoteReference">
    <w:name w:val="endnote reference"/>
    <w:basedOn w:val="DefaultParagraphFont"/>
    <w:uiPriority w:val="99"/>
    <w:semiHidden/>
    <w:unhideWhenUsed/>
    <w:rsid w:val="00D751BE"/>
    <w:rPr>
      <w:vertAlign w:val="superscript"/>
    </w:rPr>
  </w:style>
  <w:style w:type="paragraph" w:styleId="Header">
    <w:name w:val="header"/>
    <w:basedOn w:val="Normal"/>
    <w:link w:val="HeaderChar"/>
    <w:uiPriority w:val="99"/>
    <w:unhideWhenUsed/>
    <w:rsid w:val="00547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A43"/>
  </w:style>
  <w:style w:type="paragraph" w:styleId="Footer">
    <w:name w:val="footer"/>
    <w:basedOn w:val="Normal"/>
    <w:link w:val="FooterChar"/>
    <w:uiPriority w:val="99"/>
    <w:unhideWhenUsed/>
    <w:rsid w:val="00547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A43"/>
  </w:style>
  <w:style w:type="paragraph" w:styleId="BalloonText">
    <w:name w:val="Balloon Text"/>
    <w:basedOn w:val="Normal"/>
    <w:link w:val="BalloonTextChar"/>
    <w:uiPriority w:val="99"/>
    <w:semiHidden/>
    <w:unhideWhenUsed/>
    <w:rsid w:val="0028723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28723A"/>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398AC-0F58-4625-828B-58BA31A8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2414</TotalTime>
  <Pages>14</Pages>
  <Words>2615</Words>
  <Characters>14910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197</cp:revision>
  <cp:lastPrinted>2015-12-15T17:38:00Z</cp:lastPrinted>
  <dcterms:created xsi:type="dcterms:W3CDTF">2013-02-17T20:24:00Z</dcterms:created>
  <dcterms:modified xsi:type="dcterms:W3CDTF">2016-02-29T15:19:00Z</dcterms:modified>
</cp:coreProperties>
</file>