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6E" w:rsidRPr="00B172DC" w:rsidRDefault="00C724B1" w:rsidP="00A939A8">
      <w:pPr>
        <w:spacing w:line="360" w:lineRule="auto"/>
        <w:jc w:val="center"/>
        <w:rPr>
          <w:sz w:val="28"/>
        </w:rPr>
      </w:pPr>
      <w:r>
        <w:rPr>
          <w:sz w:val="28"/>
        </w:rPr>
        <w:t>Men</w:t>
      </w:r>
      <w:r w:rsidR="005D0EE4">
        <w:rPr>
          <w:sz w:val="28"/>
        </w:rPr>
        <w:t xml:space="preserve">ander, </w:t>
      </w:r>
      <w:r w:rsidR="00C13B83" w:rsidRPr="005D0EE4">
        <w:rPr>
          <w:i/>
          <w:sz w:val="28"/>
        </w:rPr>
        <w:t>Epitrepontes</w:t>
      </w:r>
      <w:r w:rsidR="00C13B83" w:rsidRPr="00B172DC">
        <w:rPr>
          <w:sz w:val="28"/>
        </w:rPr>
        <w:t xml:space="preserve"> 581</w:t>
      </w:r>
      <w:r w:rsidR="00C50582">
        <w:rPr>
          <w:rStyle w:val="FootnoteReference"/>
          <w:sz w:val="28"/>
        </w:rPr>
        <w:footnoteReference w:id="1"/>
      </w:r>
    </w:p>
    <w:p w:rsidR="00A32045" w:rsidRPr="00A939A8" w:rsidRDefault="00A32045" w:rsidP="00A939A8">
      <w:pPr>
        <w:spacing w:line="360" w:lineRule="auto"/>
        <w:rPr>
          <w:sz w:val="24"/>
        </w:rPr>
      </w:pPr>
      <w:r w:rsidRPr="00A939A8">
        <w:rPr>
          <w:sz w:val="24"/>
        </w:rPr>
        <w:t>According to the edition of Sandbach, the papyrus reads here:</w:t>
      </w:r>
    </w:p>
    <w:p w:rsidR="00A32045" w:rsidRPr="00A939A8" w:rsidRDefault="00A32045" w:rsidP="00A939A8">
      <w:pPr>
        <w:spacing w:line="360" w:lineRule="auto"/>
        <w:rPr>
          <w:rFonts w:cs="Times New Roman"/>
          <w:sz w:val="24"/>
          <w:lang w:val="el-GR"/>
        </w:rPr>
      </w:pPr>
      <w:r w:rsidRPr="00A939A8">
        <w:rPr>
          <w:sz w:val="24"/>
        </w:rPr>
        <w:tab/>
      </w:r>
      <w:r w:rsidR="00511998" w:rsidRPr="00A939A8">
        <w:rPr>
          <w:rFonts w:cs="Times New Roman"/>
          <w:sz w:val="24"/>
          <w:lang w:val="el-GR"/>
        </w:rPr>
        <w:t>ποιειν ε</w:t>
      </w:r>
      <w:r w:rsidRPr="00A939A8">
        <w:rPr>
          <w:rFonts w:cs="Times New Roman"/>
          <w:sz w:val="24"/>
        </w:rPr>
        <w:t>[</w:t>
      </w:r>
      <w:r w:rsidRPr="00A939A8">
        <w:rPr>
          <w:rFonts w:cs="Times New Roman"/>
          <w:sz w:val="24"/>
        </w:rPr>
        <w:tab/>
      </w:r>
      <w:r w:rsidRPr="00A939A8">
        <w:rPr>
          <w:rFonts w:cs="Times New Roman"/>
          <w:sz w:val="24"/>
        </w:rPr>
        <w:tab/>
      </w:r>
      <w:r w:rsidRPr="00A939A8">
        <w:rPr>
          <w:rFonts w:cs="Times New Roman"/>
          <w:sz w:val="24"/>
        </w:rPr>
        <w:tab/>
        <w:t>]</w:t>
      </w:r>
      <w:r w:rsidR="00511998" w:rsidRPr="00A939A8">
        <w:rPr>
          <w:rFonts w:cs="Times New Roman"/>
          <w:sz w:val="24"/>
        </w:rPr>
        <w:t>λ̣α</w:t>
      </w:r>
      <w:r w:rsidR="00511998" w:rsidRPr="00A939A8">
        <w:rPr>
          <w:rFonts w:cs="Times New Roman"/>
          <w:sz w:val="24"/>
          <w:lang w:val="el-GR"/>
        </w:rPr>
        <w:t xml:space="preserve"> </w:t>
      </w:r>
      <w:r w:rsidR="00511998" w:rsidRPr="00A939A8">
        <w:rPr>
          <w:rFonts w:cs="Times New Roman"/>
          <w:sz w:val="24"/>
        </w:rPr>
        <w:t xml:space="preserve">. </w:t>
      </w:r>
      <w:r w:rsidR="00511998" w:rsidRPr="00A939A8">
        <w:rPr>
          <w:rFonts w:cs="Times New Roman"/>
          <w:sz w:val="24"/>
          <w:lang w:val="el-GR"/>
        </w:rPr>
        <w:t>ειν</w:t>
      </w:r>
    </w:p>
    <w:p w:rsidR="00A32045" w:rsidRPr="00A939A8" w:rsidRDefault="00A32045" w:rsidP="00A939A8">
      <w:pPr>
        <w:spacing w:line="360" w:lineRule="auto"/>
        <w:rPr>
          <w:sz w:val="24"/>
        </w:rPr>
      </w:pPr>
      <w:r w:rsidRPr="00A939A8">
        <w:rPr>
          <w:sz w:val="24"/>
        </w:rPr>
        <w:t xml:space="preserve">The reconstruction of this leaf </w:t>
      </w:r>
      <w:r w:rsidR="00511998" w:rsidRPr="00A939A8">
        <w:rPr>
          <w:sz w:val="24"/>
        </w:rPr>
        <w:t xml:space="preserve">of P. Cair. J. 43227 </w:t>
      </w:r>
      <w:r w:rsidRPr="00A939A8">
        <w:rPr>
          <w:sz w:val="24"/>
        </w:rPr>
        <w:t>is problematic</w:t>
      </w:r>
      <w:r w:rsidR="00D70DD8" w:rsidRPr="00A939A8">
        <w:rPr>
          <w:rStyle w:val="FootnoteReference"/>
          <w:sz w:val="24"/>
        </w:rPr>
        <w:footnoteReference w:id="2"/>
      </w:r>
      <w:r w:rsidRPr="00A939A8">
        <w:rPr>
          <w:sz w:val="24"/>
        </w:rPr>
        <w:t xml:space="preserve"> but at this point there is no doubt that the two ends of the line match up.</w:t>
      </w:r>
    </w:p>
    <w:p w:rsidR="00C13B83" w:rsidRPr="00A939A8" w:rsidRDefault="00C13B83" w:rsidP="00A939A8">
      <w:pPr>
        <w:spacing w:line="360" w:lineRule="auto"/>
        <w:rPr>
          <w:sz w:val="24"/>
        </w:rPr>
      </w:pPr>
      <w:r w:rsidRPr="00A939A8">
        <w:rPr>
          <w:sz w:val="24"/>
        </w:rPr>
        <w:t xml:space="preserve">Various restorations for this line have been proposed, but none are satisfactory. The </w:t>
      </w:r>
      <w:r w:rsidR="00F929B9" w:rsidRPr="00A939A8">
        <w:rPr>
          <w:sz w:val="24"/>
        </w:rPr>
        <w:t>suggestions</w:t>
      </w:r>
      <w:r w:rsidRPr="00A939A8">
        <w:rPr>
          <w:sz w:val="24"/>
        </w:rPr>
        <w:t xml:space="preserve"> of Wilamowitz</w:t>
      </w:r>
      <w:r w:rsidR="00D94B32" w:rsidRPr="00A939A8">
        <w:rPr>
          <w:rStyle w:val="FootnoteReference"/>
          <w:rFonts w:cs="Times New Roman"/>
          <w:sz w:val="24"/>
        </w:rPr>
        <w:footnoteReference w:id="3"/>
      </w:r>
    </w:p>
    <w:p w:rsidR="00C13B83" w:rsidRPr="00A939A8" w:rsidRDefault="00C13B83" w:rsidP="00A939A8">
      <w:pPr>
        <w:spacing w:line="360" w:lineRule="auto"/>
        <w:rPr>
          <w:rFonts w:ascii="SPIonic" w:hAnsi="SPIonic"/>
          <w:sz w:val="24"/>
        </w:rPr>
      </w:pPr>
      <w:r w:rsidRPr="00A939A8">
        <w:rPr>
          <w:sz w:val="24"/>
        </w:rPr>
        <w:tab/>
      </w:r>
      <w:r w:rsidR="00511998" w:rsidRPr="00A939A8">
        <w:rPr>
          <w:sz w:val="24"/>
        </w:rPr>
        <w:t xml:space="preserve">ποιεῖν ἐ[μαυτὸν οὐδὲ πράγατ᾿ ἄλ]λ᾿ ἔχειν </w:t>
      </w:r>
    </w:p>
    <w:p w:rsidR="00C13B83" w:rsidRPr="00A939A8" w:rsidRDefault="00C13B83" w:rsidP="00A939A8">
      <w:pPr>
        <w:spacing w:line="360" w:lineRule="auto"/>
        <w:rPr>
          <w:rFonts w:cs="Times New Roman"/>
          <w:sz w:val="24"/>
        </w:rPr>
      </w:pPr>
      <w:r w:rsidRPr="00A939A8">
        <w:rPr>
          <w:rFonts w:cs="Times New Roman"/>
          <w:sz w:val="24"/>
        </w:rPr>
        <w:t>or</w:t>
      </w:r>
    </w:p>
    <w:p w:rsidR="00584D8F" w:rsidRPr="00A939A8" w:rsidRDefault="00C13B83" w:rsidP="00A939A8">
      <w:pPr>
        <w:spacing w:line="360" w:lineRule="auto"/>
        <w:rPr>
          <w:rFonts w:cs="Times New Roman"/>
          <w:sz w:val="24"/>
        </w:rPr>
      </w:pPr>
      <w:r w:rsidRPr="00A939A8">
        <w:rPr>
          <w:rFonts w:ascii="SPIonic" w:hAnsi="SPIonic" w:cs="Times New Roman"/>
          <w:sz w:val="24"/>
        </w:rPr>
        <w:tab/>
      </w:r>
      <w:r w:rsidR="00511998" w:rsidRPr="00A939A8">
        <w:rPr>
          <w:rFonts w:cs="Times New Roman"/>
          <w:sz w:val="24"/>
          <w:lang w:val="el-GR"/>
        </w:rPr>
        <w:t>ποιεῖν ἐ[μαυτὸν οὐδ᾿ ἰδεῖν αὐτὸ</w:t>
      </w:r>
      <w:r w:rsidR="00D94B32" w:rsidRPr="00A939A8">
        <w:rPr>
          <w:rFonts w:cs="Times New Roman"/>
          <w:sz w:val="24"/>
        </w:rPr>
        <w:t>ν</w:t>
      </w:r>
      <w:r w:rsidR="00511998" w:rsidRPr="00A939A8">
        <w:rPr>
          <w:rFonts w:cs="Times New Roman"/>
          <w:sz w:val="24"/>
          <w:lang w:val="el-GR"/>
        </w:rPr>
        <w:t>] δοκεῖν</w:t>
      </w:r>
    </w:p>
    <w:p w:rsidR="000D6503" w:rsidRPr="00A939A8" w:rsidRDefault="00584D8F" w:rsidP="00A939A8">
      <w:pPr>
        <w:spacing w:line="360" w:lineRule="auto"/>
        <w:rPr>
          <w:rFonts w:cs="Times New Roman"/>
          <w:sz w:val="24"/>
        </w:rPr>
      </w:pPr>
      <w:r w:rsidRPr="00A939A8">
        <w:rPr>
          <w:rFonts w:cs="Times New Roman"/>
          <w:sz w:val="24"/>
        </w:rPr>
        <w:t>were refuted by the 19</w:t>
      </w:r>
      <w:r w:rsidR="008B2A4B" w:rsidRPr="00A939A8">
        <w:rPr>
          <w:rFonts w:cs="Times New Roman"/>
          <w:sz w:val="24"/>
        </w:rPr>
        <w:t>78 facsimile of the Cairo codex,</w:t>
      </w:r>
      <w:r w:rsidRPr="00A939A8">
        <w:rPr>
          <w:rStyle w:val="FootnoteReference"/>
          <w:rFonts w:cs="Times New Roman"/>
          <w:sz w:val="24"/>
        </w:rPr>
        <w:footnoteReference w:id="4"/>
      </w:r>
      <w:r w:rsidR="008B2A4B" w:rsidRPr="00A939A8">
        <w:rPr>
          <w:rFonts w:cs="Times New Roman"/>
          <w:sz w:val="24"/>
        </w:rPr>
        <w:t xml:space="preserve"> which confirms the readings of</w:t>
      </w:r>
      <w:r w:rsidR="00E97B3A" w:rsidRPr="00A939A8">
        <w:rPr>
          <w:rFonts w:cs="Times New Roman"/>
          <w:sz w:val="24"/>
        </w:rPr>
        <w:t xml:space="preserve"> the traces reported by Guéraud.</w:t>
      </w:r>
      <w:r w:rsidR="008B2A4B" w:rsidRPr="00A939A8">
        <w:rPr>
          <w:rStyle w:val="FootnoteReference"/>
          <w:rFonts w:cs="Times New Roman"/>
          <w:sz w:val="24"/>
        </w:rPr>
        <w:footnoteReference w:id="5"/>
      </w:r>
      <w:r w:rsidR="00DD66C0" w:rsidRPr="00A939A8">
        <w:rPr>
          <w:rFonts w:cs="Times New Roman"/>
          <w:sz w:val="24"/>
        </w:rPr>
        <w:t xml:space="preserve"> Gomme / </w:t>
      </w:r>
      <w:r w:rsidR="00C13B83" w:rsidRPr="00A939A8">
        <w:rPr>
          <w:rFonts w:cs="Times New Roman"/>
          <w:sz w:val="24"/>
        </w:rPr>
        <w:t xml:space="preserve">Sandbach also point out correctly that </w:t>
      </w:r>
      <w:r w:rsidR="00E97B3A" w:rsidRPr="00A939A8">
        <w:rPr>
          <w:rFonts w:cs="Times New Roman"/>
          <w:sz w:val="24"/>
          <w:lang w:val="el-GR"/>
        </w:rPr>
        <w:t>ο</w:t>
      </w:r>
      <w:r w:rsidR="00E97B3A" w:rsidRPr="00A939A8">
        <w:rPr>
          <w:rFonts w:cs="Times New Roman"/>
          <w:sz w:val="24"/>
        </w:rPr>
        <w:t>ὐ</w:t>
      </w:r>
      <w:r w:rsidR="000008B9" w:rsidRPr="00A939A8">
        <w:rPr>
          <w:rFonts w:cs="Times New Roman"/>
          <w:sz w:val="24"/>
          <w:lang w:val="el-GR"/>
        </w:rPr>
        <w:t>δέ</w:t>
      </w:r>
      <w:r w:rsidR="00C13B83" w:rsidRPr="00A939A8">
        <w:rPr>
          <w:rFonts w:cs="Times New Roman"/>
          <w:sz w:val="24"/>
        </w:rPr>
        <w:t xml:space="preserve"> coordinating a po</w:t>
      </w:r>
      <w:r w:rsidR="00DA718D" w:rsidRPr="00A939A8">
        <w:rPr>
          <w:rFonts w:cs="Times New Roman"/>
          <w:sz w:val="24"/>
        </w:rPr>
        <w:t>sitive and a negative clause does not correspond to Menander’s usual practice.</w:t>
      </w:r>
      <w:r w:rsidR="00C13B83" w:rsidRPr="00A939A8">
        <w:rPr>
          <w:rStyle w:val="FootnoteReference"/>
          <w:rFonts w:cs="Times New Roman"/>
          <w:sz w:val="24"/>
        </w:rPr>
        <w:footnoteReference w:id="6"/>
      </w:r>
      <w:r w:rsidR="00DD66C0" w:rsidRPr="00A939A8">
        <w:rPr>
          <w:rFonts w:cs="Times New Roman"/>
          <w:sz w:val="24"/>
        </w:rPr>
        <w:t xml:space="preserve"> The single counterexample, fr.236</w:t>
      </w:r>
      <w:r w:rsidR="000E4050" w:rsidRPr="00A939A8">
        <w:rPr>
          <w:rFonts w:cs="Times New Roman"/>
          <w:sz w:val="24"/>
        </w:rPr>
        <w:t>.7,</w:t>
      </w:r>
      <w:r w:rsidR="00DD66C0" w:rsidRPr="00A939A8">
        <w:rPr>
          <w:rFonts w:cs="Times New Roman"/>
          <w:sz w:val="24"/>
        </w:rPr>
        <w:t xml:space="preserve"> is not probative</w:t>
      </w:r>
      <w:r w:rsidR="000E4050" w:rsidRPr="00A939A8">
        <w:rPr>
          <w:rFonts w:cs="Times New Roman"/>
          <w:sz w:val="24"/>
        </w:rPr>
        <w:t xml:space="preserve">: </w:t>
      </w:r>
      <w:r w:rsidR="002D1D76" w:rsidRPr="00A939A8">
        <w:rPr>
          <w:rFonts w:cs="Times New Roman"/>
          <w:sz w:val="24"/>
        </w:rPr>
        <w:t>we should</w:t>
      </w:r>
      <w:r w:rsidR="000E4050" w:rsidRPr="00A939A8">
        <w:rPr>
          <w:rFonts w:cs="Times New Roman"/>
          <w:sz w:val="24"/>
        </w:rPr>
        <w:t xml:space="preserve"> read οὐκ with Sandbach (and indeed Clericus)</w:t>
      </w:r>
      <w:r w:rsidR="002733E3" w:rsidRPr="00A939A8">
        <w:rPr>
          <w:rFonts w:cs="Times New Roman"/>
          <w:sz w:val="24"/>
        </w:rPr>
        <w:t>, which gives good sense and better idiom</w:t>
      </w:r>
      <w:r w:rsidR="002D1D76" w:rsidRPr="00A939A8">
        <w:rPr>
          <w:rFonts w:cs="Times New Roman"/>
          <w:sz w:val="24"/>
        </w:rPr>
        <w:t>.</w:t>
      </w:r>
      <w:r w:rsidR="00E548FF" w:rsidRPr="00A939A8">
        <w:rPr>
          <w:rStyle w:val="FootnoteReference"/>
          <w:rFonts w:cs="Times New Roman"/>
          <w:sz w:val="24"/>
        </w:rPr>
        <w:footnoteReference w:id="7"/>
      </w:r>
      <w:r w:rsidR="002D1D76" w:rsidRPr="00A939A8">
        <w:rPr>
          <w:rFonts w:cs="Times New Roman"/>
          <w:sz w:val="24"/>
        </w:rPr>
        <w:t xml:space="preserve"> </w:t>
      </w:r>
    </w:p>
    <w:p w:rsidR="00C13B83" w:rsidRPr="00A939A8" w:rsidRDefault="00C13B83" w:rsidP="00A939A8">
      <w:pPr>
        <w:spacing w:line="360" w:lineRule="auto"/>
        <w:rPr>
          <w:rFonts w:cs="Times New Roman"/>
          <w:sz w:val="24"/>
        </w:rPr>
      </w:pPr>
      <w:r w:rsidRPr="00A939A8">
        <w:rPr>
          <w:rFonts w:cs="Times New Roman"/>
          <w:sz w:val="24"/>
        </w:rPr>
        <w:t>Fu</w:t>
      </w:r>
      <w:r w:rsidR="00A32045" w:rsidRPr="00A939A8">
        <w:rPr>
          <w:rFonts w:cs="Times New Roman"/>
          <w:sz w:val="24"/>
        </w:rPr>
        <w:t>rley in his commentary gives the sense of the scene: ‘Onesimus wants to avoid a “talk” with Smikrines’.</w:t>
      </w:r>
      <w:r w:rsidR="00D70DD8" w:rsidRPr="00A939A8">
        <w:rPr>
          <w:rStyle w:val="FootnoteReference"/>
          <w:rFonts w:cs="Times New Roman"/>
          <w:sz w:val="24"/>
        </w:rPr>
        <w:footnoteReference w:id="8"/>
      </w:r>
      <w:r w:rsidR="00A32045" w:rsidRPr="00A939A8">
        <w:rPr>
          <w:rFonts w:cs="Times New Roman"/>
          <w:sz w:val="24"/>
        </w:rPr>
        <w:t xml:space="preserve"> This is based on the frequently endorsed reconstruction </w:t>
      </w:r>
      <w:r w:rsidR="000008B9" w:rsidRPr="00A939A8">
        <w:rPr>
          <w:rFonts w:cs="Times New Roman"/>
          <w:sz w:val="24"/>
          <w:lang w:val="el-GR"/>
        </w:rPr>
        <w:t>λα</w:t>
      </w:r>
      <w:r w:rsidR="00A32045" w:rsidRPr="00A939A8">
        <w:rPr>
          <w:rFonts w:cs="Times New Roman"/>
          <w:sz w:val="24"/>
        </w:rPr>
        <w:t>[</w:t>
      </w:r>
      <w:r w:rsidR="000008B9" w:rsidRPr="00A939A8">
        <w:rPr>
          <w:rFonts w:cs="Times New Roman"/>
          <w:sz w:val="24"/>
          <w:lang w:val="el-GR"/>
        </w:rPr>
        <w:t>λ</w:t>
      </w:r>
      <w:r w:rsidR="00A32045" w:rsidRPr="00A939A8">
        <w:rPr>
          <w:rFonts w:cs="Times New Roman"/>
          <w:sz w:val="24"/>
        </w:rPr>
        <w:t>]</w:t>
      </w:r>
      <w:r w:rsidR="000008B9" w:rsidRPr="00A939A8">
        <w:rPr>
          <w:rFonts w:cs="Times New Roman"/>
          <w:sz w:val="24"/>
        </w:rPr>
        <w:t>εῖν</w:t>
      </w:r>
      <w:r w:rsidR="000D6503" w:rsidRPr="00A939A8">
        <w:rPr>
          <w:rFonts w:cs="Times New Roman"/>
          <w:sz w:val="24"/>
        </w:rPr>
        <w:t>.</w:t>
      </w:r>
      <w:r w:rsidR="005D0EE4" w:rsidRPr="00A939A8">
        <w:rPr>
          <w:rStyle w:val="FootnoteReference"/>
          <w:rFonts w:cs="Times New Roman"/>
          <w:sz w:val="24"/>
        </w:rPr>
        <w:footnoteReference w:id="9"/>
      </w:r>
      <w:r w:rsidR="000D6503" w:rsidRPr="00A939A8">
        <w:rPr>
          <w:rFonts w:cs="Times New Roman"/>
          <w:sz w:val="24"/>
        </w:rPr>
        <w:t xml:space="preserve"> Furley’s own reconstruction</w:t>
      </w:r>
      <w:r w:rsidR="00A94EEF" w:rsidRPr="00A939A8">
        <w:rPr>
          <w:rFonts w:cs="Times New Roman"/>
          <w:sz w:val="24"/>
        </w:rPr>
        <w:t>, which he qualifies with ‘possis’ in his apparatus,</w:t>
      </w:r>
      <w:r w:rsidR="000D6503" w:rsidRPr="00A939A8">
        <w:rPr>
          <w:rFonts w:cs="Times New Roman"/>
          <w:sz w:val="24"/>
        </w:rPr>
        <w:t xml:space="preserve"> is as follows:</w:t>
      </w:r>
    </w:p>
    <w:p w:rsidR="000D6503" w:rsidRPr="00A939A8" w:rsidRDefault="000D6503" w:rsidP="00A939A8">
      <w:pPr>
        <w:spacing w:line="360" w:lineRule="auto"/>
        <w:rPr>
          <w:rFonts w:cs="Times New Roman"/>
          <w:sz w:val="24"/>
        </w:rPr>
      </w:pPr>
      <w:r w:rsidRPr="00A939A8">
        <w:rPr>
          <w:rFonts w:cs="Times New Roman"/>
          <w:sz w:val="24"/>
        </w:rPr>
        <w:tab/>
        <w:t>ποιεῖν ἐ[μαυτὸν πρίν γε δή τί</w:t>
      </w:r>
      <w:r w:rsidR="00A94EEF" w:rsidRPr="00A939A8">
        <w:rPr>
          <w:rFonts w:cs="Times New Roman"/>
          <w:sz w:val="24"/>
        </w:rPr>
        <w:t xml:space="preserve"> μοι</w:t>
      </w:r>
      <w:r w:rsidRPr="00A939A8">
        <w:rPr>
          <w:rFonts w:cs="Times New Roman"/>
          <w:sz w:val="24"/>
        </w:rPr>
        <w:t xml:space="preserve"> λαλ]εῖν</w:t>
      </w:r>
    </w:p>
    <w:p w:rsidR="00A94EEF" w:rsidRPr="00A939A8" w:rsidRDefault="00A94EEF" w:rsidP="00A939A8">
      <w:pPr>
        <w:spacing w:line="360" w:lineRule="auto"/>
        <w:rPr>
          <w:rFonts w:cs="Times New Roman"/>
          <w:sz w:val="24"/>
        </w:rPr>
      </w:pPr>
      <w:r w:rsidRPr="00A939A8">
        <w:rPr>
          <w:rFonts w:cs="Times New Roman"/>
          <w:sz w:val="24"/>
        </w:rPr>
        <w:lastRenderedPageBreak/>
        <w:t xml:space="preserve">This rids us of the intrusive οὐδέ, but introduces another problem. </w:t>
      </w:r>
      <w:r w:rsidR="006C408B" w:rsidRPr="00A939A8">
        <w:rPr>
          <w:rFonts w:cs="Times New Roman"/>
          <w:sz w:val="24"/>
        </w:rPr>
        <w:t>Clauses introduced by πρίν with a dynamic infinitive</w:t>
      </w:r>
      <w:r w:rsidRPr="00A939A8">
        <w:rPr>
          <w:rFonts w:cs="Times New Roman"/>
          <w:sz w:val="24"/>
        </w:rPr>
        <w:t xml:space="preserve"> attested in extant Menander never coincide with a change of subject.</w:t>
      </w:r>
      <w:r w:rsidR="006C408B" w:rsidRPr="00A939A8">
        <w:rPr>
          <w:rStyle w:val="FootnoteReference"/>
          <w:rFonts w:cs="Times New Roman"/>
          <w:sz w:val="24"/>
        </w:rPr>
        <w:footnoteReference w:id="10"/>
      </w:r>
      <w:r w:rsidRPr="00A939A8">
        <w:rPr>
          <w:rFonts w:cs="Times New Roman"/>
          <w:sz w:val="24"/>
        </w:rPr>
        <w:t xml:space="preserve"> This m</w:t>
      </w:r>
      <w:r w:rsidR="00020E80" w:rsidRPr="00A939A8">
        <w:rPr>
          <w:rFonts w:cs="Times New Roman"/>
          <w:sz w:val="24"/>
        </w:rPr>
        <w:t>ay be put simply down to chance; but as a result we</w:t>
      </w:r>
      <w:r w:rsidRPr="00A939A8">
        <w:rPr>
          <w:rFonts w:cs="Times New Roman"/>
          <w:sz w:val="24"/>
        </w:rPr>
        <w:t xml:space="preserve"> do not know if Menander would have written a πρίν-clause with a change of subject without that subject somehow being indicated. It is possible that the necessary accusative has been lost from the following line, of course, but that is impossible to know from our present witnesses. </w:t>
      </w:r>
    </w:p>
    <w:p w:rsidR="00B172DC" w:rsidRPr="00A939A8" w:rsidRDefault="00B172DC" w:rsidP="00A939A8">
      <w:pPr>
        <w:spacing w:line="360" w:lineRule="auto"/>
        <w:rPr>
          <w:rFonts w:cs="Times New Roman"/>
          <w:sz w:val="24"/>
        </w:rPr>
      </w:pPr>
      <w:r w:rsidRPr="00A939A8">
        <w:rPr>
          <w:rFonts w:cs="Times New Roman"/>
          <w:sz w:val="24"/>
        </w:rPr>
        <w:t>I propose therefore to read</w:t>
      </w:r>
    </w:p>
    <w:p w:rsidR="00B172DC" w:rsidRPr="00A939A8" w:rsidRDefault="00B172DC" w:rsidP="00A939A8">
      <w:pPr>
        <w:spacing w:line="360" w:lineRule="auto"/>
        <w:rPr>
          <w:rFonts w:ascii="SPIonic" w:hAnsi="SPIonic" w:cs="Times New Roman"/>
          <w:sz w:val="24"/>
        </w:rPr>
      </w:pPr>
      <w:r w:rsidRPr="00A939A8">
        <w:rPr>
          <w:rFonts w:cs="Times New Roman"/>
          <w:sz w:val="24"/>
        </w:rPr>
        <w:tab/>
      </w:r>
      <w:r w:rsidR="000008B9" w:rsidRPr="00A939A8">
        <w:rPr>
          <w:rFonts w:cs="Times New Roman"/>
          <w:sz w:val="24"/>
        </w:rPr>
        <w:t xml:space="preserve">ποιεῖν ἐ[μαυτὸν </w:t>
      </w:r>
      <w:r w:rsidR="007E6313" w:rsidRPr="00A939A8">
        <w:rPr>
          <w:rFonts w:cs="Times New Roman"/>
          <w:sz w:val="24"/>
        </w:rPr>
        <w:t>ὥστε</w:t>
      </w:r>
      <w:r w:rsidR="000008B9" w:rsidRPr="00A939A8">
        <w:rPr>
          <w:rFonts w:cs="Times New Roman"/>
          <w:sz w:val="24"/>
        </w:rPr>
        <w:t xml:space="preserve"> τὸν ἄγριον] λα[θ]εῖν</w:t>
      </w:r>
      <w:r w:rsidR="007F6A1A" w:rsidRPr="00A939A8">
        <w:rPr>
          <w:rFonts w:cs="Times New Roman"/>
          <w:sz w:val="24"/>
        </w:rPr>
        <w:t>.</w:t>
      </w:r>
    </w:p>
    <w:p w:rsidR="00B172DC" w:rsidRPr="00A939A8" w:rsidRDefault="00B172DC" w:rsidP="00A939A8">
      <w:pPr>
        <w:spacing w:line="360" w:lineRule="auto"/>
        <w:rPr>
          <w:rFonts w:cs="Times New Roman"/>
          <w:sz w:val="24"/>
        </w:rPr>
      </w:pPr>
      <w:r w:rsidRPr="00A939A8">
        <w:rPr>
          <w:rFonts w:cs="Times New Roman"/>
          <w:sz w:val="24"/>
        </w:rPr>
        <w:t>In this way we avoid trouble over the n</w:t>
      </w:r>
      <w:r w:rsidR="00735DC4" w:rsidRPr="00A939A8">
        <w:rPr>
          <w:rFonts w:cs="Times New Roman"/>
          <w:sz w:val="24"/>
        </w:rPr>
        <w:t>egative; we are able to provide</w:t>
      </w:r>
      <w:r w:rsidRPr="00A939A8">
        <w:rPr>
          <w:rFonts w:cs="Times New Roman"/>
          <w:sz w:val="24"/>
        </w:rPr>
        <w:t xml:space="preserve"> a plausible </w:t>
      </w:r>
      <w:r w:rsidR="005D0EE4" w:rsidRPr="00A939A8">
        <w:rPr>
          <w:rFonts w:cs="Times New Roman"/>
          <w:sz w:val="24"/>
        </w:rPr>
        <w:t>adjective to refer to Smikrines</w:t>
      </w:r>
      <w:r w:rsidR="00D94B32" w:rsidRPr="00A939A8">
        <w:rPr>
          <w:rFonts w:cs="Times New Roman"/>
          <w:sz w:val="24"/>
        </w:rPr>
        <w:t>;</w:t>
      </w:r>
      <w:r w:rsidR="005D0EE4" w:rsidRPr="00A939A8">
        <w:rPr>
          <w:rStyle w:val="FootnoteReference"/>
          <w:rFonts w:cs="Times New Roman"/>
          <w:sz w:val="24"/>
        </w:rPr>
        <w:footnoteReference w:id="11"/>
      </w:r>
      <w:r w:rsidR="00D94B32" w:rsidRPr="00A939A8">
        <w:rPr>
          <w:rFonts w:cs="Times New Roman"/>
          <w:sz w:val="24"/>
        </w:rPr>
        <w:t xml:space="preserve"> </w:t>
      </w:r>
      <w:r w:rsidR="00F929B9" w:rsidRPr="00A939A8">
        <w:rPr>
          <w:rFonts w:cs="Times New Roman"/>
          <w:sz w:val="24"/>
        </w:rPr>
        <w:t>the</w:t>
      </w:r>
      <w:r w:rsidR="005D1847" w:rsidRPr="00A939A8">
        <w:rPr>
          <w:rFonts w:cs="Times New Roman"/>
          <w:sz w:val="24"/>
        </w:rPr>
        <w:t xml:space="preserve"> </w:t>
      </w:r>
      <w:r w:rsidR="000008B9" w:rsidRPr="00A939A8">
        <w:rPr>
          <w:rFonts w:cs="Times New Roman"/>
          <w:sz w:val="24"/>
        </w:rPr>
        <w:t>restoration of λαθεῖν does not contradict the traces</w:t>
      </w:r>
      <w:r w:rsidR="00E774C3" w:rsidRPr="00A939A8">
        <w:rPr>
          <w:rFonts w:cs="Times New Roman"/>
          <w:sz w:val="24"/>
        </w:rPr>
        <w:t>.</w:t>
      </w:r>
      <w:r w:rsidR="007E6313" w:rsidRPr="00A939A8">
        <w:rPr>
          <w:rFonts w:cs="Times New Roman"/>
          <w:sz w:val="24"/>
        </w:rPr>
        <w:t xml:space="preserve"> In fact, after I had thought of λαθεῖν I discovered I had been anticipated by Leidig, </w:t>
      </w:r>
      <w:r w:rsidR="00935C4A" w:rsidRPr="00A939A8">
        <w:rPr>
          <w:rFonts w:cs="Times New Roman"/>
          <w:sz w:val="24"/>
        </w:rPr>
        <w:t>to whom I owe</w:t>
      </w:r>
      <w:r w:rsidR="007E6313" w:rsidRPr="00A939A8">
        <w:rPr>
          <w:rFonts w:cs="Times New Roman"/>
          <w:sz w:val="24"/>
        </w:rPr>
        <w:t xml:space="preserve"> ὥστε.</w:t>
      </w:r>
      <w:r w:rsidR="006A541F" w:rsidRPr="00A939A8">
        <w:rPr>
          <w:rStyle w:val="FootnoteReference"/>
          <w:rFonts w:cs="Times New Roman"/>
          <w:sz w:val="24"/>
        </w:rPr>
        <w:footnoteReference w:id="12"/>
      </w:r>
      <w:r w:rsidR="007E6313" w:rsidRPr="00A939A8">
        <w:rPr>
          <w:rFonts w:cs="Times New Roman"/>
          <w:sz w:val="24"/>
        </w:rPr>
        <w:t xml:space="preserve"> </w:t>
      </w:r>
      <w:r w:rsidR="00D94B32" w:rsidRPr="00A939A8">
        <w:rPr>
          <w:rFonts w:cs="Times New Roman"/>
          <w:sz w:val="24"/>
        </w:rPr>
        <w:t xml:space="preserve">However </w:t>
      </w:r>
      <w:r w:rsidR="007E6313" w:rsidRPr="00A939A8">
        <w:rPr>
          <w:rFonts w:cs="Times New Roman"/>
          <w:sz w:val="24"/>
        </w:rPr>
        <w:t>Leidig’s own suggestion of ὥστε τὸν ἄνθρωπον introduces an unwelcome split anapaest into the text,</w:t>
      </w:r>
      <w:r w:rsidR="00553808" w:rsidRPr="00A939A8">
        <w:rPr>
          <w:rStyle w:val="FootnoteReference"/>
          <w:rFonts w:cs="Times New Roman"/>
          <w:sz w:val="24"/>
        </w:rPr>
        <w:footnoteReference w:id="13"/>
      </w:r>
      <w:r w:rsidR="007E6313" w:rsidRPr="00A939A8">
        <w:rPr>
          <w:rFonts w:cs="Times New Roman"/>
          <w:sz w:val="24"/>
        </w:rPr>
        <w:t xml:space="preserve"> and ἄνθρωπον in </w:t>
      </w:r>
      <w:r w:rsidR="00D94B32" w:rsidRPr="00A939A8">
        <w:rPr>
          <w:rFonts w:cs="Times New Roman"/>
          <w:sz w:val="24"/>
        </w:rPr>
        <w:t xml:space="preserve">any case seems a little bland. </w:t>
      </w:r>
    </w:p>
    <w:p w:rsidR="00786D74" w:rsidRPr="00A939A8" w:rsidRDefault="00786D74" w:rsidP="00A939A8">
      <w:pPr>
        <w:spacing w:after="0" w:line="360" w:lineRule="auto"/>
        <w:rPr>
          <w:rFonts w:cs="Times New Roman"/>
          <w:sz w:val="24"/>
        </w:rPr>
      </w:pPr>
      <w:r w:rsidRPr="00A939A8">
        <w:rPr>
          <w:rFonts w:cs="Times New Roman"/>
          <w:sz w:val="24"/>
        </w:rPr>
        <w:t>References</w:t>
      </w:r>
    </w:p>
    <w:p w:rsidR="00467527" w:rsidRPr="00A939A8" w:rsidRDefault="006C408B" w:rsidP="00A939A8">
      <w:pPr>
        <w:spacing w:after="0" w:line="360" w:lineRule="auto"/>
        <w:rPr>
          <w:rFonts w:cs="Times New Roman"/>
          <w:sz w:val="24"/>
        </w:rPr>
      </w:pPr>
      <w:r w:rsidRPr="00A939A8">
        <w:rPr>
          <w:rFonts w:cs="Times New Roman"/>
          <w:sz w:val="24"/>
        </w:rPr>
        <w:t xml:space="preserve">Cartlidge, B. J., </w:t>
      </w:r>
      <w:r w:rsidRPr="00A939A8">
        <w:rPr>
          <w:rFonts w:cs="Times New Roman"/>
          <w:i/>
          <w:sz w:val="24"/>
        </w:rPr>
        <w:t xml:space="preserve">The Language of Menander </w:t>
      </w:r>
      <w:r w:rsidRPr="00A939A8">
        <w:rPr>
          <w:rFonts w:cs="Times New Roman"/>
          <w:sz w:val="24"/>
        </w:rPr>
        <w:t>(forthc.)</w:t>
      </w:r>
    </w:p>
    <w:p w:rsidR="007C4079" w:rsidRPr="00A939A8" w:rsidRDefault="007C4079" w:rsidP="00A939A8">
      <w:pPr>
        <w:spacing w:after="0" w:line="360" w:lineRule="auto"/>
        <w:rPr>
          <w:rFonts w:cs="Times New Roman"/>
          <w:sz w:val="24"/>
        </w:rPr>
      </w:pPr>
      <w:r w:rsidRPr="00A939A8">
        <w:rPr>
          <w:rFonts w:cs="Times New Roman"/>
          <w:sz w:val="24"/>
        </w:rPr>
        <w:t xml:space="preserve">Clericus, J., </w:t>
      </w:r>
      <w:r w:rsidRPr="00A939A8">
        <w:rPr>
          <w:rFonts w:cs="Times New Roman"/>
          <w:i/>
          <w:sz w:val="24"/>
        </w:rPr>
        <w:t>Menandri et Philemonis reliquias</w:t>
      </w:r>
      <w:r w:rsidRPr="00A939A8">
        <w:rPr>
          <w:rFonts w:cs="Times New Roman"/>
          <w:sz w:val="24"/>
        </w:rPr>
        <w:t xml:space="preserve"> (1709)</w:t>
      </w:r>
    </w:p>
    <w:p w:rsidR="00770867" w:rsidRPr="00A939A8" w:rsidRDefault="00770867" w:rsidP="00A939A8">
      <w:pPr>
        <w:spacing w:after="0" w:line="360" w:lineRule="auto"/>
        <w:rPr>
          <w:rFonts w:cs="Times New Roman"/>
          <w:sz w:val="24"/>
        </w:rPr>
      </w:pPr>
      <w:r w:rsidRPr="00A939A8">
        <w:rPr>
          <w:rFonts w:cs="Times New Roman"/>
          <w:sz w:val="24"/>
        </w:rPr>
        <w:t xml:space="preserve">Denniston, D. J., </w:t>
      </w:r>
      <w:r w:rsidRPr="00A939A8">
        <w:rPr>
          <w:rFonts w:cs="Times New Roman"/>
          <w:i/>
          <w:sz w:val="24"/>
        </w:rPr>
        <w:t>The Greek Particles</w:t>
      </w:r>
      <w:r w:rsidRPr="00A939A8">
        <w:rPr>
          <w:rFonts w:cs="Times New Roman"/>
          <w:sz w:val="24"/>
        </w:rPr>
        <w:t xml:space="preserve"> (</w:t>
      </w:r>
      <w:r w:rsidRPr="00A939A8">
        <w:rPr>
          <w:rFonts w:cs="Times New Roman"/>
          <w:sz w:val="24"/>
          <w:vertAlign w:val="superscript"/>
        </w:rPr>
        <w:t>2</w:t>
      </w:r>
      <w:r w:rsidRPr="00A939A8">
        <w:rPr>
          <w:rFonts w:cs="Times New Roman"/>
          <w:sz w:val="24"/>
        </w:rPr>
        <w:t>1950)</w:t>
      </w:r>
    </w:p>
    <w:p w:rsidR="00786D74" w:rsidRPr="00A939A8" w:rsidRDefault="00786D74" w:rsidP="00A939A8">
      <w:pPr>
        <w:spacing w:after="0" w:line="360" w:lineRule="auto"/>
        <w:rPr>
          <w:rFonts w:cs="Times New Roman"/>
          <w:sz w:val="24"/>
        </w:rPr>
      </w:pPr>
      <w:r w:rsidRPr="00A939A8">
        <w:rPr>
          <w:rFonts w:cs="Times New Roman"/>
          <w:sz w:val="24"/>
        </w:rPr>
        <w:t xml:space="preserve">Furley, </w:t>
      </w:r>
      <w:r w:rsidR="007F6A1A" w:rsidRPr="00A939A8">
        <w:rPr>
          <w:rFonts w:cs="Times New Roman"/>
          <w:sz w:val="24"/>
        </w:rPr>
        <w:t xml:space="preserve">W. D., </w:t>
      </w:r>
      <w:r w:rsidRPr="00A939A8">
        <w:rPr>
          <w:rFonts w:cs="Times New Roman"/>
          <w:i/>
          <w:sz w:val="24"/>
        </w:rPr>
        <w:t xml:space="preserve">Menander: </w:t>
      </w:r>
      <w:r w:rsidRPr="00A939A8">
        <w:rPr>
          <w:rFonts w:cs="Times New Roman"/>
          <w:sz w:val="24"/>
        </w:rPr>
        <w:t>Epitrepontes (2009)</w:t>
      </w:r>
    </w:p>
    <w:p w:rsidR="00933F82" w:rsidRPr="00A939A8" w:rsidRDefault="00933F82" w:rsidP="00A939A8">
      <w:pPr>
        <w:spacing w:after="0" w:line="360" w:lineRule="auto"/>
        <w:rPr>
          <w:rFonts w:cs="Times New Roman"/>
          <w:sz w:val="24"/>
        </w:rPr>
      </w:pPr>
      <w:r w:rsidRPr="00A939A8">
        <w:rPr>
          <w:rFonts w:cs="Times New Roman"/>
          <w:sz w:val="24"/>
        </w:rPr>
        <w:t xml:space="preserve">Fraenkel, E. D. M., </w:t>
      </w:r>
      <w:r w:rsidRPr="00A939A8">
        <w:rPr>
          <w:rFonts w:cs="Times New Roman"/>
          <w:i/>
          <w:sz w:val="24"/>
        </w:rPr>
        <w:t>Aeschylus</w:t>
      </w:r>
      <w:r w:rsidRPr="00A939A8">
        <w:rPr>
          <w:rFonts w:cs="Times New Roman"/>
          <w:sz w:val="24"/>
        </w:rPr>
        <w:t>: Agamemnon (1950)</w:t>
      </w:r>
    </w:p>
    <w:p w:rsidR="007F6A1A" w:rsidRPr="00A939A8" w:rsidRDefault="007F6A1A" w:rsidP="00A939A8">
      <w:pPr>
        <w:spacing w:after="0" w:line="360" w:lineRule="auto"/>
        <w:ind w:left="567" w:hanging="567"/>
        <w:rPr>
          <w:sz w:val="24"/>
        </w:rPr>
      </w:pPr>
      <w:r w:rsidRPr="00A939A8">
        <w:rPr>
          <w:sz w:val="24"/>
        </w:rPr>
        <w:t xml:space="preserve">Gomme, A. W., / Sandbach, F. H., </w:t>
      </w:r>
      <w:r w:rsidRPr="00A939A8">
        <w:rPr>
          <w:i/>
          <w:sz w:val="24"/>
        </w:rPr>
        <w:t xml:space="preserve">Menander: A Commentary </w:t>
      </w:r>
      <w:r w:rsidRPr="00A939A8">
        <w:rPr>
          <w:sz w:val="24"/>
        </w:rPr>
        <w:t>(1973)</w:t>
      </w:r>
    </w:p>
    <w:p w:rsidR="00786D74" w:rsidRPr="00A939A8" w:rsidRDefault="00786D74" w:rsidP="00A939A8">
      <w:pPr>
        <w:spacing w:after="0" w:line="360" w:lineRule="auto"/>
        <w:rPr>
          <w:rFonts w:cs="Times New Roman"/>
          <w:sz w:val="24"/>
        </w:rPr>
      </w:pPr>
      <w:r w:rsidRPr="00A939A8">
        <w:rPr>
          <w:rFonts w:cs="Times New Roman"/>
          <w:sz w:val="24"/>
        </w:rPr>
        <w:t xml:space="preserve">Guéraud, </w:t>
      </w:r>
      <w:r w:rsidR="007F6A1A" w:rsidRPr="00A939A8">
        <w:rPr>
          <w:rFonts w:cs="Times New Roman"/>
          <w:sz w:val="24"/>
        </w:rPr>
        <w:t xml:space="preserve">O., </w:t>
      </w:r>
      <w:r w:rsidRPr="00A939A8">
        <w:rPr>
          <w:rFonts w:cs="Times New Roman"/>
          <w:sz w:val="24"/>
        </w:rPr>
        <w:t>‘Quelques notes sur le papyrus de Ménandre’, BIAO 27 (1927) 127-157</w:t>
      </w:r>
    </w:p>
    <w:p w:rsidR="00770867" w:rsidRPr="00A939A8" w:rsidRDefault="00770867" w:rsidP="00A939A8">
      <w:pPr>
        <w:spacing w:after="0" w:line="360" w:lineRule="auto"/>
        <w:rPr>
          <w:rFonts w:cs="Times New Roman"/>
          <w:sz w:val="24"/>
        </w:rPr>
      </w:pPr>
      <w:r w:rsidRPr="00A939A8">
        <w:rPr>
          <w:rFonts w:cs="Times New Roman"/>
          <w:sz w:val="24"/>
        </w:rPr>
        <w:t xml:space="preserve">Handley, E. W., </w:t>
      </w:r>
      <w:r w:rsidRPr="00A939A8">
        <w:rPr>
          <w:rFonts w:cs="Times New Roman"/>
          <w:i/>
          <w:sz w:val="24"/>
        </w:rPr>
        <w:t>Menander:</w:t>
      </w:r>
      <w:r w:rsidRPr="00A939A8">
        <w:rPr>
          <w:rFonts w:cs="Times New Roman"/>
          <w:sz w:val="24"/>
        </w:rPr>
        <w:t xml:space="preserve"> Dyskolos (1963)</w:t>
      </w:r>
    </w:p>
    <w:p w:rsidR="00A906E0" w:rsidRPr="00A939A8" w:rsidRDefault="00A906E0" w:rsidP="00A939A8">
      <w:pPr>
        <w:spacing w:after="0" w:line="360" w:lineRule="auto"/>
        <w:rPr>
          <w:rFonts w:cs="Times New Roman"/>
          <w:sz w:val="24"/>
        </w:rPr>
      </w:pPr>
      <w:r w:rsidRPr="00A939A8">
        <w:rPr>
          <w:rFonts w:cs="Times New Roman"/>
          <w:sz w:val="24"/>
        </w:rPr>
        <w:t xml:space="preserve">Leidig, T., ‘Konjekturen zu Menander’, </w:t>
      </w:r>
      <w:r w:rsidRPr="00A939A8">
        <w:rPr>
          <w:rFonts w:cs="Times New Roman"/>
          <w:i/>
          <w:sz w:val="24"/>
        </w:rPr>
        <w:t>Hyperboreus</w:t>
      </w:r>
      <w:r w:rsidRPr="00A939A8">
        <w:rPr>
          <w:rFonts w:cs="Times New Roman"/>
          <w:sz w:val="24"/>
        </w:rPr>
        <w:t xml:space="preserve"> 12 (2006) 137-152</w:t>
      </w:r>
    </w:p>
    <w:p w:rsidR="00786D74" w:rsidRPr="00A939A8" w:rsidRDefault="00786D74" w:rsidP="00A939A8">
      <w:pPr>
        <w:spacing w:after="0" w:line="360" w:lineRule="auto"/>
        <w:rPr>
          <w:rFonts w:cs="Times New Roman"/>
          <w:sz w:val="24"/>
        </w:rPr>
      </w:pPr>
      <w:r w:rsidRPr="00A939A8">
        <w:rPr>
          <w:rFonts w:cs="Times New Roman"/>
          <w:sz w:val="24"/>
        </w:rPr>
        <w:t xml:space="preserve">Martina, </w:t>
      </w:r>
      <w:r w:rsidR="00770867" w:rsidRPr="00A939A8">
        <w:rPr>
          <w:rFonts w:cs="Times New Roman"/>
          <w:sz w:val="24"/>
        </w:rPr>
        <w:t xml:space="preserve">A., </w:t>
      </w:r>
      <w:r w:rsidRPr="00A939A8">
        <w:rPr>
          <w:rFonts w:cs="Times New Roman"/>
          <w:i/>
          <w:sz w:val="24"/>
        </w:rPr>
        <w:t>Menandro:</w:t>
      </w:r>
      <w:r w:rsidRPr="00A939A8">
        <w:rPr>
          <w:rFonts w:cs="Times New Roman"/>
          <w:sz w:val="24"/>
        </w:rPr>
        <w:t xml:space="preserve"> Epitrepontes (</w:t>
      </w:r>
      <w:r w:rsidR="00770867" w:rsidRPr="00A939A8">
        <w:rPr>
          <w:rFonts w:cs="Times New Roman"/>
          <w:sz w:val="24"/>
        </w:rPr>
        <w:t>2000</w:t>
      </w:r>
      <w:r w:rsidRPr="00A939A8">
        <w:rPr>
          <w:rFonts w:cs="Times New Roman"/>
          <w:sz w:val="24"/>
        </w:rPr>
        <w:t>)</w:t>
      </w:r>
    </w:p>
    <w:p w:rsidR="00770867" w:rsidRPr="00A939A8" w:rsidRDefault="00770867" w:rsidP="00A939A8">
      <w:pPr>
        <w:spacing w:after="0" w:line="360" w:lineRule="auto"/>
        <w:ind w:left="567" w:hanging="567"/>
        <w:rPr>
          <w:sz w:val="24"/>
        </w:rPr>
      </w:pPr>
      <w:r w:rsidRPr="00A939A8">
        <w:rPr>
          <w:sz w:val="24"/>
        </w:rPr>
        <w:t xml:space="preserve">Riad, H. / Selim, A., </w:t>
      </w:r>
      <w:r w:rsidRPr="00A939A8">
        <w:rPr>
          <w:i/>
          <w:sz w:val="24"/>
        </w:rPr>
        <w:t>The Cairo Codex of Menander (P. Cair. J. 43227)</w:t>
      </w:r>
      <w:r w:rsidRPr="00A939A8">
        <w:rPr>
          <w:sz w:val="24"/>
        </w:rPr>
        <w:t xml:space="preserve"> (1978)</w:t>
      </w:r>
    </w:p>
    <w:p w:rsidR="00786D74" w:rsidRPr="00A939A8" w:rsidRDefault="00786D74" w:rsidP="00A939A8">
      <w:pPr>
        <w:spacing w:after="0" w:line="360" w:lineRule="auto"/>
        <w:ind w:left="567" w:hanging="567"/>
        <w:rPr>
          <w:sz w:val="24"/>
        </w:rPr>
      </w:pPr>
      <w:r w:rsidRPr="00A939A8">
        <w:rPr>
          <w:rFonts w:cs="Times New Roman"/>
          <w:sz w:val="24"/>
        </w:rPr>
        <w:lastRenderedPageBreak/>
        <w:t xml:space="preserve">Sandbach, F. H., </w:t>
      </w:r>
      <w:r w:rsidRPr="00A939A8">
        <w:rPr>
          <w:rFonts w:cs="Times New Roman"/>
          <w:i/>
          <w:sz w:val="24"/>
        </w:rPr>
        <w:t>Menandri Reliquias</w:t>
      </w:r>
      <w:r w:rsidRPr="00A939A8">
        <w:rPr>
          <w:rFonts w:cs="Times New Roman"/>
          <w:sz w:val="24"/>
        </w:rPr>
        <w:t xml:space="preserve"> (</w:t>
      </w:r>
      <w:r w:rsidRPr="00A939A8">
        <w:rPr>
          <w:rFonts w:cs="Times New Roman"/>
          <w:sz w:val="24"/>
          <w:vertAlign w:val="superscript"/>
        </w:rPr>
        <w:t>2</w:t>
      </w:r>
      <w:r w:rsidRPr="00A939A8">
        <w:rPr>
          <w:rFonts w:cs="Times New Roman"/>
          <w:sz w:val="24"/>
        </w:rPr>
        <w:t>1990)</w:t>
      </w:r>
    </w:p>
    <w:p w:rsidR="00786D74" w:rsidRPr="00A939A8" w:rsidRDefault="00786D74" w:rsidP="00A939A8">
      <w:pPr>
        <w:spacing w:after="0" w:line="360" w:lineRule="auto"/>
        <w:rPr>
          <w:rFonts w:cs="Times New Roman"/>
          <w:sz w:val="24"/>
        </w:rPr>
      </w:pPr>
      <w:r w:rsidRPr="00A939A8">
        <w:rPr>
          <w:rFonts w:cs="Times New Roman"/>
          <w:sz w:val="24"/>
        </w:rPr>
        <w:t>Wilamowitz-Moellendorf</w:t>
      </w:r>
      <w:r w:rsidR="00856F96">
        <w:rPr>
          <w:rFonts w:cs="Times New Roman"/>
          <w:sz w:val="24"/>
        </w:rPr>
        <w:t>f</w:t>
      </w:r>
      <w:bookmarkStart w:id="0" w:name="_GoBack"/>
      <w:bookmarkEnd w:id="0"/>
      <w:r w:rsidRPr="00A939A8">
        <w:rPr>
          <w:rFonts w:cs="Times New Roman"/>
          <w:sz w:val="24"/>
        </w:rPr>
        <w:t xml:space="preserve">, </w:t>
      </w:r>
      <w:r w:rsidR="00F84C6B" w:rsidRPr="00A939A8">
        <w:rPr>
          <w:rFonts w:cs="Times New Roman"/>
          <w:sz w:val="24"/>
        </w:rPr>
        <w:t xml:space="preserve">U. von, </w:t>
      </w:r>
      <w:r w:rsidRPr="00A939A8">
        <w:rPr>
          <w:rFonts w:cs="Times New Roman"/>
          <w:i/>
          <w:sz w:val="24"/>
        </w:rPr>
        <w:t>Das Schiedsgericht</w:t>
      </w:r>
      <w:r w:rsidR="009D0B6B" w:rsidRPr="00A939A8">
        <w:rPr>
          <w:rFonts w:cs="Times New Roman"/>
          <w:sz w:val="24"/>
        </w:rPr>
        <w:t xml:space="preserve"> (1925</w:t>
      </w:r>
      <w:r w:rsidRPr="00A939A8">
        <w:rPr>
          <w:rFonts w:cs="Times New Roman"/>
          <w:sz w:val="24"/>
        </w:rPr>
        <w:t>)</w:t>
      </w:r>
    </w:p>
    <w:p w:rsidR="00681E69" w:rsidRPr="00A939A8" w:rsidRDefault="00681E69" w:rsidP="00A939A8">
      <w:pPr>
        <w:spacing w:after="0" w:line="360" w:lineRule="auto"/>
        <w:jc w:val="right"/>
        <w:rPr>
          <w:rFonts w:cs="Times New Roman"/>
          <w:sz w:val="24"/>
        </w:rPr>
      </w:pPr>
    </w:p>
    <w:p w:rsidR="00681E69" w:rsidRPr="00A939A8" w:rsidRDefault="00681E69" w:rsidP="00A939A8">
      <w:pPr>
        <w:spacing w:after="0" w:line="360" w:lineRule="auto"/>
        <w:jc w:val="right"/>
        <w:rPr>
          <w:rFonts w:cs="Times New Roman"/>
          <w:sz w:val="24"/>
        </w:rPr>
      </w:pPr>
      <w:r w:rsidRPr="00A939A8">
        <w:rPr>
          <w:rFonts w:cs="Times New Roman"/>
          <w:sz w:val="24"/>
        </w:rPr>
        <w:t>Ben Cartlidge</w:t>
      </w:r>
    </w:p>
    <w:p w:rsidR="00681E69" w:rsidRPr="00A939A8" w:rsidRDefault="00681E69" w:rsidP="00A939A8">
      <w:pPr>
        <w:spacing w:after="0" w:line="360" w:lineRule="auto"/>
        <w:jc w:val="right"/>
        <w:rPr>
          <w:rFonts w:cs="Times New Roman"/>
          <w:sz w:val="24"/>
        </w:rPr>
      </w:pPr>
    </w:p>
    <w:p w:rsidR="00681E69" w:rsidRPr="00A939A8" w:rsidRDefault="00681E69" w:rsidP="00A939A8">
      <w:pPr>
        <w:spacing w:after="0" w:line="360" w:lineRule="auto"/>
        <w:jc w:val="right"/>
        <w:rPr>
          <w:rFonts w:cs="Times New Roman"/>
          <w:sz w:val="24"/>
        </w:rPr>
      </w:pPr>
      <w:r w:rsidRPr="00A939A8">
        <w:rPr>
          <w:rFonts w:cs="Times New Roman"/>
          <w:sz w:val="24"/>
        </w:rPr>
        <w:t>St John’s College</w:t>
      </w:r>
    </w:p>
    <w:p w:rsidR="00681E69" w:rsidRPr="00A939A8" w:rsidRDefault="00681E69" w:rsidP="00A939A8">
      <w:pPr>
        <w:spacing w:after="0" w:line="360" w:lineRule="auto"/>
        <w:jc w:val="right"/>
        <w:rPr>
          <w:rFonts w:cs="Times New Roman"/>
          <w:sz w:val="24"/>
        </w:rPr>
      </w:pPr>
      <w:r w:rsidRPr="00A939A8">
        <w:rPr>
          <w:rFonts w:cs="Times New Roman"/>
          <w:sz w:val="24"/>
        </w:rPr>
        <w:t>St Giles</w:t>
      </w:r>
    </w:p>
    <w:p w:rsidR="00681E69" w:rsidRPr="00A939A8" w:rsidRDefault="00681E69" w:rsidP="00A939A8">
      <w:pPr>
        <w:spacing w:after="0" w:line="360" w:lineRule="auto"/>
        <w:jc w:val="right"/>
        <w:rPr>
          <w:rFonts w:cs="Times New Roman"/>
          <w:sz w:val="24"/>
        </w:rPr>
      </w:pPr>
      <w:r w:rsidRPr="00A939A8">
        <w:rPr>
          <w:rFonts w:cs="Times New Roman"/>
          <w:sz w:val="24"/>
        </w:rPr>
        <w:t>Oxford OX1 3JP</w:t>
      </w:r>
    </w:p>
    <w:p w:rsidR="00681E69" w:rsidRPr="00A939A8" w:rsidRDefault="00681E69" w:rsidP="00A939A8">
      <w:pPr>
        <w:spacing w:after="0" w:line="360" w:lineRule="auto"/>
        <w:jc w:val="right"/>
        <w:rPr>
          <w:rFonts w:cs="Times New Roman"/>
          <w:sz w:val="24"/>
        </w:rPr>
      </w:pPr>
      <w:r w:rsidRPr="00A939A8">
        <w:rPr>
          <w:rFonts w:cs="Times New Roman"/>
          <w:sz w:val="24"/>
        </w:rPr>
        <w:t>United Kingdom</w:t>
      </w:r>
    </w:p>
    <w:p w:rsidR="00681E69" w:rsidRPr="00A939A8" w:rsidRDefault="00681E69" w:rsidP="00A939A8">
      <w:pPr>
        <w:spacing w:after="0" w:line="360" w:lineRule="auto"/>
        <w:jc w:val="right"/>
        <w:rPr>
          <w:rFonts w:cs="Times New Roman"/>
          <w:sz w:val="24"/>
        </w:rPr>
      </w:pPr>
    </w:p>
    <w:p w:rsidR="00681E69" w:rsidRPr="00A939A8" w:rsidRDefault="00681E69" w:rsidP="00A939A8">
      <w:pPr>
        <w:spacing w:after="0" w:line="360" w:lineRule="auto"/>
        <w:jc w:val="right"/>
        <w:rPr>
          <w:rFonts w:cs="Times New Roman"/>
          <w:sz w:val="24"/>
        </w:rPr>
      </w:pPr>
      <w:r w:rsidRPr="00A939A8">
        <w:rPr>
          <w:rFonts w:cs="Times New Roman"/>
          <w:sz w:val="24"/>
        </w:rPr>
        <w:t>benjamin.cartlidge@sjc.ox.ac.uk</w:t>
      </w:r>
    </w:p>
    <w:sectPr w:rsidR="00681E69" w:rsidRPr="00A939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751" w:rsidRDefault="00CD3751" w:rsidP="00C13B83">
      <w:pPr>
        <w:spacing w:after="0" w:line="240" w:lineRule="auto"/>
      </w:pPr>
      <w:r>
        <w:separator/>
      </w:r>
    </w:p>
  </w:endnote>
  <w:endnote w:type="continuationSeparator" w:id="0">
    <w:p w:rsidR="00CD3751" w:rsidRDefault="00CD3751" w:rsidP="00C1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Ion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72246"/>
      <w:docPartObj>
        <w:docPartGallery w:val="Page Numbers (Bottom of Page)"/>
        <w:docPartUnique/>
      </w:docPartObj>
    </w:sdtPr>
    <w:sdtEndPr>
      <w:rPr>
        <w:noProof/>
      </w:rPr>
    </w:sdtEndPr>
    <w:sdtContent>
      <w:p w:rsidR="00A939A8" w:rsidRDefault="00A939A8">
        <w:pPr>
          <w:pStyle w:val="Footer"/>
          <w:jc w:val="center"/>
        </w:pPr>
        <w:r>
          <w:fldChar w:fldCharType="begin"/>
        </w:r>
        <w:r>
          <w:instrText xml:space="preserve"> PAGE   \* MERGEFORMAT </w:instrText>
        </w:r>
        <w:r>
          <w:fldChar w:fldCharType="separate"/>
        </w:r>
        <w:r w:rsidR="00856F96">
          <w:rPr>
            <w:noProof/>
          </w:rPr>
          <w:t>3</w:t>
        </w:r>
        <w:r>
          <w:rPr>
            <w:noProof/>
          </w:rPr>
          <w:fldChar w:fldCharType="end"/>
        </w:r>
      </w:p>
    </w:sdtContent>
  </w:sdt>
  <w:p w:rsidR="00A939A8" w:rsidRDefault="00A93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751" w:rsidRDefault="00CD3751" w:rsidP="00C13B83">
      <w:pPr>
        <w:spacing w:after="0" w:line="240" w:lineRule="auto"/>
      </w:pPr>
      <w:r>
        <w:separator/>
      </w:r>
    </w:p>
  </w:footnote>
  <w:footnote w:type="continuationSeparator" w:id="0">
    <w:p w:rsidR="00CD3751" w:rsidRDefault="00CD3751" w:rsidP="00C13B83">
      <w:pPr>
        <w:spacing w:after="0" w:line="240" w:lineRule="auto"/>
      </w:pPr>
      <w:r>
        <w:continuationSeparator/>
      </w:r>
    </w:p>
  </w:footnote>
  <w:footnote w:id="1">
    <w:p w:rsidR="00C50582" w:rsidRPr="007E4035" w:rsidRDefault="00C50582">
      <w:pPr>
        <w:pStyle w:val="FootnoteText"/>
        <w:rPr>
          <w:rFonts w:cs="Times New Roman"/>
        </w:rPr>
      </w:pPr>
      <w:r>
        <w:rPr>
          <w:rStyle w:val="FootnoteReference"/>
        </w:rPr>
        <w:footnoteRef/>
      </w:r>
      <w:r>
        <w:t xml:space="preserve"> My thanks to Prof. Peter Parsons for h</w:t>
      </w:r>
      <w:r w:rsidR="007E4035">
        <w:t xml:space="preserve">elpful discussion of this line, </w:t>
      </w:r>
      <w:r w:rsidR="007E4035">
        <w:rPr>
          <w:rFonts w:cs="Times New Roman"/>
        </w:rPr>
        <w:t>and to Mrs Ruth Ogden of St John’s College Libr</w:t>
      </w:r>
      <w:r w:rsidR="007C4079">
        <w:rPr>
          <w:rFonts w:cs="Times New Roman"/>
        </w:rPr>
        <w:t>ary, Oxford, for her assistance.</w:t>
      </w:r>
    </w:p>
  </w:footnote>
  <w:footnote w:id="2">
    <w:p w:rsidR="00186AC7" w:rsidRPr="00584D8F" w:rsidRDefault="00186AC7" w:rsidP="00584D8F">
      <w:pPr>
        <w:pStyle w:val="FootnoteText"/>
        <w:spacing w:line="276" w:lineRule="auto"/>
      </w:pPr>
      <w:r>
        <w:rPr>
          <w:rStyle w:val="FootnoteReference"/>
        </w:rPr>
        <w:footnoteRef/>
      </w:r>
      <w:r>
        <w:t xml:space="preserve"> See </w:t>
      </w:r>
      <w:r w:rsidRPr="00584D8F">
        <w:t>Gomme / Sandb</w:t>
      </w:r>
      <w:r>
        <w:t>ach (1973) 343-4, and the</w:t>
      </w:r>
      <w:r w:rsidRPr="00584D8F">
        <w:t xml:space="preserve"> apparatus </w:t>
      </w:r>
      <w:r w:rsidR="00E97B3A">
        <w:t xml:space="preserve">in Sandbach (1990) 116 for the suggestions of Robert (though contrary to Sandbach’s report, Guéraud does not rule out the reading </w:t>
      </w:r>
      <w:r w:rsidR="00E97B3A" w:rsidRPr="00E97B3A">
        <w:rPr>
          <w:rFonts w:cs="Times New Roman"/>
        </w:rPr>
        <w:t>δοκεῖν</w:t>
      </w:r>
      <w:r w:rsidR="00E97B3A">
        <w:rPr>
          <w:rFonts w:cs="Times New Roman"/>
        </w:rPr>
        <w:t xml:space="preserve">). </w:t>
      </w:r>
      <w:r w:rsidRPr="00E97B3A">
        <w:rPr>
          <w:rFonts w:cs="Times New Roman"/>
        </w:rPr>
        <w:t>These</w:t>
      </w:r>
      <w:r w:rsidRPr="00584D8F">
        <w:t xml:space="preserve"> are also for the most part incorporated into Furley’s edition (2009).</w:t>
      </w:r>
    </w:p>
  </w:footnote>
  <w:footnote w:id="3">
    <w:p w:rsidR="00186AC7" w:rsidRPr="00584D8F" w:rsidRDefault="00186AC7" w:rsidP="00D94B32">
      <w:pPr>
        <w:pStyle w:val="FootnoteText"/>
        <w:spacing w:line="276" w:lineRule="auto"/>
      </w:pPr>
      <w:r w:rsidRPr="00584D8F">
        <w:rPr>
          <w:rStyle w:val="FootnoteReference"/>
        </w:rPr>
        <w:footnoteRef/>
      </w:r>
      <w:r w:rsidRPr="00584D8F">
        <w:t xml:space="preserve"> Wilamowitz</w:t>
      </w:r>
      <w:r>
        <w:t>-Moellendorf</w:t>
      </w:r>
      <w:r w:rsidRPr="00584D8F">
        <w:t xml:space="preserve"> (1925) </w:t>
      </w:r>
      <w:r>
        <w:t>87</w:t>
      </w:r>
      <w:r w:rsidRPr="00584D8F">
        <w:t>.</w:t>
      </w:r>
    </w:p>
  </w:footnote>
  <w:footnote w:id="4">
    <w:p w:rsidR="00186AC7" w:rsidRPr="00584D8F" w:rsidRDefault="00186AC7" w:rsidP="00584D8F">
      <w:pPr>
        <w:spacing w:after="0"/>
        <w:ind w:left="567" w:hanging="567"/>
        <w:rPr>
          <w:sz w:val="20"/>
          <w:szCs w:val="20"/>
        </w:rPr>
      </w:pPr>
      <w:r w:rsidRPr="00584D8F">
        <w:rPr>
          <w:rStyle w:val="FootnoteReference"/>
          <w:sz w:val="20"/>
          <w:szCs w:val="20"/>
        </w:rPr>
        <w:footnoteRef/>
      </w:r>
      <w:r w:rsidRPr="00584D8F">
        <w:rPr>
          <w:sz w:val="20"/>
          <w:szCs w:val="20"/>
        </w:rPr>
        <w:t xml:space="preserve"> </w:t>
      </w:r>
      <w:r w:rsidR="00467527">
        <w:rPr>
          <w:sz w:val="20"/>
          <w:szCs w:val="20"/>
        </w:rPr>
        <w:t>Riad / Selim</w:t>
      </w:r>
      <w:r>
        <w:rPr>
          <w:sz w:val="20"/>
          <w:szCs w:val="20"/>
        </w:rPr>
        <w:t xml:space="preserve"> </w:t>
      </w:r>
      <w:r w:rsidRPr="00584D8F">
        <w:rPr>
          <w:sz w:val="20"/>
          <w:szCs w:val="20"/>
        </w:rPr>
        <w:t>(1978)</w:t>
      </w:r>
      <w:r>
        <w:rPr>
          <w:sz w:val="20"/>
          <w:szCs w:val="20"/>
        </w:rPr>
        <w:t xml:space="preserve"> plate XV.</w:t>
      </w:r>
    </w:p>
  </w:footnote>
  <w:footnote w:id="5">
    <w:p w:rsidR="00186AC7" w:rsidRDefault="00186AC7">
      <w:pPr>
        <w:pStyle w:val="FootnoteText"/>
      </w:pPr>
      <w:r>
        <w:rPr>
          <w:rStyle w:val="FootnoteReference"/>
        </w:rPr>
        <w:footnoteRef/>
      </w:r>
      <w:r>
        <w:t xml:space="preserve"> Guéraud (1927) 137.</w:t>
      </w:r>
    </w:p>
  </w:footnote>
  <w:footnote w:id="6">
    <w:p w:rsidR="00186AC7" w:rsidRPr="000E4050" w:rsidRDefault="00186AC7" w:rsidP="00584D8F">
      <w:pPr>
        <w:pStyle w:val="FootnoteText"/>
        <w:spacing w:line="276" w:lineRule="auto"/>
        <w:rPr>
          <w:rFonts w:cs="Times New Roman"/>
        </w:rPr>
      </w:pPr>
      <w:r w:rsidRPr="00584D8F">
        <w:rPr>
          <w:rStyle w:val="FootnoteReference"/>
        </w:rPr>
        <w:footnoteRef/>
      </w:r>
      <w:r w:rsidRPr="00584D8F">
        <w:t xml:space="preserve"> Gomme / Sandbach (1973) 345</w:t>
      </w:r>
      <w:r w:rsidR="002733E3">
        <w:t>, 701</w:t>
      </w:r>
      <w:r w:rsidRPr="00584D8F">
        <w:t>; Denniston (1950) 190, 583.</w:t>
      </w:r>
      <w:r>
        <w:t xml:space="preserve"> Gomme (</w:t>
      </w:r>
      <w:r>
        <w:rPr>
          <w:i/>
        </w:rPr>
        <w:t>apud</w:t>
      </w:r>
      <w:r>
        <w:t xml:space="preserve"> Gomme / Sandbach (1973) 345) suggested that </w:t>
      </w:r>
      <w:r w:rsidR="002733E3">
        <w:t>fr. 236</w:t>
      </w:r>
      <w:r>
        <w:t xml:space="preserve"> was in a high register and therefore borrowed the usage from tragedy. </w:t>
      </w:r>
    </w:p>
  </w:footnote>
  <w:footnote w:id="7">
    <w:p w:rsidR="00E548FF" w:rsidRPr="007C4079" w:rsidRDefault="00E548FF">
      <w:pPr>
        <w:pStyle w:val="FootnoteText"/>
        <w:rPr>
          <w:rFonts w:cs="Times New Roman"/>
        </w:rPr>
      </w:pPr>
      <w:r>
        <w:rPr>
          <w:rStyle w:val="FootnoteReference"/>
        </w:rPr>
        <w:footnoteRef/>
      </w:r>
      <w:r>
        <w:t xml:space="preserve"> Sandbach </w:t>
      </w:r>
      <w:r>
        <w:rPr>
          <w:i/>
        </w:rPr>
        <w:t>apud</w:t>
      </w:r>
      <w:r>
        <w:t xml:space="preserve"> Gomme / Sandbach (1973) 701; I am less convinced by Kaibel’s πολυτελές</w:t>
      </w:r>
      <w:r>
        <w:rPr>
          <w:rFonts w:cs="Times New Roman"/>
        </w:rPr>
        <w:t xml:space="preserve"> however.</w:t>
      </w:r>
      <w:r w:rsidR="007C4079">
        <w:rPr>
          <w:rFonts w:cs="Times New Roman"/>
        </w:rPr>
        <w:t xml:space="preserve"> Clericus (1709) reads οὐκ, but arranges the fragment rather differently to other editors. </w:t>
      </w:r>
    </w:p>
  </w:footnote>
  <w:footnote w:id="8">
    <w:p w:rsidR="00186AC7" w:rsidRDefault="00186AC7">
      <w:pPr>
        <w:pStyle w:val="FootnoteText"/>
      </w:pPr>
      <w:r>
        <w:rPr>
          <w:rStyle w:val="FootnoteReference"/>
        </w:rPr>
        <w:footnoteRef/>
      </w:r>
      <w:r>
        <w:t xml:space="preserve"> Furley (2009) 198.</w:t>
      </w:r>
    </w:p>
  </w:footnote>
  <w:footnote w:id="9">
    <w:p w:rsidR="00186AC7" w:rsidRDefault="00186AC7">
      <w:pPr>
        <w:pStyle w:val="FootnoteText"/>
      </w:pPr>
      <w:r>
        <w:rPr>
          <w:rStyle w:val="FootnoteReference"/>
        </w:rPr>
        <w:footnoteRef/>
      </w:r>
      <w:r>
        <w:t xml:space="preserve"> First mooted by Guéraud (1927) 137. </w:t>
      </w:r>
    </w:p>
  </w:footnote>
  <w:footnote w:id="10">
    <w:p w:rsidR="00186AC7" w:rsidRDefault="00186AC7">
      <w:pPr>
        <w:pStyle w:val="FootnoteText"/>
      </w:pPr>
      <w:r>
        <w:rPr>
          <w:rStyle w:val="FootnoteReference"/>
        </w:rPr>
        <w:footnoteRef/>
      </w:r>
      <w:r>
        <w:t xml:space="preserve"> See Cartlidge (forth.).</w:t>
      </w:r>
    </w:p>
  </w:footnote>
  <w:footnote w:id="11">
    <w:p w:rsidR="00186AC7" w:rsidRPr="00A32C50" w:rsidRDefault="00186AC7">
      <w:pPr>
        <w:pStyle w:val="FootnoteText"/>
      </w:pPr>
      <w:r>
        <w:rPr>
          <w:rStyle w:val="FootnoteReference"/>
        </w:rPr>
        <w:footnoteRef/>
      </w:r>
      <w:r>
        <w:t xml:space="preserve"> Cf. </w:t>
      </w:r>
      <w:r>
        <w:rPr>
          <w:i/>
        </w:rPr>
        <w:t>Dysk</w:t>
      </w:r>
      <w:r>
        <w:t xml:space="preserve">. 388 with Handley (1963) 198 for the adjective applied to Knemon, who is similar to Smikrines in character; for Smikrines himself cf. </w:t>
      </w:r>
      <w:r>
        <w:rPr>
          <w:i/>
        </w:rPr>
        <w:t>Ep</w:t>
      </w:r>
      <w:r>
        <w:t>. 1079.</w:t>
      </w:r>
    </w:p>
  </w:footnote>
  <w:footnote w:id="12">
    <w:p w:rsidR="00186AC7" w:rsidRPr="007E6313" w:rsidRDefault="00186AC7">
      <w:pPr>
        <w:pStyle w:val="FootnoteText"/>
        <w:rPr>
          <w:rFonts w:cs="Times New Roman"/>
        </w:rPr>
      </w:pPr>
      <w:r>
        <w:rPr>
          <w:rStyle w:val="FootnoteReference"/>
        </w:rPr>
        <w:footnoteRef/>
      </w:r>
      <w:r>
        <w:t xml:space="preserve"> Leidig (2006) 140-141. I originally thought of καὶ τὸν ἄγριον, </w:t>
      </w:r>
      <w:r>
        <w:rPr>
          <w:rFonts w:cs="Times New Roman"/>
        </w:rPr>
        <w:t>but this requires ἄγρ- to be heavy, which is contextually unlikely; see Handley (1963) 204-5.</w:t>
      </w:r>
    </w:p>
  </w:footnote>
  <w:footnote w:id="13">
    <w:p w:rsidR="00186AC7" w:rsidRPr="007F6A1A" w:rsidRDefault="00186AC7">
      <w:pPr>
        <w:pStyle w:val="FootnoteText"/>
        <w:rPr>
          <w:rFonts w:cs="Times New Roman"/>
        </w:rPr>
      </w:pPr>
      <w:r>
        <w:rPr>
          <w:rStyle w:val="FootnoteReference"/>
        </w:rPr>
        <w:footnoteRef/>
      </w:r>
      <w:r>
        <w:t xml:space="preserve"> ‘Für den geteilten Anapäst an dieser Stelle des Trimeters gibt es Beispiele’, claims Leidig (2006) 141, but without citing any. In any case, the issue is not the position in the line but the kind of break a split anapaest introduces; the break </w:t>
      </w:r>
      <w:r>
        <w:rPr>
          <w:rFonts w:cs="Times New Roman"/>
        </w:rPr>
        <w:t xml:space="preserve">in τὸν || </w:t>
      </w:r>
      <w:r w:rsidRPr="00770867">
        <w:rPr>
          <w:rFonts w:cs="Times New Roman"/>
        </w:rPr>
        <w:t>ἄνθρωπον</w:t>
      </w:r>
      <w:r>
        <w:rPr>
          <w:rFonts w:cs="Times New Roman"/>
        </w:rPr>
        <w:t xml:space="preserve"> is innocuous, the break in ὥστε || </w:t>
      </w:r>
      <w:r w:rsidRPr="00770867">
        <w:rPr>
          <w:rFonts w:cs="Times New Roman"/>
        </w:rPr>
        <w:t>τόν</w:t>
      </w:r>
      <w:r>
        <w:rPr>
          <w:rFonts w:cs="Times New Roman"/>
        </w:rPr>
        <w:t xml:space="preserve"> is not. </w:t>
      </w:r>
      <w:r w:rsidRPr="00770867">
        <w:rPr>
          <w:rFonts w:cs="Times New Roman"/>
        </w:rPr>
        <w:t>I</w:t>
      </w:r>
      <w:r>
        <w:t xml:space="preserve"> do not propose a reconstruction for 582, but I regard προνοητικῶς</w:t>
      </w:r>
      <w:r>
        <w:rPr>
          <w:rFonts w:cs="Times New Roman"/>
        </w:rPr>
        <w:t xml:space="preserve"> in Leidig’s reconstruction, repeated from 561, as unlikely; Menander’s speeches do not generally repeat vocabulary in this way, unlike, say, those of Aeschylus (see Fraenkel (1950) 551.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83"/>
    <w:rsid w:val="000008B9"/>
    <w:rsid w:val="00020E80"/>
    <w:rsid w:val="00041B16"/>
    <w:rsid w:val="000A0FE3"/>
    <w:rsid w:val="000B56ED"/>
    <w:rsid w:val="000D6503"/>
    <w:rsid w:val="000E4050"/>
    <w:rsid w:val="000F78E4"/>
    <w:rsid w:val="0016337D"/>
    <w:rsid w:val="00186AC7"/>
    <w:rsid w:val="0019786E"/>
    <w:rsid w:val="001E7754"/>
    <w:rsid w:val="00224F33"/>
    <w:rsid w:val="002733E3"/>
    <w:rsid w:val="00283A03"/>
    <w:rsid w:val="002A2A66"/>
    <w:rsid w:val="002B0382"/>
    <w:rsid w:val="002D1D76"/>
    <w:rsid w:val="003771AD"/>
    <w:rsid w:val="003B5538"/>
    <w:rsid w:val="00467527"/>
    <w:rsid w:val="00511998"/>
    <w:rsid w:val="00553808"/>
    <w:rsid w:val="00584D8F"/>
    <w:rsid w:val="005C636E"/>
    <w:rsid w:val="005D0EE4"/>
    <w:rsid w:val="005D1847"/>
    <w:rsid w:val="00681E69"/>
    <w:rsid w:val="006A541F"/>
    <w:rsid w:val="006C408B"/>
    <w:rsid w:val="007104DC"/>
    <w:rsid w:val="00735DC4"/>
    <w:rsid w:val="00770867"/>
    <w:rsid w:val="00786D74"/>
    <w:rsid w:val="007C4079"/>
    <w:rsid w:val="007E4035"/>
    <w:rsid w:val="007E6313"/>
    <w:rsid w:val="007F6A1A"/>
    <w:rsid w:val="0084396D"/>
    <w:rsid w:val="00856F96"/>
    <w:rsid w:val="008A1BB9"/>
    <w:rsid w:val="008B2A4B"/>
    <w:rsid w:val="008C21A1"/>
    <w:rsid w:val="008C78C1"/>
    <w:rsid w:val="008E16C6"/>
    <w:rsid w:val="00933F82"/>
    <w:rsid w:val="00935C4A"/>
    <w:rsid w:val="009A64E4"/>
    <w:rsid w:val="009D0B6B"/>
    <w:rsid w:val="009E3E02"/>
    <w:rsid w:val="00A32045"/>
    <w:rsid w:val="00A32C50"/>
    <w:rsid w:val="00A77217"/>
    <w:rsid w:val="00A906E0"/>
    <w:rsid w:val="00A939A8"/>
    <w:rsid w:val="00A94EEF"/>
    <w:rsid w:val="00B172DC"/>
    <w:rsid w:val="00BB6129"/>
    <w:rsid w:val="00C13B83"/>
    <w:rsid w:val="00C21379"/>
    <w:rsid w:val="00C50582"/>
    <w:rsid w:val="00C724B1"/>
    <w:rsid w:val="00C93F8A"/>
    <w:rsid w:val="00CB323C"/>
    <w:rsid w:val="00CD3751"/>
    <w:rsid w:val="00D70DD8"/>
    <w:rsid w:val="00D94B32"/>
    <w:rsid w:val="00DA718D"/>
    <w:rsid w:val="00DC1E1E"/>
    <w:rsid w:val="00DD66C0"/>
    <w:rsid w:val="00E02029"/>
    <w:rsid w:val="00E548FF"/>
    <w:rsid w:val="00E774C3"/>
    <w:rsid w:val="00E97B3A"/>
    <w:rsid w:val="00ED5D5F"/>
    <w:rsid w:val="00F06B39"/>
    <w:rsid w:val="00F84C6B"/>
    <w:rsid w:val="00F9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3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B83"/>
    <w:rPr>
      <w:sz w:val="20"/>
      <w:szCs w:val="20"/>
    </w:rPr>
  </w:style>
  <w:style w:type="character" w:styleId="FootnoteReference">
    <w:name w:val="footnote reference"/>
    <w:basedOn w:val="DefaultParagraphFont"/>
    <w:uiPriority w:val="99"/>
    <w:semiHidden/>
    <w:unhideWhenUsed/>
    <w:rsid w:val="00C13B83"/>
    <w:rPr>
      <w:vertAlign w:val="superscript"/>
    </w:rPr>
  </w:style>
  <w:style w:type="paragraph" w:styleId="BalloonText">
    <w:name w:val="Balloon Text"/>
    <w:basedOn w:val="Normal"/>
    <w:link w:val="BalloonTextChar"/>
    <w:uiPriority w:val="99"/>
    <w:semiHidden/>
    <w:unhideWhenUsed/>
    <w:rsid w:val="00A9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A8"/>
    <w:rPr>
      <w:rFonts w:ascii="Tahoma" w:hAnsi="Tahoma" w:cs="Tahoma"/>
      <w:sz w:val="16"/>
      <w:szCs w:val="16"/>
    </w:rPr>
  </w:style>
  <w:style w:type="paragraph" w:styleId="Header">
    <w:name w:val="header"/>
    <w:basedOn w:val="Normal"/>
    <w:link w:val="HeaderChar"/>
    <w:uiPriority w:val="99"/>
    <w:unhideWhenUsed/>
    <w:rsid w:val="00A9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A8"/>
  </w:style>
  <w:style w:type="paragraph" w:styleId="Footer">
    <w:name w:val="footer"/>
    <w:basedOn w:val="Normal"/>
    <w:link w:val="FooterChar"/>
    <w:uiPriority w:val="99"/>
    <w:unhideWhenUsed/>
    <w:rsid w:val="00A9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3B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B83"/>
    <w:rPr>
      <w:sz w:val="20"/>
      <w:szCs w:val="20"/>
    </w:rPr>
  </w:style>
  <w:style w:type="character" w:styleId="FootnoteReference">
    <w:name w:val="footnote reference"/>
    <w:basedOn w:val="DefaultParagraphFont"/>
    <w:uiPriority w:val="99"/>
    <w:semiHidden/>
    <w:unhideWhenUsed/>
    <w:rsid w:val="00C13B83"/>
    <w:rPr>
      <w:vertAlign w:val="superscript"/>
    </w:rPr>
  </w:style>
  <w:style w:type="paragraph" w:styleId="BalloonText">
    <w:name w:val="Balloon Text"/>
    <w:basedOn w:val="Normal"/>
    <w:link w:val="BalloonTextChar"/>
    <w:uiPriority w:val="99"/>
    <w:semiHidden/>
    <w:unhideWhenUsed/>
    <w:rsid w:val="00A9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A8"/>
    <w:rPr>
      <w:rFonts w:ascii="Tahoma" w:hAnsi="Tahoma" w:cs="Tahoma"/>
      <w:sz w:val="16"/>
      <w:szCs w:val="16"/>
    </w:rPr>
  </w:style>
  <w:style w:type="paragraph" w:styleId="Header">
    <w:name w:val="header"/>
    <w:basedOn w:val="Normal"/>
    <w:link w:val="HeaderChar"/>
    <w:uiPriority w:val="99"/>
    <w:unhideWhenUsed/>
    <w:rsid w:val="00A9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9A8"/>
  </w:style>
  <w:style w:type="paragraph" w:styleId="Footer">
    <w:name w:val="footer"/>
    <w:basedOn w:val="Normal"/>
    <w:link w:val="FooterChar"/>
    <w:uiPriority w:val="99"/>
    <w:unhideWhenUsed/>
    <w:rsid w:val="00A9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4F8A-C4D4-4072-818B-0DF7BF49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48</cp:revision>
  <cp:lastPrinted>2015-08-05T17:02:00Z</cp:lastPrinted>
  <dcterms:created xsi:type="dcterms:W3CDTF">2013-03-28T10:02:00Z</dcterms:created>
  <dcterms:modified xsi:type="dcterms:W3CDTF">2016-02-29T15:01:00Z</dcterms:modified>
</cp:coreProperties>
</file>