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E8" w:rsidRPr="00FB23BF" w:rsidRDefault="00791194">
      <w:pPr>
        <w:rPr>
          <w:b/>
        </w:rPr>
      </w:pPr>
      <w:r w:rsidRPr="00FB23BF">
        <w:rPr>
          <w:b/>
        </w:rPr>
        <w:t>December 2017 Editorial</w:t>
      </w:r>
    </w:p>
    <w:p w:rsidR="001B2A29" w:rsidRPr="00FB23BF" w:rsidRDefault="00735726">
      <w:r w:rsidRPr="00FB23BF">
        <w:t>Dear readers,</w:t>
      </w:r>
    </w:p>
    <w:p w:rsidR="00C017EA" w:rsidRDefault="00735726">
      <w:r w:rsidRPr="00FB23BF">
        <w:t xml:space="preserve">Welcome to </w:t>
      </w:r>
      <w:r w:rsidR="002E4D44" w:rsidRPr="00FB23BF">
        <w:t>the</w:t>
      </w:r>
      <w:r w:rsidRPr="00FB23BF">
        <w:t xml:space="preserve"> last issue of </w:t>
      </w:r>
      <w:r w:rsidR="002E4D44" w:rsidRPr="00FB23BF">
        <w:t xml:space="preserve">IAPA </w:t>
      </w:r>
      <w:r w:rsidR="00B53C2B" w:rsidRPr="00FB23BF">
        <w:t>in</w:t>
      </w:r>
      <w:r w:rsidR="002E4D44" w:rsidRPr="00FB23BF">
        <w:t xml:space="preserve"> </w:t>
      </w:r>
      <w:r w:rsidRPr="00FB23BF">
        <w:t xml:space="preserve">2017. Once again, this </w:t>
      </w:r>
      <w:r w:rsidR="00BF0F3A" w:rsidRPr="00FB23BF">
        <w:t xml:space="preserve">summer and </w:t>
      </w:r>
      <w:r w:rsidRPr="00FB23BF">
        <w:t>autumn</w:t>
      </w:r>
      <w:r w:rsidR="00BF0F3A" w:rsidRPr="00FB23BF">
        <w:t xml:space="preserve"> </w:t>
      </w:r>
      <w:r w:rsidRPr="00FB23BF">
        <w:t>saw a number of record breaking storms and hurricanes that caused serious damage in India, the Caribbean, Southern US and elsewhere.</w:t>
      </w:r>
      <w:r w:rsidR="00BF0F3A" w:rsidRPr="00FB23BF">
        <w:t xml:space="preserve"> </w:t>
      </w:r>
      <w:r w:rsidR="00046BA1" w:rsidRPr="00FB23BF">
        <w:t xml:space="preserve">Hurricane </w:t>
      </w:r>
      <w:r w:rsidR="00BF0F3A" w:rsidRPr="00FB23BF">
        <w:t>Irma</w:t>
      </w:r>
      <w:r w:rsidR="00046BA1" w:rsidRPr="00FB23BF">
        <w:t>,</w:t>
      </w:r>
      <w:r w:rsidR="00BF0F3A" w:rsidRPr="00FB23BF">
        <w:t xml:space="preserve"> </w:t>
      </w:r>
      <w:r w:rsidR="002E4D44" w:rsidRPr="00FB23BF">
        <w:t xml:space="preserve">which caused extensive damage, </w:t>
      </w:r>
      <w:r w:rsidR="00BF0F3A" w:rsidRPr="00FB23BF">
        <w:t xml:space="preserve">was reported as </w:t>
      </w:r>
      <w:r w:rsidR="002E4D44" w:rsidRPr="00FB23BF">
        <w:t>having been</w:t>
      </w:r>
      <w:r w:rsidR="00BF0F3A" w:rsidRPr="00FB23BF">
        <w:t xml:space="preserve"> the strongest Atlantic hurricane on record</w:t>
      </w:r>
      <w:r w:rsidR="00B52CD1" w:rsidRPr="00FB23BF">
        <w:t xml:space="preserve"> and in India, over 200 people died </w:t>
      </w:r>
      <w:r w:rsidR="00046BA1" w:rsidRPr="00FB23BF">
        <w:t xml:space="preserve">in July </w:t>
      </w:r>
      <w:r w:rsidR="00B52CD1" w:rsidRPr="00FB23BF">
        <w:t>during severe monsoon flooding. Whilst</w:t>
      </w:r>
      <w:r w:rsidR="00BF0F3A" w:rsidRPr="00FB23BF">
        <w:t xml:space="preserve"> </w:t>
      </w:r>
      <w:r w:rsidR="004E06AE" w:rsidRPr="00FB23BF">
        <w:t>natural disasters are usually triggered by natural event</w:t>
      </w:r>
      <w:r w:rsidR="006B29B5">
        <w:t>s</w:t>
      </w:r>
      <w:r w:rsidR="004E06AE" w:rsidRPr="00FB23BF">
        <w:t xml:space="preserve"> </w:t>
      </w:r>
      <w:r w:rsidR="006B29B5">
        <w:t>that</w:t>
      </w:r>
      <w:r w:rsidR="004E06AE" w:rsidRPr="00FB23BF">
        <w:t xml:space="preserve"> cannot be </w:t>
      </w:r>
      <w:r w:rsidR="00AF1490" w:rsidRPr="00FB23BF">
        <w:t xml:space="preserve">immediately </w:t>
      </w:r>
      <w:r w:rsidR="0034593C" w:rsidRPr="00FB23BF">
        <w:t>influenced</w:t>
      </w:r>
      <w:r w:rsidR="00AF1490" w:rsidRPr="00FB23BF">
        <w:t xml:space="preserve"> by humans (even though there are linkages</w:t>
      </w:r>
      <w:r w:rsidR="00855731" w:rsidRPr="00FB23BF">
        <w:t>,</w:t>
      </w:r>
      <w:r w:rsidR="00AF1490" w:rsidRPr="00FB23BF">
        <w:t xml:space="preserve"> e.g. </w:t>
      </w:r>
      <w:r w:rsidR="00650CCB">
        <w:t xml:space="preserve">with regards to </w:t>
      </w:r>
      <w:r w:rsidR="00B53C2B" w:rsidRPr="00FB23BF">
        <w:t xml:space="preserve">global </w:t>
      </w:r>
      <w:r w:rsidR="00AF1490" w:rsidRPr="00FB23BF">
        <w:t>climate change)</w:t>
      </w:r>
      <w:r w:rsidR="004E06AE" w:rsidRPr="00FB23BF">
        <w:t xml:space="preserve">, vulnerability is amplified by </w:t>
      </w:r>
      <w:r w:rsidR="0034593C" w:rsidRPr="00FB23BF">
        <w:t>the way humans develop and use la</w:t>
      </w:r>
      <w:r w:rsidR="00AF1490" w:rsidRPr="00FB23BF">
        <w:t>nd, and also frequently by (human induced</w:t>
      </w:r>
      <w:r w:rsidR="0034593C" w:rsidRPr="00FB23BF">
        <w:t>) environmental degradation</w:t>
      </w:r>
      <w:r w:rsidR="00855731" w:rsidRPr="00FB23BF">
        <w:t xml:space="preserve"> (Gore and Fischer, 2014; Tajima et al, 2014)</w:t>
      </w:r>
      <w:r w:rsidR="0034593C" w:rsidRPr="00FB23BF">
        <w:t>.</w:t>
      </w:r>
      <w:r w:rsidR="003F7162" w:rsidRPr="00FB23BF">
        <w:t xml:space="preserve"> </w:t>
      </w:r>
      <w:r w:rsidR="00855731" w:rsidRPr="00FB23BF">
        <w:t xml:space="preserve"> </w:t>
      </w:r>
      <w:r w:rsidR="006B29B5">
        <w:t>C</w:t>
      </w:r>
      <w:r w:rsidR="00BE2FBC" w:rsidRPr="00FB23BF">
        <w:t>ore</w:t>
      </w:r>
      <w:r w:rsidR="00855731" w:rsidRPr="00FB23BF">
        <w:t xml:space="preserve"> aim</w:t>
      </w:r>
      <w:r w:rsidR="006B29B5">
        <w:t>s</w:t>
      </w:r>
      <w:r w:rsidR="00855731" w:rsidRPr="00FB23BF">
        <w:t xml:space="preserve"> of development and spatial / land use planning </w:t>
      </w:r>
      <w:r w:rsidR="00AC3AB6">
        <w:t xml:space="preserve">policy </w:t>
      </w:r>
      <w:r w:rsidR="006B29B5" w:rsidRPr="00FB23BF">
        <w:t>in most countries world-wide</w:t>
      </w:r>
      <w:r w:rsidR="006B29B5">
        <w:t xml:space="preserve"> revolve around </w:t>
      </w:r>
      <w:r w:rsidR="00855731" w:rsidRPr="00FB23BF">
        <w:t>supporting economic growth</w:t>
      </w:r>
      <w:r w:rsidR="006B29B5">
        <w:t>. In this context</w:t>
      </w:r>
      <w:r w:rsidR="00855731" w:rsidRPr="00FB23BF">
        <w:t>, impact assessment</w:t>
      </w:r>
      <w:r w:rsidR="006B29B5">
        <w:t>s</w:t>
      </w:r>
      <w:r w:rsidR="00855731" w:rsidRPr="00FB23BF">
        <w:t xml:space="preserve"> </w:t>
      </w:r>
      <w:r w:rsidR="00C017EA">
        <w:t>(</w:t>
      </w:r>
      <w:r w:rsidR="00855731" w:rsidRPr="00FB23BF">
        <w:t>environmental, social</w:t>
      </w:r>
      <w:r w:rsidR="00BE2FBC" w:rsidRPr="00FB23BF">
        <w:t>,</w:t>
      </w:r>
      <w:r w:rsidR="00855731" w:rsidRPr="00FB23BF">
        <w:t xml:space="preserve"> health </w:t>
      </w:r>
      <w:r w:rsidR="00BE2FBC" w:rsidRPr="00FB23BF">
        <w:t xml:space="preserve">and other </w:t>
      </w:r>
      <w:r w:rsidR="00855731" w:rsidRPr="00FB23BF">
        <w:t>assessments</w:t>
      </w:r>
      <w:r w:rsidR="006B29B5">
        <w:t>)</w:t>
      </w:r>
      <w:r w:rsidR="00855731" w:rsidRPr="00FB23BF">
        <w:t xml:space="preserve"> </w:t>
      </w:r>
      <w:r w:rsidR="006B29B5">
        <w:t xml:space="preserve">function as </w:t>
      </w:r>
      <w:r w:rsidR="00855731" w:rsidRPr="00FB23BF">
        <w:t xml:space="preserve">tools </w:t>
      </w:r>
      <w:r w:rsidR="00046BA1" w:rsidRPr="00FB23BF">
        <w:t>that aim</w:t>
      </w:r>
      <w:r w:rsidR="00855731" w:rsidRPr="00FB23BF">
        <w:t xml:space="preserve"> </w:t>
      </w:r>
      <w:r w:rsidR="00046BA1" w:rsidRPr="00FB23BF">
        <w:t>at rebalancing</w:t>
      </w:r>
      <w:r w:rsidR="00855731" w:rsidRPr="00FB23BF">
        <w:t xml:space="preserve"> decision </w:t>
      </w:r>
      <w:r w:rsidR="00C017EA">
        <w:t>processes</w:t>
      </w:r>
      <w:r w:rsidR="00650CCB">
        <w:t>,</w:t>
      </w:r>
      <w:r w:rsidR="00855731" w:rsidRPr="00FB23BF">
        <w:t xml:space="preserve"> </w:t>
      </w:r>
      <w:r w:rsidR="00650CCB">
        <w:t xml:space="preserve">integrating </w:t>
      </w:r>
      <w:r w:rsidR="00855731" w:rsidRPr="00FB23BF">
        <w:t>other non-economic</w:t>
      </w:r>
      <w:r w:rsidR="00046BA1" w:rsidRPr="00FB23BF">
        <w:t>,</w:t>
      </w:r>
      <w:r w:rsidR="00855731" w:rsidRPr="00FB23BF">
        <w:t xml:space="preserve"> </w:t>
      </w:r>
      <w:r w:rsidR="00046BA1" w:rsidRPr="00FB23BF">
        <w:t xml:space="preserve">supposedly </w:t>
      </w:r>
      <w:r w:rsidR="00855731" w:rsidRPr="00FB23BF">
        <w:t xml:space="preserve">weaker aspects </w:t>
      </w:r>
      <w:r w:rsidR="006B29B5">
        <w:t xml:space="preserve">and raising their status </w:t>
      </w:r>
      <w:r w:rsidR="00B53C2B" w:rsidRPr="00FB23BF">
        <w:t>(Fischer, 2014</w:t>
      </w:r>
      <w:r w:rsidR="00C017EA">
        <w:t>; Morrison-Saunders and Fischer, 2006</w:t>
      </w:r>
      <w:r w:rsidR="00B53C2B" w:rsidRPr="00FB23BF">
        <w:t>)</w:t>
      </w:r>
      <w:r w:rsidR="006B29B5">
        <w:t xml:space="preserve">. </w:t>
      </w:r>
    </w:p>
    <w:p w:rsidR="00046BA1" w:rsidRPr="00FB23BF" w:rsidRDefault="006B29B5">
      <w:r>
        <w:t>IA’s potential role</w:t>
      </w:r>
      <w:r w:rsidR="00B53C2B" w:rsidRPr="00FB23BF">
        <w:t xml:space="preserve"> </w:t>
      </w:r>
      <w:r w:rsidR="00145635" w:rsidRPr="00FB23BF">
        <w:t xml:space="preserve">is </w:t>
      </w:r>
      <w:r>
        <w:t xml:space="preserve">currently </w:t>
      </w:r>
      <w:r w:rsidR="00145635" w:rsidRPr="00FB23BF">
        <w:t>becoming increasingly important.</w:t>
      </w:r>
      <w:r w:rsidR="00855731" w:rsidRPr="00FB23BF">
        <w:t xml:space="preserve"> </w:t>
      </w:r>
      <w:r w:rsidR="00AC3AB6">
        <w:t>A</w:t>
      </w:r>
      <w:r w:rsidR="00046BA1" w:rsidRPr="00FB23BF">
        <w:t xml:space="preserve"> persisting problem </w:t>
      </w:r>
      <w:r w:rsidR="00DD45FA">
        <w:t>in this context</w:t>
      </w:r>
      <w:r>
        <w:t>, though,</w:t>
      </w:r>
      <w:r w:rsidR="00DD45FA">
        <w:t xml:space="preserve"> </w:t>
      </w:r>
      <w:r w:rsidR="00046BA1" w:rsidRPr="00FB23BF">
        <w:t xml:space="preserve">is that </w:t>
      </w:r>
      <w:r w:rsidR="00B53C2B" w:rsidRPr="00FB23BF">
        <w:t xml:space="preserve">frequently </w:t>
      </w:r>
      <w:r w:rsidR="00046BA1" w:rsidRPr="00FB23BF">
        <w:t>IA</w:t>
      </w:r>
      <w:r w:rsidR="00B53C2B" w:rsidRPr="00FB23BF">
        <w:t xml:space="preserve"> tools</w:t>
      </w:r>
      <w:r w:rsidR="00046BA1" w:rsidRPr="00FB23BF">
        <w:t xml:space="preserve"> </w:t>
      </w:r>
      <w:r w:rsidR="00B53C2B" w:rsidRPr="00FB23BF">
        <w:t>do</w:t>
      </w:r>
      <w:r w:rsidR="00F52FE4" w:rsidRPr="00FB23BF">
        <w:t xml:space="preserve"> </w:t>
      </w:r>
      <w:r w:rsidR="00046BA1" w:rsidRPr="00FB23BF">
        <w:t>no</w:t>
      </w:r>
      <w:r w:rsidR="00F52FE4" w:rsidRPr="00FB23BF">
        <w:t>t</w:t>
      </w:r>
      <w:r w:rsidR="00046BA1" w:rsidRPr="00FB23BF">
        <w:t xml:space="preserve"> </w:t>
      </w:r>
      <w:r w:rsidR="00F52FE4" w:rsidRPr="00FB23BF">
        <w:t xml:space="preserve">have any </w:t>
      </w:r>
      <w:r w:rsidR="00046BA1" w:rsidRPr="00FB23BF">
        <w:t>real ‘teeth’</w:t>
      </w:r>
      <w:r w:rsidR="00F52FE4" w:rsidRPr="00FB23BF">
        <w:t xml:space="preserve">, meaning </w:t>
      </w:r>
      <w:r w:rsidR="008415DF" w:rsidRPr="00FB23BF">
        <w:t>possibilities</w:t>
      </w:r>
      <w:r w:rsidR="00F52FE4" w:rsidRPr="00FB23BF">
        <w:t xml:space="preserve"> for delivering sustainable options on the ground are </w:t>
      </w:r>
      <w:r w:rsidR="00DD45FA">
        <w:t xml:space="preserve">often </w:t>
      </w:r>
      <w:r w:rsidR="00F52FE4" w:rsidRPr="00FB23BF">
        <w:t>limited</w:t>
      </w:r>
      <w:r w:rsidR="00046BA1" w:rsidRPr="00FB23BF">
        <w:t xml:space="preserve">. </w:t>
      </w:r>
      <w:r>
        <w:t xml:space="preserve">Various </w:t>
      </w:r>
      <w:r w:rsidR="0094146A" w:rsidRPr="00FB23BF">
        <w:t xml:space="preserve">ideas to enhance the impact of IA have been discussed in the professional literature for </w:t>
      </w:r>
      <w:r>
        <w:t>numerous</w:t>
      </w:r>
      <w:r w:rsidR="0094146A" w:rsidRPr="00FB23BF">
        <w:t xml:space="preserve"> contexts (see e.g.</w:t>
      </w:r>
      <w:r w:rsidR="00886510" w:rsidRPr="00FB23BF">
        <w:t xml:space="preserve"> Arts et al, 2012; Hanna et al, 2014; </w:t>
      </w:r>
      <w:proofErr w:type="spellStart"/>
      <w:r w:rsidR="00886510" w:rsidRPr="00FB23BF">
        <w:t>Syafiq</w:t>
      </w:r>
      <w:proofErr w:type="spellEnd"/>
      <w:r w:rsidR="00886510" w:rsidRPr="00FB23BF">
        <w:t>, 2015</w:t>
      </w:r>
      <w:r w:rsidR="008415DF" w:rsidRPr="00FB23BF">
        <w:t xml:space="preserve">). Frequently, next to strengthening legal provisions, improving capacity, enhancing IA training </w:t>
      </w:r>
      <w:r w:rsidR="00B53C2B" w:rsidRPr="00FB23BF">
        <w:t>/</w:t>
      </w:r>
      <w:r w:rsidR="008415DF" w:rsidRPr="00FB23BF">
        <w:t xml:space="preserve"> education and strengthening the role of the public</w:t>
      </w:r>
      <w:r w:rsidR="00B53C2B" w:rsidRPr="00FB23BF">
        <w:t xml:space="preserve"> in IA,</w:t>
      </w:r>
      <w:r w:rsidR="008415DF" w:rsidRPr="00FB23BF">
        <w:t xml:space="preserve"> the preparation of better </w:t>
      </w:r>
      <w:r w:rsidR="00A70521" w:rsidRPr="00FB23BF">
        <w:t xml:space="preserve">/ more effective </w:t>
      </w:r>
      <w:r w:rsidR="008415DF" w:rsidRPr="00FB23BF">
        <w:t>guidance</w:t>
      </w:r>
      <w:r w:rsidR="00A70521" w:rsidRPr="00FB23BF">
        <w:t xml:space="preserve"> is </w:t>
      </w:r>
      <w:r w:rsidR="00B53C2B" w:rsidRPr="00FB23BF">
        <w:t xml:space="preserve">also </w:t>
      </w:r>
      <w:r w:rsidR="004E5399">
        <w:t>raised</w:t>
      </w:r>
      <w:r w:rsidR="008415DF" w:rsidRPr="00FB23BF">
        <w:t xml:space="preserve">. </w:t>
      </w:r>
      <w:r w:rsidR="00AC3AB6">
        <w:t>Here, a need f</w:t>
      </w:r>
      <w:r w:rsidR="00A70521" w:rsidRPr="00FB23BF">
        <w:t>o</w:t>
      </w:r>
      <w:r w:rsidR="00AC3AB6">
        <w:t>r</w:t>
      </w:r>
      <w:r w:rsidR="00A70521" w:rsidRPr="00FB23BF">
        <w:t xml:space="preserve"> be</w:t>
      </w:r>
      <w:r w:rsidR="00AC3AB6">
        <w:t>ing</w:t>
      </w:r>
      <w:r w:rsidR="00A70521" w:rsidRPr="00FB23BF">
        <w:t xml:space="preserve"> detailed enough to be </w:t>
      </w:r>
      <w:r w:rsidR="00650CCB">
        <w:t>useful</w:t>
      </w:r>
      <w:r w:rsidR="00A70521" w:rsidRPr="00FB23BF">
        <w:t xml:space="preserve"> in specific situations of application, whilst </w:t>
      </w:r>
      <w:r w:rsidR="00AC3AB6">
        <w:t>allowing for sufficient flexibility</w:t>
      </w:r>
      <w:r w:rsidR="00A70521" w:rsidRPr="00FB23BF">
        <w:t xml:space="preserve"> to </w:t>
      </w:r>
      <w:r w:rsidR="00650CCB">
        <w:t xml:space="preserve">be helpful in </w:t>
      </w:r>
      <w:r w:rsidR="00A70521" w:rsidRPr="00FB23BF">
        <w:t xml:space="preserve">different contexts </w:t>
      </w:r>
      <w:r w:rsidR="00B53C2B" w:rsidRPr="00FB23BF">
        <w:t xml:space="preserve">has been suggested </w:t>
      </w:r>
      <w:r w:rsidR="00A70521" w:rsidRPr="00FB23BF">
        <w:t>to be key for improved effectiveness</w:t>
      </w:r>
      <w:r w:rsidR="00FB23BF" w:rsidRPr="00FB23BF">
        <w:t xml:space="preserve"> (see e.g. IAEA, forthcoming)</w:t>
      </w:r>
      <w:r w:rsidR="00A70521" w:rsidRPr="00FB23BF">
        <w:t xml:space="preserve">. However, </w:t>
      </w:r>
      <w:r w:rsidR="00DD45FA">
        <w:t xml:space="preserve">one </w:t>
      </w:r>
      <w:r w:rsidR="004E5399">
        <w:t xml:space="preserve">important aspect which </w:t>
      </w:r>
      <w:r w:rsidR="00AC3AB6">
        <w:t>often</w:t>
      </w:r>
      <w:r w:rsidR="00A70521" w:rsidRPr="00FB23BF">
        <w:t xml:space="preserve"> </w:t>
      </w:r>
      <w:r w:rsidR="00DD45FA">
        <w:t xml:space="preserve">remains </w:t>
      </w:r>
      <w:r w:rsidR="00A70521" w:rsidRPr="00FB23BF">
        <w:t xml:space="preserve">insufficiently considered is the expectations </w:t>
      </w:r>
      <w:r w:rsidR="00046BA1" w:rsidRPr="00FB23BF">
        <w:t>of different stakeholders</w:t>
      </w:r>
      <w:r w:rsidR="00A70521" w:rsidRPr="00FB23BF">
        <w:t xml:space="preserve">. For example, consultancies may be particularly interested in efficiency gains, whilst environmental bodies </w:t>
      </w:r>
      <w:r w:rsidR="004E5399">
        <w:t xml:space="preserve">are likely to </w:t>
      </w:r>
      <w:r w:rsidR="00A70521" w:rsidRPr="00FB23BF">
        <w:t xml:space="preserve">be more interested in increasing effectiveness of the ability to protect the biophysical environment. </w:t>
      </w:r>
      <w:r w:rsidR="00650CCB">
        <w:t>Or, w</w:t>
      </w:r>
      <w:r w:rsidR="00A70521" w:rsidRPr="00FB23BF">
        <w:t xml:space="preserve">hilst scientists may </w:t>
      </w:r>
      <w:r w:rsidR="00AC3AB6">
        <w:t xml:space="preserve">be particularly keen on </w:t>
      </w:r>
      <w:r w:rsidR="00A70521" w:rsidRPr="00FB23BF">
        <w:t xml:space="preserve">clarity </w:t>
      </w:r>
      <w:r w:rsidR="00AC3AB6">
        <w:t xml:space="preserve">with regards to </w:t>
      </w:r>
      <w:r w:rsidR="00DD45FA">
        <w:t xml:space="preserve">the usage of </w:t>
      </w:r>
      <w:r w:rsidR="00A70521" w:rsidRPr="00FB23BF">
        <w:t>specific indicators</w:t>
      </w:r>
      <w:r w:rsidR="00AC3AB6">
        <w:t>, political decision makers are likely to make any interventions dependent on the interests of (their) electorate</w:t>
      </w:r>
      <w:r w:rsidR="00A70521" w:rsidRPr="00FB23BF">
        <w:t xml:space="preserve">. </w:t>
      </w:r>
      <w:r w:rsidR="00D028C8">
        <w:t xml:space="preserve">To date, how different interests may be integrated </w:t>
      </w:r>
      <w:r w:rsidR="00650CCB">
        <w:t>into guidance</w:t>
      </w:r>
      <w:r w:rsidR="004E5399">
        <w:t>,</w:t>
      </w:r>
      <w:r w:rsidR="00650CCB">
        <w:t xml:space="preserve"> </w:t>
      </w:r>
      <w:r w:rsidR="004E5399">
        <w:t xml:space="preserve">hopefully </w:t>
      </w:r>
      <w:r w:rsidR="00650CCB">
        <w:t>result</w:t>
      </w:r>
      <w:r w:rsidR="004E5399">
        <w:t>ing</w:t>
      </w:r>
      <w:r w:rsidR="00650CCB">
        <w:t xml:space="preserve"> in effective IA </w:t>
      </w:r>
      <w:r w:rsidR="00D028C8">
        <w:t xml:space="preserve">has remained poorly understood. </w:t>
      </w:r>
      <w:r w:rsidR="00A70521" w:rsidRPr="00FB23BF">
        <w:t>In this context, a</w:t>
      </w:r>
      <w:r w:rsidR="00650CCB">
        <w:t xml:space="preserve">n associated </w:t>
      </w:r>
      <w:r w:rsidR="00A70521" w:rsidRPr="00FB23BF">
        <w:t>call for papers will be made on the IAPA homepage shortly. – Watch this space!</w:t>
      </w:r>
    </w:p>
    <w:p w:rsidR="00FB1B36" w:rsidRPr="00FB23BF" w:rsidRDefault="005629E8">
      <w:r w:rsidRPr="00FB23BF">
        <w:t>Subsequently, s</w:t>
      </w:r>
      <w:r w:rsidR="002E4D44" w:rsidRPr="00FB23BF">
        <w:t xml:space="preserve">ix papers </w:t>
      </w:r>
      <w:r w:rsidR="00650CCB">
        <w:t xml:space="preserve">are </w:t>
      </w:r>
      <w:r w:rsidRPr="00FB23BF">
        <w:t>brought to you by authors from five continents (</w:t>
      </w:r>
      <w:r w:rsidR="002E4D44" w:rsidRPr="00FB23BF">
        <w:t>Africa, South America, Asia, Australia and Europe</w:t>
      </w:r>
      <w:r w:rsidRPr="00FB23BF">
        <w:t>)</w:t>
      </w:r>
      <w:r w:rsidR="002E4D44" w:rsidRPr="00FB23BF">
        <w:t xml:space="preserve">. </w:t>
      </w:r>
      <w:r w:rsidRPr="00FB23BF">
        <w:t xml:space="preserve">These report </w:t>
      </w:r>
      <w:r w:rsidRPr="00FB23BF">
        <w:t xml:space="preserve">on environmental and sustainability assessment practices </w:t>
      </w:r>
      <w:r w:rsidRPr="00FB23BF">
        <w:t>in different sectors and contexts in</w:t>
      </w:r>
      <w:r w:rsidRPr="00FB23BF">
        <w:t xml:space="preserve"> </w:t>
      </w:r>
      <w:r w:rsidR="00FB1B36" w:rsidRPr="00FB23BF">
        <w:t xml:space="preserve">Tanzania, Belgium, </w:t>
      </w:r>
      <w:r w:rsidR="003369C9" w:rsidRPr="00FB23BF">
        <w:t xml:space="preserve">Brazil, Thailand, </w:t>
      </w:r>
      <w:r w:rsidR="002E4D44" w:rsidRPr="00FB23BF">
        <w:t>India, Australia</w:t>
      </w:r>
      <w:r w:rsidR="00855731" w:rsidRPr="00FB23BF">
        <w:t>.</w:t>
      </w:r>
      <w:r w:rsidRPr="00FB23BF">
        <w:t xml:space="preserve"> </w:t>
      </w:r>
    </w:p>
    <w:p w:rsidR="005629E8" w:rsidRPr="00FB23BF" w:rsidRDefault="005629E8">
      <w:r w:rsidRPr="00FB23BF">
        <w:t>I hope you’ll enjoy read</w:t>
      </w:r>
      <w:r w:rsidR="00650CCB">
        <w:t>ing</w:t>
      </w:r>
      <w:r w:rsidR="004E5399">
        <w:t xml:space="preserve"> this issue of IAPA</w:t>
      </w:r>
      <w:r w:rsidR="00650CCB">
        <w:t>.</w:t>
      </w:r>
      <w:r w:rsidRPr="00FB23BF">
        <w:t xml:space="preserve"> With best wishes for your end of year celebrations and a good start into 2018!</w:t>
      </w:r>
    </w:p>
    <w:p w:rsidR="005629E8" w:rsidRPr="00FB23BF" w:rsidRDefault="005629E8">
      <w:r w:rsidRPr="00FB23BF">
        <w:tab/>
      </w:r>
      <w:r w:rsidRPr="00FB23BF">
        <w:tab/>
      </w:r>
      <w:r w:rsidRPr="00FB23BF">
        <w:tab/>
      </w:r>
      <w:r w:rsidRPr="00FB23BF">
        <w:tab/>
      </w:r>
      <w:r w:rsidRPr="00FB23BF">
        <w:tab/>
      </w:r>
      <w:r w:rsidRPr="00FB23BF">
        <w:tab/>
      </w:r>
      <w:r w:rsidRPr="00FB23BF">
        <w:tab/>
      </w:r>
      <w:r w:rsidRPr="00FB23BF">
        <w:tab/>
        <w:t>Thomas B Fischer, editor-in-chief</w:t>
      </w:r>
    </w:p>
    <w:p w:rsidR="00855731" w:rsidRPr="00650CCB" w:rsidRDefault="00886510">
      <w:pPr>
        <w:rPr>
          <w:b/>
          <w:color w:val="000000" w:themeColor="text1"/>
        </w:rPr>
      </w:pPr>
      <w:r w:rsidRPr="00650CCB">
        <w:rPr>
          <w:b/>
          <w:color w:val="000000" w:themeColor="text1"/>
        </w:rPr>
        <w:t>References</w:t>
      </w:r>
    </w:p>
    <w:p w:rsidR="00886510" w:rsidRPr="00FB23BF" w:rsidRDefault="00886510" w:rsidP="00886510">
      <w:pPr>
        <w:pStyle w:val="msonospacing0"/>
        <w:rPr>
          <w:rFonts w:asciiTheme="minorHAnsi" w:hAnsiTheme="minorHAnsi"/>
          <w:bCs/>
        </w:rPr>
      </w:pPr>
      <w:r w:rsidRPr="00FB23BF">
        <w:rPr>
          <w:rFonts w:asciiTheme="minorHAnsi" w:hAnsiTheme="minorHAnsi"/>
        </w:rPr>
        <w:t xml:space="preserve">Arts, J.; </w:t>
      </w:r>
      <w:proofErr w:type="spellStart"/>
      <w:r w:rsidRPr="00FB23BF">
        <w:rPr>
          <w:rFonts w:asciiTheme="minorHAnsi" w:hAnsiTheme="minorHAnsi"/>
        </w:rPr>
        <w:t>Runhaar</w:t>
      </w:r>
      <w:proofErr w:type="spellEnd"/>
      <w:r w:rsidRPr="00FB23BF">
        <w:rPr>
          <w:rFonts w:asciiTheme="minorHAnsi" w:hAnsiTheme="minorHAnsi"/>
        </w:rPr>
        <w:t xml:space="preserve">, H.; Fischer, T. B.; Jha-Thakur, U.; van </w:t>
      </w:r>
      <w:proofErr w:type="spellStart"/>
      <w:r w:rsidRPr="00FB23BF">
        <w:rPr>
          <w:rFonts w:asciiTheme="minorHAnsi" w:hAnsiTheme="minorHAnsi"/>
        </w:rPr>
        <w:t>Laerhoven</w:t>
      </w:r>
      <w:proofErr w:type="spellEnd"/>
      <w:r w:rsidRPr="00FB23BF">
        <w:rPr>
          <w:rFonts w:asciiTheme="minorHAnsi" w:hAnsiTheme="minorHAnsi"/>
        </w:rPr>
        <w:t xml:space="preserve">, F.; </w:t>
      </w:r>
      <w:proofErr w:type="spellStart"/>
      <w:r w:rsidRPr="00FB23BF">
        <w:rPr>
          <w:rFonts w:asciiTheme="minorHAnsi" w:hAnsiTheme="minorHAnsi"/>
        </w:rPr>
        <w:t>Driessen</w:t>
      </w:r>
      <w:proofErr w:type="spellEnd"/>
      <w:r w:rsidRPr="00FB23BF">
        <w:rPr>
          <w:rFonts w:asciiTheme="minorHAnsi" w:hAnsiTheme="minorHAnsi"/>
        </w:rPr>
        <w:t>, P.</w:t>
      </w:r>
      <w:r w:rsidRPr="00FB23BF">
        <w:rPr>
          <w:rFonts w:asciiTheme="minorHAnsi" w:hAnsiTheme="minorHAnsi"/>
          <w:vertAlign w:val="superscript"/>
        </w:rPr>
        <w:t xml:space="preserve"> </w:t>
      </w:r>
      <w:r w:rsidRPr="00FB23BF">
        <w:rPr>
          <w:rFonts w:asciiTheme="minorHAnsi" w:hAnsiTheme="minorHAnsi"/>
        </w:rPr>
        <w:t xml:space="preserve"> </w:t>
      </w:r>
      <w:proofErr w:type="gramStart"/>
      <w:r w:rsidRPr="00FB23BF">
        <w:rPr>
          <w:rFonts w:asciiTheme="minorHAnsi" w:hAnsiTheme="minorHAnsi"/>
        </w:rPr>
        <w:t>and</w:t>
      </w:r>
      <w:proofErr w:type="gramEnd"/>
      <w:r w:rsidRPr="00FB23BF">
        <w:rPr>
          <w:rFonts w:asciiTheme="minorHAnsi" w:hAnsiTheme="minorHAnsi"/>
        </w:rPr>
        <w:t xml:space="preserve"> Onyango, V. 2012. The Effectiveness of EIA as an Instrument for Environmental Governance – A Comparison of the Netherlands and the UK, </w:t>
      </w:r>
      <w:r w:rsidRPr="00FB23BF">
        <w:rPr>
          <w:rFonts w:asciiTheme="minorHAnsi" w:hAnsiTheme="minorHAnsi"/>
          <w:bCs/>
          <w:i/>
        </w:rPr>
        <w:t xml:space="preserve">Journal of Environmental Assessment Policy and Management, </w:t>
      </w:r>
      <w:r w:rsidRPr="00FB23BF">
        <w:rPr>
          <w:rFonts w:asciiTheme="minorHAnsi" w:hAnsiTheme="minorHAnsi"/>
          <w:bCs/>
        </w:rPr>
        <w:t>14(4): 1250025-1-40.</w:t>
      </w:r>
    </w:p>
    <w:p w:rsidR="00886510" w:rsidRPr="00FB23BF" w:rsidRDefault="00886510" w:rsidP="00886510">
      <w:pPr>
        <w:pStyle w:val="msonospacing0"/>
        <w:rPr>
          <w:rFonts w:asciiTheme="minorHAnsi" w:hAnsiTheme="minorHAnsi"/>
        </w:rPr>
      </w:pPr>
    </w:p>
    <w:p w:rsidR="00BE2FBC" w:rsidRPr="00FB23BF" w:rsidRDefault="00BE2FBC">
      <w:pPr>
        <w:rPr>
          <w:color w:val="000000" w:themeColor="text1"/>
          <w:u w:val="single"/>
          <w:lang w:eastAsia="en-GB"/>
        </w:rPr>
      </w:pPr>
      <w:r w:rsidRPr="00FB23BF">
        <w:rPr>
          <w:color w:val="000000" w:themeColor="text1"/>
        </w:rPr>
        <w:t xml:space="preserve">Fischer, T. B. 2014. Impact Assessment: There can be strength in diversity, </w:t>
      </w:r>
      <w:r w:rsidRPr="00FB23BF">
        <w:rPr>
          <w:i/>
          <w:color w:val="000000" w:themeColor="text1"/>
        </w:rPr>
        <w:t>Impact Assessment and Project Appraisal</w:t>
      </w:r>
      <w:r w:rsidR="00886510" w:rsidRPr="00FB23BF">
        <w:rPr>
          <w:color w:val="000000" w:themeColor="text1"/>
        </w:rPr>
        <w:t>.</w:t>
      </w:r>
      <w:r w:rsidR="00886510" w:rsidRPr="00FB23BF">
        <w:rPr>
          <w:color w:val="000000" w:themeColor="text1"/>
          <w:u w:val="single"/>
          <w:lang w:eastAsia="en-GB"/>
        </w:rPr>
        <w:t xml:space="preserve"> </w:t>
      </w:r>
    </w:p>
    <w:p w:rsidR="00855731" w:rsidRPr="00FB23BF" w:rsidRDefault="00855731">
      <w:pPr>
        <w:rPr>
          <w:color w:val="000000" w:themeColor="text1"/>
          <w:u w:val="single"/>
        </w:rPr>
      </w:pPr>
      <w:r w:rsidRPr="00FB23BF">
        <w:rPr>
          <w:color w:val="000000" w:themeColor="text1"/>
        </w:rPr>
        <w:t xml:space="preserve">Gore, T. and Fischer, T. B. 2014. Uncovering the factors that can support and impede post-disaster EIA practice in developing countries: The case of Aceh Province, Indonesia, </w:t>
      </w:r>
      <w:r w:rsidRPr="00FB23BF">
        <w:rPr>
          <w:i/>
          <w:color w:val="000000" w:themeColor="text1"/>
        </w:rPr>
        <w:t>Environmental Impact Assessment Review</w:t>
      </w:r>
      <w:r w:rsidR="00886510" w:rsidRPr="00FB23BF">
        <w:rPr>
          <w:color w:val="000000" w:themeColor="text1"/>
        </w:rPr>
        <w:t>.</w:t>
      </w:r>
    </w:p>
    <w:p w:rsidR="00886510" w:rsidRPr="00FB23BF" w:rsidRDefault="00886510" w:rsidP="0094146A">
      <w:pPr>
        <w:rPr>
          <w:rStyle w:val="size-m"/>
          <w:color w:val="000000" w:themeColor="text1"/>
          <w:sz w:val="22"/>
          <w:szCs w:val="22"/>
          <w:lang w:val="en"/>
        </w:rPr>
      </w:pPr>
      <w:r w:rsidRPr="00FB23BF">
        <w:rPr>
          <w:color w:val="000000" w:themeColor="text1"/>
          <w:lang w:val="en-US"/>
        </w:rPr>
        <w:t xml:space="preserve">Hanna, P.; Vanclay, F.; Langdon, E. J. and Arts, J. 2014.  </w:t>
      </w:r>
      <w:r w:rsidRPr="00FB23BF">
        <w:rPr>
          <w:color w:val="000000" w:themeColor="text1"/>
          <w:lang w:val="en"/>
        </w:rPr>
        <w:t>Improving the effectiveness of impact assessment pertaining to Indigenous peoples in the Brazilian environmental licensing procedure</w:t>
      </w:r>
      <w:r w:rsidRPr="00FB23BF">
        <w:rPr>
          <w:color w:val="000000" w:themeColor="text1"/>
          <w:lang w:val="en"/>
        </w:rPr>
        <w:t xml:space="preserve">, 46: </w:t>
      </w:r>
      <w:r w:rsidRPr="00FB23BF">
        <w:rPr>
          <w:rStyle w:val="size-m"/>
          <w:color w:val="000000" w:themeColor="text1"/>
          <w:sz w:val="22"/>
          <w:szCs w:val="22"/>
          <w:lang w:val="en"/>
        </w:rPr>
        <w:t>58-67</w:t>
      </w:r>
      <w:r w:rsidRPr="00FB23BF">
        <w:rPr>
          <w:rStyle w:val="size-m"/>
          <w:color w:val="000000" w:themeColor="text1"/>
          <w:sz w:val="22"/>
          <w:szCs w:val="22"/>
          <w:lang w:val="en"/>
        </w:rPr>
        <w:t>.</w:t>
      </w:r>
    </w:p>
    <w:p w:rsidR="00FB23BF" w:rsidRPr="00FB23BF" w:rsidRDefault="00FB23BF" w:rsidP="0094146A">
      <w:pPr>
        <w:rPr>
          <w:color w:val="000000" w:themeColor="text1"/>
          <w:lang w:val="en-US"/>
        </w:rPr>
      </w:pPr>
      <w:r w:rsidRPr="00FB23BF">
        <w:rPr>
          <w:rFonts w:cs="Times New Roman"/>
          <w:bCs/>
        </w:rPr>
        <w:t xml:space="preserve">IAEA – International Atomic Energy Agency, forthcoming. </w:t>
      </w:r>
      <w:r w:rsidRPr="00FB23BF">
        <w:rPr>
          <w:rFonts w:cs="Times New Roman"/>
          <w:bCs/>
        </w:rPr>
        <w:t xml:space="preserve">Strategic Environmental Assessment for Nuclear Power Programmes – Guidelines, </w:t>
      </w:r>
      <w:r w:rsidRPr="00FB23BF">
        <w:rPr>
          <w:rFonts w:cs="Times New Roman"/>
          <w:bCs/>
        </w:rPr>
        <w:t>IAEA</w:t>
      </w:r>
      <w:r w:rsidRPr="00FB23BF">
        <w:rPr>
          <w:rFonts w:cs="Times New Roman"/>
          <w:bCs/>
        </w:rPr>
        <w:t>, Vienna</w:t>
      </w:r>
    </w:p>
    <w:p w:rsidR="00C017EA" w:rsidRDefault="00C017EA" w:rsidP="00C017EA">
      <w:pPr>
        <w:spacing w:after="0" w:line="240" w:lineRule="auto"/>
        <w:rPr>
          <w:color w:val="000000"/>
        </w:rPr>
      </w:pPr>
      <w:r w:rsidRPr="00E76B87">
        <w:rPr>
          <w:color w:val="000000"/>
        </w:rPr>
        <w:t xml:space="preserve">Morrison-Saunders, A. und Fischer, T.B. 2006. What is wrong with EIA and SEA anyway? - A Sceptic's Perspective on Sustainability Assessment, </w:t>
      </w:r>
      <w:r w:rsidRPr="00E76B87">
        <w:rPr>
          <w:i/>
          <w:color w:val="000000"/>
        </w:rPr>
        <w:t>Journal of Environmental Assessment Policy and Management</w:t>
      </w:r>
      <w:r>
        <w:rPr>
          <w:color w:val="000000"/>
        </w:rPr>
        <w:t xml:space="preserve"> 8(1): 19-39.</w:t>
      </w:r>
    </w:p>
    <w:p w:rsidR="00C017EA" w:rsidRDefault="00C017EA" w:rsidP="00C017EA">
      <w:pPr>
        <w:spacing w:after="0" w:line="240" w:lineRule="auto"/>
        <w:rPr>
          <w:color w:val="000000"/>
        </w:rPr>
      </w:pPr>
    </w:p>
    <w:p w:rsidR="0094146A" w:rsidRPr="00C017EA" w:rsidRDefault="0094146A" w:rsidP="00C017EA">
      <w:pPr>
        <w:spacing w:after="0" w:line="240" w:lineRule="auto"/>
        <w:rPr>
          <w:color w:val="000000"/>
        </w:rPr>
      </w:pPr>
      <w:proofErr w:type="spellStart"/>
      <w:r w:rsidRPr="00FB23BF">
        <w:rPr>
          <w:color w:val="000000" w:themeColor="text1"/>
          <w:lang w:val="en-US"/>
        </w:rPr>
        <w:t>Syafiq</w:t>
      </w:r>
      <w:proofErr w:type="spellEnd"/>
      <w:r w:rsidRPr="00FB23BF">
        <w:rPr>
          <w:color w:val="000000" w:themeColor="text1"/>
          <w:lang w:val="en-US"/>
        </w:rPr>
        <w:t xml:space="preserve">, M. 2015. </w:t>
      </w:r>
      <w:r w:rsidRPr="00FB23BF">
        <w:rPr>
          <w:color w:val="000000" w:themeColor="text1"/>
          <w:lang w:val="en-US"/>
        </w:rPr>
        <w:t>Imp</w:t>
      </w:r>
      <w:bookmarkStart w:id="0" w:name="_GoBack"/>
      <w:bookmarkEnd w:id="0"/>
      <w:r w:rsidRPr="00FB23BF">
        <w:rPr>
          <w:color w:val="000000" w:themeColor="text1"/>
          <w:lang w:val="en-US"/>
        </w:rPr>
        <w:t>roving the Effectiveness of Environmental Impact Assessment in Indonesia Regarding the Protection of the Marine Environment from Industrial Pollution</w:t>
      </w:r>
      <w:r w:rsidRPr="00FB23BF">
        <w:rPr>
          <w:color w:val="000000" w:themeColor="text1"/>
          <w:lang w:val="en-US"/>
        </w:rPr>
        <w:t>,</w:t>
      </w:r>
      <w:r w:rsidRPr="00FB23BF">
        <w:rPr>
          <w:i/>
          <w:color w:val="000000" w:themeColor="text1"/>
        </w:rPr>
        <w:t xml:space="preserve"> </w:t>
      </w:r>
      <w:r w:rsidRPr="00FB23BF">
        <w:rPr>
          <w:i/>
          <w:color w:val="000000" w:themeColor="text1"/>
        </w:rPr>
        <w:t>Journal of Environmental Assessment Policy and Management</w:t>
      </w:r>
      <w:r w:rsidR="00886510" w:rsidRPr="00FB23BF">
        <w:rPr>
          <w:b/>
          <w:bCs/>
          <w:color w:val="000000" w:themeColor="text1"/>
          <w:lang w:val="en-US"/>
        </w:rPr>
        <w:t xml:space="preserve"> </w:t>
      </w:r>
      <w:r w:rsidR="00886510" w:rsidRPr="00FB23BF">
        <w:rPr>
          <w:b/>
          <w:bCs/>
          <w:color w:val="000000" w:themeColor="text1"/>
          <w:lang w:val="en-US"/>
        </w:rPr>
        <w:t>17</w:t>
      </w:r>
      <w:r w:rsidR="00886510" w:rsidRPr="00FB23BF">
        <w:rPr>
          <w:color w:val="000000" w:themeColor="text1"/>
          <w:lang w:val="en-US"/>
        </w:rPr>
        <w:t>, 1550026</w:t>
      </w:r>
      <w:r w:rsidR="00886510" w:rsidRPr="00FB23BF">
        <w:rPr>
          <w:color w:val="000000" w:themeColor="text1"/>
          <w:lang w:val="en-US"/>
        </w:rPr>
        <w:t xml:space="preserve"> (17 pages).</w:t>
      </w:r>
    </w:p>
    <w:p w:rsidR="00C017EA" w:rsidRDefault="00C017EA" w:rsidP="00A70521">
      <w:pPr>
        <w:spacing w:after="0" w:line="240" w:lineRule="auto"/>
        <w:jc w:val="both"/>
        <w:rPr>
          <w:color w:val="000000" w:themeColor="text1"/>
        </w:rPr>
      </w:pPr>
    </w:p>
    <w:p w:rsidR="00855731" w:rsidRPr="00FB23BF" w:rsidRDefault="00855731" w:rsidP="00A70521">
      <w:pPr>
        <w:spacing w:after="0" w:line="240" w:lineRule="auto"/>
        <w:jc w:val="both"/>
        <w:rPr>
          <w:color w:val="000000" w:themeColor="text1"/>
          <w:lang w:val="en-US"/>
        </w:rPr>
      </w:pPr>
      <w:r w:rsidRPr="00FB23BF">
        <w:rPr>
          <w:color w:val="000000" w:themeColor="text1"/>
        </w:rPr>
        <w:t xml:space="preserve">Tajima, R.; Gore, T. and Fischer, T. B. 2014. Policy integration between Environmental Assessment and Disaster Management, </w:t>
      </w:r>
      <w:r w:rsidRPr="00FB23BF">
        <w:rPr>
          <w:i/>
          <w:color w:val="000000" w:themeColor="text1"/>
        </w:rPr>
        <w:t xml:space="preserve">Journal of Environmental Assessment Policy and Management, </w:t>
      </w:r>
      <w:r w:rsidRPr="00FB23BF">
        <w:rPr>
          <w:color w:val="000000" w:themeColor="text1"/>
        </w:rPr>
        <w:t>16(3): 450028</w:t>
      </w:r>
      <w:r w:rsidR="00650CCB">
        <w:rPr>
          <w:color w:val="000000" w:themeColor="text1"/>
        </w:rPr>
        <w:t xml:space="preserve"> </w:t>
      </w:r>
      <w:r w:rsidRPr="00FB23BF">
        <w:rPr>
          <w:color w:val="000000" w:themeColor="text1"/>
        </w:rPr>
        <w:t>(</w:t>
      </w:r>
      <w:r w:rsidRPr="00FB23BF">
        <w:rPr>
          <w:color w:val="000000" w:themeColor="text1"/>
          <w:u w:val="single"/>
        </w:rPr>
        <w:t>open access</w:t>
      </w:r>
      <w:r w:rsidRPr="00FB23BF">
        <w:rPr>
          <w:color w:val="000000" w:themeColor="text1"/>
        </w:rPr>
        <w:t>).</w:t>
      </w:r>
    </w:p>
    <w:sectPr w:rsidR="00855731" w:rsidRPr="00FB2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EC4"/>
    <w:multiLevelType w:val="hybridMultilevel"/>
    <w:tmpl w:val="B9C08BBA"/>
    <w:lvl w:ilvl="0" w:tplc="1F1A6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6"/>
    <w:rsid w:val="00046BA1"/>
    <w:rsid w:val="00145635"/>
    <w:rsid w:val="00162E7E"/>
    <w:rsid w:val="001B2A29"/>
    <w:rsid w:val="00201379"/>
    <w:rsid w:val="002E4D44"/>
    <w:rsid w:val="003369C9"/>
    <w:rsid w:val="0034593C"/>
    <w:rsid w:val="003F7162"/>
    <w:rsid w:val="004E06AE"/>
    <w:rsid w:val="004E5399"/>
    <w:rsid w:val="005629E8"/>
    <w:rsid w:val="00650CCB"/>
    <w:rsid w:val="006B29B5"/>
    <w:rsid w:val="00735726"/>
    <w:rsid w:val="00791194"/>
    <w:rsid w:val="008415DF"/>
    <w:rsid w:val="00855731"/>
    <w:rsid w:val="00886510"/>
    <w:rsid w:val="0094146A"/>
    <w:rsid w:val="00A70521"/>
    <w:rsid w:val="00AC3AB6"/>
    <w:rsid w:val="00AF1490"/>
    <w:rsid w:val="00B52CD1"/>
    <w:rsid w:val="00B53C2B"/>
    <w:rsid w:val="00BE2FBC"/>
    <w:rsid w:val="00BF0F3A"/>
    <w:rsid w:val="00C017EA"/>
    <w:rsid w:val="00D028C8"/>
    <w:rsid w:val="00DD45FA"/>
    <w:rsid w:val="00F52FE4"/>
    <w:rsid w:val="00FB1B36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9BF93-339E-400C-9468-6B92EF13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731"/>
    <w:rPr>
      <w:color w:val="0563C1" w:themeColor="hyperlink"/>
      <w:u w:val="single"/>
    </w:rPr>
  </w:style>
  <w:style w:type="character" w:customStyle="1" w:styleId="nlmstring-name">
    <w:name w:val="nlm_string-name"/>
    <w:basedOn w:val="DefaultParagraphFont"/>
    <w:rsid w:val="0094146A"/>
  </w:style>
  <w:style w:type="character" w:customStyle="1" w:styleId="size-m">
    <w:name w:val="size-m"/>
    <w:basedOn w:val="DefaultParagraphFont"/>
    <w:rsid w:val="0088651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6510"/>
    <w:rPr>
      <w:color w:val="954F72" w:themeColor="followedHyperlink"/>
      <w:u w:val="single"/>
    </w:rPr>
  </w:style>
  <w:style w:type="paragraph" w:customStyle="1" w:styleId="msonospacing0">
    <w:name w:val="msonospacing"/>
    <w:basedOn w:val="Normal"/>
    <w:rsid w:val="00886510"/>
    <w:pPr>
      <w:spacing w:after="0" w:line="240" w:lineRule="auto"/>
    </w:pPr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Thomas</dc:creator>
  <cp:keywords/>
  <dc:description/>
  <cp:lastModifiedBy>Fischer, Thomas</cp:lastModifiedBy>
  <cp:revision>12</cp:revision>
  <dcterms:created xsi:type="dcterms:W3CDTF">2017-09-14T08:01:00Z</dcterms:created>
  <dcterms:modified xsi:type="dcterms:W3CDTF">2017-09-14T14:56:00Z</dcterms:modified>
</cp:coreProperties>
</file>