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FA50A2" w14:textId="77777777" w:rsidR="006D43E5" w:rsidRPr="00200BD4" w:rsidRDefault="006D43E5" w:rsidP="00FD5378">
      <w:pPr>
        <w:spacing w:line="480" w:lineRule="auto"/>
        <w:jc w:val="center"/>
        <w:rPr>
          <w:b/>
        </w:rPr>
      </w:pPr>
      <w:r>
        <w:rPr>
          <w:b/>
          <w:u w:val="single"/>
        </w:rPr>
        <w:t>Tocilizumab as a potential therapeutic option for children with severe, refractory Juvenile Localised Scleroderma</w:t>
      </w:r>
    </w:p>
    <w:p w14:paraId="0AF432CB" w14:textId="77777777" w:rsidR="006D43E5" w:rsidRPr="00E4563F" w:rsidRDefault="006D43E5" w:rsidP="00FD5378">
      <w:pPr>
        <w:spacing w:line="480" w:lineRule="auto"/>
      </w:pPr>
      <w:r w:rsidRPr="00E4563F">
        <w:t>Hanna Lythgoe</w:t>
      </w:r>
      <w:r w:rsidRPr="00E4563F">
        <w:rPr>
          <w:vertAlign w:val="superscript"/>
        </w:rPr>
        <w:t>1,2</w:t>
      </w:r>
      <w:r>
        <w:rPr>
          <w:vertAlign w:val="superscript"/>
        </w:rPr>
        <w:t>,3</w:t>
      </w:r>
      <w:r w:rsidRPr="00E4563F">
        <w:t>, Eileen Baildam</w:t>
      </w:r>
      <w:r w:rsidRPr="00E4563F">
        <w:rPr>
          <w:vertAlign w:val="superscript"/>
        </w:rPr>
        <w:t>1</w:t>
      </w:r>
      <w:r w:rsidRPr="00E4563F">
        <w:t>, Michael W Beresford</w:t>
      </w:r>
      <w:r w:rsidRPr="00E4563F">
        <w:rPr>
          <w:vertAlign w:val="superscript"/>
        </w:rPr>
        <w:t>1,2</w:t>
      </w:r>
      <w:r>
        <w:rPr>
          <w:vertAlign w:val="superscript"/>
        </w:rPr>
        <w:t>,3</w:t>
      </w:r>
      <w:r w:rsidRPr="00E4563F">
        <w:t>, Gavin Cleary</w:t>
      </w:r>
      <w:r w:rsidRPr="00E4563F">
        <w:rPr>
          <w:vertAlign w:val="superscript"/>
        </w:rPr>
        <w:t>1</w:t>
      </w:r>
      <w:r w:rsidRPr="00E4563F">
        <w:t>, Liza J McCann</w:t>
      </w:r>
      <w:r w:rsidRPr="00E4563F">
        <w:rPr>
          <w:vertAlign w:val="superscript"/>
        </w:rPr>
        <w:t>1</w:t>
      </w:r>
      <w:r w:rsidRPr="00E4563F">
        <w:t>, Clare E Pain</w:t>
      </w:r>
      <w:r w:rsidRPr="00E4563F">
        <w:rPr>
          <w:vertAlign w:val="superscript"/>
        </w:rPr>
        <w:t>1</w:t>
      </w:r>
    </w:p>
    <w:p w14:paraId="554D445A" w14:textId="77777777" w:rsidR="006D43E5" w:rsidRDefault="006D43E5" w:rsidP="00FD5378">
      <w:pPr>
        <w:spacing w:line="480" w:lineRule="auto"/>
      </w:pPr>
      <w:r>
        <w:rPr>
          <w:vertAlign w:val="superscript"/>
        </w:rPr>
        <w:t>1</w:t>
      </w:r>
      <w:r>
        <w:t xml:space="preserve">Department of Paediatric Rheumatology, </w:t>
      </w:r>
      <w:r w:rsidRPr="0063204D">
        <w:t>Alder</w:t>
      </w:r>
      <w:r>
        <w:t xml:space="preserve"> Hey Children’s NHS Foundation Trust</w:t>
      </w:r>
      <w:r w:rsidRPr="00200BD4">
        <w:t>,</w:t>
      </w:r>
      <w:r>
        <w:t xml:space="preserve"> Liverpool, UK </w:t>
      </w:r>
      <w:r>
        <w:rPr>
          <w:vertAlign w:val="superscript"/>
        </w:rPr>
        <w:t xml:space="preserve">2 </w:t>
      </w:r>
      <w:r>
        <w:t>NIHR Alder Hey Clinical Research Facility, Alder Hey Children’s NHS Foundation Trust, Liverpool, UK</w:t>
      </w:r>
      <w:r w:rsidRPr="00200BD4">
        <w:t xml:space="preserve"> </w:t>
      </w:r>
      <w:r>
        <w:rPr>
          <w:vertAlign w:val="superscript"/>
        </w:rPr>
        <w:t xml:space="preserve">3 </w:t>
      </w:r>
      <w:r>
        <w:t xml:space="preserve">Department of Women’s and Children’s, Institute of Translational Medicine, University of Liverpool, Liverpool, UK </w:t>
      </w:r>
    </w:p>
    <w:p w14:paraId="104409CA" w14:textId="77777777" w:rsidR="006D43E5" w:rsidRDefault="006D43E5" w:rsidP="00FD5378">
      <w:pPr>
        <w:spacing w:line="480" w:lineRule="auto"/>
      </w:pPr>
      <w:r>
        <w:rPr>
          <w:u w:val="single"/>
        </w:rPr>
        <w:t>Corresponding Author</w:t>
      </w:r>
    </w:p>
    <w:p w14:paraId="1D383CBD" w14:textId="77777777" w:rsidR="006D43E5" w:rsidRDefault="006D43E5" w:rsidP="00FD5378">
      <w:pPr>
        <w:spacing w:line="480" w:lineRule="auto"/>
        <w:rPr>
          <w:rStyle w:val="Hyperlink"/>
        </w:rPr>
      </w:pPr>
      <w:r>
        <w:t xml:space="preserve">Dr Clare Pain, Department of Paediatric Rheumatology, Alder Hey Children’s NHS Foundation Trust, Eaton Road, L12 2AP, </w:t>
      </w:r>
      <w:hyperlink r:id="rId7" w:history="1">
        <w:r w:rsidRPr="00E66F47">
          <w:rPr>
            <w:rStyle w:val="Hyperlink"/>
          </w:rPr>
          <w:t>clare.pain@alderhey.nhs.uk</w:t>
        </w:r>
      </w:hyperlink>
    </w:p>
    <w:p w14:paraId="0D9F5454" w14:textId="77777777" w:rsidR="00FD5378" w:rsidRDefault="00FD5378" w:rsidP="00FD5378">
      <w:pPr>
        <w:spacing w:line="480" w:lineRule="auto"/>
      </w:pPr>
      <w:r w:rsidRPr="00CA26F7">
        <w:rPr>
          <w:u w:val="single"/>
        </w:rPr>
        <w:t>Key words</w:t>
      </w:r>
    </w:p>
    <w:p w14:paraId="75252407" w14:textId="47316BC2" w:rsidR="00FD5378" w:rsidRDefault="00FD5378" w:rsidP="00FD5378">
      <w:pPr>
        <w:spacing w:line="480" w:lineRule="auto"/>
      </w:pPr>
      <w:r>
        <w:t>Localised scleroderma, morphoea, juvenile, paediatric, tocilizumab</w:t>
      </w:r>
    </w:p>
    <w:p w14:paraId="117ED489" w14:textId="77777777" w:rsidR="006D43E5" w:rsidRDefault="006D43E5" w:rsidP="00FD5378">
      <w:pPr>
        <w:spacing w:line="480" w:lineRule="auto"/>
        <w:rPr>
          <w:u w:val="single"/>
        </w:rPr>
      </w:pPr>
      <w:r>
        <w:rPr>
          <w:u w:val="single"/>
        </w:rPr>
        <w:t>Word Count</w:t>
      </w:r>
    </w:p>
    <w:p w14:paraId="73759DDA" w14:textId="5EF567C4" w:rsidR="006D43E5" w:rsidRPr="00C90F39" w:rsidRDefault="003B60B0" w:rsidP="00FD5378">
      <w:pPr>
        <w:spacing w:after="0" w:line="480" w:lineRule="auto"/>
      </w:pPr>
      <w:r>
        <w:t>7</w:t>
      </w:r>
      <w:r w:rsidR="004C0BD1">
        <w:t>90</w:t>
      </w:r>
      <w:bookmarkStart w:id="0" w:name="_GoBack"/>
      <w:bookmarkEnd w:id="0"/>
      <w:r w:rsidR="00B660B7">
        <w:t xml:space="preserve"> words</w:t>
      </w:r>
    </w:p>
    <w:p w14:paraId="0235B4C7" w14:textId="77777777" w:rsidR="006D43E5" w:rsidRDefault="006D43E5" w:rsidP="00FD5378">
      <w:pPr>
        <w:spacing w:line="480" w:lineRule="auto"/>
      </w:pPr>
    </w:p>
    <w:p w14:paraId="08BC88EE" w14:textId="2CB9B7C7" w:rsidR="00FD5378" w:rsidRDefault="00FD5378" w:rsidP="00FD5378">
      <w:pPr>
        <w:spacing w:line="480" w:lineRule="auto"/>
      </w:pPr>
    </w:p>
    <w:p w14:paraId="3E325A29" w14:textId="77777777" w:rsidR="00FD5378" w:rsidRDefault="00FD5378" w:rsidP="00FD5378">
      <w:pPr>
        <w:spacing w:line="480" w:lineRule="auto"/>
      </w:pPr>
    </w:p>
    <w:p w14:paraId="2498EDD6" w14:textId="77777777" w:rsidR="00FD5378" w:rsidRDefault="00FD5378" w:rsidP="00FD5378">
      <w:pPr>
        <w:spacing w:line="480" w:lineRule="auto"/>
      </w:pPr>
    </w:p>
    <w:p w14:paraId="7E718BA7" w14:textId="77777777" w:rsidR="00FD5378" w:rsidRDefault="00FD5378" w:rsidP="00FD5378">
      <w:pPr>
        <w:spacing w:line="480" w:lineRule="auto"/>
      </w:pPr>
    </w:p>
    <w:p w14:paraId="155DFF25" w14:textId="77777777" w:rsidR="00FD5378" w:rsidRDefault="00FD5378" w:rsidP="00FD5378">
      <w:pPr>
        <w:spacing w:line="480" w:lineRule="auto"/>
      </w:pPr>
    </w:p>
    <w:p w14:paraId="3D73BC82" w14:textId="77777777" w:rsidR="007831A3" w:rsidRPr="00BB6465" w:rsidRDefault="007831A3" w:rsidP="00FD5378">
      <w:pPr>
        <w:spacing w:line="480" w:lineRule="auto"/>
      </w:pPr>
    </w:p>
    <w:p w14:paraId="35B02365" w14:textId="7178C015" w:rsidR="00360113" w:rsidRPr="005E09DB" w:rsidRDefault="00360113" w:rsidP="00FD5378">
      <w:pPr>
        <w:spacing w:line="480" w:lineRule="auto"/>
      </w:pPr>
      <w:r>
        <w:lastRenderedPageBreak/>
        <w:t>Sir,</w:t>
      </w:r>
    </w:p>
    <w:p w14:paraId="547C53E0" w14:textId="48E53810" w:rsidR="006D43E5" w:rsidRDefault="00977B98" w:rsidP="00FD5378">
      <w:pPr>
        <w:spacing w:line="480" w:lineRule="auto"/>
      </w:pPr>
      <w:r>
        <w:t>Scleroderma causes</w:t>
      </w:r>
      <w:r w:rsidR="006D43E5">
        <w:t xml:space="preserve"> chronic inflammation in the skin and soft tissues leading to fibrosis and eventually atrophy. </w:t>
      </w:r>
      <w:r w:rsidR="00E72D3C">
        <w:t>C</w:t>
      </w:r>
      <w:r w:rsidR="006D43E5">
        <w:t>omplications such as joint contractures, limb length discrepancy and facial atrophy</w:t>
      </w:r>
      <w:r w:rsidR="00E72D3C">
        <w:t xml:space="preserve"> can occur</w:t>
      </w:r>
      <w:r w:rsidR="006D43E5">
        <w:t xml:space="preserve"> and the disease can have marked psychological and functional impact[</w:t>
      </w:r>
      <w:r w:rsidR="002A2115">
        <w:t>1</w:t>
      </w:r>
      <w:r w:rsidR="006D43E5">
        <w:t>]. Optimal treatment for</w:t>
      </w:r>
      <w:r w:rsidR="007831A3">
        <w:t xml:space="preserve"> juvenile localised scleroderma</w:t>
      </w:r>
      <w:r w:rsidR="006D43E5">
        <w:t xml:space="preserve"> </w:t>
      </w:r>
      <w:r w:rsidR="007831A3">
        <w:t>(</w:t>
      </w:r>
      <w:r w:rsidR="006D43E5">
        <w:t>JLS</w:t>
      </w:r>
      <w:r w:rsidR="007831A3">
        <w:t>)</w:t>
      </w:r>
      <w:r w:rsidR="006D43E5">
        <w:t xml:space="preserve"> is </w:t>
      </w:r>
      <w:r w:rsidR="00B660B7">
        <w:t>un</w:t>
      </w:r>
      <w:r w:rsidR="006D43E5">
        <w:t xml:space="preserve">known and there have been few therapeutic trials. First line </w:t>
      </w:r>
      <w:r w:rsidR="00EF2BB6">
        <w:t xml:space="preserve">medical </w:t>
      </w:r>
      <w:r w:rsidR="006D43E5">
        <w:t xml:space="preserve">treatment for active JLS is often methotrexate with corticosteroids supported by </w:t>
      </w:r>
      <w:r w:rsidR="00673147">
        <w:t xml:space="preserve">data arising from </w:t>
      </w:r>
      <w:r w:rsidR="006D43E5">
        <w:t>a randomised placebo</w:t>
      </w:r>
      <w:r w:rsidR="00B660B7">
        <w:t>-</w:t>
      </w:r>
      <w:r w:rsidR="006D43E5">
        <w:t xml:space="preserve">controlled trial (RCT) and observational </w:t>
      </w:r>
      <w:r w:rsidR="00673147">
        <w:t xml:space="preserve">cohort </w:t>
      </w:r>
      <w:r w:rsidR="006D43E5">
        <w:t>studies[</w:t>
      </w:r>
      <w:r w:rsidR="002A2115">
        <w:t>2,3</w:t>
      </w:r>
      <w:r>
        <w:t xml:space="preserve">]. </w:t>
      </w:r>
      <w:r w:rsidR="006D43E5">
        <w:t xml:space="preserve">Mycophenolate mofetil </w:t>
      </w:r>
      <w:r w:rsidR="007831A3">
        <w:t xml:space="preserve">(MMF) </w:t>
      </w:r>
      <w:r w:rsidR="006D43E5">
        <w:t xml:space="preserve">is </w:t>
      </w:r>
      <w:r w:rsidR="00673147">
        <w:t xml:space="preserve">increasingly </w:t>
      </w:r>
      <w:r w:rsidR="006D43E5">
        <w:t xml:space="preserve">used, although evidence is restricted to a </w:t>
      </w:r>
      <w:r w:rsidR="00673147">
        <w:t xml:space="preserve">single </w:t>
      </w:r>
      <w:r w:rsidR="006D43E5">
        <w:t>case series[</w:t>
      </w:r>
      <w:r w:rsidR="002A2115">
        <w:t>4</w:t>
      </w:r>
      <w:r w:rsidR="006D43E5">
        <w:t>]. A wide range of disease-modifying anti-rheumatic drugs (DMARDs) and biologics are used off–label in refractory cases[</w:t>
      </w:r>
      <w:r w:rsidR="002A2115">
        <w:t>5</w:t>
      </w:r>
      <w:r w:rsidR="006D43E5">
        <w:t>].</w:t>
      </w:r>
      <w:r w:rsidR="00360113">
        <w:t xml:space="preserve"> </w:t>
      </w:r>
      <w:r w:rsidR="006D43E5">
        <w:t xml:space="preserve">The pathophysiology of localised scleroderma is poorly described. </w:t>
      </w:r>
      <w:r w:rsidR="00673147">
        <w:t>C</w:t>
      </w:r>
      <w:r w:rsidR="006D43E5">
        <w:t xml:space="preserve">ytokines including </w:t>
      </w:r>
      <w:r w:rsidR="00673147">
        <w:t>interleukin</w:t>
      </w:r>
      <w:r w:rsidR="006D43E5">
        <w:t>-6 have been suggested to play an important role[</w:t>
      </w:r>
      <w:r w:rsidR="002A2115">
        <w:t>6</w:t>
      </w:r>
      <w:r w:rsidR="006D43E5">
        <w:t xml:space="preserve">]. </w:t>
      </w:r>
      <w:r w:rsidR="007831A3">
        <w:t>An RCT</w:t>
      </w:r>
      <w:r w:rsidR="006D43E5">
        <w:t xml:space="preserve"> of subcutaneous tocilizumab in </w:t>
      </w:r>
      <w:r w:rsidR="00673147">
        <w:t xml:space="preserve">adult </w:t>
      </w:r>
      <w:r w:rsidR="006D43E5">
        <w:t xml:space="preserve">systemic sclerosis </w:t>
      </w:r>
      <w:r w:rsidR="00673147">
        <w:t>demonstrated</w:t>
      </w:r>
      <w:r w:rsidR="006D43E5">
        <w:t xml:space="preserve"> a trend towards skin thickness reduction compared to placebo[</w:t>
      </w:r>
      <w:r w:rsidR="002A2115">
        <w:t>7</w:t>
      </w:r>
      <w:r w:rsidR="006D43E5">
        <w:t>].</w:t>
      </w:r>
      <w:r w:rsidR="00360113">
        <w:t xml:space="preserve"> </w:t>
      </w:r>
      <w:r w:rsidR="006D43E5">
        <w:t>We therefore hypothesised that tocilizumab may have a role in patients with refractory JLS.</w:t>
      </w:r>
    </w:p>
    <w:p w14:paraId="18C9599F" w14:textId="381B38D0" w:rsidR="006D43E5" w:rsidRDefault="00977B98" w:rsidP="00FD5378">
      <w:pPr>
        <w:spacing w:line="480" w:lineRule="auto"/>
      </w:pPr>
      <w:r>
        <w:t>Patients were treated with tocilizumab following persistent active disease despite escalation to maximum tolerated doses of methotrexate and one other DMARD/biologic</w:t>
      </w:r>
      <w:r w:rsidR="004C0BD1">
        <w:t xml:space="preserve"> and</w:t>
      </w:r>
      <w:r>
        <w:t xml:space="preserve"> clinician decision to treat with tocilizumab in conjunction with informed consent/assent from the patient and family. Outcome measures were collected</w:t>
      </w:r>
      <w:r w:rsidR="00673147">
        <w:t xml:space="preserve"> prospectively</w:t>
      </w:r>
      <w:r>
        <w:t xml:space="preserve"> as part of routine clinical care at baseline and approximately 3 monthly intervals to assess disease activity, damage, quality of life and functional status and reviewed as part of a service evaluation. Ethical approval was therefore not required, in accordance with the UK National Health Service Health Research Authority guidelines.</w:t>
      </w:r>
      <w:r w:rsidR="00360113">
        <w:t xml:space="preserve"> </w:t>
      </w:r>
      <w:r w:rsidR="006D43E5">
        <w:t xml:space="preserve">The dosing regime was 8mg/kg </w:t>
      </w:r>
      <w:r w:rsidR="00673147">
        <w:t>(</w:t>
      </w:r>
      <w:r w:rsidR="006D43E5">
        <w:t xml:space="preserve">children weighing </w:t>
      </w:r>
      <w:r w:rsidR="007831A3">
        <w:rPr>
          <w:rFonts w:cstheme="minorHAnsi"/>
        </w:rPr>
        <w:t>≥</w:t>
      </w:r>
      <w:r w:rsidR="006D43E5">
        <w:t>30kg</w:t>
      </w:r>
      <w:r w:rsidR="00673147">
        <w:t>)</w:t>
      </w:r>
      <w:r w:rsidR="006D43E5">
        <w:t xml:space="preserve"> and 12mg/kg </w:t>
      </w:r>
      <w:r w:rsidR="00673147">
        <w:t>(</w:t>
      </w:r>
      <w:r w:rsidR="006D43E5">
        <w:t xml:space="preserve">those </w:t>
      </w:r>
      <w:r w:rsidR="007831A3">
        <w:t>&lt;</w:t>
      </w:r>
      <w:r w:rsidR="006D43E5">
        <w:t>30kg</w:t>
      </w:r>
      <w:r w:rsidR="00673147">
        <w:t>)</w:t>
      </w:r>
      <w:r w:rsidR="006D43E5">
        <w:t xml:space="preserve"> given at 0, 2 and 4 weeks and then at 4 weekly intervals. Regular blood monitoring was performed as per local guidelines. Adverse events were enquired about at three monthly review</w:t>
      </w:r>
      <w:r w:rsidR="00D669C0">
        <w:t>.</w:t>
      </w:r>
      <w:r w:rsidR="006D43E5">
        <w:t xml:space="preserve"> </w:t>
      </w:r>
      <w:r w:rsidR="00360113">
        <w:t xml:space="preserve"> </w:t>
      </w:r>
      <w:r w:rsidR="006D43E5">
        <w:t>Data was analysed descriptively and where appropriate, statistical analysis done using Wilcoxon signed</w:t>
      </w:r>
      <w:r w:rsidR="00B660B7">
        <w:t>-</w:t>
      </w:r>
      <w:r w:rsidR="006D43E5">
        <w:t>rank test.</w:t>
      </w:r>
    </w:p>
    <w:p w14:paraId="63D844CF" w14:textId="70EC9163" w:rsidR="006D43E5" w:rsidRDefault="006D43E5" w:rsidP="00FD5378">
      <w:pPr>
        <w:spacing w:line="480" w:lineRule="auto"/>
        <w:rPr>
          <w:u w:val="single"/>
        </w:rPr>
      </w:pPr>
      <w:r>
        <w:lastRenderedPageBreak/>
        <w:t xml:space="preserve">Five patients </w:t>
      </w:r>
      <w:r w:rsidR="00977B98">
        <w:t>with</w:t>
      </w:r>
      <w:r>
        <w:t xml:space="preserve"> long-standing disease that </w:t>
      </w:r>
      <w:r w:rsidR="00977B98">
        <w:t>remained active despite</w:t>
      </w:r>
      <w:r>
        <w:t xml:space="preserve"> multiple doses of IV </w:t>
      </w:r>
      <w:r w:rsidR="00673147">
        <w:t>cortico</w:t>
      </w:r>
      <w:r>
        <w:t>steroid</w:t>
      </w:r>
      <w:r w:rsidR="00673147">
        <w:t>s</w:t>
      </w:r>
      <w:r>
        <w:t xml:space="preserve"> alongside other treatments </w:t>
      </w:r>
      <w:r w:rsidR="00977B98">
        <w:t>received tocilizumab. Details of patients and outcomes are summarised in Table 1.</w:t>
      </w:r>
    </w:p>
    <w:p w14:paraId="7AD49C53" w14:textId="1581A1AF" w:rsidR="006D43E5" w:rsidRPr="001D44F2" w:rsidRDefault="006D43E5" w:rsidP="00FD5378">
      <w:pPr>
        <w:pStyle w:val="Caption"/>
        <w:spacing w:line="480" w:lineRule="auto"/>
        <w:rPr>
          <w:u w:val="single"/>
        </w:rPr>
      </w:pPr>
      <w:r>
        <w:t xml:space="preserve">Table </w:t>
      </w:r>
      <w:fldSimple w:instr=" SEQ Table \* ARABIC ">
        <w:r>
          <w:rPr>
            <w:noProof/>
          </w:rPr>
          <w:t>1</w:t>
        </w:r>
      </w:fldSimple>
      <w:r>
        <w:t xml:space="preserve">: Details </w:t>
      </w:r>
      <w:r w:rsidR="00977B98">
        <w:t xml:space="preserve">and outcomes </w:t>
      </w:r>
      <w:r>
        <w:t>of patients treated with tocilizumab</w:t>
      </w:r>
    </w:p>
    <w:p w14:paraId="698E461C" w14:textId="2245C329" w:rsidR="006D43E5" w:rsidRDefault="00673147" w:rsidP="00FD5378">
      <w:pPr>
        <w:spacing w:line="480" w:lineRule="auto"/>
      </w:pPr>
      <w:r>
        <w:t>To date</w:t>
      </w:r>
      <w:r w:rsidR="00D669C0">
        <w:t>,</w:t>
      </w:r>
      <w:r w:rsidR="006D43E5">
        <w:t xml:space="preserve"> all patients remain on IV tocilizumab and have been </w:t>
      </w:r>
      <w:r w:rsidR="00E72D3C">
        <w:t>treated for</w:t>
      </w:r>
      <w:r w:rsidR="006D43E5">
        <w:t xml:space="preserve"> between 12</w:t>
      </w:r>
      <w:r>
        <w:t>-</w:t>
      </w:r>
      <w:r w:rsidR="006D43E5">
        <w:t xml:space="preserve">25 months. All patients tolerated </w:t>
      </w:r>
      <w:r w:rsidR="00B660B7">
        <w:t>tocilizumab</w:t>
      </w:r>
      <w:r w:rsidR="006D43E5">
        <w:t xml:space="preserve"> with no serious adverse </w:t>
      </w:r>
      <w:r w:rsidR="00D669C0">
        <w:t>reactions</w:t>
      </w:r>
      <w:r w:rsidR="006D43E5">
        <w:t xml:space="preserve">. Patients showed some improvement in disease activity scores with statistically significant improvement in </w:t>
      </w:r>
      <w:r>
        <w:t>physician’s global assessment of activity (</w:t>
      </w:r>
      <w:r w:rsidR="006D43E5">
        <w:t>PGA-A</w:t>
      </w:r>
      <w:r>
        <w:t>)</w:t>
      </w:r>
      <w:r w:rsidR="006D43E5">
        <w:t xml:space="preserve"> at 6 months. Improvements in disease damage, function and quality of life were </w:t>
      </w:r>
      <w:r w:rsidR="00977B98">
        <w:t>not seen</w:t>
      </w:r>
      <w:r w:rsidR="006D43E5">
        <w:t xml:space="preserve">. Patient 3 </w:t>
      </w:r>
      <w:r w:rsidR="00977B98">
        <w:t>was re-started on m</w:t>
      </w:r>
      <w:r w:rsidR="00E729EB">
        <w:t>ethotrexate</w:t>
      </w:r>
      <w:r w:rsidR="00977B98">
        <w:t xml:space="preserve"> and MMF but a</w:t>
      </w:r>
      <w:r w:rsidR="006D43E5">
        <w:t>ll other patients were treated with tocilizumab as monotherapy.</w:t>
      </w:r>
      <w:r w:rsidR="00360113">
        <w:t xml:space="preserve"> </w:t>
      </w:r>
      <w:r w:rsidR="006D43E5">
        <w:t>Patients and families were extremely positive about treatment with tocilizumab</w:t>
      </w:r>
      <w:r>
        <w:t>. P</w:t>
      </w:r>
      <w:r w:rsidR="00360113">
        <w:t xml:space="preserve">atient 1 </w:t>
      </w:r>
      <w:r>
        <w:t xml:space="preserve">described </w:t>
      </w:r>
      <w:r w:rsidR="006D43E5">
        <w:t>it as the ‘</w:t>
      </w:r>
      <w:r w:rsidR="006D43E5" w:rsidRPr="00136B57">
        <w:rPr>
          <w:i/>
        </w:rPr>
        <w:t xml:space="preserve">best treatment </w:t>
      </w:r>
      <w:r w:rsidR="00D669C0">
        <w:rPr>
          <w:i/>
        </w:rPr>
        <w:t>they had</w:t>
      </w:r>
      <w:r w:rsidR="00360113">
        <w:rPr>
          <w:i/>
        </w:rPr>
        <w:t xml:space="preserve"> had’</w:t>
      </w:r>
      <w:r>
        <w:t>;</w:t>
      </w:r>
      <w:r w:rsidR="00360113">
        <w:t xml:space="preserve"> patient 4 describ</w:t>
      </w:r>
      <w:r>
        <w:t>ed</w:t>
      </w:r>
      <w:r w:rsidR="00360113">
        <w:t xml:space="preserve"> ‘</w:t>
      </w:r>
      <w:r w:rsidR="00360113" w:rsidRPr="005E09DB">
        <w:rPr>
          <w:i/>
        </w:rPr>
        <w:t>softer skin</w:t>
      </w:r>
      <w:r w:rsidR="00360113">
        <w:t>’ which is ‘</w:t>
      </w:r>
      <w:r w:rsidR="00360113" w:rsidRPr="005E09DB">
        <w:rPr>
          <w:i/>
        </w:rPr>
        <w:t>not ach</w:t>
      </w:r>
      <w:r w:rsidR="00E729EB">
        <w:rPr>
          <w:i/>
        </w:rPr>
        <w:t>ing</w:t>
      </w:r>
      <w:r w:rsidR="00360113" w:rsidRPr="005E09DB">
        <w:rPr>
          <w:i/>
        </w:rPr>
        <w:t xml:space="preserve"> anymore</w:t>
      </w:r>
      <w:r w:rsidR="00360113">
        <w:t>’</w:t>
      </w:r>
      <w:r>
        <w:t>;</w:t>
      </w:r>
      <w:r w:rsidR="00360113">
        <w:t xml:space="preserve"> patient 5 describ</w:t>
      </w:r>
      <w:r>
        <w:t>ed</w:t>
      </w:r>
      <w:r w:rsidR="00360113">
        <w:t xml:space="preserve"> their scleroderma as ‘</w:t>
      </w:r>
      <w:r w:rsidR="00360113" w:rsidRPr="005E09DB">
        <w:rPr>
          <w:i/>
        </w:rPr>
        <w:t>the best it has ever been</w:t>
      </w:r>
      <w:r w:rsidR="00360113">
        <w:t>’</w:t>
      </w:r>
      <w:r w:rsidR="006D43E5">
        <w:t xml:space="preserve">. </w:t>
      </w:r>
    </w:p>
    <w:p w14:paraId="26EF004C" w14:textId="6E320E8F" w:rsidR="006D43E5" w:rsidRDefault="006D43E5" w:rsidP="00FD5378">
      <w:pPr>
        <w:spacing w:line="480" w:lineRule="auto"/>
      </w:pPr>
      <w:r>
        <w:t>This case series is encouraging</w:t>
      </w:r>
      <w:r w:rsidR="00673147">
        <w:t xml:space="preserve">, indicating </w:t>
      </w:r>
      <w:r>
        <w:t xml:space="preserve">a potential new therapeutic option for children with the most severe and refractory JLS where </w:t>
      </w:r>
      <w:r w:rsidR="00673147">
        <w:t>standard</w:t>
      </w:r>
      <w:r>
        <w:t xml:space="preserve"> treatments have failed and recurrent </w:t>
      </w:r>
      <w:r w:rsidR="00673147">
        <w:t>cortico</w:t>
      </w:r>
      <w:r>
        <w:t xml:space="preserve">steroid courses are necessary. </w:t>
      </w:r>
      <w:bookmarkStart w:id="1" w:name="_Hlk482109802"/>
      <w:r>
        <w:t>Importantly, three patients did not require any</w:t>
      </w:r>
      <w:r w:rsidR="00673147">
        <w:t xml:space="preserve"> concomitant</w:t>
      </w:r>
      <w:r>
        <w:t xml:space="preserve"> corticosteroid treatment with </w:t>
      </w:r>
      <w:r w:rsidR="00F6188F">
        <w:t xml:space="preserve">commencement of </w:t>
      </w:r>
      <w:r>
        <w:t>tocilizumab</w:t>
      </w:r>
      <w:r w:rsidR="00F6188F">
        <w:t xml:space="preserve"> because of rapid disease control</w:t>
      </w:r>
      <w:r w:rsidR="00673147">
        <w:t>. T</w:t>
      </w:r>
      <w:r>
        <w:t xml:space="preserve">wo patients did not require any </w:t>
      </w:r>
      <w:r w:rsidR="00673147">
        <w:t>cortico</w:t>
      </w:r>
      <w:r>
        <w:t>steroids for disease flare over 25 months and 17 months treatment respectively.</w:t>
      </w:r>
      <w:r w:rsidR="00E72D3C">
        <w:t xml:space="preserve"> </w:t>
      </w:r>
      <w:bookmarkEnd w:id="1"/>
      <w:r>
        <w:t xml:space="preserve">Three patients required methylprednisolone for disease flare after 12 months of treatment with tocilizumab. </w:t>
      </w:r>
      <w:r w:rsidR="00673147">
        <w:t>Some</w:t>
      </w:r>
      <w:r>
        <w:t xml:space="preserve"> patients may benefit from dual therapy with a DMARD</w:t>
      </w:r>
      <w:r w:rsidR="00D669C0">
        <w:t>/biologic</w:t>
      </w:r>
      <w:r>
        <w:t xml:space="preserve">. </w:t>
      </w:r>
      <w:r w:rsidR="00673147">
        <w:t>A</w:t>
      </w:r>
      <w:r>
        <w:t xml:space="preserve">ll patients have remained on tocilizumab and </w:t>
      </w:r>
      <w:r w:rsidR="00D669C0">
        <w:t xml:space="preserve">four patients </w:t>
      </w:r>
      <w:r>
        <w:t>had</w:t>
      </w:r>
      <w:r w:rsidR="00D669C0">
        <w:t xml:space="preserve"> </w:t>
      </w:r>
      <w:r>
        <w:t xml:space="preserve">intolerance of </w:t>
      </w:r>
      <w:r w:rsidR="007831A3">
        <w:t>previous treatments.</w:t>
      </w:r>
    </w:p>
    <w:p w14:paraId="39EB2E17" w14:textId="607278EF" w:rsidR="006D43E5" w:rsidRDefault="006D43E5" w:rsidP="00FD5378">
      <w:pPr>
        <w:spacing w:line="480" w:lineRule="auto"/>
      </w:pPr>
      <w:r>
        <w:t xml:space="preserve">Whilst improvement in PGA-A was statistically significant at 6 months, changes in </w:t>
      </w:r>
      <w:r w:rsidR="005E09DB">
        <w:t>modified localised scleroderma skin activity index (</w:t>
      </w:r>
      <w:r>
        <w:t>mLoSS</w:t>
      </w:r>
      <w:r w:rsidR="005E09DB">
        <w:t>I)</w:t>
      </w:r>
      <w:r w:rsidR="004C0BD1">
        <w:t xml:space="preserve"> </w:t>
      </w:r>
      <w:r>
        <w:t xml:space="preserve">were not </w:t>
      </w:r>
      <w:r w:rsidR="00673147">
        <w:t xml:space="preserve">statistically </w:t>
      </w:r>
      <w:r>
        <w:t xml:space="preserve">significant. </w:t>
      </w:r>
      <w:r w:rsidR="00673147">
        <w:t>M</w:t>
      </w:r>
      <w:r>
        <w:t>any of our patients had low mLoSS</w:t>
      </w:r>
      <w:r w:rsidR="005E09DB">
        <w:t>I</w:t>
      </w:r>
      <w:r>
        <w:t xml:space="preserve"> scores at baseline. The mLoSS</w:t>
      </w:r>
      <w:r w:rsidR="005E09DB">
        <w:t>I</w:t>
      </w:r>
      <w:r>
        <w:t xml:space="preserve"> measures activity in skin by 3 domains[</w:t>
      </w:r>
      <w:r w:rsidR="002A2115">
        <w:t>8</w:t>
      </w:r>
      <w:r>
        <w:t xml:space="preserve">]. Several of our patients had deep longstanding lesions, including facial hemiatrophy where skin changes are often </w:t>
      </w:r>
      <w:r>
        <w:lastRenderedPageBreak/>
        <w:t>minimal. The mLoSS</w:t>
      </w:r>
      <w:r w:rsidR="005E09DB">
        <w:t>I</w:t>
      </w:r>
      <w:r>
        <w:t xml:space="preserve"> does not capture deeper tissue disease activity and PGA-A may be more appropriate in these patients.  </w:t>
      </w:r>
    </w:p>
    <w:p w14:paraId="0E53F0F7" w14:textId="7C496208" w:rsidR="006D43E5" w:rsidRDefault="006D43E5" w:rsidP="00FD5378">
      <w:pPr>
        <w:spacing w:line="480" w:lineRule="auto"/>
      </w:pPr>
      <w:r>
        <w:t>Damage scores were unaffected by treatment with tocilizumab; this might be expected as changes from previous disease activity may have less potential to be reversible</w:t>
      </w:r>
      <w:r w:rsidR="00360113">
        <w:t>. I</w:t>
      </w:r>
      <w:r>
        <w:t xml:space="preserve">t may be prudent to focus </w:t>
      </w:r>
      <w:r w:rsidR="007831A3">
        <w:t xml:space="preserve">future </w:t>
      </w:r>
      <w:r>
        <w:t xml:space="preserve">studies of tocilizumab in children at an earlier stage in their disease course. </w:t>
      </w:r>
    </w:p>
    <w:p w14:paraId="702E47F0" w14:textId="11739BAD" w:rsidR="006D43E5" w:rsidRDefault="006D43E5" w:rsidP="00FD5378">
      <w:pPr>
        <w:spacing w:line="480" w:lineRule="auto"/>
      </w:pPr>
      <w:r>
        <w:t xml:space="preserve">Limitations include the small number of patients treated and the non-controlled nature of this case-series. Data was collected in a real-world setting and not in context of a clinical trial therefore the outcome measures were collected within </w:t>
      </w:r>
      <w:r w:rsidR="00360113">
        <w:t xml:space="preserve">two </w:t>
      </w:r>
      <w:r>
        <w:t>month</w:t>
      </w:r>
      <w:r w:rsidR="00360113">
        <w:t>s</w:t>
      </w:r>
      <w:r>
        <w:t xml:space="preserve"> of the specified time point. However, </w:t>
      </w:r>
      <w:r w:rsidR="00673147">
        <w:t xml:space="preserve">these </w:t>
      </w:r>
      <w:r>
        <w:t xml:space="preserve">preliminary data </w:t>
      </w:r>
      <w:r w:rsidR="00673147">
        <w:t xml:space="preserve">indicate </w:t>
      </w:r>
      <w:r>
        <w:t>that future</w:t>
      </w:r>
      <w:r w:rsidR="00673147">
        <w:t xml:space="preserve"> clinical</w:t>
      </w:r>
      <w:r>
        <w:t xml:space="preserve"> studies of the efficacy and safety of tocilizumab should be considered, particularly given the paucity of therapeutic trials in this potentially disfiguring disease.</w:t>
      </w:r>
    </w:p>
    <w:p w14:paraId="10867108" w14:textId="773377E8" w:rsidR="00B660B7" w:rsidRDefault="006D43E5" w:rsidP="00FD5378">
      <w:pPr>
        <w:spacing w:line="480" w:lineRule="auto"/>
      </w:pPr>
      <w:r>
        <w:t>In summary, these results suggest that IV tocilizumab is safe, well tolerated and may have therapeutic benefit in patients with severe, refractory JLS.</w:t>
      </w:r>
    </w:p>
    <w:p w14:paraId="5128C6C9" w14:textId="77777777" w:rsidR="00B660B7" w:rsidRDefault="00B660B7" w:rsidP="00FD5378">
      <w:pPr>
        <w:spacing w:line="480" w:lineRule="auto"/>
        <w:rPr>
          <w:u w:val="single"/>
        </w:rPr>
      </w:pPr>
      <w:r>
        <w:rPr>
          <w:u w:val="single"/>
        </w:rPr>
        <w:t xml:space="preserve">Key messages </w:t>
      </w:r>
    </w:p>
    <w:p w14:paraId="2FC6CCCD" w14:textId="41FEB5FC" w:rsidR="00B660B7" w:rsidRDefault="00B660B7" w:rsidP="00FD5378">
      <w:pPr>
        <w:pStyle w:val="ListParagraph"/>
        <w:numPr>
          <w:ilvl w:val="0"/>
          <w:numId w:val="1"/>
        </w:numPr>
        <w:spacing w:line="480" w:lineRule="auto"/>
      </w:pPr>
      <w:r>
        <w:t>Tocilizumab may have a role in the management of refractory juvenile localised scleroderma (JLS).</w:t>
      </w:r>
    </w:p>
    <w:p w14:paraId="393A8B9B" w14:textId="77777777" w:rsidR="006D43E5" w:rsidRDefault="006D43E5" w:rsidP="00FD5378">
      <w:pPr>
        <w:spacing w:line="480" w:lineRule="auto"/>
        <w:rPr>
          <w:u w:val="single"/>
        </w:rPr>
      </w:pPr>
      <w:r>
        <w:rPr>
          <w:u w:val="single"/>
        </w:rPr>
        <w:t>Acknowledgements</w:t>
      </w:r>
    </w:p>
    <w:p w14:paraId="2CB0C204" w14:textId="5BB15744" w:rsidR="006D43E5" w:rsidRPr="00FD5378" w:rsidRDefault="006D43E5" w:rsidP="00FD5378">
      <w:pPr>
        <w:spacing w:line="480" w:lineRule="auto"/>
      </w:pPr>
      <w:r>
        <w:t xml:space="preserve">We would like to acknowledge the input of the multidisciplinary team in the management of these patients. </w:t>
      </w:r>
    </w:p>
    <w:p w14:paraId="140FDB9D" w14:textId="77777777" w:rsidR="006D43E5" w:rsidRDefault="006D43E5" w:rsidP="00FD5378">
      <w:pPr>
        <w:spacing w:line="480" w:lineRule="auto"/>
        <w:rPr>
          <w:u w:val="single"/>
        </w:rPr>
      </w:pPr>
      <w:r>
        <w:rPr>
          <w:u w:val="single"/>
        </w:rPr>
        <w:t>Conflict of Interest Statement</w:t>
      </w:r>
    </w:p>
    <w:p w14:paraId="31919D91" w14:textId="3CA4CB31" w:rsidR="006D43E5" w:rsidRPr="00C42041" w:rsidRDefault="006D43E5" w:rsidP="00FD5378">
      <w:pPr>
        <w:spacing w:line="480" w:lineRule="auto"/>
      </w:pPr>
      <w:r>
        <w:t>There are no conflicts of interest.</w:t>
      </w:r>
    </w:p>
    <w:p w14:paraId="3A568636" w14:textId="77777777" w:rsidR="006D43E5" w:rsidRDefault="006D43E5" w:rsidP="00FD5378">
      <w:pPr>
        <w:spacing w:line="480" w:lineRule="auto"/>
        <w:rPr>
          <w:u w:val="single"/>
        </w:rPr>
      </w:pPr>
      <w:r>
        <w:rPr>
          <w:u w:val="single"/>
        </w:rPr>
        <w:t xml:space="preserve">Funding statement </w:t>
      </w:r>
    </w:p>
    <w:p w14:paraId="5F855FB4" w14:textId="43E7137F" w:rsidR="006D43E5" w:rsidRPr="00C42041" w:rsidRDefault="006D43E5" w:rsidP="00FD5378">
      <w:pPr>
        <w:spacing w:after="0" w:line="480" w:lineRule="auto"/>
        <w:rPr>
          <w:rFonts w:cstheme="minorHAnsi"/>
        </w:rPr>
      </w:pPr>
      <w:r w:rsidRPr="007C39CD">
        <w:rPr>
          <w:rFonts w:cstheme="minorHAnsi"/>
        </w:rPr>
        <w:t>None</w:t>
      </w:r>
    </w:p>
    <w:p w14:paraId="1AB5704F" w14:textId="77777777" w:rsidR="006D43E5" w:rsidRPr="007C39CD" w:rsidRDefault="006D43E5" w:rsidP="00FD5378">
      <w:pPr>
        <w:spacing w:after="0" w:line="480" w:lineRule="auto"/>
        <w:rPr>
          <w:rFonts w:cstheme="minorHAnsi"/>
          <w:u w:val="single"/>
        </w:rPr>
      </w:pPr>
      <w:r w:rsidRPr="007C39CD">
        <w:rPr>
          <w:rFonts w:cstheme="minorHAnsi"/>
          <w:u w:val="single"/>
        </w:rPr>
        <w:t xml:space="preserve">References </w:t>
      </w:r>
    </w:p>
    <w:p w14:paraId="3AE5C4AE" w14:textId="4FD0AFCC" w:rsidR="002A2115" w:rsidRDefault="006D43E5" w:rsidP="00FD5378">
      <w:pPr>
        <w:pStyle w:val="Bibliography"/>
        <w:spacing w:line="480" w:lineRule="auto"/>
        <w:rPr>
          <w:rFonts w:ascii="Calibri" w:hAnsi="Calibri" w:cs="Calibri"/>
          <w:iCs/>
        </w:rPr>
      </w:pPr>
      <w:r w:rsidRPr="00B1090E">
        <w:rPr>
          <w:rFonts w:cstheme="minorHAnsi"/>
        </w:rPr>
        <w:fldChar w:fldCharType="begin"/>
      </w:r>
      <w:r w:rsidRPr="00B1090E">
        <w:rPr>
          <w:rFonts w:cstheme="minorHAnsi"/>
        </w:rPr>
        <w:instrText xml:space="preserve"> ADDIN ZOTERO_BIBL {"custom":[]} CSL_BIBLIOGRAPHY </w:instrText>
      </w:r>
      <w:r w:rsidRPr="00B1090E">
        <w:rPr>
          <w:rFonts w:cstheme="minorHAnsi"/>
        </w:rPr>
        <w:fldChar w:fldCharType="separate"/>
      </w:r>
      <w:r w:rsidR="002A2115">
        <w:rPr>
          <w:rFonts w:ascii="Calibri" w:hAnsi="Calibri" w:cs="Calibri"/>
        </w:rPr>
        <w:t xml:space="preserve">1. </w:t>
      </w:r>
      <w:r w:rsidRPr="00B1090E">
        <w:rPr>
          <w:rFonts w:ascii="Calibri" w:hAnsi="Calibri" w:cs="Calibri"/>
        </w:rPr>
        <w:t xml:space="preserve">Zulian F. Systemic sclerosis and localized scleroderma in childhood. </w:t>
      </w:r>
      <w:r>
        <w:rPr>
          <w:rFonts w:ascii="Calibri" w:hAnsi="Calibri" w:cs="Calibri"/>
          <w:iCs/>
        </w:rPr>
        <w:t>Rheum</w:t>
      </w:r>
      <w:r w:rsidRPr="00B1090E">
        <w:rPr>
          <w:rFonts w:ascii="Calibri" w:hAnsi="Calibri" w:cs="Calibri"/>
          <w:iCs/>
        </w:rPr>
        <w:t xml:space="preserve"> Dis</w:t>
      </w:r>
      <w:r>
        <w:rPr>
          <w:rFonts w:ascii="Calibri" w:hAnsi="Calibri" w:cs="Calibri"/>
          <w:iCs/>
        </w:rPr>
        <w:t xml:space="preserve"> Clin </w:t>
      </w:r>
      <w:r w:rsidRPr="00B1090E">
        <w:rPr>
          <w:rFonts w:ascii="Calibri" w:hAnsi="Calibri" w:cs="Calibri"/>
          <w:iCs/>
        </w:rPr>
        <w:t>North Am</w:t>
      </w:r>
      <w:r>
        <w:rPr>
          <w:rFonts w:ascii="Calibri" w:hAnsi="Calibri" w:cs="Calibri"/>
          <w:iCs/>
        </w:rPr>
        <w:t xml:space="preserve"> 2008;34:239-55</w:t>
      </w:r>
    </w:p>
    <w:p w14:paraId="53963647" w14:textId="509FF5C3" w:rsidR="006D43E5" w:rsidRPr="00B1090E" w:rsidRDefault="002A2115" w:rsidP="00FD5378">
      <w:pPr>
        <w:pStyle w:val="Bibliography"/>
        <w:spacing w:line="480" w:lineRule="auto"/>
        <w:rPr>
          <w:rFonts w:ascii="Calibri" w:hAnsi="Calibri" w:cs="Calibri"/>
        </w:rPr>
      </w:pPr>
      <w:r>
        <w:rPr>
          <w:rFonts w:ascii="Calibri" w:hAnsi="Calibri" w:cs="Calibri"/>
          <w:iCs/>
        </w:rPr>
        <w:t xml:space="preserve">2. </w:t>
      </w:r>
      <w:r w:rsidR="006D43E5" w:rsidRPr="00B1090E">
        <w:rPr>
          <w:rFonts w:ascii="Calibri" w:hAnsi="Calibri" w:cs="Calibri"/>
        </w:rPr>
        <w:t>Zulian F</w:t>
      </w:r>
      <w:r w:rsidR="006D43E5">
        <w:rPr>
          <w:rFonts w:ascii="Calibri" w:hAnsi="Calibri" w:cs="Calibri"/>
        </w:rPr>
        <w:t>, Martini G, Vallongo C</w:t>
      </w:r>
      <w:r w:rsidR="006D43E5" w:rsidRPr="00B1090E">
        <w:rPr>
          <w:rFonts w:ascii="Calibri" w:hAnsi="Calibri" w:cs="Calibri"/>
        </w:rPr>
        <w:t xml:space="preserve"> </w:t>
      </w:r>
      <w:r w:rsidR="006D43E5" w:rsidRPr="00B1090E">
        <w:rPr>
          <w:rFonts w:ascii="Calibri" w:hAnsi="Calibri" w:cs="Calibri"/>
          <w:iCs/>
        </w:rPr>
        <w:t>et al.</w:t>
      </w:r>
      <w:r w:rsidR="006D43E5" w:rsidRPr="00B1090E">
        <w:rPr>
          <w:rFonts w:ascii="Calibri" w:hAnsi="Calibri" w:cs="Calibri"/>
        </w:rPr>
        <w:t xml:space="preserve"> Methotrexate treatment in juvenile localized scleroderma: a randomized, double-blind, placebo-controlled trial. </w:t>
      </w:r>
      <w:r w:rsidR="006D43E5" w:rsidRPr="00B1090E">
        <w:rPr>
          <w:rFonts w:ascii="Calibri" w:hAnsi="Calibri" w:cs="Calibri"/>
          <w:iCs/>
        </w:rPr>
        <w:t>Arthritis Rheum</w:t>
      </w:r>
      <w:r w:rsidR="006D43E5">
        <w:rPr>
          <w:rFonts w:ascii="Calibri" w:hAnsi="Calibri" w:cs="Calibri"/>
          <w:iCs/>
        </w:rPr>
        <w:t xml:space="preserve"> 2011;63:1998-</w:t>
      </w:r>
      <w:r w:rsidR="006D43E5" w:rsidRPr="00B1090E">
        <w:rPr>
          <w:rFonts w:ascii="Calibri" w:hAnsi="Calibri" w:cs="Calibri"/>
        </w:rPr>
        <w:t>2006</w:t>
      </w:r>
    </w:p>
    <w:p w14:paraId="44AD1111" w14:textId="75427019" w:rsidR="006D43E5" w:rsidRPr="00B1090E" w:rsidRDefault="002A2115" w:rsidP="00FD5378">
      <w:pPr>
        <w:pStyle w:val="Bibliography"/>
        <w:spacing w:line="48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</w:t>
      </w:r>
      <w:r w:rsidR="006D43E5">
        <w:rPr>
          <w:rFonts w:ascii="Calibri" w:hAnsi="Calibri" w:cs="Calibri"/>
        </w:rPr>
        <w:t>Torok K</w:t>
      </w:r>
      <w:r w:rsidR="006D43E5" w:rsidRPr="00B1090E">
        <w:rPr>
          <w:rFonts w:ascii="Calibri" w:hAnsi="Calibri" w:cs="Calibri"/>
        </w:rPr>
        <w:t>S</w:t>
      </w:r>
      <w:r w:rsidR="006D43E5">
        <w:rPr>
          <w:rFonts w:ascii="Calibri" w:hAnsi="Calibri" w:cs="Calibri"/>
        </w:rPr>
        <w:t xml:space="preserve"> and Arkachaisri</w:t>
      </w:r>
      <w:r w:rsidR="006D43E5" w:rsidRPr="00B1090E">
        <w:rPr>
          <w:rFonts w:ascii="Calibri" w:hAnsi="Calibri" w:cs="Calibri"/>
        </w:rPr>
        <w:t xml:space="preserve"> T. Methotrexate and corticosteroids in the treatment of localized scleroderma: a standardized prospective longitudinal single-center study. </w:t>
      </w:r>
      <w:r w:rsidR="006D43E5">
        <w:rPr>
          <w:rFonts w:ascii="Calibri" w:hAnsi="Calibri" w:cs="Calibri"/>
          <w:iCs/>
        </w:rPr>
        <w:t>J</w:t>
      </w:r>
      <w:r w:rsidR="006D43E5" w:rsidRPr="00B1090E">
        <w:rPr>
          <w:rFonts w:ascii="Calibri" w:hAnsi="Calibri" w:cs="Calibri"/>
          <w:iCs/>
        </w:rPr>
        <w:t xml:space="preserve"> Rheumatol</w:t>
      </w:r>
      <w:r w:rsidR="006D43E5">
        <w:rPr>
          <w:rFonts w:ascii="Calibri" w:hAnsi="Calibri" w:cs="Calibri"/>
          <w:iCs/>
        </w:rPr>
        <w:t xml:space="preserve"> 2012;39:286-94</w:t>
      </w:r>
    </w:p>
    <w:p w14:paraId="266F6CEE" w14:textId="246E6C65" w:rsidR="006D43E5" w:rsidRPr="00B1090E" w:rsidRDefault="002A2115" w:rsidP="00FD5378">
      <w:pPr>
        <w:pStyle w:val="Bibliography"/>
        <w:spacing w:line="48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</w:t>
      </w:r>
      <w:r w:rsidR="006D43E5" w:rsidRPr="00B1090E">
        <w:rPr>
          <w:rFonts w:ascii="Calibri" w:hAnsi="Calibri" w:cs="Calibri"/>
        </w:rPr>
        <w:t>Martini G</w:t>
      </w:r>
      <w:r w:rsidR="006D43E5">
        <w:rPr>
          <w:rFonts w:ascii="Calibri" w:hAnsi="Calibri" w:cs="Calibri"/>
        </w:rPr>
        <w:t>, Ramanan AV, Falcini F, Girschick H, Goldsmith DP and Zulian F</w:t>
      </w:r>
      <w:r w:rsidR="006D43E5" w:rsidRPr="00B1090E">
        <w:rPr>
          <w:rFonts w:ascii="Calibri" w:hAnsi="Calibri" w:cs="Calibri"/>
          <w:iCs/>
        </w:rPr>
        <w:t>.</w:t>
      </w:r>
      <w:r w:rsidR="006D43E5" w:rsidRPr="00B1090E">
        <w:rPr>
          <w:rFonts w:ascii="Calibri" w:hAnsi="Calibri" w:cs="Calibri"/>
        </w:rPr>
        <w:t xml:space="preserve"> Successful treatment of severe or methotrexate-resistant juvenile localized scleroderma with mycophenolate mofetil. </w:t>
      </w:r>
      <w:r w:rsidR="006D43E5">
        <w:rPr>
          <w:rFonts w:ascii="Calibri" w:hAnsi="Calibri" w:cs="Calibri"/>
          <w:iCs/>
        </w:rPr>
        <w:t>Rheumatol</w:t>
      </w:r>
      <w:r w:rsidR="006D43E5" w:rsidRPr="00B1090E">
        <w:rPr>
          <w:rFonts w:ascii="Calibri" w:hAnsi="Calibri" w:cs="Calibri"/>
          <w:iCs/>
        </w:rPr>
        <w:t xml:space="preserve"> Oxf Engl</w:t>
      </w:r>
      <w:r w:rsidR="006D43E5">
        <w:rPr>
          <w:rFonts w:ascii="Calibri" w:hAnsi="Calibri" w:cs="Calibri"/>
          <w:iCs/>
        </w:rPr>
        <w:t xml:space="preserve"> 2009;48:1410-3</w:t>
      </w:r>
    </w:p>
    <w:p w14:paraId="2FF04508" w14:textId="09DCB193" w:rsidR="006D43E5" w:rsidRPr="00B1090E" w:rsidRDefault="002A2115" w:rsidP="00FD5378">
      <w:pPr>
        <w:pStyle w:val="Bibliography"/>
        <w:spacing w:line="48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5. </w:t>
      </w:r>
      <w:r w:rsidR="006D43E5">
        <w:rPr>
          <w:rFonts w:ascii="Calibri" w:hAnsi="Calibri" w:cs="Calibri"/>
        </w:rPr>
        <w:t>Li</w:t>
      </w:r>
      <w:r w:rsidR="006D43E5" w:rsidRPr="00B1090E">
        <w:rPr>
          <w:rFonts w:ascii="Calibri" w:hAnsi="Calibri" w:cs="Calibri"/>
        </w:rPr>
        <w:t xml:space="preserve"> SC</w:t>
      </w:r>
      <w:r w:rsidR="006D43E5">
        <w:rPr>
          <w:rFonts w:ascii="Calibri" w:hAnsi="Calibri" w:cs="Calibri"/>
        </w:rPr>
        <w:t>, Feldman BM, Higgins GC, Haines KA, Punaro MG and O'Neil KM</w:t>
      </w:r>
      <w:r w:rsidR="006D43E5" w:rsidRPr="00B1090E">
        <w:rPr>
          <w:rFonts w:ascii="Calibri" w:hAnsi="Calibri" w:cs="Calibri"/>
          <w:iCs/>
        </w:rPr>
        <w:t>.</w:t>
      </w:r>
      <w:r w:rsidR="006D43E5" w:rsidRPr="00B1090E">
        <w:rPr>
          <w:rFonts w:ascii="Calibri" w:hAnsi="Calibri" w:cs="Calibri"/>
        </w:rPr>
        <w:t xml:space="preserve"> Treatment of pediatric localized scleroderma: results of a survey of North American pediatric rheumatologists. </w:t>
      </w:r>
      <w:r w:rsidR="006D43E5">
        <w:rPr>
          <w:rFonts w:ascii="Calibri" w:hAnsi="Calibri" w:cs="Calibri"/>
          <w:iCs/>
        </w:rPr>
        <w:t xml:space="preserve">J </w:t>
      </w:r>
      <w:r w:rsidR="006D43E5" w:rsidRPr="00B1090E">
        <w:rPr>
          <w:rFonts w:ascii="Calibri" w:hAnsi="Calibri" w:cs="Calibri"/>
          <w:iCs/>
        </w:rPr>
        <w:t>Rheumatol</w:t>
      </w:r>
      <w:r w:rsidR="006D43E5">
        <w:rPr>
          <w:rFonts w:ascii="Calibri" w:hAnsi="Calibri" w:cs="Calibri"/>
          <w:iCs/>
        </w:rPr>
        <w:t xml:space="preserve"> 2010;37:175-81</w:t>
      </w:r>
    </w:p>
    <w:p w14:paraId="2F950552" w14:textId="3BA84D4F" w:rsidR="006D43E5" w:rsidRPr="00B1090E" w:rsidRDefault="002A2115" w:rsidP="00FD5378">
      <w:pPr>
        <w:pStyle w:val="Bibliography"/>
        <w:spacing w:line="48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6. </w:t>
      </w:r>
      <w:r w:rsidR="006D43E5" w:rsidRPr="00B1090E">
        <w:rPr>
          <w:rFonts w:ascii="Calibri" w:hAnsi="Calibri" w:cs="Calibri"/>
        </w:rPr>
        <w:t>Kurzinski K</w:t>
      </w:r>
      <w:r w:rsidR="006D43E5">
        <w:rPr>
          <w:rFonts w:ascii="Calibri" w:hAnsi="Calibri" w:cs="Calibri"/>
        </w:rPr>
        <w:t xml:space="preserve"> and</w:t>
      </w:r>
      <w:r w:rsidR="006D43E5" w:rsidRPr="00B1090E">
        <w:rPr>
          <w:rFonts w:ascii="Calibri" w:hAnsi="Calibri" w:cs="Calibri"/>
        </w:rPr>
        <w:t xml:space="preserve"> Torok KS. Cytokine profiles in localized scleroderma and relationship to clinical features. </w:t>
      </w:r>
      <w:r w:rsidR="006D43E5" w:rsidRPr="00B1090E">
        <w:rPr>
          <w:rFonts w:ascii="Calibri" w:hAnsi="Calibri" w:cs="Calibri"/>
          <w:iCs/>
        </w:rPr>
        <w:t>Cytokine</w:t>
      </w:r>
      <w:r w:rsidR="006D43E5">
        <w:rPr>
          <w:rFonts w:ascii="Calibri" w:hAnsi="Calibri" w:cs="Calibri"/>
          <w:iCs/>
        </w:rPr>
        <w:t xml:space="preserve"> 2011;55:157-64</w:t>
      </w:r>
    </w:p>
    <w:p w14:paraId="06974558" w14:textId="21A39C30" w:rsidR="006D43E5" w:rsidRPr="00B1090E" w:rsidRDefault="002A2115" w:rsidP="00FD5378">
      <w:pPr>
        <w:pStyle w:val="Bibliography"/>
        <w:spacing w:line="48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7, </w:t>
      </w:r>
      <w:r w:rsidR="006D43E5" w:rsidRPr="00B1090E">
        <w:rPr>
          <w:rFonts w:ascii="Calibri" w:hAnsi="Calibri" w:cs="Calibri"/>
        </w:rPr>
        <w:t>Khanna D</w:t>
      </w:r>
      <w:r w:rsidR="006D43E5">
        <w:rPr>
          <w:rFonts w:ascii="Calibri" w:hAnsi="Calibri" w:cs="Calibri"/>
        </w:rPr>
        <w:t>, Denton CP, Jahreis A</w:t>
      </w:r>
      <w:r w:rsidR="006D43E5" w:rsidRPr="00B1090E">
        <w:rPr>
          <w:rFonts w:ascii="Calibri" w:hAnsi="Calibri" w:cs="Calibri"/>
        </w:rPr>
        <w:t xml:space="preserve"> </w:t>
      </w:r>
      <w:r w:rsidR="006D43E5" w:rsidRPr="00B1090E">
        <w:rPr>
          <w:rFonts w:ascii="Calibri" w:hAnsi="Calibri" w:cs="Calibri"/>
          <w:iCs/>
        </w:rPr>
        <w:t>et al.</w:t>
      </w:r>
      <w:r w:rsidR="006D43E5" w:rsidRPr="00B1090E">
        <w:rPr>
          <w:rFonts w:ascii="Calibri" w:hAnsi="Calibri" w:cs="Calibri"/>
        </w:rPr>
        <w:t xml:space="preserve"> Safety and efficacy of subcutaneous tocilizumab in adults with systemic sclerosis (faSScinate): a phase 2, randomised, controlled trial. </w:t>
      </w:r>
      <w:r w:rsidR="006D43E5" w:rsidRPr="00B1090E">
        <w:rPr>
          <w:rFonts w:ascii="Calibri" w:hAnsi="Calibri" w:cs="Calibri"/>
          <w:iCs/>
        </w:rPr>
        <w:t xml:space="preserve">Lancet </w:t>
      </w:r>
      <w:r w:rsidR="006D43E5">
        <w:rPr>
          <w:rFonts w:ascii="Calibri" w:hAnsi="Calibri" w:cs="Calibri"/>
          <w:iCs/>
        </w:rPr>
        <w:t>2016;</w:t>
      </w:r>
      <w:r w:rsidR="006D43E5" w:rsidRPr="00B1090E">
        <w:rPr>
          <w:rFonts w:ascii="Calibri" w:hAnsi="Calibri" w:cs="Calibri"/>
          <w:bCs/>
        </w:rPr>
        <w:t>387</w:t>
      </w:r>
      <w:r w:rsidR="006D43E5">
        <w:rPr>
          <w:rFonts w:ascii="Calibri" w:hAnsi="Calibri" w:cs="Calibri"/>
          <w:bCs/>
        </w:rPr>
        <w:t>:</w:t>
      </w:r>
      <w:r w:rsidR="006D43E5">
        <w:rPr>
          <w:rFonts w:ascii="Calibri" w:hAnsi="Calibri" w:cs="Calibri"/>
        </w:rPr>
        <w:t>2630–</w:t>
      </w:r>
      <w:r w:rsidR="006D43E5" w:rsidRPr="00B1090E">
        <w:rPr>
          <w:rFonts w:ascii="Calibri" w:hAnsi="Calibri" w:cs="Calibri"/>
        </w:rPr>
        <w:t>40</w:t>
      </w:r>
    </w:p>
    <w:p w14:paraId="744C07A0" w14:textId="35BCC875" w:rsidR="006D43E5" w:rsidRPr="00B1090E" w:rsidRDefault="002A2115" w:rsidP="00FD5378">
      <w:pPr>
        <w:pStyle w:val="Bibliography"/>
        <w:spacing w:line="48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8. </w:t>
      </w:r>
      <w:r w:rsidR="006D43E5" w:rsidRPr="00B1090E">
        <w:rPr>
          <w:rFonts w:ascii="Calibri" w:hAnsi="Calibri" w:cs="Calibri"/>
        </w:rPr>
        <w:t>Arkachaisri T, Vilaiyuk S, Torok</w:t>
      </w:r>
      <w:r w:rsidR="006D43E5">
        <w:rPr>
          <w:rFonts w:ascii="Calibri" w:hAnsi="Calibri" w:cs="Calibri"/>
        </w:rPr>
        <w:t xml:space="preserve"> </w:t>
      </w:r>
      <w:r w:rsidR="006D43E5" w:rsidRPr="00B1090E">
        <w:rPr>
          <w:rFonts w:ascii="Calibri" w:hAnsi="Calibri" w:cs="Calibri"/>
        </w:rPr>
        <w:t>KS</w:t>
      </w:r>
      <w:r w:rsidR="006D43E5">
        <w:rPr>
          <w:rFonts w:ascii="Calibri" w:hAnsi="Calibri" w:cs="Calibri"/>
        </w:rPr>
        <w:t xml:space="preserve"> and</w:t>
      </w:r>
      <w:r w:rsidR="006D43E5" w:rsidRPr="00B1090E">
        <w:rPr>
          <w:rFonts w:ascii="Calibri" w:hAnsi="Calibri" w:cs="Calibri"/>
        </w:rPr>
        <w:t xml:space="preserve"> Medsger</w:t>
      </w:r>
      <w:r w:rsidR="006D43E5">
        <w:rPr>
          <w:rFonts w:ascii="Calibri" w:hAnsi="Calibri" w:cs="Calibri"/>
        </w:rPr>
        <w:t xml:space="preserve"> TA.</w:t>
      </w:r>
      <w:r w:rsidR="006D43E5" w:rsidRPr="00B1090E">
        <w:rPr>
          <w:rFonts w:ascii="Calibri" w:hAnsi="Calibri" w:cs="Calibri"/>
        </w:rPr>
        <w:t xml:space="preserve"> Development and initial validation of the localized scleroderma skin damage index and physician global assessment of disease damage: a proof-of-concept study. </w:t>
      </w:r>
      <w:r w:rsidR="006D43E5">
        <w:rPr>
          <w:rFonts w:ascii="Calibri" w:hAnsi="Calibri" w:cs="Calibri"/>
          <w:iCs/>
        </w:rPr>
        <w:t>Rheumatol</w:t>
      </w:r>
      <w:r w:rsidR="006D43E5" w:rsidRPr="00B1090E">
        <w:rPr>
          <w:rFonts w:ascii="Calibri" w:hAnsi="Calibri" w:cs="Calibri"/>
          <w:iCs/>
        </w:rPr>
        <w:t xml:space="preserve"> Oxf Engl</w:t>
      </w:r>
      <w:r w:rsidR="006D43E5">
        <w:rPr>
          <w:rFonts w:ascii="Calibri" w:hAnsi="Calibri" w:cs="Calibri"/>
          <w:iCs/>
        </w:rPr>
        <w:t xml:space="preserve"> 2010;</w:t>
      </w:r>
      <w:r w:rsidR="006D43E5" w:rsidRPr="00B1090E">
        <w:rPr>
          <w:rFonts w:ascii="Calibri" w:hAnsi="Calibri" w:cs="Calibri"/>
          <w:bCs/>
        </w:rPr>
        <w:t>49</w:t>
      </w:r>
      <w:r w:rsidR="006D43E5">
        <w:rPr>
          <w:rFonts w:ascii="Calibri" w:hAnsi="Calibri" w:cs="Calibri"/>
          <w:bCs/>
        </w:rPr>
        <w:t>:</w:t>
      </w:r>
      <w:r w:rsidR="006D43E5">
        <w:rPr>
          <w:rFonts w:ascii="Calibri" w:hAnsi="Calibri" w:cs="Calibri"/>
        </w:rPr>
        <w:t>373–81</w:t>
      </w:r>
    </w:p>
    <w:p w14:paraId="154629C4" w14:textId="36755A44" w:rsidR="007A00F8" w:rsidRDefault="006D43E5" w:rsidP="00FD5378">
      <w:pPr>
        <w:spacing w:after="0" w:line="480" w:lineRule="auto"/>
      </w:pPr>
      <w:r w:rsidRPr="00B1090E">
        <w:rPr>
          <w:rFonts w:cstheme="minorHAnsi"/>
        </w:rPr>
        <w:fldChar w:fldCharType="end"/>
      </w:r>
    </w:p>
    <w:sectPr w:rsidR="007A00F8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5B7DED" w14:textId="77777777" w:rsidR="00FD5378" w:rsidRDefault="00FD5378" w:rsidP="00FD5378">
      <w:pPr>
        <w:spacing w:after="0" w:line="240" w:lineRule="auto"/>
      </w:pPr>
      <w:r>
        <w:separator/>
      </w:r>
    </w:p>
  </w:endnote>
  <w:endnote w:type="continuationSeparator" w:id="0">
    <w:p w14:paraId="75662F26" w14:textId="77777777" w:rsidR="00FD5378" w:rsidRDefault="00FD5378" w:rsidP="00FD53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081321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62FC9A" w14:textId="6C3ACDF8" w:rsidR="00FD5378" w:rsidRDefault="00FD537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2714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7A9BD05" w14:textId="77777777" w:rsidR="00FD5378" w:rsidRDefault="00FD537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6B40F0" w14:textId="77777777" w:rsidR="00FD5378" w:rsidRDefault="00FD5378" w:rsidP="00FD5378">
      <w:pPr>
        <w:spacing w:after="0" w:line="240" w:lineRule="auto"/>
      </w:pPr>
      <w:r>
        <w:separator/>
      </w:r>
    </w:p>
  </w:footnote>
  <w:footnote w:type="continuationSeparator" w:id="0">
    <w:p w14:paraId="6DCBA524" w14:textId="77777777" w:rsidR="00FD5378" w:rsidRDefault="00FD5378" w:rsidP="00FD53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8078B"/>
    <w:multiLevelType w:val="hybridMultilevel"/>
    <w:tmpl w:val="038EDA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7C0"/>
    <w:rsid w:val="00027191"/>
    <w:rsid w:val="002007CD"/>
    <w:rsid w:val="00237072"/>
    <w:rsid w:val="002A2115"/>
    <w:rsid w:val="00360113"/>
    <w:rsid w:val="003B60B0"/>
    <w:rsid w:val="00443E9C"/>
    <w:rsid w:val="004C0BD1"/>
    <w:rsid w:val="005E09DB"/>
    <w:rsid w:val="00673147"/>
    <w:rsid w:val="0069049A"/>
    <w:rsid w:val="006D43E5"/>
    <w:rsid w:val="0070149C"/>
    <w:rsid w:val="007831A3"/>
    <w:rsid w:val="007A00F8"/>
    <w:rsid w:val="00821199"/>
    <w:rsid w:val="008B12BF"/>
    <w:rsid w:val="009437C0"/>
    <w:rsid w:val="00977B98"/>
    <w:rsid w:val="00A2714A"/>
    <w:rsid w:val="00A61F5E"/>
    <w:rsid w:val="00A8089F"/>
    <w:rsid w:val="00B660B7"/>
    <w:rsid w:val="00C42041"/>
    <w:rsid w:val="00CB37BE"/>
    <w:rsid w:val="00D669C0"/>
    <w:rsid w:val="00DC3367"/>
    <w:rsid w:val="00E729EB"/>
    <w:rsid w:val="00E72D3C"/>
    <w:rsid w:val="00EF2BB6"/>
    <w:rsid w:val="00F109B6"/>
    <w:rsid w:val="00F6188F"/>
    <w:rsid w:val="00FD5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C292C"/>
  <w15:docId w15:val="{B6BBBFC9-6633-4E40-BAC8-D9A31718F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ibliography">
    <w:name w:val="Bibliography"/>
    <w:basedOn w:val="Normal"/>
    <w:next w:val="Normal"/>
    <w:uiPriority w:val="37"/>
    <w:semiHidden/>
    <w:unhideWhenUsed/>
    <w:rsid w:val="006D43E5"/>
  </w:style>
  <w:style w:type="paragraph" w:styleId="Caption">
    <w:name w:val="caption"/>
    <w:basedOn w:val="Normal"/>
    <w:next w:val="Normal"/>
    <w:uiPriority w:val="35"/>
    <w:unhideWhenUsed/>
    <w:qFormat/>
    <w:rsid w:val="006D43E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Paragraph">
    <w:name w:val="List Paragraph"/>
    <w:basedOn w:val="Normal"/>
    <w:uiPriority w:val="34"/>
    <w:qFormat/>
    <w:rsid w:val="006D43E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D43E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7B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B9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77B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7B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7B9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7B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7B9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B37B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D53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5378"/>
  </w:style>
  <w:style w:type="paragraph" w:styleId="Footer">
    <w:name w:val="footer"/>
    <w:basedOn w:val="Normal"/>
    <w:link w:val="FooterChar"/>
    <w:uiPriority w:val="99"/>
    <w:unhideWhenUsed/>
    <w:rsid w:val="00FD53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53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lare.pain@alderhey.nhs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1250</Words>
  <Characters>7129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Lancashire Teaching Hospitals</Company>
  <LinksUpToDate>false</LinksUpToDate>
  <CharactersWithSpaces>8363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 Burgess</dc:creator>
  <cp:lastModifiedBy>Hanna Burgess</cp:lastModifiedBy>
  <cp:revision>5</cp:revision>
  <dcterms:created xsi:type="dcterms:W3CDTF">2017-05-19T19:08:00Z</dcterms:created>
  <dcterms:modified xsi:type="dcterms:W3CDTF">2017-05-28T10:25:00Z</dcterms:modified>
</cp:coreProperties>
</file>